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仿宋_GB2312" w:hAnsi="宋体" w:eastAsia="仿宋_GB2312"/>
          <w:color w:val="auto"/>
          <w:sz w:val="32"/>
          <w:szCs w:val="32"/>
        </w:rPr>
      </w:pPr>
      <w:bookmarkStart w:id="13" w:name="_GoBack"/>
      <w:bookmarkEnd w:id="13"/>
    </w:p>
    <w:p>
      <w:pPr>
        <w:spacing w:line="360" w:lineRule="auto"/>
        <w:jc w:val="center"/>
        <w:rPr>
          <w:rFonts w:hint="eastAsia" w:ascii="仿宋_GB2312" w:hAnsi="宋体" w:eastAsia="仿宋_GB2312"/>
          <w:color w:val="auto"/>
          <w:sz w:val="32"/>
          <w:szCs w:val="32"/>
        </w:rPr>
      </w:pPr>
    </w:p>
    <w:p>
      <w:pPr>
        <w:spacing w:line="360" w:lineRule="auto"/>
        <w:rPr>
          <w:rFonts w:ascii="宋体" w:hAnsi="宋体"/>
          <w:color w:val="auto"/>
          <w:sz w:val="44"/>
          <w:szCs w:val="20"/>
        </w:rPr>
      </w:pPr>
    </w:p>
    <w:p>
      <w:pPr>
        <w:spacing w:before="120" w:beforeLines="50" w:line="360" w:lineRule="auto"/>
        <w:jc w:val="center"/>
        <w:rPr>
          <w:rFonts w:ascii="宋体" w:hAnsi="宋体"/>
          <w:color w:val="auto"/>
          <w:sz w:val="36"/>
          <w:szCs w:val="36"/>
        </w:rPr>
      </w:pPr>
      <w:r>
        <w:rPr>
          <w:rFonts w:hint="eastAsia" w:ascii="宋体" w:hAnsi="宋体"/>
          <w:color w:val="auto"/>
          <w:sz w:val="36"/>
          <w:szCs w:val="36"/>
        </w:rPr>
        <w:t>邱隘镇校园安全防控指挥中心设备采购及安装项目</w:t>
      </w:r>
    </w:p>
    <w:p>
      <w:pPr>
        <w:spacing w:before="120" w:beforeLines="50" w:line="360" w:lineRule="auto"/>
        <w:jc w:val="center"/>
        <w:rPr>
          <w:rFonts w:ascii="宋体" w:hAnsi="宋体"/>
          <w:color w:val="auto"/>
          <w:sz w:val="48"/>
          <w:szCs w:val="48"/>
        </w:rPr>
      </w:pPr>
      <w:r>
        <w:rPr>
          <w:rFonts w:hint="eastAsia" w:ascii="宋体" w:hAnsi="宋体"/>
          <w:color w:val="auto"/>
          <w:sz w:val="48"/>
          <w:szCs w:val="48"/>
        </w:rPr>
        <w:t>公开招标采购文件</w:t>
      </w:r>
    </w:p>
    <w:p>
      <w:pPr>
        <w:snapToGrid w:val="0"/>
        <w:spacing w:before="120" w:beforeLines="50" w:line="360" w:lineRule="auto"/>
        <w:rPr>
          <w:rFonts w:ascii="宋体" w:hAnsi="宋体"/>
          <w:color w:val="auto"/>
          <w:sz w:val="30"/>
          <w:szCs w:val="72"/>
        </w:rPr>
      </w:pPr>
    </w:p>
    <w:p>
      <w:pPr>
        <w:pStyle w:val="25"/>
        <w:snapToGrid w:val="0"/>
        <w:spacing w:before="120" w:beforeLines="0" w:after="120" w:afterLines="0" w:line="360" w:lineRule="auto"/>
        <w:rPr>
          <w:rFonts w:hAnsi="宋体"/>
          <w:bCs/>
          <w:color w:val="auto"/>
          <w:sz w:val="30"/>
          <w:szCs w:val="30"/>
          <w:lang w:eastAsia="zh-CN"/>
        </w:rPr>
      </w:pPr>
      <w:r>
        <w:rPr>
          <w:rFonts w:hAnsi="宋体"/>
          <w:bCs/>
          <w:color w:val="auto"/>
          <w:sz w:val="30"/>
          <w:szCs w:val="30"/>
          <w:lang w:val="en-US" w:eastAsia="zh-CN"/>
        </w:rPr>
        <w:t>项目编号：</w:t>
      </w:r>
      <w:r>
        <w:rPr>
          <w:rFonts w:hint="eastAsia" w:hAnsi="宋体"/>
          <w:bCs/>
          <w:color w:val="auto"/>
          <w:sz w:val="30"/>
          <w:szCs w:val="30"/>
        </w:rPr>
        <w:t>NBRL-19082</w:t>
      </w:r>
    </w:p>
    <w:p>
      <w:pPr>
        <w:snapToGrid w:val="0"/>
        <w:spacing w:before="120" w:beforeLines="50" w:line="360" w:lineRule="auto"/>
        <w:rPr>
          <w:rFonts w:ascii="宋体" w:hAnsi="宋体"/>
          <w:color w:val="auto"/>
          <w:sz w:val="30"/>
          <w:szCs w:val="48"/>
        </w:rPr>
      </w:pPr>
      <w:r>
        <w:rPr>
          <w:rFonts w:hint="eastAsia" w:ascii="宋体" w:hAnsi="宋体"/>
          <w:bCs/>
          <w:color w:val="auto"/>
          <w:sz w:val="30"/>
          <w:szCs w:val="30"/>
        </w:rPr>
        <w:t>项目名称：</w:t>
      </w:r>
      <w:r>
        <w:rPr>
          <w:rFonts w:hint="eastAsia" w:ascii="宋体" w:hAnsi="宋体"/>
          <w:color w:val="auto"/>
          <w:sz w:val="30"/>
          <w:szCs w:val="48"/>
        </w:rPr>
        <w:t>邱隘镇校园安全防控指挥中心设备采购及安装项目</w:t>
      </w:r>
    </w:p>
    <w:p>
      <w:pPr>
        <w:pStyle w:val="25"/>
        <w:snapToGrid w:val="0"/>
        <w:spacing w:before="120" w:beforeLines="0" w:after="120" w:afterLines="0" w:line="360" w:lineRule="auto"/>
        <w:rPr>
          <w:rFonts w:hAnsi="宋体"/>
          <w:color w:val="auto"/>
          <w:sz w:val="30"/>
          <w:szCs w:val="48"/>
          <w:lang w:eastAsia="zh-CN"/>
        </w:rPr>
      </w:pPr>
      <w:r>
        <w:rPr>
          <w:rFonts w:hAnsi="宋体"/>
          <w:bCs/>
          <w:color w:val="auto"/>
          <w:sz w:val="30"/>
          <w:szCs w:val="30"/>
          <w:lang w:val="en-US" w:eastAsia="zh-CN"/>
        </w:rPr>
        <w:t>采购单位：</w:t>
      </w:r>
      <w:r>
        <w:rPr>
          <w:rFonts w:hint="eastAsia" w:hAnsi="宋体"/>
          <w:color w:val="auto"/>
          <w:sz w:val="30"/>
          <w:szCs w:val="48"/>
          <w:lang w:eastAsia="zh-CN"/>
        </w:rPr>
        <w:t>宁波市鄞州区邱隘镇教辅室</w:t>
      </w:r>
    </w:p>
    <w:p>
      <w:pPr>
        <w:pStyle w:val="25"/>
        <w:snapToGrid w:val="0"/>
        <w:spacing w:before="120" w:beforeLines="0" w:after="120" w:afterLines="0" w:line="360" w:lineRule="auto"/>
        <w:rPr>
          <w:rFonts w:hint="eastAsia" w:hAnsi="宋体"/>
          <w:color w:val="auto"/>
          <w:sz w:val="30"/>
          <w:szCs w:val="48"/>
        </w:rPr>
      </w:pPr>
      <w:r>
        <w:rPr>
          <w:rFonts w:hAnsi="宋体"/>
          <w:bCs/>
          <w:color w:val="auto"/>
          <w:sz w:val="30"/>
          <w:szCs w:val="30"/>
          <w:lang w:val="en-US" w:eastAsia="zh-CN"/>
        </w:rPr>
        <w:t>代理机构：</w:t>
      </w:r>
      <w:r>
        <w:rPr>
          <w:rFonts w:hAnsi="宋体"/>
          <w:bCs/>
          <w:color w:val="auto"/>
          <w:w w:val="95"/>
          <w:sz w:val="30"/>
          <w:szCs w:val="30"/>
        </w:rPr>
        <w:t xml:space="preserve"> </w:t>
      </w:r>
      <w:r>
        <w:rPr>
          <w:rFonts w:hint="eastAsia" w:hAnsi="宋体"/>
          <w:color w:val="auto"/>
          <w:sz w:val="30"/>
          <w:szCs w:val="48"/>
        </w:rPr>
        <w:t>宁波瑞林招标有限公司</w:t>
      </w:r>
    </w:p>
    <w:p>
      <w:pPr>
        <w:pStyle w:val="25"/>
        <w:snapToGrid w:val="0"/>
        <w:spacing w:before="120" w:beforeLines="0" w:after="120" w:afterLines="0" w:line="360" w:lineRule="auto"/>
        <w:rPr>
          <w:rFonts w:hint="eastAsia" w:hAnsi="宋体"/>
          <w:color w:val="auto"/>
          <w:sz w:val="30"/>
          <w:szCs w:val="48"/>
        </w:rPr>
      </w:pPr>
    </w:p>
    <w:p>
      <w:pPr>
        <w:pStyle w:val="25"/>
        <w:snapToGrid w:val="0"/>
        <w:spacing w:before="120" w:beforeLines="0" w:after="120" w:afterLines="0" w:line="360" w:lineRule="auto"/>
        <w:rPr>
          <w:rFonts w:hint="eastAsia" w:hAnsi="宋体"/>
          <w:color w:val="auto"/>
          <w:sz w:val="30"/>
          <w:szCs w:val="48"/>
        </w:rPr>
      </w:pPr>
    </w:p>
    <w:p>
      <w:pPr>
        <w:pStyle w:val="25"/>
        <w:snapToGrid w:val="0"/>
        <w:spacing w:before="120" w:beforeLines="0" w:after="120" w:afterLines="0" w:line="360" w:lineRule="auto"/>
        <w:rPr>
          <w:rFonts w:hint="eastAsia" w:hAnsi="宋体"/>
          <w:bCs/>
          <w:color w:val="auto"/>
          <w:w w:val="95"/>
          <w:sz w:val="30"/>
          <w:szCs w:val="30"/>
          <w:lang w:eastAsia="zh-CN"/>
        </w:rPr>
      </w:pPr>
    </w:p>
    <w:p>
      <w:pPr>
        <w:pStyle w:val="25"/>
        <w:snapToGrid w:val="0"/>
        <w:spacing w:before="120" w:beforeLines="0" w:after="120" w:afterLines="0" w:line="360" w:lineRule="auto"/>
        <w:rPr>
          <w:rFonts w:hint="eastAsia" w:hAnsi="宋体"/>
          <w:bCs/>
          <w:color w:val="auto"/>
          <w:w w:val="95"/>
          <w:sz w:val="30"/>
          <w:szCs w:val="30"/>
          <w:lang w:eastAsia="zh-CN"/>
        </w:rPr>
      </w:pPr>
    </w:p>
    <w:p>
      <w:pPr>
        <w:snapToGrid w:val="0"/>
        <w:spacing w:before="120" w:beforeLines="50" w:line="360" w:lineRule="auto"/>
        <w:jc w:val="center"/>
        <w:rPr>
          <w:rFonts w:ascii="宋体" w:hAnsi="宋体"/>
          <w:bCs/>
          <w:color w:val="auto"/>
          <w:w w:val="95"/>
          <w:sz w:val="30"/>
          <w:szCs w:val="30"/>
        </w:rPr>
      </w:pPr>
    </w:p>
    <w:p>
      <w:pPr>
        <w:snapToGrid w:val="0"/>
        <w:spacing w:before="120" w:beforeLines="50" w:line="360" w:lineRule="auto"/>
        <w:jc w:val="center"/>
        <w:rPr>
          <w:rFonts w:ascii="宋体" w:hAnsi="宋体"/>
          <w:bCs/>
          <w:color w:val="auto"/>
          <w:w w:val="95"/>
          <w:sz w:val="30"/>
          <w:szCs w:val="30"/>
        </w:rPr>
      </w:pPr>
    </w:p>
    <w:p>
      <w:pPr>
        <w:snapToGrid w:val="0"/>
        <w:spacing w:before="120" w:beforeLines="50" w:line="360" w:lineRule="auto"/>
        <w:jc w:val="center"/>
        <w:rPr>
          <w:rFonts w:ascii="宋体" w:hAnsi="宋体"/>
          <w:bCs/>
          <w:color w:val="auto"/>
          <w:w w:val="95"/>
          <w:sz w:val="30"/>
          <w:szCs w:val="30"/>
        </w:rPr>
      </w:pPr>
    </w:p>
    <w:p>
      <w:pPr>
        <w:snapToGrid w:val="0"/>
        <w:spacing w:before="120" w:beforeLines="50" w:line="360" w:lineRule="auto"/>
        <w:jc w:val="center"/>
        <w:rPr>
          <w:rFonts w:hint="eastAsia" w:ascii="宋体" w:hAnsi="宋体"/>
          <w:bCs/>
          <w:color w:val="auto"/>
          <w:w w:val="95"/>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610" w:header="851" w:footer="851" w:gutter="0"/>
          <w:cols w:space="720" w:num="1"/>
          <w:titlePg/>
          <w:docGrid w:linePitch="312" w:charSpace="0"/>
        </w:sectPr>
      </w:pPr>
      <w:r>
        <w:rPr>
          <w:rFonts w:ascii="宋体" w:hAnsi="宋体"/>
          <w:bCs/>
          <w:color w:val="auto"/>
          <w:w w:val="95"/>
          <w:sz w:val="30"/>
          <w:szCs w:val="30"/>
        </w:rPr>
        <w:t>2019年</w:t>
      </w:r>
      <w:r>
        <w:rPr>
          <w:rFonts w:hint="eastAsia" w:ascii="宋体" w:hAnsi="宋体"/>
          <w:bCs/>
          <w:color w:val="auto"/>
          <w:w w:val="95"/>
          <w:sz w:val="30"/>
          <w:szCs w:val="30"/>
        </w:rPr>
        <w:t>7月</w:t>
      </w:r>
    </w:p>
    <w:p>
      <w:pPr>
        <w:pStyle w:val="25"/>
        <w:spacing w:before="120" w:beforeLines="0" w:after="120" w:afterLines="0" w:line="360" w:lineRule="auto"/>
        <w:jc w:val="center"/>
        <w:rPr>
          <w:rFonts w:hint="eastAsia" w:ascii="黑体" w:hAnsi="宋体" w:eastAsia="黑体"/>
          <w:color w:val="auto"/>
          <w:sz w:val="28"/>
          <w:szCs w:val="28"/>
        </w:rPr>
      </w:pPr>
      <w:r>
        <w:rPr>
          <w:rFonts w:hint="eastAsia" w:ascii="黑体" w:hAnsi="宋体" w:eastAsia="黑体"/>
          <w:color w:val="auto"/>
          <w:sz w:val="28"/>
          <w:szCs w:val="28"/>
        </w:rPr>
        <w:t>目    录</w:t>
      </w:r>
    </w:p>
    <w:p>
      <w:pPr>
        <w:numPr>
          <w:ilvl w:val="0"/>
          <w:numId w:val="5"/>
        </w:numPr>
        <w:spacing w:before="120" w:beforeLines="50" w:line="360" w:lineRule="auto"/>
        <w:rPr>
          <w:rFonts w:ascii="宋体" w:hAnsi="宋体"/>
          <w:color w:val="auto"/>
          <w:szCs w:val="21"/>
        </w:rPr>
      </w:pPr>
      <w:r>
        <w:rPr>
          <w:rFonts w:hint="eastAsia" w:ascii="宋体" w:hAnsi="宋体"/>
          <w:color w:val="auto"/>
          <w:szCs w:val="21"/>
        </w:rPr>
        <w:t>投标邀请----------------------------------------------------1</w:t>
      </w:r>
    </w:p>
    <w:p>
      <w:pPr>
        <w:numPr>
          <w:ilvl w:val="0"/>
          <w:numId w:val="5"/>
        </w:numPr>
        <w:spacing w:before="120" w:beforeLines="50" w:line="360" w:lineRule="auto"/>
        <w:rPr>
          <w:rFonts w:ascii="宋体" w:hAnsi="宋体"/>
          <w:color w:val="auto"/>
          <w:szCs w:val="21"/>
        </w:rPr>
      </w:pPr>
      <w:r>
        <w:rPr>
          <w:rFonts w:hint="eastAsia" w:ascii="宋体" w:hAnsi="宋体"/>
          <w:color w:val="auto"/>
          <w:szCs w:val="21"/>
        </w:rPr>
        <w:t>采购需求----------------------------------------------------4</w:t>
      </w:r>
    </w:p>
    <w:p>
      <w:pPr>
        <w:numPr>
          <w:ilvl w:val="0"/>
          <w:numId w:val="5"/>
        </w:numPr>
        <w:spacing w:before="120" w:beforeLines="50" w:line="360" w:lineRule="auto"/>
        <w:rPr>
          <w:rFonts w:ascii="宋体" w:hAnsi="宋体"/>
          <w:color w:val="auto"/>
          <w:szCs w:val="21"/>
        </w:rPr>
      </w:pPr>
      <w:r>
        <w:rPr>
          <w:rFonts w:hint="eastAsia" w:ascii="宋体" w:hAnsi="宋体"/>
          <w:color w:val="auto"/>
          <w:szCs w:val="21"/>
        </w:rPr>
        <w:t>投标人须知--------------------------------------------------24</w:t>
      </w:r>
    </w:p>
    <w:p>
      <w:pPr>
        <w:numPr>
          <w:ilvl w:val="0"/>
          <w:numId w:val="5"/>
        </w:numPr>
        <w:spacing w:before="120" w:beforeLines="50" w:line="360" w:lineRule="auto"/>
        <w:rPr>
          <w:rFonts w:ascii="宋体" w:hAnsi="宋体"/>
          <w:color w:val="auto"/>
          <w:szCs w:val="21"/>
        </w:rPr>
      </w:pPr>
      <w:r>
        <w:rPr>
          <w:rFonts w:hint="eastAsia" w:ascii="宋体" w:hAnsi="宋体"/>
          <w:color w:val="auto"/>
          <w:szCs w:val="21"/>
        </w:rPr>
        <w:t>评标办法及评分标准------------------------------------------36</w:t>
      </w:r>
    </w:p>
    <w:p>
      <w:pPr>
        <w:numPr>
          <w:ilvl w:val="0"/>
          <w:numId w:val="5"/>
        </w:numPr>
        <w:spacing w:before="120" w:beforeLines="50" w:line="360" w:lineRule="auto"/>
        <w:rPr>
          <w:rFonts w:ascii="宋体" w:hAnsi="宋体"/>
          <w:color w:val="auto"/>
          <w:szCs w:val="21"/>
        </w:rPr>
      </w:pPr>
      <w:r>
        <w:rPr>
          <w:rFonts w:hint="eastAsia" w:ascii="宋体" w:hAnsi="宋体"/>
          <w:color w:val="auto"/>
          <w:szCs w:val="21"/>
        </w:rPr>
        <w:t>拟签订的合同------------------------------------------------39</w:t>
      </w:r>
    </w:p>
    <w:p>
      <w:pPr>
        <w:numPr>
          <w:ilvl w:val="0"/>
          <w:numId w:val="5"/>
        </w:numPr>
        <w:spacing w:before="120" w:beforeLines="50" w:line="360" w:lineRule="auto"/>
        <w:rPr>
          <w:rFonts w:ascii="宋体" w:hAnsi="宋体"/>
          <w:color w:val="auto"/>
          <w:szCs w:val="21"/>
        </w:rPr>
      </w:pPr>
      <w:r>
        <w:rPr>
          <w:rFonts w:hint="eastAsia" w:ascii="宋体" w:hAnsi="宋体"/>
          <w:color w:val="auto"/>
          <w:szCs w:val="21"/>
        </w:rPr>
        <w:t>投标文件格式------------------------------------------------44</w:t>
      </w:r>
    </w:p>
    <w:p>
      <w:pPr>
        <w:pStyle w:val="25"/>
        <w:snapToGrid w:val="0"/>
        <w:spacing w:before="120" w:beforeLines="0" w:after="120" w:afterLines="0" w:line="360" w:lineRule="auto"/>
        <w:jc w:val="center"/>
        <w:outlineLvl w:val="0"/>
        <w:rPr>
          <w:rFonts w:hint="eastAsia" w:ascii="黑体" w:hAnsi="宋体" w:eastAsia="黑体"/>
          <w:color w:val="auto"/>
          <w:sz w:val="28"/>
          <w:szCs w:val="28"/>
        </w:rPr>
        <w:sectPr>
          <w:footerReference r:id="rId10" w:type="first"/>
          <w:footerReference r:id="rId9" w:type="default"/>
          <w:pgSz w:w="11906" w:h="16838"/>
          <w:pgMar w:top="1440" w:right="1440" w:bottom="1440" w:left="1610" w:header="851" w:footer="851" w:gutter="0"/>
          <w:cols w:space="720" w:num="1"/>
          <w:docGrid w:linePitch="312" w:charSpace="0"/>
        </w:sectPr>
      </w:pPr>
    </w:p>
    <w:p>
      <w:pPr>
        <w:pStyle w:val="25"/>
        <w:snapToGrid w:val="0"/>
        <w:spacing w:before="120" w:beforeLines="0" w:after="120" w:afterLines="0" w:line="360" w:lineRule="auto"/>
        <w:jc w:val="center"/>
        <w:outlineLvl w:val="0"/>
        <w:rPr>
          <w:rFonts w:hint="eastAsia" w:ascii="黑体" w:hAnsi="宋体" w:eastAsia="黑体"/>
          <w:color w:val="auto"/>
          <w:sz w:val="28"/>
          <w:szCs w:val="28"/>
          <w:lang w:eastAsia="zh-CN"/>
        </w:rPr>
      </w:pPr>
      <w:r>
        <w:rPr>
          <w:rFonts w:hint="eastAsia" w:ascii="黑体" w:hAnsi="宋体" w:eastAsia="黑体"/>
          <w:color w:val="auto"/>
          <w:sz w:val="28"/>
          <w:szCs w:val="28"/>
        </w:rPr>
        <w:t>第一章  投标邀请</w:t>
      </w:r>
    </w:p>
    <w:p>
      <w:pPr>
        <w:widowControl/>
        <w:kinsoku w:val="0"/>
        <w:spacing w:line="360" w:lineRule="auto"/>
        <w:rPr>
          <w:rFonts w:ascii="宋体" w:hAnsi="宋体" w:cs="宋体"/>
          <w:color w:val="auto"/>
          <w:kern w:val="0"/>
          <w:szCs w:val="21"/>
        </w:rPr>
      </w:pPr>
      <w:r>
        <w:rPr>
          <w:rFonts w:hint="eastAsia" w:ascii="宋体" w:hAnsi="宋体" w:cs="宋体"/>
          <w:color w:val="auto"/>
          <w:kern w:val="0"/>
          <w:szCs w:val="21"/>
        </w:rPr>
        <w:t>发布</w:t>
      </w:r>
      <w:r>
        <w:rPr>
          <w:rFonts w:ascii="宋体" w:hAnsi="宋体" w:cs="宋体"/>
          <w:color w:val="auto"/>
          <w:kern w:val="0"/>
          <w:szCs w:val="21"/>
        </w:rPr>
        <w:t>日期：2019年</w:t>
      </w:r>
      <w:r>
        <w:rPr>
          <w:rFonts w:hint="eastAsia" w:ascii="宋体" w:hAnsi="宋体" w:cs="宋体"/>
          <w:color w:val="auto"/>
          <w:kern w:val="0"/>
          <w:szCs w:val="21"/>
          <w:lang w:val="en-US" w:eastAsia="zh-CN"/>
        </w:rPr>
        <w:t>7</w:t>
      </w:r>
      <w:r>
        <w:rPr>
          <w:rFonts w:hint="eastAsia" w:ascii="宋体" w:hAnsi="宋体" w:cs="宋体"/>
          <w:color w:val="auto"/>
          <w:kern w:val="0"/>
          <w:szCs w:val="21"/>
        </w:rPr>
        <w:t>月</w:t>
      </w:r>
      <w:r>
        <w:rPr>
          <w:rFonts w:hint="eastAsia" w:ascii="宋体" w:hAnsi="宋体" w:cs="宋体"/>
          <w:color w:val="auto"/>
          <w:kern w:val="0"/>
          <w:szCs w:val="21"/>
          <w:lang w:val="en-US" w:eastAsia="zh-CN"/>
        </w:rPr>
        <w:t>9</w:t>
      </w:r>
      <w:r>
        <w:rPr>
          <w:rFonts w:ascii="宋体" w:hAnsi="宋体" w:cs="宋体"/>
          <w:color w:val="auto"/>
          <w:kern w:val="0"/>
          <w:szCs w:val="21"/>
        </w:rPr>
        <w:t>日</w:t>
      </w:r>
    </w:p>
    <w:p>
      <w:pPr>
        <w:widowControl/>
        <w:kinsoku w:val="0"/>
        <w:spacing w:line="360" w:lineRule="auto"/>
        <w:rPr>
          <w:rFonts w:hint="eastAsia" w:ascii="宋体" w:hAnsi="宋体" w:cs="宋体"/>
          <w:color w:val="auto"/>
          <w:kern w:val="0"/>
          <w:szCs w:val="21"/>
        </w:rPr>
      </w:pPr>
      <w:r>
        <w:rPr>
          <w:rFonts w:hint="eastAsia" w:ascii="宋体" w:hAnsi="宋体" w:cs="宋体"/>
          <w:color w:val="auto"/>
          <w:kern w:val="0"/>
          <w:szCs w:val="21"/>
        </w:rPr>
        <w:t>公告期限、采购文件公告期限：</w:t>
      </w:r>
      <w:r>
        <w:rPr>
          <w:rFonts w:ascii="宋体" w:hAnsi="宋体" w:cs="宋体"/>
          <w:color w:val="auto"/>
          <w:kern w:val="0"/>
          <w:szCs w:val="21"/>
        </w:rPr>
        <w:t>2019年</w:t>
      </w:r>
      <w:r>
        <w:rPr>
          <w:rFonts w:hint="eastAsia" w:ascii="宋体" w:hAnsi="宋体" w:cs="宋体"/>
          <w:color w:val="auto"/>
          <w:kern w:val="0"/>
          <w:szCs w:val="21"/>
          <w:lang w:val="en-US" w:eastAsia="zh-CN"/>
        </w:rPr>
        <w:t>7</w:t>
      </w:r>
      <w:r>
        <w:rPr>
          <w:rFonts w:hint="eastAsia" w:ascii="宋体" w:hAnsi="宋体" w:cs="宋体"/>
          <w:color w:val="auto"/>
          <w:kern w:val="0"/>
          <w:szCs w:val="21"/>
        </w:rPr>
        <w:t>月</w:t>
      </w:r>
      <w:r>
        <w:rPr>
          <w:rFonts w:hint="eastAsia" w:ascii="宋体" w:hAnsi="宋体" w:cs="宋体"/>
          <w:color w:val="auto"/>
          <w:kern w:val="0"/>
          <w:szCs w:val="21"/>
          <w:lang w:val="en-US" w:eastAsia="zh-CN"/>
        </w:rPr>
        <w:t>9</w:t>
      </w:r>
      <w:r>
        <w:rPr>
          <w:rFonts w:ascii="宋体" w:hAnsi="宋体" w:cs="宋体"/>
          <w:color w:val="auto"/>
          <w:kern w:val="0"/>
          <w:szCs w:val="21"/>
        </w:rPr>
        <w:t>日</w:t>
      </w:r>
      <w:r>
        <w:rPr>
          <w:rFonts w:hint="eastAsia" w:ascii="宋体" w:hAnsi="宋体" w:cs="宋体"/>
          <w:color w:val="auto"/>
          <w:kern w:val="0"/>
          <w:szCs w:val="21"/>
        </w:rPr>
        <w:t>--</w:t>
      </w:r>
      <w:r>
        <w:rPr>
          <w:rFonts w:ascii="宋体" w:hAnsi="宋体" w:cs="宋体"/>
          <w:color w:val="auto"/>
          <w:kern w:val="0"/>
          <w:szCs w:val="21"/>
        </w:rPr>
        <w:t>2019年</w:t>
      </w:r>
      <w:r>
        <w:rPr>
          <w:rFonts w:hint="eastAsia" w:ascii="宋体" w:hAnsi="宋体" w:cs="宋体"/>
          <w:color w:val="auto"/>
          <w:kern w:val="0"/>
          <w:szCs w:val="21"/>
          <w:lang w:val="en-US" w:eastAsia="zh-CN"/>
        </w:rPr>
        <w:t>7</w:t>
      </w:r>
      <w:r>
        <w:rPr>
          <w:rFonts w:hint="eastAsia" w:ascii="宋体" w:hAnsi="宋体" w:cs="宋体"/>
          <w:color w:val="auto"/>
          <w:kern w:val="0"/>
          <w:szCs w:val="21"/>
        </w:rPr>
        <w:t>月</w:t>
      </w:r>
      <w:r>
        <w:rPr>
          <w:rFonts w:hint="eastAsia" w:ascii="宋体" w:hAnsi="宋体" w:cs="宋体"/>
          <w:color w:val="auto"/>
          <w:kern w:val="0"/>
          <w:szCs w:val="21"/>
          <w:lang w:val="en-US" w:eastAsia="zh-CN"/>
        </w:rPr>
        <w:t>16</w:t>
      </w:r>
      <w:r>
        <w:rPr>
          <w:rFonts w:ascii="宋体" w:hAnsi="宋体" w:cs="宋体"/>
          <w:color w:val="auto"/>
          <w:kern w:val="0"/>
          <w:szCs w:val="21"/>
        </w:rPr>
        <w:t>日</w:t>
      </w:r>
    </w:p>
    <w:p>
      <w:pPr>
        <w:pStyle w:val="337"/>
        <w:widowControl w:val="0"/>
        <w:spacing w:line="360" w:lineRule="auto"/>
        <w:ind w:firstLine="420"/>
        <w:rPr>
          <w:rFonts w:ascii="宋体" w:hAnsi="宋体"/>
          <w:color w:val="auto"/>
          <w:sz w:val="21"/>
          <w:szCs w:val="21"/>
        </w:rPr>
      </w:pPr>
      <w:r>
        <w:rPr>
          <w:rFonts w:hint="eastAsia" w:ascii="宋体" w:hAnsi="宋体"/>
          <w:color w:val="auto"/>
          <w:sz w:val="21"/>
          <w:szCs w:val="21"/>
        </w:rPr>
        <w:t>根据</w:t>
      </w:r>
      <w:r>
        <w:rPr>
          <w:rFonts w:hint="eastAsia" w:ascii="宋体" w:hAnsi="宋体"/>
          <w:color w:val="auto"/>
          <w:sz w:val="21"/>
          <w:szCs w:val="21"/>
          <w:u w:val="single"/>
        </w:rPr>
        <w:t>《中华人民共和国政府采购法》、《中华人民共和国政府采购法实施条例》、《政府采购货物和服务招标投标管理办法》</w:t>
      </w:r>
      <w:r>
        <w:rPr>
          <w:rFonts w:hint="eastAsia" w:ascii="宋体" w:hAnsi="宋体"/>
          <w:color w:val="auto"/>
          <w:sz w:val="21"/>
          <w:szCs w:val="21"/>
        </w:rPr>
        <w:t>等法律、法规和规章规定，经</w:t>
      </w:r>
      <w:r>
        <w:rPr>
          <w:rFonts w:hint="eastAsia" w:ascii="宋体" w:hAnsi="宋体"/>
          <w:color w:val="auto"/>
          <w:sz w:val="21"/>
          <w:szCs w:val="21"/>
          <w:u w:val="single"/>
        </w:rPr>
        <w:t>宁波市鄞州区政府采购管理办公室</w:t>
      </w:r>
      <w:r>
        <w:rPr>
          <w:rFonts w:hint="eastAsia" w:ascii="宋体" w:hAnsi="宋体"/>
          <w:color w:val="auto"/>
          <w:sz w:val="21"/>
          <w:szCs w:val="21"/>
        </w:rPr>
        <w:t>批准，现就</w:t>
      </w:r>
      <w:r>
        <w:rPr>
          <w:rFonts w:hint="eastAsia" w:ascii="宋体" w:hAnsi="宋体"/>
          <w:color w:val="auto"/>
          <w:sz w:val="21"/>
          <w:szCs w:val="21"/>
          <w:u w:val="single"/>
        </w:rPr>
        <w:t>邱隘镇校园安全防控指挥中心设备采购及安装项目</w:t>
      </w:r>
      <w:r>
        <w:rPr>
          <w:rFonts w:ascii="宋体" w:hAnsi="宋体"/>
          <w:color w:val="auto"/>
          <w:sz w:val="21"/>
          <w:szCs w:val="21"/>
        </w:rPr>
        <w:t>进行公开招标采购，</w:t>
      </w:r>
      <w:r>
        <w:rPr>
          <w:rFonts w:hint="eastAsia" w:ascii="宋体" w:hAnsi="宋体"/>
          <w:color w:val="auto"/>
          <w:sz w:val="21"/>
          <w:szCs w:val="21"/>
        </w:rPr>
        <w:t>欢迎符合要求且具有供货能力的供应商前来投标。</w:t>
      </w:r>
    </w:p>
    <w:p>
      <w:pPr>
        <w:snapToGrid w:val="0"/>
        <w:spacing w:line="360" w:lineRule="auto"/>
        <w:ind w:firstLine="420" w:firstLineChars="200"/>
        <w:rPr>
          <w:rFonts w:hint="eastAsia" w:ascii="宋体" w:hAnsi="宋体" w:cs="Arial"/>
          <w:color w:val="auto"/>
          <w:szCs w:val="21"/>
          <w:u w:val="single"/>
        </w:rPr>
      </w:pPr>
      <w:r>
        <w:rPr>
          <w:rFonts w:hint="eastAsia" w:ascii="宋体" w:hAnsi="宋体" w:cs="Arial"/>
          <w:color w:val="auto"/>
          <w:szCs w:val="21"/>
        </w:rPr>
        <w:t>一、</w:t>
      </w:r>
      <w:r>
        <w:rPr>
          <w:rFonts w:hint="eastAsia" w:ascii="宋体" w:hAnsi="宋体" w:cs="Arial"/>
          <w:bCs/>
          <w:color w:val="auto"/>
          <w:szCs w:val="21"/>
        </w:rPr>
        <w:t>项目编号</w:t>
      </w:r>
      <w:r>
        <w:rPr>
          <w:rFonts w:hint="eastAsia" w:ascii="宋体" w:hAnsi="宋体" w:cs="Arial"/>
          <w:color w:val="auto"/>
          <w:szCs w:val="21"/>
        </w:rPr>
        <w:t>：</w:t>
      </w:r>
      <w:r>
        <w:rPr>
          <w:rFonts w:hint="eastAsia" w:ascii="宋体" w:hAnsi="宋体" w:cs="Arial"/>
          <w:color w:val="auto"/>
          <w:szCs w:val="21"/>
          <w:u w:val="single"/>
        </w:rPr>
        <w:t xml:space="preserve">NBRL-19082     </w:t>
      </w:r>
    </w:p>
    <w:p>
      <w:pPr>
        <w:pStyle w:val="337"/>
        <w:widowControl w:val="0"/>
        <w:spacing w:after="120" w:afterLines="0" w:line="360" w:lineRule="auto"/>
        <w:ind w:firstLine="420"/>
        <w:rPr>
          <w:rFonts w:ascii="宋体" w:hAnsi="宋体" w:cs="宋体"/>
          <w:color w:val="auto"/>
          <w:sz w:val="21"/>
          <w:szCs w:val="21"/>
        </w:rPr>
      </w:pPr>
      <w:r>
        <w:rPr>
          <w:rFonts w:ascii="宋体" w:hAnsi="宋体" w:cs="宋体"/>
          <w:color w:val="auto"/>
          <w:sz w:val="21"/>
          <w:szCs w:val="21"/>
        </w:rPr>
        <w:t>二、采购</w:t>
      </w:r>
      <w:r>
        <w:rPr>
          <w:rFonts w:hint="eastAsia" w:ascii="宋体" w:hAnsi="宋体" w:cs="宋体"/>
          <w:color w:val="auto"/>
          <w:sz w:val="21"/>
          <w:szCs w:val="21"/>
        </w:rPr>
        <w:t>组织方式</w:t>
      </w:r>
      <w:r>
        <w:rPr>
          <w:rFonts w:ascii="宋体" w:hAnsi="宋体" w:cs="宋体"/>
          <w:color w:val="auto"/>
          <w:sz w:val="21"/>
          <w:szCs w:val="21"/>
        </w:rPr>
        <w:t>：</w:t>
      </w:r>
      <w:r>
        <w:rPr>
          <w:rFonts w:hint="eastAsia" w:ascii="宋体" w:hAnsi="宋体" w:cs="宋体"/>
          <w:color w:val="auto"/>
          <w:sz w:val="21"/>
          <w:szCs w:val="21"/>
        </w:rPr>
        <w:t>委托代理机构采购</w:t>
      </w:r>
    </w:p>
    <w:p>
      <w:pPr>
        <w:snapToGrid w:val="0"/>
        <w:spacing w:line="360" w:lineRule="auto"/>
        <w:ind w:firstLine="420" w:firstLineChars="200"/>
        <w:rPr>
          <w:rFonts w:hint="eastAsia" w:ascii="宋体" w:hAnsi="宋体" w:cs="Arial"/>
          <w:color w:val="auto"/>
          <w:szCs w:val="21"/>
        </w:rPr>
      </w:pPr>
      <w:r>
        <w:rPr>
          <w:rFonts w:hint="eastAsia" w:ascii="宋体" w:hAnsi="宋体" w:cs="Arial"/>
          <w:color w:val="auto"/>
          <w:szCs w:val="21"/>
        </w:rPr>
        <w:t>三、采购方式：</w:t>
      </w:r>
      <w:r>
        <w:rPr>
          <w:rFonts w:hint="eastAsia" w:ascii="宋体" w:hAnsi="宋体" w:cs="Arial"/>
          <w:color w:val="auto"/>
          <w:szCs w:val="21"/>
          <w:u w:val="single"/>
        </w:rPr>
        <w:t>公开招标</w:t>
      </w:r>
    </w:p>
    <w:p>
      <w:pPr>
        <w:snapToGrid w:val="0"/>
        <w:spacing w:line="360" w:lineRule="auto"/>
        <w:ind w:firstLine="420" w:firstLineChars="200"/>
        <w:rPr>
          <w:rFonts w:hint="eastAsia" w:ascii="宋体" w:hAnsi="宋体" w:cs="Arial"/>
          <w:bCs/>
          <w:color w:val="auto"/>
          <w:szCs w:val="21"/>
        </w:rPr>
      </w:pPr>
      <w:r>
        <w:rPr>
          <w:rFonts w:hint="eastAsia" w:ascii="宋体" w:hAnsi="宋体" w:cs="Arial"/>
          <w:color w:val="auto"/>
          <w:szCs w:val="21"/>
        </w:rPr>
        <w:t>四、子包号、</w:t>
      </w:r>
      <w:r>
        <w:rPr>
          <w:rFonts w:hint="eastAsia" w:ascii="宋体" w:hAnsi="宋体" w:cs="Arial"/>
          <w:bCs/>
          <w:color w:val="auto"/>
          <w:szCs w:val="21"/>
        </w:rPr>
        <w:t>采购内容、数量、采购需求、采购预算、最高限价</w:t>
      </w:r>
    </w:p>
    <w:tbl>
      <w:tblPr>
        <w:tblStyle w:val="4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4"/>
        <w:gridCol w:w="2614"/>
        <w:gridCol w:w="1418"/>
        <w:gridCol w:w="2089"/>
        <w:gridCol w:w="978"/>
        <w:gridCol w:w="10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Arial"/>
                <w:bCs/>
                <w:color w:val="auto"/>
                <w:szCs w:val="21"/>
              </w:rPr>
            </w:pPr>
            <w:r>
              <w:rPr>
                <w:rFonts w:hint="eastAsia" w:ascii="宋体" w:hAnsi="宋体" w:cs="Arial"/>
                <w:bCs/>
                <w:color w:val="auto"/>
                <w:szCs w:val="21"/>
              </w:rPr>
              <w:t>子包号</w:t>
            </w:r>
          </w:p>
        </w:tc>
        <w:tc>
          <w:tcPr>
            <w:tcW w:w="26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Arial"/>
                <w:bCs/>
                <w:color w:val="auto"/>
                <w:szCs w:val="21"/>
              </w:rPr>
            </w:pPr>
            <w:r>
              <w:rPr>
                <w:rFonts w:hint="eastAsia" w:ascii="宋体" w:hAnsi="宋体" w:cs="Arial"/>
                <w:bCs/>
                <w:color w:val="auto"/>
                <w:szCs w:val="21"/>
              </w:rPr>
              <w:t>采购内容</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Arial"/>
                <w:bCs/>
                <w:color w:val="auto"/>
                <w:szCs w:val="21"/>
              </w:rPr>
            </w:pPr>
            <w:r>
              <w:rPr>
                <w:rFonts w:hint="eastAsia" w:ascii="宋体" w:hAnsi="宋体" w:cs="Arial"/>
                <w:bCs/>
                <w:color w:val="auto"/>
                <w:szCs w:val="21"/>
              </w:rPr>
              <w:t>数量</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Arial"/>
                <w:bCs/>
                <w:color w:val="auto"/>
                <w:szCs w:val="21"/>
              </w:rPr>
            </w:pPr>
            <w:r>
              <w:rPr>
                <w:rFonts w:hint="eastAsia" w:ascii="宋体" w:hAnsi="宋体" w:cs="Arial"/>
                <w:bCs/>
                <w:color w:val="auto"/>
                <w:szCs w:val="21"/>
              </w:rPr>
              <w:t>采购需求</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Arial"/>
                <w:bCs/>
                <w:color w:val="auto"/>
                <w:szCs w:val="21"/>
              </w:rPr>
            </w:pPr>
            <w:r>
              <w:rPr>
                <w:rFonts w:hint="eastAsia" w:ascii="宋体" w:hAnsi="宋体" w:cs="Arial"/>
                <w:bCs/>
                <w:color w:val="auto"/>
                <w:szCs w:val="21"/>
              </w:rPr>
              <w:t>采购</w:t>
            </w:r>
          </w:p>
          <w:p>
            <w:pPr>
              <w:snapToGrid w:val="0"/>
              <w:spacing w:line="360" w:lineRule="auto"/>
              <w:jc w:val="center"/>
              <w:rPr>
                <w:rFonts w:ascii="宋体" w:hAnsi="宋体" w:cs="Arial"/>
                <w:bCs/>
                <w:color w:val="auto"/>
                <w:szCs w:val="21"/>
              </w:rPr>
            </w:pPr>
            <w:r>
              <w:rPr>
                <w:rFonts w:hint="eastAsia" w:ascii="宋体" w:hAnsi="宋体" w:cs="Arial"/>
                <w:bCs/>
                <w:color w:val="auto"/>
                <w:szCs w:val="21"/>
              </w:rPr>
              <w:t>预算</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Arial"/>
                <w:bCs/>
                <w:color w:val="auto"/>
                <w:szCs w:val="21"/>
              </w:rPr>
            </w:pPr>
            <w:r>
              <w:rPr>
                <w:rFonts w:hint="eastAsia" w:ascii="宋体" w:hAnsi="宋体" w:cs="Arial"/>
                <w:bCs/>
                <w:color w:val="auto"/>
                <w:szCs w:val="21"/>
              </w:rPr>
              <w:t>最高</w:t>
            </w:r>
          </w:p>
          <w:p>
            <w:pPr>
              <w:snapToGrid w:val="0"/>
              <w:spacing w:line="360" w:lineRule="auto"/>
              <w:jc w:val="center"/>
              <w:rPr>
                <w:rFonts w:ascii="宋体" w:hAnsi="宋体" w:cs="Arial"/>
                <w:bCs/>
                <w:color w:val="auto"/>
                <w:szCs w:val="21"/>
              </w:rPr>
            </w:pPr>
            <w:r>
              <w:rPr>
                <w:rFonts w:hint="eastAsia" w:ascii="宋体" w:hAnsi="宋体" w:cs="Arial"/>
                <w:bCs/>
                <w:color w:val="auto"/>
                <w:szCs w:val="21"/>
              </w:rPr>
              <w:t>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4" w:hRule="atLeast"/>
          <w:jc w:val="center"/>
        </w:trPr>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Arial"/>
                <w:bCs/>
                <w:color w:val="auto"/>
                <w:szCs w:val="21"/>
              </w:rPr>
            </w:pPr>
            <w:r>
              <w:rPr>
                <w:rFonts w:hint="eastAsia" w:ascii="宋体" w:hAnsi="宋体" w:cs="Arial"/>
                <w:bCs/>
                <w:color w:val="auto"/>
                <w:szCs w:val="21"/>
              </w:rPr>
              <w:t>子包一</w:t>
            </w:r>
          </w:p>
        </w:tc>
        <w:tc>
          <w:tcPr>
            <w:tcW w:w="26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Arial"/>
                <w:bCs/>
                <w:color w:val="auto"/>
                <w:szCs w:val="21"/>
              </w:rPr>
            </w:pPr>
            <w:r>
              <w:rPr>
                <w:rFonts w:hint="eastAsia" w:ascii="宋体" w:hAnsi="宋体"/>
                <w:color w:val="auto"/>
                <w:szCs w:val="21"/>
              </w:rPr>
              <w:t>邱隘镇校园安全防控指挥中心设备采购及安装</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Arial"/>
                <w:bCs/>
                <w:color w:val="auto"/>
                <w:szCs w:val="21"/>
              </w:rPr>
            </w:pPr>
            <w:r>
              <w:rPr>
                <w:rFonts w:hint="eastAsia" w:ascii="宋体" w:hAnsi="宋体" w:cs="Arial"/>
                <w:bCs/>
                <w:color w:val="auto"/>
                <w:szCs w:val="21"/>
              </w:rPr>
              <w:t>1批</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kinsoku w:val="0"/>
              <w:spacing w:before="156" w:beforeLines="50" w:line="360" w:lineRule="auto"/>
              <w:rPr>
                <w:rFonts w:ascii="宋体" w:hAnsi="宋体" w:cs="宋体"/>
                <w:color w:val="auto"/>
                <w:kern w:val="0"/>
                <w:szCs w:val="21"/>
              </w:rPr>
            </w:pPr>
            <w:r>
              <w:rPr>
                <w:rFonts w:hint="eastAsia" w:ascii="宋体" w:hAnsi="宋体" w:cs="宋体"/>
                <w:color w:val="auto"/>
                <w:kern w:val="0"/>
                <w:szCs w:val="21"/>
              </w:rPr>
              <w:t>简要采购需求：本项目包括防冲撞控制系统，人脸识别系统等；详见第二章采购需求中的内容。</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Arial"/>
                <w:bCs/>
                <w:color w:val="auto"/>
                <w:szCs w:val="21"/>
              </w:rPr>
            </w:pPr>
            <w:r>
              <w:rPr>
                <w:rFonts w:hint="eastAsia" w:ascii="宋体" w:hAnsi="宋体" w:cs="Arial"/>
                <w:bCs/>
                <w:color w:val="auto"/>
                <w:szCs w:val="21"/>
              </w:rPr>
              <w:t>108万元人民币</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s="Arial"/>
                <w:bCs/>
                <w:color w:val="auto"/>
                <w:szCs w:val="21"/>
              </w:rPr>
            </w:pPr>
            <w:r>
              <w:rPr>
                <w:rFonts w:hint="eastAsia" w:ascii="宋体" w:hAnsi="宋体" w:cs="Arial"/>
                <w:bCs/>
                <w:color w:val="auto"/>
                <w:szCs w:val="21"/>
              </w:rPr>
              <w:t>105.7万元人民币</w:t>
            </w:r>
          </w:p>
        </w:tc>
      </w:tr>
    </w:tbl>
    <w:p>
      <w:pPr>
        <w:snapToGrid w:val="0"/>
        <w:spacing w:line="360" w:lineRule="auto"/>
        <w:rPr>
          <w:rFonts w:ascii="宋体" w:hAnsi="宋体" w:cs="Arial"/>
          <w:bCs/>
          <w:color w:val="auto"/>
          <w:szCs w:val="21"/>
        </w:rPr>
      </w:pPr>
    </w:p>
    <w:p>
      <w:pPr>
        <w:snapToGrid w:val="0"/>
        <w:spacing w:line="360" w:lineRule="auto"/>
        <w:ind w:firstLine="420" w:firstLineChars="200"/>
        <w:rPr>
          <w:rFonts w:ascii="宋体" w:hAnsi="宋体" w:cs="Arial"/>
          <w:bCs/>
          <w:color w:val="auto"/>
          <w:szCs w:val="21"/>
        </w:rPr>
      </w:pPr>
      <w:r>
        <w:rPr>
          <w:rFonts w:hint="eastAsia" w:ascii="宋体" w:hAnsi="宋体"/>
          <w:color w:val="auto"/>
          <w:szCs w:val="21"/>
        </w:rPr>
        <w:t>▲</w:t>
      </w:r>
      <w:r>
        <w:rPr>
          <w:rFonts w:hint="eastAsia" w:ascii="宋体" w:hAnsi="宋体" w:cs="Arial"/>
          <w:color w:val="auto"/>
          <w:szCs w:val="21"/>
        </w:rPr>
        <w:t>五、</w:t>
      </w:r>
      <w:r>
        <w:rPr>
          <w:rFonts w:hint="eastAsia" w:ascii="宋体" w:hAnsi="宋体" w:cs="Arial"/>
          <w:bCs/>
          <w:color w:val="auto"/>
          <w:szCs w:val="21"/>
        </w:rPr>
        <w:t>合格投标人的资格要求</w:t>
      </w:r>
    </w:p>
    <w:p>
      <w:pPr>
        <w:spacing w:line="360" w:lineRule="auto"/>
        <w:ind w:firstLine="630" w:firstLineChars="300"/>
        <w:rPr>
          <w:rFonts w:hint="eastAsia" w:ascii="宋体" w:hAnsi="宋体" w:cs="宋体"/>
          <w:color w:val="auto"/>
          <w:szCs w:val="21"/>
        </w:rPr>
      </w:pPr>
      <w:r>
        <w:rPr>
          <w:rFonts w:hint="eastAsia" w:ascii="宋体" w:hAnsi="宋体"/>
          <w:color w:val="auto"/>
          <w:szCs w:val="21"/>
        </w:rPr>
        <w:t>(</w:t>
      </w:r>
      <w:r>
        <w:rPr>
          <w:rFonts w:hint="eastAsia" w:ascii="宋体" w:hAnsi="宋体" w:cs="Arial"/>
          <w:color w:val="auto"/>
          <w:szCs w:val="21"/>
        </w:rPr>
        <w:t>一</w:t>
      </w:r>
      <w:r>
        <w:rPr>
          <w:rFonts w:hint="eastAsia" w:ascii="宋体" w:hAnsi="宋体"/>
          <w:color w:val="auto"/>
          <w:szCs w:val="21"/>
        </w:rPr>
        <w:t>)</w:t>
      </w:r>
      <w:r>
        <w:rPr>
          <w:rFonts w:ascii="宋体" w:hAnsi="宋体" w:cs="Arial"/>
          <w:color w:val="auto"/>
          <w:szCs w:val="21"/>
        </w:rPr>
        <w:t>符合</w:t>
      </w:r>
      <w:r>
        <w:rPr>
          <w:rFonts w:hint="eastAsia" w:ascii="宋体" w:hAnsi="宋体" w:cs="Arial"/>
          <w:color w:val="auto"/>
          <w:szCs w:val="21"/>
        </w:rPr>
        <w:t>《中华人民共和国</w:t>
      </w:r>
      <w:r>
        <w:rPr>
          <w:rFonts w:ascii="宋体" w:hAnsi="宋体" w:cs="Arial"/>
          <w:color w:val="auto"/>
          <w:szCs w:val="21"/>
        </w:rPr>
        <w:t>政府采购法</w:t>
      </w:r>
      <w:r>
        <w:rPr>
          <w:rFonts w:hint="eastAsia" w:ascii="宋体" w:hAnsi="宋体" w:cs="Arial"/>
          <w:color w:val="auto"/>
          <w:szCs w:val="21"/>
        </w:rPr>
        <w:t>》</w:t>
      </w:r>
      <w:r>
        <w:rPr>
          <w:rFonts w:ascii="宋体" w:hAnsi="宋体" w:cs="Arial"/>
          <w:color w:val="auto"/>
          <w:szCs w:val="21"/>
        </w:rPr>
        <w:t>第二十二条</w:t>
      </w:r>
      <w:r>
        <w:rPr>
          <w:rFonts w:hint="eastAsia" w:ascii="宋体" w:hAnsi="宋体" w:cs="Arial"/>
          <w:color w:val="auto"/>
          <w:szCs w:val="21"/>
        </w:rPr>
        <w:t>第一款</w:t>
      </w:r>
      <w:r>
        <w:rPr>
          <w:rFonts w:ascii="宋体" w:hAnsi="宋体" w:cs="Arial"/>
          <w:color w:val="auto"/>
          <w:szCs w:val="21"/>
        </w:rPr>
        <w:t>规定的</w:t>
      </w:r>
      <w:r>
        <w:rPr>
          <w:rFonts w:hint="eastAsia" w:ascii="宋体" w:hAnsi="宋体" w:cs="Arial"/>
          <w:color w:val="auto"/>
          <w:szCs w:val="21"/>
        </w:rPr>
        <w:t>下列</w:t>
      </w:r>
      <w:r>
        <w:rPr>
          <w:rFonts w:ascii="宋体" w:hAnsi="宋体" w:cs="Arial"/>
          <w:color w:val="auto"/>
          <w:szCs w:val="21"/>
        </w:rPr>
        <w:t>投标人资格条件</w:t>
      </w:r>
      <w:r>
        <w:rPr>
          <w:rFonts w:hint="eastAsia" w:ascii="宋体" w:hAnsi="宋体" w:cs="宋体"/>
          <w:color w:val="auto"/>
          <w:szCs w:val="21"/>
        </w:rPr>
        <w:t>，</w:t>
      </w:r>
      <w:r>
        <w:rPr>
          <w:rFonts w:hint="eastAsia" w:ascii="宋体" w:hAnsi="宋体" w:cs="宋体"/>
          <w:color w:val="auto"/>
          <w:kern w:val="0"/>
          <w:szCs w:val="21"/>
        </w:rPr>
        <w:t>且</w:t>
      </w:r>
      <w:r>
        <w:rPr>
          <w:rFonts w:hint="eastAsia" w:ascii="宋体" w:hAnsi="宋体" w:cs="宋体"/>
          <w:color w:val="auto"/>
        </w:rPr>
        <w:t>投标人未被列入“信用中国”网站(</w:t>
      </w:r>
      <w:r>
        <w:rPr>
          <w:color w:val="auto"/>
        </w:rPr>
        <w:fldChar w:fldCharType="begin"/>
      </w:r>
      <w:r>
        <w:rPr>
          <w:color w:val="auto"/>
        </w:rPr>
        <w:instrText xml:space="preserve">HYPERLINK "http://www.creditchina.gov.cn"</w:instrText>
      </w:r>
      <w:r>
        <w:rPr>
          <w:color w:val="auto"/>
        </w:rPr>
        <w:fldChar w:fldCharType="separate"/>
      </w:r>
      <w:r>
        <w:rPr>
          <w:rStyle w:val="55"/>
          <w:rFonts w:hint="eastAsia" w:hAnsi="宋体" w:cs="宋体"/>
          <w:color w:val="auto"/>
        </w:rPr>
        <w:t>www.creditchina.gov.cn</w:t>
      </w:r>
      <w:r>
        <w:rPr>
          <w:color w:val="auto"/>
        </w:rPr>
        <w:fldChar w:fldCharType="end"/>
      </w:r>
      <w:r>
        <w:rPr>
          <w:rFonts w:hint="eastAsia" w:ascii="宋体" w:hAnsi="宋体" w:cs="宋体"/>
          <w:color w:val="auto"/>
        </w:rPr>
        <w:t>)中的“失信被执行人或重大税收违法案件当事人名单或政府采购严重违法失信名单”，不处于中国政府采购网(www.ccgp.gov.cn)“</w:t>
      </w:r>
      <w:r>
        <w:rPr>
          <w:rFonts w:hint="eastAsia" w:ascii="微软雅黑" w:hAnsi="微软雅黑" w:eastAsia="微软雅黑"/>
          <w:color w:val="auto"/>
          <w:sz w:val="19"/>
          <w:szCs w:val="19"/>
        </w:rPr>
        <w:t> </w:t>
      </w:r>
      <w:r>
        <w:rPr>
          <w:color w:val="auto"/>
        </w:rPr>
        <w:fldChar w:fldCharType="begin"/>
      </w:r>
      <w:r>
        <w:rPr>
          <w:color w:val="auto"/>
        </w:rPr>
        <w:instrText xml:space="preserve">HYPERLINK "http://www.ccgp.gov.cn/search/cr/" \o "政府采购严重违法失信行为记录名单"</w:instrText>
      </w:r>
      <w:r>
        <w:rPr>
          <w:color w:val="auto"/>
        </w:rPr>
        <w:fldChar w:fldCharType="separate"/>
      </w:r>
      <w:r>
        <w:rPr>
          <w:rStyle w:val="55"/>
          <w:color w:val="auto"/>
        </w:rPr>
        <w:t>政府采购严重违法失信行为记录名单</w:t>
      </w:r>
      <w:r>
        <w:rPr>
          <w:color w:val="auto"/>
        </w:rPr>
        <w:fldChar w:fldCharType="end"/>
      </w:r>
      <w:r>
        <w:rPr>
          <w:rFonts w:hint="eastAsia" w:ascii="宋体" w:hAnsi="宋体" w:cs="宋体"/>
          <w:color w:val="auto"/>
        </w:rPr>
        <w:t>”处罚结果确定为禁止参加政府采购活动期间。</w:t>
      </w:r>
      <w:r>
        <w:rPr>
          <w:rFonts w:hint="eastAsia"/>
          <w:color w:val="auto"/>
          <w:shd w:val="clear" w:color="auto" w:fill="FFFFFF"/>
        </w:rPr>
        <w:t>（以采购代理机构于投标截止日当天在信用中国网站及中国政府采购网查询结果为准；若在开标当天因不可抗力事件导致无法查询且一时无法恢复查询的，可在中标公示期间对中标候选人进行事后查询。中标候选人被列入失信被执行人或重大税收违法案件当事人名单</w:t>
      </w:r>
      <w:r>
        <w:rPr>
          <w:rFonts w:hint="eastAsia" w:ascii="宋体" w:hAnsi="宋体" w:cs="宋体"/>
          <w:color w:val="auto"/>
        </w:rPr>
        <w:t>或政府采购严重违法失信名单</w:t>
      </w:r>
      <w:r>
        <w:rPr>
          <w:rFonts w:hint="eastAsia"/>
          <w:color w:val="auto"/>
          <w:shd w:val="clear" w:color="auto" w:fill="FFFFFF"/>
        </w:rPr>
        <w:t>、政府采购严重违法失信行为记录名单</w:t>
      </w:r>
      <w:r>
        <w:rPr>
          <w:rFonts w:hint="eastAsia" w:ascii="宋体" w:hAnsi="宋体" w:cs="宋体"/>
          <w:color w:val="auto"/>
        </w:rPr>
        <w:t>处罚结果确定为禁止参加政府采购活动期间的</w:t>
      </w:r>
      <w:r>
        <w:rPr>
          <w:rFonts w:hint="eastAsia"/>
          <w:color w:val="auto"/>
          <w:shd w:val="clear" w:color="auto" w:fill="FFFFFF"/>
        </w:rPr>
        <w:t>，采购人将依法取消其中标资格。）。</w:t>
      </w:r>
    </w:p>
    <w:p>
      <w:pPr>
        <w:spacing w:line="360" w:lineRule="auto"/>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rPr>
        <w:t>．具有独立承担民事责任的能力；</w:t>
      </w:r>
    </w:p>
    <w:p>
      <w:pPr>
        <w:spacing w:line="360" w:lineRule="auto"/>
        <w:rPr>
          <w:rFonts w:ascii="宋体" w:hAnsi="宋体" w:cs="宋体"/>
          <w:color w:val="auto"/>
          <w:szCs w:val="21"/>
        </w:rPr>
      </w:pPr>
      <w:r>
        <w:rPr>
          <w:rFonts w:ascii="宋体" w:hAnsi="宋体" w:cs="宋体"/>
          <w:color w:val="auto"/>
          <w:szCs w:val="21"/>
        </w:rPr>
        <w:t>2</w:t>
      </w:r>
      <w:r>
        <w:rPr>
          <w:rFonts w:hint="eastAsia" w:ascii="宋体" w:hAnsi="宋体" w:cs="宋体"/>
          <w:color w:val="auto"/>
          <w:szCs w:val="21"/>
        </w:rPr>
        <w:t>．具有良好的商业信誉和健全的财务会计制度；</w:t>
      </w:r>
    </w:p>
    <w:p>
      <w:pPr>
        <w:spacing w:line="360" w:lineRule="auto"/>
        <w:rPr>
          <w:rFonts w:ascii="宋体" w:hAnsi="宋体" w:cs="宋体"/>
          <w:color w:val="auto"/>
          <w:szCs w:val="21"/>
        </w:rPr>
      </w:pPr>
      <w:r>
        <w:rPr>
          <w:rFonts w:ascii="宋体" w:hAnsi="宋体" w:cs="宋体"/>
          <w:color w:val="auto"/>
          <w:szCs w:val="21"/>
        </w:rPr>
        <w:t>3</w:t>
      </w:r>
      <w:r>
        <w:rPr>
          <w:rFonts w:hint="eastAsia" w:ascii="宋体" w:hAnsi="宋体" w:cs="宋体"/>
          <w:color w:val="auto"/>
          <w:szCs w:val="21"/>
        </w:rPr>
        <w:t>．具有履行合同所必需的设备和专业技术能力；</w:t>
      </w:r>
    </w:p>
    <w:p>
      <w:pPr>
        <w:spacing w:line="360" w:lineRule="auto"/>
        <w:rPr>
          <w:rFonts w:ascii="宋体" w:hAnsi="宋体" w:cs="宋体"/>
          <w:color w:val="auto"/>
          <w:szCs w:val="21"/>
        </w:rPr>
      </w:pPr>
      <w:r>
        <w:rPr>
          <w:rFonts w:ascii="宋体" w:hAnsi="宋体" w:cs="宋体"/>
          <w:color w:val="auto"/>
          <w:szCs w:val="21"/>
        </w:rPr>
        <w:t>4</w:t>
      </w:r>
      <w:r>
        <w:rPr>
          <w:rFonts w:hint="eastAsia" w:ascii="宋体" w:hAnsi="宋体" w:cs="宋体"/>
          <w:color w:val="auto"/>
          <w:szCs w:val="21"/>
        </w:rPr>
        <w:t>．有依法缴纳税收和社会保障资金的良好记录；</w:t>
      </w:r>
    </w:p>
    <w:p>
      <w:pPr>
        <w:spacing w:line="360" w:lineRule="auto"/>
        <w:rPr>
          <w:rFonts w:hint="eastAsia" w:ascii="宋体" w:hAnsi="宋体" w:cs="宋体"/>
          <w:color w:val="auto"/>
          <w:szCs w:val="21"/>
        </w:rPr>
      </w:pPr>
      <w:r>
        <w:rPr>
          <w:rFonts w:ascii="宋体" w:hAnsi="宋体" w:cs="宋体"/>
          <w:color w:val="auto"/>
          <w:szCs w:val="21"/>
        </w:rPr>
        <w:t>5</w:t>
      </w:r>
      <w:r>
        <w:rPr>
          <w:rFonts w:hint="eastAsia" w:ascii="宋体" w:hAnsi="宋体" w:cs="宋体"/>
          <w:color w:val="auto"/>
          <w:szCs w:val="21"/>
        </w:rPr>
        <w:t>．参加本政府采购活动前三年内，</w:t>
      </w:r>
      <w:r>
        <w:rPr>
          <w:rFonts w:ascii="宋体" w:hAnsi="宋体" w:cs="宋体"/>
          <w:color w:val="auto"/>
          <w:kern w:val="0"/>
          <w:szCs w:val="21"/>
        </w:rPr>
        <w:t>在经营活动中没有重大违法记录</w:t>
      </w:r>
      <w:r>
        <w:rPr>
          <w:rFonts w:hint="eastAsia" w:ascii="宋体" w:hAnsi="宋体" w:cs="宋体"/>
          <w:color w:val="auto"/>
          <w:szCs w:val="21"/>
        </w:rPr>
        <w:t>。</w:t>
      </w:r>
    </w:p>
    <w:p>
      <w:pPr>
        <w:widowControl/>
        <w:kinsoku w:val="0"/>
        <w:spacing w:line="360" w:lineRule="auto"/>
        <w:ind w:firstLine="315" w:firstLineChars="150"/>
        <w:jc w:val="left"/>
        <w:rPr>
          <w:rFonts w:hint="eastAsia" w:ascii="宋体" w:hAnsi="宋体" w:cs="宋体"/>
          <w:color w:val="auto"/>
          <w:kern w:val="0"/>
          <w:szCs w:val="21"/>
        </w:rPr>
      </w:pPr>
      <w:r>
        <w:rPr>
          <w:rFonts w:ascii="宋体" w:hAnsi="宋体" w:cs="宋体"/>
          <w:color w:val="auto"/>
          <w:kern w:val="0"/>
          <w:szCs w:val="21"/>
        </w:rPr>
        <w:t>重大违法记录</w:t>
      </w:r>
      <w:r>
        <w:rPr>
          <w:rFonts w:hint="eastAsia" w:ascii="宋体" w:hAnsi="宋体" w:cs="宋体"/>
          <w:color w:val="auto"/>
          <w:kern w:val="0"/>
          <w:szCs w:val="21"/>
        </w:rPr>
        <w:t>是指供应商因违法经营受到刑事处罚或者责令停产停业、吊销许可证或者执照、较大数额罚款等行政处罚。</w:t>
      </w:r>
    </w:p>
    <w:p>
      <w:pPr>
        <w:snapToGrid w:val="0"/>
        <w:spacing w:line="360" w:lineRule="auto"/>
        <w:ind w:firstLine="210" w:firstLineChars="100"/>
        <w:rPr>
          <w:rFonts w:hint="eastAsia" w:ascii="宋体" w:hAnsi="宋体"/>
          <w:bCs/>
          <w:color w:val="auto"/>
          <w:szCs w:val="21"/>
        </w:rPr>
      </w:pPr>
      <w:r>
        <w:rPr>
          <w:rFonts w:hint="eastAsia" w:ascii="宋体" w:hAnsi="宋体"/>
          <w:color w:val="auto"/>
          <w:szCs w:val="21"/>
        </w:rPr>
        <w:t xml:space="preserve"> (二)</w:t>
      </w:r>
      <w:r>
        <w:rPr>
          <w:rFonts w:hint="eastAsia" w:ascii="宋体" w:hAnsi="宋体"/>
          <w:bCs/>
          <w:color w:val="auto"/>
          <w:szCs w:val="21"/>
        </w:rPr>
        <w:t>投标人的特定条件：</w:t>
      </w:r>
    </w:p>
    <w:p>
      <w:pPr>
        <w:snapToGrid w:val="0"/>
        <w:spacing w:line="360" w:lineRule="auto"/>
        <w:rPr>
          <w:rFonts w:hint="eastAsia" w:ascii="宋体" w:hAnsi="宋体" w:cs="Arial"/>
          <w:color w:val="auto"/>
          <w:szCs w:val="21"/>
        </w:rPr>
      </w:pPr>
      <w:r>
        <w:rPr>
          <w:rFonts w:hint="eastAsia" w:ascii="宋体" w:hAnsi="宋体" w:cs="Arial"/>
          <w:color w:val="auto"/>
          <w:szCs w:val="21"/>
        </w:rPr>
        <w:t>1.</w:t>
      </w:r>
      <w:r>
        <w:rPr>
          <w:rFonts w:hint="eastAsia" w:ascii="宋体" w:hAnsi="宋体"/>
          <w:b/>
          <w:color w:val="auto"/>
          <w:szCs w:val="21"/>
        </w:rPr>
        <w:t xml:space="preserve"> 单位负责人为同一人或者存在直接控股、管理关系的不同供应商，不得参加本项目的政府采购活动。为本采购项目提供整体设计、规范编制或者项目管理、监理、检测等服务的供应商，不得再参加本采购项目的投标。</w:t>
      </w:r>
    </w:p>
    <w:p>
      <w:pPr>
        <w:snapToGrid w:val="0"/>
        <w:spacing w:line="360" w:lineRule="auto"/>
        <w:rPr>
          <w:rFonts w:hint="eastAsia" w:ascii="宋体" w:hAnsi="宋体" w:cs="Arial"/>
          <w:color w:val="auto"/>
          <w:szCs w:val="21"/>
        </w:rPr>
      </w:pPr>
      <w:r>
        <w:rPr>
          <w:rFonts w:hint="eastAsia" w:ascii="宋体" w:hAnsi="宋体" w:cs="Arial"/>
          <w:color w:val="auto"/>
          <w:szCs w:val="21"/>
        </w:rPr>
        <w:t>2.本项目不接受联合体投标。</w:t>
      </w:r>
    </w:p>
    <w:p>
      <w:pPr>
        <w:snapToGrid w:val="0"/>
        <w:spacing w:line="360" w:lineRule="auto"/>
        <w:ind w:firstLine="472" w:firstLineChars="225"/>
        <w:rPr>
          <w:rFonts w:ascii="宋体" w:hAnsi="宋体" w:cs="Arial"/>
          <w:color w:val="auto"/>
          <w:szCs w:val="21"/>
        </w:rPr>
      </w:pPr>
      <w:r>
        <w:rPr>
          <w:rFonts w:hint="eastAsia" w:ascii="宋体" w:hAnsi="宋体" w:cs="Arial"/>
          <w:color w:val="auto"/>
          <w:szCs w:val="21"/>
        </w:rPr>
        <w:t>本项目采用资格后审。</w:t>
      </w:r>
    </w:p>
    <w:p>
      <w:pPr>
        <w:snapToGrid w:val="0"/>
        <w:spacing w:line="360" w:lineRule="auto"/>
        <w:ind w:firstLine="472" w:firstLineChars="225"/>
        <w:rPr>
          <w:rFonts w:ascii="宋体" w:hAnsi="宋体" w:cs="Arial"/>
          <w:color w:val="auto"/>
          <w:szCs w:val="21"/>
        </w:rPr>
      </w:pPr>
      <w:r>
        <w:rPr>
          <w:rFonts w:hint="eastAsia" w:ascii="宋体" w:hAnsi="宋体" w:cs="Arial"/>
          <w:bCs/>
          <w:color w:val="auto"/>
          <w:szCs w:val="21"/>
        </w:rPr>
        <w:t>六、采购文件的发售</w:t>
      </w:r>
      <w:r>
        <w:rPr>
          <w:rFonts w:hint="eastAsia" w:ascii="宋体" w:hAnsi="宋体" w:cs="Arial"/>
          <w:color w:val="auto"/>
          <w:szCs w:val="21"/>
        </w:rPr>
        <w:t>：</w:t>
      </w:r>
    </w:p>
    <w:p>
      <w:pPr>
        <w:kinsoku w:val="0"/>
        <w:snapToGrid w:val="0"/>
        <w:spacing w:line="360" w:lineRule="auto"/>
        <w:rPr>
          <w:rFonts w:hint="eastAsia" w:ascii="宋体" w:hAnsi="宋体"/>
          <w:color w:val="auto"/>
          <w:szCs w:val="21"/>
        </w:rPr>
      </w:pPr>
      <w:r>
        <w:rPr>
          <w:rFonts w:hint="eastAsia" w:ascii="宋体" w:hAnsi="宋体"/>
          <w:color w:val="auto"/>
          <w:szCs w:val="21"/>
        </w:rPr>
        <w:t>6.1、报名时间：2019年</w:t>
      </w:r>
      <w:r>
        <w:rPr>
          <w:rFonts w:hint="eastAsia" w:ascii="宋体" w:hAnsi="宋体"/>
          <w:color w:val="auto"/>
          <w:szCs w:val="21"/>
          <w:lang w:val="en-US" w:eastAsia="zh-CN"/>
        </w:rPr>
        <w:t>7</w:t>
      </w:r>
      <w:r>
        <w:rPr>
          <w:rFonts w:hint="eastAsia" w:ascii="宋体" w:hAnsi="宋体"/>
          <w:color w:val="auto"/>
          <w:szCs w:val="21"/>
        </w:rPr>
        <w:t>月</w:t>
      </w:r>
      <w:r>
        <w:rPr>
          <w:rFonts w:hint="eastAsia" w:ascii="宋体" w:hAnsi="宋体"/>
          <w:color w:val="auto"/>
          <w:szCs w:val="21"/>
          <w:lang w:val="en-US" w:eastAsia="zh-CN"/>
        </w:rPr>
        <w:t>9日</w:t>
      </w:r>
      <w:r>
        <w:rPr>
          <w:rFonts w:hint="eastAsia" w:ascii="宋体" w:hAnsi="宋体"/>
          <w:color w:val="auto"/>
          <w:szCs w:val="21"/>
        </w:rPr>
        <w:t>至2019年7月</w:t>
      </w:r>
      <w:r>
        <w:rPr>
          <w:rFonts w:hint="eastAsia" w:ascii="宋体" w:hAnsi="宋体"/>
          <w:color w:val="auto"/>
          <w:szCs w:val="21"/>
          <w:lang w:val="en-US" w:eastAsia="zh-CN"/>
        </w:rPr>
        <w:t>16日1</w:t>
      </w:r>
      <w:r>
        <w:rPr>
          <w:rFonts w:hint="eastAsia" w:ascii="宋体" w:hAnsi="宋体"/>
          <w:color w:val="auto"/>
          <w:szCs w:val="21"/>
        </w:rPr>
        <w:t>6:30时止。</w:t>
      </w:r>
    </w:p>
    <w:p>
      <w:pPr>
        <w:kinsoku w:val="0"/>
        <w:snapToGrid w:val="0"/>
        <w:spacing w:line="360" w:lineRule="auto"/>
        <w:rPr>
          <w:rFonts w:hint="eastAsia" w:ascii="宋体" w:hAnsi="宋体"/>
          <w:color w:val="auto"/>
          <w:szCs w:val="21"/>
        </w:rPr>
      </w:pPr>
      <w:r>
        <w:rPr>
          <w:rFonts w:hint="eastAsia" w:ascii="宋体" w:hAnsi="宋体"/>
          <w:color w:val="auto"/>
          <w:szCs w:val="21"/>
        </w:rPr>
        <w:t>6.2、报名方式：本项目实行网上报名，不接受现场报名。供应商直接登陆“浙江政府采购云平台”（http://www.zcy.gov.cn/）进行网上报名并下载电子采购文件。</w:t>
      </w:r>
    </w:p>
    <w:p>
      <w:pPr>
        <w:kinsoku w:val="0"/>
        <w:snapToGrid w:val="0"/>
        <w:spacing w:line="360" w:lineRule="auto"/>
        <w:ind w:firstLine="420" w:firstLineChars="200"/>
        <w:rPr>
          <w:rFonts w:hint="eastAsia" w:ascii="宋体" w:hAnsi="宋体"/>
          <w:color w:val="auto"/>
          <w:szCs w:val="21"/>
        </w:rPr>
      </w:pPr>
      <w:r>
        <w:rPr>
          <w:rFonts w:hint="eastAsia" w:ascii="宋体" w:hAnsi="宋体"/>
          <w:color w:val="auto"/>
          <w:szCs w:val="21"/>
        </w:rPr>
        <w:t>《供应商网上报名操作指南》网址：浙江政府采购网，位置：“首页-办事指南-省采中心-网上报名”（http://www.zjzfcg.gov.cn/bs_other/2018-03-30/12002.html）。</w:t>
      </w:r>
    </w:p>
    <w:p>
      <w:pPr>
        <w:kinsoku w:val="0"/>
        <w:snapToGrid w:val="0"/>
        <w:spacing w:line="360" w:lineRule="auto"/>
        <w:rPr>
          <w:rFonts w:hint="eastAsia" w:ascii="宋体" w:hAnsi="宋体"/>
          <w:color w:val="auto"/>
          <w:szCs w:val="21"/>
        </w:rPr>
      </w:pPr>
      <w:r>
        <w:rPr>
          <w:rFonts w:hint="eastAsia" w:ascii="宋体" w:hAnsi="宋体"/>
          <w:color w:val="auto"/>
          <w:szCs w:val="21"/>
        </w:rPr>
        <w:t>6.3、供应商需按照《浙江省政府采购供应商注册及诚信管理暂行办法》规定在“浙江政府采购网(http://www.zjzfcg.gov.cn)”政采云平台注册登记，成为浙江省政府采购注册供应商。如未注册的供应商，请注意注册所需时间。政采云供应商注册指南具体见：http://ggzy.cixi.gov.cn/art/2018/8/27/art_5590_1519947.html。</w:t>
      </w:r>
    </w:p>
    <w:p>
      <w:pPr>
        <w:kinsoku w:val="0"/>
        <w:snapToGrid w:val="0"/>
        <w:spacing w:line="360" w:lineRule="auto"/>
        <w:rPr>
          <w:rFonts w:hint="eastAsia" w:ascii="宋体" w:hAnsi="宋体"/>
          <w:color w:val="auto"/>
          <w:szCs w:val="21"/>
        </w:rPr>
      </w:pPr>
      <w:r>
        <w:rPr>
          <w:rFonts w:hint="eastAsia" w:ascii="宋体" w:hAnsi="宋体"/>
          <w:color w:val="auto"/>
          <w:szCs w:val="21"/>
        </w:rPr>
        <w:t>6.4、采购文件售价：每套500元人民币，售后不退；采购文件请至公告附件处下载。</w:t>
      </w:r>
    </w:p>
    <w:p>
      <w:pPr>
        <w:kinsoku w:val="0"/>
        <w:snapToGrid w:val="0"/>
        <w:spacing w:line="360" w:lineRule="auto"/>
        <w:rPr>
          <w:rFonts w:hint="eastAsia" w:ascii="宋体" w:hAnsi="宋体"/>
          <w:color w:val="auto"/>
          <w:szCs w:val="21"/>
        </w:rPr>
      </w:pPr>
      <w:r>
        <w:rPr>
          <w:rFonts w:hint="eastAsia" w:ascii="宋体" w:hAnsi="宋体"/>
          <w:color w:val="auto"/>
          <w:szCs w:val="21"/>
        </w:rPr>
        <w:t>6.5、其他：标书费由各投标人在开标现场（投标截止时间前）缴纳至采购代理机构处。</w:t>
      </w:r>
    </w:p>
    <w:p>
      <w:pPr>
        <w:pStyle w:val="28"/>
        <w:adjustRightInd w:val="0"/>
        <w:spacing w:line="360" w:lineRule="auto"/>
        <w:ind w:firstLine="473"/>
        <w:rPr>
          <w:rFonts w:hint="eastAsia" w:ascii="宋体" w:cs="Times New Roman"/>
          <w:b w:val="0"/>
          <w:bCs w:val="0"/>
          <w:color w:val="auto"/>
          <w:sz w:val="21"/>
          <w:szCs w:val="21"/>
        </w:rPr>
      </w:pPr>
      <w:r>
        <w:rPr>
          <w:rFonts w:hint="eastAsia" w:ascii="宋体"/>
          <w:b w:val="0"/>
          <w:color w:val="auto"/>
          <w:sz w:val="21"/>
          <w:szCs w:val="21"/>
        </w:rPr>
        <w:t>七、投标保证金：</w:t>
      </w:r>
      <w:r>
        <w:rPr>
          <w:rFonts w:hint="eastAsia" w:ascii="宋体"/>
          <w:b w:val="0"/>
          <w:color w:val="auto"/>
          <w:sz w:val="21"/>
          <w:szCs w:val="21"/>
          <w:lang w:val="en-US" w:eastAsia="zh-CN"/>
        </w:rPr>
        <w:t>2</w:t>
      </w:r>
      <w:r>
        <w:rPr>
          <w:rFonts w:hint="eastAsia" w:ascii="宋体"/>
          <w:b w:val="0"/>
          <w:color w:val="auto"/>
          <w:sz w:val="21"/>
          <w:szCs w:val="21"/>
        </w:rPr>
        <w:t>0000</w:t>
      </w:r>
      <w:r>
        <w:rPr>
          <w:rFonts w:hint="eastAsia" w:ascii="宋体" w:cs="Times New Roman"/>
          <w:b w:val="0"/>
          <w:bCs w:val="0"/>
          <w:color w:val="auto"/>
          <w:sz w:val="21"/>
          <w:szCs w:val="21"/>
        </w:rPr>
        <w:t xml:space="preserve">元人民币。 </w:t>
      </w:r>
      <w:r>
        <w:rPr>
          <w:rFonts w:ascii="宋体" w:cs="Times New Roman"/>
          <w:b w:val="0"/>
          <w:bCs w:val="0"/>
          <w:color w:val="auto"/>
          <w:sz w:val="21"/>
          <w:szCs w:val="21"/>
        </w:rPr>
        <w:t>投标人</w:t>
      </w:r>
      <w:r>
        <w:rPr>
          <w:rFonts w:hint="eastAsia" w:ascii="宋体" w:cs="Times New Roman"/>
          <w:b w:val="0"/>
          <w:bCs w:val="0"/>
          <w:color w:val="auto"/>
          <w:sz w:val="21"/>
          <w:szCs w:val="21"/>
        </w:rPr>
        <w:t>须</w:t>
      </w:r>
      <w:r>
        <w:rPr>
          <w:rFonts w:ascii="宋体" w:cs="Times New Roman"/>
          <w:b w:val="0"/>
          <w:bCs w:val="0"/>
          <w:color w:val="auto"/>
          <w:sz w:val="21"/>
          <w:szCs w:val="21"/>
        </w:rPr>
        <w:t>于2019年</w:t>
      </w:r>
      <w:r>
        <w:rPr>
          <w:rFonts w:hint="eastAsia" w:ascii="宋体" w:cs="Times New Roman"/>
          <w:b w:val="0"/>
          <w:bCs w:val="0"/>
          <w:color w:val="auto"/>
          <w:sz w:val="21"/>
          <w:szCs w:val="21"/>
        </w:rPr>
        <w:t>7月</w:t>
      </w:r>
      <w:r>
        <w:rPr>
          <w:rFonts w:hint="eastAsia" w:ascii="宋体" w:cs="Times New Roman"/>
          <w:b w:val="0"/>
          <w:bCs w:val="0"/>
          <w:color w:val="auto"/>
          <w:sz w:val="21"/>
          <w:szCs w:val="21"/>
          <w:lang w:val="en-US" w:eastAsia="zh-CN"/>
        </w:rPr>
        <w:t>2</w:t>
      </w:r>
      <w:r>
        <w:rPr>
          <w:rFonts w:hint="eastAsia" w:ascii="宋体" w:cs="Times New Roman"/>
          <w:b w:val="0"/>
          <w:bCs w:val="0"/>
          <w:color w:val="auto"/>
          <w:sz w:val="21"/>
          <w:szCs w:val="21"/>
          <w:lang w:val="en-US" w:eastAsia="zh-CN"/>
        </w:rPr>
        <w:t>9日1</w:t>
      </w:r>
      <w:r>
        <w:rPr>
          <w:rFonts w:hint="eastAsia" w:ascii="宋体" w:cs="Times New Roman"/>
          <w:b w:val="0"/>
          <w:bCs w:val="0"/>
          <w:color w:val="auto"/>
          <w:sz w:val="21"/>
          <w:szCs w:val="21"/>
        </w:rPr>
        <w:t>4</w:t>
      </w:r>
      <w:r>
        <w:rPr>
          <w:rFonts w:ascii="宋体" w:cs="Times New Roman"/>
          <w:b w:val="0"/>
          <w:bCs w:val="0"/>
          <w:color w:val="auto"/>
          <w:sz w:val="21"/>
          <w:szCs w:val="21"/>
        </w:rPr>
        <w:t>：</w:t>
      </w:r>
      <w:r>
        <w:rPr>
          <w:rFonts w:hint="eastAsia" w:ascii="宋体" w:cs="Times New Roman"/>
          <w:b w:val="0"/>
          <w:bCs w:val="0"/>
          <w:color w:val="auto"/>
          <w:sz w:val="21"/>
          <w:szCs w:val="21"/>
        </w:rPr>
        <w:t>00</w:t>
      </w:r>
      <w:r>
        <w:rPr>
          <w:rFonts w:ascii="宋体" w:cs="Times New Roman"/>
          <w:b w:val="0"/>
          <w:bCs w:val="0"/>
          <w:color w:val="auto"/>
          <w:sz w:val="21"/>
          <w:szCs w:val="21"/>
        </w:rPr>
        <w:t>（北京时间）前将投标保证金以支票、电汇形式交至</w:t>
      </w:r>
      <w:r>
        <w:rPr>
          <w:rFonts w:hint="eastAsia" w:ascii="宋体" w:cs="Times New Roman"/>
          <w:b w:val="0"/>
          <w:bCs w:val="0"/>
          <w:color w:val="auto"/>
          <w:sz w:val="21"/>
          <w:szCs w:val="21"/>
        </w:rPr>
        <w:t>代理机构（以实际到账为准）</w:t>
      </w:r>
      <w:r>
        <w:rPr>
          <w:rFonts w:ascii="宋体" w:cs="Times New Roman"/>
          <w:b w:val="0"/>
          <w:bCs w:val="0"/>
          <w:color w:val="auto"/>
          <w:sz w:val="21"/>
          <w:szCs w:val="21"/>
        </w:rPr>
        <w:t>，</w:t>
      </w:r>
      <w:r>
        <w:rPr>
          <w:rFonts w:hint="eastAsia" w:ascii="宋体" w:cs="Times New Roman"/>
          <w:b w:val="0"/>
          <w:bCs w:val="0"/>
          <w:color w:val="auto"/>
          <w:sz w:val="21"/>
          <w:szCs w:val="21"/>
        </w:rPr>
        <w:t>开户银行、户名、帐号，财务室联系人如下：</w:t>
      </w:r>
    </w:p>
    <w:p>
      <w:pPr>
        <w:pStyle w:val="28"/>
        <w:adjustRightInd w:val="0"/>
        <w:spacing w:line="360" w:lineRule="auto"/>
        <w:ind w:firstLine="0" w:firstLineChars="0"/>
        <w:rPr>
          <w:rFonts w:ascii="宋体" w:cs="Times New Roman"/>
          <w:b w:val="0"/>
          <w:bCs w:val="0"/>
          <w:color w:val="auto"/>
          <w:sz w:val="21"/>
          <w:szCs w:val="21"/>
        </w:rPr>
      </w:pPr>
      <w:r>
        <w:rPr>
          <w:rFonts w:hint="eastAsia" w:ascii="宋体" w:cs="Times New Roman"/>
          <w:b w:val="0"/>
          <w:bCs w:val="0"/>
          <w:color w:val="auto"/>
          <w:sz w:val="21"/>
          <w:szCs w:val="21"/>
        </w:rPr>
        <w:t xml:space="preserve">开户银行：宁波银行（实际转账开户行请选“宁波银行总行营业部”）  </w:t>
      </w:r>
    </w:p>
    <w:p>
      <w:pPr>
        <w:pStyle w:val="28"/>
        <w:adjustRightInd w:val="0"/>
        <w:spacing w:line="360" w:lineRule="auto"/>
        <w:ind w:firstLine="0" w:firstLineChars="0"/>
        <w:rPr>
          <w:rFonts w:ascii="宋体" w:cs="Times New Roman"/>
          <w:b w:val="0"/>
          <w:bCs w:val="0"/>
          <w:color w:val="auto"/>
          <w:sz w:val="21"/>
          <w:szCs w:val="21"/>
        </w:rPr>
      </w:pPr>
      <w:r>
        <w:rPr>
          <w:rFonts w:hint="eastAsia" w:ascii="宋体" w:cs="Times New Roman"/>
          <w:b w:val="0"/>
          <w:bCs w:val="0"/>
          <w:color w:val="auto"/>
          <w:sz w:val="21"/>
          <w:szCs w:val="21"/>
        </w:rPr>
        <w:t xml:space="preserve">户    名：宁波瑞林招标有限公司    </w:t>
      </w:r>
    </w:p>
    <w:p>
      <w:pPr>
        <w:pStyle w:val="28"/>
        <w:adjustRightInd w:val="0"/>
        <w:spacing w:line="360" w:lineRule="auto"/>
        <w:ind w:firstLine="0" w:firstLineChars="0"/>
        <w:rPr>
          <w:rFonts w:ascii="宋体" w:cs="Times New Roman"/>
          <w:b w:val="0"/>
          <w:bCs w:val="0"/>
          <w:color w:val="auto"/>
          <w:sz w:val="21"/>
          <w:szCs w:val="21"/>
        </w:rPr>
      </w:pPr>
      <w:r>
        <w:rPr>
          <w:rFonts w:hint="eastAsia" w:ascii="宋体" w:cs="Times New Roman"/>
          <w:b w:val="0"/>
          <w:bCs w:val="0"/>
          <w:color w:val="auto"/>
          <w:sz w:val="21"/>
          <w:szCs w:val="21"/>
        </w:rPr>
        <w:t>账    号：</w:t>
      </w:r>
      <w:r>
        <w:rPr>
          <w:rFonts w:ascii="宋体" w:cs="Times New Roman"/>
          <w:b w:val="0"/>
          <w:bCs w:val="0"/>
          <w:color w:val="auto"/>
          <w:sz w:val="21"/>
          <w:szCs w:val="21"/>
        </w:rPr>
        <w:t>12010122000560368</w:t>
      </w:r>
    </w:p>
    <w:p>
      <w:pPr>
        <w:widowControl/>
        <w:spacing w:line="360" w:lineRule="auto"/>
        <w:rPr>
          <w:rFonts w:ascii="宋体" w:hAnsi="宋体"/>
          <w:color w:val="auto"/>
          <w:szCs w:val="21"/>
        </w:rPr>
      </w:pPr>
      <w:r>
        <w:rPr>
          <w:rFonts w:hint="eastAsia" w:ascii="宋体" w:hAnsi="宋体"/>
          <w:color w:val="auto"/>
          <w:szCs w:val="21"/>
        </w:rPr>
        <w:t>财务室联系人:黄老师,联系电话：0574-28830072。</w:t>
      </w:r>
    </w:p>
    <w:p>
      <w:pPr>
        <w:snapToGrid w:val="0"/>
        <w:spacing w:line="360" w:lineRule="auto"/>
        <w:ind w:firstLine="420" w:firstLineChars="200"/>
        <w:rPr>
          <w:rFonts w:hint="eastAsia" w:ascii="宋体" w:hAnsi="宋体" w:cs="Arial"/>
          <w:color w:val="auto"/>
          <w:szCs w:val="21"/>
        </w:rPr>
      </w:pPr>
      <w:r>
        <w:rPr>
          <w:rFonts w:hint="eastAsia" w:ascii="宋体" w:hAnsi="宋体"/>
          <w:color w:val="auto"/>
          <w:szCs w:val="21"/>
        </w:rPr>
        <w:t>投标人须按上述要求，将投标保证金汇入。投标人在缴纳投标保证金时，务必在用途栏中注明投标项目编号。投标保证金</w:t>
      </w:r>
      <w:r>
        <w:rPr>
          <w:rFonts w:hint="eastAsia" w:ascii="宋体" w:hAnsi="宋体"/>
          <w:bCs/>
          <w:color w:val="auto"/>
          <w:szCs w:val="21"/>
        </w:rPr>
        <w:t>以实际到账</w:t>
      </w:r>
      <w:r>
        <w:rPr>
          <w:rFonts w:hint="eastAsia" w:ascii="宋体" w:hAnsi="宋体"/>
          <w:color w:val="auto"/>
          <w:szCs w:val="21"/>
        </w:rPr>
        <w:t>时间为准，投标人应充分考虑投标保证金汇（转）款手续办理时间、资金在途时间等，确保投标保证金按采购文件规定的时间到达保证金帐户。</w:t>
      </w:r>
    </w:p>
    <w:p>
      <w:pPr>
        <w:snapToGrid w:val="0"/>
        <w:spacing w:line="360" w:lineRule="auto"/>
        <w:ind w:firstLine="420" w:firstLineChars="200"/>
        <w:jc w:val="left"/>
        <w:rPr>
          <w:rFonts w:ascii="宋体" w:hAnsi="宋体" w:cs="Arial"/>
          <w:color w:val="auto"/>
          <w:szCs w:val="21"/>
        </w:rPr>
      </w:pPr>
      <w:r>
        <w:rPr>
          <w:rFonts w:hint="eastAsia" w:ascii="宋体" w:hAnsi="宋体" w:cs="Arial"/>
          <w:bCs/>
          <w:color w:val="auto"/>
          <w:szCs w:val="21"/>
        </w:rPr>
        <w:t>八、提交投标文件的截止时间和地点：</w:t>
      </w:r>
    </w:p>
    <w:p>
      <w:pPr>
        <w:snapToGrid w:val="0"/>
        <w:spacing w:line="360" w:lineRule="auto"/>
        <w:ind w:firstLine="420" w:firstLineChars="200"/>
        <w:jc w:val="left"/>
        <w:rPr>
          <w:rFonts w:ascii="宋体" w:hAnsi="宋体"/>
          <w:color w:val="auto"/>
          <w:szCs w:val="21"/>
        </w:rPr>
      </w:pPr>
      <w:r>
        <w:rPr>
          <w:rFonts w:hint="eastAsia" w:ascii="宋体" w:hAnsi="宋体"/>
          <w:color w:val="auto"/>
          <w:szCs w:val="21"/>
        </w:rPr>
        <w:t>投标人须于</w:t>
      </w:r>
      <w:r>
        <w:rPr>
          <w:rFonts w:hint="eastAsia" w:ascii="宋体" w:hAnsi="宋体" w:cs="Arial"/>
          <w:color w:val="auto"/>
          <w:szCs w:val="21"/>
          <w:u w:val="single"/>
        </w:rPr>
        <w:t>2019年7月</w:t>
      </w:r>
      <w:r>
        <w:rPr>
          <w:rFonts w:hint="eastAsia" w:ascii="宋体" w:hAnsi="宋体" w:cs="Arial"/>
          <w:color w:val="auto"/>
          <w:szCs w:val="21"/>
          <w:u w:val="single"/>
          <w:lang w:val="en-US" w:eastAsia="zh-CN"/>
        </w:rPr>
        <w:t>30日1</w:t>
      </w:r>
      <w:r>
        <w:rPr>
          <w:rFonts w:hint="eastAsia" w:ascii="宋体" w:hAnsi="宋体" w:cs="Arial"/>
          <w:color w:val="auto"/>
          <w:szCs w:val="21"/>
          <w:u w:val="single"/>
        </w:rPr>
        <w:t>4:00</w:t>
      </w:r>
      <w:r>
        <w:rPr>
          <w:rFonts w:hint="eastAsia" w:ascii="宋体" w:hAnsi="宋体"/>
          <w:color w:val="auto"/>
          <w:szCs w:val="21"/>
        </w:rPr>
        <w:t>（时间）前将投标文件密封送达到鄞州区行政服务中心开标大厅</w:t>
      </w:r>
      <w:r>
        <w:rPr>
          <w:rFonts w:ascii="宋体" w:hAnsi="宋体"/>
          <w:color w:val="auto"/>
          <w:szCs w:val="21"/>
        </w:rPr>
        <w:t>（</w:t>
      </w:r>
      <w:r>
        <w:rPr>
          <w:rFonts w:hint="eastAsia" w:ascii="宋体" w:hAnsi="宋体"/>
          <w:color w:val="auto"/>
          <w:szCs w:val="21"/>
        </w:rPr>
        <w:t>鄞州区惠江路567号，鄞州区妇儿医院对面，鄞州区行政服务中心5楼，具体开标厅号见大厅大屏幕</w:t>
      </w:r>
      <w:r>
        <w:rPr>
          <w:rFonts w:ascii="宋体" w:hAnsi="宋体"/>
          <w:color w:val="auto"/>
          <w:szCs w:val="21"/>
        </w:rPr>
        <w:t>）</w:t>
      </w:r>
      <w:r>
        <w:rPr>
          <w:rFonts w:hint="eastAsia" w:ascii="宋体" w:hAnsi="宋体"/>
          <w:color w:val="auto"/>
          <w:szCs w:val="21"/>
        </w:rPr>
        <w:t>，逾期送达或者未按照采购文件要求密封的投标文件，将被拒收。</w:t>
      </w:r>
    </w:p>
    <w:p>
      <w:pPr>
        <w:snapToGrid w:val="0"/>
        <w:spacing w:line="360" w:lineRule="auto"/>
        <w:ind w:firstLine="420" w:firstLineChars="200"/>
        <w:rPr>
          <w:rFonts w:ascii="宋体" w:hAnsi="宋体" w:cs="Arial"/>
          <w:color w:val="auto"/>
          <w:szCs w:val="21"/>
        </w:rPr>
      </w:pPr>
      <w:r>
        <w:rPr>
          <w:rFonts w:hint="eastAsia" w:ascii="宋体" w:hAnsi="宋体" w:cs="Arial"/>
          <w:bCs/>
          <w:color w:val="auto"/>
          <w:szCs w:val="21"/>
        </w:rPr>
        <w:t>九、开标时间及地点</w:t>
      </w:r>
      <w:r>
        <w:rPr>
          <w:rFonts w:hint="eastAsia" w:ascii="宋体" w:hAnsi="宋体" w:cs="Arial"/>
          <w:color w:val="auto"/>
          <w:szCs w:val="21"/>
        </w:rPr>
        <w:t>：</w:t>
      </w:r>
    </w:p>
    <w:p>
      <w:pPr>
        <w:snapToGrid w:val="0"/>
        <w:spacing w:line="360" w:lineRule="auto"/>
        <w:ind w:firstLine="420" w:firstLineChars="200"/>
        <w:rPr>
          <w:rFonts w:ascii="宋体" w:hAnsi="宋体" w:cs="Arial"/>
          <w:color w:val="auto"/>
          <w:szCs w:val="21"/>
        </w:rPr>
      </w:pPr>
      <w:r>
        <w:rPr>
          <w:rFonts w:hint="eastAsia" w:ascii="宋体" w:hAnsi="宋体" w:cs="Arial"/>
          <w:color w:val="auto"/>
          <w:szCs w:val="21"/>
        </w:rPr>
        <w:t>本项目将于</w:t>
      </w:r>
      <w:r>
        <w:rPr>
          <w:rFonts w:hint="eastAsia" w:ascii="宋体" w:hAnsi="宋体" w:cs="Arial"/>
          <w:color w:val="auto"/>
          <w:szCs w:val="21"/>
          <w:u w:val="single"/>
        </w:rPr>
        <w:t>2019年7月</w:t>
      </w:r>
      <w:r>
        <w:rPr>
          <w:rFonts w:hint="eastAsia" w:ascii="宋体" w:hAnsi="宋体" w:cs="Arial"/>
          <w:color w:val="auto"/>
          <w:szCs w:val="21"/>
          <w:u w:val="single"/>
          <w:lang w:val="en-US" w:eastAsia="zh-CN"/>
        </w:rPr>
        <w:t>30日1</w:t>
      </w:r>
      <w:r>
        <w:rPr>
          <w:rFonts w:hint="eastAsia" w:ascii="宋体" w:hAnsi="宋体" w:cs="Arial"/>
          <w:color w:val="auto"/>
          <w:szCs w:val="21"/>
          <w:u w:val="single"/>
        </w:rPr>
        <w:t>4：00</w:t>
      </w:r>
      <w:r>
        <w:rPr>
          <w:rFonts w:hint="eastAsia" w:ascii="宋体" w:hAnsi="宋体"/>
          <w:color w:val="auto"/>
          <w:szCs w:val="21"/>
        </w:rPr>
        <w:t>（时间）</w:t>
      </w:r>
      <w:r>
        <w:rPr>
          <w:rFonts w:hint="eastAsia" w:ascii="宋体" w:hAnsi="宋体" w:cs="Arial"/>
          <w:color w:val="auto"/>
          <w:szCs w:val="21"/>
        </w:rPr>
        <w:t>在</w:t>
      </w:r>
      <w:r>
        <w:rPr>
          <w:rFonts w:hint="eastAsia" w:ascii="宋体" w:hAnsi="宋体"/>
          <w:color w:val="auto"/>
          <w:szCs w:val="21"/>
        </w:rPr>
        <w:t>鄞州区行政服务中心开标大厅</w:t>
      </w:r>
      <w:r>
        <w:rPr>
          <w:rFonts w:ascii="宋体" w:hAnsi="宋体"/>
          <w:color w:val="auto"/>
          <w:szCs w:val="21"/>
        </w:rPr>
        <w:t>（</w:t>
      </w:r>
      <w:r>
        <w:rPr>
          <w:rFonts w:hint="eastAsia" w:ascii="宋体" w:hAnsi="宋体"/>
          <w:color w:val="auto"/>
          <w:szCs w:val="21"/>
        </w:rPr>
        <w:t>鄞州区惠江路567号，鄞州区妇儿医院对面，鄞州区行政服务中心5楼，具体开标厅号见大厅大屏幕</w:t>
      </w:r>
      <w:r>
        <w:rPr>
          <w:rFonts w:ascii="宋体" w:hAnsi="宋体"/>
          <w:color w:val="auto"/>
          <w:szCs w:val="21"/>
        </w:rPr>
        <w:t>）</w:t>
      </w:r>
      <w:r>
        <w:rPr>
          <w:rFonts w:hint="eastAsia" w:ascii="宋体" w:hAnsi="宋体" w:cs="Arial"/>
          <w:color w:val="auto"/>
          <w:szCs w:val="21"/>
        </w:rPr>
        <w:t>，投标人需派代表出席开标会议。</w:t>
      </w:r>
    </w:p>
    <w:p>
      <w:pPr>
        <w:snapToGrid w:val="0"/>
        <w:spacing w:line="360" w:lineRule="auto"/>
        <w:ind w:firstLine="420"/>
        <w:rPr>
          <w:rFonts w:ascii="宋体" w:hAnsi="宋体" w:cs="Arial"/>
          <w:color w:val="auto"/>
          <w:szCs w:val="21"/>
        </w:rPr>
      </w:pPr>
      <w:r>
        <w:rPr>
          <w:rFonts w:hint="eastAsia" w:ascii="宋体" w:hAnsi="宋体" w:cs="Arial"/>
          <w:color w:val="auto"/>
          <w:szCs w:val="21"/>
        </w:rPr>
        <w:t>十、业务咨询：</w:t>
      </w:r>
    </w:p>
    <w:p>
      <w:pPr>
        <w:snapToGrid w:val="0"/>
        <w:spacing w:line="360" w:lineRule="auto"/>
        <w:ind w:firstLine="315" w:firstLineChars="150"/>
        <w:rPr>
          <w:rFonts w:hint="eastAsia" w:ascii="宋体" w:hAnsi="宋体" w:cs="Arial"/>
          <w:color w:val="auto"/>
          <w:szCs w:val="21"/>
        </w:rPr>
      </w:pPr>
      <w:r>
        <w:rPr>
          <w:rFonts w:hint="eastAsia" w:ascii="宋体" w:hAnsi="宋体" w:cs="Arial"/>
          <w:color w:val="auto"/>
          <w:szCs w:val="21"/>
        </w:rPr>
        <w:t>采购人：宁波市鄞州区邱隘镇教辅室；</w:t>
      </w:r>
    </w:p>
    <w:p>
      <w:pPr>
        <w:snapToGrid w:val="0"/>
        <w:spacing w:line="360" w:lineRule="auto"/>
        <w:ind w:firstLine="315" w:firstLineChars="150"/>
        <w:rPr>
          <w:rFonts w:hint="eastAsia" w:ascii="宋体" w:hAnsi="宋体" w:cs="Arial"/>
          <w:color w:val="auto"/>
          <w:szCs w:val="21"/>
        </w:rPr>
      </w:pPr>
      <w:r>
        <w:rPr>
          <w:rFonts w:hint="eastAsia" w:ascii="宋体" w:hAnsi="宋体" w:cs="Arial"/>
          <w:color w:val="auto"/>
          <w:szCs w:val="21"/>
        </w:rPr>
        <w:t>地址：</w:t>
      </w:r>
      <w:r>
        <w:rPr>
          <w:rFonts w:ascii="宋体" w:hAnsi="宋体" w:cs="Arial"/>
          <w:color w:val="auto"/>
          <w:szCs w:val="21"/>
        </w:rPr>
        <w:t>浙江省宁波市鄞州区江家新村</w:t>
      </w:r>
      <w:r>
        <w:rPr>
          <w:rFonts w:hint="eastAsia" w:ascii="宋体" w:hAnsi="宋体" w:cs="Arial"/>
          <w:color w:val="auto"/>
          <w:szCs w:val="21"/>
        </w:rPr>
        <w:t>；</w:t>
      </w:r>
    </w:p>
    <w:p>
      <w:pPr>
        <w:snapToGrid w:val="0"/>
        <w:spacing w:line="360" w:lineRule="auto"/>
        <w:ind w:firstLine="315" w:firstLineChars="150"/>
        <w:rPr>
          <w:rFonts w:hint="eastAsia" w:ascii="宋体" w:hAnsi="宋体" w:cs="Arial"/>
          <w:color w:val="auto"/>
          <w:szCs w:val="21"/>
        </w:rPr>
      </w:pPr>
      <w:r>
        <w:rPr>
          <w:rFonts w:ascii="宋体" w:hAnsi="宋体" w:cs="Arial"/>
          <w:color w:val="auto"/>
          <w:szCs w:val="21"/>
        </w:rPr>
        <w:t>联系人：</w:t>
      </w:r>
      <w:r>
        <w:rPr>
          <w:rFonts w:hint="eastAsia" w:ascii="宋体" w:hAnsi="宋体" w:cs="Arial"/>
          <w:color w:val="auto"/>
          <w:szCs w:val="21"/>
        </w:rPr>
        <w:t>施老师；</w:t>
      </w:r>
    </w:p>
    <w:p>
      <w:pPr>
        <w:snapToGrid w:val="0"/>
        <w:spacing w:line="360" w:lineRule="auto"/>
        <w:ind w:firstLine="315" w:firstLineChars="150"/>
        <w:rPr>
          <w:rFonts w:ascii="宋体" w:hAnsi="宋体" w:cs="Arial"/>
          <w:color w:val="auto"/>
          <w:szCs w:val="21"/>
        </w:rPr>
      </w:pPr>
      <w:r>
        <w:rPr>
          <w:rFonts w:hint="eastAsia" w:ascii="宋体" w:hAnsi="宋体" w:cs="Arial"/>
          <w:color w:val="auto"/>
          <w:szCs w:val="21"/>
        </w:rPr>
        <w:t>联系电话：</w:t>
      </w:r>
      <w:r>
        <w:rPr>
          <w:rFonts w:ascii="宋体" w:hAnsi="宋体" w:cs="Arial"/>
          <w:color w:val="auto"/>
          <w:szCs w:val="21"/>
        </w:rPr>
        <w:t>057</w:t>
      </w:r>
      <w:r>
        <w:rPr>
          <w:rFonts w:hint="eastAsia" w:ascii="宋体" w:hAnsi="宋体" w:cs="Arial"/>
          <w:color w:val="auto"/>
          <w:szCs w:val="21"/>
        </w:rPr>
        <w:t>4</w:t>
      </w:r>
      <w:r>
        <w:rPr>
          <w:rFonts w:ascii="宋体" w:hAnsi="宋体" w:cs="Arial"/>
          <w:color w:val="auto"/>
          <w:szCs w:val="21"/>
        </w:rPr>
        <w:t>-</w:t>
      </w:r>
      <w:r>
        <w:rPr>
          <w:rFonts w:hint="eastAsia" w:ascii="宋体" w:hAnsi="宋体" w:cs="Arial"/>
          <w:color w:val="auto"/>
          <w:szCs w:val="21"/>
          <w:lang w:val="en-US" w:eastAsia="zh-CN"/>
        </w:rPr>
        <w:t>88355210</w:t>
      </w:r>
      <w:r>
        <w:rPr>
          <w:rFonts w:hint="eastAsia" w:ascii="宋体" w:hAnsi="宋体" w:cs="Arial"/>
          <w:color w:val="auto"/>
          <w:szCs w:val="21"/>
        </w:rPr>
        <w:t>；</w:t>
      </w:r>
    </w:p>
    <w:p>
      <w:pPr>
        <w:snapToGrid w:val="0"/>
        <w:spacing w:line="360" w:lineRule="auto"/>
        <w:ind w:left="315" w:leftChars="150"/>
        <w:rPr>
          <w:rFonts w:hint="eastAsia" w:hAnsi="宋体"/>
          <w:color w:val="auto"/>
          <w:szCs w:val="21"/>
        </w:rPr>
      </w:pPr>
      <w:r>
        <w:rPr>
          <w:rFonts w:hint="eastAsia" w:hAnsi="宋体"/>
          <w:color w:val="auto"/>
          <w:szCs w:val="21"/>
        </w:rPr>
        <w:t>代理机构：宁波瑞林招标有限公司；</w:t>
      </w:r>
    </w:p>
    <w:p>
      <w:pPr>
        <w:snapToGrid w:val="0"/>
        <w:spacing w:line="360" w:lineRule="auto"/>
        <w:ind w:left="315" w:leftChars="150"/>
        <w:rPr>
          <w:rFonts w:hint="eastAsia" w:hAnsi="宋体"/>
          <w:color w:val="auto"/>
          <w:szCs w:val="21"/>
        </w:rPr>
      </w:pPr>
      <w:r>
        <w:rPr>
          <w:rFonts w:hint="eastAsia" w:hAnsi="宋体"/>
          <w:color w:val="auto"/>
          <w:szCs w:val="21"/>
        </w:rPr>
        <w:t>地址：宁波市南部商务区雷孟德旅游大厦20楼2002室。</w:t>
      </w:r>
    </w:p>
    <w:p>
      <w:pPr>
        <w:snapToGrid w:val="0"/>
        <w:spacing w:line="360" w:lineRule="auto"/>
        <w:ind w:left="315" w:leftChars="150"/>
        <w:rPr>
          <w:rFonts w:hint="eastAsia" w:ascii="宋体" w:hAnsi="宋体" w:cs="Arial"/>
          <w:color w:val="auto"/>
          <w:szCs w:val="21"/>
        </w:rPr>
      </w:pPr>
      <w:r>
        <w:rPr>
          <w:rFonts w:hAnsi="宋体"/>
          <w:color w:val="auto"/>
          <w:szCs w:val="21"/>
        </w:rPr>
        <w:t>联系人</w:t>
      </w:r>
      <w:r>
        <w:rPr>
          <w:rFonts w:hint="eastAsia" w:ascii="宋体" w:hAnsi="宋体" w:cs="宋体"/>
          <w:color w:val="auto"/>
          <w:kern w:val="0"/>
          <w:szCs w:val="21"/>
        </w:rPr>
        <w:t>（本项目联系人）</w:t>
      </w:r>
      <w:r>
        <w:rPr>
          <w:rFonts w:hAnsi="宋体"/>
          <w:color w:val="auto"/>
          <w:szCs w:val="21"/>
        </w:rPr>
        <w:t>：</w:t>
      </w:r>
      <w:r>
        <w:rPr>
          <w:rFonts w:hint="eastAsia" w:hAnsi="宋体"/>
          <w:color w:val="auto"/>
          <w:szCs w:val="21"/>
        </w:rPr>
        <w:t>王泽、王威猛</w:t>
      </w:r>
      <w:r>
        <w:rPr>
          <w:rFonts w:hint="eastAsia" w:ascii="宋体" w:hAnsi="宋体" w:cs="Arial"/>
          <w:color w:val="auto"/>
          <w:szCs w:val="21"/>
        </w:rPr>
        <w:t>；</w:t>
      </w:r>
    </w:p>
    <w:p>
      <w:pPr>
        <w:snapToGrid w:val="0"/>
        <w:spacing w:line="360" w:lineRule="auto"/>
        <w:ind w:left="315" w:leftChars="150"/>
        <w:rPr>
          <w:rFonts w:hAnsi="宋体"/>
          <w:color w:val="auto"/>
          <w:szCs w:val="21"/>
        </w:rPr>
      </w:pPr>
      <w:r>
        <w:rPr>
          <w:rFonts w:hint="eastAsia" w:ascii="宋体" w:hAnsi="宋体" w:cs="Arial"/>
          <w:color w:val="auto"/>
          <w:szCs w:val="21"/>
        </w:rPr>
        <w:t>联系电话：</w:t>
      </w:r>
      <w:r>
        <w:rPr>
          <w:rFonts w:ascii="宋体" w:hAnsi="宋体" w:cs="Arial"/>
          <w:color w:val="auto"/>
          <w:szCs w:val="21"/>
          <w:u w:val="single"/>
        </w:rPr>
        <w:t>057</w:t>
      </w:r>
      <w:r>
        <w:rPr>
          <w:rFonts w:hint="eastAsia" w:ascii="宋体" w:hAnsi="宋体" w:cs="Arial"/>
          <w:color w:val="auto"/>
          <w:szCs w:val="21"/>
          <w:u w:val="single"/>
        </w:rPr>
        <w:t>4</w:t>
      </w:r>
      <w:r>
        <w:rPr>
          <w:rFonts w:ascii="宋体" w:hAnsi="宋体" w:cs="Arial"/>
          <w:color w:val="auto"/>
          <w:szCs w:val="21"/>
          <w:u w:val="single"/>
        </w:rPr>
        <w:t>-</w:t>
      </w:r>
      <w:r>
        <w:rPr>
          <w:rFonts w:hint="eastAsia" w:ascii="宋体" w:hAnsi="宋体" w:cs="Arial"/>
          <w:color w:val="auto"/>
          <w:szCs w:val="21"/>
          <w:u w:val="single"/>
        </w:rPr>
        <w:t>28830072</w:t>
      </w:r>
      <w:r>
        <w:rPr>
          <w:rFonts w:ascii="宋体" w:hAnsi="宋体" w:cs="Arial"/>
          <w:color w:val="auto"/>
          <w:szCs w:val="21"/>
        </w:rPr>
        <w:t xml:space="preserve"> </w:t>
      </w:r>
      <w:r>
        <w:rPr>
          <w:rFonts w:hint="eastAsia" w:ascii="宋体" w:hAnsi="宋体" w:cs="Arial"/>
          <w:color w:val="auto"/>
          <w:szCs w:val="21"/>
        </w:rPr>
        <w:t>；传真：</w:t>
      </w:r>
      <w:r>
        <w:rPr>
          <w:rFonts w:ascii="宋体" w:hAnsi="宋体" w:cs="Arial"/>
          <w:color w:val="auto"/>
          <w:szCs w:val="21"/>
          <w:u w:val="single"/>
        </w:rPr>
        <w:t>057</w:t>
      </w:r>
      <w:r>
        <w:rPr>
          <w:rFonts w:hint="eastAsia" w:ascii="宋体" w:hAnsi="宋体" w:cs="Arial"/>
          <w:color w:val="auto"/>
          <w:szCs w:val="21"/>
          <w:u w:val="single"/>
        </w:rPr>
        <w:t>4-28830650</w:t>
      </w:r>
      <w:r>
        <w:rPr>
          <w:rFonts w:hint="eastAsia" w:ascii="宋体" w:hAnsi="宋体" w:cs="Arial"/>
          <w:color w:val="auto"/>
          <w:szCs w:val="21"/>
        </w:rPr>
        <w:t>；</w:t>
      </w:r>
    </w:p>
    <w:p>
      <w:pPr>
        <w:snapToGrid w:val="0"/>
        <w:spacing w:line="360" w:lineRule="auto"/>
        <w:ind w:left="315" w:leftChars="150"/>
        <w:rPr>
          <w:rFonts w:hint="eastAsia" w:ascii="宋体" w:hAnsi="宋体"/>
          <w:color w:val="auto"/>
          <w:szCs w:val="21"/>
        </w:rPr>
      </w:pPr>
      <w:r>
        <w:rPr>
          <w:rFonts w:ascii="宋体" w:hAnsi="宋体" w:cs="宋体"/>
          <w:color w:val="auto"/>
          <w:kern w:val="0"/>
          <w:szCs w:val="21"/>
        </w:rPr>
        <w:t>政府采购</w:t>
      </w:r>
      <w:r>
        <w:rPr>
          <w:rFonts w:hint="eastAsia" w:ascii="宋体" w:hAnsi="宋体" w:cs="宋体"/>
          <w:color w:val="auto"/>
          <w:kern w:val="0"/>
          <w:szCs w:val="21"/>
        </w:rPr>
        <w:t>监督管理部门</w:t>
      </w:r>
      <w:r>
        <w:rPr>
          <w:rFonts w:hint="eastAsia" w:ascii="宋体" w:hAnsi="宋体" w:cs="Arial"/>
          <w:color w:val="auto"/>
          <w:szCs w:val="21"/>
        </w:rPr>
        <w:t>及投诉受理部门：</w:t>
      </w:r>
      <w:r>
        <w:rPr>
          <w:rFonts w:hAnsi="宋体"/>
          <w:color w:val="auto"/>
          <w:szCs w:val="21"/>
        </w:rPr>
        <w:t>宁波市鄞州区政府采购</w:t>
      </w:r>
      <w:r>
        <w:rPr>
          <w:rFonts w:hint="eastAsia" w:hAnsi="宋体"/>
          <w:color w:val="auto"/>
          <w:szCs w:val="21"/>
        </w:rPr>
        <w:t>管理办公室</w:t>
      </w:r>
      <w:r>
        <w:rPr>
          <w:rFonts w:hint="eastAsia" w:ascii="宋体" w:hAnsi="宋体"/>
          <w:color w:val="auto"/>
          <w:szCs w:val="21"/>
        </w:rPr>
        <w:t>；</w:t>
      </w:r>
    </w:p>
    <w:p>
      <w:pPr>
        <w:snapToGrid w:val="0"/>
        <w:spacing w:line="360" w:lineRule="auto"/>
        <w:ind w:left="315" w:leftChars="150"/>
        <w:rPr>
          <w:rFonts w:hint="eastAsia" w:ascii="宋体" w:hAnsi="宋体"/>
          <w:color w:val="auto"/>
          <w:szCs w:val="21"/>
        </w:rPr>
      </w:pPr>
      <w:r>
        <w:rPr>
          <w:rFonts w:hint="eastAsia" w:ascii="宋体" w:hAnsi="宋体" w:cs="Arial"/>
          <w:color w:val="auto"/>
          <w:szCs w:val="21"/>
        </w:rPr>
        <w:t>联系电话：</w:t>
      </w:r>
      <w:r>
        <w:rPr>
          <w:rFonts w:ascii="宋体" w:hAnsi="宋体" w:cs="Arial"/>
          <w:color w:val="auto"/>
          <w:szCs w:val="21"/>
          <w:u w:val="single"/>
        </w:rPr>
        <w:t>057</w:t>
      </w:r>
      <w:r>
        <w:rPr>
          <w:rFonts w:hint="eastAsia" w:ascii="宋体" w:hAnsi="宋体" w:cs="Arial"/>
          <w:color w:val="auto"/>
          <w:szCs w:val="21"/>
          <w:u w:val="single"/>
        </w:rPr>
        <w:t>4-87521835</w:t>
      </w:r>
      <w:r>
        <w:rPr>
          <w:rFonts w:hint="eastAsia" w:ascii="宋体" w:hAnsi="宋体" w:cs="Arial"/>
          <w:color w:val="auto"/>
          <w:szCs w:val="21"/>
        </w:rPr>
        <w:t>。</w:t>
      </w:r>
    </w:p>
    <w:p>
      <w:pPr>
        <w:pStyle w:val="44"/>
        <w:shd w:val="clear" w:color="auto" w:fill="FFFFFF"/>
        <w:spacing w:before="0" w:beforeAutospacing="0" w:after="0" w:afterAutospacing="0" w:line="360" w:lineRule="auto"/>
        <w:ind w:firstLine="420" w:firstLineChars="200"/>
        <w:rPr>
          <w:rFonts w:ascii="宋体" w:hAnsi="宋体"/>
          <w:color w:val="auto"/>
          <w:kern w:val="2"/>
          <w:sz w:val="21"/>
          <w:szCs w:val="21"/>
        </w:rPr>
      </w:pPr>
      <w:r>
        <w:rPr>
          <w:rFonts w:hint="eastAsia" w:ascii="宋体" w:hAnsi="宋体"/>
          <w:color w:val="auto"/>
          <w:kern w:val="2"/>
          <w:sz w:val="21"/>
          <w:szCs w:val="21"/>
        </w:rPr>
        <w:t>十一、 本政府采购项目落实的政府采购政策：</w:t>
      </w:r>
    </w:p>
    <w:p>
      <w:pPr>
        <w:widowControl/>
        <w:shd w:val="clear" w:color="auto" w:fill="FFFFFF"/>
        <w:spacing w:line="360" w:lineRule="auto"/>
        <w:jc w:val="left"/>
        <w:rPr>
          <w:rFonts w:hint="eastAsia" w:ascii="宋体" w:hAnsi="宋体"/>
          <w:color w:val="auto"/>
          <w:szCs w:val="21"/>
        </w:rPr>
      </w:pPr>
      <w:r>
        <w:rPr>
          <w:rFonts w:hint="eastAsia" w:ascii="宋体" w:hAnsi="宋体"/>
          <w:color w:val="auto"/>
          <w:szCs w:val="21"/>
        </w:rPr>
        <w:t>    《关于促进残疾人就业政府采购政策的通知》（财库[2017]141号）、《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pPr>
        <w:widowControl/>
        <w:kinsoku w:val="0"/>
        <w:snapToGrid w:val="0"/>
        <w:spacing w:line="360" w:lineRule="auto"/>
        <w:ind w:firstLine="315" w:firstLineChars="150"/>
        <w:jc w:val="left"/>
        <w:rPr>
          <w:rFonts w:hint="eastAsia" w:ascii="宋体" w:hAnsi="宋体" w:cs="宋体"/>
          <w:color w:val="auto"/>
          <w:kern w:val="0"/>
          <w:szCs w:val="21"/>
        </w:rPr>
      </w:pPr>
      <w:r>
        <w:rPr>
          <w:rFonts w:hint="eastAsia" w:ascii="宋体" w:hAnsi="宋体" w:cs="宋体"/>
          <w:color w:val="auto"/>
          <w:kern w:val="0"/>
          <w:szCs w:val="21"/>
        </w:rPr>
        <w:t>注意事项：</w:t>
      </w:r>
    </w:p>
    <w:p>
      <w:pPr>
        <w:widowControl/>
        <w:kinsoku w:val="0"/>
        <w:snapToGrid w:val="0"/>
        <w:spacing w:line="360" w:lineRule="auto"/>
        <w:jc w:val="left"/>
        <w:rPr>
          <w:rFonts w:ascii="宋体" w:hAnsi="宋体" w:cs="宋体"/>
          <w:color w:val="auto"/>
          <w:kern w:val="0"/>
          <w:szCs w:val="21"/>
        </w:rPr>
        <w:sectPr>
          <w:footerReference r:id="rId12" w:type="first"/>
          <w:footerReference r:id="rId11" w:type="default"/>
          <w:pgSz w:w="11906" w:h="16838"/>
          <w:pgMar w:top="1440" w:right="1440" w:bottom="1440" w:left="1610" w:header="851" w:footer="992" w:gutter="0"/>
          <w:pgNumType w:start="1"/>
          <w:cols w:space="720" w:num="1"/>
          <w:titlePg/>
          <w:docGrid w:type="lines" w:linePitch="312" w:charSpace="0"/>
        </w:sectPr>
      </w:pPr>
      <w:r>
        <w:rPr>
          <w:rFonts w:hint="eastAsia" w:ascii="宋体" w:hAnsi="宋体" w:cs="宋体"/>
          <w:color w:val="auto"/>
          <w:kern w:val="0"/>
          <w:szCs w:val="21"/>
        </w:rPr>
        <w:t>1、根据税总发（2016）75号文件规定，需开具增值税专用发票的，须提供开票资料，开票资料内容包括：单位名称（不得为自然人）；纳税人识别号；地址、电话；开户银行及账号</w:t>
      </w:r>
      <w:r>
        <w:rPr>
          <w:rFonts w:hint="eastAsia" w:ascii="宋体" w:hAnsi="宋体"/>
          <w:color w:val="auto"/>
          <w:szCs w:val="21"/>
        </w:rPr>
        <w:t>。</w:t>
      </w:r>
    </w:p>
    <w:p>
      <w:pPr>
        <w:snapToGrid w:val="0"/>
        <w:spacing w:before="120" w:beforeLines="50" w:after="120" w:afterLines="50" w:line="360" w:lineRule="auto"/>
        <w:jc w:val="center"/>
        <w:rPr>
          <w:rFonts w:hint="eastAsia" w:ascii="黑体" w:hAnsi="宋体" w:eastAsia="黑体"/>
          <w:bCs/>
          <w:color w:val="auto"/>
          <w:sz w:val="28"/>
          <w:szCs w:val="28"/>
        </w:rPr>
      </w:pPr>
      <w:r>
        <w:rPr>
          <w:rFonts w:hint="eastAsia" w:ascii="黑体" w:hAnsi="宋体" w:eastAsia="黑体"/>
          <w:color w:val="auto"/>
          <w:sz w:val="28"/>
          <w:szCs w:val="28"/>
        </w:rPr>
        <w:t xml:space="preserve">第二章  </w:t>
      </w:r>
      <w:r>
        <w:rPr>
          <w:rFonts w:hint="eastAsia" w:ascii="黑体" w:hAnsi="宋体" w:eastAsia="黑体"/>
          <w:bCs/>
          <w:color w:val="auto"/>
          <w:sz w:val="28"/>
          <w:szCs w:val="28"/>
        </w:rPr>
        <w:t>采购需求</w:t>
      </w:r>
    </w:p>
    <w:p>
      <w:pPr>
        <w:jc w:val="center"/>
        <w:rPr>
          <w:rFonts w:hint="eastAsia"/>
          <w:color w:val="auto"/>
        </w:rPr>
      </w:pPr>
      <w:r>
        <w:rPr>
          <w:rFonts w:hint="eastAsia"/>
          <w:color w:val="auto"/>
        </w:rPr>
        <w:t>一、前附表</w:t>
      </w:r>
    </w:p>
    <w:tbl>
      <w:tblPr>
        <w:tblStyle w:val="49"/>
        <w:tblW w:w="0" w:type="auto"/>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8"/>
        <w:gridCol w:w="2402"/>
        <w:gridCol w:w="518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blHeader/>
          <w:jc w:val="center"/>
        </w:trPr>
        <w:tc>
          <w:tcPr>
            <w:tcW w:w="938"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序号</w:t>
            </w:r>
          </w:p>
        </w:tc>
        <w:tc>
          <w:tcPr>
            <w:tcW w:w="2402"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项目</w:t>
            </w:r>
          </w:p>
        </w:tc>
        <w:tc>
          <w:tcPr>
            <w:tcW w:w="5180"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采购需求内容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938"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1</w:t>
            </w:r>
          </w:p>
        </w:tc>
        <w:tc>
          <w:tcPr>
            <w:tcW w:w="2402" w:type="dxa"/>
            <w:noWrap w:val="0"/>
            <w:vAlign w:val="center"/>
          </w:tcPr>
          <w:p>
            <w:pPr>
              <w:spacing w:line="300" w:lineRule="exact"/>
              <w:jc w:val="left"/>
              <w:rPr>
                <w:rFonts w:ascii="宋体" w:hAnsi="宋体" w:cs="宋体"/>
                <w:color w:val="auto"/>
                <w:szCs w:val="21"/>
              </w:rPr>
            </w:pPr>
            <w:r>
              <w:rPr>
                <w:rFonts w:hint="eastAsia" w:ascii="宋体" w:hAnsi="宋体" w:cs="宋体"/>
                <w:color w:val="auto"/>
                <w:szCs w:val="21"/>
              </w:rPr>
              <w:t>采购标的需实现的功能或者目标</w:t>
            </w:r>
          </w:p>
        </w:tc>
        <w:tc>
          <w:tcPr>
            <w:tcW w:w="5180" w:type="dxa"/>
            <w:noWrap w:val="0"/>
            <w:vAlign w:val="center"/>
          </w:tcPr>
          <w:p>
            <w:pPr>
              <w:spacing w:line="300" w:lineRule="exact"/>
              <w:jc w:val="left"/>
              <w:rPr>
                <w:rFonts w:ascii="宋体" w:hAnsi="宋体" w:cs="宋体"/>
                <w:bCs/>
                <w:color w:val="auto"/>
                <w:szCs w:val="21"/>
              </w:rPr>
            </w:pPr>
            <w:r>
              <w:rPr>
                <w:rFonts w:hint="eastAsia" w:ascii="宋体" w:hAnsi="宋体" w:cs="宋体"/>
                <w:bCs/>
                <w:color w:val="auto"/>
                <w:szCs w:val="21"/>
              </w:rPr>
              <w:t>完成邱隘镇</w:t>
            </w:r>
            <w:r>
              <w:rPr>
                <w:rFonts w:hint="eastAsia" w:hAnsi="宋体"/>
                <w:color w:val="auto"/>
                <w:szCs w:val="21"/>
              </w:rPr>
              <w:t>校园安全防控指挥中心建设。</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938"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2402" w:type="dxa"/>
            <w:noWrap w:val="0"/>
            <w:vAlign w:val="center"/>
          </w:tcPr>
          <w:p>
            <w:pPr>
              <w:spacing w:line="300" w:lineRule="exact"/>
              <w:jc w:val="left"/>
              <w:rPr>
                <w:rFonts w:ascii="宋体" w:hAnsi="宋体" w:cs="宋体"/>
                <w:color w:val="auto"/>
                <w:szCs w:val="21"/>
              </w:rPr>
            </w:pPr>
            <w:r>
              <w:rPr>
                <w:rFonts w:hint="eastAsia" w:ascii="宋体" w:hAnsi="宋体" w:cs="宋体"/>
                <w:color w:val="auto"/>
                <w:szCs w:val="21"/>
              </w:rPr>
              <w:t>采购标的为落实政府采购政策需满足的要求</w:t>
            </w:r>
          </w:p>
        </w:tc>
        <w:tc>
          <w:tcPr>
            <w:tcW w:w="5180" w:type="dxa"/>
            <w:noWrap w:val="0"/>
            <w:vAlign w:val="center"/>
          </w:tcPr>
          <w:p>
            <w:pPr>
              <w:snapToGrid w:val="0"/>
              <w:spacing w:line="360" w:lineRule="auto"/>
              <w:rPr>
                <w:rFonts w:hint="eastAsia" w:ascii="宋体" w:hAnsi="宋体"/>
                <w:color w:val="auto"/>
                <w:szCs w:val="21"/>
              </w:rPr>
            </w:pPr>
            <w:r>
              <w:rPr>
                <w:rFonts w:hint="eastAsia" w:ascii="宋体" w:hAnsi="宋体"/>
                <w:color w:val="auto"/>
                <w:szCs w:val="21"/>
              </w:rPr>
              <w:t>1.落实政府采购进口产品管理办法，采购标的不得为进口产品。</w:t>
            </w:r>
          </w:p>
          <w:p>
            <w:pPr>
              <w:snapToGrid w:val="0"/>
              <w:spacing w:line="360" w:lineRule="auto"/>
              <w:rPr>
                <w:rFonts w:hint="eastAsia" w:ascii="宋体" w:hAnsi="宋体"/>
                <w:bCs/>
                <w:color w:val="auto"/>
                <w:szCs w:val="21"/>
              </w:rPr>
            </w:pPr>
            <w:r>
              <w:rPr>
                <w:rFonts w:hint="eastAsia" w:ascii="宋体" w:hAnsi="宋体"/>
                <w:bCs/>
                <w:color w:val="auto"/>
                <w:szCs w:val="21"/>
              </w:rPr>
              <w:t>2. 落实促进中小企业发展的政府采购政策，本项目</w:t>
            </w:r>
            <w:r>
              <w:rPr>
                <w:rFonts w:ascii="宋体" w:hAnsi="宋体"/>
                <w:bCs/>
                <w:color w:val="auto"/>
                <w:szCs w:val="21"/>
              </w:rPr>
              <w:t>对小型和微型企业</w:t>
            </w:r>
            <w:r>
              <w:rPr>
                <w:rFonts w:hint="eastAsia" w:ascii="宋体" w:hAnsi="宋体"/>
                <w:bCs/>
                <w:color w:val="auto"/>
                <w:szCs w:val="21"/>
              </w:rPr>
              <w:t>产品</w:t>
            </w:r>
            <w:r>
              <w:rPr>
                <w:rFonts w:ascii="宋体" w:hAnsi="宋体"/>
                <w:bCs/>
                <w:color w:val="auto"/>
                <w:szCs w:val="21"/>
              </w:rPr>
              <w:t>的价格给予6%的扣除</w:t>
            </w:r>
            <w:r>
              <w:rPr>
                <w:rFonts w:hint="eastAsia" w:ascii="宋体" w:hAnsi="宋体"/>
                <w:bCs/>
                <w:color w:val="auto"/>
                <w:szCs w:val="21"/>
              </w:rPr>
              <w:t>。评标时以调整后的价格计算评标基准价和投标报价。</w:t>
            </w:r>
            <w:r>
              <w:rPr>
                <w:rFonts w:ascii="宋体" w:hAnsi="宋体"/>
                <w:bCs/>
                <w:color w:val="auto"/>
                <w:szCs w:val="21"/>
              </w:rPr>
              <w:t>小型和微型企业参加政府采购活动时</w:t>
            </w:r>
            <w:r>
              <w:rPr>
                <w:rFonts w:hint="eastAsia" w:ascii="宋体" w:hAnsi="宋体"/>
                <w:bCs/>
                <w:color w:val="auto"/>
                <w:szCs w:val="21"/>
              </w:rPr>
              <w:t>，</w:t>
            </w:r>
            <w:r>
              <w:rPr>
                <w:rFonts w:ascii="宋体" w:hAnsi="宋体"/>
                <w:bCs/>
                <w:color w:val="auto"/>
                <w:szCs w:val="21"/>
              </w:rPr>
              <w:t>小型和微型企业</w:t>
            </w:r>
            <w:r>
              <w:rPr>
                <w:rFonts w:hint="eastAsia" w:ascii="宋体" w:hAnsi="宋体"/>
                <w:bCs/>
                <w:color w:val="auto"/>
                <w:szCs w:val="21"/>
              </w:rPr>
              <w:t>需</w:t>
            </w:r>
            <w:r>
              <w:rPr>
                <w:rFonts w:ascii="宋体" w:hAnsi="宋体"/>
                <w:bCs/>
                <w:color w:val="auto"/>
                <w:szCs w:val="21"/>
              </w:rPr>
              <w:t>符合中小企业划分标准（</w:t>
            </w:r>
            <w:r>
              <w:rPr>
                <w:rFonts w:hint="eastAsia" w:ascii="宋体" w:hAnsi="宋体"/>
                <w:bCs/>
                <w:color w:val="auto"/>
                <w:szCs w:val="21"/>
              </w:rPr>
              <w:t>详</w:t>
            </w:r>
            <w:r>
              <w:rPr>
                <w:rFonts w:ascii="宋体" w:hAnsi="宋体"/>
                <w:bCs/>
                <w:color w:val="auto"/>
                <w:szCs w:val="21"/>
              </w:rPr>
              <w:t>见工信部联企业[2011]300号</w:t>
            </w:r>
            <w:r>
              <w:rPr>
                <w:rFonts w:hint="eastAsia" w:ascii="宋体" w:hAnsi="宋体"/>
                <w:bCs/>
                <w:color w:val="auto"/>
                <w:szCs w:val="21"/>
              </w:rPr>
              <w:t>文</w:t>
            </w:r>
            <w:r>
              <w:rPr>
                <w:rFonts w:ascii="宋体" w:hAnsi="宋体"/>
                <w:bCs/>
                <w:color w:val="auto"/>
                <w:szCs w:val="21"/>
              </w:rPr>
              <w:t>）</w:t>
            </w:r>
            <w:r>
              <w:rPr>
                <w:rFonts w:hint="eastAsia" w:ascii="宋体" w:hAnsi="宋体"/>
                <w:bCs/>
                <w:color w:val="auto"/>
                <w:szCs w:val="21"/>
              </w:rPr>
              <w:t>并全部提供本企业制造的货物、承担的工程或者服务，或者提供其它小型、微型企业制造的货物，并提供《</w:t>
            </w:r>
            <w:r>
              <w:rPr>
                <w:rFonts w:hint="eastAsia" w:ascii="ˎ̥" w:hAnsi="ˎ̥" w:cs="宋体"/>
                <w:color w:val="auto"/>
                <w:kern w:val="0"/>
                <w:szCs w:val="21"/>
              </w:rPr>
              <w:t>中小企业</w:t>
            </w:r>
            <w:r>
              <w:rPr>
                <w:rFonts w:ascii="ˎ̥" w:hAnsi="ˎ̥" w:cs="宋体"/>
                <w:color w:val="auto"/>
                <w:kern w:val="0"/>
                <w:szCs w:val="21"/>
              </w:rPr>
              <w:t>声明函</w:t>
            </w:r>
            <w:r>
              <w:rPr>
                <w:rFonts w:hint="eastAsia" w:ascii="宋体" w:hAnsi="宋体"/>
                <w:bCs/>
                <w:color w:val="auto"/>
                <w:szCs w:val="21"/>
              </w:rPr>
              <w:t>》</w:t>
            </w:r>
            <w:r>
              <w:rPr>
                <w:rFonts w:hint="eastAsia" w:ascii="ˎ̥" w:hAnsi="ˎ̥" w:cs="宋体"/>
                <w:color w:val="auto"/>
                <w:kern w:val="0"/>
                <w:szCs w:val="21"/>
              </w:rPr>
              <w:t>。</w:t>
            </w:r>
            <w:r>
              <w:rPr>
                <w:rFonts w:hint="eastAsia" w:ascii="宋体" w:hAnsi="宋体"/>
                <w:bCs/>
                <w:color w:val="auto"/>
                <w:szCs w:val="21"/>
              </w:rPr>
              <w:t>小型、微型企业提供中型企业制造的货物的，视同为中型企业。</w:t>
            </w:r>
          </w:p>
          <w:p>
            <w:pPr>
              <w:widowControl/>
              <w:shd w:val="clear" w:color="auto" w:fill="FFFFFF"/>
              <w:spacing w:line="360" w:lineRule="auto"/>
              <w:jc w:val="left"/>
              <w:outlineLvl w:val="0"/>
              <w:rPr>
                <w:rFonts w:hint="eastAsia" w:ascii="宋体" w:hAnsi="宋体"/>
                <w:bCs/>
                <w:color w:val="auto"/>
                <w:szCs w:val="21"/>
              </w:rPr>
            </w:pPr>
            <w:r>
              <w:rPr>
                <w:rFonts w:hint="eastAsia" w:ascii="宋体" w:hAnsi="宋体"/>
                <w:bCs/>
                <w:color w:val="auto"/>
                <w:szCs w:val="21"/>
              </w:rPr>
              <w:t>3.落实促进残疾人就业政府采购政策，在本项目采购活动中，残疾人福利性单位视同小型、微型企业，享受上述促进中小企业发展的政府采购政策。残疾人福利性单位属于小型、微型企业的，不重复享受政策。残疾人福利性单位需符合“（财库〔2017〕141号）关于促进残疾人就业政府采购政策的通知”中的享受政府采购支持政策的残疾人福利性单位的条件并提供《残疾人福利性单位声明函》。</w:t>
            </w:r>
          </w:p>
          <w:p>
            <w:pPr>
              <w:snapToGrid w:val="0"/>
              <w:spacing w:line="360" w:lineRule="auto"/>
              <w:rPr>
                <w:rFonts w:hint="eastAsia" w:ascii="宋体" w:hAnsi="宋体"/>
                <w:color w:val="auto"/>
                <w:szCs w:val="21"/>
              </w:rPr>
            </w:pPr>
            <w:r>
              <w:rPr>
                <w:rFonts w:hint="eastAsia" w:ascii="宋体" w:hAnsi="宋体"/>
                <w:bCs/>
                <w:color w:val="auto"/>
                <w:szCs w:val="21"/>
              </w:rPr>
              <w:t>4.落实政府采购支持监狱企业发展要求，</w:t>
            </w:r>
            <w:r>
              <w:rPr>
                <w:rFonts w:ascii="宋体" w:hAnsi="宋体"/>
                <w:bCs/>
                <w:color w:val="auto"/>
                <w:szCs w:val="21"/>
              </w:rPr>
              <w:t>在本项目采购活动中，监狱企业视同小型、微型企业，享受上述政府采购促进中小企业发展的政府采购政策。监狱企业参加政府采购活动时，应当提供由省级以上监狱管理局、戒毒管理局（含新疆生产建设兵团）出具的属于监狱企业的证明文件。</w:t>
            </w:r>
          </w:p>
          <w:p>
            <w:pPr>
              <w:autoSpaceDE w:val="0"/>
              <w:autoSpaceDN w:val="0"/>
              <w:adjustRightInd w:val="0"/>
              <w:spacing w:line="360" w:lineRule="auto"/>
              <w:rPr>
                <w:rFonts w:ascii="宋体" w:hAnsi="宋体"/>
                <w:color w:val="auto"/>
                <w:szCs w:val="21"/>
              </w:rPr>
            </w:pPr>
            <w:r>
              <w:rPr>
                <w:rFonts w:hint="eastAsia" w:ascii="宋体" w:hAnsi="宋体"/>
                <w:color w:val="auto"/>
                <w:szCs w:val="21"/>
              </w:rPr>
              <w:t>5.落实节约能源的政府采购政策，投标产品全部为列入中国政府采购网距投标截止时间最近一期“节能产品政府采购清单”的加分，部分列入的按比例加分（详见评分标准内容），投标文件中附距投标截止时间最近一期“节能产品政府采购清单”截图复印件。</w:t>
            </w:r>
          </w:p>
          <w:p>
            <w:pPr>
              <w:spacing w:line="300" w:lineRule="exact"/>
              <w:jc w:val="left"/>
              <w:rPr>
                <w:rFonts w:ascii="宋体" w:hAnsi="宋体" w:cs="宋体"/>
                <w:bCs/>
                <w:color w:val="auto"/>
                <w:szCs w:val="21"/>
              </w:rPr>
            </w:pPr>
            <w:r>
              <w:rPr>
                <w:rFonts w:hint="eastAsia" w:ascii="宋体" w:hAnsi="宋体"/>
                <w:color w:val="auto"/>
                <w:szCs w:val="21"/>
              </w:rPr>
              <w:t>6.落实环境保护的政府采购政策，投标产品全部为列入中国政府采购网距投标截止时间最近一期“环境标志产品政府采购清单”的加分，部分列入的按比例加分（详见评分标准内容），投标文件中附距投标截止时间最近一期“环境标志产品政府采购清单”截图复印件。</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938"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4</w:t>
            </w:r>
          </w:p>
        </w:tc>
        <w:tc>
          <w:tcPr>
            <w:tcW w:w="2402" w:type="dxa"/>
            <w:noWrap w:val="0"/>
            <w:vAlign w:val="center"/>
          </w:tcPr>
          <w:p>
            <w:pPr>
              <w:spacing w:line="300" w:lineRule="exact"/>
              <w:jc w:val="left"/>
              <w:rPr>
                <w:rFonts w:ascii="宋体" w:hAnsi="宋体" w:cs="宋体"/>
                <w:color w:val="auto"/>
                <w:szCs w:val="21"/>
              </w:rPr>
            </w:pPr>
            <w:r>
              <w:rPr>
                <w:rFonts w:hint="eastAsia" w:ascii="宋体" w:hAnsi="宋体" w:cs="宋体"/>
                <w:color w:val="auto"/>
                <w:szCs w:val="21"/>
              </w:rPr>
              <w:t>采购标的需执行的国家相关标准、行业标准、地方标准或者其他标准、规范；</w:t>
            </w:r>
          </w:p>
        </w:tc>
        <w:tc>
          <w:tcPr>
            <w:tcW w:w="5180" w:type="dxa"/>
            <w:noWrap w:val="0"/>
            <w:vAlign w:val="center"/>
          </w:tcPr>
          <w:p>
            <w:pPr>
              <w:spacing w:line="300" w:lineRule="exact"/>
              <w:jc w:val="left"/>
              <w:rPr>
                <w:rFonts w:ascii="宋体" w:hAnsi="宋体" w:cs="宋体"/>
                <w:color w:val="auto"/>
                <w:szCs w:val="21"/>
              </w:rPr>
            </w:pPr>
            <w:r>
              <w:rPr>
                <w:rFonts w:hint="eastAsia" w:ascii="宋体" w:hAnsi="宋体" w:cs="宋体"/>
                <w:bCs/>
                <w:color w:val="auto"/>
                <w:szCs w:val="21"/>
              </w:rPr>
              <w:t>详见“本章二、采购清单及技术参数”相应内容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938"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5</w:t>
            </w:r>
          </w:p>
        </w:tc>
        <w:tc>
          <w:tcPr>
            <w:tcW w:w="2402" w:type="dxa"/>
            <w:noWrap w:val="0"/>
            <w:vAlign w:val="center"/>
          </w:tcPr>
          <w:p>
            <w:pPr>
              <w:spacing w:line="300" w:lineRule="exact"/>
              <w:jc w:val="left"/>
              <w:rPr>
                <w:rFonts w:ascii="宋体" w:hAnsi="宋体" w:cs="宋体"/>
                <w:color w:val="auto"/>
                <w:szCs w:val="21"/>
              </w:rPr>
            </w:pPr>
            <w:r>
              <w:rPr>
                <w:rFonts w:hint="eastAsia" w:ascii="宋体" w:hAnsi="宋体" w:cs="宋体"/>
                <w:color w:val="auto"/>
                <w:szCs w:val="21"/>
              </w:rPr>
              <w:t>采购标的需满足的质量、安全、技术规格、物理特性等要求，</w:t>
            </w:r>
            <w:r>
              <w:rPr>
                <w:rFonts w:hint="eastAsia" w:hAnsi="宋体"/>
                <w:color w:val="auto"/>
                <w:szCs w:val="21"/>
              </w:rPr>
              <w:t>包括附件、图纸等。</w:t>
            </w:r>
          </w:p>
        </w:tc>
        <w:tc>
          <w:tcPr>
            <w:tcW w:w="5180" w:type="dxa"/>
            <w:noWrap w:val="0"/>
            <w:vAlign w:val="center"/>
          </w:tcPr>
          <w:p>
            <w:pPr>
              <w:spacing w:line="300" w:lineRule="exact"/>
              <w:jc w:val="left"/>
              <w:rPr>
                <w:rFonts w:ascii="宋体" w:hAnsi="宋体" w:cs="宋体"/>
                <w:bCs/>
                <w:color w:val="auto"/>
                <w:szCs w:val="21"/>
              </w:rPr>
            </w:pPr>
            <w:r>
              <w:rPr>
                <w:rFonts w:hint="eastAsia" w:ascii="宋体" w:hAnsi="宋体" w:cs="宋体"/>
                <w:bCs/>
                <w:color w:val="auto"/>
                <w:szCs w:val="21"/>
              </w:rPr>
              <w:t>详见“本章二、采购清单及技术参数”内容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938"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6</w:t>
            </w:r>
          </w:p>
        </w:tc>
        <w:tc>
          <w:tcPr>
            <w:tcW w:w="2402" w:type="dxa"/>
            <w:noWrap w:val="0"/>
            <w:vAlign w:val="center"/>
          </w:tcPr>
          <w:p>
            <w:pPr>
              <w:spacing w:line="300" w:lineRule="exact"/>
              <w:jc w:val="left"/>
              <w:rPr>
                <w:rFonts w:ascii="宋体" w:hAnsi="宋体" w:cs="宋体"/>
                <w:color w:val="auto"/>
                <w:szCs w:val="21"/>
              </w:rPr>
            </w:pPr>
            <w:r>
              <w:rPr>
                <w:rFonts w:hint="eastAsia" w:ascii="宋体" w:hAnsi="宋体" w:cs="宋体"/>
                <w:color w:val="auto"/>
                <w:szCs w:val="21"/>
              </w:rPr>
              <w:t>采购标的的数量</w:t>
            </w:r>
          </w:p>
        </w:tc>
        <w:tc>
          <w:tcPr>
            <w:tcW w:w="5180" w:type="dxa"/>
            <w:noWrap w:val="0"/>
            <w:vAlign w:val="center"/>
          </w:tcPr>
          <w:p>
            <w:pPr>
              <w:spacing w:line="300" w:lineRule="exact"/>
              <w:jc w:val="left"/>
              <w:rPr>
                <w:rFonts w:ascii="宋体" w:hAnsi="宋体" w:cs="宋体"/>
                <w:bCs/>
                <w:color w:val="auto"/>
                <w:szCs w:val="21"/>
              </w:rPr>
            </w:pPr>
            <w:r>
              <w:rPr>
                <w:rFonts w:hint="eastAsia" w:ascii="宋体" w:hAnsi="宋体" w:cs="宋体"/>
                <w:color w:val="auto"/>
                <w:szCs w:val="21"/>
              </w:rPr>
              <w:t>详见“本章二、采购清单及技术参数”</w:t>
            </w:r>
            <w:r>
              <w:rPr>
                <w:rFonts w:hint="eastAsia" w:ascii="宋体" w:hAnsi="宋体" w:cs="宋体"/>
                <w:bCs/>
                <w:color w:val="auto"/>
                <w:szCs w:val="21"/>
              </w:rPr>
              <w:t xml:space="preserve"> 相应</w:t>
            </w:r>
            <w:r>
              <w:rPr>
                <w:rFonts w:hint="eastAsia" w:ascii="宋体" w:hAnsi="宋体" w:cs="宋体"/>
                <w:color w:val="auto"/>
                <w:szCs w:val="21"/>
              </w:rPr>
              <w:t>内容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938"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7</w:t>
            </w:r>
          </w:p>
        </w:tc>
        <w:tc>
          <w:tcPr>
            <w:tcW w:w="2402" w:type="dxa"/>
            <w:noWrap w:val="0"/>
            <w:vAlign w:val="center"/>
          </w:tcPr>
          <w:p>
            <w:pPr>
              <w:spacing w:line="300" w:lineRule="exact"/>
              <w:jc w:val="left"/>
              <w:rPr>
                <w:rFonts w:ascii="宋体" w:hAnsi="宋体" w:cs="宋体"/>
                <w:color w:val="auto"/>
                <w:szCs w:val="21"/>
              </w:rPr>
            </w:pPr>
            <w:r>
              <w:rPr>
                <w:rFonts w:hint="eastAsia" w:ascii="宋体" w:hAnsi="宋体" w:cs="宋体"/>
                <w:color w:val="auto"/>
                <w:szCs w:val="21"/>
              </w:rPr>
              <w:t>采购项目交付或者实施的时间和地点</w:t>
            </w:r>
          </w:p>
        </w:tc>
        <w:tc>
          <w:tcPr>
            <w:tcW w:w="5180" w:type="dxa"/>
            <w:noWrap w:val="0"/>
            <w:vAlign w:val="center"/>
          </w:tcPr>
          <w:p>
            <w:pPr>
              <w:spacing w:line="300" w:lineRule="exact"/>
              <w:jc w:val="left"/>
              <w:rPr>
                <w:rFonts w:hint="eastAsia" w:ascii="宋体" w:hAnsi="宋体" w:cs="宋体"/>
                <w:color w:val="auto"/>
                <w:szCs w:val="21"/>
              </w:rPr>
            </w:pPr>
            <w:r>
              <w:rPr>
                <w:rFonts w:hint="eastAsia" w:ascii="宋体" w:hAnsi="宋体" w:cs="宋体"/>
                <w:color w:val="auto"/>
                <w:szCs w:val="21"/>
              </w:rPr>
              <w:t>实施的地点：宁波市鄞州区邱隘镇学校内；</w:t>
            </w:r>
          </w:p>
          <w:p>
            <w:pPr>
              <w:spacing w:line="300" w:lineRule="exact"/>
              <w:jc w:val="left"/>
              <w:rPr>
                <w:rFonts w:ascii="宋体" w:hAnsi="宋体" w:cs="宋体"/>
                <w:bCs/>
                <w:color w:val="auto"/>
                <w:szCs w:val="21"/>
              </w:rPr>
            </w:pPr>
            <w:r>
              <w:rPr>
                <w:rFonts w:hint="eastAsia" w:ascii="宋体" w:hAnsi="宋体" w:cs="宋体"/>
                <w:color w:val="auto"/>
                <w:szCs w:val="21"/>
              </w:rPr>
              <w:t>交付的时间：</w:t>
            </w:r>
            <w:r>
              <w:rPr>
                <w:rFonts w:hint="eastAsia" w:ascii="宋体" w:hAnsi="宋体" w:cs="宋体"/>
                <w:bCs/>
                <w:color w:val="auto"/>
                <w:szCs w:val="21"/>
              </w:rPr>
              <w:t>详见“本章</w:t>
            </w:r>
            <w:r>
              <w:rPr>
                <w:rFonts w:hint="eastAsia" w:hAnsi="宋体" w:cs="宋体"/>
                <w:bCs/>
                <w:color w:val="auto"/>
                <w:szCs w:val="21"/>
              </w:rPr>
              <w:t>五</w:t>
            </w:r>
            <w:r>
              <w:rPr>
                <w:rFonts w:hAnsi="宋体" w:cs="宋体"/>
                <w:bCs/>
                <w:color w:val="auto"/>
                <w:szCs w:val="21"/>
              </w:rPr>
              <w:t>、商务要求表</w:t>
            </w:r>
            <w:r>
              <w:rPr>
                <w:rFonts w:hint="eastAsia" w:hAnsi="宋体" w:cs="宋体"/>
                <w:bCs/>
                <w:color w:val="auto"/>
                <w:szCs w:val="21"/>
              </w:rPr>
              <w:t>” 中的交货期</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938"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8</w:t>
            </w:r>
          </w:p>
        </w:tc>
        <w:tc>
          <w:tcPr>
            <w:tcW w:w="2402" w:type="dxa"/>
            <w:noWrap w:val="0"/>
            <w:vAlign w:val="center"/>
          </w:tcPr>
          <w:p>
            <w:pPr>
              <w:spacing w:line="300" w:lineRule="exact"/>
              <w:jc w:val="left"/>
              <w:rPr>
                <w:rFonts w:ascii="宋体" w:hAnsi="宋体" w:cs="宋体"/>
                <w:color w:val="auto"/>
                <w:szCs w:val="21"/>
              </w:rPr>
            </w:pPr>
            <w:r>
              <w:rPr>
                <w:rFonts w:hint="eastAsia" w:ascii="宋体" w:hAnsi="宋体" w:cs="宋体"/>
                <w:color w:val="auto"/>
                <w:szCs w:val="21"/>
              </w:rPr>
              <w:t>采购标的需满足的服务标准、期限、效率等要求</w:t>
            </w:r>
          </w:p>
        </w:tc>
        <w:tc>
          <w:tcPr>
            <w:tcW w:w="5180" w:type="dxa"/>
            <w:noWrap w:val="0"/>
            <w:vAlign w:val="center"/>
          </w:tcPr>
          <w:p>
            <w:pPr>
              <w:spacing w:line="300" w:lineRule="exact"/>
              <w:jc w:val="left"/>
              <w:rPr>
                <w:rFonts w:ascii="宋体" w:hAnsi="宋体" w:cs="宋体"/>
                <w:bCs/>
                <w:color w:val="auto"/>
                <w:szCs w:val="21"/>
              </w:rPr>
            </w:pPr>
            <w:r>
              <w:rPr>
                <w:rFonts w:hint="eastAsia" w:ascii="宋体" w:hAnsi="宋体" w:cs="宋体"/>
                <w:bCs/>
                <w:color w:val="auto"/>
                <w:szCs w:val="21"/>
              </w:rPr>
              <w:t>详见“本章</w:t>
            </w:r>
            <w:r>
              <w:rPr>
                <w:rFonts w:hint="eastAsia" w:hAnsi="宋体" w:cs="宋体"/>
                <w:bCs/>
                <w:color w:val="auto"/>
                <w:szCs w:val="21"/>
              </w:rPr>
              <w:t>五</w:t>
            </w:r>
            <w:r>
              <w:rPr>
                <w:rFonts w:hAnsi="宋体" w:cs="宋体"/>
                <w:bCs/>
                <w:color w:val="auto"/>
                <w:szCs w:val="21"/>
              </w:rPr>
              <w:t>、商务要求表</w:t>
            </w:r>
            <w:r>
              <w:rPr>
                <w:rFonts w:hint="eastAsia" w:hAnsi="宋体" w:cs="宋体"/>
                <w:bCs/>
                <w:color w:val="auto"/>
                <w:szCs w:val="21"/>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938"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9</w:t>
            </w:r>
          </w:p>
        </w:tc>
        <w:tc>
          <w:tcPr>
            <w:tcW w:w="2402" w:type="dxa"/>
            <w:noWrap w:val="0"/>
            <w:vAlign w:val="center"/>
          </w:tcPr>
          <w:p>
            <w:pPr>
              <w:spacing w:line="300" w:lineRule="exact"/>
              <w:jc w:val="left"/>
              <w:rPr>
                <w:rFonts w:ascii="宋体" w:hAnsi="宋体" w:cs="宋体"/>
                <w:color w:val="auto"/>
                <w:szCs w:val="21"/>
              </w:rPr>
            </w:pPr>
            <w:r>
              <w:rPr>
                <w:rFonts w:hint="eastAsia" w:ascii="宋体" w:hAnsi="宋体" w:cs="宋体"/>
                <w:color w:val="auto"/>
                <w:szCs w:val="21"/>
              </w:rPr>
              <w:t>采购标的的验收标准</w:t>
            </w:r>
          </w:p>
        </w:tc>
        <w:tc>
          <w:tcPr>
            <w:tcW w:w="5180" w:type="dxa"/>
            <w:noWrap w:val="0"/>
            <w:vAlign w:val="center"/>
          </w:tcPr>
          <w:p>
            <w:pPr>
              <w:spacing w:line="300" w:lineRule="exact"/>
              <w:jc w:val="left"/>
              <w:rPr>
                <w:rFonts w:ascii="宋体" w:hAnsi="宋体" w:cs="宋体"/>
                <w:bCs/>
                <w:color w:val="auto"/>
                <w:szCs w:val="21"/>
              </w:rPr>
            </w:pPr>
            <w:r>
              <w:rPr>
                <w:rFonts w:hint="eastAsia" w:ascii="宋体" w:hAnsi="宋体" w:cs="宋体"/>
                <w:color w:val="auto"/>
                <w:szCs w:val="21"/>
              </w:rPr>
              <w:t>采购人将按照采购合同规定的技术、服务、安全标准组织对供应商履约情况进行验收，并出具验收书。验收书应当包括每一项技术、服务、安全标准的履约情况。采购人根据需要将邀请参加本项目的其他投标人或者第三方机构参与验收。参与验收的投标人或者第三方机构的意见作为验收书的参考资料一并存档。本项目需通过鄞州区质量技术监督局验收。验收书由采购人存档。</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938"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10</w:t>
            </w:r>
          </w:p>
        </w:tc>
        <w:tc>
          <w:tcPr>
            <w:tcW w:w="2402" w:type="dxa"/>
            <w:noWrap w:val="0"/>
            <w:vAlign w:val="center"/>
          </w:tcPr>
          <w:p>
            <w:pPr>
              <w:spacing w:line="300" w:lineRule="exact"/>
              <w:jc w:val="left"/>
              <w:rPr>
                <w:rFonts w:ascii="宋体" w:hAnsi="宋体" w:cs="宋体"/>
                <w:color w:val="auto"/>
                <w:szCs w:val="21"/>
              </w:rPr>
            </w:pPr>
            <w:r>
              <w:rPr>
                <w:rFonts w:hint="eastAsia" w:ascii="宋体" w:hAnsi="宋体" w:cs="宋体"/>
                <w:color w:val="auto"/>
                <w:szCs w:val="21"/>
              </w:rPr>
              <w:t>采购标的的其他技术、服务等要求</w:t>
            </w:r>
          </w:p>
        </w:tc>
        <w:tc>
          <w:tcPr>
            <w:tcW w:w="5180" w:type="dxa"/>
            <w:noWrap w:val="0"/>
            <w:vAlign w:val="center"/>
          </w:tcPr>
          <w:p>
            <w:pPr>
              <w:spacing w:line="300" w:lineRule="exact"/>
              <w:jc w:val="left"/>
              <w:rPr>
                <w:rFonts w:ascii="宋体" w:hAnsi="宋体" w:cs="宋体"/>
                <w:bCs/>
                <w:color w:val="auto"/>
                <w:szCs w:val="21"/>
              </w:rPr>
            </w:pPr>
            <w:r>
              <w:rPr>
                <w:rFonts w:hint="eastAsia" w:ascii="宋体" w:hAnsi="宋体" w:cs="宋体"/>
                <w:color w:val="auto"/>
                <w:szCs w:val="21"/>
              </w:rPr>
              <w:t>详见“本章二、采购清单及技术参数”内容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938"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11</w:t>
            </w:r>
          </w:p>
        </w:tc>
        <w:tc>
          <w:tcPr>
            <w:tcW w:w="2402" w:type="dxa"/>
            <w:noWrap w:val="0"/>
            <w:vAlign w:val="center"/>
          </w:tcPr>
          <w:p>
            <w:pPr>
              <w:spacing w:line="300" w:lineRule="exact"/>
              <w:jc w:val="left"/>
              <w:rPr>
                <w:rFonts w:ascii="宋体" w:hAnsi="宋体" w:cs="宋体"/>
                <w:color w:val="auto"/>
                <w:szCs w:val="21"/>
              </w:rPr>
            </w:pPr>
            <w:r>
              <w:rPr>
                <w:rFonts w:hint="eastAsia" w:ascii="宋体" w:hAnsi="宋体" w:cs="宋体"/>
                <w:color w:val="auto"/>
                <w:szCs w:val="21"/>
              </w:rPr>
              <w:t>本项目的核心产品</w:t>
            </w:r>
          </w:p>
        </w:tc>
        <w:tc>
          <w:tcPr>
            <w:tcW w:w="5180" w:type="dxa"/>
            <w:noWrap w:val="0"/>
            <w:vAlign w:val="center"/>
          </w:tcPr>
          <w:p>
            <w:pPr>
              <w:spacing w:line="300" w:lineRule="exact"/>
              <w:jc w:val="left"/>
              <w:rPr>
                <w:rFonts w:ascii="宋体" w:hAnsi="宋体" w:cs="宋体"/>
                <w:color w:val="auto"/>
                <w:szCs w:val="21"/>
              </w:rPr>
            </w:pPr>
            <w:r>
              <w:rPr>
                <w:rFonts w:hint="eastAsia" w:ascii="宋体" w:hAnsi="宋体" w:cs="宋体"/>
                <w:color w:val="auto"/>
                <w:szCs w:val="21"/>
              </w:rPr>
              <w:t>采购标的为非单一产品采购项目，根据采购项目技术构成、产品价格比重等确定采购标的中的</w:t>
            </w:r>
            <w:r>
              <w:rPr>
                <w:rFonts w:hint="eastAsia" w:ascii="宋体" w:hAnsi="宋体" w:cs="宋体"/>
                <w:color w:val="auto"/>
                <w:szCs w:val="21"/>
                <w:u w:val="single"/>
              </w:rPr>
              <w:t>/</w:t>
            </w:r>
            <w:r>
              <w:rPr>
                <w:rFonts w:hint="eastAsia" w:ascii="宋体" w:hAnsi="宋体" w:cs="宋体"/>
                <w:color w:val="auto"/>
                <w:szCs w:val="21"/>
              </w:rPr>
              <w:t>为核心产品。多家投标人提供的核心产品品牌相同的，提供相同品牌产品且通过资格审查、符合性审查的不同投标人参加投标的，按一家投标人计算，评审后得分最高的同品牌投标人获得中标人推荐资格；评审得分相同的，委托评标委员会按照采购文件规定的方式确定一个投标人获得中标人推荐资格，其他同品牌投标人不作为中标候选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938"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12</w:t>
            </w:r>
          </w:p>
        </w:tc>
        <w:tc>
          <w:tcPr>
            <w:tcW w:w="2402" w:type="dxa"/>
            <w:noWrap w:val="0"/>
            <w:vAlign w:val="center"/>
          </w:tcPr>
          <w:p>
            <w:pPr>
              <w:spacing w:line="300" w:lineRule="exact"/>
              <w:jc w:val="left"/>
              <w:rPr>
                <w:rFonts w:ascii="宋体" w:hAnsi="宋体" w:cs="宋体"/>
                <w:color w:val="auto"/>
                <w:szCs w:val="21"/>
              </w:rPr>
            </w:pPr>
            <w:r>
              <w:rPr>
                <w:rFonts w:hint="eastAsia" w:ascii="宋体" w:hAnsi="宋体" w:cs="宋体"/>
                <w:color w:val="auto"/>
                <w:szCs w:val="21"/>
              </w:rPr>
              <w:t>演示要求；演示时间及地点</w:t>
            </w:r>
          </w:p>
        </w:tc>
        <w:tc>
          <w:tcPr>
            <w:tcW w:w="5180" w:type="dxa"/>
            <w:noWrap w:val="0"/>
            <w:vAlign w:val="center"/>
          </w:tcPr>
          <w:p>
            <w:pPr>
              <w:spacing w:line="300" w:lineRule="exact"/>
              <w:jc w:val="left"/>
              <w:rPr>
                <w:rFonts w:ascii="宋体" w:hAnsi="宋体" w:cs="宋体"/>
                <w:color w:val="auto"/>
                <w:szCs w:val="21"/>
              </w:rPr>
            </w:pPr>
            <w:r>
              <w:rPr>
                <w:rFonts w:hint="eastAsia" w:ascii="宋体" w:hAnsi="宋体" w:cs="宋体"/>
                <w:color w:val="auto"/>
                <w:szCs w:val="21"/>
              </w:rPr>
              <w:t>演示要求：详见本章“四、演示要求”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938"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13</w:t>
            </w:r>
          </w:p>
        </w:tc>
        <w:tc>
          <w:tcPr>
            <w:tcW w:w="2402" w:type="dxa"/>
            <w:noWrap w:val="0"/>
            <w:vAlign w:val="center"/>
          </w:tcPr>
          <w:p>
            <w:pPr>
              <w:spacing w:line="300" w:lineRule="exact"/>
              <w:jc w:val="left"/>
              <w:rPr>
                <w:rFonts w:ascii="宋体" w:hAnsi="宋体" w:cs="宋体"/>
                <w:color w:val="auto"/>
                <w:szCs w:val="21"/>
              </w:rPr>
            </w:pPr>
            <w:r>
              <w:rPr>
                <w:rFonts w:hint="eastAsia" w:ascii="宋体" w:hAnsi="宋体" w:cs="宋体"/>
                <w:color w:val="auto"/>
                <w:szCs w:val="21"/>
              </w:rPr>
              <w:t>样品要求</w:t>
            </w:r>
          </w:p>
        </w:tc>
        <w:tc>
          <w:tcPr>
            <w:tcW w:w="5180" w:type="dxa"/>
            <w:noWrap w:val="0"/>
            <w:vAlign w:val="center"/>
          </w:tcPr>
          <w:p>
            <w:pPr>
              <w:spacing w:line="300" w:lineRule="exact"/>
              <w:jc w:val="left"/>
              <w:rPr>
                <w:rFonts w:ascii="宋体" w:hAnsi="宋体" w:cs="宋体"/>
                <w:color w:val="auto"/>
                <w:szCs w:val="21"/>
              </w:rPr>
            </w:pPr>
            <w:r>
              <w:rPr>
                <w:rFonts w:hint="eastAsia" w:ascii="宋体" w:hAnsi="宋体" w:cs="宋体"/>
                <w:color w:val="auto"/>
                <w:szCs w:val="21"/>
              </w:rPr>
              <w:t>详见本章“三、样品要求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jc w:val="center"/>
        </w:trPr>
        <w:tc>
          <w:tcPr>
            <w:tcW w:w="938" w:type="dxa"/>
            <w:noWrap w:val="0"/>
            <w:vAlign w:val="center"/>
          </w:tcPr>
          <w:p>
            <w:pPr>
              <w:spacing w:line="300" w:lineRule="exact"/>
              <w:jc w:val="center"/>
              <w:rPr>
                <w:rFonts w:hint="eastAsia" w:ascii="宋体" w:hAnsi="宋体" w:cs="宋体"/>
                <w:color w:val="auto"/>
                <w:szCs w:val="21"/>
              </w:rPr>
            </w:pPr>
            <w:r>
              <w:rPr>
                <w:rFonts w:hint="eastAsia" w:ascii="宋体" w:hAnsi="宋体" w:cs="宋体"/>
                <w:color w:val="auto"/>
                <w:szCs w:val="21"/>
              </w:rPr>
              <w:t>14</w:t>
            </w:r>
          </w:p>
        </w:tc>
        <w:tc>
          <w:tcPr>
            <w:tcW w:w="2402" w:type="dxa"/>
            <w:noWrap w:val="0"/>
            <w:vAlign w:val="center"/>
          </w:tcPr>
          <w:p>
            <w:pPr>
              <w:spacing w:line="300" w:lineRule="exact"/>
              <w:jc w:val="left"/>
              <w:rPr>
                <w:rFonts w:hint="eastAsia" w:ascii="宋体" w:hAnsi="宋体" w:cs="宋体"/>
                <w:color w:val="auto"/>
                <w:szCs w:val="21"/>
              </w:rPr>
            </w:pPr>
            <w:r>
              <w:rPr>
                <w:rFonts w:hint="eastAsia" w:ascii="宋体" w:hAnsi="宋体" w:cs="宋体"/>
                <w:color w:val="auto"/>
                <w:szCs w:val="21"/>
              </w:rPr>
              <w:t>组织现场考察或者召开答疑会</w:t>
            </w:r>
          </w:p>
        </w:tc>
        <w:tc>
          <w:tcPr>
            <w:tcW w:w="5180" w:type="dxa"/>
            <w:noWrap w:val="0"/>
            <w:vAlign w:val="center"/>
          </w:tcPr>
          <w:p>
            <w:pPr>
              <w:spacing w:line="300" w:lineRule="exact"/>
              <w:jc w:val="left"/>
              <w:rPr>
                <w:rFonts w:ascii="宋体" w:hAnsi="宋体" w:cs="宋体"/>
                <w:color w:val="auto"/>
                <w:szCs w:val="21"/>
              </w:rPr>
            </w:pPr>
            <w:r>
              <w:rPr>
                <w:rFonts w:hint="eastAsia" w:ascii="宋体" w:hAnsi="宋体" w:cs="宋体"/>
                <w:color w:val="auto"/>
                <w:szCs w:val="21"/>
              </w:rPr>
              <w:t>不组织。投标人根据需要可联系采购人联系热至项目交付或实施现场进行现场考察。</w:t>
            </w:r>
          </w:p>
        </w:tc>
      </w:tr>
    </w:tbl>
    <w:p>
      <w:pPr>
        <w:pStyle w:val="25"/>
        <w:snapToGrid w:val="0"/>
        <w:spacing w:before="120" w:after="120" w:line="240" w:lineRule="auto"/>
        <w:outlineLvl w:val="0"/>
        <w:rPr>
          <w:rFonts w:hint="eastAsia" w:hAnsi="宋体"/>
          <w:color w:val="auto"/>
          <w:sz w:val="21"/>
          <w:szCs w:val="21"/>
          <w:lang w:eastAsia="zh-CN"/>
        </w:rPr>
      </w:pPr>
    </w:p>
    <w:p>
      <w:pPr>
        <w:pStyle w:val="25"/>
        <w:snapToGrid w:val="0"/>
        <w:spacing w:before="120" w:after="120" w:line="240" w:lineRule="auto"/>
        <w:outlineLvl w:val="0"/>
        <w:rPr>
          <w:rFonts w:hint="eastAsia" w:hAnsi="宋体"/>
          <w:color w:val="auto"/>
          <w:sz w:val="21"/>
          <w:szCs w:val="21"/>
          <w:lang w:eastAsia="zh-CN"/>
        </w:rPr>
      </w:pPr>
    </w:p>
    <w:p>
      <w:pPr>
        <w:pStyle w:val="25"/>
        <w:snapToGrid w:val="0"/>
        <w:spacing w:before="120" w:after="120" w:line="240" w:lineRule="auto"/>
        <w:outlineLvl w:val="0"/>
        <w:rPr>
          <w:rFonts w:hAnsi="宋体"/>
          <w:color w:val="auto"/>
          <w:sz w:val="21"/>
          <w:szCs w:val="21"/>
          <w:lang w:eastAsia="zh-CN"/>
        </w:rPr>
      </w:pPr>
    </w:p>
    <w:p>
      <w:pPr>
        <w:pStyle w:val="25"/>
        <w:snapToGrid w:val="0"/>
        <w:spacing w:before="120" w:after="120" w:line="360" w:lineRule="auto"/>
        <w:outlineLvl w:val="0"/>
        <w:rPr>
          <w:rFonts w:hint="eastAsia" w:hAnsi="宋体"/>
          <w:color w:val="auto"/>
          <w:sz w:val="21"/>
          <w:szCs w:val="21"/>
          <w:lang w:eastAsia="zh-CN"/>
        </w:rPr>
      </w:pPr>
    </w:p>
    <w:p>
      <w:pPr>
        <w:pStyle w:val="25"/>
        <w:snapToGrid w:val="0"/>
        <w:spacing w:before="120" w:after="120" w:line="360" w:lineRule="auto"/>
        <w:outlineLvl w:val="0"/>
        <w:rPr>
          <w:rFonts w:hint="eastAsia" w:hAnsi="宋体"/>
          <w:color w:val="auto"/>
          <w:sz w:val="21"/>
          <w:szCs w:val="21"/>
          <w:lang w:eastAsia="zh-CN"/>
        </w:rPr>
      </w:pPr>
    </w:p>
    <w:p>
      <w:pPr>
        <w:pStyle w:val="25"/>
        <w:snapToGrid w:val="0"/>
        <w:spacing w:before="120" w:after="120" w:line="360" w:lineRule="auto"/>
        <w:outlineLvl w:val="0"/>
        <w:rPr>
          <w:rFonts w:hint="eastAsia" w:hAnsi="宋体"/>
          <w:color w:val="auto"/>
          <w:sz w:val="21"/>
          <w:szCs w:val="21"/>
          <w:lang w:eastAsia="zh-CN"/>
        </w:rPr>
        <w:sectPr>
          <w:footerReference r:id="rId13" w:type="default"/>
          <w:pgSz w:w="11906" w:h="16838"/>
          <w:pgMar w:top="1440" w:right="1440" w:bottom="1440" w:left="1610" w:header="851" w:footer="851" w:gutter="0"/>
          <w:cols w:space="720" w:num="1"/>
          <w:docGrid w:linePitch="312" w:charSpace="0"/>
        </w:sectPr>
      </w:pPr>
    </w:p>
    <w:p>
      <w:pPr>
        <w:pStyle w:val="25"/>
        <w:snapToGrid w:val="0"/>
        <w:spacing w:line="360" w:lineRule="auto"/>
        <w:outlineLvl w:val="0"/>
        <w:rPr>
          <w:rFonts w:hint="eastAsia" w:hAnsi="宋体"/>
          <w:color w:val="auto"/>
          <w:sz w:val="21"/>
          <w:szCs w:val="21"/>
          <w:lang w:eastAsia="zh-CN"/>
        </w:rPr>
      </w:pPr>
      <w:r>
        <w:rPr>
          <w:rFonts w:hAnsi="宋体"/>
          <w:color w:val="auto"/>
          <w:sz w:val="21"/>
          <w:szCs w:val="21"/>
        </w:rPr>
        <w:t>二、</w:t>
      </w:r>
      <w:r>
        <w:rPr>
          <w:rFonts w:hint="eastAsia" w:hAnsi="宋体"/>
          <w:color w:val="auto"/>
          <w:sz w:val="21"/>
          <w:szCs w:val="21"/>
          <w:lang w:eastAsia="zh-CN"/>
        </w:rPr>
        <w:t>采购清单及</w:t>
      </w:r>
      <w:r>
        <w:rPr>
          <w:rFonts w:hint="eastAsia" w:hAnsi="宋体"/>
          <w:color w:val="auto"/>
          <w:sz w:val="21"/>
          <w:szCs w:val="21"/>
        </w:rPr>
        <w:t>技术参数</w:t>
      </w:r>
    </w:p>
    <w:p>
      <w:pPr>
        <w:pStyle w:val="25"/>
        <w:snapToGrid w:val="0"/>
        <w:spacing w:line="360" w:lineRule="auto"/>
        <w:outlineLvl w:val="0"/>
        <w:rPr>
          <w:rFonts w:hint="eastAsia" w:hAnsi="宋体"/>
          <w:color w:val="auto"/>
          <w:sz w:val="21"/>
          <w:szCs w:val="21"/>
          <w:lang w:eastAsia="zh-CN"/>
        </w:rPr>
      </w:pPr>
      <w:r>
        <w:rPr>
          <w:rFonts w:hint="eastAsia" w:hAnsi="宋体"/>
          <w:color w:val="auto"/>
          <w:sz w:val="21"/>
          <w:szCs w:val="21"/>
          <w:lang w:eastAsia="zh-CN"/>
        </w:rPr>
        <w:t>（说明：本采购清单及</w:t>
      </w:r>
      <w:r>
        <w:rPr>
          <w:rFonts w:hint="eastAsia" w:hAnsi="宋体"/>
          <w:color w:val="auto"/>
          <w:sz w:val="21"/>
          <w:szCs w:val="21"/>
        </w:rPr>
        <w:t>技术参数</w:t>
      </w:r>
      <w:r>
        <w:rPr>
          <w:rFonts w:hint="eastAsia" w:hAnsi="宋体"/>
          <w:color w:val="auto"/>
          <w:sz w:val="21"/>
          <w:szCs w:val="21"/>
          <w:lang w:eastAsia="zh-CN"/>
        </w:rPr>
        <w:t>内容中的推荐品牌、型号仅供参考，投标人可提供同档次或以上品质的产品参加投标。）</w:t>
      </w:r>
    </w:p>
    <w:p>
      <w:pPr>
        <w:pStyle w:val="25"/>
        <w:snapToGrid w:val="0"/>
        <w:spacing w:line="360" w:lineRule="auto"/>
        <w:outlineLvl w:val="0"/>
        <w:rPr>
          <w:rFonts w:hAnsi="宋体"/>
          <w:color w:val="auto"/>
          <w:sz w:val="21"/>
          <w:szCs w:val="21"/>
          <w:lang w:eastAsia="zh-CN"/>
        </w:rPr>
      </w:pPr>
      <w:r>
        <w:rPr>
          <w:rFonts w:hint="eastAsia" w:hAnsi="宋体"/>
          <w:color w:val="auto"/>
          <w:sz w:val="21"/>
          <w:szCs w:val="21"/>
          <w:lang w:eastAsia="zh-CN"/>
        </w:rPr>
        <w:t>第一部分、采购清单、技术参数</w:t>
      </w:r>
    </w:p>
    <w:p>
      <w:pPr>
        <w:pStyle w:val="4"/>
        <w:numPr>
          <w:ilvl w:val="0"/>
          <w:numId w:val="6"/>
        </w:numPr>
        <w:tabs>
          <w:tab w:val="clear" w:pos="1740"/>
        </w:tabs>
        <w:spacing w:before="0" w:line="360" w:lineRule="auto"/>
        <w:rPr>
          <w:rFonts w:ascii="宋体" w:hAnsi="宋体"/>
          <w:b w:val="0"/>
          <w:color w:val="auto"/>
          <w:sz w:val="21"/>
          <w:szCs w:val="21"/>
        </w:rPr>
      </w:pPr>
      <w:r>
        <w:rPr>
          <w:rFonts w:hint="eastAsia" w:ascii="宋体" w:hAnsi="宋体"/>
          <w:b w:val="0"/>
          <w:color w:val="auto"/>
          <w:sz w:val="21"/>
          <w:szCs w:val="21"/>
        </w:rPr>
        <w:t>防冲撞控制系统</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483"/>
        <w:gridCol w:w="5926"/>
        <w:gridCol w:w="561"/>
        <w:gridCol w:w="561"/>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spacing w:line="360" w:lineRule="auto"/>
              <w:jc w:val="center"/>
              <w:rPr>
                <w:rFonts w:ascii="宋体" w:hAnsi="宋体"/>
                <w:color w:val="auto"/>
                <w:szCs w:val="21"/>
              </w:rPr>
            </w:pPr>
            <w:r>
              <w:rPr>
                <w:rFonts w:hint="eastAsia" w:ascii="宋体" w:hAnsi="宋体"/>
                <w:color w:val="auto"/>
                <w:szCs w:val="21"/>
              </w:rPr>
              <w:t>序号</w:t>
            </w:r>
          </w:p>
        </w:tc>
        <w:tc>
          <w:tcPr>
            <w:tcW w:w="1483" w:type="dxa"/>
            <w:noWrap w:val="0"/>
            <w:vAlign w:val="center"/>
          </w:tcPr>
          <w:p>
            <w:pPr>
              <w:spacing w:line="360" w:lineRule="auto"/>
              <w:jc w:val="center"/>
              <w:rPr>
                <w:rFonts w:ascii="宋体" w:hAnsi="宋体"/>
                <w:color w:val="auto"/>
                <w:szCs w:val="21"/>
              </w:rPr>
            </w:pPr>
            <w:r>
              <w:rPr>
                <w:rFonts w:hint="eastAsia" w:ascii="宋体" w:hAnsi="宋体"/>
                <w:color w:val="auto"/>
                <w:szCs w:val="21"/>
              </w:rPr>
              <w:t>设备名称</w:t>
            </w:r>
          </w:p>
        </w:tc>
        <w:tc>
          <w:tcPr>
            <w:tcW w:w="5926" w:type="dxa"/>
            <w:noWrap w:val="0"/>
            <w:vAlign w:val="center"/>
          </w:tcPr>
          <w:p>
            <w:pPr>
              <w:spacing w:line="360" w:lineRule="auto"/>
              <w:jc w:val="center"/>
              <w:rPr>
                <w:rFonts w:ascii="宋体" w:hAnsi="宋体"/>
                <w:color w:val="auto"/>
                <w:szCs w:val="21"/>
              </w:rPr>
            </w:pPr>
            <w:r>
              <w:rPr>
                <w:rFonts w:hint="eastAsia" w:ascii="宋体" w:hAnsi="宋体"/>
                <w:color w:val="auto"/>
                <w:szCs w:val="21"/>
              </w:rPr>
              <w:t>技术参数</w:t>
            </w:r>
          </w:p>
        </w:tc>
        <w:tc>
          <w:tcPr>
            <w:tcW w:w="561" w:type="dxa"/>
            <w:noWrap w:val="0"/>
            <w:vAlign w:val="center"/>
          </w:tcPr>
          <w:p>
            <w:pPr>
              <w:spacing w:line="360" w:lineRule="auto"/>
              <w:jc w:val="center"/>
              <w:rPr>
                <w:rFonts w:ascii="宋体" w:hAnsi="宋体"/>
                <w:color w:val="auto"/>
                <w:szCs w:val="21"/>
              </w:rPr>
            </w:pPr>
            <w:r>
              <w:rPr>
                <w:rFonts w:hint="eastAsia" w:ascii="宋体" w:hAnsi="宋体"/>
                <w:color w:val="auto"/>
                <w:szCs w:val="21"/>
              </w:rPr>
              <w:t>数量</w:t>
            </w:r>
          </w:p>
        </w:tc>
        <w:tc>
          <w:tcPr>
            <w:tcW w:w="561" w:type="dxa"/>
            <w:noWrap w:val="0"/>
            <w:vAlign w:val="center"/>
          </w:tcPr>
          <w:p>
            <w:pPr>
              <w:spacing w:line="360" w:lineRule="auto"/>
              <w:jc w:val="center"/>
              <w:rPr>
                <w:rFonts w:ascii="宋体" w:hAnsi="宋体"/>
                <w:color w:val="auto"/>
                <w:szCs w:val="21"/>
              </w:rPr>
            </w:pPr>
            <w:r>
              <w:rPr>
                <w:rFonts w:hint="eastAsia" w:ascii="宋体" w:hAnsi="宋体"/>
                <w:color w:val="auto"/>
                <w:szCs w:val="21"/>
              </w:rPr>
              <w:t>单位</w:t>
            </w:r>
          </w:p>
        </w:tc>
        <w:tc>
          <w:tcPr>
            <w:tcW w:w="1205" w:type="dxa"/>
            <w:noWrap w:val="0"/>
            <w:vAlign w:val="center"/>
          </w:tcPr>
          <w:p>
            <w:pPr>
              <w:spacing w:line="360" w:lineRule="auto"/>
              <w:jc w:val="center"/>
              <w:rPr>
                <w:rFonts w:ascii="宋体" w:hAnsi="宋体"/>
                <w:color w:val="auto"/>
                <w:szCs w:val="21"/>
              </w:rPr>
            </w:pPr>
            <w:r>
              <w:rPr>
                <w:rFonts w:hint="eastAsia" w:ascii="宋体" w:hAnsi="宋体"/>
                <w:color w:val="auto"/>
                <w:szCs w:val="21"/>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1483"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szCs w:val="21"/>
              </w:rPr>
              <w:t>气压一体全自动升降柱</w:t>
            </w:r>
          </w:p>
        </w:tc>
        <w:tc>
          <w:tcPr>
            <w:tcW w:w="5926" w:type="dxa"/>
            <w:noWrap w:val="0"/>
            <w:vAlign w:val="center"/>
          </w:tcPr>
          <w:p>
            <w:pPr>
              <w:spacing w:before="156" w:beforeLines="50" w:after="156" w:afterLines="50" w:line="360" w:lineRule="auto"/>
              <w:rPr>
                <w:rFonts w:ascii="宋体" w:hAnsi="宋体" w:cs="宋体"/>
                <w:color w:val="auto"/>
                <w:szCs w:val="21"/>
                <w:lang w:val="zh-CN"/>
              </w:rPr>
            </w:pPr>
            <w:bookmarkStart w:id="0" w:name="_Toc9888_WPSOffice_Level1"/>
            <w:r>
              <w:rPr>
                <w:rFonts w:hint="eastAsia" w:ascii="宋体" w:hAnsi="宋体" w:cs="宋体"/>
                <w:color w:val="auto"/>
                <w:szCs w:val="21"/>
                <w:lang w:val="zh-CN"/>
              </w:rPr>
              <w:t>升降柱部分</w:t>
            </w:r>
            <w:bookmarkEnd w:id="0"/>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工作原理：</w:t>
            </w:r>
            <w:r>
              <w:rPr>
                <w:rFonts w:hint="eastAsia" w:ascii="宋体" w:hAnsi="宋体" w:cs="宋体"/>
                <w:color w:val="auto"/>
                <w:szCs w:val="21"/>
              </w:rPr>
              <w:t>气</w:t>
            </w:r>
            <w:r>
              <w:rPr>
                <w:rFonts w:hint="eastAsia" w:ascii="宋体" w:hAnsi="宋体" w:cs="宋体"/>
                <w:color w:val="auto"/>
                <w:szCs w:val="21"/>
                <w:lang w:val="zh-CN"/>
              </w:rPr>
              <w:t>压系统驱动；</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运动柱体材质及表面处理：304不锈钢，表面拉丝处理。</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运动柱体高度：≥600mm；</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运动柱体厚度：≥6mm；</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运动柱体直径：≥219mm；</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地埋柱体高度：≤</w:t>
            </w:r>
            <w:r>
              <w:rPr>
                <w:rFonts w:hint="eastAsia" w:ascii="宋体" w:hAnsi="宋体" w:cs="宋体"/>
                <w:color w:val="auto"/>
                <w:szCs w:val="21"/>
              </w:rPr>
              <w:t>900</w:t>
            </w:r>
            <w:r>
              <w:rPr>
                <w:rFonts w:hint="eastAsia" w:ascii="宋体" w:hAnsi="宋体" w:cs="宋体"/>
                <w:color w:val="auto"/>
                <w:szCs w:val="21"/>
                <w:lang w:val="zh-CN"/>
              </w:rPr>
              <w:t>mm；</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隔离护圈：运动柱体与地埋柱体之间应设置非金属材质的隔离护圈，以避免地面面板刮花运动柱体。</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工作电压：为确保安全，升降柱与控制系统之间所连接线缆电压不得大于</w:t>
            </w:r>
            <w:r>
              <w:rPr>
                <w:rFonts w:hint="eastAsia" w:ascii="宋体" w:hAnsi="宋体" w:cs="宋体"/>
                <w:color w:val="auto"/>
                <w:szCs w:val="21"/>
              </w:rPr>
              <w:t>36</w:t>
            </w:r>
            <w:r>
              <w:rPr>
                <w:rFonts w:hint="eastAsia" w:ascii="宋体" w:hAnsi="宋体" w:cs="宋体"/>
                <w:color w:val="auto"/>
                <w:szCs w:val="21"/>
                <w:lang w:val="zh-CN"/>
              </w:rPr>
              <w:t>V且为直流电。</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工作湿度：RH93%。</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工作温度：-</w:t>
            </w:r>
            <w:r>
              <w:rPr>
                <w:rFonts w:hint="eastAsia" w:ascii="宋体" w:hAnsi="宋体" w:cs="宋体"/>
                <w:color w:val="auto"/>
                <w:szCs w:val="21"/>
              </w:rPr>
              <w:t>4</w:t>
            </w:r>
            <w:r>
              <w:rPr>
                <w:rFonts w:hint="eastAsia" w:ascii="宋体" w:hAnsi="宋体" w:cs="宋体"/>
                <w:color w:val="auto"/>
                <w:szCs w:val="21"/>
                <w:lang w:val="zh-CN"/>
              </w:rPr>
              <w:t>0~</w:t>
            </w:r>
            <w:r>
              <w:rPr>
                <w:rFonts w:hint="eastAsia" w:ascii="宋体" w:hAnsi="宋体" w:cs="宋体"/>
                <w:color w:val="auto"/>
                <w:szCs w:val="21"/>
              </w:rPr>
              <w:t>70</w:t>
            </w:r>
            <w:r>
              <w:rPr>
                <w:rFonts w:hint="eastAsia" w:ascii="宋体" w:hAnsi="宋体" w:cs="宋体"/>
                <w:color w:val="auto"/>
                <w:szCs w:val="21"/>
                <w:lang w:val="zh-CN"/>
              </w:rPr>
              <w:t>℃；</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防护等级：IP67；</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静态负载力要求：不小于20吨（下降状态）；</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警示装置：运动柱体表面有反光警示条，宽度大于</w:t>
            </w:r>
            <w:r>
              <w:rPr>
                <w:rFonts w:hint="eastAsia" w:ascii="宋体" w:hAnsi="宋体" w:cs="宋体"/>
                <w:color w:val="auto"/>
                <w:szCs w:val="21"/>
              </w:rPr>
              <w:t>3</w:t>
            </w:r>
            <w:r>
              <w:rPr>
                <w:rFonts w:hint="eastAsia" w:ascii="宋体" w:hAnsi="宋体" w:cs="宋体"/>
                <w:color w:val="auto"/>
                <w:szCs w:val="21"/>
                <w:lang w:val="zh-CN"/>
              </w:rPr>
              <w:t>0mm，颜色为柠檬黄。运动柱体顶部设置LED警示灯带，灯芯之间的距离不得大于50mm。运动柱体运行过程中警示灯闪烁，其余时间常亮，且运动柱体完全下降后，夜晚中在远处仍可明显观察到地面有警示灯光。</w:t>
            </w:r>
          </w:p>
          <w:p>
            <w:pPr>
              <w:spacing w:before="156" w:beforeLines="50" w:after="156" w:afterLines="50" w:line="360" w:lineRule="auto"/>
              <w:rPr>
                <w:rFonts w:ascii="宋体" w:hAnsi="宋体" w:cs="宋体"/>
                <w:bCs/>
                <w:color w:val="auto"/>
                <w:kern w:val="0"/>
                <w:szCs w:val="21"/>
              </w:rPr>
            </w:pPr>
            <w:r>
              <w:rPr>
                <w:rFonts w:hint="eastAsia" w:ascii="宋体" w:hAnsi="宋体" w:cs="宋体"/>
                <w:color w:val="auto"/>
                <w:szCs w:val="21"/>
                <w:lang w:val="zh-CN"/>
              </w:rPr>
              <w:t>防滑设计：地面面板部分及运动柱体顶部必须设置防滑纹，防滑纹的深度、宽度均不得低于2mm，且防滑纹之间每个区域的内切圆直径不得大于60mm。</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4</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根</w:t>
            </w:r>
          </w:p>
        </w:tc>
        <w:tc>
          <w:tcPr>
            <w:tcW w:w="1205"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安创者、弗维、鼎隆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1483" w:type="dxa"/>
            <w:noWrap w:val="0"/>
            <w:vAlign w:val="center"/>
          </w:tcPr>
          <w:p>
            <w:pPr>
              <w:widowControl/>
              <w:spacing w:line="360" w:lineRule="auto"/>
              <w:jc w:val="left"/>
              <w:rPr>
                <w:rFonts w:ascii="宋体" w:hAnsi="宋体" w:cs="宋体"/>
                <w:bCs/>
                <w:color w:val="auto"/>
                <w:szCs w:val="21"/>
              </w:rPr>
            </w:pPr>
            <w:r>
              <w:rPr>
                <w:rFonts w:hint="eastAsia" w:ascii="宋体" w:hAnsi="宋体" w:cs="宋体"/>
                <w:color w:val="auto"/>
                <w:szCs w:val="21"/>
              </w:rPr>
              <w:t>气压控制系统</w:t>
            </w:r>
          </w:p>
        </w:tc>
        <w:tc>
          <w:tcPr>
            <w:tcW w:w="5926" w:type="dxa"/>
            <w:noWrap w:val="0"/>
            <w:vAlign w:val="center"/>
          </w:tcPr>
          <w:p>
            <w:pPr>
              <w:spacing w:before="156" w:beforeLines="50" w:after="156" w:afterLines="50" w:line="360" w:lineRule="auto"/>
              <w:rPr>
                <w:rFonts w:ascii="宋体" w:hAnsi="宋体" w:cs="宋体"/>
                <w:color w:val="auto"/>
                <w:szCs w:val="21"/>
                <w:lang w:val="zh-CN"/>
              </w:rPr>
            </w:pPr>
            <w:bookmarkStart w:id="1" w:name="_Toc3002_WPSOffice_Level2"/>
            <w:bookmarkStart w:id="2" w:name="_Toc10956_WPSOffice_Level2"/>
            <w:r>
              <w:rPr>
                <w:rFonts w:hint="eastAsia" w:ascii="宋体" w:hAnsi="宋体" w:cs="宋体"/>
                <w:color w:val="auto"/>
                <w:szCs w:val="21"/>
                <w:lang w:val="zh-CN"/>
              </w:rPr>
              <w:t>工作电压：AC220V，50Hz</w:t>
            </w:r>
            <w:bookmarkEnd w:id="1"/>
            <w:bookmarkEnd w:id="2"/>
            <w:r>
              <w:rPr>
                <w:rFonts w:hint="eastAsia" w:ascii="宋体" w:hAnsi="宋体" w:cs="宋体"/>
                <w:color w:val="auto"/>
                <w:szCs w:val="21"/>
                <w:lang w:val="zh-CN"/>
              </w:rPr>
              <w:t>；</w:t>
            </w:r>
          </w:p>
          <w:p>
            <w:pPr>
              <w:spacing w:before="156" w:beforeLines="50" w:after="156" w:afterLines="50" w:line="360" w:lineRule="auto"/>
              <w:rPr>
                <w:rFonts w:ascii="宋体" w:hAnsi="宋体" w:cs="宋体"/>
                <w:color w:val="auto"/>
                <w:szCs w:val="21"/>
                <w:lang w:val="zh-CN"/>
              </w:rPr>
            </w:pPr>
            <w:bookmarkStart w:id="3" w:name="_Toc773_WPSOffice_Level2"/>
            <w:bookmarkStart w:id="4" w:name="_Toc20656_WPSOffice_Level2"/>
            <w:r>
              <w:rPr>
                <w:rFonts w:hint="eastAsia" w:ascii="宋体" w:hAnsi="宋体" w:cs="宋体"/>
                <w:color w:val="auto"/>
                <w:szCs w:val="21"/>
                <w:lang w:val="zh-CN"/>
              </w:rPr>
              <w:t>使用功率：控制系统功率不大于2000W</w:t>
            </w:r>
            <w:bookmarkEnd w:id="3"/>
            <w:bookmarkEnd w:id="4"/>
            <w:r>
              <w:rPr>
                <w:rFonts w:hint="eastAsia" w:ascii="宋体" w:hAnsi="宋体" w:cs="宋体"/>
                <w:color w:val="auto"/>
                <w:szCs w:val="21"/>
                <w:lang w:val="zh-CN"/>
              </w:rPr>
              <w:t>；</w:t>
            </w:r>
          </w:p>
          <w:p>
            <w:pPr>
              <w:spacing w:before="156" w:beforeLines="50" w:after="156" w:afterLines="50" w:line="360" w:lineRule="auto"/>
              <w:rPr>
                <w:rFonts w:ascii="宋体" w:hAnsi="宋体" w:cs="宋体"/>
                <w:color w:val="auto"/>
                <w:szCs w:val="21"/>
                <w:lang w:val="zh-CN"/>
              </w:rPr>
            </w:pPr>
            <w:bookmarkStart w:id="5" w:name="_Toc5982_WPSOffice_Level2"/>
            <w:bookmarkStart w:id="6" w:name="_Toc4457_WPSOffice_Level2"/>
            <w:r>
              <w:rPr>
                <w:rFonts w:hint="eastAsia" w:ascii="宋体" w:hAnsi="宋体" w:cs="宋体"/>
                <w:color w:val="auto"/>
                <w:szCs w:val="21"/>
                <w:lang w:val="zh-CN"/>
              </w:rPr>
              <w:t>控制板提供地感信号、红外信号、火警信号输入接口。</w:t>
            </w:r>
            <w:bookmarkEnd w:id="5"/>
            <w:bookmarkEnd w:id="6"/>
          </w:p>
          <w:p>
            <w:pPr>
              <w:spacing w:before="156" w:beforeLines="50" w:after="156" w:afterLines="50" w:line="360" w:lineRule="auto"/>
              <w:rPr>
                <w:rFonts w:ascii="宋体" w:hAnsi="宋体" w:cs="宋体"/>
                <w:color w:val="auto"/>
                <w:szCs w:val="21"/>
                <w:lang w:val="zh-CN"/>
              </w:rPr>
            </w:pPr>
            <w:bookmarkStart w:id="7" w:name="_Toc19932_WPSOffice_Level1"/>
            <w:r>
              <w:rPr>
                <w:rFonts w:hint="eastAsia" w:ascii="宋体" w:hAnsi="宋体" w:cs="宋体"/>
                <w:color w:val="auto"/>
                <w:szCs w:val="21"/>
                <w:lang w:val="zh-CN"/>
              </w:rPr>
              <w:t>使用要求</w:t>
            </w:r>
            <w:bookmarkEnd w:id="7"/>
            <w:r>
              <w:rPr>
                <w:rFonts w:hint="eastAsia" w:ascii="宋体" w:hAnsi="宋体" w:cs="宋体"/>
                <w:color w:val="auto"/>
                <w:szCs w:val="21"/>
                <w:lang w:val="zh-CN"/>
              </w:rPr>
              <w:t>：</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控制方式：遥控器（遥控器上设置有保险开关）。</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遥控距离：</w:t>
            </w:r>
            <w:r>
              <w:rPr>
                <w:rFonts w:hint="eastAsia" w:ascii="宋体" w:hAnsi="宋体" w:cs="宋体"/>
                <w:color w:val="auto"/>
                <w:szCs w:val="21"/>
              </w:rPr>
              <w:t>50-100</w:t>
            </w:r>
            <w:r>
              <w:rPr>
                <w:rFonts w:hint="eastAsia" w:ascii="宋体" w:hAnsi="宋体" w:cs="宋体"/>
                <w:color w:val="auto"/>
                <w:szCs w:val="21"/>
                <w:lang w:val="zh-CN"/>
              </w:rPr>
              <w:t>米</w:t>
            </w:r>
            <w:r>
              <w:rPr>
                <w:rFonts w:hint="eastAsia" w:ascii="宋体" w:hAnsi="宋体" w:cs="宋体"/>
                <w:color w:val="auto"/>
                <w:szCs w:val="21"/>
                <w:lang w:val="zh-CN"/>
              </w:rPr>
              <w:tab/>
            </w:r>
            <w:r>
              <w:rPr>
                <w:rFonts w:hint="eastAsia" w:ascii="宋体" w:hAnsi="宋体" w:cs="宋体"/>
                <w:color w:val="auto"/>
                <w:szCs w:val="21"/>
                <w:lang w:val="zh-CN"/>
              </w:rPr>
              <w:t>。</w:t>
            </w:r>
          </w:p>
          <w:p>
            <w:pPr>
              <w:spacing w:before="156" w:beforeLines="50" w:after="156" w:afterLines="50" w:line="360" w:lineRule="auto"/>
              <w:rPr>
                <w:rFonts w:ascii="宋体" w:hAnsi="宋体" w:cs="宋体"/>
                <w:color w:val="auto"/>
                <w:szCs w:val="21"/>
                <w:lang w:val="zh-CN"/>
              </w:rPr>
            </w:pPr>
            <w:bookmarkStart w:id="8" w:name="OLE_LINK1"/>
            <w:bookmarkStart w:id="9" w:name="OLE_LINK2"/>
            <w:r>
              <w:rPr>
                <w:rFonts w:hint="eastAsia" w:ascii="宋体" w:hAnsi="宋体" w:cs="宋体"/>
                <w:color w:val="auto"/>
                <w:szCs w:val="21"/>
                <w:lang w:val="zh-CN"/>
              </w:rPr>
              <w:t>升降柱</w:t>
            </w:r>
            <w:bookmarkEnd w:id="8"/>
            <w:bookmarkEnd w:id="9"/>
            <w:r>
              <w:rPr>
                <w:rFonts w:hint="eastAsia" w:ascii="宋体" w:hAnsi="宋体" w:cs="宋体"/>
                <w:color w:val="auto"/>
                <w:szCs w:val="21"/>
                <w:lang w:val="zh-CN"/>
              </w:rPr>
              <w:t>运行速度：</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升降柱应具备2种运行速度（提供2个上升按钮），以满足日常使用需求及**使用需求。</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普通速度：上升时间≤3s（速度：≥20cm/s）且可调节,下降：≤3 s（速度：≥20cm/s）且可调节；</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**速度：上升时间≤1s（速度：60cm/s）。</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运动柱体断电状态：断电后，运动柱体自动下降。</w:t>
            </w:r>
          </w:p>
          <w:p>
            <w:pPr>
              <w:spacing w:before="156" w:beforeLines="50" w:after="156" w:afterLines="50" w:line="360" w:lineRule="auto"/>
              <w:rPr>
                <w:rFonts w:ascii="宋体" w:hAnsi="宋体" w:cs="宋体"/>
                <w:color w:val="auto"/>
                <w:szCs w:val="21"/>
                <w:lang w:val="zh-CN"/>
              </w:rPr>
            </w:pPr>
            <w:r>
              <w:rPr>
                <w:rFonts w:hint="eastAsia" w:ascii="宋体" w:hAnsi="宋体" w:cs="宋体"/>
                <w:color w:val="auto"/>
                <w:szCs w:val="21"/>
                <w:lang w:val="zh-CN"/>
              </w:rPr>
              <w:t>互联网远程控制：所有的升降柱控制系统可接入互联网。</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205"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安创者、弗维、鼎隆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10214" w:type="dxa"/>
            <w:gridSpan w:val="6"/>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备注：投标人负责完成本项目设备的安装、调试、质保期内维护。</w:t>
            </w:r>
          </w:p>
        </w:tc>
      </w:tr>
    </w:tbl>
    <w:p>
      <w:pPr>
        <w:pStyle w:val="47"/>
        <w:spacing w:line="360" w:lineRule="auto"/>
        <w:ind w:firstLine="0" w:firstLineChars="0"/>
        <w:rPr>
          <w:rFonts w:ascii="宋体" w:hAnsi="宋体"/>
          <w:color w:val="auto"/>
          <w:szCs w:val="21"/>
        </w:rPr>
      </w:pPr>
    </w:p>
    <w:p>
      <w:pPr>
        <w:spacing w:line="360" w:lineRule="auto"/>
        <w:rPr>
          <w:rFonts w:ascii="宋体" w:hAnsi="宋体"/>
          <w:color w:val="auto"/>
          <w:szCs w:val="21"/>
        </w:rPr>
        <w:sectPr>
          <w:pgSz w:w="11906" w:h="16838"/>
          <w:pgMar w:top="1440" w:right="1800" w:bottom="1440" w:left="1800" w:header="851" w:footer="992" w:gutter="0"/>
          <w:cols w:space="720" w:num="1"/>
          <w:docGrid w:type="lines" w:linePitch="312" w:charSpace="0"/>
        </w:sectPr>
      </w:pPr>
    </w:p>
    <w:p>
      <w:pPr>
        <w:pStyle w:val="4"/>
        <w:numPr>
          <w:ilvl w:val="0"/>
          <w:numId w:val="6"/>
        </w:numPr>
        <w:tabs>
          <w:tab w:val="clear" w:pos="1740"/>
        </w:tabs>
        <w:spacing w:before="0" w:line="360" w:lineRule="auto"/>
        <w:rPr>
          <w:rFonts w:ascii="宋体" w:hAnsi="宋体"/>
          <w:b w:val="0"/>
          <w:color w:val="auto"/>
          <w:sz w:val="21"/>
          <w:szCs w:val="21"/>
        </w:rPr>
      </w:pPr>
      <w:r>
        <w:rPr>
          <w:rFonts w:hint="eastAsia" w:ascii="宋体" w:hAnsi="宋体"/>
          <w:b w:val="0"/>
          <w:color w:val="auto"/>
          <w:sz w:val="21"/>
          <w:szCs w:val="21"/>
        </w:rPr>
        <w:t>安防视频入侵系统</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483"/>
        <w:gridCol w:w="5926"/>
        <w:gridCol w:w="561"/>
        <w:gridCol w:w="561"/>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spacing w:line="360" w:lineRule="auto"/>
              <w:jc w:val="center"/>
              <w:rPr>
                <w:rFonts w:ascii="宋体" w:hAnsi="宋体"/>
                <w:color w:val="auto"/>
                <w:szCs w:val="21"/>
              </w:rPr>
            </w:pPr>
            <w:r>
              <w:rPr>
                <w:rFonts w:hint="eastAsia" w:ascii="宋体" w:hAnsi="宋体"/>
                <w:color w:val="auto"/>
                <w:szCs w:val="21"/>
              </w:rPr>
              <w:t>序号</w:t>
            </w:r>
          </w:p>
        </w:tc>
        <w:tc>
          <w:tcPr>
            <w:tcW w:w="1483" w:type="dxa"/>
            <w:noWrap w:val="0"/>
            <w:vAlign w:val="center"/>
          </w:tcPr>
          <w:p>
            <w:pPr>
              <w:spacing w:line="360" w:lineRule="auto"/>
              <w:jc w:val="center"/>
              <w:rPr>
                <w:rFonts w:ascii="宋体" w:hAnsi="宋体"/>
                <w:color w:val="auto"/>
                <w:szCs w:val="21"/>
              </w:rPr>
            </w:pPr>
            <w:r>
              <w:rPr>
                <w:rFonts w:hint="eastAsia" w:ascii="宋体" w:hAnsi="宋体"/>
                <w:color w:val="auto"/>
                <w:szCs w:val="21"/>
              </w:rPr>
              <w:t>设备名称</w:t>
            </w:r>
          </w:p>
        </w:tc>
        <w:tc>
          <w:tcPr>
            <w:tcW w:w="5926" w:type="dxa"/>
            <w:noWrap w:val="0"/>
            <w:vAlign w:val="center"/>
          </w:tcPr>
          <w:p>
            <w:pPr>
              <w:spacing w:line="360" w:lineRule="auto"/>
              <w:jc w:val="center"/>
              <w:rPr>
                <w:rFonts w:ascii="宋体" w:hAnsi="宋体"/>
                <w:color w:val="auto"/>
                <w:szCs w:val="21"/>
              </w:rPr>
            </w:pPr>
            <w:r>
              <w:rPr>
                <w:rFonts w:hint="eastAsia" w:ascii="宋体" w:hAnsi="宋体"/>
                <w:color w:val="auto"/>
                <w:szCs w:val="21"/>
              </w:rPr>
              <w:t>技术参数</w:t>
            </w:r>
          </w:p>
        </w:tc>
        <w:tc>
          <w:tcPr>
            <w:tcW w:w="561" w:type="dxa"/>
            <w:noWrap w:val="0"/>
            <w:vAlign w:val="center"/>
          </w:tcPr>
          <w:p>
            <w:pPr>
              <w:spacing w:line="360" w:lineRule="auto"/>
              <w:jc w:val="center"/>
              <w:rPr>
                <w:rFonts w:ascii="宋体" w:hAnsi="宋体"/>
                <w:color w:val="auto"/>
                <w:szCs w:val="21"/>
              </w:rPr>
            </w:pPr>
            <w:r>
              <w:rPr>
                <w:rFonts w:hint="eastAsia" w:ascii="宋体" w:hAnsi="宋体"/>
                <w:color w:val="auto"/>
                <w:szCs w:val="21"/>
              </w:rPr>
              <w:t>数量</w:t>
            </w:r>
          </w:p>
        </w:tc>
        <w:tc>
          <w:tcPr>
            <w:tcW w:w="561" w:type="dxa"/>
            <w:noWrap w:val="0"/>
            <w:vAlign w:val="center"/>
          </w:tcPr>
          <w:p>
            <w:pPr>
              <w:spacing w:line="360" w:lineRule="auto"/>
              <w:jc w:val="center"/>
              <w:rPr>
                <w:rFonts w:ascii="宋体" w:hAnsi="宋体"/>
                <w:color w:val="auto"/>
                <w:szCs w:val="21"/>
              </w:rPr>
            </w:pPr>
            <w:r>
              <w:rPr>
                <w:rFonts w:hint="eastAsia" w:ascii="宋体" w:hAnsi="宋体"/>
                <w:color w:val="auto"/>
                <w:szCs w:val="21"/>
              </w:rPr>
              <w:t>单位</w:t>
            </w:r>
          </w:p>
        </w:tc>
        <w:tc>
          <w:tcPr>
            <w:tcW w:w="1110" w:type="dxa"/>
            <w:noWrap w:val="0"/>
            <w:vAlign w:val="center"/>
          </w:tcPr>
          <w:p>
            <w:pPr>
              <w:spacing w:line="360" w:lineRule="auto"/>
              <w:jc w:val="center"/>
              <w:rPr>
                <w:rFonts w:ascii="宋体" w:hAnsi="宋体"/>
                <w:color w:val="auto"/>
                <w:szCs w:val="21"/>
              </w:rPr>
            </w:pPr>
            <w:r>
              <w:rPr>
                <w:rFonts w:hint="eastAsia" w:ascii="宋体" w:hAnsi="宋体"/>
                <w:color w:val="auto"/>
                <w:szCs w:val="21"/>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1483"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智能全景监测摄像机</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【1600万180°三代球形鹰眼】</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星光级全景网络高清智能球机，采用一体化设计，单产品即可同时提供全景与特写画面，兼顾全景与细节。其中全景画面由4个传感器拼接而成，实现180度的全景监控；一体化机芯和高速云台设计，在全景监控的同时为用户提供快速细节定位功能。另外鹰眼系列全景球机还集成了先进的视频分析算法和多目标跟踪算法程序，可实现自动或手动对全景区域内的多个目标进行区域入侵、越界、进入区域、离开区域行为的检测，并可输出报警信号和联动云台跟踪，从而满足高等级要求的安保需求。</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全景摄像机芯:</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传感器类型:1/1.8＂ Progressive Scan CMOS；</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镜头:2.8mm/F1.6；</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视场角:水平180°，垂直100°；</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视频压缩:H.265/H.264/MJPEG(主码流不支持MJPEG)，支持Baseline/Main/High Profile；</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分辨率及帧率:主码流：50Hz: 25fps ( 5520x2400);60Hz: 30fps ( 5520x2400)；</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细节跟踪摄像机芯:</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图像传感器:1/1.8＂ Progressive Scan CMOS；</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最低照度:彩色：0.0005Lux @ (F1.5，AGC ON)；黑白：0.0001Lux @(F1.5，AGC ON) ；0 Lux with IR；</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红外功能:红外照射距离150m；红外灯亮度、角度根据场景智能调整；</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Smart图像增强:120dB超宽动态、光学透雾、强光抑制、SmartIR、电子防抖；</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焦距:5.6-208mm，37倍光学变倍；</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水平及垂直范围:水平360°；垂直-15°-90°(自动翻转)；</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水平速度:水平键控速度：0.1°-210°/s,速度可设； 水平预置点速度：240°/s；</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垂直速度:垂直键控速度：0.1°-150°/s,速度可设； 垂直预置点速度：200°/s；</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 xml:space="preserve">视频压缩:H.265/H.264/MJPEG，支持smart265、smart264编码，H.264编码支持Baseline/Main/High Profile， </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分辨率及帧率:主码流：50Hz:25fps (2560x1440) 60Hz:30fps (2560x1440)；</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电源接口:DC36V  ；</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网络接口:RJ45网口，自适应10M/100M/1000M网络数据；支持 Hi-PoE供电；</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光纤接口:采用FC接口，内置光纤模块（1000M网络数据、波长TX1310/RX1550nm、单纤单模、20km传输距离）；</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具有RS485控制接口</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报警输入/输出:7路报警输入；2路报警输出；</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音频输入/输出:1路音频输入；1路音频输出；</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SD卡接口:内置Micro SD卡插槽，支持Micro SD(即TF卡)/Micro SDHC/Micro SDXC卡（最大支持256G）；</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功耗:DC36V (Max. 90 W), Hi-PoE (Max. 75 W)，IR MAX.12W；</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工作温度和湿度:-40℃-70℃；湿度小于90%；</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防护等级:IP66；</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尺寸:约Φ391.8x400.5mm ；</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重量: 约18kg；</w:t>
            </w:r>
          </w:p>
          <w:p>
            <w:pPr>
              <w:widowControl/>
              <w:spacing w:line="360" w:lineRule="auto"/>
              <w:jc w:val="left"/>
              <w:rPr>
                <w:rFonts w:hint="eastAsia" w:ascii="宋体" w:hAnsi="宋体" w:cs="宋体"/>
                <w:bCs/>
                <w:color w:val="auto"/>
                <w:kern w:val="0"/>
                <w:szCs w:val="21"/>
              </w:rPr>
            </w:pPr>
            <w:r>
              <w:rPr>
                <w:rFonts w:hint="eastAsia" w:ascii="宋体" w:hAnsi="宋体" w:cs="宋体"/>
                <w:color w:val="auto"/>
                <w:kern w:val="0"/>
                <w:szCs w:val="21"/>
              </w:rPr>
              <w:t>支持水平手控速度不小于800°/S，云台定位精度为不大于0.1°。垂直手控速度不小于200°/S</w:t>
            </w:r>
            <w:r>
              <w:rPr>
                <w:rFonts w:hint="eastAsia" w:ascii="宋体" w:hAnsi="宋体" w:cs="宋体"/>
                <w:bCs/>
                <w:color w:val="auto"/>
                <w:kern w:val="0"/>
                <w:szCs w:val="21"/>
              </w:rPr>
              <w:t>（投标文件中提供公安部检验报告，技术参数是否响应以检验报告内容为准）；</w:t>
            </w:r>
          </w:p>
          <w:p>
            <w:pPr>
              <w:widowControl/>
              <w:spacing w:line="360" w:lineRule="auto"/>
              <w:jc w:val="left"/>
              <w:rPr>
                <w:rFonts w:hint="eastAsia" w:ascii="宋体" w:hAnsi="宋体" w:cs="宋体"/>
                <w:color w:val="auto"/>
                <w:kern w:val="0"/>
                <w:szCs w:val="21"/>
              </w:rPr>
            </w:pPr>
            <w:r>
              <w:rPr>
                <w:rFonts w:hint="eastAsia" w:ascii="宋体" w:hAnsi="宋体" w:cs="宋体"/>
                <w:color w:val="auto"/>
                <w:kern w:val="0"/>
                <w:szCs w:val="21"/>
              </w:rPr>
              <w:t>红外灯开启时，样机可根据被摄物的距离自动调节红外灯功率密度。红外夜视距离：可识别距离样机550m外人体轮廓</w:t>
            </w:r>
            <w:r>
              <w:rPr>
                <w:rFonts w:hint="eastAsia" w:ascii="宋体" w:hAnsi="宋体" w:cs="宋体"/>
                <w:bCs/>
                <w:color w:val="auto"/>
                <w:kern w:val="0"/>
                <w:szCs w:val="21"/>
              </w:rPr>
              <w:t>（投标文件中提供公安部检验报告，技术参数是否响应以检验报告内容为准）；</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rPr>
                <w:rFonts w:ascii="宋体" w:hAnsi="宋体" w:cs="宋体"/>
                <w:color w:val="auto"/>
                <w:kern w:val="0"/>
                <w:szCs w:val="21"/>
              </w:rPr>
            </w:pPr>
            <w:r>
              <w:rPr>
                <w:rFonts w:hint="eastAsia" w:ascii="宋体" w:hAnsi="宋体" w:cs="宋体"/>
                <w:color w:val="auto"/>
                <w:kern w:val="0"/>
                <w:szCs w:val="21"/>
              </w:rPr>
              <w:t>海康威视、三星、英飞拓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1483" w:type="dxa"/>
            <w:noWrap w:val="0"/>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全彩摄像机</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200万1/2.7”CMOS 全彩筒型网络摄像机；</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传感器类型:1/2.7” Progressive Scan CMOS；</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最小照度:彩色：0.0005Lux@F1.0，AGC ON；0Lux with Light</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镜头:4mm,水平视场角89°;(6mm 水平视场角56°可选)；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宽动态范围:120dB；</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视频压缩标准:H.265 / H.264 / MJPEG；</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最大图像尺寸:1920 × 1080；</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存储功能:支持NAS(NFS,SMB/CIFS均支持)；</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工作温度和湿度 -30℃~60℃,湿度小于95%(无凝结)；</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电源供应:DC12V±20% / PoE(802.3af) ；</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电源接口类型:Φ5.5圆头电源接口；</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功耗:POE：6.5W Max；；</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防护等级:IP67；</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补光照射距离:暖光最远可达30米；</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内置2颗白光补光灯。（投标文件中提供公安部型式检验报告）；</w:t>
            </w:r>
          </w:p>
          <w:p>
            <w:pPr>
              <w:widowControl/>
              <w:spacing w:line="360" w:lineRule="auto"/>
              <w:jc w:val="left"/>
              <w:rPr>
                <w:rFonts w:ascii="宋体" w:hAnsi="宋体" w:cs="宋体"/>
                <w:color w:val="auto"/>
                <w:kern w:val="0"/>
                <w:szCs w:val="21"/>
              </w:rPr>
            </w:pPr>
            <w:r>
              <w:rPr>
                <w:rFonts w:hint="eastAsia" w:ascii="宋体" w:hAnsi="宋体" w:cs="宋体"/>
                <w:bCs/>
                <w:color w:val="auto"/>
                <w:kern w:val="0"/>
                <w:szCs w:val="21"/>
              </w:rPr>
              <w:t>白天或夜晚均可输出彩色视频图像。（投标文件中提供公安部型式检验报告）；</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20</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rPr>
                <w:rFonts w:ascii="宋体" w:hAnsi="宋体" w:cs="宋体"/>
                <w:color w:val="auto"/>
                <w:kern w:val="0"/>
                <w:szCs w:val="21"/>
              </w:rPr>
            </w:pPr>
            <w:r>
              <w:rPr>
                <w:rFonts w:hint="eastAsia" w:ascii="宋体" w:hAnsi="宋体" w:cs="宋体"/>
                <w:color w:val="auto"/>
                <w:kern w:val="0"/>
                <w:szCs w:val="21"/>
              </w:rPr>
              <w:t>海康威视、三星、英飞拓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vMerge w:val="restart"/>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3</w:t>
            </w:r>
          </w:p>
        </w:tc>
        <w:tc>
          <w:tcPr>
            <w:tcW w:w="1483" w:type="dxa"/>
            <w:vMerge w:val="restart"/>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摄像机支架</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壁装支架/铂晶灰/铝合金/88×116.6×297.3mm；</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20</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个</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 xml:space="preserve">  海康威视、三星、英飞拓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8" w:type="dxa"/>
            <w:vMerge w:val="continue"/>
            <w:noWrap w:val="0"/>
            <w:vAlign w:val="center"/>
          </w:tcPr>
          <w:p>
            <w:pPr>
              <w:widowControl/>
              <w:spacing w:line="360" w:lineRule="auto"/>
              <w:jc w:val="center"/>
              <w:rPr>
                <w:rFonts w:ascii="宋体" w:hAnsi="宋体" w:cs="宋体"/>
                <w:color w:val="auto"/>
                <w:kern w:val="0"/>
                <w:szCs w:val="21"/>
              </w:rPr>
            </w:pPr>
          </w:p>
        </w:tc>
        <w:tc>
          <w:tcPr>
            <w:tcW w:w="1483" w:type="dxa"/>
            <w:vMerge w:val="continue"/>
            <w:noWrap w:val="0"/>
            <w:vAlign w:val="center"/>
          </w:tcPr>
          <w:p>
            <w:pPr>
              <w:widowControl/>
              <w:spacing w:line="360" w:lineRule="auto"/>
              <w:jc w:val="center"/>
              <w:textAlignment w:val="center"/>
              <w:rPr>
                <w:rFonts w:ascii="宋体" w:hAnsi="宋体" w:cs="宋体"/>
                <w:color w:val="auto"/>
                <w:kern w:val="0"/>
                <w:szCs w:val="21"/>
              </w:rPr>
            </w:pP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长壁装/铂晶灰/铝合金/；</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个</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 xml:space="preserve">  海康威视、三星、英飞拓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4</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硬盘</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4TB/64MB(6Gb/秒 NCQ)/5900RPM/SATA3；</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6</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块</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 xml:space="preserve">  海康威视、三星、英飞拓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5</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智能周界视频分析主机</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周界小超脑/S；</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最高16路周界防范报警（ 周界模式最高支持800W分辨率，200W时支持16路，400W时8路，800W时2路。）</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硬件规格：</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2U标准机架式；</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2个HDMI，2个VGA,HDMI+VGA组内同源；</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8盘位，可满配6TB硬盘 ；</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2个千兆网口；</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2个USB2.0接口、1个USB3.0接口；</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1个eSATA接口；</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支持RAID0、1、5、6、10，支持全局热备盘；</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报警IO：16进4出(选配16进8出)。</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软件性能：</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输入带宽：320M；</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32路H.264、H.265混合接入；</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最大支持16×1080P解码；</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支持H.265、H.264解码；</w:t>
            </w:r>
          </w:p>
          <w:p>
            <w:pPr>
              <w:widowControl/>
              <w:spacing w:line="360" w:lineRule="auto"/>
              <w:jc w:val="left"/>
              <w:rPr>
                <w:rFonts w:ascii="宋体" w:hAnsi="宋体" w:cs="宋体"/>
                <w:color w:val="auto"/>
                <w:kern w:val="0"/>
                <w:szCs w:val="21"/>
              </w:rPr>
            </w:pPr>
            <w:r>
              <w:rPr>
                <w:rFonts w:hint="eastAsia" w:ascii="宋体" w:hAnsi="宋体" w:cs="宋体"/>
                <w:bCs/>
                <w:color w:val="auto"/>
                <w:kern w:val="0"/>
                <w:szCs w:val="21"/>
              </w:rPr>
              <w:t>支持周界报警过滤功能，对IPC上报的越界侦测报警和区域入侵报警进行去误报，可去除由树叶、灯光、车辆、阴影以及小动物引起的误报，最大支持8路（投标文件中提供公安部检验报告，技术参数是否响应以检验报告内容为准）；</w:t>
            </w:r>
          </w:p>
          <w:p>
            <w:pPr>
              <w:widowControl/>
              <w:spacing w:line="360" w:lineRule="auto"/>
              <w:jc w:val="left"/>
              <w:rPr>
                <w:rFonts w:ascii="宋体" w:hAnsi="宋体" w:cs="宋体"/>
                <w:color w:val="auto"/>
                <w:kern w:val="0"/>
                <w:szCs w:val="21"/>
              </w:rPr>
            </w:pPr>
            <w:r>
              <w:rPr>
                <w:rFonts w:hint="eastAsia" w:ascii="宋体" w:hAnsi="宋体" w:cs="宋体"/>
                <w:bCs/>
                <w:color w:val="auto"/>
                <w:kern w:val="0"/>
                <w:szCs w:val="21"/>
              </w:rPr>
              <w:t>支持对人体图片进行结构化识别，可提取出人体属性（性别、年龄段、衣服颜色、戴眼镜、背包、骑车），并支持按属性进行检索人体图片； 可对图片进行建模，并支持人体以图搜图（投标文件中提供公安部检验报告，技术参数是否响应以检验报告内容为准）。</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 xml:space="preserve">  海康威视、三星、英飞拓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6</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电动伸拉门</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原有电动双开伸拉门改造成单开形式；</w:t>
            </w:r>
          </w:p>
        </w:tc>
        <w:tc>
          <w:tcPr>
            <w:tcW w:w="561"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项</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10119" w:type="dxa"/>
            <w:gridSpan w:val="6"/>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备注：投标人负责完成本项目设备的安装、调试、运维。</w:t>
            </w:r>
          </w:p>
        </w:tc>
      </w:tr>
    </w:tbl>
    <w:p>
      <w:pPr>
        <w:spacing w:line="360" w:lineRule="auto"/>
        <w:rPr>
          <w:rFonts w:ascii="宋体" w:hAnsi="宋体"/>
          <w:color w:val="auto"/>
          <w:szCs w:val="21"/>
        </w:rPr>
        <w:sectPr>
          <w:pgSz w:w="11906" w:h="16838"/>
          <w:pgMar w:top="1440" w:right="1800" w:bottom="1440" w:left="1800" w:header="851" w:footer="992" w:gutter="0"/>
          <w:cols w:space="720" w:num="1"/>
          <w:docGrid w:type="lines" w:linePitch="312" w:charSpace="0"/>
        </w:sectPr>
      </w:pPr>
    </w:p>
    <w:p>
      <w:pPr>
        <w:pStyle w:val="4"/>
        <w:numPr>
          <w:ilvl w:val="0"/>
          <w:numId w:val="6"/>
        </w:numPr>
        <w:tabs>
          <w:tab w:val="clear" w:pos="1740"/>
        </w:tabs>
        <w:spacing w:before="0" w:line="360" w:lineRule="auto"/>
        <w:rPr>
          <w:rFonts w:ascii="宋体" w:hAnsi="宋体" w:cs="宋体"/>
          <w:b w:val="0"/>
          <w:color w:val="auto"/>
          <w:kern w:val="0"/>
          <w:sz w:val="21"/>
          <w:szCs w:val="21"/>
        </w:rPr>
      </w:pPr>
      <w:r>
        <w:rPr>
          <w:rFonts w:hint="eastAsia" w:ascii="宋体" w:hAnsi="宋体" w:cs="宋体"/>
          <w:b w:val="0"/>
          <w:color w:val="auto"/>
          <w:kern w:val="0"/>
          <w:sz w:val="21"/>
          <w:szCs w:val="21"/>
        </w:rPr>
        <w:t>人脸识别通道系统</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483"/>
        <w:gridCol w:w="5926"/>
        <w:gridCol w:w="561"/>
        <w:gridCol w:w="561"/>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spacing w:line="360" w:lineRule="auto"/>
              <w:jc w:val="center"/>
              <w:rPr>
                <w:rFonts w:ascii="宋体" w:hAnsi="宋体"/>
                <w:color w:val="auto"/>
                <w:szCs w:val="21"/>
              </w:rPr>
            </w:pPr>
            <w:r>
              <w:rPr>
                <w:rFonts w:hint="eastAsia" w:ascii="宋体" w:hAnsi="宋体"/>
                <w:color w:val="auto"/>
                <w:szCs w:val="21"/>
              </w:rPr>
              <w:t>序号</w:t>
            </w:r>
          </w:p>
        </w:tc>
        <w:tc>
          <w:tcPr>
            <w:tcW w:w="1483" w:type="dxa"/>
            <w:noWrap w:val="0"/>
            <w:vAlign w:val="center"/>
          </w:tcPr>
          <w:p>
            <w:pPr>
              <w:spacing w:line="360" w:lineRule="auto"/>
              <w:jc w:val="center"/>
              <w:rPr>
                <w:rFonts w:ascii="宋体" w:hAnsi="宋体"/>
                <w:color w:val="auto"/>
                <w:szCs w:val="21"/>
              </w:rPr>
            </w:pPr>
            <w:r>
              <w:rPr>
                <w:rFonts w:hint="eastAsia" w:ascii="宋体" w:hAnsi="宋体"/>
                <w:color w:val="auto"/>
                <w:szCs w:val="21"/>
              </w:rPr>
              <w:t>设备名称</w:t>
            </w:r>
          </w:p>
        </w:tc>
        <w:tc>
          <w:tcPr>
            <w:tcW w:w="5926" w:type="dxa"/>
            <w:noWrap w:val="0"/>
            <w:vAlign w:val="center"/>
          </w:tcPr>
          <w:p>
            <w:pPr>
              <w:spacing w:line="360" w:lineRule="auto"/>
              <w:jc w:val="center"/>
              <w:rPr>
                <w:rFonts w:ascii="宋体" w:hAnsi="宋体"/>
                <w:color w:val="auto"/>
                <w:szCs w:val="21"/>
              </w:rPr>
            </w:pPr>
            <w:r>
              <w:rPr>
                <w:rFonts w:hint="eastAsia" w:ascii="宋体" w:hAnsi="宋体"/>
                <w:color w:val="auto"/>
                <w:szCs w:val="21"/>
              </w:rPr>
              <w:t>技术参数</w:t>
            </w:r>
          </w:p>
        </w:tc>
        <w:tc>
          <w:tcPr>
            <w:tcW w:w="561" w:type="dxa"/>
            <w:noWrap w:val="0"/>
            <w:vAlign w:val="center"/>
          </w:tcPr>
          <w:p>
            <w:pPr>
              <w:spacing w:line="360" w:lineRule="auto"/>
              <w:jc w:val="center"/>
              <w:rPr>
                <w:rFonts w:ascii="宋体" w:hAnsi="宋体"/>
                <w:color w:val="auto"/>
                <w:szCs w:val="21"/>
              </w:rPr>
            </w:pPr>
            <w:r>
              <w:rPr>
                <w:rFonts w:hint="eastAsia" w:ascii="宋体" w:hAnsi="宋体"/>
                <w:color w:val="auto"/>
                <w:szCs w:val="21"/>
              </w:rPr>
              <w:t>数量</w:t>
            </w:r>
          </w:p>
        </w:tc>
        <w:tc>
          <w:tcPr>
            <w:tcW w:w="561" w:type="dxa"/>
            <w:noWrap w:val="0"/>
            <w:vAlign w:val="center"/>
          </w:tcPr>
          <w:p>
            <w:pPr>
              <w:spacing w:line="360" w:lineRule="auto"/>
              <w:jc w:val="center"/>
              <w:rPr>
                <w:rFonts w:ascii="宋体" w:hAnsi="宋体"/>
                <w:color w:val="auto"/>
                <w:szCs w:val="21"/>
              </w:rPr>
            </w:pPr>
            <w:r>
              <w:rPr>
                <w:rFonts w:hint="eastAsia" w:ascii="宋体" w:hAnsi="宋体"/>
                <w:color w:val="auto"/>
                <w:szCs w:val="21"/>
              </w:rPr>
              <w:t>单位</w:t>
            </w:r>
          </w:p>
        </w:tc>
        <w:tc>
          <w:tcPr>
            <w:tcW w:w="1110" w:type="dxa"/>
            <w:noWrap w:val="0"/>
            <w:vAlign w:val="center"/>
          </w:tcPr>
          <w:p>
            <w:pPr>
              <w:spacing w:line="360" w:lineRule="auto"/>
              <w:jc w:val="center"/>
              <w:rPr>
                <w:rFonts w:ascii="宋体" w:hAnsi="宋体"/>
                <w:color w:val="auto"/>
                <w:szCs w:val="21"/>
              </w:rPr>
            </w:pPr>
            <w:r>
              <w:rPr>
                <w:rFonts w:hint="eastAsia" w:ascii="宋体" w:hAnsi="宋体"/>
                <w:color w:val="auto"/>
                <w:szCs w:val="21"/>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单机芯翼闸左边道</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1200mm*300mm*990mm/通道宽度550mm/通行速度20-60人每分钟/6对红外检测/室内、室外</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海康威视、捷顺、汉军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1483" w:type="dxa"/>
            <w:noWrap w:val="0"/>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单机芯翼闸右边道</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1200mm*300mm*990mm/通道宽度550mm/通行速度20-60人每分钟/6对红外检测/室内、室外</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海康威视、捷顺、汉军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3</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人脸识别一体机</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1、设备外观：采用7英寸LCD触摸显示屏，200万像素双目摄像头，面部识别距离0.3m-1m，支持照片视频防假；</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2、设备容量：支持3000张人脸白名单，1：N人脸比对时间＜0.2S/人，支持5000张卡片，10000条记录；</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3、认证方式：支持人脸、刷卡、密码（指工号+密码）及其组合的认证方式；可读取Mifare卡（IC卡）卡号及内容、CPU序列号、身份证序列号；支持二维码识别（与门口机可识别二维码类型保持一致）；</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4、通讯方式：上行通讯为TCP/IP，支持Ehome跨公网传输；支持外接RS485，Wiegand副读卡器（不支持外接指纹读卡器）；</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5、视频对讲：支持与云眸、4200客户端、主副室内分机、管理机的视频对讲功能；支持远程视频预览功能，可以通过RTSP协议输出视频码流，编码格式H.264；</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6、输入接口：LAN*1、RS485*1、wiegand26/34 * 1(支持双向)、USB*1、门磁*1、报警输入*2、防拆*1、开门按钮*1；</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7、输出接口：电锁*1个，报警输出*1个；</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8、工作电压： DC 12V/3A，不自带电源；</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9、使用环境：室内外环境，避免阳光直射；</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10、安装方式：标配金属安装挂板，支持明装、86底盒安装；</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11、产品尺寸：约239mm*116.5mm*33mm；</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12、工作温度：-30~60℃。</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设备支持活体检测（视频防假）功能；无需用户配合（眨眼、点头、摇头等动作），即可完成真人检测。</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海康威视、捷顺、汉军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4</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二维码扫描器</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内嵌入闸机中；</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扫描方式：二维码影像式</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尺寸：约73 mm（L） x 51 mm （W）x 26 mm（H）；</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海康威视、捷顺、汉军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5</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遮阳罩</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人脸识别一体机配套室外遮阳罩；</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套</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海康威视、捷顺、汉军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6</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通道支架</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人脸识别一体机配套通道支架；</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个</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海康威视、捷顺、汉军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7</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遥控器</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人脸识别一体机配套遥控器，遥控器使用范围：10-30m；</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个</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海康威视、捷顺、汉军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2"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8</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室外挡雨棚</w:t>
            </w:r>
          </w:p>
        </w:tc>
        <w:tc>
          <w:tcPr>
            <w:tcW w:w="5926" w:type="dxa"/>
            <w:noWrap w:val="0"/>
            <w:vAlign w:val="center"/>
          </w:tcPr>
          <w:p>
            <w:pPr>
              <w:widowControl/>
              <w:spacing w:line="360" w:lineRule="auto"/>
              <w:jc w:val="left"/>
              <w:rPr>
                <w:rFonts w:hint="eastAsia" w:ascii="宋体" w:hAnsi="宋体" w:cs="宋体"/>
                <w:color w:val="auto"/>
                <w:kern w:val="0"/>
                <w:szCs w:val="21"/>
              </w:rPr>
            </w:pPr>
            <w:r>
              <w:rPr>
                <w:rFonts w:hint="eastAsia" w:ascii="宋体" w:hAnsi="宋体" w:cs="宋体"/>
                <w:color w:val="auto"/>
                <w:kern w:val="0"/>
                <w:szCs w:val="21"/>
              </w:rPr>
              <w:t>人脸识别一体机配套室外挡雨棚；</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套</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10119" w:type="dxa"/>
            <w:gridSpan w:val="6"/>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备注：投标人负责完成本项目设备的安装、调试、运维。</w:t>
            </w:r>
          </w:p>
        </w:tc>
      </w:tr>
    </w:tbl>
    <w:p>
      <w:pPr>
        <w:pStyle w:val="2"/>
        <w:spacing w:line="360" w:lineRule="auto"/>
        <w:rPr>
          <w:rFonts w:ascii="宋体" w:hAnsi="宋体"/>
          <w:b w:val="0"/>
          <w:color w:val="auto"/>
          <w:sz w:val="21"/>
          <w:szCs w:val="21"/>
        </w:rPr>
        <w:sectPr>
          <w:pgSz w:w="11906" w:h="16838"/>
          <w:pgMar w:top="1440" w:right="1800" w:bottom="1440" w:left="1800" w:header="851" w:footer="992" w:gutter="0"/>
          <w:cols w:space="720" w:num="1"/>
          <w:docGrid w:type="lines" w:linePitch="312" w:charSpace="0"/>
        </w:sectPr>
      </w:pPr>
    </w:p>
    <w:p>
      <w:pPr>
        <w:pStyle w:val="4"/>
        <w:numPr>
          <w:ilvl w:val="0"/>
          <w:numId w:val="6"/>
        </w:numPr>
        <w:tabs>
          <w:tab w:val="clear" w:pos="1740"/>
        </w:tabs>
        <w:spacing w:before="0" w:line="360" w:lineRule="auto"/>
        <w:rPr>
          <w:rFonts w:ascii="宋体" w:hAnsi="宋体" w:cs="宋体"/>
          <w:b w:val="0"/>
          <w:color w:val="auto"/>
          <w:kern w:val="0"/>
          <w:sz w:val="21"/>
          <w:szCs w:val="21"/>
        </w:rPr>
      </w:pPr>
      <w:r>
        <w:rPr>
          <w:rFonts w:hint="eastAsia" w:ascii="宋体" w:hAnsi="宋体" w:cs="宋体"/>
          <w:b w:val="0"/>
          <w:color w:val="auto"/>
          <w:kern w:val="0"/>
          <w:sz w:val="21"/>
          <w:szCs w:val="21"/>
        </w:rPr>
        <w:t>校园安全风险防控平台</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483"/>
        <w:gridCol w:w="5926"/>
        <w:gridCol w:w="561"/>
        <w:gridCol w:w="561"/>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spacing w:line="360" w:lineRule="auto"/>
              <w:jc w:val="center"/>
              <w:rPr>
                <w:rFonts w:ascii="宋体" w:hAnsi="宋体"/>
                <w:color w:val="auto"/>
                <w:szCs w:val="21"/>
              </w:rPr>
            </w:pPr>
            <w:r>
              <w:rPr>
                <w:rFonts w:hint="eastAsia" w:ascii="宋体" w:hAnsi="宋体"/>
                <w:color w:val="auto"/>
                <w:szCs w:val="21"/>
              </w:rPr>
              <w:t>序号</w:t>
            </w:r>
          </w:p>
        </w:tc>
        <w:tc>
          <w:tcPr>
            <w:tcW w:w="1483" w:type="dxa"/>
            <w:noWrap w:val="0"/>
            <w:vAlign w:val="center"/>
          </w:tcPr>
          <w:p>
            <w:pPr>
              <w:spacing w:line="360" w:lineRule="auto"/>
              <w:jc w:val="center"/>
              <w:rPr>
                <w:rFonts w:ascii="宋体" w:hAnsi="宋体"/>
                <w:color w:val="auto"/>
                <w:szCs w:val="21"/>
              </w:rPr>
            </w:pPr>
            <w:r>
              <w:rPr>
                <w:rFonts w:hint="eastAsia" w:ascii="宋体" w:hAnsi="宋体"/>
                <w:color w:val="auto"/>
                <w:szCs w:val="21"/>
              </w:rPr>
              <w:t>设备名称</w:t>
            </w:r>
          </w:p>
        </w:tc>
        <w:tc>
          <w:tcPr>
            <w:tcW w:w="5926" w:type="dxa"/>
            <w:noWrap w:val="0"/>
            <w:vAlign w:val="center"/>
          </w:tcPr>
          <w:p>
            <w:pPr>
              <w:spacing w:line="360" w:lineRule="auto"/>
              <w:jc w:val="center"/>
              <w:rPr>
                <w:rFonts w:ascii="宋体" w:hAnsi="宋体"/>
                <w:color w:val="auto"/>
                <w:szCs w:val="21"/>
              </w:rPr>
            </w:pPr>
            <w:r>
              <w:rPr>
                <w:rFonts w:hint="eastAsia" w:ascii="宋体" w:hAnsi="宋体"/>
                <w:color w:val="auto"/>
                <w:szCs w:val="21"/>
              </w:rPr>
              <w:t>技术参数</w:t>
            </w:r>
          </w:p>
        </w:tc>
        <w:tc>
          <w:tcPr>
            <w:tcW w:w="561" w:type="dxa"/>
            <w:noWrap w:val="0"/>
            <w:vAlign w:val="center"/>
          </w:tcPr>
          <w:p>
            <w:pPr>
              <w:spacing w:line="360" w:lineRule="auto"/>
              <w:jc w:val="center"/>
              <w:rPr>
                <w:rFonts w:ascii="宋体" w:hAnsi="宋体"/>
                <w:color w:val="auto"/>
                <w:szCs w:val="21"/>
              </w:rPr>
            </w:pPr>
            <w:r>
              <w:rPr>
                <w:rFonts w:hint="eastAsia" w:ascii="宋体" w:hAnsi="宋体"/>
                <w:color w:val="auto"/>
                <w:szCs w:val="21"/>
              </w:rPr>
              <w:t>数量</w:t>
            </w:r>
          </w:p>
        </w:tc>
        <w:tc>
          <w:tcPr>
            <w:tcW w:w="561" w:type="dxa"/>
            <w:noWrap w:val="0"/>
            <w:vAlign w:val="center"/>
          </w:tcPr>
          <w:p>
            <w:pPr>
              <w:spacing w:line="360" w:lineRule="auto"/>
              <w:jc w:val="center"/>
              <w:rPr>
                <w:rFonts w:ascii="宋体" w:hAnsi="宋体"/>
                <w:color w:val="auto"/>
                <w:szCs w:val="21"/>
              </w:rPr>
            </w:pPr>
            <w:r>
              <w:rPr>
                <w:rFonts w:hint="eastAsia" w:ascii="宋体" w:hAnsi="宋体"/>
                <w:color w:val="auto"/>
                <w:szCs w:val="21"/>
              </w:rPr>
              <w:t>单位</w:t>
            </w:r>
          </w:p>
        </w:tc>
        <w:tc>
          <w:tcPr>
            <w:tcW w:w="1110" w:type="dxa"/>
            <w:noWrap w:val="0"/>
            <w:vAlign w:val="center"/>
          </w:tcPr>
          <w:p>
            <w:pPr>
              <w:spacing w:line="360" w:lineRule="auto"/>
              <w:jc w:val="center"/>
              <w:rPr>
                <w:rFonts w:ascii="宋体" w:hAnsi="宋体"/>
                <w:color w:val="auto"/>
                <w:szCs w:val="21"/>
              </w:rPr>
            </w:pPr>
            <w:r>
              <w:rPr>
                <w:rFonts w:hint="eastAsia" w:ascii="宋体" w:hAnsi="宋体"/>
                <w:color w:val="auto"/>
                <w:szCs w:val="21"/>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7887" w:type="dxa"/>
            <w:gridSpan w:val="3"/>
            <w:noWrap w:val="0"/>
            <w:vAlign w:val="center"/>
          </w:tcPr>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一、校端设备及软件</w:t>
            </w:r>
          </w:p>
        </w:tc>
        <w:tc>
          <w:tcPr>
            <w:tcW w:w="561" w:type="dxa"/>
            <w:noWrap w:val="0"/>
            <w:vAlign w:val="center"/>
          </w:tcPr>
          <w:p>
            <w:pPr>
              <w:widowControl/>
              <w:spacing w:line="360" w:lineRule="auto"/>
              <w:jc w:val="center"/>
              <w:rPr>
                <w:rFonts w:ascii="宋体" w:hAnsi="宋体" w:cs="宋体"/>
                <w:color w:val="auto"/>
                <w:kern w:val="0"/>
                <w:szCs w:val="21"/>
              </w:rPr>
            </w:pPr>
          </w:p>
        </w:tc>
        <w:tc>
          <w:tcPr>
            <w:tcW w:w="561" w:type="dxa"/>
            <w:noWrap w:val="0"/>
            <w:vAlign w:val="center"/>
          </w:tcPr>
          <w:p>
            <w:pPr>
              <w:widowControl/>
              <w:spacing w:line="360" w:lineRule="auto"/>
              <w:jc w:val="center"/>
              <w:rPr>
                <w:rFonts w:ascii="宋体" w:hAnsi="宋体" w:cs="宋体"/>
                <w:color w:val="auto"/>
                <w:kern w:val="0"/>
                <w:szCs w:val="21"/>
              </w:rPr>
            </w:pPr>
          </w:p>
        </w:tc>
        <w:tc>
          <w:tcPr>
            <w:tcW w:w="1110" w:type="dxa"/>
            <w:noWrap w:val="0"/>
            <w:vAlign w:val="center"/>
          </w:tcPr>
          <w:p>
            <w:pPr>
              <w:widowControl/>
              <w:spacing w:line="360" w:lineRule="auto"/>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校园安全智能广播物联中控主机</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1.嵌入式系统管理软件和内置嵌入式TTS语音引擎软件；</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支持通过手机、电脑、平板等设备远程管理及发布音频广播、文字广播；支持分区播报、录音播报、电话播报、定时播报；具备分权限管理、远程自动升级、自动时间校对等功能；智能识别敏感词，并进行提示或者强制屏蔽敏感词，保障内容播报的安全性。</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3.支持网络语音单点播报、电话白名单网络设置、远程重启（网络）、指定广播分区设置、查询及统计等功能；</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4.提供资源服务：个性化铃声定制、安全知识广播资源库、校园文化广播资源库、动态预警信息等资源服务；</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5.通信制式支持以太网络、WIFI网络、移动网络；</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6.支持以太网、WIFI和移动网络的自动切换；</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 xml:space="preserve">7.硬件配置：微型处理器；自带≥1G内存、≥16GeMMCFlash外置存储；支持SD扩展，最大支持32GB；支持7寸及以上电容触摸屏，IPS材质，分辨率≥1024*600；支持至少1路10M/100M自适应网口，采用RJ45接口；支持3路音频输出接口，支持1路音频接口用于回环接入；支持3个USB接口，至少1路在前面板挂载U盘使用，2路在后面板用于扩展；至少1个OTG接口供系统调试和升级使用；至少1个RS485接口用于连接智能分区控制主机和智能电源控制主机；至少1个RS232标准串口用于扩展；至少1个SIM卡槽；有内置恢复出厂设置功能；至少3个高增益天线口；自带锁屏/开屏按键(带背光)，自带紧急停止按键(带背光)； </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8.电源：AC220V±10%/50～60Hz；保护：ACFUSE(1A)；</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9.设备支持有线网络、无线WIFI网络及移动网络（3G/4G）方式接入平台，支持在有线、无线网络出现问题时应急预案的正常启动；支持FM广播。（投标时提供功能截图证明）</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10.设备支持对接多种IP广播协议对接；至少支持4路监控接入，可供手机通过互联网查看。</w:t>
            </w:r>
            <w:r>
              <w:rPr>
                <w:rFonts w:hint="eastAsia" w:ascii="宋体" w:hAnsi="宋体" w:cs="宋体"/>
                <w:color w:val="auto"/>
                <w:kern w:val="0"/>
                <w:szCs w:val="21"/>
              </w:rPr>
              <w:t>（</w:t>
            </w:r>
            <w:r>
              <w:rPr>
                <w:rFonts w:hint="eastAsia" w:ascii="宋体" w:hAnsi="宋体"/>
                <w:color w:val="auto"/>
                <w:szCs w:val="21"/>
              </w:rPr>
              <w:t>功能一演示：</w:t>
            </w:r>
            <w:r>
              <w:rPr>
                <w:rFonts w:hint="eastAsia" w:ascii="宋体" w:hAnsi="宋体" w:cs="宋体"/>
                <w:color w:val="auto"/>
                <w:kern w:val="0"/>
                <w:szCs w:val="21"/>
              </w:rPr>
              <w:t>此功能以现场演示为准）</w:t>
            </w:r>
          </w:p>
          <w:p>
            <w:pPr>
              <w:widowControl/>
              <w:spacing w:line="360" w:lineRule="auto"/>
              <w:jc w:val="left"/>
              <w:rPr>
                <w:rFonts w:ascii="宋体" w:hAnsi="宋体" w:cs="宋体"/>
                <w:color w:val="auto"/>
                <w:kern w:val="0"/>
                <w:szCs w:val="21"/>
              </w:rPr>
            </w:pPr>
            <w:r>
              <w:rPr>
                <w:rFonts w:hint="eastAsia" w:ascii="宋体" w:hAnsi="宋体" w:cs="宋体"/>
                <w:bCs/>
                <w:color w:val="auto"/>
                <w:kern w:val="0"/>
                <w:szCs w:val="21"/>
              </w:rPr>
              <w:t>11.手机客户端与广播设备在同一局域网内，手机客户端可发现广播，进行登录认证、广播列表获取、广播喊话、分区控制、广播控制（播报、暂停、重新播放、取消、删除等）、播放状态实时同步。以上功能广播设备在线、离线均可实现。（</w:t>
            </w:r>
            <w:r>
              <w:rPr>
                <w:rFonts w:hint="eastAsia" w:ascii="宋体" w:hAnsi="宋体"/>
                <w:color w:val="auto"/>
                <w:szCs w:val="21"/>
              </w:rPr>
              <w:t>功能二演示：</w:t>
            </w:r>
            <w:r>
              <w:rPr>
                <w:rFonts w:hint="eastAsia" w:ascii="宋体" w:hAnsi="宋体" w:cs="宋体"/>
                <w:color w:val="auto"/>
                <w:kern w:val="0"/>
                <w:szCs w:val="21"/>
              </w:rPr>
              <w:t>此功能以现场演示为准，通过操作设备屏幕从本地U盘选取音频资源进行广播任务的添加，实现定时、即时播放）</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12.设备在线可以实时同步状态和数据到云平台（任务、状态、播放资源），设备离线需要做缓存处理，当设备恢复在线可以自行同步到云平台（任务、状态、资源）。</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13.支持电话喊话音频录制并可上传到平台做记录留痕。</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14.投标文件中提供该产品的软件著作权证书复印件及3C认证证书复印件。</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3</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学安、校安、安信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97"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1483" w:type="dxa"/>
            <w:noWrap w:val="0"/>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kern w:val="0"/>
                <w:szCs w:val="21"/>
              </w:rPr>
              <w:t>校园安全智能分区控制主机</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1.嵌入式系统软件，矩阵式控制；</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2.接收来自智能物联控制主机的通讯控制进行分区的控制；</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3.支持多级级联，支持远程自动升级；</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4.支持多路输入和输出，最大支持4*16个分区；</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 xml:space="preserve">5.硬件配置：16路独立分区选择开关；分区随意开关，互不干扰；可根据需要设置控制时间间隔；控制方式：手动或软件控制；有至少三路485接口，可级联；自带拨码开关，可设置唯一ID； </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6.电源：AC220V±10%/50～60Hz；保护：AC FUSE(1A)；</w:t>
            </w:r>
          </w:p>
          <w:p>
            <w:pPr>
              <w:widowControl/>
              <w:spacing w:line="360" w:lineRule="auto"/>
              <w:jc w:val="left"/>
              <w:rPr>
                <w:rFonts w:ascii="宋体" w:hAnsi="宋体" w:cs="宋体"/>
                <w:color w:val="auto"/>
                <w:kern w:val="0"/>
                <w:szCs w:val="21"/>
              </w:rPr>
            </w:pPr>
            <w:r>
              <w:rPr>
                <w:rFonts w:hint="eastAsia" w:ascii="宋体" w:hAnsi="宋体" w:cs="宋体"/>
                <w:bCs/>
                <w:color w:val="auto"/>
                <w:kern w:val="0"/>
                <w:szCs w:val="21"/>
              </w:rPr>
              <w:t>7.</w:t>
            </w:r>
            <w:r>
              <w:rPr>
                <w:rFonts w:hint="eastAsia" w:ascii="宋体" w:hAnsi="宋体" w:cs="宋体"/>
                <w:color w:val="auto"/>
                <w:kern w:val="0"/>
                <w:szCs w:val="21"/>
              </w:rPr>
              <w:t xml:space="preserve"> 投标文件中</w:t>
            </w:r>
            <w:r>
              <w:rPr>
                <w:rFonts w:hint="eastAsia" w:ascii="宋体" w:hAnsi="宋体" w:cs="宋体"/>
                <w:bCs/>
                <w:color w:val="auto"/>
                <w:kern w:val="0"/>
                <w:szCs w:val="21"/>
              </w:rPr>
              <w:t>提供该产品的软件著作权证书复印件及产品的3C认证证书；</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学安、校安、安信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3</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视频直播接入网关</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硬件配置：</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1.电压：AC220V±10%/50～60Hz；</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2.功率：≤50W；</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3.屏幕：电容触摸屏；</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4.CPU: Intel ATOM J1900以上配置；</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5.内存:  ≥4G DDR3 1333mHz；</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6.硬盘SSD: ≥16G，用于安装系统；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7.网口：千兆网卡≥2个；</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8.接口：≥1个VGA，≥1个USB接口，≥1个HDMI接口；</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主要功能：</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1.软硬一体服务器，无需安装，开机即可工作；</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2.简单易用的 Web 操作，简洁设备管理界面；</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3.支持标准协议Onvif接入；</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4.支持众多主流设备接入；</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5.支持第三方 SDK 私有协议接入，具备快速接入能力；</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6.支持标准码流转码，实现与校园安全风险防控平台的无缝对接；</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7.设备具有高度灵活性和兼容性，支持与校园安全风险防控平台、运维服务器、解码器、网络键盘等各类应用平台的无缝对接。</w:t>
            </w:r>
          </w:p>
          <w:p>
            <w:pPr>
              <w:widowControl/>
              <w:spacing w:line="360" w:lineRule="auto"/>
              <w:jc w:val="left"/>
              <w:rPr>
                <w:rFonts w:ascii="宋体" w:hAnsi="宋体" w:cs="宋体"/>
                <w:color w:val="auto"/>
                <w:kern w:val="0"/>
                <w:szCs w:val="21"/>
              </w:rPr>
            </w:pPr>
            <w:r>
              <w:rPr>
                <w:rFonts w:hint="eastAsia" w:ascii="宋体" w:hAnsi="宋体" w:cs="宋体"/>
                <w:bCs/>
                <w:color w:val="auto"/>
                <w:kern w:val="0"/>
                <w:szCs w:val="21"/>
              </w:rPr>
              <w:t>8.通过液晶面板配置监控设备IP地址；通过配置界面查看监控设备相关信息，实现RTSP视频源接入配置。</w:t>
            </w:r>
            <w:r>
              <w:rPr>
                <w:rFonts w:hint="eastAsia" w:ascii="宋体" w:hAnsi="宋体" w:cs="宋体"/>
                <w:color w:val="auto"/>
                <w:kern w:val="0"/>
                <w:szCs w:val="21"/>
              </w:rPr>
              <w:t>（</w:t>
            </w:r>
            <w:r>
              <w:rPr>
                <w:rFonts w:hint="eastAsia" w:ascii="宋体" w:hAnsi="宋体"/>
                <w:color w:val="auto"/>
                <w:szCs w:val="21"/>
              </w:rPr>
              <w:t>功能三演示：</w:t>
            </w:r>
            <w:r>
              <w:rPr>
                <w:rFonts w:hint="eastAsia" w:ascii="宋体" w:hAnsi="宋体" w:cs="宋体"/>
                <w:color w:val="auto"/>
                <w:kern w:val="0"/>
                <w:szCs w:val="21"/>
              </w:rPr>
              <w:t>此功能以现场演示为准）</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9.支持学校预案编制中应急直播推流摄像头配置，支持频道定义和推流延时关闭时长配置。</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10.支持应急演练启动后配置摄像头的自动直播推流，同时支持手机APP的直播推流。支持手机端和平台端应急演练直播查看功能，提供上级教育应急演练直播提醒与查看功能。支持摄像头在预案执行过程中的自动录制功能。支持预案过程与现场视频录制自动归档功能。（投标文件中提供功能截图证明）</w:t>
            </w:r>
            <w:r>
              <w:rPr>
                <w:rFonts w:hint="eastAsia" w:ascii="宋体" w:hAnsi="宋体" w:cs="宋体"/>
                <w:color w:val="auto"/>
                <w:kern w:val="0"/>
                <w:szCs w:val="21"/>
              </w:rPr>
              <w:br w:type="textWrapping"/>
            </w:r>
            <w:r>
              <w:rPr>
                <w:rFonts w:hint="eastAsia" w:ascii="宋体" w:hAnsi="宋体" w:cs="宋体"/>
                <w:color w:val="auto"/>
                <w:kern w:val="0"/>
                <w:szCs w:val="21"/>
              </w:rPr>
              <w:t>11.支持接入监控视频数量≥128路（投标文件中提供功能截图证明）</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12. 投标文件中提供该产品的软件著作权证书复印件及3C认证证书复印件。</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3</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学安、校安、安信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4</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智能物联预警中控主机</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1.CPU:Intel低功耗 CPU；</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2.内存:≥4G DDR3 1333mHz；</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3.硬盘SSD: ≥64G；</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4.网口：千兆网卡≥2个；</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5.接口：≥1个VGA，≥1个USB接口；≥4个串口接口；</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6.电压：AC220V±10%/50～60Hz；</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7.功率：≤50W；</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主要功能要求：</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1.支持至少2个网段的网络配置，支持web配置管理；</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2.支持周界预警多设备的添加；支持报警摄像头的配置和管理；</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3.支持摄像头报警音频配置；</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4.支持周界报警设备的SDK接入；</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5.支持周界报警触发时接收现场图片，同时把图片推送到管理端；</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7.支持接入校园安全综合管理系统平台，实现与校园安全综合管理系统平台、校园安全手机管理客户端数据互联互通。(投标文件中提供相关功能截图证明)</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8. 投标文件中提供该产品的软件著作权证书复印件及3</w:t>
            </w:r>
            <w:r>
              <w:rPr>
                <w:rFonts w:ascii="宋体" w:hAnsi="宋体" w:cs="宋体"/>
                <w:color w:val="auto"/>
                <w:kern w:val="0"/>
                <w:szCs w:val="21"/>
              </w:rPr>
              <w:t>C</w:t>
            </w:r>
            <w:r>
              <w:rPr>
                <w:rFonts w:hint="eastAsia" w:ascii="宋体" w:hAnsi="宋体" w:cs="宋体"/>
                <w:color w:val="auto"/>
                <w:kern w:val="0"/>
                <w:szCs w:val="21"/>
              </w:rPr>
              <w:t>认证证书复印件；</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学安、校安、安信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5</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智能触摸应急访客机</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1.登记支持二代、三代身份证登记：来访可以可以通过刷二代身份证，进行进入登记。支持证件拍照登记：用户使用证件进行拍照登记。支持手动登记。</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2.登记信息证件号、姓名、电话、家庭住址、来访缘由、来访人数、车牌号码、来访时的实时照片。</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3.通知被访人员通过手机APP实时通知、通过微信公众号实时通知。</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4.获取实时操作反馈能够实时获取被访人员的操作，是允许还是拒绝。</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5.进入凭证支持打印访客条、访客卡。</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6.离开方式支持扫描访客条、刷访客卡、刷身份证、手动离开。</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7.输入法支持拼音、笔画、手写等。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8.支持多个出入口的单位接入多台访客机协同工作，实现在一台访客机登记，多出口离开。</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9.支持手机客户批量预约，推送二维码到手机客户端，通过访客机和手机扫码进行访客登记。</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10.支持人、证合一校验。</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11.支持名片OCR识别进行访客登记。</w:t>
            </w:r>
          </w:p>
          <w:p>
            <w:pPr>
              <w:widowControl/>
              <w:spacing w:line="360" w:lineRule="auto"/>
              <w:jc w:val="left"/>
              <w:rPr>
                <w:rFonts w:hint="eastAsia" w:ascii="宋体" w:hAnsi="宋体" w:cs="宋体"/>
                <w:color w:val="auto"/>
                <w:kern w:val="0"/>
                <w:szCs w:val="21"/>
              </w:rPr>
            </w:pPr>
            <w:r>
              <w:rPr>
                <w:rFonts w:hint="eastAsia" w:ascii="宋体" w:hAnsi="宋体" w:cs="宋体"/>
                <w:color w:val="auto"/>
                <w:kern w:val="0"/>
                <w:szCs w:val="21"/>
              </w:rPr>
              <w:t>12.支持指纹验证后一键启动紧急预案。</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13.支持指纹录入密码认证。</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14.支持接入校园安全综合管理系统平台，实现与校园安全综合管理系统平台、校园安全手机管理客户端数据互联互通。</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15.访客记录支持在校园安全综合管理系统平台查看和导出，通过校园安全综合管理系统平台进行通讯录和人员标记等数据管理。</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设备硬件配置：</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1.CPU：四核≥1.8GHz</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2.存储：≥2GB;≥8GB FLASH；</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3.显示屏：主屏幕≥15.6英寸，多点触控电容屏；副屏≥11.6英寸；</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4.操作系统：Android 5.0以上</w:t>
            </w:r>
            <w:r>
              <w:rPr>
                <w:rFonts w:hint="eastAsia" w:ascii="宋体" w:hAnsi="宋体" w:cs="宋体"/>
                <w:color w:val="auto"/>
                <w:kern w:val="0"/>
                <w:szCs w:val="21"/>
              </w:rPr>
              <w:tab/>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5.高速热敏打印机，纸宽58mm，打印速度≥18字行/秒，纸卷直径50mm；</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6.硬件功能：WIFI 802.11b/g/n，2.4GHz；</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7.接口：I/O端口</w:t>
            </w:r>
            <w:r>
              <w:rPr>
                <w:rFonts w:hint="eastAsia" w:ascii="宋体" w:hAnsi="宋体" w:cs="宋体"/>
                <w:color w:val="auto"/>
                <w:kern w:val="0"/>
                <w:szCs w:val="21"/>
              </w:rPr>
              <w:tab/>
            </w:r>
            <w:r>
              <w:rPr>
                <w:rFonts w:hint="eastAsia" w:ascii="宋体" w:hAnsi="宋体" w:cs="宋体"/>
                <w:color w:val="auto"/>
                <w:kern w:val="0"/>
                <w:szCs w:val="21"/>
              </w:rPr>
              <w:t>≥4USB接口；≥1Micro-USB接口；≥1RS232接口；≥1RJ11接口；≥1RJ45接口；</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8.通讯方式:支持WIFI、以太网、WIFI、蓝牙3.0等；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9.电源：12V DC，3A；</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10.摄像头: 支持二维码+前置摄像头（拍人），支持外接USB摄像头;副屏≥500w像素摄像头。</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11. 投标文件中提供该产品的软件著作权证书及3C认证证书复印件。</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学安、校安、安信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6</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智能安全检查标识</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bCs/>
                <w:color w:val="auto"/>
                <w:kern w:val="0"/>
                <w:szCs w:val="21"/>
              </w:rPr>
              <w:t>需具备二维码及NFC唯一标识，方便巡查人员通过手机二维码扫描、NFC感应对当前位置检查点具体检查项目进行正常或异常状态设置和上报。可固定于特定检查区域。(</w:t>
            </w:r>
            <w:r>
              <w:rPr>
                <w:rFonts w:hint="eastAsia" w:ascii="宋体" w:hAnsi="宋体"/>
                <w:color w:val="auto"/>
                <w:szCs w:val="21"/>
              </w:rPr>
              <w:t>功能四演示：</w:t>
            </w:r>
            <w:r>
              <w:rPr>
                <w:rFonts w:hint="eastAsia" w:ascii="宋体" w:hAnsi="宋体" w:cs="宋体"/>
                <w:bCs/>
                <w:color w:val="auto"/>
                <w:kern w:val="0"/>
                <w:szCs w:val="21"/>
              </w:rPr>
              <w:t>此功能以现场演示为准，</w:t>
            </w:r>
            <w:r>
              <w:rPr>
                <w:rFonts w:hint="eastAsia" w:ascii="宋体" w:hAnsi="宋体"/>
                <w:bCs/>
                <w:color w:val="auto"/>
                <w:szCs w:val="21"/>
              </w:rPr>
              <w:t>通过手机客户端演示值班上报功能，在值班巡视的过程中可以产生巡查轨迹，在平台和手机端可查看轨迹图片，统计情况)</w:t>
            </w:r>
            <w:r>
              <w:rPr>
                <w:rFonts w:hint="eastAsia" w:ascii="宋体" w:hAnsi="宋体" w:cs="宋体"/>
                <w:color w:val="auto"/>
                <w:kern w:val="0"/>
                <w:szCs w:val="21"/>
              </w:rPr>
              <w:t>（此功能以现场演示为准）</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90</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块</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学安、校安、安信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7</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一键报警盒</w:t>
            </w:r>
          </w:p>
        </w:tc>
        <w:tc>
          <w:tcPr>
            <w:tcW w:w="5926" w:type="dxa"/>
            <w:noWrap w:val="0"/>
            <w:vAlign w:val="center"/>
          </w:tcPr>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一、硬件参数：</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外观：铁艺/贴膜/LED显示</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电源：工作电压DC12V/1A（配有220V电源适配器）</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硬件接口：RJ45口</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二、功能描述：</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 xml:space="preserve">1、支持在TCP服务端、TCP客户端、UDP方运行。 </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2、支持MODBUS TCP协议。</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4、能自定义设备名称，支持中文定义，当设备多的时候不用记录繁琐的IP号。</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5、可以自定义时间，实现可靠性断网恢复。</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6、支持开关量透传模式。</w:t>
            </w:r>
          </w:p>
          <w:p>
            <w:pPr>
              <w:widowControl/>
              <w:spacing w:line="360" w:lineRule="auto"/>
              <w:jc w:val="left"/>
              <w:rPr>
                <w:rFonts w:ascii="宋体" w:hAnsi="宋体" w:cs="宋体"/>
                <w:color w:val="auto"/>
                <w:kern w:val="0"/>
                <w:szCs w:val="21"/>
              </w:rPr>
            </w:pPr>
            <w:r>
              <w:rPr>
                <w:rFonts w:hint="eastAsia" w:ascii="宋体" w:hAnsi="宋体" w:cs="宋体"/>
                <w:bCs/>
                <w:color w:val="auto"/>
                <w:kern w:val="0"/>
                <w:szCs w:val="21"/>
              </w:rPr>
              <w:t>7、支持接入校园安全风险防控平台，发现险情发生的时候，可以通过手机APP进行一键报警到指挥中心，也可按压物理报警按键向学校安全负责人或110指挥中心报警。收到报警后弹出报警信息的同时播放报警提示音。</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3</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学安、校安、安信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8</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放学系统呼叫软件</w:t>
            </w:r>
          </w:p>
        </w:tc>
        <w:tc>
          <w:tcPr>
            <w:tcW w:w="5926" w:type="dxa"/>
            <w:noWrap w:val="0"/>
            <w:vAlign w:val="center"/>
          </w:tcPr>
          <w:p>
            <w:pPr>
              <w:adjustRightInd w:val="0"/>
              <w:snapToGrid w:val="0"/>
              <w:spacing w:line="360" w:lineRule="auto"/>
              <w:rPr>
                <w:rFonts w:ascii="宋体" w:hAnsi="宋体" w:cs="宋体"/>
                <w:bCs/>
                <w:color w:val="auto"/>
                <w:szCs w:val="21"/>
              </w:rPr>
            </w:pPr>
            <w:r>
              <w:rPr>
                <w:rFonts w:hint="eastAsia" w:ascii="宋体" w:hAnsi="宋体" w:cs="宋体"/>
                <w:bCs/>
                <w:color w:val="auto"/>
                <w:szCs w:val="21"/>
              </w:rPr>
              <w:t>1) 当学生开始放学时，教师可通过手机客户端，联动广播将放学信息“XX班开始放学”通知到家长，并支持立即播放/定时播放模式。</w:t>
            </w:r>
          </w:p>
          <w:p>
            <w:pPr>
              <w:adjustRightInd w:val="0"/>
              <w:snapToGrid w:val="0"/>
              <w:spacing w:line="360" w:lineRule="auto"/>
              <w:rPr>
                <w:rFonts w:ascii="宋体" w:hAnsi="宋体" w:cs="宋体"/>
                <w:bCs/>
                <w:color w:val="auto"/>
                <w:szCs w:val="21"/>
              </w:rPr>
            </w:pPr>
            <w:r>
              <w:rPr>
                <w:rFonts w:hint="eastAsia" w:ascii="宋体" w:hAnsi="宋体" w:cs="宋体"/>
                <w:bCs/>
                <w:color w:val="auto"/>
                <w:szCs w:val="21"/>
              </w:rPr>
              <w:t>2) 未被及时接走的学生，在等待区进行等待的同时，家长端可通过手机端/微信发起接送信息并联动显示屏进行文本显示与语音播报。</w:t>
            </w:r>
          </w:p>
          <w:p>
            <w:pPr>
              <w:adjustRightInd w:val="0"/>
              <w:snapToGrid w:val="0"/>
              <w:spacing w:line="360" w:lineRule="auto"/>
              <w:rPr>
                <w:rFonts w:ascii="宋体" w:hAnsi="宋体" w:cs="宋体"/>
                <w:bCs/>
                <w:color w:val="auto"/>
                <w:szCs w:val="21"/>
              </w:rPr>
            </w:pPr>
            <w:r>
              <w:rPr>
                <w:rFonts w:hint="eastAsia" w:ascii="宋体" w:hAnsi="宋体" w:cs="宋体"/>
                <w:bCs/>
                <w:color w:val="auto"/>
                <w:szCs w:val="21"/>
              </w:rPr>
              <w:t>3) 支持显示消息滚动播放。</w:t>
            </w:r>
          </w:p>
          <w:p>
            <w:pPr>
              <w:adjustRightInd w:val="0"/>
              <w:snapToGrid w:val="0"/>
              <w:spacing w:line="360" w:lineRule="auto"/>
              <w:rPr>
                <w:rFonts w:ascii="宋体" w:hAnsi="宋体" w:cs="宋体"/>
                <w:bCs/>
                <w:color w:val="auto"/>
                <w:szCs w:val="21"/>
              </w:rPr>
            </w:pPr>
            <w:r>
              <w:rPr>
                <w:rFonts w:hint="eastAsia" w:ascii="宋体" w:hAnsi="宋体" w:cs="宋体"/>
                <w:bCs/>
                <w:color w:val="auto"/>
                <w:szCs w:val="21"/>
              </w:rPr>
              <w:t>4) 支持自定义设置显示信息下架时间。</w:t>
            </w:r>
          </w:p>
          <w:p>
            <w:pPr>
              <w:widowControl/>
              <w:spacing w:line="360" w:lineRule="auto"/>
              <w:jc w:val="left"/>
              <w:rPr>
                <w:rFonts w:ascii="宋体" w:hAnsi="宋体" w:cs="宋体"/>
                <w:color w:val="auto"/>
                <w:kern w:val="0"/>
                <w:szCs w:val="21"/>
              </w:rPr>
            </w:pPr>
            <w:r>
              <w:rPr>
                <w:rFonts w:hint="eastAsia" w:ascii="宋体" w:hAnsi="宋体" w:cs="宋体"/>
                <w:bCs/>
                <w:color w:val="auto"/>
                <w:szCs w:val="21"/>
              </w:rPr>
              <w:t>5) 系统支持同学校原有服务号互联互通。</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套</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学安、校安、安信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9</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放学系统液晶显示屏</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43寸液晶显示屏，具有无线功能，具有1个网口，1个HDMI接口</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AOC、三星、小米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10</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放学系统终端盒</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设备参数：</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CPU: A7 4核心</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内存: 1G</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Flash: 4G</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输出: HDMI</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系统: Android 5.0系统</w:t>
            </w:r>
            <w:r>
              <w:rPr>
                <w:rFonts w:hint="eastAsia" w:ascii="宋体" w:hAnsi="宋体" w:cs="宋体"/>
                <w:color w:val="auto"/>
                <w:kern w:val="0"/>
                <w:szCs w:val="21"/>
              </w:rPr>
              <w:br w:type="textWrapping"/>
            </w:r>
            <w:r>
              <w:rPr>
                <w:rFonts w:hint="eastAsia" w:ascii="宋体" w:hAnsi="宋体" w:cs="宋体"/>
                <w:bCs/>
                <w:color w:val="auto"/>
                <w:kern w:val="0"/>
                <w:szCs w:val="21"/>
              </w:rPr>
              <w:t>设备功能：支持通过校园安全风险防控平台，实现手机客户端、微信公众号等应用端发布快捷消息且内容可编辑。</w:t>
            </w:r>
            <w:r>
              <w:rPr>
                <w:rFonts w:hint="eastAsia" w:ascii="宋体" w:hAnsi="宋体" w:cs="宋体"/>
                <w:color w:val="auto"/>
                <w:kern w:val="0"/>
                <w:szCs w:val="21"/>
              </w:rPr>
              <w:t>（投标时提供功能截图）</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学安、校安、安信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11</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室外不锈钢安装</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室外显示器采用不锈钢包边</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项</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12</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校园安全管理专用手机软件</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至少包括Android和IOS两个版本的客户端</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即时通信：点对点交流：包含教育局用户、学校用户、家庭用户之间的点对点沟通和交流。群组交流：可以自行创建群组并对群组成员进行管理，支持群组通知发送、多媒体发送，支持群组成员删除、邀请等。公共账号发送：支持公共账号方式发送消息，消息支持文本消息和多媒体消息。</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2.新闻浏览：支持学校新闻内容浏览，支持学校自定义新闻分类展示等。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通知：发送通知：可以根据权限能够看到的用户发送通知信息，内容可以支持文本、图片、语音等。确认情况：发送者可以清晰的查看发送目标人数、已确认人数、未确认人数，点击后可以查看具体已读、未读人员。</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4.活动：支持校内活动列表展示，支持点击后进行活动内容查看与浏览。支持通过手机进行活动参与，尤其是需要拍照、录像、录音上传的活动，需要客户端直接支持上传。</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5.校园广播：支持校园作息广播的查看、取消、暂停、播报等模式切换；支持常用广播任务的增加、修改、删除、暂停、播报；支持分区的手动选择打开；支持增加定时和即时广播，内容可以是语音、文本、FM广播等，可指定分区；支持应急电话喊话，可指定分区；实时查看广播设备的在线状态。(投标时提供相关功能截图证明)</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6.访客管理：支持访客通知、访客确认、访客预约。</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7. 手机考勤：支持学生和教师考勤；手机蓝牙考勤、手机蓝牙+人脸考勤、考勤统计、请假管理。会议签到：会议签到方式共有三种：扫描二维码签到：用户可以通过平台导出的二维码，通过手机客户端直接扫描签到；蓝牙签到：用户在创建会议室时绑定智能考勤终端就可以使用蓝牙签到，可以通过手机打开蓝牙进行签到。蓝牙+人脸识别：用户在创建会议室时绑定支持人脸的智能考勤终端就可以使用蓝牙+人脸识别，可以通过手机打开蓝牙然后进行人脸识别签到。(投标时提供相关功能截图证明)</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8.护学护导：基于护导签到牌的护导管理功能；支持手机护导排班、签到、查看、统计、问题上报等。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9.安全知识：安全知识浏览：支持按照分类、学段等条件筛选安全知识内容。安全知识资源支持文本、网页、图片、文档（PPT、WORD、PDF、EXCE等）、视频、动画等在线浏览。安全资源收藏：支持安全资源收藏功能，收藏后能够在个人收藏夹看到并进行管理。安全资源推荐：老师能够将比较好的安全资源通过即时消息方式推荐给家长或者学生。安全资源分享：可以将安全资源分享到班级圈子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10. 隐患情况：隐患发现：发现隐患时可以通过手机拍照、录音、文字描述、小视频等方式进行隐患记录与上报。以及对上报的隐患进行管理与查看。隐患处理：安全负责人可以对上报的隐患通过手机进行确认、处理等操作。支持处理人员指派、处理结果反馈、处理结果填报等。安全巡检:支持扫描二维码巡检，并上报巡检信息，支持手机拍照、录音、文字描述等方式进行上报。(投标文件中提供相关功能截图证明)</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11. 应急预案：预案查看：可以对学校制定的应急预案进行查看与学习。一键启动：根据预案设置，有启动权限的人员通过手机可以进行预案的一键启动。并可以查看预案执行的动态。任务控制：预案启动者可以对预案的任务进行实时控制，包括广播任务和消息任务。(投标文件中提供相关功能截图证明)</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12.一键报警：点击一键报警按钮，报警消息推送到指挥中心大屏，大屏上弹出报警提示信息，报警信息会直接推送到本校安全主管负责人的手机APP上进行报警提示，同时会拨打配置好的报警电话通过拨打电话的方式进行报警处理。</w:t>
            </w:r>
            <w:r>
              <w:rPr>
                <w:rFonts w:hint="eastAsia" w:ascii="宋体" w:hAnsi="宋体" w:cs="宋体"/>
                <w:bCs/>
                <w:color w:val="auto"/>
                <w:kern w:val="0"/>
                <w:szCs w:val="21"/>
              </w:rPr>
              <w:t>(</w:t>
            </w:r>
            <w:r>
              <w:rPr>
                <w:rFonts w:hint="eastAsia" w:ascii="宋体" w:hAnsi="宋体"/>
                <w:color w:val="auto"/>
                <w:szCs w:val="21"/>
              </w:rPr>
              <w:t>功能五演示：</w:t>
            </w:r>
            <w:r>
              <w:rPr>
                <w:rFonts w:hint="eastAsia" w:ascii="宋体" w:hAnsi="宋体" w:cs="宋体"/>
                <w:bCs/>
                <w:color w:val="auto"/>
                <w:kern w:val="0"/>
                <w:szCs w:val="21"/>
              </w:rPr>
              <w:t>此功能以现场演示为准)</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13.视频监控：可以通过手机客户端对具有访问权限的摄像头进行在线浏览，可以设置监控查看的密码。处理手段：查看监控时支持抓图发送，在同一界面集成实时喊话及启动应急预案等。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14.支持在局域网内自动发现应急直播设备，可通过局域网实现接入摄像机的查看，在线巡检，抓图，启动应急预案和广播喊话等应急联动操作</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15数据统计：可以查看辖区内学校的安全任务完成情况及评分排名情况。</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16.安全报告：支持手机客户端接收查看安全报告、安全工作任务、安全文件，安全信息及数据上报。</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17.食品安全管理：支持手机客户端查看日常食品检测结果和异常报警推送；</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18.用电安全管理：支持手机客户端接收异常用电告警提醒；</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19.空气质量检测：支持手机客户端查看温度、湿度、PM2.5、甲醛等数据查看；</w:t>
            </w:r>
          </w:p>
          <w:p>
            <w:pPr>
              <w:widowControl/>
              <w:spacing w:line="360" w:lineRule="auto"/>
              <w:jc w:val="left"/>
              <w:rPr>
                <w:rFonts w:hint="eastAsia" w:ascii="宋体" w:hAnsi="宋体" w:cs="宋体"/>
                <w:bCs/>
                <w:color w:val="auto"/>
                <w:kern w:val="0"/>
                <w:szCs w:val="21"/>
              </w:rPr>
            </w:pPr>
            <w:r>
              <w:rPr>
                <w:rFonts w:hint="eastAsia" w:ascii="宋体" w:hAnsi="宋体" w:cs="宋体"/>
                <w:bCs/>
                <w:color w:val="auto"/>
                <w:kern w:val="0"/>
                <w:szCs w:val="21"/>
              </w:rPr>
              <w:t>20.手机现场直播：应急演练的过程中可以利用手机直播现场。</w:t>
            </w:r>
          </w:p>
          <w:p>
            <w:pPr>
              <w:widowControl/>
              <w:spacing w:line="360" w:lineRule="auto"/>
              <w:jc w:val="left"/>
              <w:rPr>
                <w:rFonts w:hint="eastAsia" w:ascii="宋体" w:hAnsi="宋体" w:cs="宋体"/>
                <w:bCs/>
                <w:color w:val="auto"/>
                <w:kern w:val="0"/>
                <w:szCs w:val="21"/>
              </w:rPr>
            </w:pPr>
            <w:r>
              <w:rPr>
                <w:rFonts w:hint="eastAsia" w:ascii="宋体" w:hAnsi="宋体" w:cs="宋体"/>
                <w:bCs/>
                <w:color w:val="auto"/>
                <w:kern w:val="0"/>
                <w:szCs w:val="21"/>
              </w:rPr>
              <w:t>21：（</w:t>
            </w:r>
            <w:r>
              <w:rPr>
                <w:rFonts w:hint="eastAsia" w:ascii="宋体" w:hAnsi="宋体"/>
                <w:color w:val="auto"/>
                <w:szCs w:val="21"/>
              </w:rPr>
              <w:t>功能六演示：</w:t>
            </w:r>
            <w:r>
              <w:rPr>
                <w:rFonts w:hint="eastAsia" w:ascii="宋体" w:hAnsi="宋体" w:cs="宋体"/>
                <w:color w:val="auto"/>
                <w:szCs w:val="21"/>
              </w:rPr>
              <w:t>演示专项检查，手机端进行任务分配，手机可以根据检查标准进行自动扣分计算，手机端可以导出检查结果，查看分析报告。）</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21.投标时提供校园安全管理手机客户端（Android和IOS两种）软件著作权证书复印件；</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3</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套</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学安、校安、安信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13</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校园安全课堂班班通软件</w:t>
            </w:r>
          </w:p>
        </w:tc>
        <w:tc>
          <w:tcPr>
            <w:tcW w:w="5926" w:type="dxa"/>
            <w:noWrap w:val="0"/>
            <w:vAlign w:val="center"/>
          </w:tcPr>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1. 用户登录：提供通过帐号、手机号码、二维码登录，支持常用登录号码记录和一键登录功能。支持手机号对应多个帐号选择。</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2.教材选择：支持正在使用教材展示与平台教材切换功能。支持教材书架自定义设置功能。</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3.教材资源浏览：支持按照章节目录展示教材资源内容。支持章节切换和对应的教材资源展示与浏览。包括网页资源、图片资源、视频资源、音频资源、动画资源、文档资源的在线浏览。</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4.备课资源浏览：对于通过手机客户端或管理平台备课时选择的授课资源进行对应章节展示；并可以进行授课浏览讲解。包括网页资源、图片资源、视频资源、音频资源、动画资源、文档资源的在线浏览。</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5. 个人资源浏览：支持备课时上传的个人资源展示与浏览。包括网页资源、图片资源、视频资源、音频资源、动画资源、文档资源的在线浏览。（投标文件中提供功能截图）</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6.我的收藏浏览：对于在公共资源库中收藏的资源进行展示与浏览。包括网页资源、图片资源、视频资源、音频资源、动画资源、文档资源的在线浏览。</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7.资源推荐：支持授课时对于需要学生到家后进行浏览或学习的资源推荐。推荐时选择目标班级，则会通过即时消息方式推送到学生/家长手机客户端，用户可以点击进行资源查看和学习。</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8.U盘资源查看：通过软件识别教学机上的U盘，并读取文件列表和内容，不需要老师在教学机界面和授课客户端界面来回切换。</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9.教学记录汇总：老师授课完毕后客户端自动记录老师上课情况并可以上报管理平台进行查看汇总。</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10.支持操作系统：支持WINXP/WIN7/WIN8等主流操作系统。</w:t>
            </w:r>
          </w:p>
          <w:p>
            <w:pPr>
              <w:widowControl/>
              <w:spacing w:line="360" w:lineRule="auto"/>
              <w:jc w:val="left"/>
              <w:rPr>
                <w:rFonts w:ascii="宋体" w:hAnsi="宋体" w:cs="宋体"/>
                <w:color w:val="auto"/>
                <w:kern w:val="0"/>
                <w:szCs w:val="21"/>
              </w:rPr>
            </w:pPr>
            <w:r>
              <w:rPr>
                <w:rFonts w:hint="eastAsia" w:ascii="宋体" w:hAnsi="宋体" w:cs="宋体"/>
                <w:bCs/>
                <w:color w:val="auto"/>
                <w:kern w:val="0"/>
                <w:szCs w:val="21"/>
              </w:rPr>
              <w:t>11.投标时提供该产品的软件著作权证书复印件。</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3</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套</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学安、校安、安信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14</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校园安全风险防控云服务</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1、业务支撑系统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分级管理：以管理者、老师和家长为应用对象，不同的角色登录后展现不同的风格。通过集成用户中心系统、资源应用系统等为学校、管理部门提供个性的资源。</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统一认证：系统负责对辖区内平台用户提供统一认证服务。系统功能包括系统配置、授权管理、修改密码、注销用户等。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用户中心：系统负责校园内教师及家长信息的管理。系统功能包括学校信息管理、教师信息管理、系统用户管理等。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2、资源管理系统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系统管理：提供包括系统参数配置、资源服务器、存储路径配置等。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资源管理：提供包括资源仓库、资源分类、存储目录、资源信息等管理。</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资源服务：提供资源服务调度，资源访问负载等功能。</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资源分发：提供多资源服务器部署时，资源同步策略定义与资源同步分发功能。</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3、安全工作系统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教育主管部门用户登录管理系统后，首页将展示出跟用户工作相关的最新信息，主要包括：最新通知、待办工作、工作排行等，以及进去工作处理的快捷入口，具体说明如下：</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最新通知：展示接收到的上级或者本单位发布的最新通知信息，用户可以点击查看详细内容。</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待办工作：展示当前用户需要做的工作，主要包括：事故处理、隐患处理、待办工作等，并可以查看下属单位的整体完成情况和详细情况。</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工作排名：提供展示管辖范围内教育机构和学校安全工作积分排名，并可以查看具体安全工作积分情况。</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快捷入口：提供快捷操作入口，主要包括：发送通知、发布广播、启动预案、处理任务、查看监控等。点击快捷入口后会直接进入对应的操作页面。方便用户一键到达。</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4、安全教育系统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安全资源应用：资源应用系统主要为管理者、学校、老师提供丰富的音、视频、图文等以及其他优秀个性共享资源；老师可对资源进行搜索、浏览、下载、收藏、推荐，完成学校安全广播的使用。</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安全资源服务：资源服务系统主要是提供资源的文件下载服务、流媒体控制传输服务，能够根据资源格式提供不同的处理方式，能够提供各种视频资源、音频资源、图文资源包等资源的下载、播放服务。</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知识题库：提供安全知识题库，能支撑学校各类安全点专题检测、随堂检测、知识竞赛、安全广播联动习题检测，安全点涵盖中学应掌握的安全点，题目设计符合中学生知识接受特点，贴近生活，题量不低于3500条。（投标文件中提供功能截图）</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知识评测：以安全知识题库为基础，提供测评试卷生成功能，支持用户手工组卷、自动组卷、试卷生成策略定义等。用户可以通过手机、PAD、PC等多种方式进行安全知识在线测评，支持顺序做题、随机做题、章节做题等多种方式，测试提交后可以立即获得测评分数，并可以对错误的试题进行查看与纠正。可以满足在线考试、知识竞赛等多种场景使用。让用户在学习过程中可以有一个自我测评的手段与途径，找到不足进行即时纠正，加深印象提升学习效果。</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安全知识推送：安全教育系统与即时消息系统对接，实现使用公共服务账号对定制人群进行公共消息发送，包括安全知识、安全提醒、通知公告等。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安全信息发布：通过平台可以将安全信息、安全新闻、安全动态、安全知识等推送到用户终端，让用户能够随时随地了解安全、学习安全技能、了解安全动态、增加职务防范意识与紧急自救能力。</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活动发布：教育部门或者学校通过平台可以发布安全活动并通过即时消息系统通知用户参加活动。活动包括多种活动组建供活动创建者随意组合使用主要包括：文档上传、问卷调查、问题讨论、问题辩论等。可以满足不同用户组织的不同活动需求。</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安全授课管理：安全授课计划、安全教材资源浏览、安全授课记录、安全备课功能（pc、手机）</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5、安全管理系统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安全工作管理：教育机构可以针对下属教育机构或者学校进行工作任务布置，工作任务发布时会以即时消息方式通知指定人群。并可以按照任务查看各个单位的任务执行和反馈情况。</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安全隐患管理：学校用户可以通过手机客户端方式或者管理系统进行隐患情况上报，并可以对本人上报的隐患信息进行管理。</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安全事故管理：事故发生单位可以在平台填报本单位发生的事故信息。或者由上级填写管辖范围内学校的事故发生情况。</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安全教育管理：教育计划学校可在平台填写安全教育计划，主要包括教育内容、教育对象、教育方式、教育对象、使用教材等信息。</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安全月报管理：可以对管辖范围内的学校进行安全月报统计，对学校的基本安全情况、安全隐患情况、安全事故情况以及安全教育情况进行分类统计与分析，并可以查看具体的信息和变化趋势图。</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安全巡检管理：安全检查分类管理、安全检查项管理（手机支持二维码标签打印NFC标签管理等）、安全巡检（巡检项目管理、巡检人员管理、巡检工作安排、巡检记录查询、巡检隐患上报）</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安全检查管理：安全检查项目管理、安全检查内容管理、安全检查(pc、手机)、安全检查评分管理、安全检查记录管理。</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安全值班管理：值班人员管理、排班管理、值班记录管理。</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安全考勤管理：班级成员管理、 座次管理(pc、手机)、 到校情况设置、 未到校通知、考勤统计。</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6、安全应急管理系统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应急预案管理：应急预案管理主要包括预案分类、 预案模板、 预案信息管理。</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预案信息包括：预案基本信息、预案内容、预案任务、救援队伍与人员、救援器材、救援知识等。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预案任务包括：广播任务（通过广播播报的任务）和即时消息任务（通过即时消息发送的任务）。任务可以定义启动方式（手动、自动）、任务时长等信息。预案启动预案可以通过管理平台和手机客户端进行启动。启动后预案第一条任务自动执行，根据定义的任务类型进行其他任务的执行。预案执行中可以查看预案的任务执行动态，并可以实时对预案任务进行控制与调整。</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应急队伍管理：学校可以组建安全方面的救援队伍，并可以对救援队伍中的成员进行管理。</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应急设施管理：对学校安全相关的基础应急设施进行管理，主要记录安全设施的存放位置、数量、是否完好等情况。</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应急指挥管理：基于视频监控、应急预案、广播喊话等基础功能支撑，这就为现场应急指挥提供了可行有效的指挥手段。当出现紧急情况时可以一键启动预案，并进行喊话、任务分配、现场查看等方式进行救指导与人员疏散引导。尽可能的减少人员伤亡与财产损失。</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7、安全广播管理系统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广播任务管理主要包括即时广播、定时广播、作息广播等功能。</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广播设置主要包括设备设置、分区设置、白名单设置等功能。</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作息设置主要包括作息分类设置、作息表设置、作息广播设置、作息调整等功能。</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8、安全监控管理系统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监控平台管理：提供对统一监控平台信息进行管理与对接，提供webservice、http等多种对接方式，支持灵活配置。平台配置完成后可自动将统一平台配置监控内容同步到云平台进行使用。</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硬盘录像机管理：提供学校硬盘录像机和接入统一平台硬盘录像机的管理。并提供统一平台接入录像机下挂载摄像头信息的自动获取。</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摄像头管理：提供学校硬盘录像机下挂载的摄像头信息管理。支持摄像头基本信息配置与范文权限控制。</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监控权限管理：用户可以根据需要自行设定摄像头的访问权限，可以设置上级是否可以查看，设置校内是否公开，非公开摄像头可以定义具有访问权限的人群。用户登录手机客户端或者平台只能查看具有访问权限的摄像头信息。（投标文件中提供功能截图）</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在线监控浏览：用户可以通过手机客户端(Android和ios)对具有访问权限的摄像头进行在线浏览，并可以抓图发送、实时喊话或启动应急预案等。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9、应急直播系统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应急直播设置：提供学校预案编制中应急直播推流摄像头配置，支持频道定义和推流延时关闭时长配置。</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应急直播推送与查看：提供应急演练启动后配置摄像头的自动直播推流，同时支持手机APP的直播推流。提供手机端和平台端应急演练直播查看功能，提供上级教育应急演练直播提醒与查看功能。</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应急过程录制与归档：提供摄像头在预案执行过程中的自动录制功能。提供预案过程与现场视频录制自动归档功能。（投标文件中提供功能截图）</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10、视频分析系统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视频分析预警提醒与处理：支持视频分析系统采集当定义分析行为时进行预警信息推送到手机APP，推送内容包括预警类型、预警时间、预警图片或短视频。用户可以点击查看预警采集摄像头现场，并进行广播任务播报、预案启动等处理。</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预警信息记录留痕：平台自动保存预警的所有信息，并提供预警历史记录的查看，包括采集时间、预警类型和内容、预警通知对象、预警通知时间、处理人处理方式、处理结果等。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11、安全检查系统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巡检系统：利用先进的二维码和NFC感应技术，建设安全巡查上报系统。通过手机扫描二维码或者利用NFC感应技术可直接对安全关键点进行安全排查，并上报排查结果。主要包括校车安全巡查、消防设施安全巡查、应急通道巡查、食品安全巡查、交通安全巡查、校舍安全巡查、电器安全巡查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检查系统：教育机构或者安全部门对下属学校或教育局进行专项检查评分的信息化支持。支持对检查单位的各类检查项目评分，以及发现问题的汇总。支持检查内容自定义、评分标准自定义，支持上级督查、学校自查、部门联查多种检查方式。支持检查过程中的多人协作检查方式，支持发现问题以拍照、录像、录音等方式记录与上报。支持检查结果统计与分析查看，包括：各个被检查单位的分数、问题报告查看，整体合格率分析，问题报告导出。</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12、安全决策分析</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安全指标设置：指标项目管理、指标标准设置、指标计算策略定义。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安全指标分析：汇总记录学校安全项目执行情况与达标情况，综合统计分析。</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安全数据统计：将安全相关数据进行综合统计分析，给出指导用户安全整改与决策的安全报表。</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安全态势图：图形化方式显示某个区域的安全工作情况。支持重大隐患或延期整改隐患动态预警与详细查看。支持学校应急直播提醒和应急现场实时查看。</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13、安全教育门户系统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学校安全后台：平台为学校提供统一的学校后台展示。并支持与手机客户端信息同步。用户可以通过PC或者手机方式对学校发布的新闻、资讯、安全资源、安全教育、活动、隐患信息、通知公告等进行查看。学校用户登录后进入个人空间，进行消息收发或者相关内容的评论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14、即时消息系统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公共信息发布：公共信息是基于公共服务账号的信息发送功能。安全部门、教育机构、学校管理用户可以通过平台在手机端、PC端发布通知公告、安全提醒、其他消息给目标用户。</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点对点交流：点对点交流，包含教育机构用户、学校用户、家庭用户之间的点对点沟通和交流。在学校课外，老师也可以通过平台组织具体学生的心理辅导，老师可以和家长进行具体学生的情况分析和交流，老师间的信息互动有无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安全信息推送：支持广播通知推送；访客到访相关人员信息推送；视频分析告警信息推送。</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15、风险分级管控（投标时提供该产品的软件著作权证书复印件）</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（1）校园风险辨识系统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A.提供通用 “校园风险点模型”；该模型主要供学校管理人员直接引用；引用过程中如有例外项可以在区域类型下添加校本风险点。</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B. 建筑物信息填报：可维护建筑信息以及发生风险时附带的位置信息，“建筑物信息填报”包括：建筑结构、安全等级、建筑名称、建筑面积、层数、楼层、建筑高度、建筑时间、教师数、学生数、楼梯数、功能用途等信息；同时可对建筑物添加2D地图及要识别的建筑物模块采用矩形、圆形、半圆和文字标识。</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C. 可通过“添加”项目及检查对象的方式，添加建筑物、设施类项目和项目对应的风险点，项目信息管理包括：项目名称、项目类型、评估类型、风险类型，风险点潜在风险辨识采用提供通用“校园风险点模型”选用方式，该模型主要供学校风险管理小组引用。</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（2）校园风险评估系统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A.风险评估栏目展示出所有该校辨识出的风险点，学校安全管理小组成员可分别选择风险点进行评分。</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B. 可以针对项目的潜在风险项进行移动端评估，可选择风险矩阵法LS、作业条件危险性分析法LEC进行评估，量化评估后自动生成风险值、风险等级和安全色。</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C. 内置风险矩阵法LS：评估人员进行两项内容评估，分别是发生事故可能性大小和发生事故的后果，主要用于建筑物、设备实施等风险点的评估。（投标文件中提供功能截图）</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D. 内置作业危险性分析法LEC：评估人员进行三项内容评估：发生事故的可能性大小、暴露于危险环境的频繁程度、发生事故的后果，系统根据这三项自动合计风险值，并自动按风险值来判断计算风险等级。主要用于作业活动、教学活动的风险点评估，在评估时可以展示该风险点的基本信息，可查看不可修改。（投标文件中提供功能截图）</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（3）校园风险管控系统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A.风险管控逐一明确管控层级、责任岗位、责任部门、建议措施（工程技术、管理措施、培训教育、个体防护、应急处置）、上传警示标志、以及剩余风险评价；</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B.管控层级采用下拉框：四个管控层级“校级、部门级、组级、岗位”。</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C. 管理措施分两类：一类可按键调用“添加日常隐患排查”，另一类可补充添加或上传文字或文档类措施。“添加日常隐患排查”时将该风险点的分类信息传入隐患排查页、匹配对应的检查内容管控规则。（投标文件中提供功能截图）</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D. 应急处置分两类：一类可按键调用“添加一键启动应急预案”，可在发生此类风险时一键启动，另一类可补充添加或上传文字或文档类措施。（投标文件中提供功能截图）</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E.其它三类管控措施：工程技术措施、培训教育措施、个体防护措施可添加文字信息或者文档。</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F.风险审核是指工作小组负责人对评估工作进行审核，审核通过后风险公告可生成。</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(4) 校园风险四色图公告系统</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A.风险公告是在存在风险的工作场所和岗位，设置明显的告知牌及警示标志；</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B.校园风险分级管控清单:重点展示风险点名称、可能发生的事故类型、风险等级、风险色、管控措施、管控层级和责任人等。</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C.风险分布四色图:于学校平面图生成风险四色分布，可清晰展示学校各区域建筑物、重点设备设施风险等级及风险色。</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D.风险比较四色图:针对学校作业活动、教学活动生成各类活动风险比较柱状图，从重大风险到低风险、由高到低排序展示风险点和风险色。（投标文件中提供功能截图）</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E.重大风险公告栏: 重大风险公告栏应包括主要危害有害因素、后果、事故预防及应急措施、报告电话等内容。</w:t>
            </w:r>
          </w:p>
          <w:p>
            <w:pPr>
              <w:widowControl/>
              <w:spacing w:line="360" w:lineRule="auto"/>
              <w:jc w:val="left"/>
              <w:rPr>
                <w:rFonts w:ascii="宋体" w:hAnsi="宋体" w:cs="宋体"/>
                <w:bCs/>
                <w:color w:val="auto"/>
                <w:kern w:val="0"/>
                <w:szCs w:val="21"/>
              </w:rPr>
            </w:pPr>
            <w:r>
              <w:rPr>
                <w:rFonts w:hint="eastAsia" w:ascii="宋体" w:hAnsi="宋体" w:cs="宋体"/>
                <w:bCs/>
                <w:color w:val="auto"/>
                <w:kern w:val="0"/>
                <w:szCs w:val="21"/>
              </w:rPr>
              <w:t>F.风险管控应知应会卡: 生成学校各岗位风险应知应会卡，展示警示标识、主要危险源、潜在的事故描述、可能引发的后果，以及异常状况的应急处置流程和应急联系人电话。</w:t>
            </w:r>
          </w:p>
          <w:p>
            <w:pPr>
              <w:widowControl/>
              <w:spacing w:line="360" w:lineRule="auto"/>
              <w:jc w:val="left"/>
              <w:rPr>
                <w:rFonts w:hint="eastAsia" w:ascii="宋体" w:hAnsi="宋体" w:cs="宋体"/>
                <w:bCs/>
                <w:color w:val="auto"/>
                <w:kern w:val="0"/>
                <w:szCs w:val="21"/>
              </w:rPr>
            </w:pPr>
            <w:r>
              <w:rPr>
                <w:rFonts w:hint="eastAsia" w:ascii="宋体" w:hAnsi="宋体" w:cs="宋体"/>
                <w:bCs/>
                <w:color w:val="auto"/>
                <w:kern w:val="0"/>
                <w:szCs w:val="21"/>
              </w:rPr>
              <w:t>G.事故处置应急卡:自动将风险点对应的应急预案生成应急处置卡，展示应急处置步骤、应急救援物资情况和应急救援小组负责人联系方式。</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16、隐患排查治理</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（1）安全隐患分级分类系统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A．可从学校风险分级管控措施生成隐患排查计划；也可根据学校隐患巡检方案创建隐患排查计划。</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B．利用先进的二维码和NFC感应技术，建设安全巡查上报系统；通过手机扫描二维码或者利用NFC感应技术可直接对安全关键点进行安全排查，并上报排查结果。并可以对本人上报的隐患信息进行管理。</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C．学校安全负责人实时查看排出上报问题，确认是否隐患、隐患类型、隐患级别。</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 xml:space="preserve"> (2)安全隐患治理系统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A．学校安全负责人可查看本单位其他人员上报的安全隐患信息和处理结果；教体局用户可以按照学校查看管辖范围内所有安全隐患信息和具体处理情况，也可以看到下级上报上来的隐患项目。</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B．隐患处理学校管理人员接收到隐患信息后可以对隐患信息进行指派人员处理、上报上级处理，并对处理结果进行验收。</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C．指派处理人员时系统自动给被指派处理人员发送即时消息通知，用户点击后可以查看隐患具体信息并给予处理。系统按月生成安全巡检台帐、隐患治理台帐。（投标时提供功能截图）</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投标时提供安全防控体系管理软件著作权证书复印件；</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投标时提供原厂家售后服务承诺书；</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3</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套</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学安、校安、安信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第三方系统集成</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通过S</w:t>
            </w:r>
            <w:r>
              <w:rPr>
                <w:rFonts w:ascii="宋体" w:hAnsi="宋体" w:cs="宋体"/>
                <w:color w:val="auto"/>
                <w:kern w:val="0"/>
                <w:szCs w:val="21"/>
              </w:rPr>
              <w:t>DK</w:t>
            </w:r>
            <w:r>
              <w:rPr>
                <w:rFonts w:hint="eastAsia" w:ascii="宋体" w:hAnsi="宋体" w:cs="宋体"/>
                <w:color w:val="auto"/>
                <w:kern w:val="0"/>
                <w:szCs w:val="21"/>
              </w:rPr>
              <w:t>接口对接，实现平台对人员进出、来访记录等数据的采集、接入与整合。</w:t>
            </w:r>
          </w:p>
          <w:p>
            <w:pPr>
              <w:widowControl/>
              <w:spacing w:line="360" w:lineRule="auto"/>
              <w:jc w:val="left"/>
              <w:rPr>
                <w:rFonts w:ascii="宋体" w:hAnsi="宋体" w:cs="宋体"/>
                <w:bCs/>
                <w:color w:val="auto"/>
                <w:kern w:val="0"/>
                <w:szCs w:val="21"/>
              </w:rPr>
            </w:pPr>
            <w:r>
              <w:rPr>
                <w:rFonts w:hint="eastAsia" w:ascii="宋体" w:hAnsi="宋体" w:cs="宋体"/>
                <w:color w:val="auto"/>
                <w:kern w:val="0"/>
                <w:szCs w:val="21"/>
              </w:rPr>
              <w:t>支持接收进出通道的考勤数据，同时把实时拍摄图片推送到平台；支持通过P</w:t>
            </w:r>
            <w:r>
              <w:rPr>
                <w:rFonts w:ascii="宋体" w:hAnsi="宋体" w:cs="宋体"/>
                <w:color w:val="auto"/>
                <w:kern w:val="0"/>
                <w:szCs w:val="21"/>
              </w:rPr>
              <w:t>C</w:t>
            </w:r>
            <w:r>
              <w:rPr>
                <w:rFonts w:hint="eastAsia" w:ascii="宋体" w:hAnsi="宋体" w:cs="宋体"/>
                <w:color w:val="auto"/>
                <w:kern w:val="0"/>
                <w:szCs w:val="21"/>
              </w:rPr>
              <w:t>端、手机端等多种应用端进行查看。</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项</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学安、校安、安信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1961" w:type="dxa"/>
            <w:gridSpan w:val="2"/>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bCs/>
                <w:color w:val="auto"/>
                <w:kern w:val="0"/>
                <w:szCs w:val="21"/>
              </w:rPr>
              <w:t>二、指挥中心设备及软件</w:t>
            </w:r>
          </w:p>
        </w:tc>
        <w:tc>
          <w:tcPr>
            <w:tcW w:w="5926" w:type="dxa"/>
            <w:noWrap w:val="0"/>
            <w:vAlign w:val="center"/>
          </w:tcPr>
          <w:p>
            <w:pPr>
              <w:widowControl/>
              <w:spacing w:line="360" w:lineRule="auto"/>
              <w:jc w:val="left"/>
              <w:rPr>
                <w:rFonts w:ascii="宋体" w:hAnsi="宋体" w:cs="宋体"/>
                <w:color w:val="auto"/>
                <w:kern w:val="0"/>
                <w:szCs w:val="21"/>
              </w:rPr>
            </w:pPr>
          </w:p>
        </w:tc>
        <w:tc>
          <w:tcPr>
            <w:tcW w:w="561" w:type="dxa"/>
            <w:noWrap w:val="0"/>
            <w:vAlign w:val="center"/>
          </w:tcPr>
          <w:p>
            <w:pPr>
              <w:widowControl/>
              <w:spacing w:line="360" w:lineRule="auto"/>
              <w:jc w:val="center"/>
              <w:rPr>
                <w:rFonts w:ascii="宋体" w:hAnsi="宋体" w:cs="宋体"/>
                <w:color w:val="auto"/>
                <w:kern w:val="0"/>
                <w:szCs w:val="21"/>
              </w:rPr>
            </w:pPr>
          </w:p>
        </w:tc>
        <w:tc>
          <w:tcPr>
            <w:tcW w:w="561" w:type="dxa"/>
            <w:noWrap w:val="0"/>
            <w:vAlign w:val="center"/>
          </w:tcPr>
          <w:p>
            <w:pPr>
              <w:widowControl/>
              <w:spacing w:line="360" w:lineRule="auto"/>
              <w:jc w:val="center"/>
              <w:rPr>
                <w:rFonts w:ascii="宋体" w:hAnsi="宋体" w:cs="宋体"/>
                <w:color w:val="auto"/>
                <w:kern w:val="0"/>
                <w:szCs w:val="21"/>
              </w:rPr>
            </w:pPr>
          </w:p>
        </w:tc>
        <w:tc>
          <w:tcPr>
            <w:tcW w:w="1110" w:type="dxa"/>
            <w:noWrap w:val="0"/>
            <w:vAlign w:val="center"/>
          </w:tcPr>
          <w:p>
            <w:pPr>
              <w:widowControl/>
              <w:spacing w:line="360" w:lineRule="auto"/>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1961" w:type="dxa"/>
            <w:gridSpan w:val="2"/>
            <w:noWrap w:val="0"/>
            <w:vAlign w:val="center"/>
          </w:tcPr>
          <w:p>
            <w:pPr>
              <w:widowControl/>
              <w:spacing w:line="360" w:lineRule="auto"/>
              <w:jc w:val="center"/>
              <w:textAlignment w:val="center"/>
              <w:rPr>
                <w:rFonts w:ascii="宋体" w:hAnsi="宋体" w:cs="宋体"/>
                <w:bCs/>
                <w:color w:val="auto"/>
                <w:kern w:val="0"/>
                <w:szCs w:val="21"/>
              </w:rPr>
            </w:pPr>
            <w:r>
              <w:rPr>
                <w:rFonts w:hint="eastAsia" w:ascii="宋体" w:hAnsi="宋体" w:cs="宋体"/>
                <w:bCs/>
                <w:color w:val="auto"/>
                <w:kern w:val="0"/>
                <w:szCs w:val="21"/>
              </w:rPr>
              <w:t>2.1.拼接显示系统</w:t>
            </w:r>
          </w:p>
        </w:tc>
        <w:tc>
          <w:tcPr>
            <w:tcW w:w="5926" w:type="dxa"/>
            <w:noWrap w:val="0"/>
            <w:vAlign w:val="center"/>
          </w:tcPr>
          <w:p>
            <w:pPr>
              <w:widowControl/>
              <w:spacing w:line="360" w:lineRule="auto"/>
              <w:jc w:val="left"/>
              <w:rPr>
                <w:rFonts w:ascii="宋体" w:hAnsi="宋体" w:cs="宋体"/>
                <w:color w:val="auto"/>
                <w:kern w:val="0"/>
                <w:szCs w:val="21"/>
              </w:rPr>
            </w:pPr>
          </w:p>
        </w:tc>
        <w:tc>
          <w:tcPr>
            <w:tcW w:w="561" w:type="dxa"/>
            <w:noWrap w:val="0"/>
            <w:vAlign w:val="center"/>
          </w:tcPr>
          <w:p>
            <w:pPr>
              <w:widowControl/>
              <w:spacing w:line="360" w:lineRule="auto"/>
              <w:jc w:val="center"/>
              <w:rPr>
                <w:rFonts w:ascii="宋体" w:hAnsi="宋体" w:cs="宋体"/>
                <w:color w:val="auto"/>
                <w:kern w:val="0"/>
                <w:szCs w:val="21"/>
              </w:rPr>
            </w:pPr>
          </w:p>
        </w:tc>
        <w:tc>
          <w:tcPr>
            <w:tcW w:w="561" w:type="dxa"/>
            <w:noWrap w:val="0"/>
            <w:vAlign w:val="center"/>
          </w:tcPr>
          <w:p>
            <w:pPr>
              <w:widowControl/>
              <w:spacing w:line="360" w:lineRule="auto"/>
              <w:jc w:val="center"/>
              <w:rPr>
                <w:rFonts w:ascii="宋体" w:hAnsi="宋体" w:cs="宋体"/>
                <w:color w:val="auto"/>
                <w:kern w:val="0"/>
                <w:szCs w:val="21"/>
              </w:rPr>
            </w:pPr>
          </w:p>
        </w:tc>
        <w:tc>
          <w:tcPr>
            <w:tcW w:w="1110" w:type="dxa"/>
            <w:noWrap w:val="0"/>
            <w:vAlign w:val="center"/>
          </w:tcPr>
          <w:p>
            <w:pPr>
              <w:widowControl/>
              <w:spacing w:line="360" w:lineRule="auto"/>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LCD拼接屏</w:t>
            </w:r>
          </w:p>
        </w:tc>
        <w:tc>
          <w:tcPr>
            <w:tcW w:w="5926" w:type="dxa"/>
            <w:noWrap w:val="0"/>
            <w:vAlign w:val="center"/>
          </w:tcPr>
          <w:p>
            <w:pPr>
              <w:spacing w:line="360" w:lineRule="auto"/>
              <w:rPr>
                <w:rFonts w:ascii="宋体" w:hAnsi="宋体"/>
                <w:color w:val="auto"/>
                <w:szCs w:val="21"/>
              </w:rPr>
            </w:pPr>
            <w:r>
              <w:rPr>
                <w:rFonts w:hint="eastAsia" w:ascii="宋体" w:hAnsi="宋体"/>
                <w:color w:val="auto"/>
                <w:szCs w:val="21"/>
              </w:rPr>
              <w:t>物理分辨率：1920×1080；</w:t>
            </w:r>
          </w:p>
          <w:p>
            <w:pPr>
              <w:spacing w:line="360" w:lineRule="auto"/>
              <w:rPr>
                <w:rFonts w:ascii="宋体" w:hAnsi="宋体"/>
                <w:color w:val="auto"/>
                <w:szCs w:val="21"/>
              </w:rPr>
            </w:pPr>
            <w:r>
              <w:rPr>
                <w:rFonts w:hint="eastAsia" w:ascii="宋体" w:hAnsi="宋体"/>
                <w:color w:val="auto"/>
                <w:szCs w:val="21"/>
              </w:rPr>
              <w:t>图像最大分辨率：1920×1080；</w:t>
            </w:r>
          </w:p>
          <w:p>
            <w:pPr>
              <w:spacing w:line="360" w:lineRule="auto"/>
              <w:rPr>
                <w:rFonts w:ascii="宋体" w:hAnsi="宋体"/>
                <w:color w:val="auto"/>
                <w:szCs w:val="21"/>
              </w:rPr>
            </w:pPr>
            <w:r>
              <w:rPr>
                <w:rFonts w:hint="eastAsia" w:ascii="宋体" w:hAnsi="宋体"/>
                <w:color w:val="auto"/>
                <w:szCs w:val="21"/>
              </w:rPr>
              <w:t>对比度：4500:1；</w:t>
            </w:r>
          </w:p>
          <w:p>
            <w:pPr>
              <w:spacing w:line="360" w:lineRule="auto"/>
              <w:rPr>
                <w:rFonts w:ascii="宋体" w:hAnsi="宋体"/>
                <w:color w:val="auto"/>
                <w:szCs w:val="21"/>
              </w:rPr>
            </w:pPr>
            <w:r>
              <w:rPr>
                <w:rFonts w:hint="eastAsia" w:ascii="宋体" w:hAnsi="宋体"/>
                <w:color w:val="auto"/>
                <w:szCs w:val="21"/>
              </w:rPr>
              <w:t>亮度：500cd/m2；</w:t>
            </w:r>
          </w:p>
          <w:p>
            <w:pPr>
              <w:spacing w:line="360" w:lineRule="auto"/>
              <w:rPr>
                <w:rFonts w:ascii="宋体" w:hAnsi="宋体"/>
                <w:color w:val="auto"/>
                <w:szCs w:val="21"/>
              </w:rPr>
            </w:pPr>
            <w:r>
              <w:rPr>
                <w:rFonts w:hint="eastAsia" w:ascii="宋体" w:hAnsi="宋体"/>
                <w:color w:val="auto"/>
                <w:szCs w:val="21"/>
              </w:rPr>
              <w:t>色彩：1073.7M(10bit)；</w:t>
            </w:r>
          </w:p>
          <w:p>
            <w:pPr>
              <w:spacing w:line="360" w:lineRule="auto"/>
              <w:rPr>
                <w:rFonts w:ascii="宋体" w:hAnsi="宋体"/>
                <w:color w:val="auto"/>
                <w:szCs w:val="21"/>
              </w:rPr>
            </w:pPr>
            <w:r>
              <w:rPr>
                <w:rFonts w:hint="eastAsia" w:ascii="宋体" w:hAnsi="宋体"/>
                <w:color w:val="auto"/>
                <w:szCs w:val="21"/>
              </w:rPr>
              <w:t>色域：72%；</w:t>
            </w:r>
          </w:p>
          <w:p>
            <w:pPr>
              <w:spacing w:line="360" w:lineRule="auto"/>
              <w:rPr>
                <w:rFonts w:ascii="宋体" w:hAnsi="宋体"/>
                <w:color w:val="auto"/>
                <w:szCs w:val="21"/>
              </w:rPr>
            </w:pPr>
            <w:r>
              <w:rPr>
                <w:rFonts w:hint="eastAsia" w:ascii="宋体" w:hAnsi="宋体"/>
                <w:color w:val="auto"/>
                <w:szCs w:val="21"/>
              </w:rPr>
              <w:t>响应时间：5ms；</w:t>
            </w:r>
          </w:p>
          <w:p>
            <w:pPr>
              <w:spacing w:line="360" w:lineRule="auto"/>
              <w:rPr>
                <w:rFonts w:ascii="宋体" w:hAnsi="宋体"/>
                <w:color w:val="auto"/>
                <w:szCs w:val="21"/>
              </w:rPr>
            </w:pPr>
            <w:r>
              <w:rPr>
                <w:rFonts w:hint="eastAsia" w:ascii="宋体" w:hAnsi="宋体"/>
                <w:color w:val="auto"/>
                <w:szCs w:val="21"/>
              </w:rPr>
              <w:t>视角水平/垂直：178o；</w:t>
            </w:r>
          </w:p>
          <w:p>
            <w:pPr>
              <w:spacing w:line="360" w:lineRule="auto"/>
              <w:rPr>
                <w:rFonts w:ascii="宋体" w:hAnsi="宋体"/>
                <w:color w:val="auto"/>
                <w:szCs w:val="21"/>
              </w:rPr>
            </w:pPr>
            <w:r>
              <w:rPr>
                <w:rFonts w:hint="eastAsia" w:ascii="宋体" w:hAnsi="宋体"/>
                <w:color w:val="auto"/>
                <w:szCs w:val="21"/>
              </w:rPr>
              <w:t>物理拼缝</w:t>
            </w:r>
            <w:r>
              <w:rPr>
                <w:rFonts w:hint="eastAsia" w:ascii="宋体" w:hAnsi="宋体"/>
                <w:color w:val="auto"/>
                <w:szCs w:val="21"/>
              </w:rPr>
              <w:tab/>
            </w:r>
            <w:r>
              <w:rPr>
                <w:rFonts w:hint="eastAsia" w:ascii="宋体" w:hAnsi="宋体"/>
                <w:color w:val="auto"/>
                <w:szCs w:val="21"/>
              </w:rPr>
              <w:t>：水平1.8mm；垂直1.8mm；</w:t>
            </w:r>
          </w:p>
          <w:p>
            <w:pPr>
              <w:spacing w:line="360" w:lineRule="auto"/>
              <w:rPr>
                <w:rFonts w:ascii="宋体" w:hAnsi="宋体"/>
                <w:color w:val="auto"/>
                <w:szCs w:val="21"/>
              </w:rPr>
            </w:pPr>
            <w:r>
              <w:rPr>
                <w:rFonts w:hint="eastAsia" w:ascii="宋体" w:hAnsi="宋体"/>
                <w:color w:val="auto"/>
                <w:szCs w:val="21"/>
              </w:rPr>
              <w:t>信号输入接口VGA(PC)1路、RS2321路、DVI1路 、HDMI（支持4K）1路、USB1路；</w:t>
            </w:r>
          </w:p>
          <w:p>
            <w:pPr>
              <w:spacing w:line="360" w:lineRule="auto"/>
              <w:rPr>
                <w:rFonts w:ascii="宋体" w:hAnsi="宋体"/>
                <w:color w:val="auto"/>
                <w:szCs w:val="21"/>
              </w:rPr>
            </w:pPr>
            <w:r>
              <w:rPr>
                <w:rFonts w:hint="eastAsia" w:ascii="宋体" w:hAnsi="宋体"/>
                <w:color w:val="auto"/>
                <w:szCs w:val="21"/>
              </w:rPr>
              <w:t>支持格式：PAL/NTSC/SECAM（自动识别）；</w:t>
            </w:r>
          </w:p>
          <w:p>
            <w:pPr>
              <w:spacing w:line="360" w:lineRule="auto"/>
              <w:rPr>
                <w:rFonts w:ascii="宋体" w:hAnsi="宋体"/>
                <w:color w:val="auto"/>
                <w:szCs w:val="21"/>
              </w:rPr>
            </w:pPr>
            <w:r>
              <w:rPr>
                <w:rFonts w:hint="eastAsia" w:ascii="宋体" w:hAnsi="宋体"/>
                <w:color w:val="auto"/>
                <w:szCs w:val="21"/>
              </w:rPr>
              <w:t>工作电源：AC110～220,50-60HZ、功耗170W；</w:t>
            </w:r>
          </w:p>
          <w:p>
            <w:pPr>
              <w:spacing w:line="360" w:lineRule="auto"/>
              <w:rPr>
                <w:rFonts w:ascii="宋体" w:hAnsi="宋体"/>
                <w:color w:val="auto"/>
                <w:szCs w:val="21"/>
              </w:rPr>
            </w:pPr>
            <w:r>
              <w:rPr>
                <w:rFonts w:hint="eastAsia" w:ascii="宋体" w:hAnsi="宋体"/>
                <w:color w:val="auto"/>
                <w:szCs w:val="21"/>
              </w:rPr>
              <w:t>工作温度/湿度</w:t>
            </w:r>
            <w:r>
              <w:rPr>
                <w:rFonts w:hint="eastAsia" w:ascii="宋体" w:hAnsi="宋体"/>
                <w:color w:val="auto"/>
                <w:szCs w:val="21"/>
              </w:rPr>
              <w:tab/>
            </w:r>
            <w:r>
              <w:rPr>
                <w:rFonts w:hint="eastAsia" w:ascii="宋体" w:hAnsi="宋体"/>
                <w:color w:val="auto"/>
                <w:szCs w:val="21"/>
              </w:rPr>
              <w:t>0℃～40℃/20%～80%；</w:t>
            </w:r>
          </w:p>
          <w:p>
            <w:pPr>
              <w:spacing w:line="360" w:lineRule="auto"/>
              <w:rPr>
                <w:rFonts w:ascii="宋体" w:hAnsi="宋体"/>
                <w:color w:val="auto"/>
                <w:szCs w:val="21"/>
              </w:rPr>
            </w:pPr>
            <w:r>
              <w:rPr>
                <w:rFonts w:hint="eastAsia" w:ascii="宋体" w:hAnsi="宋体"/>
                <w:color w:val="auto"/>
                <w:szCs w:val="21"/>
              </w:rPr>
              <w:t>存储温度/湿度</w:t>
            </w:r>
            <w:r>
              <w:rPr>
                <w:rFonts w:hint="eastAsia" w:ascii="宋体" w:hAnsi="宋体"/>
                <w:color w:val="auto"/>
                <w:szCs w:val="21"/>
              </w:rPr>
              <w:tab/>
            </w:r>
            <w:r>
              <w:rPr>
                <w:rFonts w:hint="eastAsia" w:ascii="宋体" w:hAnsi="宋体"/>
                <w:color w:val="auto"/>
                <w:szCs w:val="21"/>
              </w:rPr>
              <w:t>－10℃～60℃/5%～95%；</w:t>
            </w:r>
          </w:p>
          <w:p>
            <w:pPr>
              <w:spacing w:line="360" w:lineRule="auto"/>
              <w:rPr>
                <w:rFonts w:ascii="宋体" w:hAnsi="宋体"/>
                <w:color w:val="auto"/>
                <w:szCs w:val="21"/>
              </w:rPr>
            </w:pPr>
            <w:r>
              <w:rPr>
                <w:rFonts w:hint="eastAsia" w:ascii="宋体" w:hAnsi="宋体"/>
                <w:color w:val="auto"/>
                <w:szCs w:val="21"/>
              </w:rPr>
              <w:t>散热设计：智能温控系统；</w:t>
            </w:r>
          </w:p>
          <w:p>
            <w:pPr>
              <w:spacing w:line="360" w:lineRule="auto"/>
              <w:rPr>
                <w:rFonts w:ascii="宋体" w:hAnsi="宋体"/>
                <w:color w:val="auto"/>
                <w:szCs w:val="21"/>
              </w:rPr>
            </w:pPr>
            <w:r>
              <w:rPr>
                <w:rFonts w:hint="eastAsia" w:ascii="宋体" w:hAnsi="宋体"/>
                <w:color w:val="auto"/>
                <w:szCs w:val="21"/>
              </w:rPr>
              <w:t>安装方式：壁挂式、支架式；</w:t>
            </w:r>
          </w:p>
          <w:p>
            <w:pPr>
              <w:spacing w:line="360" w:lineRule="auto"/>
              <w:rPr>
                <w:rFonts w:ascii="宋体" w:hAnsi="宋体"/>
                <w:color w:val="auto"/>
                <w:szCs w:val="21"/>
              </w:rPr>
            </w:pPr>
            <w:r>
              <w:rPr>
                <w:rFonts w:hint="eastAsia" w:ascii="宋体" w:hAnsi="宋体"/>
                <w:color w:val="auto"/>
                <w:szCs w:val="21"/>
              </w:rPr>
              <w:t>尺寸：55英寸；</w:t>
            </w:r>
          </w:p>
          <w:p>
            <w:pPr>
              <w:spacing w:line="360" w:lineRule="auto"/>
              <w:rPr>
                <w:rFonts w:ascii="宋体" w:hAnsi="宋体"/>
                <w:color w:val="auto"/>
                <w:szCs w:val="21"/>
              </w:rPr>
            </w:pPr>
            <w:r>
              <w:rPr>
                <w:rFonts w:hint="eastAsia" w:ascii="宋体" w:hAnsi="宋体"/>
                <w:color w:val="auto"/>
                <w:szCs w:val="21"/>
              </w:rPr>
              <w:t>MTBF：平均无故障时间60000小时；</w:t>
            </w:r>
          </w:p>
          <w:p>
            <w:pPr>
              <w:spacing w:line="360" w:lineRule="auto"/>
              <w:rPr>
                <w:rFonts w:ascii="宋体" w:hAnsi="宋体" w:cs="宋体"/>
                <w:color w:val="auto"/>
                <w:kern w:val="0"/>
                <w:szCs w:val="21"/>
              </w:rPr>
            </w:pPr>
            <w:r>
              <w:rPr>
                <w:rFonts w:hint="eastAsia" w:ascii="宋体" w:hAnsi="宋体"/>
                <w:color w:val="auto"/>
                <w:szCs w:val="21"/>
              </w:rPr>
              <w:t>外壳防护：金属；</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4</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块</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中视、澄通、汉创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大屏幕综合控制软件</w:t>
            </w:r>
          </w:p>
        </w:tc>
        <w:tc>
          <w:tcPr>
            <w:tcW w:w="5926" w:type="dxa"/>
            <w:noWrap w:val="0"/>
            <w:vAlign w:val="center"/>
          </w:tcPr>
          <w:p>
            <w:pPr>
              <w:widowControl/>
              <w:spacing w:line="360" w:lineRule="auto"/>
              <w:jc w:val="left"/>
              <w:rPr>
                <w:rFonts w:ascii="宋体" w:hAns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采用三星新一代</w:t>
            </w:r>
            <w:r>
              <w:rPr>
                <w:rFonts w:ascii="宋体" w:hAnsi="宋体" w:cs="宋体"/>
                <w:color w:val="auto"/>
                <w:kern w:val="0"/>
                <w:szCs w:val="21"/>
              </w:rPr>
              <w:t>Comb 16</w:t>
            </w:r>
            <w:r>
              <w:rPr>
                <w:rFonts w:hint="eastAsia" w:ascii="宋体" w:hAnsi="宋体" w:cs="宋体"/>
                <w:color w:val="auto"/>
                <w:kern w:val="0"/>
                <w:szCs w:val="21"/>
              </w:rPr>
              <w:t>大数据阵列图像处理技术。</w:t>
            </w:r>
          </w:p>
          <w:p>
            <w:pPr>
              <w:widowControl/>
              <w:spacing w:line="360" w:lineRule="auto"/>
              <w:jc w:val="left"/>
              <w:rPr>
                <w:rFonts w:ascii="宋体" w:hAns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具有</w:t>
            </w:r>
            <w:r>
              <w:rPr>
                <w:rFonts w:ascii="宋体" w:hAnsi="宋体" w:cs="宋体"/>
                <w:color w:val="auto"/>
                <w:kern w:val="0"/>
                <w:szCs w:val="21"/>
              </w:rPr>
              <w:t>3D</w:t>
            </w:r>
            <w:r>
              <w:rPr>
                <w:rFonts w:hint="eastAsia" w:ascii="宋体" w:hAnsi="宋体" w:cs="宋体"/>
                <w:color w:val="auto"/>
                <w:kern w:val="0"/>
                <w:szCs w:val="21"/>
              </w:rPr>
              <w:t>梳状滤波技术、</w:t>
            </w:r>
            <w:r>
              <w:rPr>
                <w:rFonts w:ascii="宋体" w:hAnsi="宋体" w:cs="宋体"/>
                <w:color w:val="auto"/>
                <w:kern w:val="0"/>
                <w:szCs w:val="21"/>
              </w:rPr>
              <w:t>3D</w:t>
            </w:r>
            <w:r>
              <w:rPr>
                <w:rFonts w:hint="eastAsia" w:ascii="宋体" w:hAnsi="宋体" w:cs="宋体"/>
                <w:color w:val="auto"/>
                <w:kern w:val="0"/>
                <w:szCs w:val="21"/>
              </w:rPr>
              <w:t>降噪技术、</w:t>
            </w:r>
            <w:r>
              <w:rPr>
                <w:rFonts w:ascii="宋体" w:hAnsi="宋体" w:cs="宋体"/>
                <w:color w:val="auto"/>
                <w:kern w:val="0"/>
                <w:szCs w:val="21"/>
              </w:rPr>
              <w:t>3D</w:t>
            </w:r>
            <w:r>
              <w:rPr>
                <w:rFonts w:hint="eastAsia" w:ascii="宋体" w:hAnsi="宋体" w:cs="宋体"/>
                <w:color w:val="auto"/>
                <w:kern w:val="0"/>
                <w:szCs w:val="21"/>
              </w:rPr>
              <w:t>运动补偿技术，分段</w:t>
            </w:r>
            <w:r>
              <w:rPr>
                <w:rFonts w:ascii="宋体" w:hAnsi="宋体" w:cs="宋体"/>
                <w:color w:val="auto"/>
                <w:kern w:val="0"/>
                <w:szCs w:val="21"/>
              </w:rPr>
              <w:t>GAMMA</w:t>
            </w:r>
            <w:r>
              <w:rPr>
                <w:rFonts w:hint="eastAsia" w:ascii="宋体" w:hAnsi="宋体" w:cs="宋体"/>
                <w:color w:val="auto"/>
                <w:kern w:val="0"/>
                <w:szCs w:val="21"/>
              </w:rPr>
              <w:t>校正技术，优化图像显示效果。</w:t>
            </w:r>
          </w:p>
          <w:p>
            <w:pPr>
              <w:widowControl/>
              <w:spacing w:line="360" w:lineRule="auto"/>
              <w:jc w:val="left"/>
              <w:rPr>
                <w:rFonts w:ascii="宋体" w:hAns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采用</w:t>
            </w:r>
            <w:r>
              <w:rPr>
                <w:rFonts w:ascii="宋体" w:hAnsi="宋体" w:cs="宋体"/>
                <w:color w:val="auto"/>
                <w:kern w:val="0"/>
                <w:szCs w:val="21"/>
              </w:rPr>
              <w:t>RC</w:t>
            </w:r>
            <w:r>
              <w:rPr>
                <w:rFonts w:hint="eastAsia" w:ascii="宋体" w:hAnsi="宋体" w:cs="宋体"/>
                <w:color w:val="auto"/>
                <w:kern w:val="0"/>
                <w:szCs w:val="21"/>
              </w:rPr>
              <w:t>智能自适应数字处理技术，具有</w:t>
            </w:r>
            <w:r>
              <w:rPr>
                <w:rFonts w:ascii="宋体" w:hAnsi="宋体" w:cs="宋体"/>
                <w:color w:val="auto"/>
                <w:kern w:val="0"/>
                <w:szCs w:val="21"/>
              </w:rPr>
              <w:t>DLC</w:t>
            </w:r>
            <w:r>
              <w:rPr>
                <w:rFonts w:hint="eastAsia" w:ascii="宋体" w:hAnsi="宋体" w:cs="宋体"/>
                <w:color w:val="auto"/>
                <w:kern w:val="0"/>
                <w:szCs w:val="21"/>
              </w:rPr>
              <w:t>（动态场景控制）、</w:t>
            </w:r>
            <w:r>
              <w:rPr>
                <w:rFonts w:ascii="宋体" w:hAnsi="宋体" w:cs="宋体"/>
                <w:color w:val="auto"/>
                <w:kern w:val="0"/>
                <w:szCs w:val="21"/>
              </w:rPr>
              <w:t>WLE</w:t>
            </w:r>
            <w:r>
              <w:rPr>
                <w:rFonts w:hint="eastAsia" w:ascii="宋体" w:hAnsi="宋体" w:cs="宋体"/>
                <w:color w:val="auto"/>
                <w:kern w:val="0"/>
                <w:szCs w:val="21"/>
              </w:rPr>
              <w:t>（白电平延伸）、</w:t>
            </w:r>
            <w:r>
              <w:rPr>
                <w:rFonts w:ascii="宋体" w:hAnsi="宋体" w:cs="宋体"/>
                <w:color w:val="auto"/>
                <w:kern w:val="0"/>
                <w:szCs w:val="21"/>
              </w:rPr>
              <w:t>BLE</w:t>
            </w:r>
            <w:r>
              <w:rPr>
                <w:rFonts w:hint="eastAsia" w:ascii="宋体" w:hAnsi="宋体" w:cs="宋体"/>
                <w:color w:val="auto"/>
                <w:kern w:val="0"/>
                <w:szCs w:val="21"/>
              </w:rPr>
              <w:t>（黑白平延伸）自适应控制技术，自动调整图像的灰度等级、色温，充分还原图像色彩，有效提升图像的景深立体感。</w:t>
            </w:r>
          </w:p>
          <w:p>
            <w:pPr>
              <w:widowControl/>
              <w:spacing w:line="360" w:lineRule="auto"/>
              <w:jc w:val="left"/>
              <w:rPr>
                <w:rFonts w:ascii="宋体" w:hAnsi="宋体" w:cs="宋体"/>
                <w:color w:val="auto"/>
                <w:kern w:val="0"/>
                <w:szCs w:val="21"/>
              </w:rPr>
            </w:pPr>
            <w:r>
              <w:rPr>
                <w:rFonts w:ascii="宋体" w:hAnsi="宋体" w:cs="宋体"/>
                <w:color w:val="auto"/>
                <w:kern w:val="0"/>
                <w:szCs w:val="21"/>
              </w:rPr>
              <w:t>4.</w:t>
            </w:r>
            <w:r>
              <w:rPr>
                <w:rFonts w:hint="eastAsia" w:ascii="宋体" w:hAnsi="宋体" w:cs="宋体"/>
                <w:color w:val="auto"/>
                <w:kern w:val="0"/>
                <w:szCs w:val="21"/>
              </w:rPr>
              <w:t>采用智能自动消残影技术，有效避免液晶屏长时间显示相同画面时造成的残影问题。</w:t>
            </w:r>
          </w:p>
          <w:p>
            <w:pPr>
              <w:widowControl/>
              <w:spacing w:line="360" w:lineRule="auto"/>
              <w:jc w:val="left"/>
              <w:rPr>
                <w:rFonts w:ascii="宋体" w:hAnsi="宋体" w:cs="宋体"/>
                <w:color w:val="auto"/>
                <w:kern w:val="0"/>
                <w:szCs w:val="21"/>
              </w:rPr>
            </w:pPr>
            <w:r>
              <w:rPr>
                <w:rFonts w:ascii="宋体" w:hAnsi="宋体" w:cs="宋体"/>
                <w:color w:val="auto"/>
                <w:kern w:val="0"/>
                <w:szCs w:val="21"/>
              </w:rPr>
              <w:t>5.</w:t>
            </w:r>
            <w:r>
              <w:rPr>
                <w:rFonts w:hint="eastAsia" w:ascii="宋体" w:hAnsi="宋体" w:cs="宋体"/>
                <w:color w:val="auto"/>
                <w:kern w:val="0"/>
                <w:szCs w:val="21"/>
              </w:rPr>
              <w:t>采用最新的色彩校正技术及独特的宽视角处理技术。</w:t>
            </w:r>
          </w:p>
          <w:p>
            <w:pPr>
              <w:widowControl/>
              <w:spacing w:line="360" w:lineRule="auto"/>
              <w:jc w:val="left"/>
              <w:rPr>
                <w:rFonts w:ascii="宋体" w:hAnsi="宋体" w:cs="宋体"/>
                <w:color w:val="auto"/>
                <w:kern w:val="0"/>
                <w:szCs w:val="21"/>
              </w:rPr>
            </w:pPr>
            <w:r>
              <w:rPr>
                <w:rFonts w:ascii="宋体" w:hAnsi="宋体" w:cs="宋体"/>
                <w:color w:val="auto"/>
                <w:kern w:val="0"/>
                <w:szCs w:val="21"/>
              </w:rPr>
              <w:t>6.I2C</w:t>
            </w:r>
            <w:r>
              <w:rPr>
                <w:rFonts w:hint="eastAsia" w:ascii="宋体" w:hAnsi="宋体" w:cs="宋体"/>
                <w:color w:val="auto"/>
                <w:kern w:val="0"/>
                <w:szCs w:val="21"/>
              </w:rPr>
              <w:t>总线最新控制电路</w:t>
            </w:r>
            <w:r>
              <w:rPr>
                <w:rFonts w:ascii="宋体" w:hAnsi="宋体" w:cs="宋体"/>
                <w:color w:val="auto"/>
                <w:kern w:val="0"/>
                <w:szCs w:val="21"/>
              </w:rPr>
              <w:t>,</w:t>
            </w:r>
            <w:r>
              <w:rPr>
                <w:rFonts w:hint="eastAsia" w:ascii="宋体" w:hAnsi="宋体" w:cs="宋体"/>
                <w:color w:val="auto"/>
                <w:kern w:val="0"/>
                <w:szCs w:val="21"/>
              </w:rPr>
              <w:t>整机可靠性高，扩展性好。</w:t>
            </w:r>
          </w:p>
          <w:p>
            <w:pPr>
              <w:widowControl/>
              <w:spacing w:line="360" w:lineRule="auto"/>
              <w:jc w:val="left"/>
              <w:rPr>
                <w:rFonts w:ascii="宋体" w:hAnsi="宋体" w:cs="宋体"/>
                <w:color w:val="auto"/>
                <w:kern w:val="0"/>
                <w:szCs w:val="21"/>
              </w:rPr>
            </w:pPr>
            <w:r>
              <w:rPr>
                <w:rFonts w:ascii="宋体" w:hAnsi="宋体" w:cs="宋体"/>
                <w:color w:val="auto"/>
                <w:kern w:val="0"/>
                <w:szCs w:val="21"/>
              </w:rPr>
              <w:t>7.</w:t>
            </w:r>
            <w:r>
              <w:rPr>
                <w:rFonts w:hint="eastAsia" w:ascii="宋体" w:hAnsi="宋体" w:cs="宋体"/>
                <w:color w:val="auto"/>
                <w:kern w:val="0"/>
                <w:szCs w:val="21"/>
              </w:rPr>
              <w:t>边缘清晰度提升处理技术，大幅度提升画面的清晰度。</w:t>
            </w:r>
          </w:p>
          <w:p>
            <w:pPr>
              <w:widowControl/>
              <w:spacing w:line="360" w:lineRule="auto"/>
              <w:jc w:val="left"/>
              <w:rPr>
                <w:rFonts w:ascii="宋体" w:hAnsi="宋体" w:cs="宋体"/>
                <w:color w:val="auto"/>
                <w:kern w:val="0"/>
                <w:szCs w:val="21"/>
              </w:rPr>
            </w:pPr>
            <w:r>
              <w:rPr>
                <w:rFonts w:ascii="宋体" w:hAnsi="宋体" w:cs="宋体"/>
                <w:color w:val="auto"/>
                <w:kern w:val="0"/>
                <w:szCs w:val="21"/>
              </w:rPr>
              <w:t>8.</w:t>
            </w:r>
            <w:r>
              <w:rPr>
                <w:rFonts w:hint="eastAsia" w:ascii="宋体" w:hAnsi="宋体" w:cs="宋体"/>
                <w:color w:val="auto"/>
                <w:kern w:val="0"/>
                <w:szCs w:val="21"/>
              </w:rPr>
              <w:t>全色彩，画面色彩更自然生动。</w:t>
            </w:r>
          </w:p>
          <w:p>
            <w:pPr>
              <w:widowControl/>
              <w:spacing w:line="360" w:lineRule="auto"/>
              <w:jc w:val="left"/>
              <w:rPr>
                <w:rFonts w:ascii="宋体" w:hAnsi="宋体" w:cs="宋体"/>
                <w:color w:val="auto"/>
                <w:kern w:val="0"/>
                <w:szCs w:val="21"/>
              </w:rPr>
            </w:pPr>
            <w:r>
              <w:rPr>
                <w:rFonts w:ascii="宋体" w:hAnsi="宋体" w:cs="宋体"/>
                <w:color w:val="auto"/>
                <w:kern w:val="0"/>
                <w:szCs w:val="21"/>
              </w:rPr>
              <w:t>9.</w:t>
            </w:r>
            <w:r>
              <w:rPr>
                <w:rFonts w:hint="eastAsia" w:ascii="宋体" w:hAnsi="宋体" w:cs="宋体"/>
                <w:color w:val="auto"/>
                <w:kern w:val="0"/>
                <w:szCs w:val="21"/>
              </w:rPr>
              <w:t>采用</w:t>
            </w:r>
            <w:r>
              <w:rPr>
                <w:rFonts w:ascii="宋体" w:hAnsi="宋体" w:cs="宋体"/>
                <w:color w:val="auto"/>
                <w:kern w:val="0"/>
                <w:szCs w:val="21"/>
              </w:rPr>
              <w:t>H2S</w:t>
            </w:r>
            <w:r>
              <w:rPr>
                <w:rFonts w:hint="eastAsia" w:ascii="宋体" w:hAnsi="宋体" w:cs="宋体"/>
                <w:color w:val="auto"/>
                <w:kern w:val="0"/>
                <w:szCs w:val="21"/>
              </w:rPr>
              <w:t>宽动态技术，能快速适应处理不同频率状态下的高清视频图像信号，彻底解决不同频率下产生的图像闪烁导致视觉疲劳现象。</w:t>
            </w:r>
          </w:p>
          <w:p>
            <w:pPr>
              <w:widowControl/>
              <w:spacing w:line="360" w:lineRule="auto"/>
              <w:jc w:val="left"/>
              <w:rPr>
                <w:rFonts w:ascii="宋体" w:hAnsi="宋体" w:cs="宋体"/>
                <w:color w:val="auto"/>
                <w:kern w:val="0"/>
                <w:szCs w:val="21"/>
              </w:rPr>
            </w:pPr>
            <w:r>
              <w:rPr>
                <w:rFonts w:ascii="宋体" w:hAnsi="宋体" w:cs="宋体"/>
                <w:color w:val="auto"/>
                <w:kern w:val="0"/>
                <w:szCs w:val="21"/>
              </w:rPr>
              <w:t>10.</w:t>
            </w:r>
            <w:r>
              <w:rPr>
                <w:rFonts w:hint="eastAsia" w:ascii="宋体" w:hAnsi="宋体" w:cs="宋体"/>
                <w:color w:val="auto"/>
                <w:kern w:val="0"/>
                <w:szCs w:val="21"/>
              </w:rPr>
              <w:t>液晶拼接单元采专用的工业级</w:t>
            </w:r>
            <w:r>
              <w:rPr>
                <w:rFonts w:ascii="宋体" w:hAnsi="宋体" w:cs="宋体"/>
                <w:color w:val="auto"/>
                <w:kern w:val="0"/>
                <w:szCs w:val="21"/>
              </w:rPr>
              <w:t>DID</w:t>
            </w:r>
            <w:r>
              <w:rPr>
                <w:rFonts w:hint="eastAsia" w:ascii="宋体" w:hAnsi="宋体" w:cs="宋体"/>
                <w:color w:val="auto"/>
                <w:kern w:val="0"/>
                <w:szCs w:val="21"/>
              </w:rPr>
              <w:t>液晶屏，高亮度、高清晰度、高对比度。</w:t>
            </w:r>
          </w:p>
          <w:p>
            <w:pPr>
              <w:widowControl/>
              <w:spacing w:line="360" w:lineRule="auto"/>
              <w:jc w:val="left"/>
              <w:rPr>
                <w:rFonts w:ascii="宋体" w:hAnsi="宋体" w:cs="宋体"/>
                <w:color w:val="auto"/>
                <w:kern w:val="0"/>
                <w:szCs w:val="21"/>
              </w:rPr>
            </w:pPr>
            <w:r>
              <w:rPr>
                <w:rFonts w:ascii="宋体" w:hAnsi="宋体" w:cs="宋体"/>
                <w:color w:val="auto"/>
                <w:kern w:val="0"/>
                <w:szCs w:val="21"/>
              </w:rPr>
              <w:t>11.</w:t>
            </w:r>
            <w:r>
              <w:rPr>
                <w:rFonts w:hint="eastAsia" w:ascii="宋体" w:hAnsi="宋体" w:cs="宋体"/>
                <w:color w:val="auto"/>
                <w:kern w:val="0"/>
                <w:szCs w:val="21"/>
              </w:rPr>
              <w:t>支持横向、竖向及任意方向安装方式。</w:t>
            </w:r>
          </w:p>
          <w:p>
            <w:pPr>
              <w:widowControl/>
              <w:spacing w:line="360" w:lineRule="auto"/>
              <w:jc w:val="left"/>
              <w:rPr>
                <w:rFonts w:ascii="宋体" w:hAnsi="宋体" w:cs="宋体"/>
                <w:color w:val="auto"/>
                <w:kern w:val="0"/>
                <w:szCs w:val="21"/>
              </w:rPr>
            </w:pPr>
            <w:r>
              <w:rPr>
                <w:rFonts w:ascii="宋体" w:hAnsi="宋体" w:cs="宋体"/>
                <w:color w:val="auto"/>
                <w:kern w:val="0"/>
                <w:szCs w:val="21"/>
              </w:rPr>
              <w:t>12.</w:t>
            </w:r>
            <w:r>
              <w:rPr>
                <w:rFonts w:hint="eastAsia" w:ascii="宋体" w:hAnsi="宋体" w:cs="宋体"/>
                <w:color w:val="auto"/>
                <w:kern w:val="0"/>
                <w:szCs w:val="21"/>
              </w:rPr>
              <w:t>整机可靠性可达</w:t>
            </w:r>
            <w:r>
              <w:rPr>
                <w:rFonts w:ascii="宋体" w:hAnsi="宋体" w:cs="宋体"/>
                <w:color w:val="auto"/>
                <w:kern w:val="0"/>
                <w:szCs w:val="21"/>
              </w:rPr>
              <w:t>6</w:t>
            </w:r>
            <w:r>
              <w:rPr>
                <w:rFonts w:hint="eastAsia" w:ascii="宋体" w:hAnsi="宋体" w:cs="宋体"/>
                <w:color w:val="auto"/>
                <w:kern w:val="0"/>
                <w:szCs w:val="21"/>
              </w:rPr>
              <w:t>万小时，超长寿命，超高稳定性，维护成本低。</w:t>
            </w:r>
          </w:p>
          <w:p>
            <w:pPr>
              <w:widowControl/>
              <w:spacing w:line="360" w:lineRule="auto"/>
              <w:jc w:val="left"/>
              <w:rPr>
                <w:rFonts w:ascii="宋体" w:hAnsi="宋体" w:cs="宋体"/>
                <w:color w:val="auto"/>
                <w:kern w:val="0"/>
                <w:szCs w:val="21"/>
              </w:rPr>
            </w:pPr>
            <w:r>
              <w:rPr>
                <w:rFonts w:ascii="宋体" w:hAnsi="宋体" w:cs="宋体"/>
                <w:color w:val="auto"/>
                <w:kern w:val="0"/>
                <w:szCs w:val="21"/>
              </w:rPr>
              <w:t>13.</w:t>
            </w:r>
            <w:r>
              <w:rPr>
                <w:rFonts w:hint="eastAsia" w:ascii="宋体" w:hAnsi="宋体" w:cs="宋体"/>
                <w:color w:val="auto"/>
                <w:kern w:val="0"/>
                <w:szCs w:val="21"/>
              </w:rPr>
              <w:t>自动识别视频制式</w:t>
            </w:r>
            <w:r>
              <w:rPr>
                <w:rFonts w:ascii="宋体" w:hAnsi="宋体" w:cs="宋体"/>
                <w:color w:val="auto"/>
                <w:kern w:val="0"/>
                <w:szCs w:val="21"/>
              </w:rPr>
              <w:t>PAL/NTSC/SECAM</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14.</w:t>
            </w:r>
            <w:r>
              <w:rPr>
                <w:rFonts w:hint="eastAsia" w:ascii="宋体" w:hAnsi="宋体" w:cs="宋体"/>
                <w:color w:val="auto"/>
                <w:kern w:val="0"/>
                <w:szCs w:val="21"/>
              </w:rPr>
              <w:t>极速响应时间</w:t>
            </w:r>
            <w:r>
              <w:rPr>
                <w:rFonts w:ascii="宋体" w:hAnsi="宋体" w:cs="宋体"/>
                <w:color w:val="auto"/>
                <w:kern w:val="0"/>
                <w:szCs w:val="21"/>
              </w:rPr>
              <w:t>5ms</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15.</w:t>
            </w:r>
            <w:r>
              <w:rPr>
                <w:rFonts w:hint="eastAsia" w:ascii="宋体" w:hAnsi="宋体" w:cs="宋体"/>
                <w:color w:val="auto"/>
                <w:kern w:val="0"/>
                <w:szCs w:val="21"/>
              </w:rPr>
              <w:t>内置高性能电源设计，能耗低。</w:t>
            </w:r>
          </w:p>
          <w:p>
            <w:pPr>
              <w:widowControl/>
              <w:spacing w:line="360" w:lineRule="auto"/>
              <w:jc w:val="left"/>
              <w:rPr>
                <w:rFonts w:ascii="宋体" w:hAnsi="宋体" w:cs="宋体"/>
                <w:color w:val="auto"/>
                <w:kern w:val="0"/>
                <w:szCs w:val="21"/>
              </w:rPr>
            </w:pPr>
            <w:r>
              <w:rPr>
                <w:rFonts w:ascii="宋体" w:hAnsi="宋体" w:cs="宋体"/>
                <w:color w:val="auto"/>
                <w:kern w:val="0"/>
                <w:szCs w:val="21"/>
              </w:rPr>
              <w:t>16.</w:t>
            </w:r>
            <w:r>
              <w:rPr>
                <w:rFonts w:hint="eastAsia" w:ascii="宋体" w:hAnsi="宋体" w:cs="宋体"/>
                <w:color w:val="auto"/>
                <w:kern w:val="0"/>
                <w:szCs w:val="21"/>
              </w:rPr>
              <w:t>多层次菜单显示功能。</w:t>
            </w:r>
          </w:p>
          <w:p>
            <w:pPr>
              <w:widowControl/>
              <w:spacing w:line="360" w:lineRule="auto"/>
              <w:jc w:val="left"/>
              <w:rPr>
                <w:rFonts w:ascii="宋体" w:hAnsi="宋体" w:cs="宋体"/>
                <w:color w:val="auto"/>
                <w:kern w:val="0"/>
                <w:szCs w:val="21"/>
              </w:rPr>
            </w:pPr>
            <w:r>
              <w:rPr>
                <w:rFonts w:ascii="宋体" w:hAnsi="宋体" w:cs="宋体"/>
                <w:color w:val="auto"/>
                <w:kern w:val="0"/>
                <w:szCs w:val="21"/>
              </w:rPr>
              <w:t>17.</w:t>
            </w:r>
            <w:r>
              <w:rPr>
                <w:rFonts w:hint="eastAsia" w:ascii="宋体" w:hAnsi="宋体" w:cs="宋体"/>
                <w:color w:val="auto"/>
                <w:kern w:val="0"/>
                <w:szCs w:val="21"/>
              </w:rPr>
              <w:t>具有“能源星”技术，采用变频节能功能，液晶拼接屏正常运行时的平均功耗最高可以降低</w:t>
            </w:r>
            <w:r>
              <w:rPr>
                <w:rFonts w:ascii="宋体" w:hAnsi="宋体" w:cs="宋体"/>
                <w:color w:val="auto"/>
                <w:kern w:val="0"/>
                <w:szCs w:val="21"/>
              </w:rPr>
              <w:t>50%</w:t>
            </w:r>
            <w:r>
              <w:rPr>
                <w:rFonts w:hint="eastAsia" w:ascii="宋体" w:hAnsi="宋体" w:cs="宋体"/>
                <w:color w:val="auto"/>
                <w:kern w:val="0"/>
                <w:szCs w:val="21"/>
              </w:rPr>
              <w:t>，最低功耗可以低至</w:t>
            </w:r>
            <w:r>
              <w:rPr>
                <w:rFonts w:ascii="宋体" w:hAnsi="宋体" w:cs="宋体"/>
                <w:color w:val="auto"/>
                <w:kern w:val="0"/>
                <w:szCs w:val="21"/>
              </w:rPr>
              <w:t>24W</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18.</w:t>
            </w:r>
            <w:r>
              <w:rPr>
                <w:rFonts w:hint="eastAsia" w:ascii="宋体" w:hAnsi="宋体" w:cs="宋体"/>
                <w:color w:val="auto"/>
                <w:kern w:val="0"/>
                <w:szCs w:val="21"/>
              </w:rPr>
              <w:t>具有</w:t>
            </w:r>
            <w:r>
              <w:rPr>
                <w:rFonts w:ascii="宋体" w:hAnsi="宋体" w:cs="宋体"/>
                <w:color w:val="auto"/>
                <w:kern w:val="0"/>
                <w:szCs w:val="21"/>
              </w:rPr>
              <w:t>LED</w:t>
            </w:r>
            <w:r>
              <w:rPr>
                <w:rFonts w:hint="eastAsia" w:ascii="宋体" w:hAnsi="宋体" w:cs="宋体"/>
                <w:color w:val="auto"/>
                <w:kern w:val="0"/>
                <w:szCs w:val="21"/>
              </w:rPr>
              <w:t>条屏功能，能够进行字符在图像上的叠加显示。</w:t>
            </w:r>
          </w:p>
          <w:p>
            <w:pPr>
              <w:widowControl/>
              <w:spacing w:line="360" w:lineRule="auto"/>
              <w:jc w:val="left"/>
              <w:rPr>
                <w:rFonts w:ascii="宋体" w:hAnsi="宋体" w:cs="宋体"/>
                <w:color w:val="auto"/>
                <w:kern w:val="0"/>
                <w:szCs w:val="21"/>
              </w:rPr>
            </w:pPr>
            <w:r>
              <w:rPr>
                <w:rFonts w:ascii="宋体" w:hAnsi="宋体" w:cs="宋体"/>
                <w:color w:val="auto"/>
                <w:kern w:val="0"/>
                <w:szCs w:val="21"/>
              </w:rPr>
              <w:t>19.</w:t>
            </w:r>
            <w:r>
              <w:rPr>
                <w:rFonts w:hint="eastAsia" w:ascii="宋体" w:hAnsi="宋体" w:cs="宋体"/>
                <w:color w:val="auto"/>
                <w:kern w:val="0"/>
                <w:szCs w:val="21"/>
              </w:rPr>
              <w:t>具有多套拼接屏分组控制功能。</w:t>
            </w:r>
          </w:p>
          <w:p>
            <w:pPr>
              <w:widowControl/>
              <w:spacing w:line="360" w:lineRule="auto"/>
              <w:jc w:val="left"/>
              <w:rPr>
                <w:rFonts w:ascii="宋体" w:hAnsi="宋体" w:cs="宋体"/>
                <w:color w:val="auto"/>
                <w:kern w:val="0"/>
                <w:szCs w:val="21"/>
              </w:rPr>
            </w:pPr>
            <w:r>
              <w:rPr>
                <w:rFonts w:ascii="宋体" w:hAnsi="宋体" w:cs="宋体"/>
                <w:color w:val="auto"/>
                <w:kern w:val="0"/>
                <w:szCs w:val="21"/>
              </w:rPr>
              <w:t>20.</w:t>
            </w:r>
            <w:r>
              <w:rPr>
                <w:rFonts w:hint="eastAsia" w:ascii="宋体" w:hAnsi="宋体" w:cs="宋体"/>
                <w:color w:val="auto"/>
                <w:kern w:val="0"/>
                <w:szCs w:val="21"/>
              </w:rPr>
              <w:t>具有同一套拼接屏虚拟分组控制功能，通过一个控制软件，实现分别对各虚拟分组屏的拼接方式、属性等分别作出调整，且相互不影响。</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套</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中视、澄通、汉创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3</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拼接安装结构支架</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szCs w:val="21"/>
              </w:rPr>
              <w:t>大屏前维护液压支架，保证液晶拼接单元间的无缝拼接。</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4</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套</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中视、澄通、汉创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4</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外框装饰</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拼接墙的四周美化，边结构处理，不锈钢包边</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套</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5</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控制电脑</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I5-8400/B360 PCI/8G/256G/集显/DVDRW/Win10/19.5LED宽屏</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戴尔、联系、华硕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6</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播放合作器</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4路输入一路输出控制器</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中视、澄通、汉创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7</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DVI专用电缆接头</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DVI专用电缆、DVI-D接头</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批</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8</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工作台</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工位：双工位</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材质：优质冷轧钢，耐压，</w:t>
            </w:r>
            <w:r>
              <w:rPr>
                <w:rFonts w:hint="eastAsia" w:ascii="宋体" w:hAnsi="宋体" w:cs="宋体"/>
                <w:color w:val="auto"/>
                <w:kern w:val="0"/>
                <w:szCs w:val="21"/>
              </w:rPr>
              <w:br w:type="textWrapping"/>
            </w:r>
            <w:r>
              <w:rPr>
                <w:rFonts w:hint="eastAsia" w:ascii="宋体" w:hAnsi="宋体" w:cs="宋体"/>
                <w:color w:val="auto"/>
                <w:kern w:val="0"/>
                <w:szCs w:val="21"/>
              </w:rPr>
              <w:t>尺寸约：1200*640*900m</w:t>
            </w:r>
            <w:r>
              <w:rPr>
                <w:rFonts w:hint="eastAsia" w:ascii="宋体" w:hAnsi="宋体" w:cs="宋体"/>
                <w:color w:val="auto"/>
                <w:kern w:val="0"/>
                <w:szCs w:val="21"/>
              </w:rPr>
              <w:br w:type="textWrapping"/>
            </w:r>
            <w:r>
              <w:rPr>
                <w:rFonts w:hint="eastAsia" w:ascii="宋体" w:hAnsi="宋体" w:cs="宋体"/>
                <w:color w:val="auto"/>
                <w:kern w:val="0"/>
                <w:szCs w:val="21"/>
              </w:rPr>
              <w:t>立柱、主体框架：1.5mm，其他1.2mm</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1961" w:type="dxa"/>
            <w:gridSpan w:val="2"/>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bCs/>
                <w:color w:val="auto"/>
                <w:kern w:val="0"/>
                <w:szCs w:val="21"/>
              </w:rPr>
              <w:t>2.2.指挥平台系统</w:t>
            </w:r>
          </w:p>
        </w:tc>
        <w:tc>
          <w:tcPr>
            <w:tcW w:w="5926" w:type="dxa"/>
            <w:noWrap w:val="0"/>
            <w:vAlign w:val="center"/>
          </w:tcPr>
          <w:p>
            <w:pPr>
              <w:widowControl/>
              <w:spacing w:line="360" w:lineRule="auto"/>
              <w:jc w:val="left"/>
              <w:rPr>
                <w:rFonts w:ascii="宋体" w:hAnsi="宋体" w:cs="宋体"/>
                <w:color w:val="auto"/>
                <w:kern w:val="0"/>
                <w:szCs w:val="21"/>
              </w:rPr>
            </w:pPr>
          </w:p>
        </w:tc>
        <w:tc>
          <w:tcPr>
            <w:tcW w:w="561" w:type="dxa"/>
            <w:noWrap w:val="0"/>
            <w:vAlign w:val="center"/>
          </w:tcPr>
          <w:p>
            <w:pPr>
              <w:widowControl/>
              <w:spacing w:line="360" w:lineRule="auto"/>
              <w:jc w:val="center"/>
              <w:rPr>
                <w:rFonts w:ascii="宋体" w:hAnsi="宋体" w:cs="宋体"/>
                <w:color w:val="auto"/>
                <w:kern w:val="0"/>
                <w:szCs w:val="21"/>
              </w:rPr>
            </w:pPr>
          </w:p>
        </w:tc>
        <w:tc>
          <w:tcPr>
            <w:tcW w:w="561" w:type="dxa"/>
            <w:noWrap w:val="0"/>
            <w:vAlign w:val="center"/>
          </w:tcPr>
          <w:p>
            <w:pPr>
              <w:widowControl/>
              <w:spacing w:line="360" w:lineRule="auto"/>
              <w:jc w:val="center"/>
              <w:rPr>
                <w:rFonts w:ascii="宋体" w:hAnsi="宋体" w:cs="宋体"/>
                <w:color w:val="auto"/>
                <w:kern w:val="0"/>
                <w:szCs w:val="21"/>
              </w:rPr>
            </w:pPr>
          </w:p>
        </w:tc>
        <w:tc>
          <w:tcPr>
            <w:tcW w:w="1110" w:type="dxa"/>
            <w:noWrap w:val="0"/>
            <w:vAlign w:val="center"/>
          </w:tcPr>
          <w:p>
            <w:pPr>
              <w:widowControl/>
              <w:spacing w:line="360" w:lineRule="auto"/>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流媒体服务器</w:t>
            </w:r>
          </w:p>
        </w:tc>
        <w:tc>
          <w:tcPr>
            <w:tcW w:w="5926" w:type="dxa"/>
            <w:noWrap w:val="0"/>
            <w:vAlign w:val="center"/>
          </w:tcPr>
          <w:p>
            <w:pPr>
              <w:spacing w:line="360" w:lineRule="auto"/>
              <w:rPr>
                <w:rFonts w:ascii="宋体" w:hAnsi="宋体" w:cs="宋体"/>
                <w:color w:val="auto"/>
                <w:szCs w:val="21"/>
              </w:rPr>
            </w:pPr>
            <w:r>
              <w:rPr>
                <w:rFonts w:hint="eastAsia" w:ascii="宋体" w:hAnsi="宋体" w:cs="宋体"/>
                <w:color w:val="auto"/>
                <w:szCs w:val="21"/>
              </w:rPr>
              <w:t>处理器：支持Intel Xeon E5-2600 V3/V4系列多核处理器，高速QPI互连总线(9.6/8.0/6.4 GT/s，依CPU型号不同而不同)，大容量三级缓存(15/20/25 MB，依CPU型号不同而不同)；</w:t>
            </w:r>
          </w:p>
          <w:p>
            <w:pPr>
              <w:spacing w:line="360" w:lineRule="auto"/>
              <w:rPr>
                <w:rFonts w:ascii="宋体" w:hAnsi="宋体" w:cs="宋体"/>
                <w:color w:val="auto"/>
                <w:szCs w:val="21"/>
              </w:rPr>
            </w:pPr>
            <w:r>
              <w:rPr>
                <w:rFonts w:hint="eastAsia" w:ascii="宋体" w:hAnsi="宋体" w:cs="宋体"/>
                <w:color w:val="auto"/>
                <w:szCs w:val="21"/>
              </w:rPr>
              <w:t>芯片组：Intel C610芯片组；</w:t>
            </w:r>
          </w:p>
          <w:p>
            <w:pPr>
              <w:spacing w:line="360" w:lineRule="auto"/>
              <w:rPr>
                <w:rFonts w:ascii="宋体" w:hAnsi="宋体" w:cs="宋体"/>
                <w:color w:val="auto"/>
                <w:szCs w:val="21"/>
              </w:rPr>
            </w:pPr>
            <w:r>
              <w:rPr>
                <w:rFonts w:hint="eastAsia" w:ascii="宋体" w:hAnsi="宋体" w:cs="宋体"/>
                <w:color w:val="auto"/>
                <w:szCs w:val="21"/>
              </w:rPr>
              <w:t>内存：16根内存插槽机型；最大可扩展至1TB内存；</w:t>
            </w:r>
          </w:p>
          <w:p>
            <w:pPr>
              <w:spacing w:line="360" w:lineRule="auto"/>
              <w:rPr>
                <w:rFonts w:ascii="宋体" w:hAnsi="宋体" w:cs="宋体"/>
                <w:color w:val="auto"/>
                <w:szCs w:val="21"/>
              </w:rPr>
            </w:pPr>
            <w:r>
              <w:rPr>
                <w:rFonts w:hint="eastAsia" w:ascii="宋体" w:hAnsi="宋体" w:cs="宋体"/>
                <w:color w:val="auto"/>
                <w:szCs w:val="21"/>
              </w:rPr>
              <w:t>最大24根内存插槽；最大可扩展至1.5TB内存；</w:t>
            </w:r>
          </w:p>
          <w:p>
            <w:pPr>
              <w:spacing w:line="360" w:lineRule="auto"/>
              <w:rPr>
                <w:rFonts w:ascii="宋体" w:hAnsi="宋体" w:cs="宋体"/>
                <w:color w:val="auto"/>
                <w:szCs w:val="21"/>
              </w:rPr>
            </w:pPr>
            <w:r>
              <w:rPr>
                <w:rFonts w:hint="eastAsia" w:ascii="宋体" w:hAnsi="宋体" w:cs="宋体"/>
                <w:color w:val="auto"/>
                <w:szCs w:val="21"/>
              </w:rPr>
              <w:t>支持DDR4 2133/2400 ECC内存(工作频率依CPU和内存配置不同而不同)， ；</w:t>
            </w:r>
          </w:p>
          <w:p>
            <w:pPr>
              <w:spacing w:line="360" w:lineRule="auto"/>
              <w:rPr>
                <w:rFonts w:ascii="宋体" w:hAnsi="宋体" w:cs="宋体"/>
                <w:color w:val="auto"/>
                <w:szCs w:val="21"/>
              </w:rPr>
            </w:pPr>
            <w:r>
              <w:rPr>
                <w:rFonts w:hint="eastAsia" w:ascii="宋体" w:hAnsi="宋体" w:cs="宋体"/>
                <w:color w:val="auto"/>
                <w:szCs w:val="21"/>
              </w:rPr>
              <w:t>网络控制器：标配四口RJ45千兆，可选集成双口RJ45千兆、双口光纤万兆；</w:t>
            </w:r>
          </w:p>
          <w:p>
            <w:pPr>
              <w:spacing w:line="360" w:lineRule="auto"/>
              <w:rPr>
                <w:rFonts w:ascii="宋体" w:hAnsi="宋体" w:cs="宋体"/>
                <w:color w:val="auto"/>
                <w:szCs w:val="21"/>
              </w:rPr>
            </w:pPr>
            <w:r>
              <w:rPr>
                <w:rFonts w:hint="eastAsia" w:ascii="宋体" w:hAnsi="宋体" w:cs="宋体"/>
                <w:color w:val="auto"/>
                <w:szCs w:val="21"/>
              </w:rPr>
              <w:t>PCI I/O扩展槽：最大支持8个PCI-E扩展插槽，可选支</w:t>
            </w:r>
          </w:p>
          <w:p>
            <w:pPr>
              <w:spacing w:line="360" w:lineRule="auto"/>
              <w:rPr>
                <w:rFonts w:ascii="宋体" w:hAnsi="宋体" w:cs="宋体"/>
                <w:color w:val="auto"/>
                <w:szCs w:val="21"/>
              </w:rPr>
            </w:pPr>
            <w:r>
              <w:rPr>
                <w:rFonts w:hint="eastAsia" w:ascii="宋体" w:hAnsi="宋体" w:cs="宋体"/>
                <w:color w:val="auto"/>
                <w:szCs w:val="21"/>
              </w:rPr>
              <w:t>持横插Riser扩展卡，最大支持5个全高扩展卡；</w:t>
            </w:r>
          </w:p>
          <w:p>
            <w:pPr>
              <w:spacing w:line="360" w:lineRule="auto"/>
              <w:rPr>
                <w:rFonts w:ascii="宋体" w:hAnsi="宋体" w:cs="宋体"/>
                <w:color w:val="auto"/>
                <w:szCs w:val="21"/>
              </w:rPr>
            </w:pPr>
            <w:r>
              <w:rPr>
                <w:rFonts w:hint="eastAsia" w:ascii="宋体" w:hAnsi="宋体" w:cs="宋体"/>
                <w:color w:val="auto"/>
                <w:szCs w:val="21"/>
              </w:rPr>
              <w:t>硬盘控制器：集成3008 SAS 卡，支持RAID 0/1/10，RAID 5（软）  ；</w:t>
            </w:r>
          </w:p>
          <w:p>
            <w:pPr>
              <w:spacing w:line="360" w:lineRule="auto"/>
              <w:rPr>
                <w:rFonts w:ascii="宋体" w:hAnsi="宋体" w:cs="宋体"/>
                <w:color w:val="auto"/>
                <w:szCs w:val="21"/>
              </w:rPr>
            </w:pPr>
            <w:r>
              <w:rPr>
                <w:rFonts w:hint="eastAsia" w:ascii="宋体" w:hAnsi="宋体" w:cs="宋体"/>
                <w:color w:val="auto"/>
                <w:szCs w:val="21"/>
              </w:rPr>
              <w:t>集成8口SATA硬盘控制器，支持RAID 0、1；</w:t>
            </w:r>
          </w:p>
          <w:p>
            <w:pPr>
              <w:spacing w:line="360" w:lineRule="auto"/>
              <w:rPr>
                <w:rFonts w:ascii="宋体" w:hAnsi="宋体" w:cs="宋体"/>
                <w:color w:val="auto"/>
                <w:szCs w:val="21"/>
              </w:rPr>
            </w:pPr>
            <w:r>
              <w:rPr>
                <w:rFonts w:hint="eastAsia" w:ascii="宋体" w:hAnsi="宋体" w:cs="宋体"/>
                <w:color w:val="auto"/>
                <w:szCs w:val="21"/>
              </w:rPr>
              <w:t>支持RAID 0/1/5/6/10 ，支持断电保护；</w:t>
            </w:r>
          </w:p>
          <w:p>
            <w:pPr>
              <w:spacing w:line="360" w:lineRule="auto"/>
              <w:rPr>
                <w:rFonts w:ascii="宋体" w:hAnsi="宋体" w:cs="宋体"/>
                <w:color w:val="auto"/>
                <w:szCs w:val="21"/>
              </w:rPr>
            </w:pPr>
            <w:r>
              <w:rPr>
                <w:rFonts w:hint="eastAsia" w:ascii="宋体" w:hAnsi="宋体" w:cs="宋体"/>
                <w:color w:val="auto"/>
                <w:szCs w:val="21"/>
              </w:rPr>
              <w:t>8盘位机型最高支持8块3.5寸或2.5寸热插拔SAS/SATA硬盘；</w:t>
            </w:r>
          </w:p>
          <w:p>
            <w:pPr>
              <w:spacing w:line="360" w:lineRule="auto"/>
              <w:rPr>
                <w:rFonts w:ascii="宋体" w:hAnsi="宋体" w:cs="宋体"/>
                <w:color w:val="auto"/>
                <w:szCs w:val="21"/>
              </w:rPr>
            </w:pPr>
            <w:r>
              <w:rPr>
                <w:rFonts w:hint="eastAsia" w:ascii="宋体" w:hAnsi="宋体" w:cs="宋体"/>
                <w:color w:val="auto"/>
                <w:szCs w:val="21"/>
              </w:rPr>
              <w:t>支持SAS/SATA硬盘混插，支持可选4个后置热插拔2.5寸硬盘；</w:t>
            </w:r>
          </w:p>
          <w:p>
            <w:pPr>
              <w:spacing w:line="360" w:lineRule="auto"/>
              <w:rPr>
                <w:rFonts w:ascii="宋体" w:hAnsi="宋体" w:cs="宋体"/>
                <w:color w:val="auto"/>
                <w:szCs w:val="21"/>
              </w:rPr>
            </w:pPr>
            <w:r>
              <w:rPr>
                <w:rFonts w:hint="eastAsia" w:ascii="宋体" w:hAnsi="宋体" w:cs="宋体"/>
                <w:color w:val="auto"/>
                <w:szCs w:val="21"/>
              </w:rPr>
              <w:t>其他端口：1个RJ-45管理接口，位于机箱后部；</w:t>
            </w:r>
          </w:p>
          <w:p>
            <w:pPr>
              <w:spacing w:line="360" w:lineRule="auto"/>
              <w:rPr>
                <w:rFonts w:ascii="宋体" w:hAnsi="宋体" w:cs="宋体"/>
                <w:color w:val="auto"/>
                <w:szCs w:val="21"/>
              </w:rPr>
            </w:pPr>
            <w:r>
              <w:rPr>
                <w:rFonts w:hint="eastAsia" w:ascii="宋体" w:hAnsi="宋体" w:cs="宋体"/>
                <w:color w:val="auto"/>
                <w:szCs w:val="21"/>
              </w:rPr>
              <w:t>5个USB 3.0接口，2个位于机箱后部、2个位于机箱前部；内置1个；</w:t>
            </w:r>
          </w:p>
          <w:p>
            <w:pPr>
              <w:spacing w:line="360" w:lineRule="auto"/>
              <w:rPr>
                <w:rFonts w:ascii="宋体" w:hAnsi="宋体" w:cs="宋体"/>
                <w:color w:val="auto"/>
                <w:szCs w:val="21"/>
              </w:rPr>
            </w:pPr>
            <w:r>
              <w:rPr>
                <w:rFonts w:hint="eastAsia" w:ascii="宋体" w:hAnsi="宋体" w:cs="宋体"/>
                <w:color w:val="auto"/>
                <w:szCs w:val="21"/>
              </w:rPr>
              <w:t>1个VGA接口，位于机箱后部，可选配支持前置VGA；</w:t>
            </w:r>
          </w:p>
          <w:p>
            <w:pPr>
              <w:spacing w:line="360" w:lineRule="auto"/>
              <w:rPr>
                <w:rFonts w:ascii="宋体" w:hAnsi="宋体" w:cs="宋体"/>
                <w:color w:val="auto"/>
                <w:szCs w:val="21"/>
              </w:rPr>
            </w:pPr>
            <w:r>
              <w:rPr>
                <w:rFonts w:hint="eastAsia" w:ascii="宋体" w:hAnsi="宋体" w:cs="宋体"/>
                <w:color w:val="auto"/>
                <w:szCs w:val="21"/>
              </w:rPr>
              <w:t>1个串口，位于机箱后部；</w:t>
            </w:r>
          </w:p>
          <w:p>
            <w:pPr>
              <w:spacing w:line="360" w:lineRule="auto"/>
              <w:rPr>
                <w:rFonts w:ascii="宋体" w:hAnsi="宋体" w:cs="宋体"/>
                <w:color w:val="auto"/>
                <w:szCs w:val="21"/>
              </w:rPr>
            </w:pPr>
            <w:r>
              <w:rPr>
                <w:rFonts w:hint="eastAsia" w:ascii="宋体" w:hAnsi="宋体" w:cs="宋体"/>
                <w:color w:val="auto"/>
                <w:szCs w:val="21"/>
              </w:rPr>
              <w:t>电源：高效能550W铂金1+1冗余电源，最大支持1200W ；</w:t>
            </w:r>
          </w:p>
          <w:p>
            <w:pPr>
              <w:spacing w:line="360" w:lineRule="auto"/>
              <w:rPr>
                <w:rFonts w:ascii="宋体" w:hAnsi="宋体" w:cs="宋体"/>
                <w:color w:val="auto"/>
                <w:szCs w:val="21"/>
              </w:rPr>
            </w:pPr>
            <w:r>
              <w:rPr>
                <w:rFonts w:hint="eastAsia" w:ascii="宋体" w:hAnsi="宋体" w:cs="宋体"/>
                <w:color w:val="auto"/>
                <w:szCs w:val="21"/>
              </w:rPr>
              <w:t>散热：最大配置4个调速系统风扇；</w:t>
            </w:r>
          </w:p>
          <w:p>
            <w:pPr>
              <w:spacing w:line="360" w:lineRule="auto"/>
              <w:rPr>
                <w:rFonts w:ascii="宋体" w:hAnsi="宋体" w:cs="宋体"/>
                <w:color w:val="auto"/>
                <w:szCs w:val="21"/>
              </w:rPr>
            </w:pPr>
            <w:r>
              <w:rPr>
                <w:rFonts w:hint="eastAsia" w:ascii="宋体" w:hAnsi="宋体" w:cs="宋体"/>
                <w:color w:val="auto"/>
                <w:szCs w:val="21"/>
              </w:rPr>
              <w:t>管理功能：集成BMC芯片，支持IPMI2.0和KVM Over IP高级管理功能；</w:t>
            </w:r>
          </w:p>
          <w:p>
            <w:pPr>
              <w:spacing w:line="360" w:lineRule="auto"/>
              <w:rPr>
                <w:rFonts w:ascii="宋体" w:hAnsi="宋体" w:cs="宋体"/>
                <w:color w:val="auto"/>
                <w:szCs w:val="21"/>
              </w:rPr>
            </w:pPr>
            <w:r>
              <w:rPr>
                <w:rFonts w:hint="eastAsia" w:ascii="宋体" w:hAnsi="宋体" w:cs="宋体"/>
                <w:color w:val="auto"/>
                <w:szCs w:val="21"/>
              </w:rPr>
              <w:t>显卡：集成显示控制器，16MB显存；</w:t>
            </w:r>
          </w:p>
          <w:p>
            <w:pPr>
              <w:spacing w:line="360" w:lineRule="auto"/>
              <w:rPr>
                <w:rFonts w:ascii="宋体" w:hAnsi="宋体" w:cs="宋体"/>
                <w:color w:val="auto"/>
                <w:szCs w:val="21"/>
              </w:rPr>
            </w:pPr>
            <w:r>
              <w:rPr>
                <w:rFonts w:hint="eastAsia" w:ascii="宋体" w:hAnsi="宋体" w:cs="宋体"/>
                <w:color w:val="auto"/>
                <w:szCs w:val="21"/>
              </w:rPr>
              <w:t>电源电压：200-240V/50Hz；</w:t>
            </w:r>
          </w:p>
          <w:p>
            <w:pPr>
              <w:spacing w:line="360" w:lineRule="auto"/>
              <w:rPr>
                <w:rFonts w:ascii="宋体" w:hAnsi="宋体" w:cs="宋体"/>
                <w:color w:val="auto"/>
                <w:szCs w:val="21"/>
              </w:rPr>
            </w:pPr>
            <w:r>
              <w:rPr>
                <w:rFonts w:hint="eastAsia" w:ascii="宋体" w:hAnsi="宋体" w:cs="宋体"/>
                <w:color w:val="auto"/>
                <w:szCs w:val="21"/>
              </w:rPr>
              <w:t>机箱：2U机架式服务器机箱；</w:t>
            </w:r>
          </w:p>
          <w:p>
            <w:pPr>
              <w:spacing w:line="360" w:lineRule="auto"/>
              <w:rPr>
                <w:rFonts w:ascii="宋体" w:hAnsi="宋体" w:cs="宋体"/>
                <w:color w:val="auto"/>
                <w:szCs w:val="21"/>
              </w:rPr>
            </w:pPr>
            <w:r>
              <w:rPr>
                <w:rFonts w:hint="eastAsia" w:ascii="宋体" w:hAnsi="宋体" w:cs="宋体"/>
                <w:color w:val="auto"/>
                <w:szCs w:val="21"/>
              </w:rPr>
              <w:t>机箱尺寸：87.8mm(高)x 448mm(宽)x 794.4mm(深)；</w:t>
            </w:r>
          </w:p>
          <w:p>
            <w:pPr>
              <w:spacing w:line="360" w:lineRule="auto"/>
              <w:rPr>
                <w:rFonts w:ascii="宋体" w:hAnsi="宋体" w:cs="宋体"/>
                <w:color w:val="auto"/>
                <w:szCs w:val="21"/>
              </w:rPr>
            </w:pPr>
            <w:r>
              <w:rPr>
                <w:rFonts w:hint="eastAsia" w:ascii="宋体" w:hAnsi="宋体" w:cs="宋体"/>
                <w:color w:val="auto"/>
                <w:szCs w:val="21"/>
              </w:rPr>
              <w:t>重量：最大35千克（不含导轨）；</w:t>
            </w:r>
          </w:p>
          <w:p>
            <w:pPr>
              <w:spacing w:line="360" w:lineRule="auto"/>
              <w:rPr>
                <w:rFonts w:ascii="宋体" w:hAnsi="宋体" w:cs="宋体"/>
                <w:color w:val="auto"/>
                <w:szCs w:val="21"/>
              </w:rPr>
            </w:pPr>
            <w:r>
              <w:rPr>
                <w:rFonts w:hint="eastAsia" w:ascii="宋体" w:hAnsi="宋体" w:cs="宋体"/>
                <w:color w:val="auto"/>
                <w:szCs w:val="21"/>
              </w:rPr>
              <w:t>环境温度要求：工作时10℃～35℃(50℉～95℉)  ；</w:t>
            </w:r>
          </w:p>
          <w:p>
            <w:pPr>
              <w:spacing w:line="360" w:lineRule="auto"/>
              <w:rPr>
                <w:rFonts w:ascii="宋体" w:hAnsi="宋体" w:cs="宋体"/>
                <w:color w:val="auto"/>
                <w:szCs w:val="21"/>
              </w:rPr>
            </w:pPr>
            <w:r>
              <w:rPr>
                <w:rFonts w:hint="eastAsia" w:ascii="宋体" w:hAnsi="宋体" w:cs="宋体"/>
                <w:color w:val="auto"/>
                <w:szCs w:val="21"/>
              </w:rPr>
              <w:t>存储-40℃～55℃(-40℉～131℉)；</w:t>
            </w:r>
          </w:p>
          <w:p>
            <w:pPr>
              <w:spacing w:line="360" w:lineRule="auto"/>
              <w:rPr>
                <w:rFonts w:ascii="宋体" w:hAnsi="宋体" w:cs="宋体"/>
                <w:color w:val="auto"/>
                <w:szCs w:val="21"/>
              </w:rPr>
            </w:pPr>
            <w:r>
              <w:rPr>
                <w:rFonts w:hint="eastAsia" w:ascii="宋体" w:hAnsi="宋体" w:cs="宋体"/>
                <w:color w:val="auto"/>
                <w:szCs w:val="21"/>
              </w:rPr>
              <w:t>相对湿度要求：工作时最大相对湿度90％RH（40℃）；</w:t>
            </w:r>
          </w:p>
          <w:p>
            <w:pPr>
              <w:spacing w:line="360" w:lineRule="auto"/>
              <w:rPr>
                <w:rFonts w:ascii="宋体" w:hAnsi="宋体" w:cs="宋体"/>
                <w:color w:val="auto"/>
                <w:szCs w:val="21"/>
              </w:rPr>
            </w:pPr>
            <w:r>
              <w:rPr>
                <w:rFonts w:hint="eastAsia" w:ascii="宋体" w:hAnsi="宋体" w:cs="宋体"/>
                <w:color w:val="auto"/>
                <w:szCs w:val="21"/>
              </w:rPr>
              <w:t>工作时35％～80％ RH；</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海康威视、戴尔、华为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数据平台服务器</w:t>
            </w:r>
          </w:p>
        </w:tc>
        <w:tc>
          <w:tcPr>
            <w:tcW w:w="5926" w:type="dxa"/>
            <w:noWrap w:val="0"/>
            <w:vAlign w:val="center"/>
          </w:tcPr>
          <w:p>
            <w:pPr>
              <w:spacing w:line="360" w:lineRule="auto"/>
              <w:ind w:firstLine="420" w:firstLineChars="200"/>
              <w:rPr>
                <w:rFonts w:ascii="宋体" w:hAnsi="宋体"/>
                <w:color w:val="auto"/>
                <w:szCs w:val="21"/>
              </w:rPr>
            </w:pPr>
            <w:r>
              <w:rPr>
                <w:rFonts w:hint="eastAsia" w:ascii="宋体" w:hAnsi="宋体"/>
                <w:color w:val="auto"/>
                <w:szCs w:val="21"/>
              </w:rPr>
              <w:t>高度:</w:t>
            </w:r>
            <w:r>
              <w:rPr>
                <w:rFonts w:hint="eastAsia" w:ascii="宋体" w:hAnsi="宋体" w:cs="Arial"/>
                <w:color w:val="auto"/>
                <w:szCs w:val="21"/>
              </w:rPr>
              <w:t>2U机架式</w:t>
            </w:r>
          </w:p>
          <w:p>
            <w:pPr>
              <w:spacing w:line="360" w:lineRule="auto"/>
              <w:ind w:firstLine="420" w:firstLineChars="200"/>
              <w:jc w:val="left"/>
              <w:rPr>
                <w:rFonts w:ascii="宋体" w:hAnsi="宋体"/>
                <w:color w:val="auto"/>
                <w:szCs w:val="21"/>
              </w:rPr>
            </w:pPr>
            <w:r>
              <w:rPr>
                <w:rFonts w:hint="eastAsia" w:ascii="宋体" w:hAnsi="宋体"/>
                <w:color w:val="auto"/>
                <w:szCs w:val="21"/>
              </w:rPr>
              <w:t>CPU：</w:t>
            </w:r>
          </w:p>
          <w:p>
            <w:pPr>
              <w:numPr>
                <w:ilvl w:val="0"/>
                <w:numId w:val="7"/>
              </w:numPr>
              <w:spacing w:line="360" w:lineRule="auto"/>
              <w:ind w:left="845"/>
              <w:rPr>
                <w:rFonts w:ascii="宋体" w:hAnsi="宋体" w:cs="Arial"/>
                <w:color w:val="auto"/>
                <w:szCs w:val="21"/>
              </w:rPr>
            </w:pPr>
            <w:r>
              <w:rPr>
                <w:rFonts w:hint="eastAsia" w:ascii="宋体" w:hAnsi="宋体" w:cs="Arial"/>
                <w:color w:val="auto"/>
                <w:szCs w:val="21"/>
              </w:rPr>
              <w:t>支持英特尔至强处理器 银牌产品系列；</w:t>
            </w:r>
          </w:p>
          <w:p>
            <w:pPr>
              <w:numPr>
                <w:ilvl w:val="0"/>
                <w:numId w:val="7"/>
              </w:numPr>
              <w:spacing w:line="360" w:lineRule="auto"/>
              <w:ind w:left="845"/>
              <w:rPr>
                <w:rFonts w:ascii="宋体" w:hAnsi="宋体" w:cs="宋体"/>
                <w:color w:val="auto"/>
                <w:kern w:val="0"/>
                <w:szCs w:val="21"/>
              </w:rPr>
            </w:pPr>
            <w:r>
              <w:rPr>
                <w:rFonts w:hint="eastAsia" w:ascii="宋体" w:hAnsi="宋体" w:cs="Arial"/>
                <w:color w:val="auto"/>
                <w:szCs w:val="21"/>
              </w:rPr>
              <w:t>本次配置1颗</w:t>
            </w:r>
            <w:r>
              <w:rPr>
                <w:rFonts w:hint="eastAsia" w:ascii="宋体" w:hAnsi="宋体" w:cs="宋体"/>
                <w:color w:val="auto"/>
                <w:kern w:val="0"/>
                <w:szCs w:val="21"/>
              </w:rPr>
              <w:t>银牌4108</w:t>
            </w:r>
            <w:r>
              <w:rPr>
                <w:rFonts w:ascii="宋体" w:hAnsi="宋体" w:cs="宋体"/>
                <w:color w:val="auto"/>
                <w:kern w:val="0"/>
                <w:szCs w:val="21"/>
              </w:rPr>
              <w:t>处理器</w:t>
            </w:r>
            <w:r>
              <w:rPr>
                <w:rFonts w:hint="eastAsia" w:ascii="宋体" w:hAnsi="宋体" w:cs="宋体"/>
                <w:color w:val="auto"/>
                <w:kern w:val="0"/>
                <w:szCs w:val="21"/>
              </w:rPr>
              <w:t>（1</w:t>
            </w:r>
            <w:r>
              <w:rPr>
                <w:rFonts w:ascii="宋体" w:hAnsi="宋体" w:cs="宋体"/>
                <w:color w:val="auto"/>
                <w:kern w:val="0"/>
                <w:szCs w:val="21"/>
              </w:rPr>
              <w:t>.</w:t>
            </w:r>
            <w:r>
              <w:rPr>
                <w:rFonts w:hint="eastAsia" w:ascii="宋体" w:hAnsi="宋体" w:cs="宋体"/>
                <w:color w:val="auto"/>
                <w:kern w:val="0"/>
                <w:szCs w:val="21"/>
              </w:rPr>
              <w:t>8</w:t>
            </w:r>
            <w:r>
              <w:rPr>
                <w:rFonts w:ascii="宋体" w:hAnsi="宋体" w:cs="宋体"/>
                <w:color w:val="auto"/>
                <w:kern w:val="0"/>
                <w:szCs w:val="21"/>
              </w:rPr>
              <w:t>GHz,</w:t>
            </w:r>
            <w:r>
              <w:rPr>
                <w:rFonts w:hint="eastAsia" w:ascii="宋体" w:hAnsi="宋体" w:cs="宋体"/>
                <w:color w:val="auto"/>
                <w:kern w:val="0"/>
                <w:szCs w:val="21"/>
              </w:rPr>
              <w:t>11</w:t>
            </w:r>
            <w:r>
              <w:rPr>
                <w:rFonts w:ascii="宋体" w:hAnsi="宋体" w:cs="宋体"/>
                <w:color w:val="auto"/>
                <w:kern w:val="0"/>
                <w:szCs w:val="21"/>
              </w:rPr>
              <w:t xml:space="preserve">M </w:t>
            </w:r>
            <w:r>
              <w:rPr>
                <w:rFonts w:hint="eastAsia" w:ascii="宋体" w:hAnsi="宋体" w:cs="宋体"/>
                <w:color w:val="auto"/>
                <w:kern w:val="0"/>
                <w:szCs w:val="21"/>
              </w:rPr>
              <w:t>缓存</w:t>
            </w:r>
            <w:r>
              <w:rPr>
                <w:rFonts w:ascii="宋体" w:hAnsi="宋体" w:cs="宋体"/>
                <w:color w:val="auto"/>
                <w:kern w:val="0"/>
                <w:szCs w:val="21"/>
              </w:rPr>
              <w:t>,</w:t>
            </w:r>
            <w:r>
              <w:rPr>
                <w:rFonts w:hint="eastAsia" w:ascii="宋体" w:hAnsi="宋体" w:cs="宋体"/>
                <w:color w:val="auto"/>
                <w:kern w:val="0"/>
                <w:szCs w:val="21"/>
              </w:rPr>
              <w:t>9.6</w:t>
            </w:r>
            <w:r>
              <w:rPr>
                <w:rFonts w:ascii="宋体" w:hAnsi="宋体" w:cs="宋体"/>
                <w:color w:val="auto"/>
                <w:kern w:val="0"/>
                <w:szCs w:val="21"/>
              </w:rPr>
              <w:t>GT/s QPI,Turbo,HT,</w:t>
            </w:r>
            <w:r>
              <w:rPr>
                <w:rFonts w:hint="eastAsia" w:ascii="宋体" w:hAnsi="宋体" w:cs="宋体"/>
                <w:color w:val="auto"/>
                <w:kern w:val="0"/>
                <w:szCs w:val="21"/>
              </w:rPr>
              <w:t>8</w:t>
            </w:r>
            <w:r>
              <w:rPr>
                <w:rFonts w:ascii="宋体" w:hAnsi="宋体" w:cs="宋体"/>
                <w:color w:val="auto"/>
                <w:kern w:val="0"/>
                <w:szCs w:val="21"/>
              </w:rPr>
              <w:t>C/</w:t>
            </w:r>
            <w:r>
              <w:rPr>
                <w:rFonts w:hint="eastAsia" w:ascii="宋体" w:hAnsi="宋体" w:cs="宋体"/>
                <w:color w:val="auto"/>
                <w:kern w:val="0"/>
                <w:szCs w:val="21"/>
              </w:rPr>
              <w:t>16</w:t>
            </w:r>
            <w:r>
              <w:rPr>
                <w:rFonts w:ascii="宋体" w:hAnsi="宋体" w:cs="宋体"/>
                <w:color w:val="auto"/>
                <w:kern w:val="0"/>
                <w:szCs w:val="21"/>
              </w:rPr>
              <w:t>T</w:t>
            </w:r>
            <w:r>
              <w:rPr>
                <w:rFonts w:hint="eastAsia" w:ascii="宋体" w:hAnsi="宋体" w:cs="宋体"/>
                <w:color w:val="auto"/>
                <w:kern w:val="0"/>
                <w:szCs w:val="21"/>
              </w:rPr>
              <w:t>）。</w:t>
            </w:r>
          </w:p>
          <w:p>
            <w:pPr>
              <w:spacing w:line="360" w:lineRule="auto"/>
              <w:ind w:left="420"/>
              <w:rPr>
                <w:rFonts w:ascii="宋体" w:hAnsi="宋体" w:cs="宋体"/>
                <w:color w:val="auto"/>
                <w:kern w:val="0"/>
                <w:szCs w:val="21"/>
              </w:rPr>
            </w:pPr>
            <w:r>
              <w:rPr>
                <w:rFonts w:hint="eastAsia" w:ascii="宋体" w:hAnsi="宋体"/>
                <w:color w:val="auto"/>
                <w:szCs w:val="21"/>
              </w:rPr>
              <w:t>内存：</w:t>
            </w:r>
            <w:r>
              <w:rPr>
                <w:rFonts w:hint="eastAsia" w:ascii="宋体" w:hAnsi="宋体" w:cs="Arial"/>
                <w:color w:val="auto"/>
                <w:szCs w:val="21"/>
              </w:rPr>
              <w:t>≥16GB  DDR</w:t>
            </w:r>
            <w:r>
              <w:rPr>
                <w:rFonts w:ascii="宋体" w:hAnsi="宋体" w:cs="Arial"/>
                <w:color w:val="auto"/>
                <w:szCs w:val="21"/>
              </w:rPr>
              <w:t>4</w:t>
            </w:r>
            <w:r>
              <w:rPr>
                <w:rFonts w:hint="eastAsia" w:ascii="宋体" w:hAnsi="宋体" w:cs="Arial"/>
                <w:color w:val="auto"/>
                <w:szCs w:val="21"/>
              </w:rPr>
              <w:t>内存，2</w:t>
            </w:r>
            <w:r>
              <w:rPr>
                <w:rFonts w:ascii="宋体" w:hAnsi="宋体" w:cs="Arial"/>
                <w:color w:val="auto"/>
                <w:szCs w:val="21"/>
              </w:rPr>
              <w:t>400</w:t>
            </w:r>
            <w:r>
              <w:rPr>
                <w:rFonts w:hint="eastAsia" w:ascii="宋体" w:hAnsi="宋体" w:cs="Arial"/>
                <w:color w:val="auto"/>
                <w:szCs w:val="21"/>
              </w:rPr>
              <w:t xml:space="preserve"> MT/s</w:t>
            </w:r>
            <w:r>
              <w:rPr>
                <w:rFonts w:ascii="宋体" w:hAnsi="宋体" w:cs="Arial"/>
                <w:color w:val="auto"/>
                <w:szCs w:val="21"/>
              </w:rPr>
              <w:t>;</w:t>
            </w:r>
            <w:r>
              <w:rPr>
                <w:rFonts w:hint="eastAsia" w:ascii="宋体" w:hAnsi="宋体" w:cs="Arial"/>
                <w:color w:val="auto"/>
                <w:szCs w:val="21"/>
              </w:rPr>
              <w:t>内存插槽≥</w:t>
            </w:r>
            <w:r>
              <w:rPr>
                <w:rFonts w:ascii="宋体" w:hAnsi="宋体" w:cs="Arial"/>
                <w:color w:val="auto"/>
                <w:szCs w:val="21"/>
              </w:rPr>
              <w:t>24</w:t>
            </w:r>
            <w:r>
              <w:rPr>
                <w:rFonts w:hint="eastAsia" w:ascii="宋体" w:hAnsi="宋体" w:cs="Arial"/>
                <w:color w:val="auto"/>
                <w:szCs w:val="21"/>
              </w:rPr>
              <w:t>个，最大可扩展不少于</w:t>
            </w:r>
            <w:r>
              <w:rPr>
                <w:rFonts w:ascii="宋体" w:hAnsi="宋体" w:cs="Arial"/>
                <w:color w:val="auto"/>
                <w:szCs w:val="21"/>
              </w:rPr>
              <w:t>1.5T</w:t>
            </w:r>
            <w:r>
              <w:rPr>
                <w:rFonts w:hint="eastAsia" w:ascii="宋体" w:hAnsi="宋体" w:cs="Arial"/>
                <w:color w:val="auto"/>
                <w:szCs w:val="21"/>
              </w:rPr>
              <w:t>B；</w:t>
            </w:r>
          </w:p>
          <w:p>
            <w:pPr>
              <w:spacing w:line="360" w:lineRule="auto"/>
              <w:ind w:firstLine="420" w:firstLineChars="200"/>
              <w:jc w:val="left"/>
              <w:rPr>
                <w:rFonts w:ascii="宋体" w:hAnsi="宋体"/>
                <w:color w:val="auto"/>
                <w:szCs w:val="21"/>
              </w:rPr>
            </w:pPr>
            <w:r>
              <w:rPr>
                <w:rFonts w:hint="eastAsia" w:ascii="宋体" w:hAnsi="宋体"/>
                <w:color w:val="auto"/>
                <w:szCs w:val="21"/>
              </w:rPr>
              <w:t>硬盘：</w:t>
            </w:r>
            <w:r>
              <w:rPr>
                <w:rFonts w:hint="eastAsia" w:ascii="宋体" w:hAnsi="宋体" w:cs="Arial"/>
                <w:color w:val="auto"/>
                <w:szCs w:val="21"/>
              </w:rPr>
              <w:t>配置2块600GB 10K RPM 6Gbps SAS热插拔硬盘,</w:t>
            </w:r>
          </w:p>
          <w:p>
            <w:pPr>
              <w:spacing w:line="360" w:lineRule="auto"/>
              <w:ind w:firstLine="420" w:firstLineChars="200"/>
              <w:rPr>
                <w:rFonts w:ascii="宋体" w:hAnsi="宋体"/>
                <w:color w:val="auto"/>
                <w:szCs w:val="21"/>
              </w:rPr>
            </w:pPr>
            <w:r>
              <w:rPr>
                <w:rFonts w:hint="eastAsia" w:ascii="宋体" w:hAnsi="宋体" w:cs="Arial"/>
                <w:color w:val="auto"/>
                <w:szCs w:val="21"/>
              </w:rPr>
              <w:t>最多支持≥ 8 个 3.5 英寸驱动器，或最多≥ 16 个 2.5 英寸驱动器。</w:t>
            </w:r>
          </w:p>
          <w:p>
            <w:pPr>
              <w:spacing w:line="360" w:lineRule="auto"/>
              <w:ind w:firstLine="420" w:firstLineChars="200"/>
              <w:rPr>
                <w:rFonts w:ascii="宋体" w:hAnsi="宋体"/>
                <w:color w:val="auto"/>
                <w:szCs w:val="21"/>
              </w:rPr>
            </w:pPr>
            <w:r>
              <w:rPr>
                <w:rFonts w:hint="eastAsia" w:ascii="宋体" w:hAnsi="宋体"/>
                <w:color w:val="auto"/>
                <w:szCs w:val="21"/>
              </w:rPr>
              <w:t>RAID卡：</w:t>
            </w:r>
            <w:r>
              <w:rPr>
                <w:rFonts w:hint="eastAsia" w:ascii="宋体" w:hAnsi="宋体" w:cs="Arial"/>
                <w:color w:val="auto"/>
                <w:szCs w:val="21"/>
              </w:rPr>
              <w:t>RAID卡，</w:t>
            </w:r>
            <w:r>
              <w:rPr>
                <w:rFonts w:hint="eastAsia" w:ascii="宋体" w:hAnsi="宋体" w:cs="Arial"/>
                <w:color w:val="auto"/>
                <w:kern w:val="0"/>
                <w:szCs w:val="21"/>
              </w:rPr>
              <w:t>支持RAID 0,1，5,10, 50，</w:t>
            </w:r>
            <w:r>
              <w:rPr>
                <w:rFonts w:hint="eastAsia" w:ascii="宋体" w:hAnsi="宋体"/>
                <w:color w:val="auto"/>
                <w:kern w:val="0"/>
                <w:szCs w:val="21"/>
              </w:rPr>
              <w:t>支持内置冗余阵列卡。</w:t>
            </w:r>
          </w:p>
          <w:p>
            <w:pPr>
              <w:spacing w:line="360" w:lineRule="auto"/>
              <w:ind w:left="420"/>
              <w:rPr>
                <w:rFonts w:ascii="宋体" w:hAnsi="宋体" w:cs="宋体"/>
                <w:color w:val="auto"/>
                <w:kern w:val="0"/>
                <w:szCs w:val="21"/>
              </w:rPr>
            </w:pPr>
            <w:r>
              <w:rPr>
                <w:rFonts w:hint="eastAsia" w:ascii="宋体" w:hAnsi="宋体"/>
                <w:color w:val="auto"/>
                <w:szCs w:val="21"/>
              </w:rPr>
              <w:t>网卡：</w:t>
            </w:r>
            <w:r>
              <w:rPr>
                <w:rFonts w:hint="eastAsia" w:ascii="宋体" w:hAnsi="宋体" w:cs="宋体"/>
                <w:color w:val="auto"/>
                <w:kern w:val="0"/>
                <w:szCs w:val="21"/>
              </w:rPr>
              <w:t>主板板载</w:t>
            </w:r>
            <w:r>
              <w:rPr>
                <w:rFonts w:hint="eastAsia" w:ascii="宋体" w:hAnsi="宋体" w:cs="Arial"/>
                <w:color w:val="auto"/>
                <w:szCs w:val="21"/>
              </w:rPr>
              <w:t>4个千兆以太网卡。</w:t>
            </w:r>
          </w:p>
          <w:p>
            <w:pPr>
              <w:spacing w:line="360" w:lineRule="auto"/>
              <w:ind w:firstLine="420" w:firstLineChars="200"/>
              <w:rPr>
                <w:rFonts w:ascii="宋体" w:hAnsi="宋体" w:cs="Arial"/>
                <w:color w:val="auto"/>
                <w:szCs w:val="21"/>
              </w:rPr>
            </w:pPr>
            <w:r>
              <w:rPr>
                <w:rFonts w:hint="eastAsia" w:ascii="宋体" w:hAnsi="宋体"/>
                <w:color w:val="auto"/>
                <w:szCs w:val="21"/>
              </w:rPr>
              <w:t>管理：</w:t>
            </w:r>
            <w:r>
              <w:rPr>
                <w:rFonts w:hint="eastAsia" w:ascii="宋体" w:hAnsi="宋体" w:cs="Arial"/>
                <w:color w:val="auto"/>
                <w:szCs w:val="21"/>
              </w:rPr>
              <w:t>前面板上配备有液晶屏，可显示默认或定制信息，包括IP地址、服务器名称、支持服务编号等。如果系统发生故障，该液晶屏上将显示关于故障的具体信息；</w:t>
            </w:r>
          </w:p>
          <w:p>
            <w:pPr>
              <w:spacing w:line="360" w:lineRule="auto"/>
              <w:ind w:firstLine="420" w:firstLineChars="200"/>
              <w:rPr>
                <w:rFonts w:ascii="宋体" w:hAnsi="宋体"/>
                <w:color w:val="auto"/>
                <w:szCs w:val="21"/>
              </w:rPr>
            </w:pPr>
            <w:r>
              <w:rPr>
                <w:rFonts w:hint="eastAsia" w:ascii="宋体" w:hAnsi="宋体"/>
                <w:color w:val="auto"/>
                <w:szCs w:val="21"/>
              </w:rPr>
              <w:t>PCI-E：</w:t>
            </w:r>
            <w:r>
              <w:rPr>
                <w:rFonts w:hint="eastAsia" w:ascii="宋体" w:hAnsi="宋体" w:cs="Arial"/>
                <w:color w:val="auto"/>
                <w:szCs w:val="21"/>
              </w:rPr>
              <w:t>≥最高可配 7 个 PCIe 3.0 插槽，外加专用 PERC 插槽；</w:t>
            </w:r>
          </w:p>
          <w:p>
            <w:pPr>
              <w:spacing w:line="360" w:lineRule="auto"/>
              <w:ind w:firstLine="420" w:firstLineChars="200"/>
              <w:rPr>
                <w:rFonts w:ascii="宋体" w:hAnsi="宋体"/>
                <w:color w:val="auto"/>
                <w:szCs w:val="21"/>
              </w:rPr>
            </w:pPr>
            <w:r>
              <w:rPr>
                <w:rFonts w:hint="eastAsia" w:ascii="宋体" w:hAnsi="宋体"/>
                <w:color w:val="auto"/>
                <w:szCs w:val="21"/>
              </w:rPr>
              <w:t>光驱：</w:t>
            </w:r>
            <w:r>
              <w:rPr>
                <w:rFonts w:hint="eastAsia" w:ascii="宋体" w:hAnsi="宋体" w:cs="Arial"/>
                <w:color w:val="auto"/>
                <w:szCs w:val="21"/>
              </w:rPr>
              <w:t>内置</w:t>
            </w:r>
            <w:r>
              <w:rPr>
                <w:rFonts w:ascii="宋体" w:hAnsi="宋体" w:cs="Arial"/>
                <w:color w:val="auto"/>
                <w:szCs w:val="21"/>
              </w:rPr>
              <w:t>DVD+/-RW</w:t>
            </w:r>
            <w:r>
              <w:rPr>
                <w:rFonts w:hint="eastAsia" w:ascii="宋体" w:hAnsi="宋体" w:cs="Arial"/>
                <w:color w:val="auto"/>
                <w:szCs w:val="21"/>
              </w:rPr>
              <w:t>；</w:t>
            </w:r>
          </w:p>
          <w:p>
            <w:pPr>
              <w:spacing w:line="360" w:lineRule="auto"/>
              <w:ind w:firstLine="420" w:firstLineChars="200"/>
              <w:rPr>
                <w:rFonts w:ascii="宋体" w:hAnsi="宋体"/>
                <w:color w:val="auto"/>
                <w:szCs w:val="21"/>
              </w:rPr>
            </w:pPr>
            <w:r>
              <w:rPr>
                <w:rFonts w:hint="eastAsia" w:ascii="宋体" w:hAnsi="宋体"/>
                <w:color w:val="auto"/>
                <w:szCs w:val="21"/>
              </w:rPr>
              <w:t>GPU支持：</w:t>
            </w:r>
            <w:r>
              <w:rPr>
                <w:rFonts w:hint="eastAsia" w:ascii="宋体" w:hAnsi="宋体" w:cs="Arial"/>
                <w:color w:val="auto"/>
                <w:szCs w:val="21"/>
              </w:rPr>
              <w:t>最多可支持2个300瓦双宽加速器/ GPU（可从英特尔至强融核、NVIDIATesla和AMD FirePro中选择）</w:t>
            </w:r>
            <w:r>
              <w:rPr>
                <w:rFonts w:hint="eastAsia" w:ascii="宋体" w:hAnsi="宋体"/>
                <w:color w:val="auto"/>
                <w:kern w:val="0"/>
                <w:szCs w:val="21"/>
              </w:rPr>
              <w:t>；</w:t>
            </w:r>
          </w:p>
          <w:p>
            <w:pPr>
              <w:spacing w:line="360" w:lineRule="auto"/>
              <w:ind w:firstLine="420" w:firstLineChars="200"/>
              <w:rPr>
                <w:rFonts w:ascii="宋体" w:hAnsi="宋体" w:cs="Arial"/>
                <w:color w:val="auto"/>
                <w:szCs w:val="21"/>
              </w:rPr>
            </w:pPr>
            <w:r>
              <w:rPr>
                <w:rFonts w:hint="eastAsia" w:ascii="宋体" w:hAnsi="宋体"/>
                <w:color w:val="auto"/>
                <w:szCs w:val="21"/>
              </w:rPr>
              <w:t>Sandisk  DAS Cache 支持：</w:t>
            </w:r>
            <w:r>
              <w:rPr>
                <w:rFonts w:hint="eastAsia" w:ascii="宋体" w:hAnsi="宋体" w:cs="Arial"/>
                <w:color w:val="auto"/>
                <w:szCs w:val="21"/>
              </w:rPr>
              <w:t>支持Sandisk  DAS Cache, Fluid cache for SAN High IOPS 解决方案；</w:t>
            </w:r>
          </w:p>
          <w:p>
            <w:pPr>
              <w:spacing w:line="360" w:lineRule="auto"/>
              <w:ind w:firstLine="420" w:firstLineChars="200"/>
              <w:rPr>
                <w:rFonts w:ascii="宋体" w:hAnsi="宋体"/>
                <w:color w:val="auto"/>
                <w:szCs w:val="21"/>
              </w:rPr>
            </w:pPr>
            <w:r>
              <w:rPr>
                <w:rFonts w:hint="eastAsia" w:ascii="宋体" w:hAnsi="宋体"/>
                <w:color w:val="auto"/>
                <w:szCs w:val="21"/>
              </w:rPr>
              <w:t>虚拟化支持：</w:t>
            </w:r>
            <w:r>
              <w:rPr>
                <w:rFonts w:hint="eastAsia" w:ascii="宋体" w:hAnsi="宋体" w:cs="Arial"/>
                <w:color w:val="auto"/>
                <w:szCs w:val="21"/>
              </w:rPr>
              <w:t>主板支持双SD冗余虚拟化卡，可安装虚拟化软件提高整体性能；</w:t>
            </w:r>
          </w:p>
          <w:p>
            <w:pPr>
              <w:spacing w:line="360" w:lineRule="auto"/>
              <w:ind w:firstLine="420" w:firstLineChars="200"/>
              <w:jc w:val="left"/>
              <w:rPr>
                <w:rFonts w:ascii="宋体" w:hAnsi="宋体" w:cs="Arial"/>
                <w:color w:val="auto"/>
                <w:szCs w:val="21"/>
              </w:rPr>
            </w:pPr>
            <w:r>
              <w:rPr>
                <w:rFonts w:hint="eastAsia" w:ascii="宋体" w:hAnsi="宋体"/>
                <w:color w:val="auto"/>
                <w:szCs w:val="21"/>
              </w:rPr>
              <w:t>基本服务器管理：</w:t>
            </w:r>
            <w:r>
              <w:rPr>
                <w:rFonts w:hint="eastAsia" w:ascii="宋体" w:hAnsi="宋体" w:cs="Arial"/>
                <w:color w:val="auto"/>
                <w:szCs w:val="21"/>
              </w:rPr>
              <w:t>配置独立远程管理卡（支持远程监控图形界面, 可实现与操作系统无关的远程对服务器的完全控制，包括远程的开关机、重启、更新Firmware, 虚拟KVM, 虚拟软驱, 虚拟光驱等操作）；</w:t>
            </w:r>
          </w:p>
          <w:p>
            <w:pPr>
              <w:spacing w:line="360" w:lineRule="auto"/>
              <w:ind w:firstLine="420" w:firstLineChars="200"/>
              <w:rPr>
                <w:rFonts w:ascii="宋体" w:hAnsi="宋体" w:cs="Arial"/>
                <w:color w:val="auto"/>
                <w:szCs w:val="21"/>
              </w:rPr>
            </w:pPr>
            <w:r>
              <w:rPr>
                <w:rFonts w:hint="eastAsia" w:ascii="宋体" w:hAnsi="宋体" w:cs="Arial"/>
                <w:color w:val="auto"/>
                <w:szCs w:val="21"/>
              </w:rPr>
              <w:t>兼容原有</w:t>
            </w:r>
            <w:r>
              <w:rPr>
                <w:rFonts w:ascii="宋体" w:hAnsi="宋体" w:cs="Arial"/>
                <w:color w:val="auto"/>
                <w:szCs w:val="21"/>
              </w:rPr>
              <w:t>Dell OpenManage</w:t>
            </w:r>
            <w:r>
              <w:rPr>
                <w:rFonts w:hint="eastAsia" w:ascii="宋体" w:hAnsi="宋体" w:cs="Arial"/>
                <w:color w:val="auto"/>
                <w:szCs w:val="21"/>
              </w:rPr>
              <w:t>管理软件，使用统一的管理界面，支持IPv6。允许用户独立于操作系统状态之外（免代理安装方式）远程访问、监控、维修、修复和升级服务器。</w:t>
            </w:r>
          </w:p>
          <w:p>
            <w:pPr>
              <w:spacing w:line="360" w:lineRule="auto"/>
              <w:ind w:firstLine="420" w:firstLineChars="200"/>
              <w:rPr>
                <w:rFonts w:ascii="宋体" w:hAnsi="宋体" w:cs="Arial"/>
                <w:color w:val="auto"/>
                <w:szCs w:val="21"/>
              </w:rPr>
            </w:pPr>
            <w:r>
              <w:rPr>
                <w:rFonts w:hint="eastAsia" w:ascii="宋体" w:hAnsi="宋体" w:cs="Arial"/>
                <w:color w:val="auto"/>
                <w:szCs w:val="21"/>
              </w:rPr>
              <w:t>支持使用方便的标准U盘即可将新配置安装到服务器上，并且只需不到1秒时间即可将BIOS、iDRAC、PERC和网卡的配置上传到远程管理卡；</w:t>
            </w:r>
          </w:p>
          <w:p>
            <w:pPr>
              <w:spacing w:line="360" w:lineRule="auto"/>
              <w:ind w:firstLine="420" w:firstLineChars="200"/>
              <w:jc w:val="left"/>
              <w:rPr>
                <w:rFonts w:ascii="宋体" w:hAnsi="宋体" w:cs="Arial"/>
                <w:color w:val="auto"/>
                <w:szCs w:val="21"/>
              </w:rPr>
            </w:pPr>
            <w:r>
              <w:rPr>
                <w:rFonts w:hint="eastAsia" w:ascii="宋体" w:hAnsi="宋体" w:cs="Arial"/>
                <w:color w:val="auto"/>
                <w:szCs w:val="21"/>
              </w:rPr>
              <w:t>支持扩展免代理监控功能，能够监控服务器性能，其中包括：CPU、内存带宽、I/O利用率；</w:t>
            </w:r>
          </w:p>
          <w:p>
            <w:pPr>
              <w:spacing w:line="360" w:lineRule="auto"/>
              <w:ind w:firstLine="420" w:firstLineChars="200"/>
              <w:jc w:val="left"/>
              <w:rPr>
                <w:rFonts w:ascii="宋体" w:hAnsi="宋体" w:cs="Arial"/>
                <w:color w:val="auto"/>
                <w:szCs w:val="21"/>
              </w:rPr>
            </w:pPr>
            <w:r>
              <w:rPr>
                <w:rFonts w:hint="eastAsia" w:ascii="宋体" w:hAnsi="宋体" w:cs="Arial"/>
                <w:color w:val="auto"/>
                <w:szCs w:val="21"/>
              </w:rPr>
              <w:t>可以报告近乎实时的性能和历史性能，包括将数据绘制成图表；</w:t>
            </w:r>
          </w:p>
          <w:p>
            <w:pPr>
              <w:spacing w:line="360" w:lineRule="auto"/>
              <w:ind w:firstLine="420" w:firstLineChars="200"/>
              <w:rPr>
                <w:rFonts w:ascii="宋体" w:hAnsi="宋体"/>
                <w:color w:val="auto"/>
                <w:szCs w:val="21"/>
              </w:rPr>
            </w:pPr>
            <w:r>
              <w:rPr>
                <w:rFonts w:hint="eastAsia" w:ascii="宋体" w:hAnsi="宋体" w:cs="Arial"/>
                <w:color w:val="auto"/>
                <w:szCs w:val="21"/>
              </w:rPr>
              <w:t>可以向客户的监控控制台发送性能警报；</w:t>
            </w:r>
          </w:p>
          <w:p>
            <w:pPr>
              <w:spacing w:line="360" w:lineRule="auto"/>
              <w:ind w:firstLine="420" w:firstLineChars="200"/>
              <w:jc w:val="left"/>
              <w:rPr>
                <w:rFonts w:ascii="宋体" w:hAnsi="宋体" w:cs="宋体"/>
                <w:color w:val="auto"/>
                <w:kern w:val="0"/>
                <w:szCs w:val="21"/>
              </w:rPr>
            </w:pPr>
            <w:r>
              <w:rPr>
                <w:rFonts w:hint="eastAsia" w:ascii="宋体" w:hAnsi="宋体"/>
                <w:color w:val="auto"/>
                <w:szCs w:val="21"/>
              </w:rPr>
              <w:t>移动管理：</w:t>
            </w:r>
            <w:r>
              <w:rPr>
                <w:rFonts w:hint="eastAsia" w:ascii="宋体" w:hAnsi="宋体" w:cs="宋体"/>
                <w:color w:val="auto"/>
                <w:kern w:val="0"/>
                <w:szCs w:val="21"/>
              </w:rPr>
              <w:t>可通过USB线缆连接到笔记本电脑来访问内嵌管理平台 GUI；</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支持使用移动智能设备通过NFC连接，即可获取和设置关键的服务器信息；</w:t>
            </w:r>
          </w:p>
          <w:p>
            <w:pPr>
              <w:spacing w:line="360" w:lineRule="auto"/>
              <w:ind w:firstLine="420" w:firstLineChars="200"/>
              <w:rPr>
                <w:rFonts w:ascii="宋体" w:hAnsi="宋体"/>
                <w:color w:val="auto"/>
                <w:szCs w:val="21"/>
              </w:rPr>
            </w:pPr>
            <w:r>
              <w:rPr>
                <w:rFonts w:hint="eastAsia" w:ascii="宋体" w:hAnsi="宋体"/>
                <w:color w:val="auto"/>
                <w:szCs w:val="21"/>
              </w:rPr>
              <w:t>虚拟化支持：</w:t>
            </w:r>
            <w:r>
              <w:rPr>
                <w:rFonts w:hint="eastAsia" w:ascii="宋体" w:hAnsi="宋体" w:cs="宋体"/>
                <w:color w:val="auto"/>
                <w:kern w:val="0"/>
                <w:szCs w:val="21"/>
              </w:rPr>
              <w:t xml:space="preserve">所投产品需通过VMware ESXi </w:t>
            </w:r>
            <w:r>
              <w:rPr>
                <w:rFonts w:ascii="宋体" w:hAnsi="宋体" w:cs="宋体"/>
                <w:color w:val="auto"/>
                <w:kern w:val="0"/>
                <w:szCs w:val="21"/>
              </w:rPr>
              <w:t>6.0 U2</w:t>
            </w:r>
            <w:r>
              <w:rPr>
                <w:rFonts w:hint="eastAsia" w:ascii="宋体" w:hAnsi="宋体" w:cs="宋体"/>
                <w:color w:val="auto"/>
                <w:kern w:val="0"/>
                <w:szCs w:val="21"/>
              </w:rPr>
              <w:t>版本的兼容性认证，</w:t>
            </w:r>
            <w:r>
              <w:rPr>
                <w:rFonts w:hint="eastAsia" w:ascii="宋体" w:hAnsi="宋体" w:cs="宋体"/>
                <w:bCs/>
                <w:color w:val="auto"/>
                <w:kern w:val="0"/>
                <w:szCs w:val="21"/>
              </w:rPr>
              <w:t>投标时提供VMware官方网站截图证明</w:t>
            </w:r>
            <w:r>
              <w:rPr>
                <w:rFonts w:hint="eastAsia" w:ascii="宋体" w:hAnsi="宋体" w:cs="宋体"/>
                <w:color w:val="auto"/>
                <w:kern w:val="0"/>
                <w:szCs w:val="21"/>
              </w:rPr>
              <w:t>；</w:t>
            </w:r>
          </w:p>
          <w:p>
            <w:pPr>
              <w:spacing w:line="360" w:lineRule="auto"/>
              <w:ind w:firstLine="420" w:firstLineChars="200"/>
              <w:rPr>
                <w:rFonts w:ascii="宋体" w:hAnsi="宋体"/>
                <w:color w:val="auto"/>
                <w:szCs w:val="21"/>
              </w:rPr>
            </w:pPr>
            <w:r>
              <w:rPr>
                <w:rFonts w:hint="eastAsia" w:ascii="宋体" w:hAnsi="宋体"/>
                <w:color w:val="auto"/>
                <w:szCs w:val="21"/>
              </w:rPr>
              <w:t>电源：</w:t>
            </w:r>
            <w:r>
              <w:rPr>
                <w:rFonts w:hint="eastAsia" w:ascii="宋体" w:hAnsi="宋体" w:cs="Arial"/>
                <w:color w:val="auto"/>
                <w:szCs w:val="21"/>
              </w:rPr>
              <w:t>≥2个白金级能效的750 瓦电源，支持更换为直流电源模块方式；</w:t>
            </w:r>
          </w:p>
          <w:p>
            <w:pPr>
              <w:widowControl/>
              <w:spacing w:line="360" w:lineRule="auto"/>
              <w:ind w:firstLine="420" w:firstLineChars="200"/>
              <w:jc w:val="left"/>
              <w:rPr>
                <w:rFonts w:ascii="宋体" w:hAnsi="宋体"/>
                <w:color w:val="auto"/>
                <w:kern w:val="0"/>
                <w:szCs w:val="21"/>
                <w:lang w:val="pt-BR"/>
              </w:rPr>
            </w:pPr>
            <w:r>
              <w:rPr>
                <w:rFonts w:hint="eastAsia" w:ascii="宋体" w:hAnsi="宋体"/>
                <w:color w:val="auto"/>
                <w:szCs w:val="21"/>
              </w:rPr>
              <w:t>操作系统：</w:t>
            </w:r>
            <w:r>
              <w:rPr>
                <w:rFonts w:hint="eastAsia" w:ascii="宋体" w:hAnsi="宋体"/>
                <w:color w:val="auto"/>
                <w:kern w:val="0"/>
                <w:szCs w:val="21"/>
              </w:rPr>
              <w:t>Microsoft Windows Server 2008/2012 SP2，x86/x64、</w:t>
            </w:r>
            <w:r>
              <w:rPr>
                <w:rFonts w:hint="eastAsia" w:ascii="宋体" w:hAnsi="宋体"/>
                <w:color w:val="auto"/>
                <w:kern w:val="0"/>
                <w:szCs w:val="21"/>
                <w:lang w:val="pt-BR"/>
              </w:rPr>
              <w:t>Microsoft Windows HPC Server 2008、Novell SUSE  Linux Enterprise Server、Red Hat Enterprise Linux；</w:t>
            </w:r>
          </w:p>
          <w:p>
            <w:pPr>
              <w:widowControl/>
              <w:spacing w:line="360" w:lineRule="auto"/>
              <w:ind w:firstLine="420" w:firstLineChars="200"/>
              <w:jc w:val="left"/>
              <w:rPr>
                <w:rFonts w:ascii="宋体" w:hAnsi="宋体"/>
                <w:color w:val="auto"/>
                <w:kern w:val="0"/>
                <w:szCs w:val="21"/>
                <w:lang w:val="pt-BR"/>
              </w:rPr>
            </w:pPr>
            <w:r>
              <w:rPr>
                <w:rFonts w:hint="eastAsia" w:ascii="宋体" w:hAnsi="宋体"/>
                <w:color w:val="auto"/>
                <w:kern w:val="0"/>
                <w:szCs w:val="21"/>
              </w:rPr>
              <w:t>可选的嵌入式虚拟机管理程序</w:t>
            </w:r>
            <w:r>
              <w:rPr>
                <w:rFonts w:hint="eastAsia" w:ascii="宋体" w:hAnsi="宋体"/>
                <w:color w:val="auto"/>
                <w:kern w:val="0"/>
                <w:szCs w:val="21"/>
                <w:lang w:val="pt-BR"/>
              </w:rPr>
              <w:t xml:space="preserve"> ：</w:t>
            </w:r>
          </w:p>
          <w:p>
            <w:pPr>
              <w:spacing w:line="360" w:lineRule="auto"/>
              <w:ind w:firstLine="420" w:firstLineChars="200"/>
              <w:rPr>
                <w:rFonts w:ascii="宋体" w:hAnsi="宋体"/>
                <w:color w:val="auto"/>
                <w:szCs w:val="21"/>
              </w:rPr>
            </w:pPr>
            <w:r>
              <w:rPr>
                <w:rFonts w:hint="eastAsia" w:ascii="宋体" w:hAnsi="宋体"/>
                <w:color w:val="auto"/>
                <w:kern w:val="0"/>
                <w:szCs w:val="21"/>
                <w:lang w:val="pt-BR"/>
              </w:rPr>
              <w:t>Citrix  XenServer、VMware vSphere ESXi、Microsoft Windows Server 2012；</w:t>
            </w:r>
          </w:p>
          <w:p>
            <w:pPr>
              <w:spacing w:line="360" w:lineRule="auto"/>
              <w:ind w:firstLine="420" w:firstLineChars="200"/>
              <w:rPr>
                <w:rFonts w:ascii="宋体" w:hAnsi="宋体"/>
                <w:color w:val="auto"/>
                <w:szCs w:val="21"/>
              </w:rPr>
            </w:pPr>
            <w:r>
              <w:rPr>
                <w:rFonts w:hint="eastAsia" w:ascii="宋体" w:hAnsi="宋体"/>
                <w:color w:val="auto"/>
                <w:szCs w:val="21"/>
              </w:rPr>
              <w:t>可用性：</w:t>
            </w:r>
            <w:r>
              <w:rPr>
                <w:rFonts w:hint="eastAsia" w:ascii="宋体" w:hAnsi="宋体" w:cs="Arial"/>
                <w:color w:val="auto"/>
                <w:szCs w:val="21"/>
              </w:rPr>
              <w:t>ECC 内存、热插拔硬盘、热插拔冗余冷却系统、热插拔冗余电源、内置双 SD 模块、单设备数据校正 (SDDC)、备用列、免工具拆装机箱，支持高可用性群集和虚拟化、主动式系统管理警报、带生命周期控制器的 iDRAC；</w:t>
            </w:r>
          </w:p>
          <w:p>
            <w:pPr>
              <w:spacing w:line="360" w:lineRule="auto"/>
              <w:rPr>
                <w:rFonts w:ascii="宋体" w:hAnsi="宋体" w:cs="宋体"/>
                <w:color w:val="auto"/>
                <w:kern w:val="0"/>
                <w:szCs w:val="21"/>
              </w:rPr>
            </w:pPr>
            <w:r>
              <w:rPr>
                <w:rFonts w:hint="eastAsia" w:ascii="宋体" w:hAnsi="宋体"/>
                <w:color w:val="auto"/>
                <w:szCs w:val="21"/>
              </w:rPr>
              <w:t>服务：</w:t>
            </w:r>
            <w:r>
              <w:rPr>
                <w:rFonts w:ascii="宋体" w:hAnsi="宋体" w:cs="Arial"/>
                <w:color w:val="auto"/>
                <w:szCs w:val="21"/>
              </w:rPr>
              <w:t>3年专业支持服务</w:t>
            </w:r>
            <w:r>
              <w:rPr>
                <w:rFonts w:hint="eastAsia" w:ascii="宋体" w:hAnsi="宋体" w:cs="Arial"/>
                <w:color w:val="auto"/>
                <w:szCs w:val="21"/>
              </w:rPr>
              <w:t>，</w:t>
            </w:r>
            <w:r>
              <w:rPr>
                <w:rFonts w:ascii="宋体" w:hAnsi="宋体" w:cs="Arial"/>
                <w:color w:val="auto"/>
                <w:szCs w:val="21"/>
              </w:rPr>
              <w:t>关键任务</w:t>
            </w:r>
            <w:r>
              <w:rPr>
                <w:rFonts w:hint="eastAsia" w:ascii="宋体" w:hAnsi="宋体" w:cs="Arial"/>
                <w:color w:val="auto"/>
                <w:szCs w:val="21"/>
              </w:rPr>
              <w:t>提供</w:t>
            </w:r>
            <w:r>
              <w:rPr>
                <w:rFonts w:ascii="宋体" w:hAnsi="宋体" w:cs="Arial"/>
                <w:color w:val="auto"/>
                <w:szCs w:val="21"/>
              </w:rPr>
              <w:t>（24X7）上门服务（配件+人力)，人工、配件、交通等任何费用全免；高级软件支持；原厂本地技术客户经理24×7电话支持；</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海康威视、戴尔、华为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3</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防火墙</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硬件架构 采用非X86 64位多核高性能处理器和主控模块内存≥4G，2U以下盒式设备；</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≥8个千兆光口+16个千兆电口</w:t>
            </w:r>
            <w:r>
              <w:rPr>
                <w:rFonts w:hint="eastAsia" w:ascii="宋体" w:hAnsi="宋体" w:cs="宋体"/>
                <w:bCs/>
                <w:color w:val="auto"/>
                <w:kern w:val="0"/>
                <w:szCs w:val="21"/>
              </w:rPr>
              <w:t>（提供功能截图证明材料）；</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整机最大可扩展接口数量8SPF+24GE；</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IPSec VPN并发连接数≥2000；</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整机吞吐量≥2.5Gbps，每秒新建连接数≥40K，最大并发连接数≥400万</w:t>
            </w:r>
            <w:r>
              <w:rPr>
                <w:rFonts w:hint="eastAsia" w:ascii="宋体" w:hAnsi="宋体" w:cs="宋体"/>
                <w:bCs/>
                <w:color w:val="auto"/>
                <w:kern w:val="0"/>
                <w:szCs w:val="21"/>
              </w:rPr>
              <w:t>（提供功能截图证明材料）；</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整机DPI深度防御吞吐量≥1.3G；</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3DES加密≥2G；</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AES256加密≥2G；</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支持安全区域管理，可基于接口、VLAN划分安全区域；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支持ASPF状态检查，支持时间段安全策略设置。</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支持AV病毒防护、IPS深度安全防护功能；</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支持应用层防护：入侵防御、带宽管理；</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支持URL过滤、敏感信息防泄漏功能；</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支持链路负载均衡功能、服务器负载均衡功能；</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所投产品须具有计算机信息系统安全专用产品销售许可证，</w:t>
            </w:r>
            <w:r>
              <w:rPr>
                <w:rFonts w:hint="eastAsia" w:ascii="宋体" w:hAnsi="宋体" w:cs="宋体"/>
                <w:bCs/>
                <w:color w:val="auto"/>
                <w:kern w:val="0"/>
                <w:szCs w:val="21"/>
              </w:rPr>
              <w:t>提供复印件；</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具有国家信息安全产品认证证书，</w:t>
            </w:r>
            <w:r>
              <w:rPr>
                <w:rFonts w:hint="eastAsia" w:ascii="宋体" w:hAnsi="宋体" w:cs="宋体"/>
                <w:bCs/>
                <w:color w:val="auto"/>
                <w:kern w:val="0"/>
                <w:szCs w:val="21"/>
              </w:rPr>
              <w:t>提供复印件；</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具有信息技术产品安全测评证书，</w:t>
            </w:r>
            <w:r>
              <w:rPr>
                <w:rFonts w:hint="eastAsia" w:ascii="宋体" w:hAnsi="宋体" w:cs="宋体"/>
                <w:bCs/>
                <w:color w:val="auto"/>
                <w:kern w:val="0"/>
                <w:szCs w:val="21"/>
              </w:rPr>
              <w:t>提供复印件；</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要求</w:t>
            </w:r>
            <w:r>
              <w:rPr>
                <w:rFonts w:hint="eastAsia" w:ascii="宋体" w:hAnsi="宋体" w:cs="宋体"/>
                <w:bCs/>
                <w:color w:val="auto"/>
                <w:kern w:val="0"/>
                <w:szCs w:val="21"/>
              </w:rPr>
              <w:t>与核心交换机同一品牌；</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华为、H3C、信锐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4</w:t>
            </w:r>
          </w:p>
        </w:tc>
        <w:tc>
          <w:tcPr>
            <w:tcW w:w="1483" w:type="dxa"/>
            <w:vMerge w:val="restart"/>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8口交换机</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8千兆电口交换容量(G)16转发性能(Mpps)11.9MAC地址表:8K二层协议支持802.3x；</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防雷特性支持共模防护6/7KV，防雷4级；</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要求</w:t>
            </w:r>
            <w:r>
              <w:rPr>
                <w:rFonts w:hint="eastAsia" w:ascii="宋体" w:hAnsi="宋体" w:cs="宋体"/>
                <w:bCs/>
                <w:color w:val="auto"/>
                <w:kern w:val="0"/>
                <w:szCs w:val="21"/>
              </w:rPr>
              <w:t>与核心交换机同一品牌；</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6</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华为、H3C、信锐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4"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5</w:t>
            </w:r>
          </w:p>
        </w:tc>
        <w:tc>
          <w:tcPr>
            <w:tcW w:w="1483" w:type="dxa"/>
            <w:vMerge w:val="continue"/>
            <w:noWrap w:val="0"/>
            <w:vAlign w:val="center"/>
          </w:tcPr>
          <w:p>
            <w:pPr>
              <w:widowControl/>
              <w:spacing w:line="360" w:lineRule="auto"/>
              <w:jc w:val="center"/>
              <w:textAlignment w:val="center"/>
              <w:rPr>
                <w:rFonts w:ascii="宋体" w:hAnsi="宋体" w:cs="宋体"/>
                <w:color w:val="auto"/>
                <w:kern w:val="0"/>
                <w:szCs w:val="21"/>
              </w:rPr>
            </w:pP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8个10/100/1000Base-T以太网端口2个1000M SFP光口交换容量(G)20，转发性能(Mpps)15，MAC地址表:8K二层协议支持802.3x防雷特性支持共模防护9KV，防雷4级；具有POE功能。</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要求</w:t>
            </w:r>
            <w:r>
              <w:rPr>
                <w:rFonts w:hint="eastAsia" w:ascii="宋体" w:hAnsi="宋体" w:cs="宋体"/>
                <w:bCs/>
                <w:color w:val="auto"/>
                <w:kern w:val="0"/>
                <w:szCs w:val="21"/>
              </w:rPr>
              <w:t>与核心交换机同一品牌；</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华为、H3C、信锐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6</w:t>
            </w:r>
          </w:p>
        </w:tc>
        <w:tc>
          <w:tcPr>
            <w:tcW w:w="1483" w:type="dxa"/>
            <w:vMerge w:val="restart"/>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24口接入交换机</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交换容量 ≥598Gbps/5.98Tbps</w:t>
            </w:r>
            <w:r>
              <w:rPr>
                <w:rFonts w:hint="eastAsia" w:ascii="宋体" w:hAnsi="宋体" w:cs="宋体"/>
                <w:bCs/>
                <w:color w:val="auto"/>
                <w:kern w:val="0"/>
                <w:szCs w:val="21"/>
              </w:rPr>
              <w:t>（投标文件中提供功能截图证明材料）；</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转发性能≥222Mpps</w:t>
            </w:r>
            <w:r>
              <w:rPr>
                <w:rFonts w:hint="eastAsia" w:ascii="宋体" w:hAnsi="宋体" w:cs="宋体"/>
                <w:bCs/>
                <w:color w:val="auto"/>
                <w:kern w:val="0"/>
                <w:szCs w:val="21"/>
              </w:rPr>
              <w:t>（投标文件中提供功能截图证明材料）；</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性能指标 MAC地址表&gt;=32K；</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路由表容量&gt;=16K；</w:t>
            </w:r>
          </w:p>
          <w:p>
            <w:pPr>
              <w:widowControl/>
              <w:spacing w:line="360" w:lineRule="auto"/>
              <w:jc w:val="left"/>
              <w:rPr>
                <w:rFonts w:ascii="宋体" w:hAnsi="宋体" w:cs="宋体"/>
                <w:bCs/>
                <w:color w:val="auto"/>
                <w:kern w:val="0"/>
                <w:szCs w:val="21"/>
              </w:rPr>
            </w:pPr>
            <w:r>
              <w:rPr>
                <w:rFonts w:hint="eastAsia" w:ascii="宋体" w:hAnsi="宋体" w:cs="宋体"/>
                <w:color w:val="auto"/>
                <w:kern w:val="0"/>
                <w:szCs w:val="21"/>
              </w:rPr>
              <w:t>千兆电口≥28，光电复用口≥4，万兆光口≥2，40G光口≥2</w:t>
            </w:r>
            <w:r>
              <w:rPr>
                <w:rFonts w:hint="eastAsia" w:ascii="宋体" w:hAnsi="宋体" w:cs="宋体"/>
                <w:bCs/>
                <w:color w:val="auto"/>
                <w:kern w:val="0"/>
                <w:szCs w:val="21"/>
              </w:rPr>
              <w:t>（提供功能截图证明材料）；</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堆叠 最大堆叠台数&gt;=9台；</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最大堆叠带宽&gt;=160G；</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支持跨设备链路聚合，单一IP管理，分布式弹性路由；</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支持通过标准以太端口进行堆叠（万兆或40G均支持）；</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支持完善的堆叠分裂检测机制，堆叠分裂后能自动完成MAC和IP地址的重配置，无需手动干预；</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VLAN特性 支持基于端口的VLAN，支持基于协议的VLAN；</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最大VLAN数(不是VLAN ID)&gt;=4094；</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链路聚合 支持最多8个GE口；支持最多128个聚合组（IRF2）；支持LACP；</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镜像功能 支持本地端口镜像和远程端口镜像RSPAN；</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支持流镜像；</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同时支持N：M的端口镜像（M大于1）；</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组播协议 支持IGMP v1/v2/v3，MLD v1/v2；</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支持IGMP Snooping v1/v2/v3，MLD Snooping v1/v2；</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支持PIM Snooping；</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支持MLD Proxy；</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支持组播VLAN；</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支持PIM-DM，PIM-SM，PIM-SSM；</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支持MSDP；</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路由协议 支持IPv4静态路由、RIP V1/V2、OSPF、BGP、IS-IS、策略路由、等价路由；</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支持IPv6静态路由、RIPng、OSPFv3、BGP4+；</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支持IPv4和IPv6环境下的策略路由；</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可靠性 支持VRRPv2/v3（虚拟路由冗余协议)；</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支持RRPP（快速环网保护协议），环网故障恢复时间不超过200ms；</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支持智能风扇调速；</w:t>
            </w:r>
          </w:p>
          <w:p>
            <w:pPr>
              <w:widowControl/>
              <w:spacing w:line="360" w:lineRule="auto"/>
              <w:jc w:val="left"/>
              <w:rPr>
                <w:rFonts w:ascii="宋体" w:hAnsi="宋体" w:cs="宋体"/>
                <w:color w:val="auto"/>
                <w:kern w:val="0"/>
                <w:szCs w:val="21"/>
              </w:rPr>
            </w:pPr>
            <w:r>
              <w:rPr>
                <w:rFonts w:hint="eastAsia" w:ascii="宋体" w:hAnsi="宋体" w:cs="宋体"/>
                <w:bCs/>
                <w:color w:val="auto"/>
                <w:kern w:val="0"/>
                <w:szCs w:val="21"/>
              </w:rPr>
              <w:t>要求与核心交换机同一品牌；</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3</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华为、H3C、信锐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7</w:t>
            </w:r>
          </w:p>
        </w:tc>
        <w:tc>
          <w:tcPr>
            <w:tcW w:w="1483" w:type="dxa"/>
            <w:vMerge w:val="continue"/>
            <w:noWrap w:val="0"/>
            <w:vAlign w:val="center"/>
          </w:tcPr>
          <w:p>
            <w:pPr>
              <w:widowControl/>
              <w:spacing w:line="360" w:lineRule="auto"/>
              <w:jc w:val="center"/>
              <w:textAlignment w:val="center"/>
              <w:rPr>
                <w:rFonts w:ascii="宋体" w:hAnsi="宋体" w:cs="宋体"/>
                <w:color w:val="auto"/>
                <w:kern w:val="0"/>
                <w:szCs w:val="21"/>
              </w:rPr>
            </w:pPr>
          </w:p>
        </w:tc>
        <w:tc>
          <w:tcPr>
            <w:tcW w:w="5926" w:type="dxa"/>
            <w:noWrap w:val="0"/>
            <w:vAlign w:val="center"/>
          </w:tcPr>
          <w:p>
            <w:pPr>
              <w:widowControl/>
              <w:spacing w:line="360" w:lineRule="auto"/>
              <w:jc w:val="left"/>
              <w:rPr>
                <w:rFonts w:ascii="宋体" w:hAnsi="宋体" w:cs="宋体"/>
                <w:color w:val="auto"/>
                <w:kern w:val="0"/>
                <w:szCs w:val="21"/>
              </w:rPr>
            </w:pPr>
            <w:r>
              <w:rPr>
                <w:rFonts w:ascii="宋体" w:hAnsi="宋体" w:cs="宋体"/>
                <w:color w:val="auto"/>
                <w:kern w:val="0"/>
                <w:szCs w:val="21"/>
              </w:rPr>
              <w:t>交换容量 ≥336Gbps/3.36Tbps</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包转发率≥51Mpps</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性能指标 MAC地址表&gt;=16K</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路由表容量&gt;=1k（支持OSPF）</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ACL≥512K</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千兆电口≥24，千兆光口≥4，POE功率≥190W</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堆叠 最大堆叠台数&gt;=9台</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最大堆叠带宽&gt;=16G</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支持跨设备链路聚合，单一IP管理，分布式弹性路由</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支持通过标准以太端口进行堆叠</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支持完善的堆叠分裂检测机制，堆叠分裂后能自动完成MAC和IP地址的重配置，无需手动干预</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支持最多128个聚合组（IRF2）；支持LACP</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镜像功能 支持本地端口镜像和远程端口镜像RSPAN；</w:t>
            </w:r>
          </w:p>
          <w:p>
            <w:pPr>
              <w:widowControl/>
              <w:spacing w:line="360" w:lineRule="auto"/>
              <w:jc w:val="left"/>
              <w:rPr>
                <w:rFonts w:ascii="宋体" w:hAnsi="宋体" w:cs="宋体"/>
                <w:color w:val="auto"/>
                <w:kern w:val="0"/>
                <w:szCs w:val="21"/>
              </w:rPr>
            </w:pPr>
            <w:r>
              <w:rPr>
                <w:rFonts w:ascii="宋体" w:hAnsi="宋体" w:cs="宋体"/>
                <w:color w:val="auto"/>
                <w:kern w:val="0"/>
                <w:szCs w:val="21"/>
              </w:rPr>
              <w:t>路由协议 支持IPv4静态路由、RIP V1/V2、OSPF V1/V2/V3</w:t>
            </w:r>
          </w:p>
          <w:p>
            <w:pPr>
              <w:widowControl/>
              <w:spacing w:line="360" w:lineRule="auto"/>
              <w:jc w:val="left"/>
              <w:rPr>
                <w:rFonts w:ascii="宋体" w:hAnsi="宋体" w:cs="宋体"/>
                <w:color w:val="auto"/>
                <w:kern w:val="0"/>
                <w:szCs w:val="21"/>
              </w:rPr>
            </w:pPr>
            <w:r>
              <w:rPr>
                <w:rFonts w:ascii="宋体" w:hAnsi="宋体" w:cs="宋体"/>
                <w:color w:val="auto"/>
                <w:kern w:val="0"/>
                <w:szCs w:val="21"/>
              </w:rPr>
              <w:t>可靠性 支持RRPP（快速环网保护协议），</w:t>
            </w:r>
          </w:p>
          <w:p>
            <w:pPr>
              <w:widowControl/>
              <w:spacing w:line="360" w:lineRule="auto"/>
              <w:jc w:val="left"/>
              <w:rPr>
                <w:rFonts w:ascii="宋体" w:hAnsi="宋体" w:cs="宋体"/>
                <w:color w:val="auto"/>
                <w:kern w:val="0"/>
                <w:szCs w:val="21"/>
              </w:rPr>
            </w:pPr>
            <w:r>
              <w:rPr>
                <w:rFonts w:ascii="宋体" w:hAnsi="宋体" w:cs="宋体"/>
                <w:color w:val="auto"/>
                <w:kern w:val="0"/>
                <w:szCs w:val="21"/>
              </w:rPr>
              <w:t>访问控制策略 支持基于第二层、第三层和第四层的ACL；</w:t>
            </w:r>
          </w:p>
          <w:p>
            <w:pPr>
              <w:widowControl/>
              <w:spacing w:line="360" w:lineRule="auto"/>
              <w:jc w:val="left"/>
              <w:rPr>
                <w:rFonts w:ascii="宋体" w:hAnsi="宋体" w:cs="宋体"/>
                <w:color w:val="auto"/>
                <w:kern w:val="0"/>
                <w:szCs w:val="21"/>
              </w:rPr>
            </w:pPr>
            <w:r>
              <w:rPr>
                <w:rFonts w:ascii="宋体" w:hAnsi="宋体" w:cs="宋体"/>
                <w:color w:val="auto"/>
                <w:kern w:val="0"/>
                <w:szCs w:val="21"/>
              </w:rPr>
              <w:t>支持SP/WRR/SP+WRR队列调度；</w:t>
            </w:r>
          </w:p>
          <w:p>
            <w:pPr>
              <w:widowControl/>
              <w:spacing w:line="360" w:lineRule="auto"/>
              <w:jc w:val="left"/>
              <w:rPr>
                <w:rFonts w:ascii="宋体" w:hAnsi="宋体" w:cs="宋体"/>
                <w:color w:val="auto"/>
                <w:kern w:val="0"/>
                <w:szCs w:val="21"/>
              </w:rPr>
            </w:pPr>
            <w:r>
              <w:rPr>
                <w:rFonts w:ascii="宋体" w:hAnsi="宋体" w:cs="宋体"/>
                <w:color w:val="auto"/>
                <w:kern w:val="0"/>
                <w:szCs w:val="21"/>
              </w:rPr>
              <w:t>支持基于端口的限速；</w:t>
            </w:r>
          </w:p>
          <w:p>
            <w:pPr>
              <w:widowControl/>
              <w:spacing w:line="360" w:lineRule="auto"/>
              <w:jc w:val="left"/>
              <w:rPr>
                <w:rFonts w:ascii="宋体" w:hAnsi="宋体" w:cs="宋体"/>
                <w:color w:val="auto"/>
                <w:kern w:val="0"/>
                <w:szCs w:val="21"/>
              </w:rPr>
            </w:pPr>
            <w:r>
              <w:rPr>
                <w:rFonts w:ascii="宋体" w:hAnsi="宋体" w:cs="宋体"/>
                <w:color w:val="auto"/>
                <w:kern w:val="0"/>
                <w:szCs w:val="21"/>
              </w:rPr>
              <w:t>支持基于流的重定向；</w:t>
            </w:r>
          </w:p>
          <w:p>
            <w:pPr>
              <w:widowControl/>
              <w:spacing w:line="360" w:lineRule="auto"/>
              <w:jc w:val="left"/>
              <w:rPr>
                <w:rFonts w:ascii="宋体" w:hAnsi="宋体" w:cs="宋体"/>
                <w:color w:val="auto"/>
                <w:kern w:val="0"/>
                <w:szCs w:val="21"/>
              </w:rPr>
            </w:pPr>
            <w:r>
              <w:rPr>
                <w:rFonts w:ascii="宋体" w:hAnsi="宋体" w:cs="宋体"/>
                <w:color w:val="auto"/>
                <w:kern w:val="0"/>
                <w:szCs w:val="21"/>
              </w:rPr>
              <w:t>整机提供ACl条目数不小于512条；</w:t>
            </w:r>
          </w:p>
          <w:p>
            <w:pPr>
              <w:widowControl/>
              <w:spacing w:line="360" w:lineRule="auto"/>
              <w:jc w:val="left"/>
              <w:rPr>
                <w:rFonts w:ascii="宋体" w:hAnsi="宋体" w:cs="宋体"/>
                <w:color w:val="auto"/>
                <w:kern w:val="0"/>
                <w:szCs w:val="21"/>
              </w:rPr>
            </w:pPr>
            <w:r>
              <w:rPr>
                <w:rFonts w:ascii="宋体" w:hAnsi="宋体" w:cs="宋体"/>
                <w:color w:val="auto"/>
                <w:kern w:val="0"/>
                <w:szCs w:val="21"/>
              </w:rPr>
              <w:t>支持基于端口和VLAN的 ACL；</w:t>
            </w:r>
          </w:p>
          <w:p>
            <w:pPr>
              <w:widowControl/>
              <w:spacing w:line="360" w:lineRule="auto"/>
              <w:jc w:val="left"/>
              <w:rPr>
                <w:rFonts w:ascii="宋体" w:hAnsi="宋体" w:cs="宋体"/>
                <w:color w:val="auto"/>
                <w:kern w:val="0"/>
                <w:szCs w:val="21"/>
              </w:rPr>
            </w:pPr>
            <w:r>
              <w:rPr>
                <w:rFonts w:ascii="宋体" w:hAnsi="宋体" w:cs="宋体"/>
                <w:color w:val="auto"/>
                <w:kern w:val="0"/>
                <w:szCs w:val="21"/>
              </w:rPr>
              <w:t>支持IPv6 ACL；</w:t>
            </w:r>
          </w:p>
          <w:p>
            <w:pPr>
              <w:widowControl/>
              <w:spacing w:line="360" w:lineRule="auto"/>
              <w:jc w:val="left"/>
              <w:rPr>
                <w:rFonts w:ascii="宋体" w:hAnsi="宋体" w:cs="宋体"/>
                <w:color w:val="auto"/>
                <w:kern w:val="0"/>
                <w:szCs w:val="21"/>
              </w:rPr>
            </w:pPr>
            <w:r>
              <w:rPr>
                <w:rFonts w:ascii="宋体" w:hAnsi="宋体" w:cs="宋体"/>
                <w:color w:val="auto"/>
                <w:kern w:val="0"/>
                <w:szCs w:val="21"/>
              </w:rPr>
              <w:t>支持双向ACL，以便于灵活实现数据包过滤；</w:t>
            </w:r>
          </w:p>
          <w:p>
            <w:pPr>
              <w:widowControl/>
              <w:spacing w:line="360" w:lineRule="auto"/>
              <w:jc w:val="left"/>
              <w:rPr>
                <w:rFonts w:ascii="宋体" w:hAnsi="宋体" w:cs="宋体"/>
                <w:color w:val="auto"/>
                <w:kern w:val="0"/>
                <w:szCs w:val="21"/>
              </w:rPr>
            </w:pPr>
            <w:r>
              <w:rPr>
                <w:rFonts w:ascii="宋体" w:hAnsi="宋体" w:cs="宋体"/>
                <w:color w:val="auto"/>
                <w:kern w:val="0"/>
                <w:szCs w:val="21"/>
              </w:rPr>
              <w:t>支持DHCP Server</w:t>
            </w:r>
          </w:p>
          <w:p>
            <w:pPr>
              <w:widowControl/>
              <w:spacing w:line="360" w:lineRule="auto"/>
              <w:jc w:val="left"/>
              <w:rPr>
                <w:rFonts w:ascii="宋体" w:hAnsi="宋体" w:cs="宋体"/>
                <w:color w:val="auto"/>
                <w:kern w:val="0"/>
                <w:szCs w:val="21"/>
              </w:rPr>
            </w:pPr>
            <w:r>
              <w:rPr>
                <w:rFonts w:ascii="宋体" w:hAnsi="宋体" w:cs="宋体"/>
                <w:color w:val="auto"/>
                <w:kern w:val="0"/>
                <w:szCs w:val="21"/>
              </w:rPr>
              <w:t>安全特性</w:t>
            </w:r>
            <w:r>
              <w:rPr>
                <w:rFonts w:hint="eastAsia" w:ascii="宋体" w:hAnsi="宋体" w:cs="宋体"/>
                <w:color w:val="auto"/>
                <w:kern w:val="0"/>
                <w:szCs w:val="21"/>
              </w:rPr>
              <w:t>：</w:t>
            </w:r>
            <w:r>
              <w:rPr>
                <w:rFonts w:ascii="宋体" w:hAnsi="宋体" w:cs="宋体"/>
                <w:color w:val="auto"/>
                <w:kern w:val="0"/>
                <w:szCs w:val="21"/>
              </w:rPr>
              <w:t>支持用户分级管理和口令保护</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 xml:space="preserve">支持EAD </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端口定时down功能（Schedule job）</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ascii="宋体" w:hAnsi="宋体" w:cs="宋体"/>
                <w:color w:val="auto"/>
                <w:kern w:val="0"/>
                <w:szCs w:val="21"/>
              </w:rPr>
              <w:t>支持端口休眠，关闭没有应用的端口，节省能源</w:t>
            </w:r>
            <w:r>
              <w:rPr>
                <w:rFonts w:hint="eastAsia" w:ascii="宋体" w:hAnsi="宋体" w:cs="宋体"/>
                <w:color w:val="auto"/>
                <w:kern w:val="0"/>
                <w:szCs w:val="21"/>
              </w:rPr>
              <w:t>；</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华为、H3C、信锐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8</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24口核心交换机</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业务插槽数 业务插槽数≥3；</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交换容量≥15.36Tbps；包转发率≥2880Mpps</w:t>
            </w:r>
            <w:r>
              <w:rPr>
                <w:rFonts w:hint="eastAsia" w:ascii="宋体" w:hAnsi="宋体" w:cs="宋体"/>
                <w:bCs/>
                <w:color w:val="auto"/>
                <w:kern w:val="0"/>
                <w:szCs w:val="21"/>
              </w:rPr>
              <w:t>（投标文件中提供功能截图证明材料）</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主控引擎支持固化千兆光业务口≥24个（24光+4万兆主控）</w:t>
            </w:r>
            <w:r>
              <w:rPr>
                <w:rFonts w:hint="eastAsia" w:ascii="宋体" w:hAnsi="宋体" w:cs="宋体"/>
                <w:bCs/>
                <w:color w:val="auto"/>
                <w:kern w:val="0"/>
                <w:szCs w:val="21"/>
              </w:rPr>
              <w:t>（投标文件中提供功能截图证明材料）；</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主控引擎支持固化千兆电业务口≥24个（24电+4万兆主控）</w:t>
            </w:r>
            <w:r>
              <w:rPr>
                <w:rFonts w:hint="eastAsia" w:ascii="宋体" w:hAnsi="宋体" w:cs="宋体"/>
                <w:bCs/>
                <w:color w:val="auto"/>
                <w:kern w:val="0"/>
                <w:szCs w:val="21"/>
              </w:rPr>
              <w:t>（投标文件中提供功能截图证明材料）；</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电源冗余：电源模块冗余；</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关键部件热插拔：主控交换卡、电源、接口模块、风扇、网板等关键部件可热插拔；</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板卡：单槽位线速万兆端口密度≥16；</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网络安全一体化 支持安全业务插卡 支持防火墙插卡、流量分析模块、应用控制网关、入侵防御模块、应用交付引擎、下一代防火墙模块等；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链路聚合 聚合组数≥128组，每组成员≥8个；</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支持跨设备链路聚合；</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可靠性：双引擎快速倒换，主备切换时候板内转发无丢包 ；</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支持热补丁功能，可在线进行补丁升级；</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支持BFD，BFD for VRRP/BGP/IS-IS/OSPF/RSVP/LDP/RIP/静态路由。</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BFD收敛时间&lt;100ms；</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MAC MAC表≥64K；</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路由表 路由表≥8K；</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ARP ARP表≥16K；</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虚拟化 Δ多虚一技术(N:1)， Δ一虚多技术（1:N）；</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 xml:space="preserve"> 支持多虚一技术和一虚多技术的配合使用；</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网络安全一体化：支持安全业务插卡；</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SDN/OPENFLOW 支持OPENFLOW 1.3，提供官网配置手册截图和链接；</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配置要求 实配双主控，双电源，实配千兆光口≥24，千兆电口≥24，万兆光口≥8（万兆端口分布在不同的板卡上）</w:t>
            </w:r>
            <w:r>
              <w:rPr>
                <w:rFonts w:hint="eastAsia" w:ascii="宋体" w:hAnsi="宋体" w:cs="宋体"/>
                <w:bCs/>
                <w:color w:val="auto"/>
                <w:kern w:val="0"/>
                <w:szCs w:val="21"/>
              </w:rPr>
              <w:t>（投标文件中提供证明材料）</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华为、H3C、信锐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9</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光模块</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 xml:space="preserve"> 光模块-SFP-GE-单模模块-(1310nm,10km,LC)</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8</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个</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华为、H3C、信锐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10</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监控接入管理系统</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1.监控平台管理：提供对统一监控平台信息进行管理与对接，提供webservice、http等多种对接方式，支持灵活配置。平台配置完成后可自动将统一平台配置监控内容同步到云平台进行使用。</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2.硬盘录像机管理：提供学校硬盘录像机和接入统一平台硬盘录像机的管理。并提供统一平台接入录像机下挂载摄像头信息的自动获取。</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3.摄像头管理：提供学校硬盘录像机下挂载的摄像头信息管理。支持摄像头基本信息配置与范文权限控制。</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监控权限管理：用户可以根据需要自行设定摄像头的访问权限，可以设置上级是否可以查看，设置校内是否公开，非公开摄像头可以定义具有访问权限的人群。用户登录手机客户端或者平台只能查看具有访问权限的摄像头信息。</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5.在线监控浏览：用户可以通过手机客户端对具有访问权限的摄像头进行在线浏览，并可以抓图发送、实时喊话或启动应急预案等。</w:t>
            </w:r>
          </w:p>
          <w:p>
            <w:pPr>
              <w:widowControl/>
              <w:spacing w:line="360" w:lineRule="auto"/>
              <w:jc w:val="left"/>
              <w:rPr>
                <w:rFonts w:ascii="宋体" w:hAnsi="宋体" w:cs="宋体"/>
                <w:color w:val="auto"/>
                <w:kern w:val="0"/>
                <w:szCs w:val="21"/>
              </w:rPr>
            </w:pPr>
            <w:r>
              <w:rPr>
                <w:rFonts w:hint="eastAsia" w:ascii="宋体" w:hAnsi="宋体" w:cs="宋体"/>
                <w:bCs/>
                <w:color w:val="auto"/>
                <w:kern w:val="0"/>
                <w:szCs w:val="21"/>
              </w:rPr>
              <w:t>6</w:t>
            </w:r>
            <w:r>
              <w:rPr>
                <w:rFonts w:ascii="宋体" w:hAnsi="宋体" w:cs="宋体"/>
                <w:bCs/>
                <w:color w:val="auto"/>
                <w:kern w:val="0"/>
                <w:szCs w:val="21"/>
              </w:rPr>
              <w:t>.</w:t>
            </w:r>
            <w:r>
              <w:rPr>
                <w:rFonts w:hint="eastAsia" w:ascii="宋体" w:hAnsi="宋体" w:cs="宋体"/>
                <w:bCs/>
                <w:color w:val="auto"/>
                <w:kern w:val="0"/>
                <w:szCs w:val="21"/>
              </w:rPr>
              <w:t xml:space="preserve"> 投标文件中提供该系统软件著作权证书复印件。</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套</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学安、校安、安信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11</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应急直播系统</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1.应急直播设置：提供学校预案编制中应急直播推流摄像头配置，支持频道定义和推流延时关闭时长配置。</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2.应急直播推送与查看：提供应急演练启动后配置摄像头的自动直播推流，同时支持手机APP的直播推流。提供手机端和平台端应急演练直播查看功能，提供上级教育应急演练直播提醒与查看功能。</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3.应急过程录制与归档：提供摄像头在预案执行过程中的自动录制功能。提供预案过程与现场视频录制自动归档功能。</w:t>
            </w:r>
          </w:p>
          <w:p>
            <w:pPr>
              <w:widowControl/>
              <w:spacing w:line="360" w:lineRule="auto"/>
              <w:jc w:val="left"/>
              <w:rPr>
                <w:rFonts w:ascii="宋体" w:hAnsi="宋体" w:cs="宋体"/>
                <w:color w:val="auto"/>
                <w:kern w:val="0"/>
                <w:szCs w:val="21"/>
              </w:rPr>
            </w:pPr>
            <w:r>
              <w:rPr>
                <w:rFonts w:hint="eastAsia" w:ascii="宋体" w:hAnsi="宋体" w:cs="宋体"/>
                <w:bCs/>
                <w:color w:val="auto"/>
                <w:kern w:val="0"/>
                <w:szCs w:val="21"/>
              </w:rPr>
              <w:t>4</w:t>
            </w:r>
            <w:r>
              <w:rPr>
                <w:rFonts w:ascii="宋体" w:hAnsi="宋体" w:cs="宋体"/>
                <w:bCs/>
                <w:color w:val="auto"/>
                <w:kern w:val="0"/>
                <w:szCs w:val="21"/>
              </w:rPr>
              <w:t>.</w:t>
            </w:r>
            <w:r>
              <w:rPr>
                <w:rFonts w:hint="eastAsia" w:ascii="宋体" w:hAnsi="宋体" w:cs="宋体"/>
                <w:bCs/>
                <w:color w:val="auto"/>
                <w:kern w:val="0"/>
                <w:szCs w:val="21"/>
              </w:rPr>
              <w:t xml:space="preserve"> 投标文件中提供该系统软件著作权证书复印件。</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套</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学安、校安、安信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12</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安全大数据</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大数据中心展示内容需有安全态势地图，包含双重预防、安全教育、安全管理、安全应急、专项督导、食品安全、值班上报和安全地图等，可以方便的切换地图区域，查看对应区域的各种安全工作执行情况；（演示功能七：此功能以现场演示为准）</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2.打通监控中心与各学校的监控的连接通道，可以在大数据地图中查看各学校的监控摄像头；</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打通监控中心与各学校应急演练的数据通道，当学校进行安全应急演练的时候，会在大屏上进行提示，点击提示可以进入应急演练详情界面，实时了解应急演练任务执行情况、演练实时动态，同时可以查看各疏散路线上的监控摄像头查看现场实时画面；</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4.支持为各学校定制校内三维地图，大屏数据中心可以直接调取学校三维地图，在三维地图上可以查看校内各种智能物联设备的分布和状态（包括摄像头、消防栓、灭火器等）</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套</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学安、校安、安信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6" w:hRule="atLeast"/>
          <w:jc w:val="center"/>
        </w:trPr>
        <w:tc>
          <w:tcPr>
            <w:tcW w:w="478"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13</w:t>
            </w:r>
          </w:p>
        </w:tc>
        <w:tc>
          <w:tcPr>
            <w:tcW w:w="148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运营商光纤接入</w:t>
            </w:r>
          </w:p>
        </w:tc>
        <w:tc>
          <w:tcPr>
            <w:tcW w:w="5926"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负责学校与指挥中心之间的光纤线路打通，带宽50M，保障指挥中心平台数据采集稳定。</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3</w:t>
            </w:r>
          </w:p>
        </w:tc>
        <w:tc>
          <w:tcPr>
            <w:tcW w:w="561"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年</w:t>
            </w:r>
          </w:p>
        </w:tc>
        <w:tc>
          <w:tcPr>
            <w:tcW w:w="1110"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移动、电信、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jc w:val="center"/>
        </w:trPr>
        <w:tc>
          <w:tcPr>
            <w:tcW w:w="10119" w:type="dxa"/>
            <w:gridSpan w:val="6"/>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备注：投标人负责完成本项目设备的安装、调试、运维。</w:t>
            </w:r>
          </w:p>
        </w:tc>
      </w:tr>
    </w:tbl>
    <w:p>
      <w:pPr>
        <w:spacing w:line="360" w:lineRule="auto"/>
        <w:rPr>
          <w:rFonts w:ascii="宋体" w:hAnsi="宋体"/>
          <w:color w:val="auto"/>
          <w:szCs w:val="21"/>
        </w:rPr>
        <w:sectPr>
          <w:pgSz w:w="11906" w:h="16838"/>
          <w:pgMar w:top="1440" w:right="1800" w:bottom="1440" w:left="1800" w:header="851" w:footer="992" w:gutter="0"/>
          <w:cols w:space="720" w:num="1"/>
          <w:docGrid w:type="lines" w:linePitch="312" w:charSpace="0"/>
        </w:sectPr>
      </w:pPr>
    </w:p>
    <w:p>
      <w:pPr>
        <w:pStyle w:val="4"/>
        <w:numPr>
          <w:ilvl w:val="0"/>
          <w:numId w:val="6"/>
        </w:numPr>
        <w:tabs>
          <w:tab w:val="clear" w:pos="1740"/>
        </w:tabs>
        <w:spacing w:before="0" w:line="360" w:lineRule="auto"/>
        <w:rPr>
          <w:rFonts w:ascii="宋体" w:hAnsi="宋体" w:cs="宋体"/>
          <w:b w:val="0"/>
          <w:color w:val="auto"/>
          <w:kern w:val="0"/>
          <w:sz w:val="21"/>
          <w:szCs w:val="21"/>
        </w:rPr>
      </w:pPr>
      <w:r>
        <w:rPr>
          <w:rFonts w:hint="eastAsia" w:ascii="宋体" w:hAnsi="宋体" w:cs="宋体"/>
          <w:b w:val="0"/>
          <w:color w:val="auto"/>
          <w:kern w:val="0"/>
          <w:sz w:val="21"/>
          <w:szCs w:val="21"/>
        </w:rPr>
        <w:t>配套安装辅材</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125"/>
        <w:gridCol w:w="3900"/>
        <w:gridCol w:w="713"/>
        <w:gridCol w:w="606"/>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65" w:type="dxa"/>
            <w:noWrap w:val="0"/>
            <w:vAlign w:val="center"/>
          </w:tcPr>
          <w:p>
            <w:pPr>
              <w:spacing w:line="360" w:lineRule="auto"/>
              <w:jc w:val="center"/>
              <w:rPr>
                <w:rFonts w:ascii="宋体" w:hAnsi="宋体"/>
                <w:color w:val="auto"/>
                <w:szCs w:val="21"/>
              </w:rPr>
            </w:pPr>
            <w:r>
              <w:rPr>
                <w:rFonts w:hint="eastAsia" w:ascii="宋体" w:hAnsi="宋体"/>
                <w:color w:val="auto"/>
                <w:szCs w:val="21"/>
              </w:rPr>
              <w:t>序号</w:t>
            </w:r>
          </w:p>
        </w:tc>
        <w:tc>
          <w:tcPr>
            <w:tcW w:w="1125" w:type="dxa"/>
            <w:noWrap w:val="0"/>
            <w:vAlign w:val="center"/>
          </w:tcPr>
          <w:p>
            <w:pPr>
              <w:spacing w:line="360" w:lineRule="auto"/>
              <w:jc w:val="center"/>
              <w:rPr>
                <w:rFonts w:ascii="宋体" w:hAnsi="宋体"/>
                <w:color w:val="auto"/>
                <w:szCs w:val="21"/>
              </w:rPr>
            </w:pPr>
            <w:r>
              <w:rPr>
                <w:rFonts w:hint="eastAsia" w:ascii="宋体" w:hAnsi="宋体"/>
                <w:color w:val="auto"/>
                <w:szCs w:val="21"/>
              </w:rPr>
              <w:t>设备名称</w:t>
            </w:r>
          </w:p>
        </w:tc>
        <w:tc>
          <w:tcPr>
            <w:tcW w:w="3900" w:type="dxa"/>
            <w:noWrap w:val="0"/>
            <w:vAlign w:val="center"/>
          </w:tcPr>
          <w:p>
            <w:pPr>
              <w:spacing w:line="360" w:lineRule="auto"/>
              <w:jc w:val="center"/>
              <w:rPr>
                <w:rFonts w:ascii="宋体" w:hAnsi="宋体"/>
                <w:color w:val="auto"/>
                <w:szCs w:val="21"/>
              </w:rPr>
            </w:pPr>
            <w:r>
              <w:rPr>
                <w:rFonts w:hint="eastAsia" w:ascii="宋体" w:hAnsi="宋体"/>
                <w:color w:val="auto"/>
                <w:szCs w:val="21"/>
              </w:rPr>
              <w:t>技术参数</w:t>
            </w:r>
          </w:p>
        </w:tc>
        <w:tc>
          <w:tcPr>
            <w:tcW w:w="713" w:type="dxa"/>
            <w:noWrap w:val="0"/>
            <w:vAlign w:val="center"/>
          </w:tcPr>
          <w:p>
            <w:pPr>
              <w:spacing w:line="360" w:lineRule="auto"/>
              <w:jc w:val="center"/>
              <w:rPr>
                <w:rFonts w:ascii="宋体" w:hAnsi="宋体"/>
                <w:color w:val="auto"/>
                <w:szCs w:val="21"/>
              </w:rPr>
            </w:pPr>
            <w:r>
              <w:rPr>
                <w:rFonts w:hint="eastAsia" w:ascii="宋体" w:hAnsi="宋体"/>
                <w:color w:val="auto"/>
                <w:szCs w:val="21"/>
              </w:rPr>
              <w:t>数量</w:t>
            </w:r>
          </w:p>
        </w:tc>
        <w:tc>
          <w:tcPr>
            <w:tcW w:w="606" w:type="dxa"/>
            <w:noWrap w:val="0"/>
            <w:vAlign w:val="center"/>
          </w:tcPr>
          <w:p>
            <w:pPr>
              <w:spacing w:line="360" w:lineRule="auto"/>
              <w:jc w:val="center"/>
              <w:rPr>
                <w:rFonts w:ascii="宋体" w:hAnsi="宋体"/>
                <w:color w:val="auto"/>
                <w:szCs w:val="21"/>
              </w:rPr>
            </w:pPr>
            <w:r>
              <w:rPr>
                <w:rFonts w:hint="eastAsia" w:ascii="宋体" w:hAnsi="宋体"/>
                <w:color w:val="auto"/>
                <w:szCs w:val="21"/>
              </w:rPr>
              <w:t>单位</w:t>
            </w:r>
          </w:p>
        </w:tc>
        <w:tc>
          <w:tcPr>
            <w:tcW w:w="1613" w:type="dxa"/>
            <w:noWrap w:val="0"/>
            <w:vAlign w:val="center"/>
          </w:tcPr>
          <w:p>
            <w:pPr>
              <w:spacing w:line="360" w:lineRule="auto"/>
              <w:jc w:val="center"/>
              <w:rPr>
                <w:rFonts w:ascii="宋体" w:hAnsi="宋体"/>
                <w:color w:val="auto"/>
                <w:szCs w:val="21"/>
              </w:rPr>
            </w:pPr>
            <w:r>
              <w:rPr>
                <w:rFonts w:hint="eastAsia" w:ascii="宋体" w:hAnsi="宋体"/>
                <w:color w:val="auto"/>
                <w:szCs w:val="21"/>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65"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1125"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网线</w:t>
            </w:r>
          </w:p>
        </w:tc>
        <w:tc>
          <w:tcPr>
            <w:tcW w:w="3900"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超五类非屏蔽网线</w:t>
            </w:r>
          </w:p>
        </w:tc>
        <w:tc>
          <w:tcPr>
            <w:tcW w:w="7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15</w:t>
            </w:r>
          </w:p>
        </w:tc>
        <w:tc>
          <w:tcPr>
            <w:tcW w:w="606"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箱</w:t>
            </w:r>
          </w:p>
        </w:tc>
        <w:tc>
          <w:tcPr>
            <w:tcW w:w="16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海康威视、DTCT、一舟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65"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1125" w:type="dxa"/>
            <w:noWrap w:val="0"/>
            <w:vAlign w:val="center"/>
          </w:tcPr>
          <w:p>
            <w:pPr>
              <w:widowControl/>
              <w:spacing w:line="360" w:lineRule="auto"/>
              <w:jc w:val="center"/>
              <w:textAlignment w:val="center"/>
              <w:rPr>
                <w:rFonts w:ascii="宋体" w:hAnsi="宋体" w:cs="宋体"/>
                <w:color w:val="auto"/>
                <w:szCs w:val="21"/>
              </w:rPr>
            </w:pPr>
            <w:r>
              <w:rPr>
                <w:rFonts w:hint="eastAsia" w:ascii="宋体" w:hAnsi="宋体" w:cs="宋体"/>
                <w:color w:val="auto"/>
                <w:szCs w:val="21"/>
              </w:rPr>
              <w:t>光收发</w:t>
            </w:r>
          </w:p>
        </w:tc>
        <w:tc>
          <w:tcPr>
            <w:tcW w:w="3900"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SC单模单纤千兆光收发</w:t>
            </w:r>
          </w:p>
        </w:tc>
        <w:tc>
          <w:tcPr>
            <w:tcW w:w="7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8</w:t>
            </w:r>
          </w:p>
        </w:tc>
        <w:tc>
          <w:tcPr>
            <w:tcW w:w="606"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对</w:t>
            </w:r>
          </w:p>
        </w:tc>
        <w:tc>
          <w:tcPr>
            <w:tcW w:w="16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汤湖、TP-LINK、华立信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65"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3</w:t>
            </w:r>
          </w:p>
        </w:tc>
        <w:tc>
          <w:tcPr>
            <w:tcW w:w="1125"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ODF架</w:t>
            </w:r>
          </w:p>
        </w:tc>
        <w:tc>
          <w:tcPr>
            <w:tcW w:w="3900"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24口满配SC光纤箱</w:t>
            </w:r>
          </w:p>
        </w:tc>
        <w:tc>
          <w:tcPr>
            <w:tcW w:w="7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606"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套</w:t>
            </w:r>
          </w:p>
        </w:tc>
        <w:tc>
          <w:tcPr>
            <w:tcW w:w="16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汤湖、TP-LINK、华立信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65"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4</w:t>
            </w:r>
          </w:p>
        </w:tc>
        <w:tc>
          <w:tcPr>
            <w:tcW w:w="1125"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光纤</w:t>
            </w:r>
          </w:p>
        </w:tc>
        <w:tc>
          <w:tcPr>
            <w:tcW w:w="3900"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4芯单模室外光纤</w:t>
            </w:r>
          </w:p>
        </w:tc>
        <w:tc>
          <w:tcPr>
            <w:tcW w:w="7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1000</w:t>
            </w:r>
          </w:p>
        </w:tc>
        <w:tc>
          <w:tcPr>
            <w:tcW w:w="606"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米</w:t>
            </w:r>
          </w:p>
        </w:tc>
        <w:tc>
          <w:tcPr>
            <w:tcW w:w="16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65"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5</w:t>
            </w:r>
          </w:p>
        </w:tc>
        <w:tc>
          <w:tcPr>
            <w:tcW w:w="1125"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光纤跳线</w:t>
            </w:r>
          </w:p>
        </w:tc>
        <w:tc>
          <w:tcPr>
            <w:tcW w:w="3900"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SC-LC单模双纤</w:t>
            </w:r>
          </w:p>
        </w:tc>
        <w:tc>
          <w:tcPr>
            <w:tcW w:w="7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8</w:t>
            </w:r>
          </w:p>
        </w:tc>
        <w:tc>
          <w:tcPr>
            <w:tcW w:w="606"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根</w:t>
            </w:r>
          </w:p>
        </w:tc>
        <w:tc>
          <w:tcPr>
            <w:tcW w:w="16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汤湖、TP-LINK、华立信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65"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6</w:t>
            </w:r>
          </w:p>
        </w:tc>
        <w:tc>
          <w:tcPr>
            <w:tcW w:w="1125" w:type="dxa"/>
            <w:vMerge w:val="restart"/>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机柜</w:t>
            </w:r>
          </w:p>
        </w:tc>
        <w:tc>
          <w:tcPr>
            <w:tcW w:w="3900"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机柜高度：≥2米；</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宽度：≥600MM；深度≥1000MM；</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颜色：黑色；</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材质工艺：SPCC优良冷轧方孔条敷铝锌板；</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表面处理：酸洗、脱脂、磷化、进口塑粉。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厚度：侧板0.8MM，立梁1.5镀锌；</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门板：网格门；</w:t>
            </w:r>
          </w:p>
        </w:tc>
        <w:tc>
          <w:tcPr>
            <w:tcW w:w="7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606"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6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图腾、大唐卫士、大唐保镖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65"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7</w:t>
            </w:r>
          </w:p>
        </w:tc>
        <w:tc>
          <w:tcPr>
            <w:tcW w:w="1125" w:type="dxa"/>
            <w:vMerge w:val="continue"/>
            <w:noWrap w:val="0"/>
            <w:vAlign w:val="center"/>
          </w:tcPr>
          <w:p>
            <w:pPr>
              <w:widowControl/>
              <w:spacing w:line="360" w:lineRule="auto"/>
              <w:jc w:val="center"/>
              <w:textAlignment w:val="center"/>
              <w:rPr>
                <w:rFonts w:ascii="宋体" w:hAnsi="宋体" w:cs="宋体"/>
                <w:color w:val="auto"/>
                <w:kern w:val="0"/>
                <w:szCs w:val="21"/>
              </w:rPr>
            </w:pPr>
          </w:p>
        </w:tc>
        <w:tc>
          <w:tcPr>
            <w:tcW w:w="3900"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机柜高度：≥1.2米；</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宽度：≥600MM；深度≥800MM；</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颜色：黑色；</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材质工艺：SPCC优良冷轧方孔条敷铝锌板；</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表面处理：酸洗、脱脂、磷化、进口塑粉。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厚度：侧板0.8MM，立梁1.5镀锌；</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门板：网格门；</w:t>
            </w:r>
          </w:p>
        </w:tc>
        <w:tc>
          <w:tcPr>
            <w:tcW w:w="7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606"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6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图腾、大唐卫士、大唐保镖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65"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8</w:t>
            </w:r>
          </w:p>
        </w:tc>
        <w:tc>
          <w:tcPr>
            <w:tcW w:w="1125"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室外箱</w:t>
            </w:r>
          </w:p>
        </w:tc>
        <w:tc>
          <w:tcPr>
            <w:tcW w:w="3900"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不锈钢400*300*200mm弱电室外箱</w:t>
            </w:r>
          </w:p>
        </w:tc>
        <w:tc>
          <w:tcPr>
            <w:tcW w:w="7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2</w:t>
            </w:r>
          </w:p>
        </w:tc>
        <w:tc>
          <w:tcPr>
            <w:tcW w:w="606"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台</w:t>
            </w:r>
          </w:p>
        </w:tc>
        <w:tc>
          <w:tcPr>
            <w:tcW w:w="16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65"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9</w:t>
            </w:r>
          </w:p>
        </w:tc>
        <w:tc>
          <w:tcPr>
            <w:tcW w:w="1125"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管材</w:t>
            </w:r>
          </w:p>
        </w:tc>
        <w:tc>
          <w:tcPr>
            <w:tcW w:w="3900"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PVC、线槽、镀锌钢管等，与本项目配套使用</w:t>
            </w:r>
          </w:p>
        </w:tc>
        <w:tc>
          <w:tcPr>
            <w:tcW w:w="7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606"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批</w:t>
            </w:r>
          </w:p>
        </w:tc>
        <w:tc>
          <w:tcPr>
            <w:tcW w:w="1613" w:type="dxa"/>
            <w:noWrap w:val="0"/>
            <w:vAlign w:val="center"/>
          </w:tcPr>
          <w:p>
            <w:pPr>
              <w:widowControl/>
              <w:spacing w:line="360" w:lineRule="auto"/>
              <w:jc w:val="center"/>
              <w:rPr>
                <w:rFonts w:ascii="宋体" w:hAnsi="宋体" w:cs="宋体"/>
                <w:b/>
                <w:color w:val="auto"/>
                <w:kern w:val="0"/>
                <w:szCs w:val="21"/>
              </w:rPr>
            </w:pPr>
            <w:r>
              <w:rPr>
                <w:rFonts w:hint="eastAsia" w:ascii="宋体" w:hAnsi="宋体" w:cs="宋体"/>
                <w:color w:val="auto"/>
                <w:kern w:val="0"/>
                <w:szCs w:val="21"/>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65"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10</w:t>
            </w:r>
          </w:p>
        </w:tc>
        <w:tc>
          <w:tcPr>
            <w:tcW w:w="1125"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电源线</w:t>
            </w:r>
          </w:p>
        </w:tc>
        <w:tc>
          <w:tcPr>
            <w:tcW w:w="3900"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RVV2*1.5电源线</w:t>
            </w:r>
          </w:p>
        </w:tc>
        <w:tc>
          <w:tcPr>
            <w:tcW w:w="713"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300</w:t>
            </w:r>
          </w:p>
        </w:tc>
        <w:tc>
          <w:tcPr>
            <w:tcW w:w="606"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米</w:t>
            </w:r>
          </w:p>
        </w:tc>
        <w:tc>
          <w:tcPr>
            <w:tcW w:w="16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65"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11</w:t>
            </w:r>
          </w:p>
        </w:tc>
        <w:tc>
          <w:tcPr>
            <w:tcW w:w="1125" w:type="dxa"/>
            <w:noWrap w:val="0"/>
            <w:vAlign w:val="center"/>
          </w:tcPr>
          <w:p>
            <w:pPr>
              <w:widowControl/>
              <w:spacing w:line="360" w:lineRule="auto"/>
              <w:jc w:val="center"/>
              <w:textAlignment w:val="center"/>
              <w:rPr>
                <w:rFonts w:ascii="宋体" w:hAnsi="宋体" w:cs="宋体"/>
                <w:color w:val="auto"/>
                <w:kern w:val="0"/>
                <w:szCs w:val="21"/>
              </w:rPr>
            </w:pPr>
            <w:r>
              <w:rPr>
                <w:rFonts w:hint="eastAsia" w:ascii="宋体" w:hAnsi="宋体" w:cs="宋体"/>
                <w:color w:val="auto"/>
                <w:kern w:val="0"/>
                <w:szCs w:val="21"/>
              </w:rPr>
              <w:t>辅材</w:t>
            </w:r>
          </w:p>
        </w:tc>
        <w:tc>
          <w:tcPr>
            <w:tcW w:w="3900" w:type="dxa"/>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水晶头、扎带、插头、拖线板、电源线、网络跳线等，与本项目配套使用</w:t>
            </w:r>
          </w:p>
        </w:tc>
        <w:tc>
          <w:tcPr>
            <w:tcW w:w="7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1</w:t>
            </w:r>
          </w:p>
        </w:tc>
        <w:tc>
          <w:tcPr>
            <w:tcW w:w="606"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批</w:t>
            </w:r>
          </w:p>
        </w:tc>
        <w:tc>
          <w:tcPr>
            <w:tcW w:w="1613" w:type="dxa"/>
            <w:noWrap w:val="0"/>
            <w:vAlign w:val="center"/>
          </w:tcPr>
          <w:p>
            <w:pPr>
              <w:widowControl/>
              <w:spacing w:line="360" w:lineRule="auto"/>
              <w:jc w:val="center"/>
              <w:rPr>
                <w:rFonts w:ascii="宋体" w:hAnsi="宋体" w:cs="宋体"/>
                <w:color w:val="auto"/>
                <w:kern w:val="0"/>
                <w:szCs w:val="21"/>
              </w:rPr>
            </w:pPr>
            <w:r>
              <w:rPr>
                <w:rFonts w:hint="eastAsia" w:ascii="宋体" w:hAnsi="宋体" w:cs="宋体"/>
                <w:color w:val="auto"/>
                <w:kern w:val="0"/>
                <w:szCs w:val="21"/>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522" w:type="dxa"/>
            <w:gridSpan w:val="6"/>
            <w:noWrap w:val="0"/>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备注：投标人负责完成本项目设备的安装、调试、运维。</w:t>
            </w:r>
          </w:p>
        </w:tc>
      </w:tr>
    </w:tbl>
    <w:p>
      <w:pPr>
        <w:spacing w:line="360" w:lineRule="auto"/>
        <w:rPr>
          <w:rFonts w:ascii="宋体" w:hAnsi="宋体"/>
          <w:color w:val="auto"/>
          <w:szCs w:val="21"/>
        </w:rPr>
        <w:sectPr>
          <w:pgSz w:w="11906" w:h="16838"/>
          <w:pgMar w:top="1440" w:right="1800" w:bottom="1440" w:left="1800" w:header="851" w:footer="992" w:gutter="0"/>
          <w:cols w:space="720" w:num="1"/>
          <w:docGrid w:type="lines" w:linePitch="312" w:charSpace="0"/>
        </w:sectPr>
      </w:pPr>
    </w:p>
    <w:p>
      <w:pPr>
        <w:spacing w:line="360" w:lineRule="auto"/>
        <w:rPr>
          <w:rFonts w:hint="eastAsia" w:ascii="宋体" w:hAnsi="宋体" w:cs="宋体"/>
          <w:color w:val="auto"/>
        </w:rPr>
      </w:pPr>
    </w:p>
    <w:p>
      <w:pPr>
        <w:widowControl/>
        <w:jc w:val="left"/>
        <w:rPr>
          <w:rFonts w:hint="eastAsia" w:ascii="宋体" w:hAnsi="宋体" w:cs="宋体"/>
          <w:bCs/>
          <w:color w:val="auto"/>
          <w:kern w:val="0"/>
          <w:szCs w:val="21"/>
        </w:rPr>
      </w:pPr>
      <w:r>
        <w:rPr>
          <w:rFonts w:hint="eastAsia" w:ascii="宋体" w:hAnsi="宋体" w:cs="宋体"/>
          <w:bCs/>
          <w:color w:val="auto"/>
          <w:kern w:val="0"/>
          <w:szCs w:val="21"/>
        </w:rPr>
        <w:t>三、样品要求：/</w:t>
      </w:r>
    </w:p>
    <w:p>
      <w:pPr>
        <w:widowControl/>
        <w:jc w:val="left"/>
        <w:rPr>
          <w:rFonts w:hint="eastAsia" w:ascii="宋体" w:hAnsi="宋体" w:cs="宋体"/>
          <w:bCs/>
          <w:color w:val="auto"/>
          <w:kern w:val="0"/>
          <w:szCs w:val="21"/>
        </w:rPr>
      </w:pPr>
    </w:p>
    <w:p>
      <w:pPr>
        <w:widowControl/>
        <w:jc w:val="left"/>
        <w:rPr>
          <w:rFonts w:hint="eastAsia" w:ascii="宋体" w:hAnsi="宋体" w:cs="宋体"/>
          <w:bCs/>
          <w:color w:val="auto"/>
          <w:kern w:val="0"/>
          <w:szCs w:val="21"/>
        </w:rPr>
      </w:pPr>
      <w:r>
        <w:rPr>
          <w:rFonts w:hint="eastAsia" w:ascii="宋体" w:hAnsi="宋体" w:cs="宋体"/>
          <w:bCs/>
          <w:color w:val="auto"/>
          <w:kern w:val="0"/>
          <w:szCs w:val="21"/>
        </w:rPr>
        <w:t>四、演示要求：本项目需进行演示，投标人需按本章“二、采购清单及技术参数”中的演示要求进行演示。</w:t>
      </w:r>
    </w:p>
    <w:p>
      <w:pPr>
        <w:widowControl/>
        <w:jc w:val="left"/>
        <w:rPr>
          <w:rFonts w:hint="eastAsia" w:ascii="宋体" w:hAnsi="宋体" w:cs="宋体"/>
          <w:bCs/>
          <w:color w:val="auto"/>
          <w:kern w:val="0"/>
          <w:szCs w:val="21"/>
        </w:rPr>
      </w:pPr>
    </w:p>
    <w:p>
      <w:pPr>
        <w:pStyle w:val="25"/>
        <w:snapToGrid w:val="0"/>
        <w:spacing w:before="120" w:after="120" w:line="360" w:lineRule="auto"/>
        <w:outlineLvl w:val="0"/>
        <w:rPr>
          <w:rFonts w:hAnsi="宋体"/>
          <w:color w:val="auto"/>
          <w:sz w:val="21"/>
          <w:szCs w:val="21"/>
        </w:rPr>
      </w:pPr>
      <w:r>
        <w:rPr>
          <w:rFonts w:hint="eastAsia" w:hAnsi="宋体"/>
          <w:color w:val="auto"/>
          <w:sz w:val="21"/>
          <w:szCs w:val="21"/>
          <w:lang w:eastAsia="zh-CN"/>
        </w:rPr>
        <w:t>五、</w:t>
      </w:r>
      <w:r>
        <w:rPr>
          <w:rFonts w:hAnsi="宋体"/>
          <w:color w:val="auto"/>
          <w:sz w:val="21"/>
          <w:szCs w:val="21"/>
        </w:rPr>
        <w:t>商务要求表</w:t>
      </w:r>
    </w:p>
    <w:tbl>
      <w:tblPr>
        <w:tblStyle w:val="4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18"/>
        <w:gridCol w:w="60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8" w:hRule="atLeast"/>
        </w:trPr>
        <w:tc>
          <w:tcPr>
            <w:tcW w:w="25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Cs w:val="21"/>
              </w:rPr>
            </w:pPr>
            <w:r>
              <w:rPr>
                <w:rFonts w:hint="eastAsia" w:ascii="宋体" w:hAnsi="宋体"/>
                <w:color w:val="auto"/>
                <w:szCs w:val="21"/>
              </w:rPr>
              <w:t>交货期</w:t>
            </w:r>
          </w:p>
        </w:tc>
        <w:tc>
          <w:tcPr>
            <w:tcW w:w="601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Cs w:val="21"/>
              </w:rPr>
            </w:pPr>
            <w:r>
              <w:rPr>
                <w:rFonts w:hint="eastAsia" w:ascii="宋体" w:hAnsi="宋体"/>
                <w:color w:val="auto"/>
                <w:szCs w:val="21"/>
              </w:rPr>
              <w:t>合同签订后，接采购人通知后60天内完成安装调试。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8" w:hRule="atLeast"/>
        </w:trPr>
        <w:tc>
          <w:tcPr>
            <w:tcW w:w="25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Cs w:val="21"/>
              </w:rPr>
            </w:pPr>
            <w:r>
              <w:rPr>
                <w:rFonts w:ascii="宋体" w:hAnsi="宋体"/>
                <w:color w:val="auto"/>
                <w:szCs w:val="21"/>
              </w:rPr>
              <w:t>▲</w:t>
            </w:r>
            <w:r>
              <w:rPr>
                <w:rFonts w:hint="eastAsia" w:ascii="宋体" w:hAnsi="宋体"/>
                <w:color w:val="auto"/>
                <w:szCs w:val="21"/>
              </w:rPr>
              <w:t>质保期</w:t>
            </w:r>
          </w:p>
        </w:tc>
        <w:tc>
          <w:tcPr>
            <w:tcW w:w="601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Cs w:val="21"/>
              </w:rPr>
            </w:pPr>
            <w:r>
              <w:rPr>
                <w:rFonts w:hint="eastAsia" w:ascii="宋体" w:hAnsi="宋体"/>
                <w:color w:val="auto"/>
                <w:szCs w:val="21"/>
              </w:rPr>
              <w:t>本项目货物的质保期为安装调试完毕，验收合格之日起24个月。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7" w:hRule="atLeast"/>
        </w:trPr>
        <w:tc>
          <w:tcPr>
            <w:tcW w:w="25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Cs w:val="21"/>
              </w:rPr>
            </w:pPr>
            <w:r>
              <w:rPr>
                <w:rFonts w:hAnsi="宋体"/>
                <w:bCs/>
                <w:color w:val="auto"/>
                <w:szCs w:val="21"/>
              </w:rPr>
              <w:t>▲</w:t>
            </w:r>
            <w:r>
              <w:rPr>
                <w:rFonts w:hint="eastAsia" w:ascii="宋体" w:hAnsi="宋体"/>
                <w:color w:val="auto"/>
                <w:szCs w:val="21"/>
              </w:rPr>
              <w:t>售后服务要求</w:t>
            </w:r>
          </w:p>
        </w:tc>
        <w:tc>
          <w:tcPr>
            <w:tcW w:w="601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Cs w:val="21"/>
              </w:rPr>
            </w:pPr>
            <w:r>
              <w:rPr>
                <w:rFonts w:hint="eastAsia" w:ascii="宋体" w:hAnsi="宋体" w:cs="宋体"/>
                <w:color w:val="auto"/>
              </w:rPr>
              <w:t>在保修期内，接到采购人维护及保障电话（保修期内所有维护及保障为免费）</w:t>
            </w:r>
            <w:r>
              <w:rPr>
                <w:rFonts w:hint="eastAsia" w:ascii="宋体" w:hAnsi="宋体"/>
                <w:color w:val="auto"/>
                <w:szCs w:val="21"/>
              </w:rPr>
              <w:t>后1小时内响应</w:t>
            </w:r>
            <w:r>
              <w:rPr>
                <w:rFonts w:hint="eastAsia" w:ascii="宋体" w:hAnsi="宋体" w:cs="宋体"/>
                <w:color w:val="auto"/>
              </w:rPr>
              <w:t>，须在24小时内赶到现场及时处理故障，</w:t>
            </w:r>
            <w:r>
              <w:rPr>
                <w:rFonts w:hint="eastAsia" w:ascii="宋体" w:hAnsi="宋体"/>
                <w:color w:val="auto"/>
                <w:szCs w:val="21"/>
              </w:rPr>
              <w:t>免费维修与更换缺陷部件完成时间要求在中标人收到采购人通知后一个星期内，</w:t>
            </w:r>
            <w:r>
              <w:rPr>
                <w:rFonts w:hint="eastAsia" w:ascii="宋体" w:hAnsi="宋体" w:cs="宋体"/>
                <w:color w:val="auto"/>
              </w:rPr>
              <w:t>如未按时到达现场或按时修复的，按中标金额的1%支付违约金。</w:t>
            </w:r>
            <w:r>
              <w:rPr>
                <w:rFonts w:hint="eastAsia" w:ascii="宋体" w:hAnsi="宋体"/>
                <w:color w:val="auto"/>
                <w:szCs w:val="21"/>
              </w:rPr>
              <w:t>其他售后服务内容由投标人进行承诺。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20" w:hRule="atLeast"/>
        </w:trPr>
        <w:tc>
          <w:tcPr>
            <w:tcW w:w="25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Cs w:val="21"/>
              </w:rPr>
            </w:pPr>
            <w:r>
              <w:rPr>
                <w:rFonts w:hAnsi="宋体"/>
                <w:bCs/>
                <w:color w:val="auto"/>
                <w:szCs w:val="21"/>
              </w:rPr>
              <w:t>▲</w:t>
            </w:r>
            <w:r>
              <w:rPr>
                <w:rFonts w:hint="eastAsia" w:ascii="宋体" w:hAnsi="宋体"/>
                <w:color w:val="auto"/>
                <w:szCs w:val="21"/>
              </w:rPr>
              <w:t>付款方式</w:t>
            </w:r>
          </w:p>
        </w:tc>
        <w:tc>
          <w:tcPr>
            <w:tcW w:w="601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rPr>
            </w:pPr>
            <w:r>
              <w:rPr>
                <w:rFonts w:hint="eastAsia" w:ascii="宋体" w:hAnsi="宋体"/>
                <w:color w:val="auto"/>
                <w:szCs w:val="21"/>
              </w:rPr>
              <w:t xml:space="preserve">1、合同签订后十五天内支付合同价的30%； </w:t>
            </w:r>
          </w:p>
          <w:p>
            <w:pPr>
              <w:spacing w:line="360" w:lineRule="auto"/>
              <w:rPr>
                <w:rFonts w:ascii="宋体" w:hAnsi="宋体"/>
                <w:color w:val="auto"/>
                <w:szCs w:val="21"/>
              </w:rPr>
            </w:pPr>
            <w:r>
              <w:rPr>
                <w:rFonts w:hint="eastAsia" w:ascii="宋体" w:hAnsi="宋体"/>
                <w:color w:val="auto"/>
                <w:szCs w:val="21"/>
              </w:rPr>
              <w:t>2、设备安装调试完毕，验收合格、资料归档完毕后十五天内支付至合同价的85%；</w:t>
            </w:r>
          </w:p>
          <w:p>
            <w:pPr>
              <w:spacing w:line="360" w:lineRule="auto"/>
              <w:rPr>
                <w:rFonts w:ascii="宋体" w:hAnsi="宋体"/>
                <w:color w:val="auto"/>
                <w:szCs w:val="21"/>
              </w:rPr>
            </w:pPr>
            <w:r>
              <w:rPr>
                <w:rFonts w:hint="eastAsia" w:ascii="宋体" w:hAnsi="宋体"/>
                <w:color w:val="auto"/>
                <w:szCs w:val="21"/>
              </w:rPr>
              <w:t>3、审计结束后十五天内，支付至合同结算价的95%；</w:t>
            </w:r>
          </w:p>
          <w:p>
            <w:pPr>
              <w:snapToGrid w:val="0"/>
              <w:spacing w:line="360" w:lineRule="auto"/>
              <w:rPr>
                <w:rFonts w:ascii="宋体" w:hAnsi="宋体"/>
                <w:color w:val="auto"/>
                <w:szCs w:val="21"/>
              </w:rPr>
            </w:pPr>
            <w:r>
              <w:rPr>
                <w:rFonts w:hint="eastAsia" w:ascii="宋体" w:hAnsi="宋体"/>
                <w:color w:val="auto"/>
                <w:szCs w:val="21"/>
              </w:rPr>
              <w:t>4、结算价的5%作为质量保修金，质量保修金待设备质保期满2年后15天内结清（无息）。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25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Cs w:val="21"/>
              </w:rPr>
            </w:pPr>
            <w:r>
              <w:rPr>
                <w:rFonts w:hAnsi="宋体"/>
                <w:bCs/>
                <w:color w:val="auto"/>
                <w:szCs w:val="21"/>
              </w:rPr>
              <w:t>▲</w:t>
            </w:r>
            <w:r>
              <w:rPr>
                <w:rFonts w:hint="eastAsia" w:ascii="宋体" w:hAnsi="宋体"/>
                <w:color w:val="auto"/>
                <w:szCs w:val="21"/>
              </w:rPr>
              <w:t>备品备件及耗材等要求</w:t>
            </w:r>
          </w:p>
        </w:tc>
        <w:tc>
          <w:tcPr>
            <w:tcW w:w="601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color w:val="auto"/>
                <w:szCs w:val="21"/>
              </w:rPr>
            </w:pPr>
            <w:r>
              <w:rPr>
                <w:rFonts w:hint="eastAsia" w:ascii="宋体" w:hAnsi="宋体"/>
                <w:color w:val="auto"/>
                <w:szCs w:val="21"/>
              </w:rPr>
              <w:t>投标人应列明货物质保期后2年所需的备品备件清单及价格，该费用不包含在投标价格中。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25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color w:val="auto"/>
                <w:szCs w:val="21"/>
              </w:rPr>
            </w:pPr>
            <w:r>
              <w:rPr>
                <w:rFonts w:hAnsi="宋体"/>
                <w:bCs/>
                <w:color w:val="auto"/>
                <w:szCs w:val="21"/>
              </w:rPr>
              <w:t>▲</w:t>
            </w:r>
            <w:r>
              <w:rPr>
                <w:rFonts w:hint="eastAsia" w:ascii="宋体" w:hAnsi="宋体"/>
                <w:color w:val="auto"/>
                <w:szCs w:val="21"/>
              </w:rPr>
              <w:t>履约保证金</w:t>
            </w:r>
          </w:p>
        </w:tc>
        <w:tc>
          <w:tcPr>
            <w:tcW w:w="6010" w:type="dxa"/>
            <w:tcBorders>
              <w:top w:val="single" w:color="auto" w:sz="4" w:space="0"/>
              <w:left w:val="single" w:color="auto" w:sz="4" w:space="0"/>
              <w:bottom w:val="single" w:color="auto" w:sz="4" w:space="0"/>
              <w:right w:val="single" w:color="auto" w:sz="4" w:space="0"/>
            </w:tcBorders>
            <w:noWrap w:val="0"/>
            <w:vAlign w:val="top"/>
          </w:tcPr>
          <w:p>
            <w:pPr>
              <w:rPr>
                <w:color w:val="auto"/>
                <w:szCs w:val="21"/>
              </w:rPr>
            </w:pPr>
            <w:r>
              <w:rPr>
                <w:rFonts w:hint="eastAsia"/>
                <w:color w:val="auto"/>
                <w:szCs w:val="21"/>
              </w:rPr>
              <w:t>履约保证金的约定：</w:t>
            </w:r>
          </w:p>
          <w:p>
            <w:pPr>
              <w:rPr>
                <w:rFonts w:hint="eastAsia" w:ascii="宋体" w:hAnsi="宋体"/>
                <w:color w:val="auto"/>
                <w:szCs w:val="21"/>
                <w:u w:val="single"/>
              </w:rPr>
            </w:pPr>
            <w:r>
              <w:rPr>
                <w:rFonts w:hint="eastAsia" w:ascii="宋体" w:hAnsi="宋体"/>
                <w:color w:val="auto"/>
                <w:szCs w:val="21"/>
              </w:rPr>
              <w:t>履约保证金金额</w:t>
            </w:r>
            <w:r>
              <w:rPr>
                <w:rFonts w:hint="eastAsia"/>
                <w:color w:val="auto"/>
                <w:szCs w:val="21"/>
              </w:rPr>
              <w:t>：合同总价的5%。</w:t>
            </w:r>
          </w:p>
          <w:p>
            <w:pPr>
              <w:rPr>
                <w:rFonts w:hint="eastAsia" w:ascii="宋体" w:hAnsi="宋体"/>
                <w:color w:val="auto"/>
                <w:szCs w:val="21"/>
                <w:u w:val="single"/>
              </w:rPr>
            </w:pPr>
            <w:r>
              <w:rPr>
                <w:rFonts w:hint="eastAsia" w:ascii="宋体" w:hAnsi="宋体"/>
                <w:color w:val="auto"/>
                <w:szCs w:val="21"/>
              </w:rPr>
              <w:t>履约保证金形式：银行汇票（电汇）、支票等采购人认可的非现金形式；</w:t>
            </w:r>
          </w:p>
          <w:p>
            <w:pPr>
              <w:snapToGrid w:val="0"/>
              <w:spacing w:line="360" w:lineRule="auto"/>
              <w:rPr>
                <w:rFonts w:hint="eastAsia" w:ascii="宋体" w:hAnsi="宋体"/>
                <w:color w:val="auto"/>
                <w:szCs w:val="21"/>
              </w:rPr>
            </w:pPr>
            <w:r>
              <w:rPr>
                <w:rFonts w:hint="eastAsia" w:ascii="宋体" w:hAnsi="宋体"/>
                <w:color w:val="auto"/>
                <w:szCs w:val="21"/>
              </w:rPr>
              <w:t>中标人应于合同签订前将履约保证金交至采购人指定账户。合同履行期间，中标人不得将履约保证金取回或作任何抵押。履约保证金于安装调试完毕、验收合格后无息返还（中标人未按合同要求进行履约的情形除外，如出现未按合同要求履约的情形按合同约定执行</w:t>
            </w:r>
            <w:r>
              <w:rPr>
                <w:rFonts w:ascii="宋体" w:hAnsi="宋体"/>
                <w:color w:val="auto"/>
                <w:szCs w:val="21"/>
              </w:rPr>
              <w:t>）</w:t>
            </w:r>
            <w:r>
              <w:rPr>
                <w:rFonts w:hint="eastAsia" w:ascii="宋体" w:hAnsi="宋体"/>
                <w:color w:val="auto"/>
                <w:szCs w:val="21"/>
              </w:rPr>
              <w:t>。</w:t>
            </w:r>
          </w:p>
        </w:tc>
      </w:tr>
    </w:tbl>
    <w:p>
      <w:pPr>
        <w:snapToGrid w:val="0"/>
        <w:spacing w:line="360" w:lineRule="auto"/>
        <w:jc w:val="left"/>
        <w:rPr>
          <w:rFonts w:hint="eastAsia" w:ascii="宋体" w:hAnsi="宋体"/>
          <w:color w:val="auto"/>
          <w:szCs w:val="21"/>
        </w:rPr>
      </w:pPr>
    </w:p>
    <w:p>
      <w:pPr>
        <w:snapToGrid w:val="0"/>
        <w:spacing w:line="360" w:lineRule="auto"/>
        <w:jc w:val="left"/>
        <w:rPr>
          <w:rFonts w:hint="eastAsia" w:ascii="宋体" w:hAnsi="宋体"/>
          <w:color w:val="auto"/>
          <w:szCs w:val="21"/>
        </w:rPr>
      </w:pPr>
    </w:p>
    <w:p>
      <w:pPr>
        <w:snapToGrid w:val="0"/>
        <w:spacing w:line="360" w:lineRule="auto"/>
        <w:jc w:val="left"/>
        <w:rPr>
          <w:rFonts w:hint="eastAsia" w:ascii="宋体" w:hAnsi="宋体"/>
          <w:color w:val="auto"/>
          <w:szCs w:val="21"/>
        </w:rPr>
      </w:pPr>
    </w:p>
    <w:p>
      <w:pPr>
        <w:snapToGrid w:val="0"/>
        <w:spacing w:line="360" w:lineRule="auto"/>
        <w:jc w:val="left"/>
        <w:rPr>
          <w:rFonts w:hint="eastAsia" w:ascii="宋体" w:hAnsi="宋体"/>
          <w:color w:val="auto"/>
          <w:szCs w:val="21"/>
        </w:rPr>
      </w:pPr>
    </w:p>
    <w:p>
      <w:pPr>
        <w:snapToGrid w:val="0"/>
        <w:spacing w:line="360" w:lineRule="auto"/>
        <w:jc w:val="left"/>
        <w:rPr>
          <w:rFonts w:hint="eastAsia" w:ascii="宋体" w:hAnsi="宋体"/>
          <w:color w:val="auto"/>
          <w:szCs w:val="21"/>
        </w:rPr>
      </w:pPr>
    </w:p>
    <w:p>
      <w:pPr>
        <w:snapToGrid w:val="0"/>
        <w:spacing w:line="360" w:lineRule="auto"/>
        <w:jc w:val="center"/>
        <w:rPr>
          <w:rFonts w:hint="eastAsia" w:ascii="黑体" w:hAnsi="宋体" w:eastAsia="黑体"/>
          <w:color w:val="auto"/>
          <w:sz w:val="28"/>
          <w:szCs w:val="28"/>
        </w:rPr>
      </w:pPr>
      <w:r>
        <w:rPr>
          <w:rFonts w:hint="eastAsia" w:ascii="黑体" w:hAnsi="宋体" w:eastAsia="黑体"/>
          <w:color w:val="auto"/>
          <w:sz w:val="28"/>
          <w:szCs w:val="28"/>
        </w:rPr>
        <w:t>第三章  投标人须知</w:t>
      </w:r>
    </w:p>
    <w:p>
      <w:pPr>
        <w:snapToGrid w:val="0"/>
        <w:spacing w:before="120" w:beforeLines="50" w:after="120" w:afterLines="50" w:line="360" w:lineRule="auto"/>
        <w:ind w:left="238"/>
        <w:jc w:val="center"/>
        <w:outlineLvl w:val="1"/>
        <w:rPr>
          <w:rFonts w:ascii="宋体" w:hAnsi="宋体"/>
          <w:color w:val="auto"/>
          <w:szCs w:val="28"/>
        </w:rPr>
      </w:pPr>
      <w:r>
        <w:rPr>
          <w:rFonts w:hint="eastAsia" w:ascii="宋体" w:hAnsi="宋体"/>
          <w:color w:val="auto"/>
          <w:szCs w:val="28"/>
        </w:rPr>
        <w:t>前附表</w:t>
      </w:r>
    </w:p>
    <w:tbl>
      <w:tblPr>
        <w:tblStyle w:val="4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4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9"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hint="eastAsia" w:ascii="宋体" w:hAnsi="宋体"/>
                <w:color w:val="auto"/>
                <w:szCs w:val="21"/>
              </w:rPr>
              <w:t>序号</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hint="eastAsia" w:ascii="宋体" w:hAnsi="宋体"/>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ascii="宋体" w:hAnsi="宋体"/>
                <w:color w:val="auto"/>
                <w:szCs w:val="21"/>
              </w:rPr>
              <w:t>1</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Arial"/>
                <w:bCs/>
                <w:color w:val="auto"/>
                <w:szCs w:val="21"/>
                <w:u w:val="single"/>
              </w:rPr>
            </w:pPr>
            <w:r>
              <w:rPr>
                <w:rFonts w:hint="eastAsia" w:ascii="宋体" w:hAnsi="宋体"/>
                <w:color w:val="auto"/>
                <w:szCs w:val="21"/>
              </w:rPr>
              <w:t>采购人：</w:t>
            </w:r>
            <w:r>
              <w:rPr>
                <w:rFonts w:hint="eastAsia" w:ascii="宋体" w:hAnsi="宋体" w:cs="Arial"/>
                <w:bCs/>
                <w:color w:val="auto"/>
                <w:szCs w:val="21"/>
                <w:u w:val="single"/>
              </w:rPr>
              <w:t>宁波市鄞州区邱隘镇教辅室</w:t>
            </w:r>
          </w:p>
          <w:p>
            <w:pPr>
              <w:snapToGrid w:val="0"/>
              <w:spacing w:line="360" w:lineRule="auto"/>
              <w:rPr>
                <w:rFonts w:ascii="宋体" w:hAnsi="宋体"/>
                <w:color w:val="auto"/>
                <w:szCs w:val="21"/>
              </w:rPr>
            </w:pPr>
            <w:r>
              <w:rPr>
                <w:rFonts w:hint="eastAsia" w:ascii="宋体" w:hAnsi="宋体" w:cs="Arial"/>
                <w:bCs/>
                <w:color w:val="auto"/>
                <w:szCs w:val="21"/>
              </w:rPr>
              <w:t>采购代理机构：</w:t>
            </w:r>
            <w:r>
              <w:rPr>
                <w:rFonts w:hint="eastAsia" w:ascii="宋体" w:hAnsi="宋体" w:cs="Arial"/>
                <w:bCs/>
                <w:color w:val="auto"/>
                <w:szCs w:val="21"/>
                <w:u w:val="single"/>
              </w:rPr>
              <w:t>宁波瑞林招标有限公司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ascii="宋体" w:hAnsi="宋体"/>
                <w:color w:val="auto"/>
                <w:szCs w:val="21"/>
              </w:rPr>
              <w:t>2</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Cs w:val="21"/>
              </w:rPr>
            </w:pPr>
            <w:r>
              <w:rPr>
                <w:color w:val="auto"/>
                <w:szCs w:val="21"/>
              </w:rPr>
              <w:t>合格</w:t>
            </w:r>
            <w:r>
              <w:rPr>
                <w:rFonts w:hint="eastAsia"/>
                <w:color w:val="auto"/>
                <w:szCs w:val="21"/>
              </w:rPr>
              <w:t>的投标人</w:t>
            </w:r>
            <w:r>
              <w:rPr>
                <w:color w:val="auto"/>
                <w:szCs w:val="21"/>
              </w:rPr>
              <w:t>：</w:t>
            </w:r>
            <w:r>
              <w:rPr>
                <w:rFonts w:hint="eastAsia"/>
                <w:color w:val="auto"/>
                <w:szCs w:val="21"/>
              </w:rPr>
              <w:t>见投标邀请第五条内容。</w:t>
            </w:r>
          </w:p>
          <w:p>
            <w:pPr>
              <w:snapToGrid w:val="0"/>
              <w:spacing w:line="360" w:lineRule="auto"/>
              <w:rPr>
                <w:rFonts w:ascii="宋体" w:hAnsi="宋体"/>
                <w:color w:val="auto"/>
                <w:szCs w:val="21"/>
              </w:rPr>
            </w:pPr>
            <w:r>
              <w:rPr>
                <w:rFonts w:hint="eastAsia"/>
                <w:b/>
                <w:color w:val="auto"/>
                <w:szCs w:val="21"/>
              </w:rPr>
              <w:t>注意事项：采购活动中投标人不得存在的行为及情形详见投标人须知中总则（一）内容。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hint="eastAsia" w:ascii="宋体" w:hAnsi="宋体"/>
                <w:color w:val="auto"/>
                <w:szCs w:val="21"/>
              </w:rPr>
              <w:t>3</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rPr>
            </w:pPr>
            <w:r>
              <w:rPr>
                <w:rFonts w:hint="eastAsia" w:ascii="宋体" w:hAnsi="宋体"/>
                <w:color w:val="auto"/>
                <w:szCs w:val="21"/>
              </w:rPr>
              <w:t>本项目非专门面向中小企业或微型企业采购。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ascii="宋体" w:hAnsi="宋体"/>
                <w:color w:val="auto"/>
                <w:szCs w:val="21"/>
              </w:rPr>
              <w:t>▲</w:t>
            </w:r>
            <w:r>
              <w:rPr>
                <w:rFonts w:hint="eastAsia" w:ascii="宋体" w:hAnsi="宋体"/>
                <w:color w:val="auto"/>
                <w:szCs w:val="21"/>
              </w:rPr>
              <w:t>4</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840" w:hanging="840" w:hangingChars="400"/>
              <w:rPr>
                <w:rFonts w:hint="eastAsia" w:ascii="宋体" w:hAnsi="宋体"/>
                <w:color w:val="auto"/>
                <w:szCs w:val="21"/>
              </w:rPr>
            </w:pPr>
            <w:r>
              <w:rPr>
                <w:rFonts w:hint="eastAsia" w:ascii="宋体" w:hAnsi="宋体"/>
                <w:color w:val="auto"/>
                <w:szCs w:val="21"/>
              </w:rPr>
              <w:t>投标报价要求：</w:t>
            </w:r>
          </w:p>
          <w:p>
            <w:pPr>
              <w:snapToGrid w:val="0"/>
              <w:spacing w:line="360" w:lineRule="auto"/>
              <w:ind w:left="840" w:hanging="840" w:hangingChars="400"/>
              <w:rPr>
                <w:rFonts w:hint="eastAsia" w:ascii="宋体" w:hAnsi="宋体"/>
                <w:color w:val="auto"/>
                <w:szCs w:val="21"/>
              </w:rPr>
            </w:pPr>
            <w:r>
              <w:rPr>
                <w:rFonts w:ascii="宋体" w:hAnsi="宋体"/>
                <w:color w:val="auto"/>
                <w:szCs w:val="21"/>
              </w:rPr>
              <w:t>1</w:t>
            </w:r>
            <w:r>
              <w:rPr>
                <w:rFonts w:hint="eastAsia" w:ascii="宋体" w:hAnsi="宋体"/>
                <w:color w:val="auto"/>
                <w:szCs w:val="21"/>
              </w:rPr>
              <w:t>、本项目以人民币报价。</w:t>
            </w:r>
          </w:p>
          <w:p>
            <w:pPr>
              <w:spacing w:line="360" w:lineRule="auto"/>
              <w:rPr>
                <w:rFonts w:hint="eastAsia" w:ascii="宋体" w:hAnsi="宋体"/>
                <w:color w:val="auto"/>
                <w:szCs w:val="21"/>
              </w:rPr>
            </w:pPr>
            <w:r>
              <w:rPr>
                <w:rFonts w:hint="eastAsia" w:ascii="宋体" w:hAnsi="宋体"/>
                <w:color w:val="auto"/>
                <w:szCs w:val="21"/>
              </w:rPr>
              <w:t>2、投标价格包括现场考察费用、</w:t>
            </w:r>
            <w:r>
              <w:rPr>
                <w:rFonts w:ascii="宋体" w:hAnsi="宋体"/>
                <w:color w:val="auto"/>
                <w:szCs w:val="21"/>
              </w:rPr>
              <w:t>设备</w:t>
            </w:r>
            <w:r>
              <w:rPr>
                <w:rFonts w:hint="eastAsia" w:ascii="宋体" w:hAnsi="宋体"/>
                <w:color w:val="auto"/>
                <w:szCs w:val="21"/>
              </w:rPr>
              <w:t>费用、设备的</w:t>
            </w:r>
            <w:r>
              <w:rPr>
                <w:rFonts w:ascii="宋体" w:hAnsi="宋体"/>
                <w:color w:val="auto"/>
                <w:szCs w:val="21"/>
              </w:rPr>
              <w:t>运输费</w:t>
            </w:r>
            <w:r>
              <w:rPr>
                <w:rFonts w:hint="eastAsia" w:ascii="宋体" w:hAnsi="宋体"/>
                <w:color w:val="auto"/>
                <w:szCs w:val="21"/>
              </w:rPr>
              <w:t>及保险费、安装调试费、验收费、</w:t>
            </w:r>
            <w:r>
              <w:rPr>
                <w:rFonts w:hint="eastAsia"/>
                <w:color w:val="auto"/>
                <w:szCs w:val="21"/>
              </w:rPr>
              <w:t>质保期内</w:t>
            </w:r>
            <w:r>
              <w:rPr>
                <w:color w:val="auto"/>
                <w:szCs w:val="21"/>
              </w:rPr>
              <w:t>备品备件费</w:t>
            </w:r>
            <w:r>
              <w:rPr>
                <w:rFonts w:hint="eastAsia"/>
                <w:color w:val="auto"/>
                <w:szCs w:val="21"/>
              </w:rPr>
              <w:t>、</w:t>
            </w:r>
            <w:r>
              <w:rPr>
                <w:rFonts w:hint="eastAsia" w:ascii="宋体" w:hAnsi="宋体"/>
                <w:color w:val="auto"/>
                <w:szCs w:val="21"/>
              </w:rPr>
              <w:t>质保期内设备的维保费、</w:t>
            </w:r>
            <w:r>
              <w:rPr>
                <w:color w:val="auto"/>
                <w:szCs w:val="21"/>
              </w:rPr>
              <w:t>技术服务及培训费</w:t>
            </w:r>
            <w:r>
              <w:rPr>
                <w:rFonts w:hint="eastAsia"/>
                <w:color w:val="auto"/>
                <w:szCs w:val="21"/>
              </w:rPr>
              <w:t>、代理服务费、</w:t>
            </w:r>
            <w:r>
              <w:rPr>
                <w:rFonts w:hint="eastAsia" w:ascii="宋体" w:hAnsi="宋体"/>
                <w:color w:val="auto"/>
                <w:szCs w:val="21"/>
              </w:rPr>
              <w:t>税金、利润</w:t>
            </w:r>
            <w:r>
              <w:rPr>
                <w:rFonts w:ascii="宋体" w:hAnsi="宋体"/>
                <w:color w:val="auto"/>
                <w:szCs w:val="21"/>
              </w:rPr>
              <w:t>等</w:t>
            </w:r>
            <w:r>
              <w:rPr>
                <w:rFonts w:hint="eastAsia" w:ascii="宋体" w:hAnsi="宋体"/>
                <w:color w:val="auto"/>
                <w:szCs w:val="21"/>
              </w:rPr>
              <w:t>交付采购人使用前产生的所有费用。</w:t>
            </w:r>
          </w:p>
          <w:p>
            <w:pPr>
              <w:snapToGrid w:val="0"/>
              <w:spacing w:line="360" w:lineRule="auto"/>
              <w:ind w:left="840" w:hanging="840" w:hangingChars="400"/>
              <w:jc w:val="left"/>
              <w:rPr>
                <w:rFonts w:ascii="宋体" w:hAnsi="宋体"/>
                <w:color w:val="auto"/>
                <w:szCs w:val="21"/>
              </w:rPr>
            </w:pPr>
            <w:r>
              <w:rPr>
                <w:rFonts w:hint="eastAsia" w:ascii="宋体" w:hAnsi="宋体"/>
                <w:color w:val="auto"/>
                <w:szCs w:val="21"/>
              </w:rPr>
              <w:t>3、本项目最高限价为</w:t>
            </w:r>
            <w:r>
              <w:rPr>
                <w:rFonts w:hint="eastAsia" w:ascii="宋体" w:hAnsi="宋体" w:cs="Arial"/>
                <w:bCs/>
                <w:color w:val="auto"/>
                <w:szCs w:val="21"/>
              </w:rPr>
              <w:t>105.7</w:t>
            </w:r>
            <w:r>
              <w:rPr>
                <w:rFonts w:hint="eastAsia" w:ascii="宋体" w:hAnsi="宋体"/>
                <w:color w:val="auto"/>
                <w:szCs w:val="21"/>
              </w:rPr>
              <w:t>万元人民币。投标价格超过最高限价的作无效投标。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7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hint="eastAsia" w:ascii="宋体" w:hAnsi="宋体"/>
                <w:color w:val="auto"/>
                <w:szCs w:val="21"/>
              </w:rPr>
              <w:t>5</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color w:val="auto"/>
                <w:szCs w:val="21"/>
              </w:rPr>
            </w:pPr>
            <w:r>
              <w:rPr>
                <w:rFonts w:hint="eastAsia" w:ascii="宋体" w:hAnsi="宋体"/>
                <w:color w:val="auto"/>
                <w:szCs w:val="21"/>
              </w:rPr>
              <w:t>投标保证金：</w:t>
            </w:r>
            <w:r>
              <w:rPr>
                <w:rFonts w:hint="eastAsia"/>
                <w:color w:val="auto"/>
                <w:szCs w:val="21"/>
              </w:rPr>
              <w:t>按“第一章投标邀请”第七条规定缴纳。</w:t>
            </w:r>
          </w:p>
          <w:p>
            <w:pPr>
              <w:rPr>
                <w:rFonts w:hint="eastAsia"/>
                <w:color w:val="auto"/>
                <w:szCs w:val="21"/>
              </w:rPr>
            </w:pPr>
            <w:r>
              <w:rPr>
                <w:rFonts w:hint="eastAsia"/>
                <w:color w:val="auto"/>
                <w:szCs w:val="21"/>
              </w:rPr>
              <w:t>投标保证金退还：</w:t>
            </w:r>
          </w:p>
          <w:p>
            <w:pPr>
              <w:snapToGrid w:val="0"/>
              <w:spacing w:line="360" w:lineRule="auto"/>
              <w:rPr>
                <w:rFonts w:ascii="宋体" w:hAnsi="宋体"/>
                <w:color w:val="auto"/>
                <w:szCs w:val="21"/>
              </w:rPr>
            </w:pPr>
            <w:r>
              <w:rPr>
                <w:rFonts w:hint="eastAsia"/>
                <w:color w:val="auto"/>
                <w:szCs w:val="21"/>
              </w:rPr>
              <w:t>除采购文件规定不予退还保证金的情形外，中标通知书发出后五个工作日内，未中标的投标人与</w:t>
            </w:r>
            <w:r>
              <w:rPr>
                <w:rFonts w:hint="eastAsia" w:ascii="宋体" w:hAnsi="宋体"/>
                <w:color w:val="auto"/>
                <w:szCs w:val="21"/>
              </w:rPr>
              <w:t>代理机构财务室联系，办理</w:t>
            </w:r>
            <w:r>
              <w:rPr>
                <w:rFonts w:hint="eastAsia"/>
                <w:color w:val="auto"/>
                <w:szCs w:val="21"/>
              </w:rPr>
              <w:t>退还投标保证金事宜。中标人于采购合同签订之日起5个工作日内与</w:t>
            </w:r>
            <w:r>
              <w:rPr>
                <w:rFonts w:hint="eastAsia" w:ascii="宋体" w:hAnsi="宋体"/>
                <w:color w:val="auto"/>
                <w:szCs w:val="21"/>
              </w:rPr>
              <w:t>代理机构财务室联系，办理</w:t>
            </w:r>
            <w:r>
              <w:rPr>
                <w:rFonts w:hint="eastAsia"/>
                <w:color w:val="auto"/>
                <w:szCs w:val="21"/>
              </w:rPr>
              <w:t>退还投标保证金事宜。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hint="eastAsia" w:ascii="宋体" w:hAnsi="宋体"/>
                <w:color w:val="auto"/>
                <w:szCs w:val="21"/>
              </w:rPr>
              <w:t>6</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olor w:val="auto"/>
                <w:szCs w:val="21"/>
              </w:rPr>
            </w:pPr>
            <w:r>
              <w:rPr>
                <w:rFonts w:hint="eastAsia"/>
                <w:color w:val="auto"/>
                <w:szCs w:val="21"/>
              </w:rPr>
              <w:t>答疑与澄清：投标人或潜在投标人如认为采购文件表述不清晰、存在歧视性或者其他违法、违规内容的，可向</w:t>
            </w:r>
            <w:r>
              <w:rPr>
                <w:rFonts w:hint="eastAsia" w:hAnsi="宋体"/>
                <w:bCs/>
                <w:color w:val="auto"/>
                <w:szCs w:val="21"/>
              </w:rPr>
              <w:t>采购人或代理机构</w:t>
            </w:r>
            <w:r>
              <w:rPr>
                <w:rFonts w:hint="eastAsia"/>
                <w:color w:val="auto"/>
                <w:szCs w:val="21"/>
              </w:rPr>
              <w:t>询问或者以书面形式向</w:t>
            </w:r>
            <w:r>
              <w:rPr>
                <w:rFonts w:hint="eastAsia" w:hAnsi="宋体"/>
                <w:bCs/>
                <w:color w:val="auto"/>
                <w:szCs w:val="21"/>
              </w:rPr>
              <w:t>采购人或代理机构</w:t>
            </w:r>
            <w:r>
              <w:rPr>
                <w:rFonts w:hint="eastAsia"/>
                <w:color w:val="auto"/>
                <w:szCs w:val="21"/>
              </w:rPr>
              <w:t>提出书面质疑。</w:t>
            </w:r>
            <w:r>
              <w:rPr>
                <w:rFonts w:hint="eastAsia" w:hAnsi="宋体"/>
                <w:bCs/>
                <w:color w:val="auto"/>
                <w:szCs w:val="21"/>
              </w:rPr>
              <w:t>采购人或代理机构将依法对</w:t>
            </w:r>
            <w:r>
              <w:rPr>
                <w:rFonts w:hint="eastAsia"/>
                <w:color w:val="auto"/>
                <w:szCs w:val="21"/>
              </w:rPr>
              <w:t>投标人或潜在投标人</w:t>
            </w:r>
            <w:r>
              <w:rPr>
                <w:rFonts w:hint="eastAsia" w:hAnsi="宋体"/>
                <w:bCs/>
                <w:color w:val="auto"/>
                <w:szCs w:val="21"/>
              </w:rPr>
              <w:t>提出的询问、质疑进行回复。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rPr>
            </w:pPr>
            <w:r>
              <w:rPr>
                <w:rFonts w:hint="eastAsia" w:ascii="宋体" w:hAnsi="宋体"/>
                <w:color w:val="auto"/>
                <w:szCs w:val="21"/>
              </w:rPr>
              <w:t>7</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color w:val="auto"/>
                <w:szCs w:val="21"/>
              </w:rPr>
            </w:pPr>
            <w:r>
              <w:rPr>
                <w:rFonts w:hint="eastAsia" w:ascii="宋体" w:hAnsi="宋体"/>
                <w:color w:val="auto"/>
                <w:szCs w:val="21"/>
              </w:rPr>
              <w:t>投标有效期：</w:t>
            </w:r>
            <w:r>
              <w:rPr>
                <w:rFonts w:hint="eastAsia"/>
                <w:color w:val="auto"/>
                <w:szCs w:val="21"/>
              </w:rPr>
              <w:t>投标文件提交截止之日起</w:t>
            </w:r>
            <w:r>
              <w:rPr>
                <w:color w:val="auto"/>
                <w:szCs w:val="21"/>
              </w:rPr>
              <w:t xml:space="preserve"> 90 </w:t>
            </w:r>
            <w:r>
              <w:rPr>
                <w:rFonts w:hint="eastAsia"/>
                <w:color w:val="auto"/>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hint="eastAsia" w:ascii="宋体" w:hAnsi="宋体"/>
                <w:color w:val="auto"/>
                <w:szCs w:val="21"/>
              </w:rPr>
              <w:t>8</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auto"/>
                <w:szCs w:val="21"/>
              </w:rPr>
            </w:pPr>
            <w:r>
              <w:rPr>
                <w:rFonts w:hint="eastAsia" w:ascii="宋体" w:hAnsi="宋体"/>
                <w:color w:val="auto"/>
                <w:szCs w:val="21"/>
              </w:rPr>
              <w:t>投标文件份数：</w:t>
            </w:r>
            <w:r>
              <w:rPr>
                <w:rFonts w:hint="eastAsia"/>
                <w:color w:val="auto"/>
                <w:szCs w:val="21"/>
              </w:rPr>
              <w:t>书面</w:t>
            </w:r>
            <w:r>
              <w:rPr>
                <w:color w:val="auto"/>
                <w:szCs w:val="21"/>
                <w:u w:val="double"/>
              </w:rPr>
              <w:t>报价文件</w:t>
            </w:r>
            <w:r>
              <w:rPr>
                <w:rFonts w:hint="eastAsia"/>
                <w:color w:val="auto"/>
                <w:szCs w:val="21"/>
              </w:rPr>
              <w:t>正本</w:t>
            </w:r>
            <w:r>
              <w:rPr>
                <w:color w:val="auto"/>
                <w:szCs w:val="21"/>
              </w:rPr>
              <w:t xml:space="preserve">1 </w:t>
            </w:r>
            <w:r>
              <w:rPr>
                <w:rFonts w:hint="eastAsia"/>
                <w:color w:val="auto"/>
                <w:szCs w:val="21"/>
              </w:rPr>
              <w:t>份，副本</w:t>
            </w:r>
            <w:r>
              <w:rPr>
                <w:color w:val="auto"/>
                <w:szCs w:val="21"/>
              </w:rPr>
              <w:t xml:space="preserve">4 </w:t>
            </w:r>
            <w:r>
              <w:rPr>
                <w:rFonts w:hint="eastAsia"/>
                <w:color w:val="auto"/>
                <w:szCs w:val="21"/>
              </w:rPr>
              <w:t>份；书面</w:t>
            </w:r>
            <w:r>
              <w:rPr>
                <w:rFonts w:hint="eastAsia"/>
                <w:color w:val="auto"/>
                <w:szCs w:val="21"/>
                <w:u w:val="double"/>
              </w:rPr>
              <w:t>资信、商务、技术</w:t>
            </w:r>
            <w:r>
              <w:rPr>
                <w:color w:val="auto"/>
                <w:szCs w:val="21"/>
                <w:u w:val="double"/>
              </w:rPr>
              <w:t>文件</w:t>
            </w:r>
            <w:r>
              <w:rPr>
                <w:rFonts w:hint="eastAsia"/>
                <w:color w:val="auto"/>
                <w:szCs w:val="21"/>
              </w:rPr>
              <w:t>正本</w:t>
            </w:r>
            <w:r>
              <w:rPr>
                <w:color w:val="auto"/>
                <w:szCs w:val="21"/>
              </w:rPr>
              <w:t xml:space="preserve">1 </w:t>
            </w:r>
            <w:r>
              <w:rPr>
                <w:rFonts w:hint="eastAsia"/>
                <w:color w:val="auto"/>
                <w:szCs w:val="21"/>
              </w:rPr>
              <w:t>份，副本</w:t>
            </w:r>
            <w:r>
              <w:rPr>
                <w:color w:val="auto"/>
                <w:szCs w:val="21"/>
              </w:rPr>
              <w:t xml:space="preserve">4 </w:t>
            </w:r>
            <w:r>
              <w:rPr>
                <w:rFonts w:hint="eastAsia"/>
                <w:color w:val="auto"/>
                <w:szCs w:val="21"/>
              </w:rPr>
              <w:t>份；电子投标文件1份。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hint="eastAsia" w:ascii="宋体" w:hAnsi="宋体"/>
                <w:color w:val="auto"/>
                <w:szCs w:val="21"/>
              </w:rPr>
              <w:t>9</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olor w:val="auto"/>
                <w:szCs w:val="21"/>
              </w:rPr>
            </w:pPr>
            <w:r>
              <w:rPr>
                <w:rFonts w:hint="eastAsia"/>
                <w:color w:val="auto"/>
                <w:szCs w:val="21"/>
              </w:rPr>
              <w:t>提交投标文件的截止时间、开标时间及地点：按“第一章投标邀请”第八、九条规定</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ascii="宋体" w:hAnsi="宋体"/>
                <w:color w:val="auto"/>
                <w:szCs w:val="21"/>
              </w:rPr>
              <w:t>1</w:t>
            </w:r>
            <w:r>
              <w:rPr>
                <w:rFonts w:hint="eastAsia" w:ascii="宋体" w:hAnsi="宋体"/>
                <w:color w:val="auto"/>
                <w:szCs w:val="21"/>
              </w:rPr>
              <w:t>0</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auto"/>
                <w:szCs w:val="21"/>
              </w:rPr>
            </w:pPr>
            <w:r>
              <w:rPr>
                <w:rFonts w:hint="eastAsia" w:ascii="宋体" w:hAnsi="宋体"/>
                <w:color w:val="auto"/>
                <w:szCs w:val="21"/>
              </w:rPr>
              <w:t>评标办法及评分标准：详见采购文件第四章内容。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32"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ascii="宋体" w:hAnsi="宋体"/>
                <w:color w:val="auto"/>
                <w:szCs w:val="21"/>
              </w:rPr>
              <w:t>1</w:t>
            </w:r>
            <w:r>
              <w:rPr>
                <w:rFonts w:hint="eastAsia" w:ascii="宋体" w:hAnsi="宋体"/>
                <w:color w:val="auto"/>
                <w:szCs w:val="21"/>
              </w:rPr>
              <w:t>1</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auto"/>
                <w:szCs w:val="21"/>
              </w:rPr>
            </w:pPr>
            <w:r>
              <w:rPr>
                <w:rFonts w:hint="eastAsia" w:ascii="宋体" w:hAnsi="宋体"/>
                <w:color w:val="auto"/>
                <w:szCs w:val="21"/>
              </w:rPr>
              <w:t>中标结果公告、发出中标通知书：自中标人确定之日起2个工作日内公告中标结果，在公告中标结果的同时，向中标人发出中标通知书，</w:t>
            </w:r>
            <w:r>
              <w:rPr>
                <w:rFonts w:hint="eastAsia"/>
                <w:color w:val="auto"/>
                <w:szCs w:val="21"/>
              </w:rPr>
              <w:t>中标结果发布于采购公告发布媒体。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6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ascii="宋体" w:hAnsi="宋体"/>
                <w:color w:val="auto"/>
                <w:szCs w:val="21"/>
              </w:rPr>
              <w:t>1</w:t>
            </w:r>
            <w:r>
              <w:rPr>
                <w:rFonts w:hint="eastAsia" w:ascii="宋体" w:hAnsi="宋体"/>
                <w:color w:val="auto"/>
                <w:szCs w:val="21"/>
              </w:rPr>
              <w:t>2</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auto"/>
                <w:szCs w:val="21"/>
              </w:rPr>
            </w:pPr>
            <w:r>
              <w:rPr>
                <w:rFonts w:hint="eastAsia" w:ascii="宋体" w:hAnsi="宋体"/>
                <w:color w:val="auto"/>
                <w:szCs w:val="21"/>
              </w:rPr>
              <w:t>签订合同时间：中标通知书发出之日起30日内。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6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hint="eastAsia" w:ascii="宋体" w:hAnsi="宋体"/>
                <w:color w:val="auto"/>
                <w:szCs w:val="21"/>
              </w:rPr>
              <w:t>13</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rPr>
            </w:pPr>
            <w:r>
              <w:rPr>
                <w:rFonts w:hint="eastAsia"/>
                <w:color w:val="auto"/>
                <w:szCs w:val="21"/>
              </w:rPr>
              <w:t>合同签订：采购人与中标人须按照采购文件和中标人的投标文件的约定签订书面合同。所签订的合同不得对采购文件和中标人的投标文件作实质性修改。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ascii="宋体" w:hAnsi="宋体"/>
                <w:color w:val="auto"/>
                <w:szCs w:val="21"/>
              </w:rPr>
              <w:t>1</w:t>
            </w:r>
            <w:r>
              <w:rPr>
                <w:rFonts w:hint="eastAsia" w:ascii="宋体" w:hAnsi="宋体"/>
                <w:color w:val="auto"/>
                <w:szCs w:val="21"/>
              </w:rPr>
              <w:t>4</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auto"/>
                <w:szCs w:val="21"/>
              </w:rPr>
            </w:pPr>
            <w:r>
              <w:rPr>
                <w:rFonts w:hint="eastAsia" w:ascii="宋体" w:hAnsi="宋体"/>
                <w:color w:val="auto"/>
                <w:szCs w:val="21"/>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5"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hint="eastAsia" w:ascii="宋体" w:hAnsi="宋体"/>
                <w:color w:val="auto"/>
                <w:szCs w:val="21"/>
              </w:rPr>
              <w:t>15</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color w:val="auto"/>
                <w:szCs w:val="21"/>
              </w:rPr>
            </w:pPr>
            <w:r>
              <w:rPr>
                <w:rFonts w:hint="eastAsia"/>
                <w:color w:val="auto"/>
                <w:szCs w:val="21"/>
              </w:rPr>
              <w:t>中标服务费：代理机构参照国家发改委发改办价格</w:t>
            </w:r>
            <w:r>
              <w:rPr>
                <w:color w:val="auto"/>
                <w:szCs w:val="21"/>
              </w:rPr>
              <w:t>[2003]857</w:t>
            </w:r>
            <w:r>
              <w:rPr>
                <w:rFonts w:hint="eastAsia"/>
                <w:color w:val="auto"/>
                <w:szCs w:val="21"/>
              </w:rPr>
              <w:t>号通知和原国家计委计价格</w:t>
            </w:r>
            <w:r>
              <w:rPr>
                <w:color w:val="auto"/>
                <w:szCs w:val="21"/>
              </w:rPr>
              <w:t>[2002]1980</w:t>
            </w:r>
            <w:r>
              <w:rPr>
                <w:rFonts w:hint="eastAsia"/>
                <w:color w:val="auto"/>
                <w:szCs w:val="21"/>
              </w:rPr>
              <w:t>号文件规定（收费标准见下表，</w:t>
            </w:r>
            <w:r>
              <w:rPr>
                <w:color w:val="auto"/>
                <w:szCs w:val="21"/>
                <w:lang w:bidi="ar"/>
              </w:rPr>
              <w:t>按差额定率累进法计算</w:t>
            </w:r>
            <w:r>
              <w:rPr>
                <w:rFonts w:hint="eastAsia"/>
                <w:color w:val="auto"/>
                <w:szCs w:val="21"/>
              </w:rPr>
              <w:t>）的货物招标代理收费标准，依据中标金额计算后</w:t>
            </w:r>
            <w:r>
              <w:rPr>
                <w:rFonts w:hint="eastAsia" w:ascii="宋体" w:hAnsi="宋体"/>
                <w:color w:val="auto"/>
                <w:szCs w:val="21"/>
              </w:rPr>
              <w:t>×</w:t>
            </w:r>
            <w:r>
              <w:rPr>
                <w:rFonts w:hint="eastAsia"/>
                <w:color w:val="auto"/>
                <w:szCs w:val="21"/>
              </w:rPr>
              <w:t>0.8，向中标人收取中标服务费。</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1384"/>
              <w:gridCol w:w="1410"/>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1867" w:type="dxa"/>
                  <w:noWrap w:val="0"/>
                  <w:vAlign w:val="top"/>
                </w:tcPr>
                <w:p>
                  <w:pPr>
                    <w:spacing w:line="360" w:lineRule="exact"/>
                    <w:ind w:left="108"/>
                    <w:rPr>
                      <w:color w:val="auto"/>
                      <w:szCs w:val="21"/>
                    </w:rPr>
                  </w:pPr>
                  <w:r>
                    <w:rPr>
                      <w:color w:val="auto"/>
                      <w:szCs w:val="21"/>
                    </w:rPr>
                    <w:t>中标金额（万元） </w:t>
                  </w:r>
                </w:p>
              </w:tc>
              <w:tc>
                <w:tcPr>
                  <w:tcW w:w="1384" w:type="dxa"/>
                  <w:noWrap w:val="0"/>
                  <w:vAlign w:val="top"/>
                </w:tcPr>
                <w:p>
                  <w:pPr>
                    <w:spacing w:line="360" w:lineRule="exact"/>
                    <w:rPr>
                      <w:color w:val="auto"/>
                      <w:szCs w:val="21"/>
                    </w:rPr>
                  </w:pPr>
                  <w:r>
                    <w:rPr>
                      <w:color w:val="auto"/>
                      <w:szCs w:val="21"/>
                    </w:rPr>
                    <w:t>货物招标</w:t>
                  </w:r>
                </w:p>
              </w:tc>
              <w:tc>
                <w:tcPr>
                  <w:tcW w:w="1410" w:type="dxa"/>
                  <w:noWrap w:val="0"/>
                  <w:vAlign w:val="top"/>
                </w:tcPr>
                <w:p>
                  <w:pPr>
                    <w:spacing w:line="360" w:lineRule="exact"/>
                    <w:rPr>
                      <w:color w:val="auto"/>
                      <w:szCs w:val="21"/>
                    </w:rPr>
                  </w:pPr>
                  <w:r>
                    <w:rPr>
                      <w:color w:val="auto"/>
                      <w:szCs w:val="21"/>
                    </w:rPr>
                    <w:t>服务招标 </w:t>
                  </w:r>
                </w:p>
              </w:tc>
              <w:tc>
                <w:tcPr>
                  <w:tcW w:w="2291" w:type="dxa"/>
                  <w:noWrap w:val="0"/>
                  <w:vAlign w:val="top"/>
                </w:tcPr>
                <w:p>
                  <w:pPr>
                    <w:spacing w:line="360" w:lineRule="exact"/>
                    <w:rPr>
                      <w:color w:val="auto"/>
                      <w:szCs w:val="21"/>
                    </w:rPr>
                  </w:pPr>
                  <w:r>
                    <w:rPr>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1867" w:type="dxa"/>
                  <w:noWrap w:val="0"/>
                  <w:vAlign w:val="top"/>
                </w:tcPr>
                <w:p>
                  <w:pPr>
                    <w:spacing w:line="360" w:lineRule="exact"/>
                    <w:ind w:left="108"/>
                    <w:rPr>
                      <w:color w:val="auto"/>
                      <w:szCs w:val="21"/>
                    </w:rPr>
                  </w:pPr>
                  <w:r>
                    <w:rPr>
                      <w:color w:val="auto"/>
                      <w:szCs w:val="21"/>
                    </w:rPr>
                    <w:t>100以下</w:t>
                  </w:r>
                </w:p>
              </w:tc>
              <w:tc>
                <w:tcPr>
                  <w:tcW w:w="1384" w:type="dxa"/>
                  <w:noWrap w:val="0"/>
                  <w:vAlign w:val="top"/>
                </w:tcPr>
                <w:p>
                  <w:pPr>
                    <w:spacing w:line="360" w:lineRule="exact"/>
                    <w:rPr>
                      <w:color w:val="auto"/>
                      <w:szCs w:val="21"/>
                    </w:rPr>
                  </w:pPr>
                  <w:r>
                    <w:rPr>
                      <w:color w:val="auto"/>
                      <w:szCs w:val="21"/>
                    </w:rPr>
                    <w:t>1.5%</w:t>
                  </w:r>
                </w:p>
              </w:tc>
              <w:tc>
                <w:tcPr>
                  <w:tcW w:w="1410" w:type="dxa"/>
                  <w:noWrap w:val="0"/>
                  <w:vAlign w:val="top"/>
                </w:tcPr>
                <w:p>
                  <w:pPr>
                    <w:spacing w:line="360" w:lineRule="exact"/>
                    <w:rPr>
                      <w:color w:val="auto"/>
                      <w:szCs w:val="21"/>
                    </w:rPr>
                  </w:pPr>
                  <w:r>
                    <w:rPr>
                      <w:color w:val="auto"/>
                      <w:szCs w:val="21"/>
                    </w:rPr>
                    <w:t>1.5%</w:t>
                  </w:r>
                </w:p>
              </w:tc>
              <w:tc>
                <w:tcPr>
                  <w:tcW w:w="2291" w:type="dxa"/>
                  <w:noWrap w:val="0"/>
                  <w:vAlign w:val="top"/>
                </w:tcPr>
                <w:p>
                  <w:pPr>
                    <w:spacing w:line="360" w:lineRule="exact"/>
                    <w:rPr>
                      <w:color w:val="auto"/>
                      <w:szCs w:val="21"/>
                    </w:rPr>
                  </w:pPr>
                  <w:r>
                    <w:rPr>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1867" w:type="dxa"/>
                  <w:noWrap w:val="0"/>
                  <w:vAlign w:val="top"/>
                </w:tcPr>
                <w:p>
                  <w:pPr>
                    <w:spacing w:line="360" w:lineRule="exact"/>
                    <w:ind w:left="108"/>
                    <w:rPr>
                      <w:color w:val="auto"/>
                      <w:szCs w:val="21"/>
                    </w:rPr>
                  </w:pPr>
                  <w:r>
                    <w:rPr>
                      <w:color w:val="auto"/>
                      <w:szCs w:val="21"/>
                    </w:rPr>
                    <w:t>100-500         </w:t>
                  </w:r>
                  <w:r>
                    <w:rPr>
                      <w:rFonts w:hint="eastAsia"/>
                      <w:color w:val="auto"/>
                      <w:szCs w:val="21"/>
                    </w:rPr>
                    <w:t xml:space="preserve">    </w:t>
                  </w:r>
                </w:p>
              </w:tc>
              <w:tc>
                <w:tcPr>
                  <w:tcW w:w="1384" w:type="dxa"/>
                  <w:noWrap w:val="0"/>
                  <w:vAlign w:val="top"/>
                </w:tcPr>
                <w:p>
                  <w:pPr>
                    <w:spacing w:line="360" w:lineRule="exact"/>
                    <w:rPr>
                      <w:color w:val="auto"/>
                      <w:szCs w:val="21"/>
                    </w:rPr>
                  </w:pPr>
                  <w:r>
                    <w:rPr>
                      <w:color w:val="auto"/>
                      <w:szCs w:val="21"/>
                    </w:rPr>
                    <w:t>1.1%</w:t>
                  </w:r>
                </w:p>
              </w:tc>
              <w:tc>
                <w:tcPr>
                  <w:tcW w:w="1410" w:type="dxa"/>
                  <w:noWrap w:val="0"/>
                  <w:vAlign w:val="top"/>
                </w:tcPr>
                <w:p>
                  <w:pPr>
                    <w:spacing w:line="360" w:lineRule="exact"/>
                    <w:rPr>
                      <w:color w:val="auto"/>
                      <w:szCs w:val="21"/>
                    </w:rPr>
                  </w:pPr>
                  <w:r>
                    <w:rPr>
                      <w:color w:val="auto"/>
                      <w:szCs w:val="21"/>
                    </w:rPr>
                    <w:t>0.8%</w:t>
                  </w:r>
                </w:p>
              </w:tc>
              <w:tc>
                <w:tcPr>
                  <w:tcW w:w="2291" w:type="dxa"/>
                  <w:noWrap w:val="0"/>
                  <w:vAlign w:val="top"/>
                </w:tcPr>
                <w:p>
                  <w:pPr>
                    <w:spacing w:line="360" w:lineRule="exact"/>
                    <w:rPr>
                      <w:color w:val="auto"/>
                      <w:szCs w:val="21"/>
                    </w:rPr>
                  </w:pPr>
                  <w:r>
                    <w:rPr>
                      <w:color w:val="auto"/>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1867" w:type="dxa"/>
                  <w:noWrap w:val="0"/>
                  <w:vAlign w:val="top"/>
                </w:tcPr>
                <w:p>
                  <w:pPr>
                    <w:spacing w:line="360" w:lineRule="exact"/>
                    <w:ind w:left="108"/>
                    <w:rPr>
                      <w:color w:val="auto"/>
                      <w:szCs w:val="21"/>
                    </w:rPr>
                  </w:pPr>
                  <w:r>
                    <w:rPr>
                      <w:color w:val="auto"/>
                      <w:szCs w:val="21"/>
                    </w:rPr>
                    <w:t>500-1000</w:t>
                  </w:r>
                </w:p>
              </w:tc>
              <w:tc>
                <w:tcPr>
                  <w:tcW w:w="1384" w:type="dxa"/>
                  <w:noWrap w:val="0"/>
                  <w:vAlign w:val="top"/>
                </w:tcPr>
                <w:p>
                  <w:pPr>
                    <w:spacing w:line="360" w:lineRule="exact"/>
                    <w:rPr>
                      <w:color w:val="auto"/>
                      <w:szCs w:val="21"/>
                    </w:rPr>
                  </w:pPr>
                  <w:r>
                    <w:rPr>
                      <w:color w:val="auto"/>
                      <w:szCs w:val="21"/>
                    </w:rPr>
                    <w:t>0.8%</w:t>
                  </w:r>
                </w:p>
              </w:tc>
              <w:tc>
                <w:tcPr>
                  <w:tcW w:w="1410" w:type="dxa"/>
                  <w:noWrap w:val="0"/>
                  <w:vAlign w:val="top"/>
                </w:tcPr>
                <w:p>
                  <w:pPr>
                    <w:spacing w:line="360" w:lineRule="exact"/>
                    <w:rPr>
                      <w:color w:val="auto"/>
                      <w:szCs w:val="21"/>
                    </w:rPr>
                  </w:pPr>
                  <w:r>
                    <w:rPr>
                      <w:color w:val="auto"/>
                      <w:szCs w:val="21"/>
                    </w:rPr>
                    <w:t>0.45%</w:t>
                  </w:r>
                </w:p>
              </w:tc>
              <w:tc>
                <w:tcPr>
                  <w:tcW w:w="2291" w:type="dxa"/>
                  <w:noWrap w:val="0"/>
                  <w:vAlign w:val="top"/>
                </w:tcPr>
                <w:p>
                  <w:pPr>
                    <w:spacing w:line="360" w:lineRule="exact"/>
                    <w:rPr>
                      <w:color w:val="auto"/>
                      <w:szCs w:val="21"/>
                    </w:rPr>
                  </w:pPr>
                  <w:r>
                    <w:rPr>
                      <w:color w:val="auto"/>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1867" w:type="dxa"/>
                  <w:noWrap w:val="0"/>
                  <w:vAlign w:val="top"/>
                </w:tcPr>
                <w:p>
                  <w:pPr>
                    <w:spacing w:line="360" w:lineRule="exact"/>
                    <w:ind w:left="108"/>
                    <w:rPr>
                      <w:color w:val="auto"/>
                      <w:szCs w:val="21"/>
                    </w:rPr>
                  </w:pPr>
                  <w:r>
                    <w:rPr>
                      <w:color w:val="auto"/>
                      <w:szCs w:val="21"/>
                    </w:rPr>
                    <w:t>1000-5000</w:t>
                  </w:r>
                </w:p>
              </w:tc>
              <w:tc>
                <w:tcPr>
                  <w:tcW w:w="1384" w:type="dxa"/>
                  <w:noWrap w:val="0"/>
                  <w:vAlign w:val="top"/>
                </w:tcPr>
                <w:p>
                  <w:pPr>
                    <w:spacing w:line="360" w:lineRule="exact"/>
                    <w:rPr>
                      <w:color w:val="auto"/>
                      <w:szCs w:val="21"/>
                    </w:rPr>
                  </w:pPr>
                  <w:r>
                    <w:rPr>
                      <w:color w:val="auto"/>
                      <w:szCs w:val="21"/>
                    </w:rPr>
                    <w:t>0.5%</w:t>
                  </w:r>
                </w:p>
              </w:tc>
              <w:tc>
                <w:tcPr>
                  <w:tcW w:w="1410" w:type="dxa"/>
                  <w:noWrap w:val="0"/>
                  <w:vAlign w:val="top"/>
                </w:tcPr>
                <w:p>
                  <w:pPr>
                    <w:spacing w:line="360" w:lineRule="exact"/>
                    <w:rPr>
                      <w:color w:val="auto"/>
                      <w:szCs w:val="21"/>
                    </w:rPr>
                  </w:pPr>
                  <w:r>
                    <w:rPr>
                      <w:color w:val="auto"/>
                      <w:szCs w:val="21"/>
                    </w:rPr>
                    <w:t>0.25%</w:t>
                  </w:r>
                </w:p>
              </w:tc>
              <w:tc>
                <w:tcPr>
                  <w:tcW w:w="2291" w:type="dxa"/>
                  <w:noWrap w:val="0"/>
                  <w:vAlign w:val="top"/>
                </w:tcPr>
                <w:p>
                  <w:pPr>
                    <w:spacing w:line="360" w:lineRule="exact"/>
                    <w:rPr>
                      <w:color w:val="auto"/>
                      <w:szCs w:val="21"/>
                    </w:rPr>
                  </w:pPr>
                  <w:r>
                    <w:rPr>
                      <w:color w:val="auto"/>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1867" w:type="dxa"/>
                  <w:noWrap w:val="0"/>
                  <w:vAlign w:val="top"/>
                </w:tcPr>
                <w:p>
                  <w:pPr>
                    <w:spacing w:line="360" w:lineRule="exact"/>
                    <w:ind w:left="108"/>
                    <w:rPr>
                      <w:color w:val="auto"/>
                      <w:szCs w:val="21"/>
                    </w:rPr>
                  </w:pPr>
                  <w:r>
                    <w:rPr>
                      <w:color w:val="auto"/>
                      <w:szCs w:val="21"/>
                    </w:rPr>
                    <w:t>5000-10000</w:t>
                  </w:r>
                </w:p>
              </w:tc>
              <w:tc>
                <w:tcPr>
                  <w:tcW w:w="1384" w:type="dxa"/>
                  <w:noWrap w:val="0"/>
                  <w:vAlign w:val="top"/>
                </w:tcPr>
                <w:p>
                  <w:pPr>
                    <w:spacing w:line="360" w:lineRule="exact"/>
                    <w:rPr>
                      <w:color w:val="auto"/>
                      <w:szCs w:val="21"/>
                    </w:rPr>
                  </w:pPr>
                  <w:r>
                    <w:rPr>
                      <w:color w:val="auto"/>
                      <w:szCs w:val="21"/>
                    </w:rPr>
                    <w:t>0.25%</w:t>
                  </w:r>
                </w:p>
              </w:tc>
              <w:tc>
                <w:tcPr>
                  <w:tcW w:w="1410" w:type="dxa"/>
                  <w:noWrap w:val="0"/>
                  <w:vAlign w:val="top"/>
                </w:tcPr>
                <w:p>
                  <w:pPr>
                    <w:spacing w:line="360" w:lineRule="exact"/>
                    <w:rPr>
                      <w:color w:val="auto"/>
                      <w:szCs w:val="21"/>
                    </w:rPr>
                  </w:pPr>
                  <w:r>
                    <w:rPr>
                      <w:color w:val="auto"/>
                      <w:szCs w:val="21"/>
                    </w:rPr>
                    <w:t>0.1%</w:t>
                  </w:r>
                </w:p>
              </w:tc>
              <w:tc>
                <w:tcPr>
                  <w:tcW w:w="2291" w:type="dxa"/>
                  <w:noWrap w:val="0"/>
                  <w:vAlign w:val="top"/>
                </w:tcPr>
                <w:p>
                  <w:pPr>
                    <w:spacing w:line="360" w:lineRule="exact"/>
                    <w:rPr>
                      <w:color w:val="auto"/>
                      <w:szCs w:val="21"/>
                    </w:rPr>
                  </w:pPr>
                  <w:r>
                    <w:rPr>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1867" w:type="dxa"/>
                  <w:noWrap w:val="0"/>
                  <w:vAlign w:val="top"/>
                </w:tcPr>
                <w:p>
                  <w:pPr>
                    <w:spacing w:line="360" w:lineRule="exact"/>
                    <w:ind w:left="108"/>
                    <w:rPr>
                      <w:color w:val="auto"/>
                      <w:szCs w:val="21"/>
                    </w:rPr>
                  </w:pPr>
                  <w:r>
                    <w:rPr>
                      <w:color w:val="auto"/>
                      <w:szCs w:val="21"/>
                    </w:rPr>
                    <w:t>10000-100000</w:t>
                  </w:r>
                </w:p>
              </w:tc>
              <w:tc>
                <w:tcPr>
                  <w:tcW w:w="1384" w:type="dxa"/>
                  <w:noWrap w:val="0"/>
                  <w:vAlign w:val="top"/>
                </w:tcPr>
                <w:p>
                  <w:pPr>
                    <w:spacing w:line="360" w:lineRule="exact"/>
                    <w:rPr>
                      <w:color w:val="auto"/>
                      <w:szCs w:val="21"/>
                    </w:rPr>
                  </w:pPr>
                  <w:r>
                    <w:rPr>
                      <w:color w:val="auto"/>
                      <w:szCs w:val="21"/>
                    </w:rPr>
                    <w:t>0.05%</w:t>
                  </w:r>
                </w:p>
              </w:tc>
              <w:tc>
                <w:tcPr>
                  <w:tcW w:w="1410" w:type="dxa"/>
                  <w:noWrap w:val="0"/>
                  <w:vAlign w:val="top"/>
                </w:tcPr>
                <w:p>
                  <w:pPr>
                    <w:spacing w:line="360" w:lineRule="exact"/>
                    <w:rPr>
                      <w:color w:val="auto"/>
                      <w:szCs w:val="21"/>
                    </w:rPr>
                  </w:pPr>
                  <w:r>
                    <w:rPr>
                      <w:color w:val="auto"/>
                      <w:szCs w:val="21"/>
                    </w:rPr>
                    <w:t>0.05%</w:t>
                  </w:r>
                </w:p>
              </w:tc>
              <w:tc>
                <w:tcPr>
                  <w:tcW w:w="2291" w:type="dxa"/>
                  <w:noWrap w:val="0"/>
                  <w:vAlign w:val="top"/>
                </w:tcPr>
                <w:p>
                  <w:pPr>
                    <w:spacing w:line="360" w:lineRule="exact"/>
                    <w:rPr>
                      <w:color w:val="auto"/>
                      <w:szCs w:val="21"/>
                    </w:rPr>
                  </w:pPr>
                  <w:r>
                    <w:rPr>
                      <w:color w:val="auto"/>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90" w:hRule="atLeast"/>
              </w:trPr>
              <w:tc>
                <w:tcPr>
                  <w:tcW w:w="1867" w:type="dxa"/>
                  <w:noWrap w:val="0"/>
                  <w:vAlign w:val="top"/>
                </w:tcPr>
                <w:p>
                  <w:pPr>
                    <w:spacing w:line="360" w:lineRule="exact"/>
                    <w:ind w:left="108"/>
                    <w:rPr>
                      <w:color w:val="auto"/>
                      <w:szCs w:val="21"/>
                    </w:rPr>
                  </w:pPr>
                  <w:r>
                    <w:rPr>
                      <w:color w:val="auto"/>
                      <w:szCs w:val="21"/>
                    </w:rPr>
                    <w:t>1000000以上</w:t>
                  </w:r>
                </w:p>
              </w:tc>
              <w:tc>
                <w:tcPr>
                  <w:tcW w:w="1384" w:type="dxa"/>
                  <w:noWrap w:val="0"/>
                  <w:vAlign w:val="top"/>
                </w:tcPr>
                <w:p>
                  <w:pPr>
                    <w:spacing w:line="360" w:lineRule="exact"/>
                    <w:rPr>
                      <w:color w:val="auto"/>
                      <w:szCs w:val="21"/>
                    </w:rPr>
                  </w:pPr>
                  <w:r>
                    <w:rPr>
                      <w:color w:val="auto"/>
                      <w:szCs w:val="21"/>
                    </w:rPr>
                    <w:t>0.01%</w:t>
                  </w:r>
                </w:p>
              </w:tc>
              <w:tc>
                <w:tcPr>
                  <w:tcW w:w="1410" w:type="dxa"/>
                  <w:noWrap w:val="0"/>
                  <w:vAlign w:val="top"/>
                </w:tcPr>
                <w:p>
                  <w:pPr>
                    <w:spacing w:line="360" w:lineRule="exact"/>
                    <w:rPr>
                      <w:color w:val="auto"/>
                      <w:szCs w:val="21"/>
                    </w:rPr>
                  </w:pPr>
                  <w:r>
                    <w:rPr>
                      <w:color w:val="auto"/>
                      <w:szCs w:val="21"/>
                    </w:rPr>
                    <w:t>0.01%</w:t>
                  </w:r>
                </w:p>
              </w:tc>
              <w:tc>
                <w:tcPr>
                  <w:tcW w:w="2291" w:type="dxa"/>
                  <w:noWrap w:val="0"/>
                  <w:vAlign w:val="top"/>
                </w:tcPr>
                <w:p>
                  <w:pPr>
                    <w:spacing w:line="360" w:lineRule="exact"/>
                    <w:rPr>
                      <w:color w:val="auto"/>
                      <w:szCs w:val="21"/>
                    </w:rPr>
                  </w:pPr>
                  <w:r>
                    <w:rPr>
                      <w:color w:val="auto"/>
                      <w:szCs w:val="21"/>
                    </w:rPr>
                    <w:t>0.01%</w:t>
                  </w:r>
                </w:p>
              </w:tc>
            </w:tr>
          </w:tbl>
          <w:p>
            <w:pPr>
              <w:snapToGrid w:val="0"/>
              <w:spacing w:line="360" w:lineRule="auto"/>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7"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rPr>
            </w:pPr>
            <w:r>
              <w:rPr>
                <w:rFonts w:hint="eastAsia" w:ascii="宋体" w:hAnsi="宋体"/>
                <w:color w:val="auto"/>
                <w:szCs w:val="21"/>
              </w:rPr>
              <w:t>16</w:t>
            </w:r>
          </w:p>
        </w:tc>
        <w:tc>
          <w:tcPr>
            <w:tcW w:w="84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olor w:val="auto"/>
                <w:szCs w:val="21"/>
              </w:rPr>
            </w:pPr>
            <w:r>
              <w:rPr>
                <w:rFonts w:hint="eastAsia" w:ascii="宋体" w:hAnsi="宋体"/>
                <w:color w:val="auto"/>
                <w:szCs w:val="21"/>
              </w:rPr>
              <w:t>解释：采购文件的解释权属于</w:t>
            </w:r>
            <w:r>
              <w:rPr>
                <w:rFonts w:hint="eastAsia" w:hAnsi="宋体"/>
                <w:bCs/>
                <w:color w:val="auto"/>
                <w:szCs w:val="21"/>
              </w:rPr>
              <w:t>采购单位</w:t>
            </w:r>
            <w:r>
              <w:rPr>
                <w:rFonts w:hint="eastAsia" w:ascii="宋体" w:hAnsi="宋体"/>
                <w:color w:val="auto"/>
                <w:szCs w:val="21"/>
              </w:rPr>
              <w:t>。</w:t>
            </w:r>
          </w:p>
        </w:tc>
      </w:tr>
    </w:tbl>
    <w:p>
      <w:pPr>
        <w:pStyle w:val="25"/>
        <w:snapToGrid w:val="0"/>
        <w:spacing w:before="120" w:after="120" w:line="360" w:lineRule="auto"/>
        <w:rPr>
          <w:rFonts w:hAnsi="宋体"/>
          <w:color w:val="auto"/>
        </w:rPr>
      </w:pPr>
    </w:p>
    <w:p>
      <w:pPr>
        <w:snapToGrid w:val="0"/>
        <w:spacing w:line="360" w:lineRule="auto"/>
        <w:rPr>
          <w:rFonts w:ascii="宋体" w:hAnsi="宋体"/>
          <w:color w:val="auto"/>
          <w:sz w:val="24"/>
          <w:szCs w:val="20"/>
        </w:rPr>
      </w:pPr>
    </w:p>
    <w:p>
      <w:pPr>
        <w:pStyle w:val="13"/>
        <w:widowControl w:val="0"/>
        <w:numPr>
          <w:ilvl w:val="0"/>
          <w:numId w:val="0"/>
        </w:numPr>
        <w:tabs>
          <w:tab w:val="clear" w:pos="454"/>
        </w:tabs>
        <w:snapToGrid w:val="0"/>
        <w:spacing w:before="120" w:beforeLines="50" w:after="0" w:afterLines="0" w:line="360" w:lineRule="auto"/>
        <w:rPr>
          <w:rFonts w:hint="eastAsia" w:ascii="宋体" w:hAnsi="宋体"/>
          <w:b/>
          <w:color w:val="auto"/>
          <w:sz w:val="21"/>
          <w:szCs w:val="21"/>
        </w:rPr>
      </w:pPr>
      <w:r>
        <w:rPr>
          <w:rFonts w:hAnsi="宋体"/>
          <w:color w:val="auto"/>
        </w:rPr>
        <w:br w:type="page"/>
      </w:r>
      <w:r>
        <w:rPr>
          <w:rFonts w:hint="eastAsia"/>
          <w:color w:val="auto"/>
        </w:rPr>
        <w:t>一、</w:t>
      </w:r>
      <w:r>
        <w:rPr>
          <w:rFonts w:hint="eastAsia" w:ascii="宋体" w:hAnsi="宋体"/>
          <w:b/>
          <w:color w:val="auto"/>
          <w:sz w:val="21"/>
          <w:szCs w:val="21"/>
        </w:rPr>
        <w:t>总  则</w:t>
      </w:r>
    </w:p>
    <w:p>
      <w:pPr>
        <w:widowControl/>
        <w:spacing w:line="360" w:lineRule="auto"/>
        <w:ind w:firstLine="413" w:firstLineChars="196"/>
        <w:jc w:val="left"/>
        <w:rPr>
          <w:rFonts w:hint="eastAsia" w:ascii="宋体" w:hAnsi="宋体"/>
          <w:b/>
          <w:color w:val="auto"/>
          <w:szCs w:val="21"/>
        </w:rPr>
      </w:pPr>
      <w:r>
        <w:rPr>
          <w:rFonts w:hint="eastAsia" w:ascii="宋体" w:hAnsi="宋体"/>
          <w:b/>
          <w:color w:val="auto"/>
          <w:szCs w:val="21"/>
        </w:rPr>
        <w:t>（一）采购活动中投标人不得存在的行为及情形：</w:t>
      </w:r>
    </w:p>
    <w:p>
      <w:pPr>
        <w:widowControl/>
        <w:spacing w:line="360" w:lineRule="auto"/>
        <w:jc w:val="left"/>
        <w:rPr>
          <w:rFonts w:hint="eastAsia" w:ascii="宋体" w:hAnsi="宋体"/>
          <w:color w:val="auto"/>
          <w:szCs w:val="21"/>
        </w:rPr>
      </w:pPr>
      <w:r>
        <w:rPr>
          <w:rFonts w:hint="eastAsia" w:ascii="宋体" w:hAnsi="宋体"/>
          <w:color w:val="auto"/>
          <w:szCs w:val="21"/>
        </w:rPr>
        <w:t>1.</w:t>
      </w:r>
      <w:r>
        <w:rPr>
          <w:rFonts w:hint="eastAsia"/>
          <w:color w:val="auto"/>
        </w:rPr>
        <w:t xml:space="preserve"> </w:t>
      </w:r>
      <w:r>
        <w:rPr>
          <w:rFonts w:hint="eastAsia" w:ascii="宋体" w:hAnsi="宋体"/>
          <w:color w:val="auto"/>
          <w:szCs w:val="21"/>
        </w:rPr>
        <w:t>单位负责人为同一人或者存在直接控股、管理关系的不同供应商，不得参加本项目的政府采购活动。为本采购项目提供整体设计、规范编制或者项目管理、监理、检测等服务的供应商，不得再参加本采购项目的投标。如</w:t>
      </w:r>
      <w:r>
        <w:rPr>
          <w:rFonts w:hint="eastAsia" w:ascii="宋体" w:hAnsi="宋体" w:cs="宋体"/>
          <w:color w:val="auto"/>
          <w:szCs w:val="21"/>
        </w:rPr>
        <w:t>在本项目采购活动中</w:t>
      </w:r>
      <w:r>
        <w:rPr>
          <w:rFonts w:hint="eastAsia" w:hAnsi="宋体"/>
          <w:color w:val="auto"/>
          <w:szCs w:val="21"/>
        </w:rPr>
        <w:t>发现</w:t>
      </w:r>
      <w:r>
        <w:rPr>
          <w:rFonts w:hint="eastAsia" w:ascii="宋体" w:hAnsi="宋体"/>
          <w:color w:val="auto"/>
          <w:szCs w:val="21"/>
        </w:rPr>
        <w:t>上述情形的相关投标均无效，</w:t>
      </w:r>
      <w:r>
        <w:rPr>
          <w:rFonts w:hint="eastAsia" w:ascii="宋体" w:hAnsi="宋体" w:cs="宋体"/>
          <w:color w:val="auto"/>
          <w:szCs w:val="21"/>
        </w:rPr>
        <w:t>如在本项目监督检查过程中</w:t>
      </w:r>
      <w:r>
        <w:rPr>
          <w:rFonts w:hint="eastAsia" w:hAnsi="宋体"/>
          <w:color w:val="auto"/>
          <w:szCs w:val="21"/>
        </w:rPr>
        <w:t>发现</w:t>
      </w:r>
      <w:r>
        <w:rPr>
          <w:rFonts w:hint="eastAsia" w:ascii="宋体" w:hAnsi="宋体" w:cs="宋体"/>
          <w:color w:val="auto"/>
          <w:szCs w:val="21"/>
        </w:rPr>
        <w:t>上述违法、违规情形的，相关部门将进行处罚，投标人承担一切后果。</w:t>
      </w:r>
    </w:p>
    <w:p>
      <w:pPr>
        <w:pStyle w:val="20"/>
        <w:snapToGrid w:val="0"/>
        <w:spacing w:line="360" w:lineRule="auto"/>
        <w:ind w:firstLine="0"/>
        <w:rPr>
          <w:rFonts w:hint="eastAsia" w:hAnsi="宋体"/>
          <w:color w:val="auto"/>
          <w:sz w:val="21"/>
          <w:szCs w:val="21"/>
          <w:lang w:eastAsia="zh-CN"/>
        </w:rPr>
      </w:pPr>
      <w:r>
        <w:rPr>
          <w:rFonts w:hint="eastAsia" w:hAnsi="宋体"/>
          <w:color w:val="auto"/>
          <w:spacing w:val="0"/>
          <w:sz w:val="21"/>
          <w:szCs w:val="21"/>
          <w:lang w:val="en-US" w:eastAsia="zh-CN"/>
        </w:rPr>
        <w:t xml:space="preserve">2. </w:t>
      </w:r>
      <w:r>
        <w:rPr>
          <w:rFonts w:hint="eastAsia" w:hAnsi="宋体"/>
          <w:color w:val="auto"/>
          <w:sz w:val="21"/>
          <w:szCs w:val="21"/>
        </w:rPr>
        <w:t>投标人应当遵循公平竞争的原则，不得恶意串通，不得妨碍其他投标人的竞争行为，不得损</w:t>
      </w:r>
    </w:p>
    <w:p>
      <w:pPr>
        <w:pStyle w:val="20"/>
        <w:snapToGrid w:val="0"/>
        <w:spacing w:line="360" w:lineRule="auto"/>
        <w:ind w:firstLine="0"/>
        <w:rPr>
          <w:rFonts w:hint="eastAsia" w:hAnsi="宋体"/>
          <w:color w:val="auto"/>
          <w:sz w:val="21"/>
          <w:szCs w:val="21"/>
          <w:lang w:eastAsia="zh-CN"/>
        </w:rPr>
      </w:pPr>
      <w:r>
        <w:rPr>
          <w:rFonts w:hint="eastAsia" w:hAnsi="宋体"/>
          <w:color w:val="auto"/>
          <w:sz w:val="21"/>
          <w:szCs w:val="21"/>
        </w:rPr>
        <w:t>害采购人或者其他投标人的合法权益。</w:t>
      </w:r>
    </w:p>
    <w:p>
      <w:pPr>
        <w:pStyle w:val="20"/>
        <w:snapToGrid w:val="0"/>
        <w:spacing w:line="360" w:lineRule="auto"/>
        <w:ind w:firstLine="0"/>
        <w:rPr>
          <w:rFonts w:hAnsi="宋体"/>
          <w:color w:val="auto"/>
          <w:sz w:val="21"/>
          <w:szCs w:val="21"/>
        </w:rPr>
      </w:pPr>
      <w:r>
        <w:rPr>
          <w:rFonts w:hint="eastAsia" w:hAnsi="宋体"/>
          <w:color w:val="auto"/>
          <w:sz w:val="21"/>
          <w:szCs w:val="21"/>
        </w:rPr>
        <w:t>投标人串通投标</w:t>
      </w:r>
      <w:r>
        <w:rPr>
          <w:rFonts w:hint="eastAsia" w:hAnsi="宋体"/>
          <w:color w:val="auto"/>
          <w:sz w:val="21"/>
          <w:szCs w:val="21"/>
          <w:lang w:eastAsia="zh-CN"/>
        </w:rPr>
        <w:t>包括下列情形</w:t>
      </w:r>
      <w:r>
        <w:rPr>
          <w:rFonts w:hint="eastAsia" w:hAnsi="宋体"/>
          <w:color w:val="auto"/>
          <w:sz w:val="21"/>
          <w:szCs w:val="21"/>
        </w:rPr>
        <w:t>：</w:t>
      </w:r>
    </w:p>
    <w:p>
      <w:pPr>
        <w:pStyle w:val="20"/>
        <w:snapToGrid w:val="0"/>
        <w:spacing w:line="360" w:lineRule="auto"/>
        <w:ind w:firstLine="0"/>
        <w:rPr>
          <w:rFonts w:hAnsi="宋体"/>
          <w:color w:val="auto"/>
          <w:sz w:val="21"/>
          <w:szCs w:val="21"/>
        </w:rPr>
      </w:pPr>
      <w:r>
        <w:rPr>
          <w:rFonts w:hint="eastAsia" w:hAnsi="宋体"/>
          <w:color w:val="auto"/>
          <w:sz w:val="21"/>
          <w:szCs w:val="21"/>
        </w:rPr>
        <w:t>①不同投标人的投标文件由同一单位或者个人编制；</w:t>
      </w:r>
    </w:p>
    <w:p>
      <w:pPr>
        <w:pStyle w:val="20"/>
        <w:snapToGrid w:val="0"/>
        <w:spacing w:line="360" w:lineRule="auto"/>
        <w:ind w:firstLine="0"/>
        <w:rPr>
          <w:rFonts w:hAnsi="宋体"/>
          <w:color w:val="auto"/>
          <w:sz w:val="21"/>
          <w:szCs w:val="21"/>
        </w:rPr>
      </w:pPr>
      <w:r>
        <w:rPr>
          <w:rFonts w:hint="eastAsia" w:hAnsi="宋体"/>
          <w:color w:val="auto"/>
          <w:sz w:val="21"/>
          <w:szCs w:val="21"/>
        </w:rPr>
        <w:t>②不同投标人委托同一单位或者个人办理投标事宜；</w:t>
      </w:r>
    </w:p>
    <w:p>
      <w:pPr>
        <w:pStyle w:val="20"/>
        <w:snapToGrid w:val="0"/>
        <w:spacing w:line="360" w:lineRule="auto"/>
        <w:ind w:firstLine="0"/>
        <w:rPr>
          <w:rFonts w:hAnsi="宋体"/>
          <w:color w:val="auto"/>
          <w:sz w:val="21"/>
          <w:szCs w:val="21"/>
        </w:rPr>
      </w:pPr>
      <w:r>
        <w:rPr>
          <w:rFonts w:hint="eastAsia" w:hAnsi="宋体"/>
          <w:color w:val="auto"/>
          <w:sz w:val="21"/>
          <w:szCs w:val="21"/>
        </w:rPr>
        <w:t>③不同投标人的投标文件载明的项目管理成员或者联系人员为同一人；</w:t>
      </w:r>
    </w:p>
    <w:p>
      <w:pPr>
        <w:pStyle w:val="20"/>
        <w:snapToGrid w:val="0"/>
        <w:spacing w:line="360" w:lineRule="auto"/>
        <w:ind w:firstLine="0"/>
        <w:rPr>
          <w:rFonts w:hAnsi="宋体"/>
          <w:color w:val="auto"/>
          <w:sz w:val="21"/>
          <w:szCs w:val="21"/>
        </w:rPr>
      </w:pPr>
      <w:r>
        <w:rPr>
          <w:rFonts w:hint="eastAsia" w:hAnsi="宋体"/>
          <w:color w:val="auto"/>
          <w:sz w:val="21"/>
          <w:szCs w:val="21"/>
        </w:rPr>
        <w:t>④不同投标人的投标文件异常一致或者投标报价呈规律性差异；</w:t>
      </w:r>
    </w:p>
    <w:p>
      <w:pPr>
        <w:pStyle w:val="20"/>
        <w:snapToGrid w:val="0"/>
        <w:spacing w:line="360" w:lineRule="auto"/>
        <w:ind w:firstLine="0"/>
        <w:rPr>
          <w:rFonts w:hAnsi="宋体"/>
          <w:color w:val="auto"/>
          <w:sz w:val="21"/>
          <w:szCs w:val="21"/>
        </w:rPr>
      </w:pPr>
      <w:r>
        <w:rPr>
          <w:rFonts w:hint="eastAsia" w:hAnsi="宋体"/>
          <w:color w:val="auto"/>
          <w:sz w:val="21"/>
          <w:szCs w:val="21"/>
        </w:rPr>
        <w:t>⑤不同投标人的投标文件相互混装；</w:t>
      </w:r>
    </w:p>
    <w:p>
      <w:pPr>
        <w:pStyle w:val="20"/>
        <w:snapToGrid w:val="0"/>
        <w:spacing w:line="360" w:lineRule="auto"/>
        <w:ind w:firstLine="0"/>
        <w:rPr>
          <w:rFonts w:hint="eastAsia" w:hAnsi="宋体"/>
          <w:color w:val="auto"/>
          <w:sz w:val="21"/>
          <w:szCs w:val="21"/>
          <w:lang w:eastAsia="zh-CN"/>
        </w:rPr>
      </w:pPr>
      <w:r>
        <w:rPr>
          <w:rFonts w:hint="eastAsia" w:hAnsi="宋体"/>
          <w:color w:val="auto"/>
          <w:sz w:val="21"/>
          <w:szCs w:val="21"/>
        </w:rPr>
        <w:t>⑥不同投标人的投标保证金从同一单位或者个人的账户转出。</w:t>
      </w:r>
    </w:p>
    <w:p>
      <w:pPr>
        <w:pStyle w:val="20"/>
        <w:snapToGrid w:val="0"/>
        <w:spacing w:line="360" w:lineRule="auto"/>
        <w:ind w:firstLine="399" w:firstLineChars="198"/>
        <w:rPr>
          <w:rFonts w:hint="eastAsia" w:hAnsi="宋体"/>
          <w:color w:val="auto"/>
          <w:sz w:val="21"/>
          <w:szCs w:val="21"/>
          <w:lang w:eastAsia="zh-CN"/>
        </w:rPr>
      </w:pPr>
      <w:r>
        <w:rPr>
          <w:rFonts w:hint="eastAsia" w:hAnsi="宋体"/>
          <w:color w:val="auto"/>
          <w:sz w:val="21"/>
          <w:szCs w:val="21"/>
        </w:rPr>
        <w:t>在评标过程中发现投标人有上述情形的，其投标无效。如在本项目采购活动中发现上述情形的相关投标均无效，如在本项目监督检查过程中发现上述违法、违规情形的，相关部门将进行处罚，投标人承担一切后果。</w:t>
      </w:r>
    </w:p>
    <w:p>
      <w:pPr>
        <w:pStyle w:val="25"/>
        <w:snapToGrid w:val="0"/>
        <w:spacing w:before="120" w:after="120" w:line="360" w:lineRule="auto"/>
        <w:ind w:left="2" w:leftChars="1"/>
        <w:rPr>
          <w:rFonts w:hint="eastAsia" w:hAnsi="宋体"/>
          <w:color w:val="auto"/>
          <w:sz w:val="21"/>
          <w:szCs w:val="21"/>
        </w:rPr>
      </w:pPr>
      <w:r>
        <w:rPr>
          <w:rFonts w:hint="eastAsia" w:hAnsi="宋体"/>
          <w:color w:val="auto"/>
          <w:sz w:val="21"/>
          <w:szCs w:val="21"/>
        </w:rPr>
        <w:t>3.</w:t>
      </w:r>
      <w:r>
        <w:rPr>
          <w:rFonts w:hAnsi="宋体"/>
          <w:color w:val="auto"/>
          <w:sz w:val="21"/>
          <w:szCs w:val="21"/>
        </w:rPr>
        <w:t>投标人在投标活动中提供任何虚假材料,其投标无效，并报</w:t>
      </w:r>
      <w:r>
        <w:rPr>
          <w:rFonts w:hint="eastAsia" w:hAnsi="宋体"/>
          <w:color w:val="auto"/>
          <w:sz w:val="21"/>
          <w:szCs w:val="21"/>
        </w:rPr>
        <w:t>政府采购活动监督管理部门及投诉受理部门</w:t>
      </w:r>
      <w:r>
        <w:rPr>
          <w:rFonts w:hAnsi="宋体"/>
          <w:color w:val="auto"/>
          <w:sz w:val="21"/>
          <w:szCs w:val="21"/>
        </w:rPr>
        <w:t>查处</w:t>
      </w:r>
      <w:r>
        <w:rPr>
          <w:rFonts w:hint="eastAsia" w:hAnsi="宋体"/>
          <w:color w:val="auto"/>
          <w:sz w:val="21"/>
          <w:szCs w:val="21"/>
        </w:rPr>
        <w:t>。</w:t>
      </w:r>
      <w:r>
        <w:rPr>
          <w:rFonts w:hAnsi="宋体"/>
          <w:color w:val="auto"/>
          <w:sz w:val="21"/>
          <w:szCs w:val="21"/>
        </w:rPr>
        <w:t>中标后发现的,中标人须依照</w:t>
      </w:r>
      <w:r>
        <w:rPr>
          <w:rFonts w:hint="eastAsia" w:hAnsi="宋体"/>
          <w:color w:val="auto"/>
          <w:sz w:val="21"/>
          <w:szCs w:val="21"/>
        </w:rPr>
        <w:t>相关法律、法规规定</w:t>
      </w:r>
      <w:r>
        <w:rPr>
          <w:rFonts w:hAnsi="宋体"/>
          <w:color w:val="auto"/>
          <w:sz w:val="21"/>
          <w:szCs w:val="21"/>
        </w:rPr>
        <w:t>赔偿采购人，且民事赔偿并不免除违法供应商的行政与刑事责任。</w:t>
      </w:r>
    </w:p>
    <w:p>
      <w:pPr>
        <w:pStyle w:val="25"/>
        <w:snapToGrid w:val="0"/>
        <w:spacing w:before="120" w:after="120" w:line="360" w:lineRule="auto"/>
        <w:ind w:left="2" w:leftChars="1"/>
        <w:rPr>
          <w:rFonts w:hint="eastAsia" w:hAnsi="宋体"/>
          <w:color w:val="auto"/>
          <w:sz w:val="21"/>
          <w:szCs w:val="21"/>
        </w:rPr>
      </w:pPr>
      <w:r>
        <w:rPr>
          <w:rFonts w:hint="eastAsia" w:hAnsi="宋体"/>
          <w:color w:val="auto"/>
          <w:sz w:val="21"/>
          <w:szCs w:val="21"/>
        </w:rPr>
        <w:t>4.</w:t>
      </w:r>
      <w:r>
        <w:rPr>
          <w:rFonts w:hint="eastAsia"/>
          <w:color w:val="auto"/>
        </w:rPr>
        <w:t xml:space="preserve"> </w:t>
      </w:r>
      <w:r>
        <w:rPr>
          <w:rFonts w:hint="eastAsia" w:hAnsi="宋体"/>
          <w:color w:val="auto"/>
          <w:sz w:val="21"/>
          <w:szCs w:val="21"/>
        </w:rPr>
        <w:t>投标人不得以他人名义投标或者以其他方式弄虚作假。使用通过受让或者租借等方式获取的资格、资质证书投标的，属于以他人名义投标。投标人有下列情形之一的，属于以其他方式弄虚作假的行为：（一）使用伪造、变造的许可证件；（二）提供虚假的财务状况或者业绩；（三）提供虚假的人员简历、劳动关系证明；（四）提供虚假的信用状况；（五）其他弄虚作假的行为。如在本项目采购活动中发现上述情形的相关投标均无效，如在本项目监督检查过程中发现上述违法、违规情形的，相关部门将进行处罚，投标人承担一切后果。</w:t>
      </w:r>
    </w:p>
    <w:p>
      <w:pPr>
        <w:pStyle w:val="13"/>
        <w:widowControl w:val="0"/>
        <w:numPr>
          <w:ilvl w:val="0"/>
          <w:numId w:val="0"/>
        </w:numPr>
        <w:tabs>
          <w:tab w:val="clear" w:pos="454"/>
        </w:tabs>
        <w:snapToGrid w:val="0"/>
        <w:spacing w:before="120" w:beforeLines="50" w:after="0" w:afterLines="0" w:line="360" w:lineRule="auto"/>
        <w:ind w:left="280"/>
        <w:rPr>
          <w:rFonts w:ascii="宋体" w:hAnsi="宋体"/>
          <w:b/>
          <w:color w:val="auto"/>
          <w:sz w:val="21"/>
          <w:szCs w:val="21"/>
        </w:rPr>
      </w:pPr>
      <w:r>
        <w:rPr>
          <w:rFonts w:hint="eastAsia" w:ascii="宋体" w:hAnsi="宋体"/>
          <w:b/>
          <w:color w:val="auto"/>
          <w:sz w:val="21"/>
          <w:szCs w:val="21"/>
        </w:rPr>
        <w:t>（二）</w:t>
      </w:r>
      <w:r>
        <w:rPr>
          <w:rFonts w:ascii="宋体" w:hAnsi="宋体"/>
          <w:b/>
          <w:color w:val="auto"/>
          <w:sz w:val="21"/>
          <w:szCs w:val="21"/>
        </w:rPr>
        <w:t xml:space="preserve"> 适用范围</w:t>
      </w:r>
    </w:p>
    <w:p>
      <w:pPr>
        <w:pStyle w:val="25"/>
        <w:snapToGrid w:val="0"/>
        <w:spacing w:before="0" w:beforeLines="0" w:after="0" w:afterLines="0" w:line="360" w:lineRule="auto"/>
        <w:ind w:firstLine="420" w:firstLineChars="200"/>
        <w:rPr>
          <w:rFonts w:hAnsi="宋体"/>
          <w:color w:val="auto"/>
          <w:sz w:val="21"/>
          <w:szCs w:val="21"/>
        </w:rPr>
      </w:pPr>
      <w:r>
        <w:rPr>
          <w:rFonts w:hint="eastAsia" w:hAnsi="宋体"/>
          <w:color w:val="auto"/>
          <w:sz w:val="21"/>
          <w:szCs w:val="21"/>
        </w:rPr>
        <w:t>本采购文件适用于邱隘镇校园安全防控指挥中心设备采购及安装项目的招标、投标、资格审查、评标、定标、验收、合同履约、付款等行为（法律、法规另有规定的，从其规定）。</w:t>
      </w:r>
    </w:p>
    <w:p>
      <w:pPr>
        <w:pStyle w:val="13"/>
        <w:widowControl w:val="0"/>
        <w:numPr>
          <w:ilvl w:val="0"/>
          <w:numId w:val="0"/>
        </w:numPr>
        <w:tabs>
          <w:tab w:val="clear" w:pos="454"/>
        </w:tabs>
        <w:snapToGrid w:val="0"/>
        <w:spacing w:before="120" w:beforeLines="50" w:after="0" w:afterLines="0" w:line="360" w:lineRule="auto"/>
        <w:ind w:left="280"/>
        <w:rPr>
          <w:rFonts w:ascii="宋体" w:hAnsi="宋体"/>
          <w:b/>
          <w:color w:val="auto"/>
          <w:sz w:val="21"/>
          <w:szCs w:val="21"/>
        </w:rPr>
      </w:pPr>
      <w:r>
        <w:rPr>
          <w:rFonts w:hint="eastAsia" w:ascii="宋体" w:hAnsi="宋体"/>
          <w:b/>
          <w:color w:val="auto"/>
          <w:sz w:val="21"/>
          <w:szCs w:val="21"/>
        </w:rPr>
        <w:t>（三）定义</w:t>
      </w:r>
    </w:p>
    <w:p>
      <w:pPr>
        <w:pStyle w:val="25"/>
        <w:snapToGrid w:val="0"/>
        <w:spacing w:before="0" w:beforeLines="0" w:after="0" w:afterLines="0" w:line="360" w:lineRule="auto"/>
        <w:rPr>
          <w:rFonts w:hint="eastAsia" w:hAnsi="宋体"/>
          <w:color w:val="auto"/>
          <w:szCs w:val="21"/>
        </w:rPr>
      </w:pPr>
      <w:r>
        <w:rPr>
          <w:rFonts w:hAnsi="宋体"/>
          <w:color w:val="auto"/>
          <w:sz w:val="21"/>
          <w:szCs w:val="21"/>
        </w:rPr>
        <w:t>1</w:t>
      </w:r>
      <w:r>
        <w:rPr>
          <w:rFonts w:hint="eastAsia" w:hAnsi="宋体"/>
          <w:color w:val="auto"/>
          <w:sz w:val="21"/>
          <w:szCs w:val="21"/>
        </w:rPr>
        <w:t>.</w:t>
      </w:r>
      <w:r>
        <w:rPr>
          <w:rFonts w:hAnsi="宋体"/>
          <w:color w:val="auto"/>
          <w:szCs w:val="21"/>
        </w:rPr>
        <w:t xml:space="preserve"> </w:t>
      </w:r>
      <w:r>
        <w:rPr>
          <w:rFonts w:hAnsi="宋体"/>
          <w:color w:val="auto"/>
          <w:sz w:val="21"/>
          <w:szCs w:val="21"/>
        </w:rPr>
        <w:t>采购</w:t>
      </w:r>
      <w:r>
        <w:rPr>
          <w:rFonts w:hint="eastAsia" w:hAnsi="宋体"/>
          <w:color w:val="auto"/>
          <w:sz w:val="21"/>
          <w:szCs w:val="21"/>
        </w:rPr>
        <w:t>人、</w:t>
      </w:r>
      <w:r>
        <w:rPr>
          <w:rFonts w:hAnsi="宋体"/>
          <w:color w:val="auto"/>
          <w:sz w:val="21"/>
          <w:szCs w:val="21"/>
        </w:rPr>
        <w:t>代理机构组织本</w:t>
      </w:r>
      <w:r>
        <w:rPr>
          <w:rFonts w:hint="eastAsia" w:hAnsi="宋体"/>
          <w:color w:val="auto"/>
          <w:sz w:val="21"/>
          <w:szCs w:val="21"/>
        </w:rPr>
        <w:t>项目采购活动</w:t>
      </w:r>
      <w:r>
        <w:rPr>
          <w:rFonts w:hAnsi="宋体"/>
          <w:color w:val="auto"/>
          <w:sz w:val="21"/>
          <w:szCs w:val="21"/>
        </w:rPr>
        <w:t>。</w:t>
      </w:r>
    </w:p>
    <w:p>
      <w:pPr>
        <w:pStyle w:val="25"/>
        <w:snapToGrid w:val="0"/>
        <w:spacing w:before="0" w:beforeLines="0" w:after="0" w:afterLines="0" w:line="360" w:lineRule="auto"/>
        <w:rPr>
          <w:rFonts w:hint="eastAsia" w:hAnsi="宋体"/>
          <w:color w:val="auto"/>
          <w:sz w:val="21"/>
          <w:szCs w:val="21"/>
          <w:lang w:eastAsia="zh-CN"/>
        </w:rPr>
      </w:pPr>
      <w:r>
        <w:rPr>
          <w:rFonts w:hAnsi="宋体"/>
          <w:color w:val="auto"/>
          <w:sz w:val="21"/>
          <w:szCs w:val="21"/>
        </w:rPr>
        <w:t>2</w:t>
      </w:r>
      <w:r>
        <w:rPr>
          <w:rFonts w:hint="eastAsia" w:hAnsi="宋体"/>
          <w:color w:val="auto"/>
          <w:sz w:val="21"/>
          <w:szCs w:val="21"/>
        </w:rPr>
        <w:t>.“</w:t>
      </w:r>
      <w:r>
        <w:rPr>
          <w:rFonts w:hAnsi="宋体"/>
          <w:color w:val="auto"/>
          <w:sz w:val="21"/>
          <w:szCs w:val="21"/>
        </w:rPr>
        <w:t>投标人”系指</w:t>
      </w:r>
      <w:r>
        <w:rPr>
          <w:rFonts w:hint="eastAsia" w:hAnsi="宋体"/>
          <w:color w:val="auto"/>
          <w:sz w:val="21"/>
          <w:szCs w:val="21"/>
        </w:rPr>
        <w:t>响应招标、参加投标竞争的法人、其他组织或者自然人</w:t>
      </w:r>
      <w:r>
        <w:rPr>
          <w:rFonts w:hAnsi="宋体"/>
          <w:color w:val="auto"/>
          <w:sz w:val="21"/>
          <w:szCs w:val="21"/>
        </w:rPr>
        <w:t>。</w:t>
      </w:r>
    </w:p>
    <w:p>
      <w:pPr>
        <w:pStyle w:val="25"/>
        <w:snapToGrid w:val="0"/>
        <w:spacing w:before="0" w:beforeLines="0" w:after="0" w:afterLines="0" w:line="360" w:lineRule="auto"/>
        <w:rPr>
          <w:rFonts w:hint="eastAsia" w:hAnsi="宋体"/>
          <w:color w:val="auto"/>
          <w:sz w:val="21"/>
          <w:szCs w:val="21"/>
        </w:rPr>
      </w:pPr>
      <w:r>
        <w:rPr>
          <w:rFonts w:hint="eastAsia" w:hAnsi="宋体"/>
          <w:color w:val="auto"/>
          <w:sz w:val="21"/>
          <w:szCs w:val="21"/>
        </w:rPr>
        <w:t>3.</w:t>
      </w:r>
      <w:r>
        <w:rPr>
          <w:rFonts w:hAnsi="宋体"/>
          <w:color w:val="auto"/>
          <w:sz w:val="21"/>
          <w:szCs w:val="21"/>
        </w:rPr>
        <w:t>“产品”系指</w:t>
      </w:r>
      <w:r>
        <w:rPr>
          <w:rFonts w:hint="eastAsia" w:hAnsi="宋体"/>
          <w:color w:val="auto"/>
          <w:sz w:val="21"/>
          <w:szCs w:val="21"/>
        </w:rPr>
        <w:t>投标</w:t>
      </w:r>
      <w:r>
        <w:rPr>
          <w:rFonts w:hAnsi="宋体"/>
          <w:color w:val="auto"/>
          <w:sz w:val="21"/>
          <w:szCs w:val="21"/>
        </w:rPr>
        <w:t>人向采购人提供的</w:t>
      </w:r>
      <w:r>
        <w:rPr>
          <w:rFonts w:hint="eastAsia" w:hAnsi="宋体"/>
          <w:color w:val="auto"/>
          <w:sz w:val="21"/>
          <w:szCs w:val="21"/>
        </w:rPr>
        <w:t>本项目要求的</w:t>
      </w:r>
      <w:r>
        <w:rPr>
          <w:rFonts w:hAnsi="宋体"/>
          <w:color w:val="auto"/>
          <w:sz w:val="21"/>
          <w:szCs w:val="21"/>
        </w:rPr>
        <w:t>设备、</w:t>
      </w:r>
      <w:r>
        <w:rPr>
          <w:rFonts w:hint="eastAsia" w:hAnsi="宋体"/>
          <w:color w:val="auto"/>
          <w:sz w:val="21"/>
          <w:szCs w:val="21"/>
        </w:rPr>
        <w:t>软件、</w:t>
      </w:r>
      <w:r>
        <w:rPr>
          <w:rFonts w:hAnsi="宋体"/>
          <w:color w:val="auto"/>
          <w:sz w:val="21"/>
          <w:szCs w:val="21"/>
        </w:rPr>
        <w:t>保险、税金、</w:t>
      </w:r>
      <w:r>
        <w:rPr>
          <w:rFonts w:hint="eastAsia" w:hAnsi="宋体"/>
          <w:color w:val="auto"/>
          <w:sz w:val="21"/>
          <w:szCs w:val="21"/>
        </w:rPr>
        <w:t>质保期内</w:t>
      </w:r>
      <w:r>
        <w:rPr>
          <w:rFonts w:hAnsi="宋体"/>
          <w:color w:val="auto"/>
          <w:sz w:val="21"/>
          <w:szCs w:val="21"/>
        </w:rPr>
        <w:t>备品备件、工具、手册</w:t>
      </w:r>
      <w:r>
        <w:rPr>
          <w:rFonts w:hint="eastAsia" w:hAnsi="宋体"/>
          <w:color w:val="auto"/>
          <w:sz w:val="21"/>
          <w:szCs w:val="21"/>
        </w:rPr>
        <w:t>、</w:t>
      </w:r>
      <w:r>
        <w:rPr>
          <w:rFonts w:hAnsi="宋体"/>
          <w:color w:val="auto"/>
          <w:sz w:val="21"/>
          <w:szCs w:val="21"/>
        </w:rPr>
        <w:t>有关技术资料。</w:t>
      </w:r>
    </w:p>
    <w:p>
      <w:pPr>
        <w:snapToGrid w:val="0"/>
        <w:spacing w:line="360" w:lineRule="auto"/>
        <w:jc w:val="left"/>
        <w:rPr>
          <w:rFonts w:hint="eastAsia" w:ascii="宋体" w:hAnsi="宋体"/>
          <w:color w:val="auto"/>
          <w:szCs w:val="21"/>
        </w:rPr>
      </w:pPr>
      <w:r>
        <w:rPr>
          <w:rFonts w:hint="eastAsia" w:hAnsi="宋体"/>
          <w:color w:val="auto"/>
          <w:szCs w:val="21"/>
        </w:rPr>
        <w:t>4.</w:t>
      </w:r>
      <w:r>
        <w:rPr>
          <w:rFonts w:ascii="宋体" w:hAnsi="宋体"/>
          <w:color w:val="auto"/>
          <w:szCs w:val="21"/>
        </w:rPr>
        <w:t xml:space="preserve"> “服务”系指</w:t>
      </w:r>
      <w:r>
        <w:rPr>
          <w:rFonts w:hint="eastAsia" w:ascii="宋体" w:hAnsi="宋体"/>
          <w:color w:val="auto"/>
          <w:szCs w:val="21"/>
        </w:rPr>
        <w:t>本项目</w:t>
      </w:r>
      <w:r>
        <w:rPr>
          <w:rFonts w:ascii="宋体" w:hAnsi="宋体"/>
          <w:color w:val="auto"/>
          <w:szCs w:val="21"/>
        </w:rPr>
        <w:t>规定</w:t>
      </w:r>
      <w:r>
        <w:rPr>
          <w:rFonts w:hint="eastAsia" w:ascii="宋体" w:hAnsi="宋体"/>
          <w:color w:val="auto"/>
          <w:szCs w:val="21"/>
        </w:rPr>
        <w:t>的</w:t>
      </w:r>
      <w:r>
        <w:rPr>
          <w:rFonts w:ascii="宋体" w:hAnsi="宋体"/>
          <w:color w:val="auto"/>
          <w:szCs w:val="21"/>
        </w:rPr>
        <w:t>投标人须承担的安装、调试、技术</w:t>
      </w:r>
      <w:r>
        <w:rPr>
          <w:rFonts w:hint="eastAsia" w:ascii="宋体" w:hAnsi="宋体"/>
          <w:color w:val="auto"/>
          <w:szCs w:val="21"/>
        </w:rPr>
        <w:t>服务</w:t>
      </w:r>
      <w:r>
        <w:rPr>
          <w:rFonts w:ascii="宋体" w:hAnsi="宋体"/>
          <w:color w:val="auto"/>
          <w:szCs w:val="21"/>
        </w:rPr>
        <w:t>、校准</w:t>
      </w:r>
      <w:r>
        <w:rPr>
          <w:rFonts w:hint="eastAsia" w:ascii="宋体" w:hAnsi="宋体"/>
          <w:color w:val="auto"/>
          <w:szCs w:val="21"/>
        </w:rPr>
        <w:t>、验收、培训、质保期内维保</w:t>
      </w:r>
      <w:r>
        <w:rPr>
          <w:rFonts w:ascii="宋体" w:hAnsi="宋体"/>
          <w:color w:val="auto"/>
          <w:szCs w:val="21"/>
        </w:rPr>
        <w:t>以及其他</w:t>
      </w:r>
      <w:r>
        <w:rPr>
          <w:rFonts w:hint="eastAsia" w:ascii="宋体" w:hAnsi="宋体"/>
          <w:color w:val="auto"/>
          <w:szCs w:val="21"/>
        </w:rPr>
        <w:t>服务</w:t>
      </w:r>
      <w:r>
        <w:rPr>
          <w:rFonts w:ascii="宋体" w:hAnsi="宋体"/>
          <w:color w:val="auto"/>
          <w:szCs w:val="21"/>
        </w:rPr>
        <w:t>。</w:t>
      </w:r>
    </w:p>
    <w:p>
      <w:pPr>
        <w:pStyle w:val="25"/>
        <w:snapToGrid w:val="0"/>
        <w:spacing w:before="0" w:beforeLines="0" w:after="0" w:afterLines="0" w:line="360" w:lineRule="auto"/>
        <w:rPr>
          <w:rFonts w:hAnsi="宋体"/>
          <w:color w:val="auto"/>
          <w:sz w:val="21"/>
          <w:szCs w:val="21"/>
        </w:rPr>
      </w:pPr>
      <w:r>
        <w:rPr>
          <w:rFonts w:hint="eastAsia" w:hAnsi="宋体"/>
          <w:color w:val="auto"/>
          <w:sz w:val="21"/>
          <w:szCs w:val="21"/>
        </w:rPr>
        <w:t>5.</w:t>
      </w:r>
      <w:r>
        <w:rPr>
          <w:rFonts w:hAnsi="宋体"/>
          <w:color w:val="auto"/>
          <w:sz w:val="21"/>
          <w:szCs w:val="21"/>
        </w:rPr>
        <w:t>“项目”系指</w:t>
      </w:r>
      <w:r>
        <w:rPr>
          <w:rFonts w:hint="eastAsia" w:hAnsi="宋体"/>
          <w:color w:val="auto"/>
          <w:sz w:val="21"/>
          <w:szCs w:val="21"/>
        </w:rPr>
        <w:t>邱隘镇校园安全防控指挥中心设备采购及安装项目</w:t>
      </w:r>
      <w:r>
        <w:rPr>
          <w:rFonts w:hAnsi="宋体"/>
          <w:color w:val="auto"/>
          <w:sz w:val="21"/>
          <w:szCs w:val="21"/>
        </w:rPr>
        <w:t>。</w:t>
      </w:r>
    </w:p>
    <w:p>
      <w:pPr>
        <w:pStyle w:val="25"/>
        <w:snapToGrid w:val="0"/>
        <w:spacing w:before="0" w:beforeLines="0" w:after="0" w:afterLines="0" w:line="360" w:lineRule="auto"/>
        <w:rPr>
          <w:rFonts w:hAnsi="宋体"/>
          <w:color w:val="auto"/>
          <w:sz w:val="21"/>
          <w:szCs w:val="21"/>
        </w:rPr>
      </w:pPr>
      <w:r>
        <w:rPr>
          <w:rFonts w:hint="eastAsia" w:hAnsi="宋体"/>
          <w:color w:val="auto"/>
          <w:sz w:val="21"/>
          <w:szCs w:val="21"/>
        </w:rPr>
        <w:t>6</w:t>
      </w:r>
      <w:r>
        <w:rPr>
          <w:rFonts w:hAnsi="宋体"/>
          <w:color w:val="auto"/>
          <w:sz w:val="21"/>
          <w:szCs w:val="21"/>
        </w:rPr>
        <w:t>.“书面形式”包括信函。</w:t>
      </w:r>
    </w:p>
    <w:p>
      <w:pPr>
        <w:pStyle w:val="25"/>
        <w:snapToGrid w:val="0"/>
        <w:spacing w:before="0" w:beforeLines="0" w:after="0" w:afterLines="0" w:line="360" w:lineRule="auto"/>
        <w:rPr>
          <w:rFonts w:hint="eastAsia" w:hAnsi="宋体"/>
          <w:color w:val="auto"/>
          <w:sz w:val="21"/>
          <w:szCs w:val="21"/>
        </w:rPr>
      </w:pPr>
      <w:r>
        <w:rPr>
          <w:rFonts w:hint="eastAsia" w:hAnsi="宋体"/>
          <w:color w:val="auto"/>
          <w:sz w:val="21"/>
          <w:szCs w:val="21"/>
        </w:rPr>
        <w:t>7. 打</w:t>
      </w:r>
      <w:r>
        <w:rPr>
          <w:rFonts w:hAnsi="宋体"/>
          <w:color w:val="auto"/>
          <w:sz w:val="21"/>
          <w:szCs w:val="21"/>
        </w:rPr>
        <w:t>“</w:t>
      </w:r>
      <w:r>
        <w:rPr>
          <w:rFonts w:hAnsi="宋体"/>
          <w:color w:val="auto"/>
          <w:szCs w:val="21"/>
        </w:rPr>
        <w:t>▲</w:t>
      </w:r>
      <w:r>
        <w:rPr>
          <w:rFonts w:hAnsi="宋体"/>
          <w:color w:val="auto"/>
          <w:sz w:val="21"/>
          <w:szCs w:val="21"/>
        </w:rPr>
        <w:t>”</w:t>
      </w:r>
      <w:r>
        <w:rPr>
          <w:rFonts w:hint="eastAsia" w:hAnsi="宋体"/>
          <w:color w:val="auto"/>
          <w:sz w:val="21"/>
          <w:szCs w:val="21"/>
        </w:rPr>
        <w:t>内容为</w:t>
      </w:r>
      <w:r>
        <w:rPr>
          <w:rFonts w:hint="eastAsia"/>
          <w:color w:val="auto"/>
          <w:sz w:val="21"/>
          <w:szCs w:val="21"/>
        </w:rPr>
        <w:t>采购文件的实质性内容</w:t>
      </w:r>
      <w:r>
        <w:rPr>
          <w:rFonts w:hAnsi="宋体"/>
          <w:color w:val="auto"/>
          <w:sz w:val="21"/>
          <w:szCs w:val="21"/>
        </w:rPr>
        <w:t>。</w:t>
      </w:r>
    </w:p>
    <w:p>
      <w:pPr>
        <w:pStyle w:val="13"/>
        <w:widowControl w:val="0"/>
        <w:numPr>
          <w:ilvl w:val="0"/>
          <w:numId w:val="0"/>
        </w:numPr>
        <w:tabs>
          <w:tab w:val="clear" w:pos="454"/>
        </w:tabs>
        <w:snapToGrid w:val="0"/>
        <w:spacing w:before="120" w:beforeLines="50" w:after="0" w:afterLines="0" w:line="360" w:lineRule="auto"/>
        <w:ind w:left="280"/>
        <w:rPr>
          <w:rFonts w:ascii="宋体" w:hAnsi="宋体"/>
          <w:b/>
          <w:color w:val="auto"/>
          <w:sz w:val="21"/>
          <w:szCs w:val="21"/>
        </w:rPr>
      </w:pPr>
      <w:r>
        <w:rPr>
          <w:rFonts w:hint="eastAsia" w:ascii="宋体" w:hAnsi="宋体"/>
          <w:b/>
          <w:color w:val="auto"/>
          <w:sz w:val="21"/>
          <w:szCs w:val="21"/>
        </w:rPr>
        <w:t>（四）招标方式</w:t>
      </w:r>
    </w:p>
    <w:p>
      <w:pPr>
        <w:pStyle w:val="25"/>
        <w:snapToGrid w:val="0"/>
        <w:spacing w:before="0" w:beforeLines="0" w:after="0" w:afterLines="0" w:line="360" w:lineRule="auto"/>
        <w:ind w:firstLine="315" w:firstLineChars="150"/>
        <w:rPr>
          <w:rFonts w:hAnsi="宋体"/>
          <w:color w:val="auto"/>
          <w:sz w:val="21"/>
          <w:szCs w:val="21"/>
        </w:rPr>
      </w:pPr>
      <w:r>
        <w:rPr>
          <w:rFonts w:hAnsi="宋体"/>
          <w:color w:val="auto"/>
          <w:sz w:val="21"/>
          <w:szCs w:val="21"/>
        </w:rPr>
        <w:t>本次</w:t>
      </w:r>
      <w:r>
        <w:rPr>
          <w:rFonts w:hint="eastAsia" w:hAnsi="宋体"/>
          <w:color w:val="auto"/>
          <w:sz w:val="21"/>
          <w:szCs w:val="21"/>
        </w:rPr>
        <w:t>招标</w:t>
      </w:r>
      <w:r>
        <w:rPr>
          <w:rFonts w:hAnsi="宋体"/>
          <w:color w:val="auto"/>
          <w:sz w:val="21"/>
          <w:szCs w:val="21"/>
        </w:rPr>
        <w:t>采用公开招标方式进行。</w:t>
      </w:r>
    </w:p>
    <w:p>
      <w:pPr>
        <w:pStyle w:val="13"/>
        <w:widowControl w:val="0"/>
        <w:numPr>
          <w:ilvl w:val="0"/>
          <w:numId w:val="0"/>
        </w:numPr>
        <w:tabs>
          <w:tab w:val="clear" w:pos="454"/>
        </w:tabs>
        <w:snapToGrid w:val="0"/>
        <w:spacing w:before="120" w:beforeLines="50" w:after="0" w:afterLines="0" w:line="360" w:lineRule="auto"/>
        <w:ind w:left="280"/>
        <w:rPr>
          <w:rFonts w:ascii="宋体" w:hAnsi="宋体"/>
          <w:b/>
          <w:color w:val="auto"/>
          <w:sz w:val="21"/>
          <w:szCs w:val="21"/>
        </w:rPr>
      </w:pPr>
      <w:r>
        <w:rPr>
          <w:rFonts w:hint="eastAsia" w:ascii="宋体" w:hAnsi="宋体"/>
          <w:b/>
          <w:color w:val="auto"/>
          <w:sz w:val="21"/>
          <w:szCs w:val="21"/>
        </w:rPr>
        <w:t>（五）投标委托</w:t>
      </w:r>
    </w:p>
    <w:p>
      <w:pPr>
        <w:pStyle w:val="25"/>
        <w:snapToGrid w:val="0"/>
        <w:spacing w:before="0" w:beforeLines="0" w:after="0" w:afterLines="0" w:line="360" w:lineRule="auto"/>
        <w:ind w:firstLine="420" w:firstLineChars="200"/>
        <w:rPr>
          <w:rFonts w:hint="eastAsia" w:hAnsi="宋体"/>
          <w:color w:val="auto"/>
          <w:sz w:val="21"/>
          <w:szCs w:val="21"/>
        </w:rPr>
      </w:pPr>
      <w:r>
        <w:rPr>
          <w:rFonts w:hint="eastAsia" w:hAnsi="宋体"/>
          <w:color w:val="auto"/>
          <w:sz w:val="21"/>
          <w:szCs w:val="21"/>
        </w:rPr>
        <w:t>投标人代表须为投标人法定代表人或本单位的法定代表人授权代表。提交投标文件时，</w:t>
      </w:r>
      <w:r>
        <w:rPr>
          <w:rFonts w:hAnsi="宋体"/>
          <w:color w:val="auto"/>
          <w:sz w:val="21"/>
          <w:szCs w:val="21"/>
        </w:rPr>
        <w:t>投标人代表须携带身份证</w:t>
      </w:r>
      <w:r>
        <w:rPr>
          <w:rFonts w:hint="eastAsia" w:hAnsi="宋体"/>
          <w:color w:val="auto"/>
          <w:sz w:val="21"/>
          <w:szCs w:val="21"/>
        </w:rPr>
        <w:t>明原件供查验，如为法定代表人授权代表参加投标的还须携带</w:t>
      </w:r>
      <w:r>
        <w:rPr>
          <w:rFonts w:hAnsi="宋体"/>
          <w:color w:val="auto"/>
          <w:sz w:val="21"/>
          <w:szCs w:val="21"/>
        </w:rPr>
        <w:t>法定代表人出具的授权委托书</w:t>
      </w:r>
      <w:r>
        <w:rPr>
          <w:rFonts w:hint="eastAsia" w:hAnsi="宋体"/>
          <w:color w:val="auto"/>
          <w:sz w:val="21"/>
          <w:szCs w:val="21"/>
        </w:rPr>
        <w:t>及法定代表人授权代表近一个月社保证明供查验。提交投标文件时，未能出具上述资料的，投标文件将被拒收。</w:t>
      </w:r>
    </w:p>
    <w:p>
      <w:pPr>
        <w:pStyle w:val="13"/>
        <w:widowControl w:val="0"/>
        <w:numPr>
          <w:ilvl w:val="0"/>
          <w:numId w:val="0"/>
        </w:numPr>
        <w:tabs>
          <w:tab w:val="clear" w:pos="454"/>
        </w:tabs>
        <w:snapToGrid w:val="0"/>
        <w:spacing w:before="120" w:beforeLines="50" w:after="0" w:afterLines="0" w:line="360" w:lineRule="auto"/>
        <w:ind w:left="280"/>
        <w:rPr>
          <w:rFonts w:ascii="宋体" w:hAnsi="宋体"/>
          <w:b/>
          <w:color w:val="auto"/>
          <w:sz w:val="21"/>
          <w:szCs w:val="21"/>
        </w:rPr>
      </w:pPr>
      <w:r>
        <w:rPr>
          <w:rFonts w:hint="eastAsia" w:ascii="宋体" w:hAnsi="宋体"/>
          <w:b/>
          <w:color w:val="auto"/>
          <w:sz w:val="21"/>
          <w:szCs w:val="21"/>
        </w:rPr>
        <w:t>（六）投标费用</w:t>
      </w:r>
    </w:p>
    <w:p>
      <w:pPr>
        <w:pStyle w:val="25"/>
        <w:snapToGrid w:val="0"/>
        <w:spacing w:before="0" w:beforeLines="0" w:after="0" w:afterLines="0" w:line="360" w:lineRule="auto"/>
        <w:ind w:firstLine="420" w:firstLineChars="200"/>
        <w:rPr>
          <w:rFonts w:hAnsi="宋体"/>
          <w:color w:val="auto"/>
          <w:sz w:val="21"/>
          <w:szCs w:val="21"/>
        </w:rPr>
      </w:pPr>
      <w:r>
        <w:rPr>
          <w:rFonts w:hint="eastAsia" w:hAnsi="宋体"/>
          <w:color w:val="auto"/>
          <w:sz w:val="21"/>
          <w:szCs w:val="21"/>
        </w:rPr>
        <w:t>不论投标结果如何，投标人均应自行承担所有与投标有关的全部费用。</w:t>
      </w:r>
    </w:p>
    <w:p>
      <w:pPr>
        <w:pStyle w:val="13"/>
        <w:widowControl w:val="0"/>
        <w:numPr>
          <w:ilvl w:val="0"/>
          <w:numId w:val="0"/>
        </w:numPr>
        <w:tabs>
          <w:tab w:val="clear" w:pos="454"/>
        </w:tabs>
        <w:snapToGrid w:val="0"/>
        <w:spacing w:before="120" w:beforeLines="50" w:after="0" w:afterLines="0" w:line="360" w:lineRule="auto"/>
        <w:ind w:left="280"/>
        <w:rPr>
          <w:rFonts w:ascii="宋体" w:hAnsi="宋体"/>
          <w:b/>
          <w:color w:val="auto"/>
          <w:sz w:val="21"/>
          <w:szCs w:val="21"/>
        </w:rPr>
      </w:pPr>
      <w:r>
        <w:rPr>
          <w:rFonts w:hint="eastAsia" w:ascii="宋体" w:hAnsi="宋体"/>
          <w:b/>
          <w:color w:val="auto"/>
          <w:sz w:val="21"/>
          <w:szCs w:val="21"/>
        </w:rPr>
        <w:t>（七）联合体投标</w:t>
      </w:r>
    </w:p>
    <w:p>
      <w:pPr>
        <w:pStyle w:val="25"/>
        <w:snapToGrid w:val="0"/>
        <w:spacing w:before="0" w:beforeLines="0" w:after="0" w:afterLines="0" w:line="360" w:lineRule="auto"/>
        <w:rPr>
          <w:rFonts w:hint="eastAsia" w:hAnsi="宋体"/>
          <w:color w:val="auto"/>
          <w:sz w:val="21"/>
          <w:szCs w:val="21"/>
        </w:rPr>
      </w:pPr>
      <w:r>
        <w:rPr>
          <w:rFonts w:hint="eastAsia" w:hAnsi="宋体"/>
          <w:color w:val="auto"/>
          <w:sz w:val="21"/>
          <w:szCs w:val="21"/>
        </w:rPr>
        <w:t>1.本项目不接受联合体投标。</w:t>
      </w:r>
    </w:p>
    <w:p>
      <w:pPr>
        <w:pStyle w:val="13"/>
        <w:widowControl w:val="0"/>
        <w:numPr>
          <w:ilvl w:val="0"/>
          <w:numId w:val="0"/>
        </w:numPr>
        <w:tabs>
          <w:tab w:val="clear" w:pos="454"/>
        </w:tabs>
        <w:snapToGrid w:val="0"/>
        <w:spacing w:before="120" w:beforeLines="50" w:after="0" w:afterLines="0" w:line="360" w:lineRule="auto"/>
        <w:ind w:left="280"/>
        <w:rPr>
          <w:rFonts w:ascii="宋体" w:hAnsi="宋体"/>
          <w:b/>
          <w:color w:val="auto"/>
          <w:sz w:val="21"/>
          <w:szCs w:val="21"/>
        </w:rPr>
      </w:pPr>
      <w:r>
        <w:rPr>
          <w:rFonts w:hint="eastAsia" w:ascii="宋体" w:hAnsi="宋体"/>
          <w:b/>
          <w:color w:val="auto"/>
          <w:sz w:val="21"/>
          <w:szCs w:val="21"/>
        </w:rPr>
        <w:t>（八）转包与分包</w:t>
      </w:r>
    </w:p>
    <w:p>
      <w:pPr>
        <w:snapToGrid w:val="0"/>
        <w:spacing w:line="360" w:lineRule="auto"/>
        <w:rPr>
          <w:rFonts w:hint="eastAsia" w:hAnsi="宋体"/>
          <w:color w:val="auto"/>
          <w:szCs w:val="21"/>
        </w:rPr>
      </w:pPr>
      <w:r>
        <w:rPr>
          <w:rFonts w:hAnsi="宋体"/>
          <w:color w:val="auto"/>
          <w:szCs w:val="21"/>
        </w:rPr>
        <w:t>▲</w:t>
      </w:r>
      <w:r>
        <w:rPr>
          <w:rFonts w:hint="eastAsia" w:ascii="宋体" w:hAnsi="宋体"/>
          <w:color w:val="auto"/>
          <w:szCs w:val="21"/>
        </w:rPr>
        <w:t>1.</w:t>
      </w:r>
      <w:r>
        <w:rPr>
          <w:rFonts w:ascii="宋体" w:hAnsi="宋体" w:cs="宋体"/>
          <w:color w:val="auto"/>
          <w:kern w:val="0"/>
          <w:szCs w:val="21"/>
        </w:rPr>
        <w:t>本项目不允许转包</w:t>
      </w:r>
      <w:r>
        <w:rPr>
          <w:rFonts w:hint="eastAsia" w:ascii="宋体" w:hAnsi="宋体" w:cs="宋体"/>
          <w:color w:val="auto"/>
          <w:kern w:val="0"/>
          <w:szCs w:val="21"/>
        </w:rPr>
        <w:t>，</w:t>
      </w:r>
      <w:r>
        <w:rPr>
          <w:rFonts w:hint="eastAsia" w:hAnsi="宋体"/>
          <w:color w:val="auto"/>
          <w:szCs w:val="21"/>
        </w:rPr>
        <w:t>不可以采取分包方式履行合同。</w:t>
      </w:r>
      <w:r>
        <w:rPr>
          <w:rFonts w:hint="eastAsia"/>
          <w:color w:val="auto"/>
        </w:rPr>
        <w:t>如有转让和分包行为，</w:t>
      </w:r>
      <w:r>
        <w:rPr>
          <w:color w:val="auto"/>
        </w:rPr>
        <w:t>甲</w:t>
      </w:r>
      <w:r>
        <w:rPr>
          <w:rFonts w:hint="eastAsia"/>
          <w:color w:val="auto"/>
        </w:rPr>
        <w:t>方有权解除合同，没收履约保证金并追究乙方的违约责任。</w:t>
      </w:r>
    </w:p>
    <w:p>
      <w:pPr>
        <w:pStyle w:val="13"/>
        <w:widowControl w:val="0"/>
        <w:numPr>
          <w:ilvl w:val="0"/>
          <w:numId w:val="0"/>
        </w:numPr>
        <w:tabs>
          <w:tab w:val="clear" w:pos="454"/>
        </w:tabs>
        <w:snapToGrid w:val="0"/>
        <w:spacing w:before="120" w:beforeLines="50" w:after="0" w:afterLines="0" w:line="360" w:lineRule="auto"/>
        <w:ind w:left="280"/>
        <w:rPr>
          <w:rFonts w:hint="eastAsia" w:ascii="宋体" w:hAnsi="宋体"/>
          <w:b/>
          <w:color w:val="auto"/>
          <w:sz w:val="21"/>
          <w:szCs w:val="21"/>
        </w:rPr>
      </w:pPr>
      <w:r>
        <w:rPr>
          <w:rFonts w:hint="eastAsia" w:ascii="宋体" w:hAnsi="宋体"/>
          <w:b/>
          <w:color w:val="auto"/>
          <w:sz w:val="21"/>
          <w:szCs w:val="21"/>
        </w:rPr>
        <w:t>（九）特别说明：</w:t>
      </w:r>
    </w:p>
    <w:p>
      <w:pPr>
        <w:pStyle w:val="25"/>
        <w:snapToGrid w:val="0"/>
        <w:spacing w:before="0" w:beforeLines="0" w:after="0" w:afterLines="0" w:line="360" w:lineRule="auto"/>
        <w:rPr>
          <w:rFonts w:hAnsi="宋体"/>
          <w:color w:val="auto"/>
          <w:sz w:val="21"/>
          <w:szCs w:val="21"/>
        </w:rPr>
      </w:pPr>
      <w:r>
        <w:rPr>
          <w:rFonts w:hint="eastAsia" w:hAnsi="宋体"/>
          <w:color w:val="auto"/>
          <w:sz w:val="21"/>
          <w:szCs w:val="21"/>
        </w:rPr>
        <w:t>1.</w:t>
      </w:r>
      <w:r>
        <w:rPr>
          <w:rFonts w:hAnsi="宋体"/>
          <w:color w:val="auto"/>
          <w:sz w:val="21"/>
          <w:szCs w:val="21"/>
        </w:rPr>
        <w:t>投标人投标所使用的</w:t>
      </w:r>
      <w:r>
        <w:rPr>
          <w:rFonts w:hint="eastAsia" w:hAnsi="宋体"/>
          <w:color w:val="auto"/>
          <w:sz w:val="21"/>
          <w:szCs w:val="21"/>
        </w:rPr>
        <w:t>投标人的</w:t>
      </w:r>
      <w:r>
        <w:rPr>
          <w:rFonts w:hAnsi="宋体"/>
          <w:color w:val="auto"/>
          <w:sz w:val="21"/>
          <w:szCs w:val="21"/>
        </w:rPr>
        <w:t>资格、信誉、荣誉、业绩与企业认证必须为本法人所拥有。</w:t>
      </w:r>
    </w:p>
    <w:p>
      <w:pPr>
        <w:pStyle w:val="25"/>
        <w:snapToGrid w:val="0"/>
        <w:spacing w:before="0" w:beforeLines="0" w:after="0" w:afterLines="0" w:line="360" w:lineRule="auto"/>
        <w:rPr>
          <w:rFonts w:hint="eastAsia" w:hAnsi="宋体"/>
          <w:color w:val="auto"/>
          <w:sz w:val="21"/>
          <w:szCs w:val="21"/>
          <w:lang w:eastAsia="zh-CN"/>
        </w:rPr>
      </w:pPr>
      <w:r>
        <w:rPr>
          <w:rFonts w:hint="eastAsia" w:hAnsi="宋体"/>
          <w:color w:val="auto"/>
          <w:sz w:val="21"/>
          <w:szCs w:val="21"/>
        </w:rPr>
        <w:t>2.</w:t>
      </w:r>
      <w:r>
        <w:rPr>
          <w:rFonts w:hAnsi="宋体"/>
          <w:color w:val="auto"/>
          <w:sz w:val="21"/>
          <w:szCs w:val="21"/>
        </w:rPr>
        <w:t>投标人应仔细阅读</w:t>
      </w:r>
      <w:r>
        <w:rPr>
          <w:rFonts w:hint="eastAsia" w:hAnsi="宋体"/>
          <w:color w:val="auto"/>
          <w:sz w:val="21"/>
          <w:szCs w:val="21"/>
        </w:rPr>
        <w:t>采购文件</w:t>
      </w:r>
      <w:r>
        <w:rPr>
          <w:rFonts w:hAnsi="宋体"/>
          <w:color w:val="auto"/>
          <w:sz w:val="21"/>
          <w:szCs w:val="21"/>
        </w:rPr>
        <w:t>的所有内容，按照要求</w:t>
      </w:r>
      <w:r>
        <w:rPr>
          <w:rFonts w:hint="eastAsia" w:hAnsi="宋体"/>
          <w:color w:val="auto"/>
          <w:sz w:val="21"/>
          <w:szCs w:val="21"/>
        </w:rPr>
        <w:t>编制、签署、盖章、密封、</w:t>
      </w:r>
      <w:r>
        <w:rPr>
          <w:rFonts w:hAnsi="宋体"/>
          <w:color w:val="auto"/>
          <w:sz w:val="21"/>
          <w:szCs w:val="21"/>
        </w:rPr>
        <w:t>提交投标文件，并对</w:t>
      </w:r>
      <w:r>
        <w:rPr>
          <w:rFonts w:hint="eastAsia" w:hAnsi="宋体"/>
          <w:color w:val="auto"/>
          <w:sz w:val="21"/>
          <w:szCs w:val="21"/>
        </w:rPr>
        <w:t>其提交的投标文件真实性、合法性承担法律责任</w:t>
      </w:r>
      <w:r>
        <w:rPr>
          <w:rFonts w:hAnsi="宋体"/>
          <w:color w:val="auto"/>
          <w:sz w:val="21"/>
          <w:szCs w:val="21"/>
        </w:rPr>
        <w:t>。</w:t>
      </w:r>
    </w:p>
    <w:p>
      <w:pPr>
        <w:pStyle w:val="25"/>
        <w:snapToGrid w:val="0"/>
        <w:spacing w:before="120" w:after="120" w:line="360" w:lineRule="auto"/>
        <w:ind w:left="2" w:leftChars="1"/>
        <w:rPr>
          <w:rFonts w:hint="eastAsia" w:hAnsi="宋体"/>
          <w:color w:val="auto"/>
          <w:sz w:val="21"/>
          <w:szCs w:val="21"/>
        </w:rPr>
      </w:pPr>
      <w:r>
        <w:rPr>
          <w:rFonts w:hAnsi="宋体"/>
          <w:color w:val="auto"/>
          <w:szCs w:val="21"/>
        </w:rPr>
        <w:t>▲</w:t>
      </w:r>
      <w:r>
        <w:rPr>
          <w:rFonts w:hint="eastAsia" w:hAnsi="宋体"/>
          <w:color w:val="auto"/>
          <w:sz w:val="21"/>
          <w:szCs w:val="21"/>
        </w:rPr>
        <w:t>3.法律和国务院行政法规规定或授权有关部门规定供应商或产品进入市场须先行取得相关认证或许可的，投标人须提供相应的认证或许可证明材料。未能提供相应的认证或许可证明材料或者虽经认证、许可但认证或许可证明材料已经失效的投标人不能被确认为中标人。</w:t>
      </w:r>
    </w:p>
    <w:p>
      <w:pPr>
        <w:pStyle w:val="25"/>
        <w:snapToGrid w:val="0"/>
        <w:spacing w:before="120" w:after="120" w:line="360" w:lineRule="auto"/>
        <w:ind w:left="2" w:leftChars="1"/>
        <w:rPr>
          <w:rFonts w:hint="eastAsia" w:hAnsi="宋体"/>
          <w:color w:val="auto"/>
          <w:sz w:val="21"/>
          <w:szCs w:val="21"/>
          <w:lang w:eastAsia="zh-CN"/>
        </w:rPr>
      </w:pPr>
      <w:r>
        <w:rPr>
          <w:rFonts w:hint="eastAsia" w:hAnsi="宋体"/>
          <w:color w:val="auto"/>
          <w:sz w:val="21"/>
          <w:szCs w:val="21"/>
        </w:rPr>
        <w:t>4.投标人发生合并、分立、破产等重大变化的，应当及时书面告知采购人、采购代理机构。投标人不再具备采购文件规定的资格条件或者其投标影响采购公正性的，其投标无效。</w:t>
      </w:r>
    </w:p>
    <w:p>
      <w:pPr>
        <w:pStyle w:val="25"/>
        <w:snapToGrid w:val="0"/>
        <w:spacing w:before="120" w:after="120" w:line="360" w:lineRule="auto"/>
        <w:ind w:left="2" w:leftChars="1"/>
        <w:rPr>
          <w:rFonts w:hint="eastAsia" w:hAnsi="宋体"/>
          <w:color w:val="auto"/>
          <w:sz w:val="21"/>
          <w:szCs w:val="21"/>
        </w:rPr>
      </w:pPr>
      <w:r>
        <w:rPr>
          <w:rFonts w:hint="eastAsia" w:hAnsi="宋体"/>
          <w:color w:val="auto"/>
          <w:sz w:val="21"/>
          <w:szCs w:val="21"/>
        </w:rPr>
        <w:t>5.关于知识产权</w:t>
      </w:r>
    </w:p>
    <w:p>
      <w:pPr>
        <w:spacing w:line="360" w:lineRule="auto"/>
        <w:rPr>
          <w:rFonts w:hint="eastAsia"/>
          <w:color w:val="auto"/>
        </w:rPr>
      </w:pPr>
      <w:r>
        <w:rPr>
          <w:rFonts w:hint="eastAsia" w:ascii="宋体" w:hAnsi="宋体"/>
          <w:color w:val="auto"/>
          <w:szCs w:val="21"/>
        </w:rPr>
        <w:t>①</w:t>
      </w:r>
      <w:r>
        <w:rPr>
          <w:rFonts w:hint="eastAsia"/>
          <w:color w:val="auto"/>
        </w:rPr>
        <w:t>投标人必须保证，采购人在中华人民共和国境内使用本项目的投标货物、资料、技术、服务等，享有不受限制的无偿使用权，如有第三方向采购人提出侵犯其专利权、商标权或其它知识产权等的主张，一切责任由投标人承担。</w:t>
      </w:r>
    </w:p>
    <w:p>
      <w:pPr>
        <w:spacing w:line="360" w:lineRule="auto"/>
        <w:rPr>
          <w:rFonts w:hint="eastAsia"/>
          <w:color w:val="auto"/>
        </w:rPr>
      </w:pPr>
      <w:r>
        <w:rPr>
          <w:rFonts w:hint="eastAsia" w:ascii="宋体" w:hAnsi="宋体"/>
          <w:color w:val="auto"/>
          <w:szCs w:val="21"/>
        </w:rPr>
        <w:t>②</w:t>
      </w:r>
      <w:r>
        <w:rPr>
          <w:rFonts w:hint="eastAsia"/>
          <w:color w:val="auto"/>
        </w:rPr>
        <w:t>投标价格应包含投标人应向所有权人支付的专利权、商标权或其它知识产权的一切相关费用。</w:t>
      </w:r>
    </w:p>
    <w:p>
      <w:pPr>
        <w:spacing w:line="360" w:lineRule="auto"/>
        <w:rPr>
          <w:rFonts w:hint="eastAsia"/>
          <w:color w:val="auto"/>
        </w:rPr>
      </w:pPr>
      <w:r>
        <w:rPr>
          <w:rFonts w:hint="eastAsia" w:ascii="宋体" w:hAnsi="宋体"/>
          <w:color w:val="auto"/>
          <w:szCs w:val="21"/>
        </w:rPr>
        <w:t>③</w:t>
      </w:r>
      <w:r>
        <w:rPr>
          <w:rFonts w:hint="eastAsia"/>
          <w:color w:val="auto"/>
        </w:rPr>
        <w:t>相关软件（如有）必须是具有在中国境内合法使用权或版权的正版软件，采购人涉及到第三方提出侵权或知识产权的起诉等事宜由投标人承担所有责任及费用。</w:t>
      </w:r>
    </w:p>
    <w:p>
      <w:pPr>
        <w:spacing w:line="360" w:lineRule="auto"/>
        <w:ind w:firstLine="207" w:firstLineChars="98"/>
        <w:rPr>
          <w:rFonts w:hint="eastAsia"/>
          <w:color w:val="auto"/>
        </w:rPr>
      </w:pPr>
      <w:r>
        <w:rPr>
          <w:rFonts w:ascii="宋体" w:hAnsi="宋体"/>
          <w:b/>
          <w:color w:val="auto"/>
          <w:szCs w:val="21"/>
        </w:rPr>
        <w:t>（</w:t>
      </w:r>
      <w:r>
        <w:rPr>
          <w:rFonts w:hint="eastAsia" w:ascii="宋体" w:hAnsi="宋体"/>
          <w:b/>
          <w:color w:val="auto"/>
          <w:szCs w:val="21"/>
        </w:rPr>
        <w:t>十</w:t>
      </w:r>
      <w:r>
        <w:rPr>
          <w:rFonts w:ascii="宋体" w:hAnsi="宋体"/>
          <w:b/>
          <w:color w:val="auto"/>
          <w:szCs w:val="21"/>
        </w:rPr>
        <w:t>）</w:t>
      </w:r>
      <w:r>
        <w:rPr>
          <w:rFonts w:hint="eastAsia"/>
          <w:color w:val="auto"/>
        </w:rPr>
        <w:t>询问、质疑及投诉</w:t>
      </w:r>
    </w:p>
    <w:p>
      <w:pPr>
        <w:spacing w:line="360" w:lineRule="auto"/>
        <w:rPr>
          <w:rFonts w:hint="eastAsia"/>
          <w:color w:val="auto"/>
        </w:rPr>
      </w:pPr>
      <w:r>
        <w:rPr>
          <w:rFonts w:hint="eastAsia" w:ascii="宋体" w:hAnsi="宋体"/>
          <w:color w:val="auto"/>
          <w:szCs w:val="21"/>
        </w:rPr>
        <w:t>1.</w:t>
      </w:r>
      <w:r>
        <w:rPr>
          <w:rFonts w:hint="eastAsia"/>
          <w:color w:val="auto"/>
        </w:rPr>
        <w:t>询问：投标人对政府采购活动事项有疑问的，可以向采购人、代理机构提出询问，</w:t>
      </w:r>
      <w:r>
        <w:rPr>
          <w:rFonts w:hint="eastAsia" w:ascii="宋体" w:hAnsi="宋体"/>
          <w:color w:val="auto"/>
        </w:rPr>
        <w:t>提出询问的</w:t>
      </w:r>
    </w:p>
    <w:p>
      <w:pPr>
        <w:spacing w:line="360" w:lineRule="auto"/>
        <w:rPr>
          <w:rFonts w:hint="eastAsia"/>
          <w:color w:val="auto"/>
        </w:rPr>
      </w:pPr>
      <w:r>
        <w:rPr>
          <w:rFonts w:hint="eastAsia"/>
          <w:color w:val="auto"/>
        </w:rPr>
        <w:t>期限与提出质疑的期限一致，逾期提出的询问不予接受。采购人、代理机构将在三个工作日内对投标人依法提出的询问作出答复，但答复的内容不涉及商业秘密。</w:t>
      </w:r>
    </w:p>
    <w:p>
      <w:pPr>
        <w:spacing w:line="360" w:lineRule="auto"/>
        <w:rPr>
          <w:rFonts w:hint="eastAsia"/>
          <w:color w:val="auto"/>
        </w:rPr>
      </w:pPr>
      <w:r>
        <w:rPr>
          <w:rFonts w:hint="eastAsia" w:ascii="宋体" w:hAnsi="宋体"/>
          <w:color w:val="auto"/>
          <w:szCs w:val="21"/>
        </w:rPr>
        <w:t>2.</w:t>
      </w:r>
      <w:r>
        <w:rPr>
          <w:rFonts w:hint="eastAsia"/>
          <w:color w:val="auto"/>
        </w:rPr>
        <w:t>质疑</w:t>
      </w:r>
    </w:p>
    <w:p>
      <w:pPr>
        <w:spacing w:line="360" w:lineRule="auto"/>
        <w:rPr>
          <w:rFonts w:hint="eastAsia"/>
          <w:color w:val="auto"/>
        </w:rPr>
      </w:pPr>
      <w:r>
        <w:rPr>
          <w:rFonts w:hint="eastAsia" w:ascii="宋体" w:hAnsi="宋体"/>
          <w:color w:val="auto"/>
        </w:rPr>
        <w:t>①</w:t>
      </w:r>
      <w:r>
        <w:rPr>
          <w:rFonts w:hint="eastAsia"/>
          <w:color w:val="auto"/>
        </w:rPr>
        <w:t>提出质疑的期限</w:t>
      </w:r>
    </w:p>
    <w:p>
      <w:pPr>
        <w:spacing w:line="360" w:lineRule="auto"/>
        <w:rPr>
          <w:rFonts w:hint="eastAsia"/>
          <w:color w:val="auto"/>
        </w:rPr>
      </w:pPr>
      <w:r>
        <w:rPr>
          <w:rFonts w:hint="eastAsia"/>
          <w:color w:val="auto"/>
        </w:rPr>
        <w:t>对可以质疑的采购文件提出质疑的，为采购文件公告期间或采购文件公告期限届满起七个工作日内；</w:t>
      </w:r>
    </w:p>
    <w:p>
      <w:pPr>
        <w:spacing w:line="360" w:lineRule="auto"/>
        <w:rPr>
          <w:rFonts w:hint="eastAsia"/>
          <w:color w:val="auto"/>
        </w:rPr>
      </w:pPr>
      <w:r>
        <w:rPr>
          <w:rFonts w:hint="eastAsia"/>
          <w:color w:val="auto"/>
        </w:rPr>
        <w:t>对采购过程提出质疑的，为各采购程序环节结束之日起七个工作日内；</w:t>
      </w:r>
    </w:p>
    <w:p>
      <w:pPr>
        <w:spacing w:line="360" w:lineRule="auto"/>
        <w:rPr>
          <w:rFonts w:hint="eastAsia"/>
          <w:color w:val="auto"/>
        </w:rPr>
      </w:pPr>
      <w:r>
        <w:rPr>
          <w:rFonts w:hint="eastAsia"/>
          <w:color w:val="auto"/>
        </w:rPr>
        <w:t>对中标结果提出质疑的，为中标结果公告期限届满之日起七个工作日内。</w:t>
      </w:r>
    </w:p>
    <w:p>
      <w:pPr>
        <w:spacing w:line="360" w:lineRule="auto"/>
        <w:rPr>
          <w:rFonts w:hint="eastAsia"/>
          <w:color w:val="auto"/>
        </w:rPr>
      </w:pPr>
      <w:r>
        <w:rPr>
          <w:rFonts w:hint="eastAsia"/>
          <w:color w:val="auto"/>
        </w:rPr>
        <w:t>逾期提出的质疑不予接受。</w:t>
      </w:r>
    </w:p>
    <w:p>
      <w:pPr>
        <w:spacing w:line="360" w:lineRule="auto"/>
        <w:rPr>
          <w:rFonts w:hint="eastAsia"/>
          <w:color w:val="auto"/>
        </w:rPr>
      </w:pPr>
      <w:r>
        <w:rPr>
          <w:rFonts w:hint="eastAsia" w:ascii="宋体" w:hAnsi="宋体"/>
          <w:color w:val="auto"/>
        </w:rPr>
        <w:t>②</w:t>
      </w:r>
      <w:r>
        <w:rPr>
          <w:rFonts w:hint="eastAsia"/>
          <w:color w:val="auto"/>
        </w:rPr>
        <w:t>提出质疑的要求</w:t>
      </w:r>
    </w:p>
    <w:p>
      <w:pPr>
        <w:spacing w:line="360" w:lineRule="auto"/>
        <w:rPr>
          <w:rFonts w:hint="eastAsia"/>
          <w:color w:val="auto"/>
        </w:rPr>
      </w:pPr>
      <w:r>
        <w:rPr>
          <w:rFonts w:hint="eastAsia"/>
          <w:color w:val="auto"/>
        </w:rPr>
        <w:t>提出质疑的供应商应当是参与所质疑项目采购活动的供应商。</w:t>
      </w:r>
      <w:r>
        <w:rPr>
          <w:rFonts w:hint="eastAsia" w:hAnsi="宋体"/>
          <w:color w:val="auto"/>
          <w:szCs w:val="21"/>
        </w:rPr>
        <w:t>质疑人对同一采购程序环节须一次性提出质疑。</w:t>
      </w:r>
      <w:r>
        <w:rPr>
          <w:rFonts w:hint="eastAsia"/>
          <w:color w:val="auto"/>
        </w:rPr>
        <w:t>未依法获取采购文件的供应商（采购文件可以公开下载或公开预览，但如需要报名售领而未依规定进行报名售领的，所取得的采购文件视为未依法获取采购文件），不得就采购文件提出质疑；未提交投标文件的供应商，视为与采购结果没有利害关系，不得就采购响应截止时间后的采购过程、采购结果提出质疑。</w:t>
      </w:r>
    </w:p>
    <w:p>
      <w:pPr>
        <w:spacing w:line="360" w:lineRule="auto"/>
        <w:rPr>
          <w:rFonts w:hint="eastAsia"/>
          <w:color w:val="auto"/>
        </w:rPr>
      </w:pPr>
      <w:r>
        <w:rPr>
          <w:rFonts w:hint="eastAsia"/>
          <w:color w:val="auto"/>
        </w:rPr>
        <w:t>供应商须以书面形式（加盖单位公章）向采购人或代理机构提出质疑，以电话、传真或电邮形式提交的质疑属于无效质疑。供应商提出质疑应当提交质疑函和必要的证明材料，质疑函格式和内容须符合财政部《质疑函范本》要求，质疑行为、质疑函内容需符合财政部《政府采购质疑和投诉办法》94号令、宁波市政府采购询问、质疑和投诉处理工作指引要求，供应商为自然人的，应当由本人签字；供应商为法人或者其他组织的，应当由法定代表人、主要负责人或者其授权代表签字或者盖章，并加盖公章。</w:t>
      </w:r>
    </w:p>
    <w:p>
      <w:pPr>
        <w:spacing w:line="360" w:lineRule="auto"/>
        <w:rPr>
          <w:rFonts w:hint="eastAsia"/>
          <w:color w:val="auto"/>
        </w:rPr>
      </w:pPr>
      <w:r>
        <w:rPr>
          <w:rFonts w:hint="eastAsia" w:ascii="宋体" w:hAnsi="宋体"/>
          <w:color w:val="auto"/>
          <w:szCs w:val="21"/>
        </w:rPr>
        <w:t>③</w:t>
      </w:r>
      <w:r>
        <w:rPr>
          <w:rFonts w:hAnsi="宋体"/>
          <w:color w:val="auto"/>
          <w:szCs w:val="21"/>
        </w:rPr>
        <w:t>接收质疑</w:t>
      </w:r>
      <w:r>
        <w:rPr>
          <w:rFonts w:hint="eastAsia" w:hAnsi="宋体"/>
          <w:color w:val="auto"/>
          <w:szCs w:val="21"/>
        </w:rPr>
        <w:t>文件</w:t>
      </w:r>
      <w:r>
        <w:rPr>
          <w:rFonts w:hAnsi="宋体"/>
          <w:color w:val="auto"/>
          <w:szCs w:val="21"/>
        </w:rPr>
        <w:t>的方式</w:t>
      </w:r>
      <w:r>
        <w:rPr>
          <w:rFonts w:hint="eastAsia" w:hAnsi="宋体"/>
          <w:color w:val="auto"/>
          <w:szCs w:val="21"/>
        </w:rPr>
        <w:t>：质疑人可通过送达、邮寄的形式提交书面质疑文件，通过邮寄方式提交的书面质疑文件以被质疑人签收邮件之日为收到书面质疑文件之日，被质疑人处理质疑</w:t>
      </w:r>
      <w:r>
        <w:rPr>
          <w:rFonts w:hAnsi="宋体"/>
          <w:color w:val="auto"/>
          <w:szCs w:val="21"/>
        </w:rPr>
        <w:t>联系部门</w:t>
      </w:r>
      <w:r>
        <w:rPr>
          <w:rFonts w:hint="eastAsia" w:hAnsi="宋体"/>
          <w:color w:val="auto"/>
          <w:szCs w:val="21"/>
        </w:rPr>
        <w:t>，联系人，</w:t>
      </w:r>
      <w:r>
        <w:rPr>
          <w:rFonts w:hAnsi="宋体"/>
          <w:color w:val="auto"/>
          <w:szCs w:val="21"/>
        </w:rPr>
        <w:t>联系</w:t>
      </w:r>
      <w:r>
        <w:rPr>
          <w:rFonts w:hint="eastAsia" w:hAnsi="宋体"/>
          <w:color w:val="auto"/>
          <w:szCs w:val="21"/>
        </w:rPr>
        <w:t>方式，</w:t>
      </w:r>
      <w:r>
        <w:rPr>
          <w:rFonts w:hAnsi="宋体"/>
          <w:color w:val="auto"/>
          <w:szCs w:val="21"/>
        </w:rPr>
        <w:t>通讯地址</w:t>
      </w:r>
      <w:r>
        <w:rPr>
          <w:rFonts w:hint="eastAsia" w:hAnsi="宋体"/>
          <w:color w:val="auto"/>
          <w:szCs w:val="21"/>
        </w:rPr>
        <w:t>详见第一章投标邀请中采购人及其委托的采购代理机构的名称、地址和联系方法。</w:t>
      </w:r>
    </w:p>
    <w:p>
      <w:pPr>
        <w:spacing w:line="360" w:lineRule="auto"/>
        <w:rPr>
          <w:rFonts w:hint="eastAsia"/>
          <w:color w:val="auto"/>
        </w:rPr>
      </w:pPr>
      <w:r>
        <w:rPr>
          <w:rFonts w:hint="eastAsia" w:ascii="宋体" w:hAnsi="宋体"/>
          <w:color w:val="auto"/>
        </w:rPr>
        <w:t>④</w:t>
      </w:r>
      <w:r>
        <w:rPr>
          <w:rFonts w:hint="eastAsia"/>
          <w:color w:val="auto"/>
        </w:rPr>
        <w:t>质疑的回复</w:t>
      </w:r>
    </w:p>
    <w:p>
      <w:pPr>
        <w:spacing w:line="360" w:lineRule="auto"/>
        <w:rPr>
          <w:rFonts w:hint="eastAsia"/>
          <w:color w:val="auto"/>
        </w:rPr>
      </w:pPr>
      <w:r>
        <w:rPr>
          <w:rFonts w:hint="eastAsia"/>
          <w:color w:val="auto"/>
        </w:rPr>
        <w:t>采购人或代理机构于收到书面质疑后7个工作日内作出书面答复，但答复的内容不涉及商业秘密。</w:t>
      </w:r>
    </w:p>
    <w:p>
      <w:pPr>
        <w:spacing w:line="360" w:lineRule="auto"/>
        <w:rPr>
          <w:rFonts w:hint="eastAsia"/>
          <w:color w:val="auto"/>
        </w:rPr>
      </w:pPr>
      <w:r>
        <w:rPr>
          <w:rFonts w:hint="eastAsia"/>
          <w:color w:val="auto"/>
        </w:rPr>
        <w:t>采购代理机构在采购人委托授权范围内作出答复。</w:t>
      </w:r>
    </w:p>
    <w:p>
      <w:pPr>
        <w:spacing w:line="360" w:lineRule="auto"/>
        <w:rPr>
          <w:rFonts w:hint="eastAsia"/>
          <w:color w:val="auto"/>
        </w:rPr>
      </w:pPr>
      <w:r>
        <w:rPr>
          <w:rFonts w:hint="eastAsia" w:ascii="宋体" w:hAnsi="宋体"/>
          <w:color w:val="auto"/>
          <w:szCs w:val="21"/>
        </w:rPr>
        <w:t>3.</w:t>
      </w:r>
      <w:r>
        <w:rPr>
          <w:rFonts w:hint="eastAsia"/>
          <w:color w:val="auto"/>
        </w:rPr>
        <w:t>投诉</w:t>
      </w:r>
    </w:p>
    <w:p>
      <w:pPr>
        <w:spacing w:line="360" w:lineRule="auto"/>
        <w:rPr>
          <w:rFonts w:hint="eastAsia"/>
          <w:color w:val="auto"/>
        </w:rPr>
      </w:pPr>
      <w:r>
        <w:rPr>
          <w:rFonts w:hint="eastAsia" w:ascii="宋体" w:hAnsi="宋体"/>
          <w:color w:val="auto"/>
        </w:rPr>
        <w:t>①</w:t>
      </w:r>
      <w:r>
        <w:rPr>
          <w:rFonts w:hint="eastAsia"/>
          <w:color w:val="auto"/>
        </w:rPr>
        <w:t>供应商对采购人或代理机构的质疑答复不满意，或采购人、代理机构未在规定期限内作出答复的，可在答复期满后十五个工作日内向同级政府采购监督管理部门提出投诉。</w:t>
      </w:r>
    </w:p>
    <w:p>
      <w:pPr>
        <w:spacing w:line="360" w:lineRule="auto"/>
        <w:rPr>
          <w:rFonts w:hint="eastAsia"/>
          <w:color w:val="auto"/>
        </w:rPr>
      </w:pPr>
      <w:r>
        <w:rPr>
          <w:rFonts w:hint="eastAsia" w:ascii="宋体" w:hAnsi="宋体"/>
          <w:color w:val="auto"/>
        </w:rPr>
        <w:t>②</w:t>
      </w:r>
      <w:r>
        <w:rPr>
          <w:rFonts w:hint="eastAsia"/>
          <w:color w:val="auto"/>
        </w:rPr>
        <w:t>投诉书格式按财政部发布的投诉书范本格式执行。投诉行为及要求需符合财政部《政府采购质疑和投诉办法》94号令，宁波市政府采购询问、质疑和投诉处理工作指引要求。</w:t>
      </w:r>
    </w:p>
    <w:p>
      <w:pPr>
        <w:spacing w:line="360" w:lineRule="auto"/>
        <w:rPr>
          <w:rFonts w:hint="eastAsia"/>
          <w:color w:val="auto"/>
        </w:rPr>
      </w:pPr>
      <w:r>
        <w:rPr>
          <w:rFonts w:hint="eastAsia" w:ascii="宋体" w:hAnsi="宋体"/>
          <w:color w:val="auto"/>
          <w:szCs w:val="21"/>
        </w:rPr>
        <w:t>4.</w:t>
      </w:r>
      <w:r>
        <w:rPr>
          <w:rFonts w:hint="eastAsia"/>
          <w:color w:val="auto"/>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spacing w:line="360" w:lineRule="auto"/>
        <w:ind w:firstLine="207" w:firstLineChars="98"/>
        <w:rPr>
          <w:rFonts w:hint="eastAsia" w:ascii="宋体" w:hAnsi="宋体"/>
          <w:b/>
          <w:color w:val="auto"/>
          <w:szCs w:val="21"/>
        </w:rPr>
      </w:pPr>
      <w:r>
        <w:rPr>
          <w:rFonts w:ascii="宋体" w:hAnsi="宋体"/>
          <w:b/>
          <w:color w:val="auto"/>
          <w:szCs w:val="21"/>
        </w:rPr>
        <w:t>二</w:t>
      </w:r>
      <w:r>
        <w:rPr>
          <w:rFonts w:hint="eastAsia" w:ascii="宋体" w:hAnsi="宋体"/>
          <w:b/>
          <w:color w:val="auto"/>
          <w:szCs w:val="21"/>
        </w:rPr>
        <w:t>、公开招标采购文件</w:t>
      </w:r>
    </w:p>
    <w:p>
      <w:pPr>
        <w:spacing w:line="360" w:lineRule="auto"/>
        <w:ind w:firstLine="207" w:firstLineChars="98"/>
        <w:rPr>
          <w:rFonts w:hint="eastAsia" w:ascii="宋体" w:hAnsi="宋体"/>
          <w:b/>
          <w:color w:val="auto"/>
          <w:szCs w:val="21"/>
        </w:rPr>
      </w:pPr>
      <w:r>
        <w:rPr>
          <w:rFonts w:hint="eastAsia" w:ascii="宋体" w:hAnsi="宋体"/>
          <w:b/>
          <w:color w:val="auto"/>
          <w:szCs w:val="21"/>
        </w:rPr>
        <w:t>（一）公开招标采购文件的组成</w:t>
      </w:r>
    </w:p>
    <w:p>
      <w:pPr>
        <w:pStyle w:val="13"/>
        <w:widowControl w:val="0"/>
        <w:numPr>
          <w:ilvl w:val="0"/>
          <w:numId w:val="0"/>
        </w:numPr>
        <w:tabs>
          <w:tab w:val="clear" w:pos="454"/>
        </w:tabs>
        <w:snapToGrid w:val="0"/>
        <w:spacing w:before="120" w:beforeLines="50" w:after="0" w:afterLines="0" w:line="360" w:lineRule="auto"/>
        <w:ind w:left="454"/>
        <w:rPr>
          <w:rFonts w:ascii="宋体" w:hAnsi="宋体"/>
          <w:b/>
          <w:color w:val="auto"/>
          <w:sz w:val="21"/>
          <w:szCs w:val="21"/>
        </w:rPr>
      </w:pPr>
      <w:r>
        <w:rPr>
          <w:rFonts w:hint="eastAsia" w:ascii="宋体" w:hAnsi="宋体"/>
          <w:b/>
          <w:color w:val="auto"/>
          <w:sz w:val="21"/>
          <w:szCs w:val="21"/>
        </w:rPr>
        <w:t>公开招标采购文件由以下部分组成：</w:t>
      </w:r>
    </w:p>
    <w:p>
      <w:pPr>
        <w:pStyle w:val="25"/>
        <w:snapToGrid w:val="0"/>
        <w:spacing w:before="0" w:beforeLines="0" w:after="0" w:afterLines="0" w:line="360" w:lineRule="auto"/>
        <w:rPr>
          <w:rFonts w:hAnsi="宋体"/>
          <w:color w:val="auto"/>
          <w:sz w:val="21"/>
          <w:szCs w:val="21"/>
        </w:rPr>
      </w:pPr>
      <w:r>
        <w:rPr>
          <w:rFonts w:hAnsi="宋体"/>
          <w:color w:val="auto"/>
          <w:sz w:val="21"/>
          <w:szCs w:val="21"/>
        </w:rPr>
        <w:t>1</w:t>
      </w:r>
      <w:r>
        <w:rPr>
          <w:rFonts w:hint="eastAsia" w:hAnsi="宋体"/>
          <w:color w:val="auto"/>
          <w:sz w:val="21"/>
          <w:szCs w:val="21"/>
        </w:rPr>
        <w:t>.投标邀请</w:t>
      </w:r>
    </w:p>
    <w:p>
      <w:pPr>
        <w:pStyle w:val="25"/>
        <w:snapToGrid w:val="0"/>
        <w:spacing w:before="0" w:beforeLines="0" w:after="0" w:afterLines="0" w:line="360" w:lineRule="auto"/>
        <w:rPr>
          <w:rFonts w:hAnsi="宋体"/>
          <w:color w:val="auto"/>
          <w:sz w:val="21"/>
          <w:szCs w:val="21"/>
        </w:rPr>
      </w:pPr>
      <w:r>
        <w:rPr>
          <w:rFonts w:hAnsi="宋体"/>
          <w:color w:val="auto"/>
          <w:sz w:val="21"/>
          <w:szCs w:val="21"/>
        </w:rPr>
        <w:t>2</w:t>
      </w:r>
      <w:r>
        <w:rPr>
          <w:rFonts w:hint="eastAsia" w:hAnsi="宋体"/>
          <w:color w:val="auto"/>
          <w:sz w:val="21"/>
          <w:szCs w:val="21"/>
        </w:rPr>
        <w:t>.</w:t>
      </w:r>
      <w:r>
        <w:rPr>
          <w:rFonts w:hAnsi="宋体"/>
          <w:color w:val="auto"/>
          <w:sz w:val="21"/>
          <w:szCs w:val="21"/>
        </w:rPr>
        <w:t>采购需求</w:t>
      </w:r>
    </w:p>
    <w:p>
      <w:pPr>
        <w:pStyle w:val="25"/>
        <w:snapToGrid w:val="0"/>
        <w:spacing w:before="0" w:beforeLines="0" w:after="0" w:afterLines="0" w:line="360" w:lineRule="auto"/>
        <w:rPr>
          <w:rFonts w:hAnsi="宋体"/>
          <w:color w:val="auto"/>
          <w:sz w:val="21"/>
          <w:szCs w:val="21"/>
        </w:rPr>
      </w:pPr>
      <w:r>
        <w:rPr>
          <w:rFonts w:hAnsi="宋体"/>
          <w:color w:val="auto"/>
          <w:sz w:val="21"/>
          <w:szCs w:val="21"/>
        </w:rPr>
        <w:t>3</w:t>
      </w:r>
      <w:r>
        <w:rPr>
          <w:rFonts w:hint="eastAsia" w:hAnsi="宋体"/>
          <w:color w:val="auto"/>
          <w:sz w:val="21"/>
          <w:szCs w:val="21"/>
        </w:rPr>
        <w:t>.</w:t>
      </w:r>
      <w:r>
        <w:rPr>
          <w:rFonts w:hAnsi="宋体"/>
          <w:color w:val="auto"/>
          <w:sz w:val="21"/>
          <w:szCs w:val="21"/>
        </w:rPr>
        <w:t>投标人须知</w:t>
      </w:r>
    </w:p>
    <w:p>
      <w:pPr>
        <w:pStyle w:val="25"/>
        <w:snapToGrid w:val="0"/>
        <w:spacing w:before="0" w:beforeLines="0" w:after="0" w:afterLines="0" w:line="360" w:lineRule="auto"/>
        <w:rPr>
          <w:rFonts w:hint="eastAsia" w:hAnsi="宋体"/>
          <w:color w:val="auto"/>
          <w:sz w:val="21"/>
          <w:szCs w:val="21"/>
        </w:rPr>
      </w:pPr>
      <w:r>
        <w:rPr>
          <w:rFonts w:hAnsi="宋体"/>
          <w:color w:val="auto"/>
          <w:sz w:val="21"/>
          <w:szCs w:val="21"/>
        </w:rPr>
        <w:t>4</w:t>
      </w:r>
      <w:r>
        <w:rPr>
          <w:rFonts w:hint="eastAsia" w:hAnsi="宋体"/>
          <w:color w:val="auto"/>
          <w:sz w:val="21"/>
          <w:szCs w:val="21"/>
        </w:rPr>
        <w:t>.</w:t>
      </w:r>
      <w:r>
        <w:rPr>
          <w:rFonts w:hAnsi="宋体"/>
          <w:color w:val="auto"/>
          <w:sz w:val="21"/>
          <w:szCs w:val="21"/>
        </w:rPr>
        <w:t>评标办法及</w:t>
      </w:r>
      <w:r>
        <w:rPr>
          <w:rFonts w:hint="eastAsia" w:hAnsi="宋体"/>
          <w:color w:val="auto"/>
          <w:sz w:val="21"/>
          <w:szCs w:val="21"/>
        </w:rPr>
        <w:t>评分</w:t>
      </w:r>
      <w:r>
        <w:rPr>
          <w:rFonts w:hAnsi="宋体"/>
          <w:color w:val="auto"/>
          <w:sz w:val="21"/>
          <w:szCs w:val="21"/>
        </w:rPr>
        <w:t>标准</w:t>
      </w:r>
    </w:p>
    <w:p>
      <w:pPr>
        <w:pStyle w:val="25"/>
        <w:snapToGrid w:val="0"/>
        <w:spacing w:before="0" w:beforeLines="0" w:after="0" w:afterLines="0" w:line="360" w:lineRule="auto"/>
        <w:rPr>
          <w:rFonts w:hAnsi="宋体"/>
          <w:color w:val="auto"/>
          <w:sz w:val="21"/>
          <w:szCs w:val="21"/>
        </w:rPr>
      </w:pPr>
      <w:r>
        <w:rPr>
          <w:rFonts w:hAnsi="宋体"/>
          <w:color w:val="auto"/>
          <w:sz w:val="21"/>
          <w:szCs w:val="21"/>
        </w:rPr>
        <w:t>5</w:t>
      </w:r>
      <w:r>
        <w:rPr>
          <w:rFonts w:hint="eastAsia" w:hAnsi="宋体"/>
          <w:color w:val="auto"/>
          <w:sz w:val="21"/>
          <w:szCs w:val="21"/>
        </w:rPr>
        <w:t>.</w:t>
      </w:r>
      <w:r>
        <w:rPr>
          <w:rFonts w:hAnsi="宋体"/>
          <w:color w:val="auto"/>
          <w:sz w:val="21"/>
          <w:szCs w:val="21"/>
        </w:rPr>
        <w:t>拟签订的合同</w:t>
      </w:r>
    </w:p>
    <w:p>
      <w:pPr>
        <w:pStyle w:val="25"/>
        <w:snapToGrid w:val="0"/>
        <w:spacing w:before="0" w:beforeLines="0" w:after="0" w:afterLines="0" w:line="360" w:lineRule="auto"/>
        <w:rPr>
          <w:rFonts w:hint="eastAsia" w:hAnsi="宋体"/>
          <w:color w:val="auto"/>
          <w:sz w:val="21"/>
          <w:szCs w:val="21"/>
        </w:rPr>
      </w:pPr>
      <w:r>
        <w:rPr>
          <w:rFonts w:hint="eastAsia" w:hAnsi="宋体"/>
          <w:color w:val="auto"/>
          <w:sz w:val="21"/>
          <w:szCs w:val="21"/>
        </w:rPr>
        <w:t>6.</w:t>
      </w:r>
      <w:r>
        <w:rPr>
          <w:rFonts w:hAnsi="宋体"/>
          <w:color w:val="auto"/>
          <w:sz w:val="21"/>
          <w:szCs w:val="21"/>
        </w:rPr>
        <w:t>投标文件格式</w:t>
      </w:r>
    </w:p>
    <w:p>
      <w:pPr>
        <w:pStyle w:val="25"/>
        <w:snapToGrid w:val="0"/>
        <w:spacing w:before="0" w:beforeLines="0" w:after="0" w:afterLines="0" w:line="360" w:lineRule="auto"/>
        <w:rPr>
          <w:rFonts w:hint="eastAsia" w:hAnsi="宋体"/>
          <w:color w:val="auto"/>
          <w:sz w:val="21"/>
          <w:szCs w:val="21"/>
        </w:rPr>
      </w:pPr>
      <w:r>
        <w:rPr>
          <w:rFonts w:hint="eastAsia" w:hAnsi="宋体"/>
          <w:color w:val="auto"/>
          <w:sz w:val="21"/>
          <w:szCs w:val="21"/>
        </w:rPr>
        <w:t>7.采购文件的澄清、修改的内容</w:t>
      </w:r>
    </w:p>
    <w:p>
      <w:pPr>
        <w:pStyle w:val="13"/>
        <w:widowControl w:val="0"/>
        <w:numPr>
          <w:ilvl w:val="0"/>
          <w:numId w:val="0"/>
        </w:numPr>
        <w:tabs>
          <w:tab w:val="clear" w:pos="454"/>
        </w:tabs>
        <w:snapToGrid w:val="0"/>
        <w:spacing w:before="120" w:beforeLines="50" w:after="0" w:afterLines="0" w:line="360" w:lineRule="auto"/>
        <w:ind w:left="454"/>
        <w:rPr>
          <w:rFonts w:ascii="宋体" w:hAnsi="宋体"/>
          <w:b/>
          <w:color w:val="auto"/>
          <w:sz w:val="21"/>
          <w:szCs w:val="21"/>
        </w:rPr>
      </w:pPr>
      <w:r>
        <w:rPr>
          <w:rFonts w:hint="eastAsia" w:ascii="宋体" w:hAnsi="宋体"/>
          <w:b/>
          <w:color w:val="auto"/>
          <w:sz w:val="21"/>
          <w:szCs w:val="21"/>
        </w:rPr>
        <w:t>（二）投标人的风险</w:t>
      </w:r>
    </w:p>
    <w:p>
      <w:pPr>
        <w:pStyle w:val="39"/>
        <w:spacing w:line="360" w:lineRule="auto"/>
        <w:ind w:firstLine="420"/>
        <w:rPr>
          <w:rFonts w:ascii="宋体" w:eastAsia="宋体"/>
          <w:color w:val="auto"/>
          <w:sz w:val="21"/>
          <w:szCs w:val="21"/>
        </w:rPr>
      </w:pPr>
      <w:r>
        <w:rPr>
          <w:rFonts w:hint="eastAsia" w:ascii="宋体" w:eastAsia="宋体"/>
          <w:color w:val="auto"/>
          <w:sz w:val="21"/>
          <w:szCs w:val="21"/>
        </w:rPr>
        <w:t>投标文件没有对采购文件的实质性内容（打</w:t>
      </w:r>
      <w:r>
        <w:rPr>
          <w:rFonts w:ascii="宋体" w:eastAsia="宋体"/>
          <w:color w:val="auto"/>
          <w:sz w:val="21"/>
          <w:szCs w:val="21"/>
        </w:rPr>
        <w:t>“▲”</w:t>
      </w:r>
      <w:r>
        <w:rPr>
          <w:rFonts w:hint="eastAsia" w:ascii="宋体" w:eastAsia="宋体"/>
          <w:color w:val="auto"/>
          <w:sz w:val="21"/>
          <w:szCs w:val="21"/>
        </w:rPr>
        <w:t>内容为采购文件的实质性内容）进行响应（正偏离的除外）的作无效投标。投标人没有按照采购文件要求提供全部资料的可能导致投标无效。</w:t>
      </w:r>
    </w:p>
    <w:p>
      <w:pPr>
        <w:pStyle w:val="13"/>
        <w:widowControl w:val="0"/>
        <w:numPr>
          <w:ilvl w:val="0"/>
          <w:numId w:val="0"/>
        </w:numPr>
        <w:tabs>
          <w:tab w:val="clear" w:pos="454"/>
        </w:tabs>
        <w:snapToGrid w:val="0"/>
        <w:spacing w:before="120" w:beforeLines="50" w:after="0" w:afterLines="0" w:line="360" w:lineRule="auto"/>
        <w:ind w:left="454"/>
        <w:rPr>
          <w:rFonts w:hint="eastAsia" w:ascii="宋体" w:hAnsi="宋体"/>
          <w:b/>
          <w:color w:val="auto"/>
          <w:sz w:val="21"/>
          <w:szCs w:val="21"/>
        </w:rPr>
      </w:pPr>
      <w:r>
        <w:rPr>
          <w:rFonts w:hint="eastAsia" w:ascii="宋体" w:hAnsi="宋体"/>
          <w:b/>
          <w:color w:val="auto"/>
          <w:sz w:val="21"/>
          <w:szCs w:val="21"/>
        </w:rPr>
        <w:t>（三）采购文件的澄清与修改</w:t>
      </w:r>
      <w:r>
        <w:rPr>
          <w:rFonts w:ascii="宋体" w:hAnsi="宋体"/>
          <w:b/>
          <w:color w:val="auto"/>
          <w:sz w:val="21"/>
          <w:szCs w:val="21"/>
        </w:rPr>
        <w:t xml:space="preserve"> </w:t>
      </w:r>
    </w:p>
    <w:p>
      <w:pPr>
        <w:pStyle w:val="13"/>
        <w:widowControl w:val="0"/>
        <w:numPr>
          <w:ilvl w:val="0"/>
          <w:numId w:val="0"/>
        </w:numPr>
        <w:tabs>
          <w:tab w:val="clear" w:pos="454"/>
        </w:tabs>
        <w:snapToGrid w:val="0"/>
        <w:spacing w:before="120" w:beforeLines="50" w:after="0" w:afterLines="0" w:line="360" w:lineRule="auto"/>
        <w:rPr>
          <w:rFonts w:ascii="宋体" w:hAnsi="宋体"/>
          <w:color w:val="auto"/>
          <w:kern w:val="2"/>
          <w:sz w:val="21"/>
          <w:szCs w:val="21"/>
        </w:rPr>
      </w:pPr>
      <w:r>
        <w:rPr>
          <w:rFonts w:hint="eastAsia" w:ascii="宋体" w:hAnsi="宋体"/>
          <w:color w:val="auto"/>
          <w:kern w:val="2"/>
          <w:sz w:val="21"/>
          <w:szCs w:val="21"/>
        </w:rPr>
        <w:t>1.采购人、代理机构</w:t>
      </w:r>
      <w:r>
        <w:rPr>
          <w:rFonts w:hint="eastAsia" w:hAnsi="宋体"/>
          <w:color w:val="auto"/>
          <w:sz w:val="21"/>
          <w:szCs w:val="21"/>
        </w:rPr>
        <w:t>对已发出的</w:t>
      </w:r>
      <w:r>
        <w:rPr>
          <w:rFonts w:hint="eastAsia" w:ascii="宋体" w:hAnsi="宋体"/>
          <w:color w:val="auto"/>
          <w:kern w:val="2"/>
          <w:sz w:val="21"/>
          <w:szCs w:val="21"/>
        </w:rPr>
        <w:t>采购文件进行必要的澄清或者修改的</w:t>
      </w:r>
      <w:r>
        <w:rPr>
          <w:rFonts w:hint="eastAsia" w:hAnsi="宋体"/>
          <w:color w:val="auto"/>
          <w:sz w:val="21"/>
          <w:szCs w:val="21"/>
        </w:rPr>
        <w:t>（采购标的和资格条件除外）</w:t>
      </w:r>
      <w:r>
        <w:rPr>
          <w:rFonts w:hint="eastAsia" w:ascii="宋体" w:hAnsi="宋体"/>
          <w:color w:val="auto"/>
          <w:kern w:val="2"/>
          <w:sz w:val="21"/>
          <w:szCs w:val="21"/>
        </w:rPr>
        <w:t>，将在本项目采购信息发布网站上发布更正公告。澄清或者修改的内容可能影响投标文件编制的，更正公告在投标截止时间至少15日前发布，</w:t>
      </w:r>
      <w:r>
        <w:rPr>
          <w:rFonts w:hint="eastAsia" w:hAnsi="宋体"/>
          <w:color w:val="auto"/>
          <w:sz w:val="21"/>
          <w:szCs w:val="21"/>
        </w:rPr>
        <w:t>并以书面形式通知所有采购文件收受人，</w:t>
      </w:r>
      <w:r>
        <w:rPr>
          <w:rFonts w:hint="eastAsia" w:ascii="宋体" w:hAnsi="宋体"/>
          <w:color w:val="auto"/>
          <w:kern w:val="2"/>
          <w:sz w:val="21"/>
          <w:szCs w:val="21"/>
        </w:rPr>
        <w:t>不足15日的，顺延提交投标文件截止时间。</w:t>
      </w:r>
    </w:p>
    <w:p>
      <w:pPr>
        <w:pStyle w:val="25"/>
        <w:snapToGrid w:val="0"/>
        <w:spacing w:before="0" w:beforeLines="0" w:after="0" w:afterLines="0" w:line="360" w:lineRule="auto"/>
        <w:rPr>
          <w:rFonts w:hint="eastAsia" w:hAnsi="宋体"/>
          <w:color w:val="auto"/>
          <w:sz w:val="21"/>
          <w:szCs w:val="21"/>
        </w:rPr>
      </w:pPr>
      <w:r>
        <w:rPr>
          <w:rFonts w:hint="eastAsia" w:hAnsi="宋体"/>
          <w:color w:val="auto"/>
          <w:sz w:val="21"/>
          <w:szCs w:val="21"/>
        </w:rPr>
        <w:t>2.澄清或者修改的内容为采购文件的组成部分。</w:t>
      </w:r>
    </w:p>
    <w:p>
      <w:pPr>
        <w:pStyle w:val="25"/>
        <w:snapToGrid w:val="0"/>
        <w:spacing w:before="0" w:beforeLines="0" w:after="0" w:afterLines="0" w:line="360" w:lineRule="auto"/>
        <w:rPr>
          <w:rFonts w:hint="eastAsia" w:hAnsi="宋体"/>
          <w:color w:val="auto"/>
          <w:sz w:val="21"/>
          <w:szCs w:val="21"/>
        </w:rPr>
      </w:pPr>
      <w:r>
        <w:rPr>
          <w:rFonts w:hint="eastAsia" w:hAnsi="宋体"/>
          <w:color w:val="auto"/>
          <w:sz w:val="21"/>
          <w:szCs w:val="21"/>
        </w:rPr>
        <w:t>3.</w:t>
      </w:r>
      <w:r>
        <w:rPr>
          <w:rFonts w:hAnsi="宋体"/>
          <w:color w:val="auto"/>
          <w:sz w:val="21"/>
          <w:szCs w:val="21"/>
        </w:rPr>
        <w:t>当</w:t>
      </w:r>
      <w:r>
        <w:rPr>
          <w:rFonts w:hint="eastAsia" w:hAnsi="宋体"/>
          <w:color w:val="auto"/>
          <w:sz w:val="21"/>
          <w:szCs w:val="21"/>
        </w:rPr>
        <w:t>采购文件</w:t>
      </w:r>
      <w:r>
        <w:rPr>
          <w:rFonts w:hAnsi="宋体"/>
          <w:color w:val="auto"/>
          <w:sz w:val="21"/>
          <w:szCs w:val="21"/>
        </w:rPr>
        <w:t>与澄清、修改</w:t>
      </w:r>
      <w:r>
        <w:rPr>
          <w:rFonts w:hint="eastAsia" w:hAnsi="宋体"/>
          <w:color w:val="auto"/>
          <w:sz w:val="21"/>
          <w:szCs w:val="21"/>
        </w:rPr>
        <w:t>的内容</w:t>
      </w:r>
      <w:r>
        <w:rPr>
          <w:rFonts w:hAnsi="宋体"/>
          <w:color w:val="auto"/>
          <w:sz w:val="21"/>
          <w:szCs w:val="21"/>
        </w:rPr>
        <w:t>表述不一致时，以澄清、修改的文件为准。</w:t>
      </w:r>
    </w:p>
    <w:p>
      <w:pPr>
        <w:pStyle w:val="25"/>
        <w:snapToGrid w:val="0"/>
        <w:spacing w:before="0" w:beforeLines="0" w:after="0" w:afterLines="0" w:line="360" w:lineRule="auto"/>
        <w:ind w:firstLine="211" w:firstLineChars="100"/>
        <w:rPr>
          <w:rFonts w:hint="eastAsia" w:hAnsi="宋体"/>
          <w:b/>
          <w:color w:val="auto"/>
          <w:sz w:val="21"/>
          <w:szCs w:val="21"/>
        </w:rPr>
      </w:pPr>
      <w:r>
        <w:rPr>
          <w:rFonts w:hAnsi="宋体"/>
          <w:b/>
          <w:color w:val="auto"/>
          <w:sz w:val="21"/>
          <w:szCs w:val="21"/>
        </w:rPr>
        <w:t>三、投标文件</w:t>
      </w:r>
    </w:p>
    <w:p>
      <w:pPr>
        <w:snapToGrid w:val="0"/>
        <w:spacing w:line="360" w:lineRule="auto"/>
        <w:ind w:firstLine="207" w:firstLineChars="98"/>
        <w:jc w:val="left"/>
        <w:outlineLvl w:val="0"/>
        <w:rPr>
          <w:rFonts w:hint="eastAsia" w:ascii="宋体" w:hAnsi="宋体"/>
          <w:b/>
          <w:color w:val="auto"/>
          <w:szCs w:val="21"/>
        </w:rPr>
      </w:pPr>
      <w:r>
        <w:rPr>
          <w:rFonts w:hint="eastAsia" w:ascii="宋体" w:hAnsi="宋体"/>
          <w:b/>
          <w:color w:val="auto"/>
          <w:szCs w:val="21"/>
        </w:rPr>
        <w:t>（一）投标文件内容的组成</w:t>
      </w:r>
    </w:p>
    <w:p>
      <w:pPr>
        <w:snapToGrid w:val="0"/>
        <w:spacing w:line="360" w:lineRule="auto"/>
        <w:ind w:firstLine="420" w:firstLineChars="200"/>
        <w:jc w:val="left"/>
        <w:rPr>
          <w:rFonts w:ascii="宋体" w:hAnsi="宋体"/>
          <w:color w:val="auto"/>
          <w:szCs w:val="21"/>
        </w:rPr>
      </w:pPr>
      <w:r>
        <w:rPr>
          <w:rFonts w:hint="eastAsia" w:ascii="宋体" w:hAnsi="宋体"/>
          <w:color w:val="auto"/>
          <w:szCs w:val="21"/>
        </w:rPr>
        <w:t>投标文件内容由</w:t>
      </w:r>
      <w:r>
        <w:rPr>
          <w:rFonts w:hint="eastAsia" w:ascii="宋体" w:hAnsi="宋体"/>
          <w:color w:val="auto"/>
          <w:szCs w:val="21"/>
          <w:u w:val="double"/>
        </w:rPr>
        <w:t>报价文件</w:t>
      </w:r>
      <w:r>
        <w:rPr>
          <w:rFonts w:hint="eastAsia" w:ascii="宋体" w:hAnsi="宋体"/>
          <w:color w:val="auto"/>
          <w:szCs w:val="21"/>
        </w:rPr>
        <w:t>，</w:t>
      </w:r>
      <w:r>
        <w:rPr>
          <w:rFonts w:hint="eastAsia" w:ascii="宋体" w:hAnsi="宋体"/>
          <w:color w:val="auto"/>
          <w:szCs w:val="21"/>
          <w:u w:val="double"/>
        </w:rPr>
        <w:t>资信、商务、技术文件</w:t>
      </w:r>
      <w:r>
        <w:rPr>
          <w:rFonts w:hint="eastAsia" w:ascii="宋体" w:hAnsi="宋体"/>
          <w:color w:val="auto"/>
          <w:szCs w:val="21"/>
        </w:rPr>
        <w:t>组成。投标文件内容中需包含</w:t>
      </w:r>
      <w:r>
        <w:rPr>
          <w:rFonts w:hint="eastAsia" w:ascii="宋体" w:hAnsi="宋体"/>
          <w:color w:val="auto"/>
          <w:szCs w:val="21"/>
          <w:u w:val="double"/>
        </w:rPr>
        <w:t>报价文件</w:t>
      </w:r>
      <w:r>
        <w:rPr>
          <w:rFonts w:hint="eastAsia" w:ascii="宋体" w:hAnsi="宋体"/>
          <w:color w:val="auto"/>
          <w:szCs w:val="21"/>
        </w:rPr>
        <w:t>，</w:t>
      </w:r>
      <w:r>
        <w:rPr>
          <w:rFonts w:hint="eastAsia" w:ascii="宋体" w:hAnsi="宋体"/>
          <w:color w:val="auto"/>
          <w:szCs w:val="21"/>
          <w:u w:val="double"/>
        </w:rPr>
        <w:t>资信、商务、技术文件</w:t>
      </w:r>
      <w:r>
        <w:rPr>
          <w:rFonts w:hint="eastAsia" w:ascii="宋体" w:hAnsi="宋体"/>
          <w:color w:val="auto"/>
          <w:szCs w:val="21"/>
        </w:rPr>
        <w:t>的以下资料。</w:t>
      </w:r>
    </w:p>
    <w:p>
      <w:pPr>
        <w:snapToGrid w:val="0"/>
        <w:spacing w:line="360" w:lineRule="auto"/>
        <w:jc w:val="left"/>
        <w:rPr>
          <w:rFonts w:hint="eastAsia" w:ascii="宋体" w:hAnsi="宋体"/>
          <w:b/>
          <w:color w:val="auto"/>
          <w:szCs w:val="21"/>
        </w:rPr>
      </w:pPr>
      <w:r>
        <w:rPr>
          <w:rFonts w:hint="eastAsia" w:ascii="宋体" w:hAnsi="宋体"/>
          <w:b/>
          <w:color w:val="auto"/>
          <w:szCs w:val="21"/>
        </w:rPr>
        <w:t>1.</w:t>
      </w:r>
      <w:r>
        <w:rPr>
          <w:rFonts w:ascii="宋体" w:hAnsi="宋体"/>
          <w:b/>
          <w:color w:val="auto"/>
          <w:szCs w:val="21"/>
        </w:rPr>
        <w:t>报价文件</w:t>
      </w:r>
    </w:p>
    <w:p>
      <w:pPr>
        <w:snapToGrid w:val="0"/>
        <w:spacing w:line="360" w:lineRule="auto"/>
        <w:jc w:val="left"/>
        <w:rPr>
          <w:rFonts w:hint="eastAsia" w:ascii="宋体" w:hAnsi="宋体"/>
          <w:b/>
          <w:color w:val="auto"/>
          <w:szCs w:val="21"/>
        </w:rPr>
      </w:pPr>
      <w:r>
        <w:rPr>
          <w:rFonts w:hint="eastAsia" w:ascii="宋体" w:hAnsi="宋体"/>
          <w:color w:val="auto"/>
          <w:szCs w:val="21"/>
        </w:rPr>
        <w:t>①投标函（格式见第六章投标文件格式相应内容）；</w:t>
      </w:r>
    </w:p>
    <w:p>
      <w:pPr>
        <w:tabs>
          <w:tab w:val="left" w:pos="3870"/>
          <w:tab w:val="left" w:pos="4085"/>
        </w:tabs>
        <w:snapToGrid w:val="0"/>
        <w:spacing w:line="360" w:lineRule="auto"/>
        <w:jc w:val="left"/>
        <w:rPr>
          <w:rFonts w:hint="eastAsia" w:ascii="宋体" w:hAnsi="宋体"/>
          <w:color w:val="auto"/>
          <w:szCs w:val="21"/>
        </w:rPr>
      </w:pPr>
      <w:r>
        <w:rPr>
          <w:rFonts w:hint="eastAsia" w:ascii="宋体" w:hAnsi="宋体"/>
          <w:color w:val="auto"/>
          <w:szCs w:val="21"/>
        </w:rPr>
        <w:t xml:space="preserve">②开标一览表（格式见第六章投标文件格式相应内容）； </w:t>
      </w:r>
    </w:p>
    <w:p>
      <w:pPr>
        <w:pStyle w:val="27"/>
        <w:snapToGrid w:val="0"/>
        <w:spacing w:line="360" w:lineRule="auto"/>
        <w:ind w:leftChars="0"/>
        <w:rPr>
          <w:rFonts w:hint="eastAsia" w:ascii="宋体" w:hAnsi="宋体" w:eastAsia="宋体"/>
          <w:color w:val="auto"/>
          <w:sz w:val="21"/>
          <w:szCs w:val="21"/>
          <w:lang w:val="en-US" w:eastAsia="zh-CN"/>
        </w:rPr>
      </w:pPr>
      <w:r>
        <w:rPr>
          <w:rFonts w:hint="eastAsia" w:ascii="宋体" w:hAnsi="宋体" w:eastAsia="宋体"/>
          <w:color w:val="auto"/>
          <w:sz w:val="21"/>
          <w:szCs w:val="21"/>
        </w:rPr>
        <w:t>③</w:t>
      </w:r>
      <w:r>
        <w:rPr>
          <w:rFonts w:ascii="宋体" w:hAnsi="宋体" w:eastAsia="宋体"/>
          <w:color w:val="auto"/>
          <w:sz w:val="21"/>
          <w:szCs w:val="21"/>
        </w:rPr>
        <w:t>报价</w:t>
      </w:r>
      <w:r>
        <w:rPr>
          <w:rFonts w:hint="eastAsia" w:ascii="宋体" w:hAnsi="宋体" w:eastAsia="宋体"/>
          <w:color w:val="auto"/>
          <w:sz w:val="21"/>
          <w:szCs w:val="21"/>
          <w:lang w:eastAsia="zh-CN"/>
        </w:rPr>
        <w:t>（投标价格）</w:t>
      </w:r>
      <w:r>
        <w:rPr>
          <w:rFonts w:ascii="宋体" w:hAnsi="宋体" w:eastAsia="宋体"/>
          <w:color w:val="auto"/>
          <w:sz w:val="21"/>
          <w:szCs w:val="21"/>
        </w:rPr>
        <w:t>组成</w:t>
      </w:r>
      <w:r>
        <w:rPr>
          <w:rFonts w:ascii="宋体" w:hAnsi="宋体" w:eastAsia="宋体"/>
          <w:color w:val="auto"/>
          <w:sz w:val="21"/>
          <w:szCs w:val="21"/>
          <w:lang w:val="en-US" w:eastAsia="zh-CN"/>
        </w:rPr>
        <w:t>明细表</w:t>
      </w:r>
      <w:r>
        <w:rPr>
          <w:rFonts w:hint="eastAsia" w:ascii="宋体" w:hAnsi="宋体" w:eastAsia="宋体"/>
          <w:color w:val="auto"/>
          <w:sz w:val="21"/>
          <w:szCs w:val="21"/>
          <w:lang w:val="en-US" w:eastAsia="zh-CN"/>
        </w:rPr>
        <w:t xml:space="preserve">（格式见第六章投标文件格式相应内容）； </w:t>
      </w:r>
    </w:p>
    <w:p>
      <w:pPr>
        <w:snapToGrid w:val="0"/>
        <w:spacing w:line="360" w:lineRule="auto"/>
        <w:jc w:val="left"/>
        <w:rPr>
          <w:rFonts w:hint="eastAsia" w:ascii="宋体" w:hAnsi="宋体"/>
          <w:color w:val="auto"/>
          <w:szCs w:val="21"/>
        </w:rPr>
      </w:pPr>
      <w:r>
        <w:rPr>
          <w:rFonts w:hint="eastAsia" w:ascii="宋体" w:hAnsi="宋体"/>
          <w:color w:val="auto"/>
          <w:szCs w:val="21"/>
        </w:rPr>
        <w:t>④中小企业声明函（如符合要求，可提供，格式见第六章投标文件格式相应内容）；</w:t>
      </w:r>
    </w:p>
    <w:p>
      <w:pPr>
        <w:snapToGrid w:val="0"/>
        <w:spacing w:line="360" w:lineRule="auto"/>
        <w:jc w:val="left"/>
        <w:rPr>
          <w:rFonts w:hint="eastAsia" w:ascii="宋体" w:hAnsi="宋体"/>
          <w:color w:val="auto"/>
          <w:szCs w:val="21"/>
        </w:rPr>
      </w:pPr>
      <w:r>
        <w:rPr>
          <w:rFonts w:hint="eastAsia" w:ascii="宋体" w:hAnsi="宋体"/>
          <w:color w:val="auto"/>
          <w:szCs w:val="21"/>
        </w:rPr>
        <w:t>⑤小微企业产品分项报价表（如符合要求，可提供，格式见第六章投标文件格式相应内容）；</w:t>
      </w:r>
    </w:p>
    <w:p>
      <w:pPr>
        <w:snapToGrid w:val="0"/>
        <w:spacing w:line="360" w:lineRule="auto"/>
        <w:jc w:val="left"/>
        <w:rPr>
          <w:rFonts w:hint="eastAsia" w:ascii="宋体" w:hAnsi="宋体"/>
          <w:color w:val="auto"/>
          <w:szCs w:val="21"/>
        </w:rPr>
      </w:pPr>
      <w:r>
        <w:rPr>
          <w:rFonts w:hint="eastAsia" w:ascii="宋体" w:hAnsi="宋体"/>
          <w:color w:val="auto"/>
          <w:szCs w:val="21"/>
        </w:rPr>
        <w:t>⑥列入距投标截止时间最近一期节能产品政府采购清单的产品分项报价表（如符合要求，可提供，格式见第六章投标文件格式相应内容）；</w:t>
      </w:r>
    </w:p>
    <w:p>
      <w:pPr>
        <w:snapToGrid w:val="0"/>
        <w:spacing w:line="360" w:lineRule="auto"/>
        <w:jc w:val="left"/>
        <w:rPr>
          <w:rFonts w:hint="eastAsia" w:ascii="宋体" w:hAnsi="宋体"/>
          <w:color w:val="auto"/>
          <w:szCs w:val="21"/>
        </w:rPr>
      </w:pPr>
      <w:r>
        <w:rPr>
          <w:rFonts w:hint="eastAsia" w:ascii="宋体" w:hAnsi="宋体"/>
          <w:color w:val="auto"/>
          <w:szCs w:val="21"/>
        </w:rPr>
        <w:t>⑦列入距投标截止时间最近一期环境标志产品政府采购清单的产品分项报价表（如符合要求，可提供，格式见第六章投标文件格式相应内容）</w:t>
      </w:r>
    </w:p>
    <w:p>
      <w:pPr>
        <w:snapToGrid w:val="0"/>
        <w:spacing w:line="360" w:lineRule="auto"/>
        <w:jc w:val="left"/>
        <w:rPr>
          <w:rFonts w:hint="eastAsia" w:ascii="宋体" w:hAnsi="宋体"/>
          <w:color w:val="auto"/>
          <w:szCs w:val="21"/>
        </w:rPr>
      </w:pPr>
      <w:r>
        <w:rPr>
          <w:rFonts w:hint="eastAsia" w:ascii="宋体" w:hAnsi="宋体"/>
          <w:color w:val="auto"/>
          <w:szCs w:val="21"/>
        </w:rPr>
        <w:t>⑧《残疾人福利性单位声明函》（如符合要求，可提供，格式见第六章投标文件格式相应内容）；</w:t>
      </w:r>
    </w:p>
    <w:p>
      <w:pPr>
        <w:snapToGrid w:val="0"/>
        <w:spacing w:line="360" w:lineRule="auto"/>
        <w:jc w:val="left"/>
        <w:rPr>
          <w:rFonts w:hint="eastAsia"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9 \* GB3</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lang/>
        </w:rPr>
        <w:t>⑨</w:t>
      </w:r>
      <w:r>
        <w:rPr>
          <w:rFonts w:ascii="宋体" w:hAnsi="宋体"/>
          <w:color w:val="auto"/>
          <w:szCs w:val="21"/>
        </w:rPr>
        <w:fldChar w:fldCharType="end"/>
      </w:r>
      <w:r>
        <w:rPr>
          <w:rFonts w:ascii="宋体" w:hAnsi="宋体"/>
          <w:bCs/>
          <w:color w:val="auto"/>
          <w:szCs w:val="21"/>
        </w:rPr>
        <w:t>省级以上监狱管理局、戒毒管理局（含新疆生产建设兵团）出具的属于监狱企业的证明文件</w:t>
      </w:r>
      <w:r>
        <w:rPr>
          <w:rFonts w:hint="eastAsia" w:ascii="宋体" w:hAnsi="宋体"/>
          <w:color w:val="auto"/>
          <w:szCs w:val="21"/>
        </w:rPr>
        <w:t>（如符合要求，可提供，格式自拟）；</w:t>
      </w:r>
    </w:p>
    <w:p>
      <w:pPr>
        <w:pStyle w:val="27"/>
        <w:snapToGrid w:val="0"/>
        <w:spacing w:line="360" w:lineRule="auto"/>
        <w:ind w:leftChars="0"/>
        <w:rPr>
          <w:rFonts w:hint="eastAsia" w:ascii="宋体" w:hAnsi="宋体" w:eastAsia="宋体"/>
          <w:color w:val="auto"/>
          <w:sz w:val="21"/>
          <w:szCs w:val="21"/>
          <w:lang w:eastAsia="zh-CN"/>
        </w:rPr>
      </w:pPr>
      <w:r>
        <w:rPr>
          <w:rFonts w:ascii="宋体" w:hAnsi="宋体" w:eastAsia="宋体"/>
          <w:color w:val="auto"/>
          <w:sz w:val="21"/>
          <w:szCs w:val="21"/>
          <w:lang w:eastAsia="zh-CN"/>
        </w:rPr>
        <w:fldChar w:fldCharType="begin"/>
      </w:r>
      <w:r>
        <w:rPr>
          <w:rFonts w:ascii="宋体" w:hAnsi="宋体" w:eastAsia="宋体"/>
          <w:color w:val="auto"/>
          <w:sz w:val="21"/>
          <w:szCs w:val="21"/>
          <w:lang w:eastAsia="zh-CN"/>
        </w:rPr>
        <w:instrText xml:space="preserve"> </w:instrText>
      </w:r>
      <w:r>
        <w:rPr>
          <w:rFonts w:hint="eastAsia" w:ascii="宋体" w:hAnsi="宋体" w:eastAsia="宋体"/>
          <w:color w:val="auto"/>
          <w:sz w:val="21"/>
          <w:szCs w:val="21"/>
          <w:lang w:eastAsia="zh-CN"/>
        </w:rPr>
        <w:instrText xml:space="preserve">= 10 \* GB3</w:instrText>
      </w:r>
      <w:r>
        <w:rPr>
          <w:rFonts w:ascii="宋体" w:hAnsi="宋体" w:eastAsia="宋体"/>
          <w:color w:val="auto"/>
          <w:sz w:val="21"/>
          <w:szCs w:val="21"/>
          <w:lang w:eastAsia="zh-CN"/>
        </w:rPr>
        <w:instrText xml:space="preserve"> </w:instrText>
      </w:r>
      <w:r>
        <w:rPr>
          <w:rFonts w:ascii="宋体" w:hAnsi="宋体" w:eastAsia="宋体"/>
          <w:color w:val="auto"/>
          <w:sz w:val="21"/>
          <w:szCs w:val="21"/>
          <w:lang w:eastAsia="zh-CN"/>
        </w:rPr>
        <w:fldChar w:fldCharType="separate"/>
      </w:r>
      <w:r>
        <w:rPr>
          <w:rFonts w:hint="eastAsia" w:ascii="宋体" w:hAnsi="宋体" w:eastAsia="宋体"/>
          <w:color w:val="auto"/>
          <w:sz w:val="21"/>
          <w:szCs w:val="21"/>
          <w:lang w:eastAsia="zh-CN"/>
        </w:rPr>
        <w:t>⑩</w:t>
      </w:r>
      <w:r>
        <w:rPr>
          <w:rFonts w:ascii="宋体" w:hAnsi="宋体" w:eastAsia="宋体"/>
          <w:color w:val="auto"/>
          <w:sz w:val="21"/>
          <w:szCs w:val="21"/>
          <w:lang w:eastAsia="zh-CN"/>
        </w:rPr>
        <w:fldChar w:fldCharType="end"/>
      </w:r>
      <w:r>
        <w:rPr>
          <w:rFonts w:ascii="宋体" w:hAnsi="宋体" w:eastAsia="宋体"/>
          <w:color w:val="auto"/>
          <w:sz w:val="21"/>
          <w:szCs w:val="21"/>
        </w:rPr>
        <w:t>投标人针对报价内容需要说明的其他文件（如有</w:t>
      </w:r>
      <w:r>
        <w:rPr>
          <w:rFonts w:hint="eastAsia" w:ascii="宋体" w:hAnsi="宋体" w:eastAsia="宋体"/>
          <w:color w:val="auto"/>
          <w:sz w:val="21"/>
          <w:szCs w:val="21"/>
          <w:lang w:eastAsia="zh-CN"/>
        </w:rPr>
        <w:t>，</w:t>
      </w:r>
      <w:r>
        <w:rPr>
          <w:rFonts w:ascii="宋体" w:hAnsi="宋体" w:eastAsia="宋体"/>
          <w:color w:val="auto"/>
          <w:sz w:val="21"/>
          <w:szCs w:val="21"/>
        </w:rPr>
        <w:t>可提供，格式自拟）。</w:t>
      </w:r>
    </w:p>
    <w:p>
      <w:pPr>
        <w:pStyle w:val="27"/>
        <w:snapToGrid w:val="0"/>
        <w:spacing w:line="360" w:lineRule="auto"/>
        <w:ind w:leftChars="0"/>
        <w:rPr>
          <w:rFonts w:hint="eastAsia" w:ascii="宋体" w:hAnsi="宋体" w:eastAsia="宋体"/>
          <w:b/>
          <w:color w:val="auto"/>
          <w:sz w:val="21"/>
          <w:szCs w:val="21"/>
          <w:lang w:val="en-US" w:eastAsia="zh-CN"/>
        </w:rPr>
      </w:pPr>
      <w:r>
        <w:rPr>
          <w:rFonts w:hint="eastAsia" w:ascii="宋体" w:hAnsi="宋体" w:eastAsia="宋体"/>
          <w:b/>
          <w:color w:val="auto"/>
          <w:sz w:val="21"/>
          <w:szCs w:val="21"/>
          <w:lang w:val="en-US" w:eastAsia="zh-CN"/>
        </w:rPr>
        <w:t>2. 资信、商务、技术文件</w:t>
      </w:r>
    </w:p>
    <w:p>
      <w:pPr>
        <w:rPr>
          <w:rFonts w:hint="eastAsia"/>
          <w:b/>
          <w:color w:val="auto"/>
        </w:rPr>
      </w:pPr>
      <w:r>
        <w:rPr>
          <w:rFonts w:hint="eastAsia"/>
          <w:b/>
          <w:color w:val="auto"/>
        </w:rPr>
        <w:t>资信、商务部分：</w:t>
      </w:r>
    </w:p>
    <w:p>
      <w:pPr>
        <w:snapToGrid w:val="0"/>
        <w:spacing w:line="360" w:lineRule="auto"/>
        <w:jc w:val="left"/>
        <w:rPr>
          <w:rFonts w:ascii="宋体" w:hAnsi="宋体"/>
          <w:color w:val="auto"/>
          <w:szCs w:val="21"/>
        </w:rPr>
      </w:pPr>
      <w:r>
        <w:rPr>
          <w:rFonts w:hint="eastAsia" w:ascii="宋体" w:hAnsi="宋体"/>
          <w:color w:val="auto"/>
          <w:szCs w:val="21"/>
        </w:rPr>
        <w:t>①</w:t>
      </w:r>
      <w:r>
        <w:rPr>
          <w:rFonts w:ascii="宋体" w:hAnsi="宋体"/>
          <w:color w:val="auto"/>
          <w:szCs w:val="21"/>
        </w:rPr>
        <w:t>投标保证金缴纳凭证（</w:t>
      </w:r>
      <w:r>
        <w:rPr>
          <w:rFonts w:hint="eastAsia" w:ascii="宋体" w:hAnsi="宋体"/>
          <w:color w:val="auto"/>
          <w:szCs w:val="21"/>
        </w:rPr>
        <w:t>格式自拟，投标文件中附满足投标邀请第七条规定的</w:t>
      </w:r>
      <w:r>
        <w:rPr>
          <w:rFonts w:ascii="宋体" w:hAnsi="宋体"/>
          <w:color w:val="auto"/>
          <w:szCs w:val="21"/>
        </w:rPr>
        <w:t>投标保证金缴纳凭证</w:t>
      </w:r>
      <w:r>
        <w:rPr>
          <w:rFonts w:hint="eastAsia" w:ascii="宋体" w:hAnsi="宋体"/>
          <w:color w:val="auto"/>
          <w:szCs w:val="21"/>
        </w:rPr>
        <w:t>资料复印件</w:t>
      </w:r>
      <w:r>
        <w:rPr>
          <w:rFonts w:ascii="宋体" w:hAnsi="宋体"/>
          <w:color w:val="auto"/>
          <w:szCs w:val="21"/>
        </w:rPr>
        <w:t>）；</w:t>
      </w:r>
    </w:p>
    <w:p>
      <w:pPr>
        <w:snapToGrid w:val="0"/>
        <w:spacing w:line="360" w:lineRule="auto"/>
        <w:jc w:val="left"/>
        <w:rPr>
          <w:rFonts w:hint="eastAsia" w:ascii="宋体" w:hAnsi="宋体"/>
          <w:color w:val="auto"/>
          <w:szCs w:val="21"/>
        </w:rPr>
      </w:pPr>
      <w:r>
        <w:rPr>
          <w:rFonts w:hint="eastAsia" w:ascii="宋体" w:hAnsi="宋体"/>
          <w:color w:val="auto"/>
          <w:szCs w:val="21"/>
        </w:rPr>
        <w:t>②投标声明书（格式见第六章投标文件格式相应内容）</w:t>
      </w:r>
      <w:r>
        <w:rPr>
          <w:rFonts w:ascii="宋体" w:hAnsi="宋体"/>
          <w:color w:val="auto"/>
          <w:szCs w:val="21"/>
        </w:rPr>
        <w:t>；</w:t>
      </w:r>
    </w:p>
    <w:p>
      <w:pPr>
        <w:pStyle w:val="25"/>
        <w:snapToGrid w:val="0"/>
        <w:spacing w:before="0" w:beforeLines="0" w:after="0" w:afterLines="0" w:line="360" w:lineRule="auto"/>
        <w:rPr>
          <w:rFonts w:hint="eastAsia" w:hAnsi="宋体"/>
          <w:color w:val="auto"/>
          <w:sz w:val="21"/>
          <w:szCs w:val="21"/>
        </w:rPr>
      </w:pPr>
      <w:r>
        <w:rPr>
          <w:rFonts w:hint="eastAsia" w:hAnsi="宋体"/>
          <w:color w:val="auto"/>
          <w:sz w:val="21"/>
          <w:szCs w:val="21"/>
        </w:rPr>
        <w:t>③投标文件中附法定代表人身份证正反面复印件加盖投标人公章，</w:t>
      </w:r>
      <w:r>
        <w:rPr>
          <w:rFonts w:hAnsi="宋体"/>
          <w:color w:val="auto"/>
          <w:sz w:val="21"/>
          <w:szCs w:val="21"/>
        </w:rPr>
        <w:t>如投标人代表不是法定代表人，</w:t>
      </w:r>
      <w:r>
        <w:rPr>
          <w:rFonts w:hint="eastAsia" w:hAnsi="宋体"/>
          <w:color w:val="auto"/>
          <w:sz w:val="21"/>
          <w:szCs w:val="21"/>
        </w:rPr>
        <w:t>投标文件中还</w:t>
      </w:r>
      <w:r>
        <w:rPr>
          <w:rFonts w:hAnsi="宋体"/>
          <w:color w:val="auto"/>
          <w:sz w:val="21"/>
          <w:szCs w:val="21"/>
        </w:rPr>
        <w:t>须有法定代表人出具的授权委托书（</w:t>
      </w:r>
      <w:r>
        <w:rPr>
          <w:rFonts w:hint="eastAsia" w:hAnsi="宋体"/>
          <w:color w:val="auto"/>
          <w:sz w:val="21"/>
          <w:szCs w:val="21"/>
        </w:rPr>
        <w:t>投标文件</w:t>
      </w:r>
      <w:r>
        <w:rPr>
          <w:rFonts w:hAnsi="宋体"/>
          <w:color w:val="auto"/>
          <w:sz w:val="21"/>
          <w:szCs w:val="21"/>
        </w:rPr>
        <w:t>正本用原件，格式见第</w:t>
      </w:r>
      <w:r>
        <w:rPr>
          <w:rFonts w:hint="eastAsia" w:hAnsi="宋体"/>
          <w:color w:val="auto"/>
          <w:sz w:val="21"/>
          <w:szCs w:val="21"/>
        </w:rPr>
        <w:t>六章投标文件格式相应内容</w:t>
      </w:r>
      <w:r>
        <w:rPr>
          <w:rFonts w:hAnsi="宋体"/>
          <w:color w:val="auto"/>
          <w:sz w:val="21"/>
          <w:szCs w:val="21"/>
        </w:rPr>
        <w:t>）</w:t>
      </w:r>
      <w:r>
        <w:rPr>
          <w:rFonts w:hint="eastAsia" w:hAnsi="宋体"/>
          <w:color w:val="auto"/>
          <w:sz w:val="21"/>
          <w:szCs w:val="21"/>
        </w:rPr>
        <w:t>及法定代表人授权代表身份证正反面复印件加盖投标人公章、投标人的法定代表人授权代表近一个月的社保证明复印件加盖投标人公章</w:t>
      </w:r>
      <w:r>
        <w:rPr>
          <w:rFonts w:hint="eastAsia" w:hAnsi="宋体"/>
          <w:color w:val="auto"/>
          <w:szCs w:val="21"/>
        </w:rPr>
        <w:t>；</w:t>
      </w:r>
    </w:p>
    <w:p>
      <w:pPr>
        <w:rPr>
          <w:rFonts w:hint="eastAsia"/>
          <w:color w:val="auto"/>
        </w:rPr>
      </w:pPr>
      <w:r>
        <w:rPr>
          <w:rFonts w:hint="eastAsia" w:ascii="宋体" w:hAnsi="宋体"/>
          <w:color w:val="auto"/>
          <w:szCs w:val="21"/>
        </w:rPr>
        <w:t>④</w:t>
      </w:r>
      <w:r>
        <w:rPr>
          <w:rFonts w:hint="eastAsia" w:hAnsi="宋体"/>
          <w:b/>
          <w:color w:val="auto"/>
          <w:szCs w:val="21"/>
        </w:rPr>
        <w:t>合格投标人的资格要求中相应的证明材料（该部分内容为资格审查标准，开标时携带证明资料原件备查，第</w:t>
      </w:r>
      <w:r>
        <w:rPr>
          <w:rFonts w:hint="eastAsia" w:ascii="宋体" w:hAnsi="宋体" w:cs="宋体"/>
          <w:b/>
          <w:color w:val="auto"/>
          <w:szCs w:val="21"/>
        </w:rPr>
        <w:t>（1）款中的资料除外</w:t>
      </w:r>
      <w:r>
        <w:rPr>
          <w:rFonts w:hint="eastAsia" w:hAnsi="宋体"/>
          <w:b/>
          <w:color w:val="auto"/>
          <w:szCs w:val="21"/>
        </w:rPr>
        <w:t>）：</w:t>
      </w:r>
    </w:p>
    <w:p>
      <w:pPr>
        <w:spacing w:line="360" w:lineRule="auto"/>
        <w:rPr>
          <w:rFonts w:hint="eastAsia" w:ascii="宋体" w:hAnsi="宋体" w:cs="宋体"/>
          <w:b/>
          <w:color w:val="auto"/>
          <w:szCs w:val="21"/>
        </w:rPr>
      </w:pPr>
      <w:r>
        <w:rPr>
          <w:rFonts w:hint="eastAsia" w:ascii="宋体" w:hAnsi="宋体" w:cs="宋体"/>
          <w:b/>
          <w:color w:val="auto"/>
          <w:szCs w:val="21"/>
        </w:rPr>
        <w:t>（1）</w:t>
      </w:r>
      <w:r>
        <w:rPr>
          <w:rFonts w:hint="eastAsia" w:ascii="宋体" w:hAnsi="宋体" w:cs="宋体"/>
          <w:b/>
          <w:color w:val="auto"/>
        </w:rPr>
        <w:t>投标人未被列入“信用中国”网站(</w:t>
      </w:r>
      <w:r>
        <w:rPr>
          <w:rFonts w:ascii="宋体" w:hAnsi="宋体" w:cs="宋体"/>
          <w:b/>
          <w:color w:val="auto"/>
        </w:rPr>
        <w:fldChar w:fldCharType="begin"/>
      </w:r>
      <w:r>
        <w:rPr>
          <w:rFonts w:ascii="宋体" w:hAnsi="宋体" w:cs="宋体"/>
          <w:b/>
          <w:color w:val="auto"/>
        </w:rPr>
        <w:instrText xml:space="preserve">HYPERLINK "http://www.creditchina.gov.cn"</w:instrText>
      </w:r>
      <w:r>
        <w:rPr>
          <w:rFonts w:ascii="宋体" w:hAnsi="宋体" w:cs="宋体"/>
          <w:b/>
          <w:color w:val="auto"/>
        </w:rPr>
        <w:fldChar w:fldCharType="separate"/>
      </w:r>
      <w:r>
        <w:rPr>
          <w:rFonts w:hint="eastAsia" w:ascii="宋体"/>
          <w:b/>
          <w:color w:val="auto"/>
        </w:rPr>
        <w:t>www.creditchina.gov.cn</w:t>
      </w:r>
      <w:r>
        <w:rPr>
          <w:rFonts w:ascii="宋体" w:hAnsi="宋体" w:cs="宋体"/>
          <w:b/>
          <w:color w:val="auto"/>
        </w:rPr>
        <w:fldChar w:fldCharType="end"/>
      </w:r>
      <w:r>
        <w:rPr>
          <w:rFonts w:hint="eastAsia" w:ascii="宋体" w:hAnsi="宋体" w:cs="宋体"/>
          <w:b/>
          <w:color w:val="auto"/>
        </w:rPr>
        <w:t>)中的“失信被执行人或重大税收违法案件当事人名单或政府采购严重违法失信名单”，不处于中国政府采购网(www.ccgp.gov.cn)“</w:t>
      </w:r>
      <w:r>
        <w:rPr>
          <w:rFonts w:ascii="宋体" w:hAnsi="宋体" w:cs="宋体"/>
          <w:b/>
          <w:color w:val="auto"/>
        </w:rPr>
        <w:fldChar w:fldCharType="begin"/>
      </w:r>
      <w:r>
        <w:rPr>
          <w:rFonts w:ascii="宋体" w:hAnsi="宋体" w:cs="宋体"/>
          <w:b/>
          <w:color w:val="auto"/>
        </w:rPr>
        <w:instrText xml:space="preserve">HYPERLINK "http://www.ccgp.gov.cn/search/cr/" \o "政府采购严重违法失信行为记录名单"</w:instrText>
      </w:r>
      <w:r>
        <w:rPr>
          <w:rFonts w:ascii="宋体" w:hAnsi="宋体" w:cs="宋体"/>
          <w:b/>
          <w:color w:val="auto"/>
        </w:rPr>
        <w:fldChar w:fldCharType="separate"/>
      </w:r>
      <w:r>
        <w:rPr>
          <w:rFonts w:ascii="宋体" w:hAnsi="宋体" w:cs="宋体"/>
          <w:b/>
          <w:color w:val="auto"/>
        </w:rPr>
        <w:t>政府采购严重违法失信行为记录名单</w:t>
      </w:r>
      <w:r>
        <w:rPr>
          <w:rFonts w:ascii="宋体" w:hAnsi="宋体" w:cs="宋体"/>
          <w:b/>
          <w:color w:val="auto"/>
        </w:rPr>
        <w:fldChar w:fldCharType="end"/>
      </w:r>
      <w:r>
        <w:rPr>
          <w:rFonts w:hint="eastAsia" w:ascii="宋体" w:hAnsi="宋体" w:cs="宋体"/>
          <w:b/>
          <w:color w:val="auto"/>
        </w:rPr>
        <w:t>”处罚结果确定为禁止参加政府采购活动期间。</w:t>
      </w:r>
      <w:r>
        <w:rPr>
          <w:rFonts w:hint="eastAsia" w:ascii="宋体" w:hAnsi="宋体"/>
          <w:b/>
          <w:color w:val="auto"/>
          <w:szCs w:val="21"/>
        </w:rPr>
        <w:t>（格式自拟，投标文件中附投标人在</w:t>
      </w:r>
      <w:r>
        <w:rPr>
          <w:rFonts w:hint="eastAsia" w:ascii="宋体" w:hAnsi="宋体" w:cs="宋体"/>
          <w:b/>
          <w:color w:val="auto"/>
        </w:rPr>
        <w:t xml:space="preserve"> “信用中国”网站(</w:t>
      </w:r>
      <w:r>
        <w:rPr>
          <w:rFonts w:ascii="宋体" w:hAnsi="宋体" w:cs="宋体"/>
          <w:b/>
          <w:color w:val="auto"/>
        </w:rPr>
        <w:fldChar w:fldCharType="begin"/>
      </w:r>
      <w:r>
        <w:rPr>
          <w:rFonts w:ascii="宋体" w:hAnsi="宋体" w:cs="宋体"/>
          <w:b/>
          <w:color w:val="auto"/>
        </w:rPr>
        <w:instrText xml:space="preserve"> HYPERLINK "http://</w:instrText>
      </w:r>
      <w:r>
        <w:rPr>
          <w:rFonts w:hint="eastAsia" w:ascii="宋体" w:hAnsi="宋体" w:cs="宋体"/>
          <w:b/>
          <w:color w:val="auto"/>
        </w:rPr>
        <w:instrText xml:space="preserve">www.creditchina.gov.cn</w:instrText>
      </w:r>
      <w:r>
        <w:rPr>
          <w:rFonts w:ascii="宋体" w:hAnsi="宋体" w:cs="宋体"/>
          <w:b/>
          <w:color w:val="auto"/>
        </w:rPr>
        <w:instrText xml:space="preserve">" </w:instrText>
      </w:r>
      <w:r>
        <w:rPr>
          <w:rFonts w:ascii="宋体" w:hAnsi="宋体" w:cs="宋体"/>
          <w:b/>
          <w:color w:val="auto"/>
        </w:rPr>
        <w:fldChar w:fldCharType="separate"/>
      </w:r>
      <w:r>
        <w:rPr>
          <w:rStyle w:val="55"/>
          <w:rFonts w:hint="eastAsia" w:hAnsi="宋体" w:cs="宋体"/>
          <w:b/>
          <w:color w:val="auto"/>
        </w:rPr>
        <w:t>www.creditchina.gov.cn</w:t>
      </w:r>
      <w:r>
        <w:rPr>
          <w:rFonts w:ascii="宋体" w:hAnsi="宋体" w:cs="宋体"/>
          <w:b/>
          <w:color w:val="auto"/>
        </w:rPr>
        <w:fldChar w:fldCharType="end"/>
      </w:r>
      <w:r>
        <w:rPr>
          <w:rFonts w:hint="eastAsia" w:ascii="宋体" w:hAnsi="宋体" w:cs="宋体"/>
          <w:b/>
          <w:color w:val="auto"/>
        </w:rPr>
        <w:t>)、中国政府采购网(www.ccgp.gov.cn)</w:t>
      </w:r>
      <w:r>
        <w:rPr>
          <w:rFonts w:hint="eastAsia" w:ascii="宋体" w:hAnsi="宋体"/>
          <w:b/>
          <w:color w:val="auto"/>
          <w:szCs w:val="21"/>
        </w:rPr>
        <w:t>中查询结果的截图复印件。</w:t>
      </w:r>
      <w:r>
        <w:rPr>
          <w:rFonts w:hint="eastAsia" w:ascii="宋体" w:hAnsi="宋体" w:cs="宋体"/>
          <w:b/>
          <w:color w:val="auto"/>
        </w:rPr>
        <w:t>“</w:t>
      </w:r>
      <w:r>
        <w:rPr>
          <w:rFonts w:hint="eastAsia" w:ascii="微软雅黑" w:hAnsi="微软雅黑" w:eastAsia="微软雅黑"/>
          <w:b/>
          <w:color w:val="auto"/>
          <w:sz w:val="19"/>
          <w:szCs w:val="19"/>
        </w:rPr>
        <w:t> </w:t>
      </w:r>
      <w:r>
        <w:rPr>
          <w:rFonts w:ascii="微软雅黑" w:hAnsi="微软雅黑" w:eastAsia="微软雅黑"/>
          <w:b/>
          <w:color w:val="auto"/>
          <w:sz w:val="19"/>
          <w:szCs w:val="19"/>
        </w:rPr>
        <w:fldChar w:fldCharType="begin"/>
      </w:r>
      <w:r>
        <w:rPr>
          <w:rFonts w:ascii="微软雅黑" w:hAnsi="微软雅黑" w:eastAsia="微软雅黑"/>
          <w:b/>
          <w:color w:val="auto"/>
          <w:sz w:val="19"/>
          <w:szCs w:val="19"/>
        </w:rPr>
        <w:instrText xml:space="preserve"> HYPERLINK "http://www.ccgp.gov.cn/search/cr/" \o "政府采购严重违法失信行为记录名单" </w:instrText>
      </w:r>
      <w:r>
        <w:rPr>
          <w:rFonts w:ascii="微软雅黑" w:hAnsi="微软雅黑" w:eastAsia="微软雅黑"/>
          <w:b/>
          <w:color w:val="auto"/>
          <w:sz w:val="19"/>
          <w:szCs w:val="19"/>
        </w:rPr>
        <w:fldChar w:fldCharType="separate"/>
      </w:r>
      <w:r>
        <w:rPr>
          <w:rStyle w:val="55"/>
          <w:b/>
          <w:color w:val="auto"/>
        </w:rPr>
        <w:t>政府采购严重违法失信行为记录名单</w:t>
      </w:r>
      <w:r>
        <w:rPr>
          <w:rFonts w:ascii="微软雅黑" w:hAnsi="微软雅黑" w:eastAsia="微软雅黑"/>
          <w:b/>
          <w:color w:val="auto"/>
          <w:sz w:val="19"/>
          <w:szCs w:val="19"/>
        </w:rPr>
        <w:fldChar w:fldCharType="end"/>
      </w:r>
      <w:r>
        <w:rPr>
          <w:rFonts w:hint="eastAsia" w:ascii="宋体" w:hAnsi="宋体" w:cs="宋体"/>
          <w:b/>
          <w:color w:val="auto"/>
        </w:rPr>
        <w:t>”处罚结果确定为禁止参加政府采购活动</w:t>
      </w:r>
      <w:r>
        <w:rPr>
          <w:rFonts w:hint="eastAsia" w:ascii="宋体" w:hAnsi="宋体"/>
          <w:b/>
          <w:color w:val="auto"/>
          <w:szCs w:val="21"/>
        </w:rPr>
        <w:t>期限届满的需另行提供相关证明</w:t>
      </w:r>
      <w:r>
        <w:rPr>
          <w:rFonts w:hint="eastAsia" w:ascii="宋体" w:hAnsi="宋体" w:cs="宋体"/>
          <w:b/>
          <w:color w:val="auto"/>
          <w:szCs w:val="21"/>
        </w:rPr>
        <w:t>资料，加盖投标人公章。）</w:t>
      </w:r>
    </w:p>
    <w:p>
      <w:pPr>
        <w:spacing w:line="360" w:lineRule="auto"/>
        <w:rPr>
          <w:rFonts w:hint="eastAsia" w:ascii="宋体" w:hAnsi="宋体" w:cs="宋体"/>
          <w:b/>
          <w:color w:val="auto"/>
        </w:rPr>
      </w:pPr>
      <w:r>
        <w:rPr>
          <w:rFonts w:hint="eastAsia" w:ascii="宋体" w:hAnsi="宋体" w:cs="宋体"/>
          <w:b/>
          <w:color w:val="auto"/>
        </w:rPr>
        <w:t>以采购代理机构于投标截止日当天在信用中国网站及中国政府采购网查询结果为准；若在开标当天因不可抗力事件导致无法查询且一时无法恢复查询的，采购人、采购代理机构可在中标公示期间对中标候选人进行事后查询。中标候选人被列入“信用中国”网站失信被执行人、重大税收违法案件当事人名单或政府采购严重违法失信名单、“</w:t>
      </w:r>
      <w:r>
        <w:rPr>
          <w:rFonts w:ascii="宋体" w:hAnsi="宋体" w:cs="宋体"/>
          <w:b/>
          <w:color w:val="auto"/>
        </w:rPr>
        <w:fldChar w:fldCharType="begin"/>
      </w:r>
      <w:r>
        <w:rPr>
          <w:rFonts w:ascii="宋体" w:hAnsi="宋体" w:cs="宋体"/>
          <w:b/>
          <w:color w:val="auto"/>
        </w:rPr>
        <w:instrText xml:space="preserve">HYPERLINK "http://www.ccgp.gov.cn/search/cr/" \o "政府采购严重违法失信行为记录名单"</w:instrText>
      </w:r>
      <w:r>
        <w:rPr>
          <w:rFonts w:ascii="宋体" w:hAnsi="宋体" w:cs="宋体"/>
          <w:b/>
          <w:color w:val="auto"/>
        </w:rPr>
        <w:fldChar w:fldCharType="separate"/>
      </w:r>
      <w:r>
        <w:rPr>
          <w:rFonts w:ascii="宋体" w:hAnsi="宋体" w:cs="宋体"/>
          <w:b/>
          <w:color w:val="auto"/>
        </w:rPr>
        <w:t>政府采购严重违法失信行为记录名单</w:t>
      </w:r>
      <w:r>
        <w:rPr>
          <w:rFonts w:ascii="宋体" w:hAnsi="宋体" w:cs="宋体"/>
          <w:b/>
          <w:color w:val="auto"/>
        </w:rPr>
        <w:fldChar w:fldCharType="end"/>
      </w:r>
      <w:r>
        <w:rPr>
          <w:rFonts w:hint="eastAsia" w:ascii="宋体" w:hAnsi="宋体" w:cs="宋体"/>
          <w:b/>
          <w:color w:val="auto"/>
        </w:rPr>
        <w:t>”处罚结果确定为禁止参加政府采购活动期间的，采购人将依法取消其中标资格。</w:t>
      </w:r>
    </w:p>
    <w:p>
      <w:pPr>
        <w:snapToGrid w:val="0"/>
        <w:spacing w:line="360" w:lineRule="auto"/>
        <w:jc w:val="left"/>
        <w:rPr>
          <w:rFonts w:ascii="宋体" w:hAnsi="宋体" w:cs="宋体"/>
          <w:b/>
          <w:color w:val="auto"/>
          <w:szCs w:val="21"/>
        </w:rPr>
      </w:pPr>
      <w:r>
        <w:rPr>
          <w:rFonts w:hint="eastAsia" w:ascii="宋体" w:hAnsi="宋体" w:cs="宋体"/>
          <w:b/>
          <w:color w:val="auto"/>
          <w:szCs w:val="21"/>
        </w:rPr>
        <w:t>（2）具有独立承担民事责任的能力；【格式自拟，投标文件中附法人或者其他组织的营业执照等证明文件（包括有效的企业法人营业执照或事业法人登记证或其他组织（个体工商户）的营业执照或者民办非企业单位登记证书）复印件并加盖投标人公章，如为自然人的需附身份证明复印件并签字。】</w:t>
      </w:r>
    </w:p>
    <w:p>
      <w:pPr>
        <w:spacing w:line="360" w:lineRule="auto"/>
        <w:rPr>
          <w:rFonts w:ascii="宋体" w:hAnsi="宋体" w:cs="宋体"/>
          <w:b/>
          <w:color w:val="auto"/>
          <w:szCs w:val="21"/>
        </w:rPr>
      </w:pPr>
      <w:r>
        <w:rPr>
          <w:rFonts w:hint="eastAsia" w:ascii="宋体" w:hAnsi="宋体" w:cs="宋体"/>
          <w:b/>
          <w:color w:val="auto"/>
          <w:szCs w:val="21"/>
        </w:rPr>
        <w:t>（3）具有良好的商业信誉和健全的财务会计制度、具有依法缴纳税收和社会保障资金良好记录；【格式自拟，投标文件中附财务状况报告（包括</w:t>
      </w:r>
      <w:r>
        <w:rPr>
          <w:rFonts w:hint="eastAsia"/>
          <w:color w:val="auto"/>
        </w:rPr>
        <w:t>2018年财务状况报告</w:t>
      </w:r>
      <w:r>
        <w:rPr>
          <w:rFonts w:hint="eastAsia"/>
          <w:b/>
          <w:color w:val="auto"/>
        </w:rPr>
        <w:t>或投标人成立不足一年的须提供银行出具的资信证明材料）</w:t>
      </w:r>
      <w:r>
        <w:rPr>
          <w:rFonts w:hint="eastAsia" w:ascii="宋体" w:hAnsi="宋体" w:cs="宋体"/>
          <w:b/>
          <w:color w:val="auto"/>
          <w:szCs w:val="21"/>
        </w:rPr>
        <w:t>复印件、依法缴纳税收和社会保障资金的相关材料复印件，加盖投标人公章，</w:t>
      </w:r>
      <w:r>
        <w:rPr>
          <w:rFonts w:hint="eastAsia"/>
          <w:b/>
          <w:color w:val="auto"/>
        </w:rPr>
        <w:t>如依法免税的，应提供其依法免税的证明文件复印件加盖</w:t>
      </w:r>
      <w:r>
        <w:rPr>
          <w:rFonts w:hint="eastAsia" w:ascii="宋体" w:hAnsi="宋体" w:cs="宋体"/>
          <w:b/>
          <w:color w:val="auto"/>
          <w:szCs w:val="21"/>
        </w:rPr>
        <w:t>投标人公章</w:t>
      </w:r>
      <w:r>
        <w:rPr>
          <w:rFonts w:hint="eastAsia"/>
          <w:b/>
          <w:color w:val="auto"/>
        </w:rPr>
        <w:t>，如依法不需要缴纳社会保障资金的，应提供其依法不需要缴纳社会保障资金的证明文件复印件加盖</w:t>
      </w:r>
      <w:r>
        <w:rPr>
          <w:rFonts w:hint="eastAsia" w:ascii="宋体" w:hAnsi="宋体" w:cs="宋体"/>
          <w:b/>
          <w:color w:val="auto"/>
          <w:szCs w:val="21"/>
        </w:rPr>
        <w:t>投标人公章</w:t>
      </w:r>
      <w:r>
        <w:rPr>
          <w:rFonts w:hint="eastAsia"/>
          <w:b/>
          <w:color w:val="auto"/>
        </w:rPr>
        <w:t>。</w:t>
      </w:r>
      <w:r>
        <w:rPr>
          <w:rFonts w:hint="eastAsia" w:ascii="宋体" w:hAnsi="宋体" w:cs="宋体"/>
          <w:b/>
          <w:color w:val="auto"/>
          <w:szCs w:val="21"/>
        </w:rPr>
        <w:t>】</w:t>
      </w:r>
    </w:p>
    <w:p>
      <w:pPr>
        <w:spacing w:line="360" w:lineRule="auto"/>
        <w:rPr>
          <w:rFonts w:ascii="宋体" w:hAnsi="宋体" w:cs="宋体"/>
          <w:b/>
          <w:color w:val="auto"/>
          <w:szCs w:val="21"/>
        </w:rPr>
      </w:pPr>
      <w:r>
        <w:rPr>
          <w:rFonts w:hint="eastAsia" w:ascii="宋体" w:hAnsi="宋体" w:cs="宋体"/>
          <w:b/>
          <w:color w:val="auto"/>
          <w:szCs w:val="21"/>
        </w:rPr>
        <w:t>（4）具有履行合同所必需的设备和专业技术能力；(格式自拟，投标文件中附具备履行合同所必需的设备和专业技术能力的证明材料复印件并加盖投标人公章。)</w:t>
      </w:r>
    </w:p>
    <w:p>
      <w:pPr>
        <w:spacing w:line="360" w:lineRule="auto"/>
        <w:rPr>
          <w:rFonts w:hint="eastAsia" w:ascii="宋体" w:hAnsi="宋体" w:cs="宋体"/>
          <w:b/>
          <w:color w:val="auto"/>
          <w:szCs w:val="21"/>
        </w:rPr>
      </w:pPr>
      <w:r>
        <w:rPr>
          <w:rFonts w:hint="eastAsia" w:ascii="宋体" w:hAnsi="宋体" w:cs="宋体"/>
          <w:b/>
          <w:color w:val="auto"/>
          <w:szCs w:val="21"/>
        </w:rPr>
        <w:t>（5）参加本政府采购活动前三年内，</w:t>
      </w:r>
      <w:r>
        <w:rPr>
          <w:rFonts w:ascii="宋体" w:hAnsi="宋体" w:cs="宋体"/>
          <w:b/>
          <w:color w:val="auto"/>
          <w:kern w:val="0"/>
          <w:szCs w:val="21"/>
        </w:rPr>
        <w:t>在经营活动中没有重大违法记录</w:t>
      </w:r>
      <w:r>
        <w:rPr>
          <w:rFonts w:hint="eastAsia" w:ascii="宋体" w:hAnsi="宋体" w:cs="宋体"/>
          <w:b/>
          <w:color w:val="auto"/>
          <w:szCs w:val="21"/>
        </w:rPr>
        <w:t>。（按第六章投标文件格式中的投标声明书作相应声明。）</w:t>
      </w:r>
    </w:p>
    <w:p>
      <w:pPr>
        <w:spacing w:line="360" w:lineRule="auto"/>
        <w:rPr>
          <w:rFonts w:hint="eastAsia" w:ascii="宋体" w:hAnsi="宋体"/>
          <w:b/>
          <w:color w:val="auto"/>
          <w:szCs w:val="21"/>
        </w:rPr>
      </w:pPr>
      <w:r>
        <w:rPr>
          <w:rFonts w:hint="eastAsia" w:ascii="宋体" w:hAnsi="宋体" w:cs="宋体"/>
          <w:b/>
          <w:color w:val="auto"/>
          <w:szCs w:val="21"/>
        </w:rPr>
        <w:t>（6）</w:t>
      </w:r>
      <w:r>
        <w:rPr>
          <w:rFonts w:hint="eastAsia" w:ascii="宋体" w:hAnsi="宋体"/>
          <w:b/>
          <w:color w:val="auto"/>
          <w:szCs w:val="21"/>
        </w:rPr>
        <w:t>单位负责人为同一人或者存在直接控股、管理关系的不同供应商，不得参加本项目的政府采购活动。为本采购项目提供整体设计、规范编制或者项目管理、监理、检测等服务的供应商，不得</w:t>
      </w:r>
      <w:r>
        <w:rPr>
          <w:rFonts w:hint="eastAsia" w:ascii="宋体" w:hAnsi="宋体" w:cs="宋体"/>
          <w:b/>
          <w:color w:val="auto"/>
          <w:szCs w:val="21"/>
        </w:rPr>
        <w:t>再参加本采购项目的投标。（按第六章投标文件格式中的投标声明作相应声明、按承诺书作相应承诺。）；</w:t>
      </w:r>
    </w:p>
    <w:p>
      <w:pPr>
        <w:kinsoku w:val="0"/>
        <w:snapToGrid w:val="0"/>
        <w:spacing w:line="360" w:lineRule="auto"/>
        <w:rPr>
          <w:rFonts w:hint="eastAsia" w:ascii="宋体" w:hAnsi="宋体" w:cs="宋体"/>
          <w:b/>
          <w:color w:val="auto"/>
          <w:szCs w:val="21"/>
        </w:rPr>
      </w:pPr>
      <w:r>
        <w:rPr>
          <w:rFonts w:hint="eastAsia" w:ascii="宋体" w:hAnsi="宋体"/>
          <w:b/>
          <w:color w:val="auto"/>
          <w:szCs w:val="21"/>
        </w:rPr>
        <w:t>（7）</w:t>
      </w:r>
      <w:r>
        <w:rPr>
          <w:rFonts w:ascii="宋体" w:hAnsi="宋体" w:cs="宋体"/>
          <w:b/>
          <w:color w:val="auto"/>
          <w:szCs w:val="21"/>
        </w:rPr>
        <w:t>本项目不接受联合体投标</w:t>
      </w:r>
      <w:r>
        <w:rPr>
          <w:rFonts w:hint="eastAsia" w:ascii="宋体" w:hAnsi="宋体" w:cs="宋体"/>
          <w:b/>
          <w:color w:val="auto"/>
          <w:szCs w:val="21"/>
        </w:rPr>
        <w:t>。（按第六章投标文件格式中的投标声明书作相应声明。）</w:t>
      </w:r>
    </w:p>
    <w:p>
      <w:pPr>
        <w:snapToGrid w:val="0"/>
        <w:spacing w:line="360" w:lineRule="auto"/>
        <w:jc w:val="left"/>
        <w:rPr>
          <w:rFonts w:hint="eastAsia" w:ascii="宋体" w:hAnsi="宋体"/>
          <w:color w:val="auto"/>
          <w:szCs w:val="21"/>
        </w:rPr>
      </w:pPr>
      <w:r>
        <w:rPr>
          <w:rFonts w:hint="eastAsia" w:ascii="宋体" w:hAnsi="宋体"/>
          <w:color w:val="auto"/>
          <w:szCs w:val="21"/>
        </w:rPr>
        <w:t>⑤采购文件评分标准表中要求提供的资信、商务资料；（格式自拟，按评分标准表中的要求提供）；</w:t>
      </w:r>
    </w:p>
    <w:p>
      <w:pPr>
        <w:snapToGrid w:val="0"/>
        <w:spacing w:line="360" w:lineRule="auto"/>
        <w:jc w:val="left"/>
        <w:rPr>
          <w:rFonts w:ascii="宋体" w:hAnsi="宋体"/>
          <w:color w:val="auto"/>
          <w:szCs w:val="21"/>
        </w:rPr>
      </w:pPr>
      <w:r>
        <w:rPr>
          <w:rFonts w:hint="eastAsia" w:ascii="宋体" w:hAnsi="宋体"/>
          <w:color w:val="auto"/>
          <w:szCs w:val="21"/>
        </w:rPr>
        <w:t>⑥投标人情况介绍（格式见第六章投标文件格式中相应内容）；</w:t>
      </w:r>
    </w:p>
    <w:p>
      <w:pPr>
        <w:snapToGrid w:val="0"/>
        <w:spacing w:line="360" w:lineRule="auto"/>
        <w:jc w:val="left"/>
        <w:rPr>
          <w:rFonts w:hint="eastAsia" w:ascii="宋体" w:hAnsi="宋体"/>
          <w:color w:val="auto"/>
          <w:szCs w:val="21"/>
        </w:rPr>
      </w:pPr>
      <w:r>
        <w:rPr>
          <w:rFonts w:hint="eastAsia" w:ascii="宋体" w:hAnsi="宋体"/>
          <w:color w:val="auto"/>
          <w:szCs w:val="21"/>
        </w:rPr>
        <w:t>⑦商务响应表（格式见第六章投标文件格式中相应内容）；</w:t>
      </w:r>
    </w:p>
    <w:p>
      <w:pPr>
        <w:snapToGrid w:val="0"/>
        <w:spacing w:line="360" w:lineRule="auto"/>
        <w:jc w:val="left"/>
        <w:rPr>
          <w:rFonts w:ascii="宋体" w:hAnsi="宋体"/>
          <w:color w:val="auto"/>
          <w:szCs w:val="21"/>
        </w:rPr>
      </w:pPr>
      <w:r>
        <w:rPr>
          <w:rFonts w:hint="eastAsia" w:ascii="宋体" w:hAnsi="宋体"/>
          <w:color w:val="auto"/>
          <w:szCs w:val="21"/>
        </w:rPr>
        <w:t>⑧投标人认为需要提供的与本项目有关的其他资信及商务资料（如有可提供，格式自拟）。</w:t>
      </w:r>
    </w:p>
    <w:p>
      <w:pPr>
        <w:snapToGrid w:val="0"/>
        <w:spacing w:line="360" w:lineRule="auto"/>
        <w:jc w:val="left"/>
        <w:rPr>
          <w:rFonts w:ascii="宋体" w:hAnsi="宋体"/>
          <w:b/>
          <w:bCs/>
          <w:color w:val="auto"/>
          <w:szCs w:val="21"/>
        </w:rPr>
      </w:pPr>
      <w:r>
        <w:rPr>
          <w:rFonts w:ascii="宋体" w:hAnsi="宋体"/>
          <w:b/>
          <w:bCs/>
          <w:color w:val="auto"/>
          <w:szCs w:val="21"/>
        </w:rPr>
        <w:t>技术</w:t>
      </w:r>
      <w:r>
        <w:rPr>
          <w:rFonts w:hint="eastAsia" w:ascii="宋体" w:hAnsi="宋体"/>
          <w:b/>
          <w:bCs/>
          <w:color w:val="auto"/>
          <w:szCs w:val="21"/>
        </w:rPr>
        <w:t>部分</w:t>
      </w:r>
    </w:p>
    <w:p>
      <w:pPr>
        <w:tabs>
          <w:tab w:val="left" w:pos="420"/>
        </w:tabs>
        <w:adjustRightInd w:val="0"/>
        <w:snapToGrid w:val="0"/>
        <w:spacing w:line="360" w:lineRule="auto"/>
        <w:rPr>
          <w:rFonts w:ascii="宋体" w:hAnsi="宋体"/>
          <w:color w:val="auto"/>
          <w:szCs w:val="21"/>
        </w:rPr>
      </w:pPr>
      <w:r>
        <w:rPr>
          <w:rFonts w:hint="eastAsia" w:ascii="宋体" w:hAnsi="宋体"/>
          <w:color w:val="auto"/>
          <w:szCs w:val="21"/>
        </w:rPr>
        <w:t>①对采购文件第二章采购需求中的“二、采购清单及技术参数”内容的响应及按其要求需提供的相关资料（格式见第六章投标文件格式相应内容，相关资料格式自拟）</w:t>
      </w:r>
      <w:r>
        <w:rPr>
          <w:rFonts w:hint="eastAsia"/>
          <w:color w:val="auto"/>
          <w:szCs w:val="21"/>
        </w:rPr>
        <w:t>；</w:t>
      </w:r>
    </w:p>
    <w:p>
      <w:pPr>
        <w:snapToGrid w:val="0"/>
        <w:spacing w:before="50" w:after="120" w:afterLines="50" w:line="360" w:lineRule="auto"/>
        <w:jc w:val="left"/>
        <w:rPr>
          <w:rFonts w:hint="eastAsia" w:ascii="宋体" w:hAnsi="宋体"/>
          <w:color w:val="auto"/>
          <w:szCs w:val="21"/>
        </w:rPr>
      </w:pPr>
      <w:r>
        <w:rPr>
          <w:rFonts w:hint="eastAsia" w:ascii="宋体" w:hAnsi="宋体"/>
          <w:color w:val="auto"/>
          <w:szCs w:val="21"/>
        </w:rPr>
        <w:t>②根据采购文件第四章评标办法及评分标准中的内容、要求提供的技术文件：</w:t>
      </w:r>
    </w:p>
    <w:p>
      <w:pPr>
        <w:tabs>
          <w:tab w:val="left" w:pos="420"/>
        </w:tabs>
        <w:adjustRightInd w:val="0"/>
        <w:snapToGrid w:val="0"/>
        <w:spacing w:line="360" w:lineRule="auto"/>
        <w:rPr>
          <w:rFonts w:hint="eastAsia" w:ascii="宋体" w:hAnsi="宋体"/>
          <w:color w:val="auto"/>
          <w:szCs w:val="21"/>
        </w:rPr>
      </w:pPr>
      <w:r>
        <w:rPr>
          <w:rFonts w:hint="eastAsia" w:ascii="宋体" w:hAnsi="宋体"/>
          <w:color w:val="auto"/>
          <w:szCs w:val="21"/>
        </w:rPr>
        <w:t>1）按按演示要求进行演示；</w:t>
      </w:r>
    </w:p>
    <w:p>
      <w:pPr>
        <w:tabs>
          <w:tab w:val="left" w:pos="420"/>
        </w:tabs>
        <w:adjustRightInd w:val="0"/>
        <w:snapToGrid w:val="0"/>
        <w:spacing w:line="360" w:lineRule="auto"/>
        <w:rPr>
          <w:rFonts w:hint="eastAsia" w:ascii="宋体" w:hAnsi="宋体"/>
          <w:color w:val="auto"/>
          <w:szCs w:val="21"/>
        </w:rPr>
      </w:pPr>
      <w:r>
        <w:rPr>
          <w:rFonts w:hint="eastAsia" w:ascii="宋体" w:hAnsi="宋体"/>
          <w:color w:val="auto"/>
          <w:szCs w:val="21"/>
        </w:rPr>
        <w:t>2）所投设备先进性的描述及相关证明资料；</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p>
      <w:pPr>
        <w:tabs>
          <w:tab w:val="left" w:pos="420"/>
        </w:tabs>
        <w:adjustRightInd w:val="0"/>
        <w:snapToGrid w:val="0"/>
        <w:spacing w:line="360" w:lineRule="auto"/>
        <w:rPr>
          <w:rFonts w:hint="eastAsia" w:ascii="宋体" w:hAnsi="宋体"/>
          <w:color w:val="auto"/>
          <w:szCs w:val="21"/>
        </w:rPr>
      </w:pPr>
      <w:r>
        <w:rPr>
          <w:rFonts w:hint="eastAsia" w:ascii="宋体" w:hAnsi="宋体"/>
          <w:color w:val="auto"/>
          <w:szCs w:val="21"/>
        </w:rPr>
        <w:t>3）所投设备稳定性的描述及相关证明资料；</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p>
      <w:pPr>
        <w:tabs>
          <w:tab w:val="left" w:pos="420"/>
        </w:tabs>
        <w:adjustRightInd w:val="0"/>
        <w:snapToGrid w:val="0"/>
        <w:spacing w:line="360" w:lineRule="auto"/>
        <w:rPr>
          <w:rFonts w:ascii="宋体" w:hAnsi="宋体"/>
          <w:color w:val="auto"/>
          <w:szCs w:val="21"/>
        </w:rPr>
      </w:pPr>
      <w:r>
        <w:rPr>
          <w:rFonts w:hint="eastAsia" w:ascii="宋体" w:hAnsi="宋体"/>
          <w:color w:val="auto"/>
          <w:szCs w:val="21"/>
        </w:rPr>
        <w:t>4）所投产品认可度的描述及证明资料；</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p>
      <w:pPr>
        <w:tabs>
          <w:tab w:val="left" w:pos="315"/>
        </w:tabs>
        <w:adjustRightInd w:val="0"/>
        <w:snapToGrid w:val="0"/>
        <w:spacing w:line="360" w:lineRule="auto"/>
        <w:jc w:val="left"/>
        <w:rPr>
          <w:rFonts w:ascii="宋体" w:hAnsi="宋体"/>
          <w:color w:val="auto"/>
          <w:szCs w:val="21"/>
        </w:rPr>
      </w:pPr>
      <w:r>
        <w:rPr>
          <w:rFonts w:hint="eastAsia" w:ascii="宋体" w:hAnsi="宋体"/>
          <w:color w:val="auto"/>
          <w:szCs w:val="21"/>
        </w:rPr>
        <w:t>5）针对本项目的实施方案，包括施工计划、质量管控、测试及验收方案等；</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p>
      <w:pPr>
        <w:tabs>
          <w:tab w:val="left" w:pos="315"/>
        </w:tabs>
        <w:adjustRightInd w:val="0"/>
        <w:snapToGrid w:val="0"/>
        <w:spacing w:line="360" w:lineRule="auto"/>
        <w:jc w:val="left"/>
        <w:rPr>
          <w:rFonts w:ascii="宋体" w:hAnsi="宋体"/>
          <w:color w:val="auto"/>
          <w:szCs w:val="21"/>
        </w:rPr>
      </w:pPr>
      <w:r>
        <w:rPr>
          <w:rFonts w:hint="eastAsia" w:ascii="宋体" w:hAnsi="宋体"/>
          <w:color w:val="auto"/>
          <w:szCs w:val="21"/>
        </w:rPr>
        <w:t>6）针对本项目的质保期承诺；</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p>
      <w:pPr>
        <w:tabs>
          <w:tab w:val="left" w:pos="315"/>
        </w:tabs>
        <w:adjustRightInd w:val="0"/>
        <w:snapToGrid w:val="0"/>
        <w:spacing w:line="360" w:lineRule="auto"/>
        <w:jc w:val="left"/>
        <w:rPr>
          <w:rFonts w:ascii="宋体" w:hAnsi="宋体"/>
          <w:color w:val="auto"/>
          <w:szCs w:val="21"/>
        </w:rPr>
      </w:pPr>
      <w:r>
        <w:rPr>
          <w:rFonts w:hint="eastAsia" w:ascii="宋体" w:hAnsi="宋体"/>
          <w:color w:val="auto"/>
          <w:szCs w:val="21"/>
        </w:rPr>
        <w:t>7）针对本项目服务响应能力的描述及相关证明资料；</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p>
      <w:pPr>
        <w:tabs>
          <w:tab w:val="left" w:pos="315"/>
        </w:tabs>
        <w:adjustRightInd w:val="0"/>
        <w:snapToGrid w:val="0"/>
        <w:spacing w:line="360" w:lineRule="auto"/>
        <w:jc w:val="left"/>
        <w:rPr>
          <w:rFonts w:ascii="宋体" w:hAnsi="宋体"/>
          <w:color w:val="auto"/>
          <w:szCs w:val="21"/>
        </w:rPr>
      </w:pPr>
      <w:r>
        <w:rPr>
          <w:rFonts w:hint="eastAsia" w:ascii="宋体" w:hAnsi="宋体"/>
          <w:color w:val="auto"/>
          <w:szCs w:val="21"/>
        </w:rPr>
        <w:t>8）售后服务承诺、培训方案及培训承诺；</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p>
      <w:pPr>
        <w:snapToGrid w:val="0"/>
        <w:spacing w:line="360" w:lineRule="auto"/>
        <w:jc w:val="left"/>
        <w:rPr>
          <w:rFonts w:hint="eastAsia"/>
          <w:color w:val="auto"/>
        </w:rPr>
      </w:pPr>
      <w:r>
        <w:rPr>
          <w:rFonts w:hint="eastAsia" w:ascii="宋体" w:hAnsi="宋体"/>
          <w:color w:val="auto"/>
          <w:szCs w:val="21"/>
        </w:rPr>
        <w:t>③</w:t>
      </w:r>
      <w:r>
        <w:rPr>
          <w:rFonts w:ascii="宋体" w:hAnsi="宋体"/>
          <w:color w:val="auto"/>
          <w:szCs w:val="21"/>
        </w:rPr>
        <w:t>投标人认为需要提供的其它技术资料</w:t>
      </w:r>
      <w:r>
        <w:rPr>
          <w:rFonts w:hint="eastAsia" w:ascii="宋体" w:hAnsi="宋体"/>
          <w:color w:val="auto"/>
          <w:szCs w:val="21"/>
        </w:rPr>
        <w:t>。</w:t>
      </w:r>
      <w:r>
        <w:rPr>
          <w:rFonts w:hint="eastAsia"/>
          <w:color w:val="auto"/>
          <w:szCs w:val="21"/>
        </w:rPr>
        <w:t>（格式自拟）</w:t>
      </w:r>
    </w:p>
    <w:p>
      <w:pPr>
        <w:snapToGrid w:val="0"/>
        <w:spacing w:line="360" w:lineRule="auto"/>
        <w:jc w:val="left"/>
        <w:rPr>
          <w:rFonts w:hint="eastAsia" w:ascii="宋体" w:hAnsi="宋体"/>
          <w:color w:val="auto"/>
          <w:szCs w:val="21"/>
        </w:rPr>
      </w:pPr>
      <w:r>
        <w:rPr>
          <w:rFonts w:hint="eastAsia" w:ascii="宋体" w:hAnsi="宋体"/>
          <w:color w:val="auto"/>
          <w:szCs w:val="21"/>
        </w:rPr>
        <w:t>④响应地方政策的承诺文件。（格式见第六章投标文件格式内容）</w:t>
      </w:r>
    </w:p>
    <w:p>
      <w:pPr>
        <w:pStyle w:val="42"/>
        <w:widowControl w:val="0"/>
        <w:spacing w:before="0" w:after="120" w:line="360" w:lineRule="auto"/>
        <w:ind w:firstLine="422" w:firstLineChars="200"/>
        <w:rPr>
          <w:color w:val="auto"/>
          <w:sz w:val="21"/>
          <w:szCs w:val="21"/>
        </w:rPr>
      </w:pPr>
      <w:r>
        <w:rPr>
          <w:b/>
          <w:bCs/>
          <w:color w:val="auto"/>
          <w:sz w:val="21"/>
          <w:szCs w:val="21"/>
        </w:rPr>
        <w:t>注：</w:t>
      </w:r>
      <w:r>
        <w:rPr>
          <w:rFonts w:hint="eastAsia"/>
          <w:b/>
          <w:bCs/>
          <w:color w:val="auto"/>
          <w:sz w:val="21"/>
          <w:szCs w:val="21"/>
        </w:rPr>
        <w:t>按采购文件要求需提供原件的资料，投标人代表须在提交投标文件的同时提交给代理机构工作人员并由双方在原件接收表上签字、确认，评标结束后退还。</w:t>
      </w:r>
    </w:p>
    <w:p>
      <w:pPr>
        <w:pStyle w:val="13"/>
        <w:widowControl w:val="0"/>
        <w:numPr>
          <w:ilvl w:val="0"/>
          <w:numId w:val="0"/>
        </w:numPr>
        <w:tabs>
          <w:tab w:val="clear" w:pos="454"/>
        </w:tabs>
        <w:snapToGrid w:val="0"/>
        <w:spacing w:before="120" w:beforeLines="50" w:after="0" w:afterLines="0" w:line="360" w:lineRule="auto"/>
        <w:ind w:left="280"/>
        <w:rPr>
          <w:rFonts w:ascii="宋体" w:hAnsi="宋体"/>
          <w:b/>
          <w:color w:val="auto"/>
          <w:sz w:val="21"/>
          <w:szCs w:val="21"/>
        </w:rPr>
      </w:pPr>
      <w:r>
        <w:rPr>
          <w:rFonts w:hint="eastAsia" w:ascii="宋体" w:hAnsi="宋体"/>
          <w:b/>
          <w:color w:val="auto"/>
          <w:sz w:val="21"/>
          <w:szCs w:val="21"/>
        </w:rPr>
        <w:t>（二）投标文件的语言及计量单位</w:t>
      </w:r>
    </w:p>
    <w:p>
      <w:pPr>
        <w:snapToGrid w:val="0"/>
        <w:spacing w:line="360" w:lineRule="auto"/>
        <w:jc w:val="left"/>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w:t>
      </w:r>
      <w:r>
        <w:rPr>
          <w:rFonts w:ascii="宋体" w:hAnsi="宋体"/>
          <w:color w:val="auto"/>
          <w:szCs w:val="21"/>
        </w:rPr>
        <w:t>投标文件以及</w:t>
      </w:r>
      <w:r>
        <w:rPr>
          <w:rFonts w:hint="eastAsia" w:ascii="宋体" w:hAnsi="宋体"/>
          <w:color w:val="auto"/>
          <w:szCs w:val="21"/>
        </w:rPr>
        <w:t>供应商</w:t>
      </w:r>
      <w:r>
        <w:rPr>
          <w:rFonts w:ascii="宋体" w:hAnsi="宋体"/>
          <w:color w:val="auto"/>
          <w:szCs w:val="21"/>
        </w:rPr>
        <w:t>与采购人、代理机构就</w:t>
      </w:r>
      <w:r>
        <w:rPr>
          <w:rFonts w:hint="eastAsia" w:ascii="宋体" w:hAnsi="宋体"/>
          <w:color w:val="auto"/>
          <w:szCs w:val="21"/>
        </w:rPr>
        <w:t>采购活动相关</w:t>
      </w:r>
      <w:r>
        <w:rPr>
          <w:rFonts w:ascii="宋体" w:hAnsi="宋体"/>
          <w:color w:val="auto"/>
          <w:szCs w:val="21"/>
        </w:rPr>
        <w:t>的所有往来函电，均应以中文汉语书写</w:t>
      </w:r>
      <w:r>
        <w:rPr>
          <w:rFonts w:hint="eastAsia" w:ascii="宋体" w:hAnsi="宋体"/>
          <w:color w:val="auto"/>
          <w:szCs w:val="21"/>
        </w:rPr>
        <w:t>，</w:t>
      </w:r>
      <w:r>
        <w:rPr>
          <w:rFonts w:ascii="宋体" w:hAnsi="宋体"/>
          <w:color w:val="auto"/>
          <w:szCs w:val="21"/>
        </w:rPr>
        <w:t>除签名、盖章、专用名称等特殊情形外，以中文汉语以外的文字表述的投标文件视同未提供。</w:t>
      </w:r>
    </w:p>
    <w:p>
      <w:pPr>
        <w:snapToGrid w:val="0"/>
        <w:spacing w:line="360" w:lineRule="auto"/>
        <w:jc w:val="left"/>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w:t>
      </w:r>
      <w:r>
        <w:rPr>
          <w:rFonts w:ascii="宋体" w:hAnsi="宋体"/>
          <w:color w:val="auto"/>
          <w:szCs w:val="21"/>
        </w:rPr>
        <w:t>投标计量单位，</w:t>
      </w:r>
      <w:r>
        <w:rPr>
          <w:rFonts w:hint="eastAsia" w:ascii="宋体" w:hAnsi="宋体"/>
          <w:color w:val="auto"/>
          <w:szCs w:val="21"/>
        </w:rPr>
        <w:t>采购文件</w:t>
      </w:r>
      <w:r>
        <w:rPr>
          <w:rFonts w:ascii="宋体" w:hAnsi="宋体"/>
          <w:color w:val="auto"/>
          <w:szCs w:val="21"/>
        </w:rPr>
        <w:t>已有明确规定的，使用规定的计量单位</w:t>
      </w:r>
      <w:r>
        <w:rPr>
          <w:rFonts w:hint="eastAsia" w:ascii="宋体" w:hAnsi="宋体"/>
          <w:color w:val="auto"/>
          <w:szCs w:val="21"/>
        </w:rPr>
        <w:t>，</w:t>
      </w:r>
      <w:r>
        <w:rPr>
          <w:rFonts w:ascii="宋体" w:hAnsi="宋体"/>
          <w:color w:val="auto"/>
          <w:szCs w:val="21"/>
        </w:rPr>
        <w:t>没有规定的，应采用中华人民共和国法定计量单位，否则视同未响应。</w:t>
      </w:r>
    </w:p>
    <w:p>
      <w:pPr>
        <w:pStyle w:val="13"/>
        <w:widowControl w:val="0"/>
        <w:numPr>
          <w:ilvl w:val="0"/>
          <w:numId w:val="0"/>
        </w:numPr>
        <w:tabs>
          <w:tab w:val="clear" w:pos="454"/>
        </w:tabs>
        <w:snapToGrid w:val="0"/>
        <w:spacing w:before="120" w:beforeLines="50" w:after="0" w:afterLines="0" w:line="360" w:lineRule="auto"/>
        <w:ind w:left="462"/>
        <w:rPr>
          <w:rFonts w:ascii="宋体" w:hAnsi="宋体"/>
          <w:b/>
          <w:color w:val="auto"/>
          <w:sz w:val="21"/>
          <w:szCs w:val="21"/>
        </w:rPr>
      </w:pPr>
      <w:r>
        <w:rPr>
          <w:rFonts w:hint="eastAsia" w:ascii="宋体" w:hAnsi="宋体"/>
          <w:b/>
          <w:color w:val="auto"/>
          <w:sz w:val="21"/>
          <w:szCs w:val="21"/>
        </w:rPr>
        <w:t>（三）投标价格</w:t>
      </w:r>
    </w:p>
    <w:p>
      <w:pPr>
        <w:pStyle w:val="25"/>
        <w:snapToGrid w:val="0"/>
        <w:spacing w:before="0" w:beforeLines="0" w:after="0" w:afterLines="0" w:line="360" w:lineRule="auto"/>
        <w:jc w:val="left"/>
        <w:rPr>
          <w:rFonts w:hAnsi="宋体"/>
          <w:color w:val="auto"/>
          <w:sz w:val="21"/>
          <w:szCs w:val="21"/>
        </w:rPr>
      </w:pPr>
      <w:r>
        <w:rPr>
          <w:rFonts w:hAnsi="宋体"/>
          <w:color w:val="auto"/>
          <w:sz w:val="21"/>
          <w:szCs w:val="21"/>
        </w:rPr>
        <w:t>1</w:t>
      </w:r>
      <w:r>
        <w:rPr>
          <w:rFonts w:hint="eastAsia" w:hAnsi="宋体"/>
          <w:color w:val="auto"/>
          <w:sz w:val="21"/>
          <w:szCs w:val="21"/>
        </w:rPr>
        <w:t>.投标价格</w:t>
      </w:r>
      <w:r>
        <w:rPr>
          <w:rFonts w:hAnsi="宋体"/>
          <w:color w:val="auto"/>
          <w:sz w:val="21"/>
          <w:szCs w:val="21"/>
        </w:rPr>
        <w:t>应按采购文件</w:t>
      </w:r>
      <w:r>
        <w:rPr>
          <w:rFonts w:hint="eastAsia" w:hAnsi="宋体"/>
          <w:color w:val="auto"/>
          <w:sz w:val="21"/>
          <w:szCs w:val="21"/>
        </w:rPr>
        <w:t>第六章投标文件格式相应内容要求</w:t>
      </w:r>
      <w:r>
        <w:rPr>
          <w:rFonts w:hAnsi="宋体"/>
          <w:color w:val="auto"/>
          <w:sz w:val="21"/>
          <w:szCs w:val="21"/>
        </w:rPr>
        <w:t>填写。</w:t>
      </w:r>
    </w:p>
    <w:p>
      <w:pPr>
        <w:spacing w:line="360" w:lineRule="auto"/>
        <w:rPr>
          <w:rFonts w:hint="eastAsia" w:ascii="宋体" w:hAnsi="宋体"/>
          <w:color w:val="auto"/>
          <w:kern w:val="0"/>
          <w:szCs w:val="21"/>
        </w:rPr>
      </w:pPr>
      <w:r>
        <w:rPr>
          <w:rFonts w:ascii="宋体" w:hAnsi="宋体"/>
          <w:color w:val="auto"/>
          <w:kern w:val="0"/>
          <w:szCs w:val="21"/>
        </w:rPr>
        <w:t>▲2</w:t>
      </w:r>
      <w:r>
        <w:rPr>
          <w:rFonts w:hint="eastAsia" w:ascii="宋体" w:hAnsi="宋体"/>
          <w:color w:val="auto"/>
          <w:kern w:val="0"/>
          <w:szCs w:val="21"/>
        </w:rPr>
        <w:t>. 投标报价要求详见投标人须知前附表第4条款内容。</w:t>
      </w:r>
    </w:p>
    <w:p>
      <w:pPr>
        <w:spacing w:line="360" w:lineRule="auto"/>
        <w:rPr>
          <w:rFonts w:ascii="宋体" w:hAns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.投标文件只允许有一个投标总价，有选择的或有条件的投标总价将不予接受</w:t>
      </w:r>
      <w:r>
        <w:rPr>
          <w:rFonts w:ascii="宋体" w:hAnsi="宋体"/>
          <w:color w:val="auto"/>
          <w:szCs w:val="21"/>
        </w:rPr>
        <w:t>。</w:t>
      </w:r>
    </w:p>
    <w:p>
      <w:pPr>
        <w:pStyle w:val="13"/>
        <w:widowControl w:val="0"/>
        <w:numPr>
          <w:ilvl w:val="0"/>
          <w:numId w:val="0"/>
        </w:numPr>
        <w:tabs>
          <w:tab w:val="clear" w:pos="454"/>
        </w:tabs>
        <w:snapToGrid w:val="0"/>
        <w:spacing w:before="120" w:beforeLines="50" w:after="0" w:afterLines="0" w:line="360" w:lineRule="auto"/>
        <w:ind w:left="452"/>
        <w:rPr>
          <w:rFonts w:ascii="宋体" w:hAnsi="宋体"/>
          <w:b/>
          <w:color w:val="auto"/>
          <w:sz w:val="21"/>
          <w:szCs w:val="21"/>
        </w:rPr>
      </w:pPr>
      <w:r>
        <w:rPr>
          <w:rFonts w:hint="eastAsia" w:ascii="宋体" w:hAnsi="宋体"/>
          <w:b/>
          <w:color w:val="auto"/>
          <w:sz w:val="21"/>
          <w:szCs w:val="21"/>
        </w:rPr>
        <w:t>（四）投标文件的有效期</w:t>
      </w:r>
    </w:p>
    <w:p>
      <w:pPr>
        <w:pStyle w:val="13"/>
        <w:widowControl w:val="0"/>
        <w:numPr>
          <w:ilvl w:val="0"/>
          <w:numId w:val="0"/>
        </w:numPr>
        <w:snapToGrid w:val="0"/>
        <w:spacing w:after="120" w:line="360" w:lineRule="auto"/>
        <w:rPr>
          <w:rFonts w:ascii="宋体" w:hAnsi="宋体"/>
          <w:color w:val="auto"/>
          <w:sz w:val="21"/>
          <w:szCs w:val="21"/>
        </w:rPr>
      </w:pPr>
      <w:r>
        <w:rPr>
          <w:rFonts w:hint="eastAsia" w:ascii="宋体" w:hAnsi="宋体"/>
          <w:color w:val="auto"/>
          <w:sz w:val="21"/>
          <w:szCs w:val="21"/>
        </w:rPr>
        <w:t>▲</w:t>
      </w:r>
      <w:r>
        <w:rPr>
          <w:rFonts w:ascii="宋体" w:hAnsi="宋体"/>
          <w:color w:val="auto"/>
          <w:sz w:val="21"/>
          <w:szCs w:val="21"/>
        </w:rPr>
        <w:t>1</w:t>
      </w:r>
      <w:r>
        <w:rPr>
          <w:rFonts w:hint="eastAsia" w:ascii="宋体" w:hAnsi="宋体"/>
          <w:color w:val="auto"/>
          <w:sz w:val="21"/>
          <w:szCs w:val="21"/>
        </w:rPr>
        <w:t>.</w:t>
      </w:r>
      <w:r>
        <w:rPr>
          <w:rFonts w:hint="eastAsia" w:ascii="宋体" w:hAnsi="宋体"/>
          <w:color w:val="auto"/>
          <w:szCs w:val="21"/>
        </w:rPr>
        <w:t xml:space="preserve"> </w:t>
      </w:r>
      <w:r>
        <w:rPr>
          <w:rFonts w:hint="eastAsia" w:ascii="宋体" w:hAnsi="宋体"/>
          <w:color w:val="auto"/>
          <w:sz w:val="21"/>
          <w:szCs w:val="21"/>
        </w:rPr>
        <w:t>投标有效期：详见投标人须知前附表第7条款内容。</w:t>
      </w:r>
      <w:r>
        <w:rPr>
          <w:rFonts w:ascii="宋体" w:hAnsi="宋体"/>
          <w:color w:val="auto"/>
          <w:sz w:val="21"/>
          <w:szCs w:val="21"/>
        </w:rPr>
        <w:t>有效期</w:t>
      </w:r>
      <w:r>
        <w:rPr>
          <w:rFonts w:hint="eastAsia" w:ascii="宋体" w:hAnsi="宋体"/>
          <w:color w:val="auto"/>
          <w:sz w:val="21"/>
          <w:szCs w:val="21"/>
        </w:rPr>
        <w:t>不足</w:t>
      </w:r>
      <w:r>
        <w:rPr>
          <w:rFonts w:ascii="宋体" w:hAnsi="宋体"/>
          <w:color w:val="auto"/>
          <w:sz w:val="21"/>
          <w:szCs w:val="21"/>
        </w:rPr>
        <w:t>的投标</w:t>
      </w:r>
      <w:r>
        <w:rPr>
          <w:rFonts w:hint="eastAsia" w:ascii="宋体" w:hAnsi="宋体"/>
          <w:color w:val="auto"/>
          <w:sz w:val="21"/>
          <w:szCs w:val="21"/>
        </w:rPr>
        <w:t>文件作无效投标</w:t>
      </w:r>
      <w:r>
        <w:rPr>
          <w:rFonts w:ascii="宋体" w:hAnsi="宋体"/>
          <w:color w:val="auto"/>
          <w:sz w:val="21"/>
          <w:szCs w:val="21"/>
        </w:rPr>
        <w:t>。</w:t>
      </w:r>
    </w:p>
    <w:p>
      <w:pPr>
        <w:pStyle w:val="13"/>
        <w:widowControl w:val="0"/>
        <w:numPr>
          <w:ilvl w:val="0"/>
          <w:numId w:val="0"/>
        </w:numPr>
        <w:snapToGrid w:val="0"/>
        <w:spacing w:after="120" w:line="360" w:lineRule="auto"/>
        <w:rPr>
          <w:rFonts w:ascii="宋体" w:hAnsi="宋体"/>
          <w:color w:val="auto"/>
          <w:sz w:val="21"/>
          <w:szCs w:val="21"/>
        </w:rPr>
      </w:pPr>
      <w:r>
        <w:rPr>
          <w:rFonts w:ascii="宋体" w:hAnsi="宋体"/>
          <w:color w:val="auto"/>
          <w:sz w:val="21"/>
          <w:szCs w:val="21"/>
        </w:rPr>
        <w:t>2</w:t>
      </w:r>
      <w:r>
        <w:rPr>
          <w:rFonts w:hint="eastAsia" w:ascii="宋体" w:hAnsi="宋体"/>
          <w:color w:val="auto"/>
          <w:sz w:val="21"/>
          <w:szCs w:val="21"/>
        </w:rPr>
        <w:t>.</w:t>
      </w:r>
      <w:r>
        <w:rPr>
          <w:rFonts w:ascii="宋体" w:hAnsi="宋体"/>
          <w:color w:val="auto"/>
          <w:sz w:val="21"/>
          <w:szCs w:val="21"/>
        </w:rPr>
        <w:t>在特殊情况下，</w:t>
      </w:r>
      <w:r>
        <w:rPr>
          <w:rFonts w:hint="eastAsia" w:ascii="宋体" w:hAnsi="宋体"/>
          <w:color w:val="auto"/>
          <w:sz w:val="21"/>
          <w:szCs w:val="21"/>
        </w:rPr>
        <w:t>采购</w:t>
      </w:r>
      <w:r>
        <w:rPr>
          <w:rFonts w:ascii="宋体" w:hAnsi="宋体"/>
          <w:color w:val="auto"/>
          <w:sz w:val="21"/>
          <w:szCs w:val="21"/>
        </w:rPr>
        <w:t>人可与投标人协商延长投标有效期，这种要求和答复均</w:t>
      </w:r>
      <w:r>
        <w:rPr>
          <w:rFonts w:hint="eastAsia" w:ascii="宋体" w:hAnsi="宋体"/>
          <w:color w:val="auto"/>
          <w:sz w:val="21"/>
          <w:szCs w:val="21"/>
        </w:rPr>
        <w:t>应</w:t>
      </w:r>
      <w:r>
        <w:rPr>
          <w:rFonts w:ascii="宋体" w:hAnsi="宋体"/>
          <w:color w:val="auto"/>
          <w:sz w:val="21"/>
          <w:szCs w:val="21"/>
        </w:rPr>
        <w:t>以书面形式进行。投标人可拒绝接受</w:t>
      </w:r>
      <w:r>
        <w:rPr>
          <w:rFonts w:hint="eastAsia" w:ascii="宋体" w:hAnsi="宋体"/>
          <w:color w:val="auto"/>
          <w:sz w:val="21"/>
          <w:szCs w:val="21"/>
        </w:rPr>
        <w:t>投标有效期</w:t>
      </w:r>
      <w:r>
        <w:rPr>
          <w:rFonts w:ascii="宋体" w:hAnsi="宋体"/>
          <w:color w:val="auto"/>
          <w:sz w:val="21"/>
          <w:szCs w:val="21"/>
        </w:rPr>
        <w:t>延期要求</w:t>
      </w:r>
      <w:r>
        <w:rPr>
          <w:rFonts w:hint="eastAsia" w:ascii="宋体" w:hAnsi="宋体"/>
          <w:color w:val="auto"/>
          <w:sz w:val="21"/>
          <w:szCs w:val="21"/>
        </w:rPr>
        <w:t>，</w:t>
      </w:r>
      <w:r>
        <w:rPr>
          <w:rFonts w:ascii="宋体" w:hAnsi="宋体"/>
          <w:color w:val="auto"/>
          <w:sz w:val="21"/>
          <w:szCs w:val="21"/>
        </w:rPr>
        <w:t>不会导致投标保证金被没收。同意延长</w:t>
      </w:r>
      <w:r>
        <w:rPr>
          <w:rFonts w:hint="eastAsia" w:ascii="宋体" w:hAnsi="宋体"/>
          <w:color w:val="auto"/>
          <w:sz w:val="21"/>
          <w:szCs w:val="21"/>
        </w:rPr>
        <w:t>投标</w:t>
      </w:r>
      <w:r>
        <w:rPr>
          <w:rFonts w:ascii="宋体" w:hAnsi="宋体"/>
          <w:color w:val="auto"/>
          <w:sz w:val="21"/>
          <w:szCs w:val="21"/>
        </w:rPr>
        <w:t>有效期的</w:t>
      </w:r>
      <w:r>
        <w:rPr>
          <w:rFonts w:hint="eastAsia" w:ascii="宋体" w:hAnsi="宋体"/>
          <w:color w:val="auto"/>
          <w:sz w:val="21"/>
          <w:szCs w:val="21"/>
        </w:rPr>
        <w:t>须</w:t>
      </w:r>
      <w:r>
        <w:rPr>
          <w:rFonts w:ascii="宋体" w:hAnsi="宋体"/>
          <w:color w:val="auto"/>
          <w:sz w:val="21"/>
          <w:szCs w:val="21"/>
        </w:rPr>
        <w:t xml:space="preserve">相应延长投标保证金的有效期。  </w:t>
      </w:r>
    </w:p>
    <w:p>
      <w:pPr>
        <w:pStyle w:val="13"/>
        <w:widowControl w:val="0"/>
        <w:numPr>
          <w:ilvl w:val="0"/>
          <w:numId w:val="0"/>
        </w:numPr>
        <w:tabs>
          <w:tab w:val="clear" w:pos="454"/>
        </w:tabs>
        <w:snapToGrid w:val="0"/>
        <w:spacing w:before="120" w:beforeLines="50" w:after="0" w:afterLines="0" w:line="360" w:lineRule="auto"/>
        <w:ind w:left="280"/>
        <w:rPr>
          <w:rFonts w:ascii="宋体" w:hAnsi="宋体"/>
          <w:b/>
          <w:color w:val="auto"/>
          <w:sz w:val="21"/>
          <w:szCs w:val="21"/>
        </w:rPr>
      </w:pPr>
      <w:r>
        <w:rPr>
          <w:rFonts w:hint="eastAsia" w:ascii="宋体" w:hAnsi="宋体"/>
          <w:b/>
          <w:color w:val="auto"/>
          <w:sz w:val="21"/>
          <w:szCs w:val="21"/>
        </w:rPr>
        <w:t>（五）投标保证金</w:t>
      </w:r>
    </w:p>
    <w:p>
      <w:pPr>
        <w:snapToGrid w:val="0"/>
        <w:spacing w:line="360" w:lineRule="auto"/>
        <w:jc w:val="left"/>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w:t>
      </w:r>
      <w:r>
        <w:rPr>
          <w:rFonts w:ascii="宋体" w:hAnsi="宋体"/>
          <w:color w:val="auto"/>
          <w:szCs w:val="21"/>
        </w:rPr>
        <w:t>投标人须按投标邀请</w:t>
      </w:r>
      <w:r>
        <w:rPr>
          <w:rFonts w:hint="eastAsia" w:ascii="宋体" w:hAnsi="宋体"/>
          <w:color w:val="auto"/>
          <w:szCs w:val="21"/>
        </w:rPr>
        <w:t>第七条款</w:t>
      </w:r>
      <w:r>
        <w:rPr>
          <w:rFonts w:ascii="宋体" w:hAnsi="宋体"/>
          <w:color w:val="auto"/>
          <w:szCs w:val="21"/>
        </w:rPr>
        <w:t>的要求</w:t>
      </w:r>
      <w:r>
        <w:rPr>
          <w:rFonts w:hint="eastAsia" w:ascii="宋体" w:hAnsi="宋体"/>
          <w:color w:val="auto"/>
          <w:szCs w:val="21"/>
        </w:rPr>
        <w:t>缴纳</w:t>
      </w:r>
      <w:r>
        <w:rPr>
          <w:rFonts w:ascii="宋体" w:hAnsi="宋体"/>
          <w:color w:val="auto"/>
          <w:szCs w:val="21"/>
        </w:rPr>
        <w:t>投标保证金，否则</w:t>
      </w:r>
      <w:r>
        <w:rPr>
          <w:rFonts w:hint="eastAsia" w:ascii="宋体" w:hAnsi="宋体"/>
          <w:color w:val="auto"/>
          <w:szCs w:val="21"/>
        </w:rPr>
        <w:t>作无效投标</w:t>
      </w:r>
      <w:r>
        <w:rPr>
          <w:rFonts w:ascii="宋体" w:hAnsi="宋体"/>
          <w:color w:val="auto"/>
          <w:szCs w:val="21"/>
        </w:rPr>
        <w:t>。</w:t>
      </w:r>
    </w:p>
    <w:p>
      <w:pPr>
        <w:snapToGrid w:val="0"/>
        <w:spacing w:line="360" w:lineRule="auto"/>
        <w:jc w:val="left"/>
        <w:rPr>
          <w:rFonts w:hint="eastAsia" w:ascii="宋体" w:hAnsi="宋体"/>
          <w:color w:val="auto"/>
          <w:szCs w:val="21"/>
        </w:rPr>
      </w:pPr>
      <w:r>
        <w:rPr>
          <w:rFonts w:ascii="宋体" w:hAnsi="宋体"/>
          <w:color w:val="auto"/>
          <w:szCs w:val="21"/>
        </w:rPr>
        <w:t>2</w:t>
      </w:r>
      <w:r>
        <w:rPr>
          <w:rFonts w:hint="eastAsia" w:ascii="宋体" w:hAnsi="宋体"/>
          <w:color w:val="auto"/>
          <w:szCs w:val="21"/>
        </w:rPr>
        <w:t>.</w:t>
      </w:r>
      <w:r>
        <w:rPr>
          <w:rFonts w:ascii="宋体" w:hAnsi="宋体"/>
          <w:color w:val="auto"/>
          <w:szCs w:val="21"/>
        </w:rPr>
        <w:t>保证金形式：</w:t>
      </w:r>
      <w:r>
        <w:rPr>
          <w:rFonts w:hint="eastAsia" w:ascii="宋体" w:hAnsi="宋体"/>
          <w:color w:val="auto"/>
          <w:szCs w:val="21"/>
        </w:rPr>
        <w:t>见</w:t>
      </w:r>
      <w:r>
        <w:rPr>
          <w:rFonts w:ascii="宋体" w:hAnsi="宋体"/>
          <w:color w:val="auto"/>
          <w:szCs w:val="21"/>
        </w:rPr>
        <w:t>投标邀请</w:t>
      </w:r>
      <w:r>
        <w:rPr>
          <w:rFonts w:hint="eastAsia" w:ascii="宋体" w:hAnsi="宋体"/>
          <w:color w:val="auto"/>
          <w:szCs w:val="21"/>
        </w:rPr>
        <w:t>第七条款的要求。</w:t>
      </w:r>
    </w:p>
    <w:p>
      <w:pPr>
        <w:spacing w:line="360" w:lineRule="auto"/>
        <w:rPr>
          <w:rFonts w:hint="eastAsia" w:ascii="宋体" w:hAnsi="宋体" w:cs="宋体"/>
          <w:color w:val="auto"/>
          <w:szCs w:val="21"/>
        </w:rPr>
      </w:pPr>
      <w:r>
        <w:rPr>
          <w:rFonts w:hint="eastAsia" w:ascii="宋体" w:hAnsi="宋体"/>
          <w:color w:val="auto"/>
          <w:szCs w:val="21"/>
        </w:rPr>
        <w:t>3.</w:t>
      </w:r>
      <w:r>
        <w:rPr>
          <w:rFonts w:hint="eastAsia" w:ascii="宋体" w:hAnsi="宋体" w:cs="宋体"/>
          <w:color w:val="auto"/>
          <w:szCs w:val="21"/>
        </w:rPr>
        <w:t>供应商在投标截止时间前撤回已提交的投标文件的，采购人或者代理机构应当自收到供应商书面撤回通知之日起5个工作日内，退还已收取的投标保证金，但因供应商自身原因导致无法及时退还的除外。采购人或者采购代理机构应当自中标通知书发出之日起5个工作日内退还未中标单位的投标保证金，自采购合同签订之日起5个工作日内退还中标单位的投标保证金或者转为中标单位的履约保证金。采购人或者采购代理机构逾期退还投标保证金的，除应当退还投标保证金本金外，还应当按中国人民银行同期贷款基准利率上浮20%后的利率支付超期资金占用费，但因供应商自身原因导致无法及时退还的除外。</w:t>
      </w:r>
    </w:p>
    <w:p>
      <w:pPr>
        <w:spacing w:line="360" w:lineRule="auto"/>
        <w:rPr>
          <w:rFonts w:hint="eastAsia" w:ascii="宋体" w:hAnsi="宋体" w:cs="宋体"/>
          <w:color w:val="auto"/>
          <w:szCs w:val="21"/>
        </w:rPr>
      </w:pPr>
      <w:r>
        <w:rPr>
          <w:rFonts w:hint="eastAsia" w:ascii="宋体" w:hAnsi="宋体" w:cs="宋体"/>
          <w:color w:val="auto"/>
          <w:szCs w:val="21"/>
        </w:rPr>
        <w:t>4. 投标保证金有效期与投标有效期一致。</w:t>
      </w:r>
    </w:p>
    <w:p>
      <w:pPr>
        <w:snapToGrid w:val="0"/>
        <w:spacing w:line="360" w:lineRule="auto"/>
        <w:jc w:val="left"/>
        <w:rPr>
          <w:rFonts w:hint="eastAsia" w:ascii="宋体" w:hAnsi="宋体"/>
          <w:b/>
          <w:bCs/>
          <w:color w:val="auto"/>
          <w:szCs w:val="21"/>
        </w:rPr>
      </w:pPr>
      <w:r>
        <w:rPr>
          <w:rFonts w:hint="eastAsia" w:ascii="宋体" w:hAnsi="宋体"/>
          <w:b/>
          <w:bCs/>
          <w:color w:val="auto"/>
          <w:szCs w:val="21"/>
        </w:rPr>
        <w:t>4.投标人有</w:t>
      </w:r>
      <w:r>
        <w:rPr>
          <w:rFonts w:ascii="宋体" w:hAnsi="宋体"/>
          <w:b/>
          <w:bCs/>
          <w:color w:val="auto"/>
          <w:szCs w:val="21"/>
        </w:rPr>
        <w:t>下列情</w:t>
      </w:r>
      <w:r>
        <w:rPr>
          <w:rFonts w:hint="eastAsia" w:ascii="宋体" w:hAnsi="宋体"/>
          <w:b/>
          <w:bCs/>
          <w:color w:val="auto"/>
          <w:szCs w:val="21"/>
        </w:rPr>
        <w:t>形之一的</w:t>
      </w:r>
      <w:r>
        <w:rPr>
          <w:rFonts w:ascii="宋体" w:hAnsi="宋体"/>
          <w:b/>
          <w:bCs/>
          <w:color w:val="auto"/>
          <w:szCs w:val="21"/>
        </w:rPr>
        <w:t>，投标保证金将不予退还：</w:t>
      </w:r>
    </w:p>
    <w:p>
      <w:pPr>
        <w:snapToGrid w:val="0"/>
        <w:spacing w:line="360" w:lineRule="auto"/>
        <w:jc w:val="left"/>
        <w:rPr>
          <w:rFonts w:hint="eastAsia" w:ascii="宋体" w:hAnsi="宋体"/>
          <w:color w:val="auto"/>
          <w:szCs w:val="21"/>
        </w:rPr>
      </w:pPr>
      <w:r>
        <w:rPr>
          <w:rFonts w:hint="eastAsia" w:ascii="宋体" w:hAnsi="宋体"/>
          <w:color w:val="auto"/>
          <w:szCs w:val="21"/>
        </w:rPr>
        <w:t>①投标人在提交投标文件截止时间后撤回投标文件的；</w:t>
      </w:r>
    </w:p>
    <w:p>
      <w:pPr>
        <w:snapToGrid w:val="0"/>
        <w:spacing w:line="360" w:lineRule="auto"/>
        <w:jc w:val="left"/>
        <w:rPr>
          <w:rFonts w:ascii="宋体" w:hAnsi="宋体"/>
          <w:color w:val="auto"/>
          <w:szCs w:val="21"/>
        </w:rPr>
      </w:pPr>
      <w:r>
        <w:rPr>
          <w:rFonts w:hint="eastAsia" w:ascii="宋体" w:hAnsi="宋体"/>
          <w:color w:val="auto"/>
          <w:szCs w:val="21"/>
        </w:rPr>
        <w:t>②投标有效期内投标人撤销投标文件的；</w:t>
      </w:r>
    </w:p>
    <w:p>
      <w:pPr>
        <w:snapToGrid w:val="0"/>
        <w:spacing w:line="360" w:lineRule="auto"/>
        <w:jc w:val="left"/>
        <w:rPr>
          <w:rFonts w:hint="eastAsia" w:ascii="宋体" w:hAnsi="宋体"/>
          <w:color w:val="auto"/>
          <w:szCs w:val="21"/>
        </w:rPr>
      </w:pPr>
      <w:r>
        <w:rPr>
          <w:rFonts w:hint="eastAsia" w:ascii="宋体" w:hAnsi="宋体"/>
          <w:color w:val="auto"/>
          <w:szCs w:val="21"/>
        </w:rPr>
        <w:t>③未按采购文件要求缴纳履约保证金的；</w:t>
      </w:r>
    </w:p>
    <w:p>
      <w:pPr>
        <w:snapToGrid w:val="0"/>
        <w:spacing w:line="360" w:lineRule="auto"/>
        <w:jc w:val="left"/>
        <w:rPr>
          <w:rFonts w:ascii="宋体" w:hAnsi="宋体"/>
          <w:color w:val="auto"/>
          <w:szCs w:val="21"/>
        </w:rPr>
      </w:pPr>
      <w:r>
        <w:rPr>
          <w:rFonts w:hint="eastAsia" w:ascii="宋体" w:hAnsi="宋体"/>
          <w:color w:val="auto"/>
          <w:szCs w:val="21"/>
        </w:rPr>
        <w:t>④</w:t>
      </w:r>
      <w:r>
        <w:rPr>
          <w:rFonts w:ascii="宋体" w:hAnsi="宋体"/>
          <w:color w:val="auto"/>
          <w:szCs w:val="21"/>
        </w:rPr>
        <w:t>投标人在</w:t>
      </w:r>
      <w:r>
        <w:rPr>
          <w:rFonts w:hint="eastAsia" w:ascii="宋体" w:hAnsi="宋体"/>
          <w:color w:val="auto"/>
          <w:szCs w:val="21"/>
        </w:rPr>
        <w:t>采购活动中发现</w:t>
      </w:r>
      <w:r>
        <w:rPr>
          <w:rFonts w:ascii="宋体" w:hAnsi="宋体"/>
          <w:color w:val="auto"/>
          <w:szCs w:val="21"/>
        </w:rPr>
        <w:t>弄虚作假，提供虚假材料</w:t>
      </w:r>
      <w:r>
        <w:rPr>
          <w:rFonts w:hint="eastAsia" w:ascii="宋体" w:hAnsi="宋体"/>
          <w:color w:val="auto"/>
          <w:szCs w:val="21"/>
        </w:rPr>
        <w:t>的</w:t>
      </w:r>
      <w:r>
        <w:rPr>
          <w:rFonts w:ascii="宋体" w:hAnsi="宋体"/>
          <w:color w:val="auto"/>
          <w:szCs w:val="21"/>
        </w:rPr>
        <w:t>；</w:t>
      </w:r>
    </w:p>
    <w:p>
      <w:pPr>
        <w:snapToGrid w:val="0"/>
        <w:spacing w:line="360" w:lineRule="auto"/>
        <w:rPr>
          <w:rFonts w:ascii="宋体" w:hAnsi="宋体"/>
          <w:color w:val="auto"/>
          <w:szCs w:val="21"/>
        </w:rPr>
      </w:pPr>
      <w:r>
        <w:rPr>
          <w:rFonts w:hint="eastAsia" w:ascii="宋体" w:hAnsi="宋体"/>
          <w:color w:val="auto"/>
          <w:szCs w:val="21"/>
        </w:rPr>
        <w:t>⑤中标人无正当理由拖延或不与采购人签订合同的；</w:t>
      </w:r>
    </w:p>
    <w:p>
      <w:pPr>
        <w:snapToGrid w:val="0"/>
        <w:spacing w:line="360" w:lineRule="auto"/>
        <w:rPr>
          <w:rFonts w:hint="eastAsia" w:ascii="宋体" w:hAnsi="宋体"/>
          <w:color w:val="auto"/>
          <w:szCs w:val="21"/>
        </w:rPr>
      </w:pPr>
      <w:r>
        <w:rPr>
          <w:rFonts w:hint="eastAsia" w:ascii="宋体" w:hAnsi="宋体"/>
          <w:color w:val="auto"/>
          <w:szCs w:val="21"/>
        </w:rPr>
        <w:t>⑥</w:t>
      </w:r>
      <w:r>
        <w:rPr>
          <w:rFonts w:hint="eastAsia" w:ascii="宋体" w:hAnsi="宋体"/>
          <w:bCs/>
          <w:color w:val="auto"/>
          <w:szCs w:val="21"/>
        </w:rPr>
        <w:t>将中标项目转让给他人或者</w:t>
      </w:r>
      <w:r>
        <w:rPr>
          <w:rFonts w:hint="eastAsia" w:ascii="宋体" w:hAnsi="宋体" w:cs="宋体"/>
          <w:color w:val="auto"/>
          <w:kern w:val="0"/>
          <w:szCs w:val="21"/>
        </w:rPr>
        <w:t>未按本须知分包要求进行分包的</w:t>
      </w:r>
      <w:r>
        <w:rPr>
          <w:rFonts w:hint="eastAsia" w:ascii="宋体" w:hAnsi="宋体"/>
          <w:bCs/>
          <w:color w:val="auto"/>
          <w:szCs w:val="21"/>
        </w:rPr>
        <w:t>；</w:t>
      </w:r>
    </w:p>
    <w:p>
      <w:pPr>
        <w:snapToGrid w:val="0"/>
        <w:spacing w:line="360" w:lineRule="auto"/>
        <w:rPr>
          <w:rFonts w:hint="eastAsia" w:ascii="宋体" w:hAnsi="宋体"/>
          <w:color w:val="auto"/>
          <w:szCs w:val="21"/>
        </w:rPr>
      </w:pPr>
      <w:r>
        <w:rPr>
          <w:rFonts w:hint="eastAsia" w:ascii="宋体" w:hAnsi="宋体"/>
          <w:color w:val="auto"/>
          <w:szCs w:val="21"/>
        </w:rPr>
        <w:t>⑦其他严重扰乱招投标程序的；</w:t>
      </w:r>
    </w:p>
    <w:p>
      <w:pPr>
        <w:snapToGrid w:val="0"/>
        <w:spacing w:line="360" w:lineRule="auto"/>
        <w:rPr>
          <w:rFonts w:ascii="宋体" w:hAnsi="宋体"/>
          <w:color w:val="auto"/>
          <w:szCs w:val="21"/>
        </w:rPr>
      </w:pPr>
      <w:r>
        <w:rPr>
          <w:rFonts w:hint="eastAsia" w:ascii="宋体" w:hAnsi="宋体"/>
          <w:color w:val="auto"/>
          <w:szCs w:val="21"/>
        </w:rPr>
        <w:t>⑧不按规定交纳代理服务费的。</w:t>
      </w:r>
    </w:p>
    <w:p>
      <w:pPr>
        <w:pStyle w:val="13"/>
        <w:widowControl w:val="0"/>
        <w:numPr>
          <w:ilvl w:val="0"/>
          <w:numId w:val="0"/>
        </w:numPr>
        <w:tabs>
          <w:tab w:val="clear" w:pos="454"/>
        </w:tabs>
        <w:snapToGrid w:val="0"/>
        <w:spacing w:before="120" w:beforeLines="50" w:after="0" w:afterLines="0" w:line="360" w:lineRule="auto"/>
        <w:ind w:left="280"/>
        <w:rPr>
          <w:rFonts w:ascii="宋体" w:hAnsi="宋体"/>
          <w:b/>
          <w:color w:val="auto"/>
          <w:sz w:val="21"/>
          <w:szCs w:val="21"/>
        </w:rPr>
      </w:pPr>
      <w:r>
        <w:rPr>
          <w:rFonts w:hint="eastAsia" w:ascii="宋体" w:hAnsi="宋体"/>
          <w:b/>
          <w:color w:val="auto"/>
          <w:sz w:val="21"/>
          <w:szCs w:val="21"/>
        </w:rPr>
        <w:t>（六）投标文件的装订、份数、签署及盖章</w:t>
      </w:r>
    </w:p>
    <w:p>
      <w:pPr>
        <w:snapToGrid w:val="0"/>
        <w:spacing w:line="360" w:lineRule="auto"/>
        <w:jc w:val="left"/>
        <w:rPr>
          <w:rFonts w:hint="eastAsia" w:hAnsi="宋体"/>
          <w:color w:val="auto"/>
          <w:szCs w:val="21"/>
        </w:rPr>
      </w:pPr>
      <w:r>
        <w:rPr>
          <w:rFonts w:ascii="宋体" w:hAnsi="宋体"/>
          <w:color w:val="auto"/>
          <w:szCs w:val="21"/>
        </w:rPr>
        <w:t>1</w:t>
      </w:r>
      <w:r>
        <w:rPr>
          <w:rFonts w:hint="eastAsia" w:ascii="宋体" w:hAnsi="宋体"/>
          <w:color w:val="auto"/>
          <w:szCs w:val="21"/>
        </w:rPr>
        <w:t>.</w:t>
      </w:r>
      <w:r>
        <w:rPr>
          <w:rFonts w:hint="eastAsia" w:hAnsi="宋体"/>
          <w:color w:val="auto"/>
          <w:szCs w:val="21"/>
        </w:rPr>
        <w:t xml:space="preserve"> 书面</w:t>
      </w:r>
      <w:r>
        <w:rPr>
          <w:rFonts w:hAnsi="宋体"/>
          <w:b/>
          <w:color w:val="auto"/>
          <w:szCs w:val="21"/>
        </w:rPr>
        <w:t>报价文件</w:t>
      </w:r>
      <w:r>
        <w:rPr>
          <w:rFonts w:hint="eastAsia" w:hAnsi="宋体"/>
          <w:color w:val="auto"/>
          <w:szCs w:val="21"/>
        </w:rPr>
        <w:t>(包含正本、副本)须单独胶装成册，书面</w:t>
      </w:r>
      <w:r>
        <w:rPr>
          <w:rFonts w:hint="eastAsia" w:ascii="宋体" w:hAnsi="宋体"/>
          <w:b/>
          <w:color w:val="auto"/>
          <w:szCs w:val="21"/>
          <w:u w:val="double"/>
        </w:rPr>
        <w:t>资信、商务、技术</w:t>
      </w:r>
      <w:r>
        <w:rPr>
          <w:rFonts w:hint="eastAsia" w:ascii="宋体" w:hAnsi="宋体"/>
          <w:b/>
          <w:color w:val="auto"/>
          <w:szCs w:val="21"/>
        </w:rPr>
        <w:t>文件</w:t>
      </w:r>
      <w:r>
        <w:rPr>
          <w:rFonts w:hint="eastAsia" w:hAnsi="宋体"/>
          <w:color w:val="auto"/>
          <w:szCs w:val="21"/>
        </w:rPr>
        <w:t>文件(包含正本、副本)须单独胶装成册。</w:t>
      </w:r>
      <w:r>
        <w:rPr>
          <w:rFonts w:hAnsi="宋体"/>
          <w:color w:val="auto"/>
          <w:szCs w:val="21"/>
        </w:rPr>
        <w:t>投标人</w:t>
      </w:r>
      <w:r>
        <w:rPr>
          <w:rFonts w:hint="eastAsia" w:hAnsi="宋体"/>
          <w:color w:val="auto"/>
          <w:szCs w:val="21"/>
        </w:rPr>
        <w:t>应按本须知“投标文件内容的组成”中的</w:t>
      </w:r>
      <w:r>
        <w:rPr>
          <w:rFonts w:hint="eastAsia" w:hAnsi="宋体"/>
          <w:b/>
          <w:color w:val="auto"/>
          <w:szCs w:val="21"/>
        </w:rPr>
        <w:t>报价文件</w:t>
      </w:r>
      <w:r>
        <w:rPr>
          <w:rFonts w:hAnsi="宋体"/>
          <w:color w:val="auto"/>
          <w:szCs w:val="21"/>
        </w:rPr>
        <w:t>的</w:t>
      </w:r>
      <w:r>
        <w:rPr>
          <w:rFonts w:hint="eastAsia" w:hAnsi="宋体"/>
          <w:color w:val="auto"/>
          <w:szCs w:val="21"/>
        </w:rPr>
        <w:t>内容、</w:t>
      </w:r>
      <w:r>
        <w:rPr>
          <w:rFonts w:hAnsi="宋体"/>
          <w:color w:val="auto"/>
          <w:szCs w:val="21"/>
        </w:rPr>
        <w:t>格式</w:t>
      </w:r>
      <w:r>
        <w:rPr>
          <w:rFonts w:hint="eastAsia" w:hAnsi="宋体"/>
          <w:color w:val="auto"/>
          <w:szCs w:val="21"/>
        </w:rPr>
        <w:t>要求</w:t>
      </w:r>
      <w:r>
        <w:rPr>
          <w:rFonts w:hAnsi="宋体"/>
          <w:color w:val="auto"/>
          <w:szCs w:val="21"/>
        </w:rPr>
        <w:t>和顺序</w:t>
      </w:r>
      <w:r>
        <w:rPr>
          <w:rFonts w:hint="eastAsia" w:hAnsi="宋体"/>
          <w:color w:val="auto"/>
          <w:szCs w:val="21"/>
        </w:rPr>
        <w:t>要求</w:t>
      </w:r>
      <w:r>
        <w:rPr>
          <w:rFonts w:hAnsi="宋体"/>
          <w:color w:val="auto"/>
          <w:szCs w:val="21"/>
        </w:rPr>
        <w:t>编制</w:t>
      </w:r>
      <w:r>
        <w:rPr>
          <w:rFonts w:hint="eastAsia" w:hAnsi="宋体"/>
          <w:b/>
          <w:color w:val="auto"/>
          <w:szCs w:val="21"/>
        </w:rPr>
        <w:t>报价</w:t>
      </w:r>
      <w:r>
        <w:rPr>
          <w:rFonts w:hAnsi="宋体"/>
          <w:b/>
          <w:color w:val="auto"/>
          <w:szCs w:val="21"/>
        </w:rPr>
        <w:t>文件</w:t>
      </w:r>
      <w:r>
        <w:rPr>
          <w:rFonts w:hint="eastAsia" w:hAnsi="宋体"/>
          <w:color w:val="auto"/>
          <w:szCs w:val="21"/>
        </w:rPr>
        <w:t>并标注页码；按</w:t>
      </w:r>
      <w:r>
        <w:rPr>
          <w:rFonts w:hAnsi="宋体"/>
          <w:color w:val="auto"/>
          <w:szCs w:val="21"/>
        </w:rPr>
        <w:t>本</w:t>
      </w:r>
      <w:r>
        <w:rPr>
          <w:rFonts w:hint="eastAsia" w:hAnsi="宋体"/>
          <w:color w:val="auto"/>
          <w:szCs w:val="21"/>
        </w:rPr>
        <w:t>须知“投标文件内容的组成”中的</w:t>
      </w:r>
      <w:r>
        <w:rPr>
          <w:rFonts w:hint="eastAsia" w:ascii="宋体" w:hAnsi="宋体"/>
          <w:b/>
          <w:color w:val="auto"/>
          <w:szCs w:val="21"/>
        </w:rPr>
        <w:t>资信、商务、技术文件</w:t>
      </w:r>
      <w:r>
        <w:rPr>
          <w:rFonts w:hAnsi="宋体"/>
          <w:color w:val="auto"/>
          <w:szCs w:val="21"/>
        </w:rPr>
        <w:t>的</w:t>
      </w:r>
      <w:r>
        <w:rPr>
          <w:rFonts w:hint="eastAsia" w:hAnsi="宋体"/>
          <w:color w:val="auto"/>
          <w:szCs w:val="21"/>
        </w:rPr>
        <w:t>内容、</w:t>
      </w:r>
      <w:r>
        <w:rPr>
          <w:rFonts w:hAnsi="宋体"/>
          <w:color w:val="auto"/>
          <w:szCs w:val="21"/>
        </w:rPr>
        <w:t>格式</w:t>
      </w:r>
      <w:r>
        <w:rPr>
          <w:rFonts w:hint="eastAsia" w:hAnsi="宋体"/>
          <w:color w:val="auto"/>
          <w:szCs w:val="21"/>
        </w:rPr>
        <w:t>要求</w:t>
      </w:r>
      <w:r>
        <w:rPr>
          <w:rFonts w:hAnsi="宋体"/>
          <w:color w:val="auto"/>
          <w:szCs w:val="21"/>
        </w:rPr>
        <w:t>和顺序</w:t>
      </w:r>
      <w:r>
        <w:rPr>
          <w:rFonts w:hint="eastAsia" w:hAnsi="宋体"/>
          <w:color w:val="auto"/>
          <w:szCs w:val="21"/>
        </w:rPr>
        <w:t>要求</w:t>
      </w:r>
      <w:r>
        <w:rPr>
          <w:rFonts w:hAnsi="宋体"/>
          <w:color w:val="auto"/>
          <w:szCs w:val="21"/>
        </w:rPr>
        <w:t>编制</w:t>
      </w:r>
      <w:r>
        <w:rPr>
          <w:rFonts w:hint="eastAsia" w:ascii="宋体" w:hAnsi="宋体"/>
          <w:b/>
          <w:color w:val="auto"/>
          <w:szCs w:val="21"/>
          <w:u w:val="double"/>
        </w:rPr>
        <w:t>资信、商务、技术</w:t>
      </w:r>
      <w:r>
        <w:rPr>
          <w:rFonts w:hint="eastAsia" w:ascii="宋体" w:hAnsi="宋体"/>
          <w:b/>
          <w:color w:val="auto"/>
          <w:szCs w:val="21"/>
        </w:rPr>
        <w:t>文件</w:t>
      </w:r>
      <w:r>
        <w:rPr>
          <w:rFonts w:hint="eastAsia" w:hAnsi="宋体"/>
          <w:color w:val="auto"/>
          <w:szCs w:val="21"/>
        </w:rPr>
        <w:t>并标注页码。电子投标文件需包含</w:t>
      </w:r>
      <w:r>
        <w:rPr>
          <w:rFonts w:hAnsi="宋体"/>
          <w:color w:val="auto"/>
          <w:szCs w:val="21"/>
        </w:rPr>
        <w:t>报价文件</w:t>
      </w:r>
      <w:r>
        <w:rPr>
          <w:rFonts w:hint="eastAsia" w:hAnsi="宋体"/>
          <w:color w:val="auto"/>
          <w:szCs w:val="21"/>
        </w:rPr>
        <w:t>，</w:t>
      </w:r>
      <w:r>
        <w:rPr>
          <w:rFonts w:hint="eastAsia" w:hAnsi="宋体"/>
          <w:color w:val="auto"/>
          <w:szCs w:val="21"/>
          <w:u w:val="double"/>
        </w:rPr>
        <w:t>资信、</w:t>
      </w:r>
      <w:r>
        <w:rPr>
          <w:rFonts w:hAnsi="宋体"/>
          <w:color w:val="auto"/>
          <w:szCs w:val="21"/>
          <w:u w:val="double"/>
        </w:rPr>
        <w:t>商务</w:t>
      </w:r>
      <w:r>
        <w:rPr>
          <w:rFonts w:hint="eastAsia" w:hAnsi="宋体"/>
          <w:color w:val="auto"/>
          <w:szCs w:val="21"/>
          <w:u w:val="double"/>
        </w:rPr>
        <w:t>、</w:t>
      </w:r>
      <w:r>
        <w:rPr>
          <w:rFonts w:hAnsi="宋体"/>
          <w:color w:val="auto"/>
          <w:szCs w:val="21"/>
          <w:u w:val="double"/>
        </w:rPr>
        <w:t>技术</w:t>
      </w:r>
      <w:r>
        <w:rPr>
          <w:rFonts w:hAnsi="宋体"/>
          <w:color w:val="auto"/>
          <w:szCs w:val="21"/>
        </w:rPr>
        <w:t>文件</w:t>
      </w:r>
      <w:r>
        <w:rPr>
          <w:rFonts w:hint="eastAsia" w:hAnsi="宋体"/>
          <w:color w:val="auto"/>
          <w:szCs w:val="21"/>
        </w:rPr>
        <w:t>中所有内容。所有活页装订的书面</w:t>
      </w:r>
      <w:r>
        <w:rPr>
          <w:rFonts w:hAnsi="宋体"/>
          <w:b/>
          <w:color w:val="auto"/>
          <w:szCs w:val="21"/>
        </w:rPr>
        <w:t>报价文件</w:t>
      </w:r>
      <w:r>
        <w:rPr>
          <w:rFonts w:hint="eastAsia" w:hAnsi="宋体"/>
          <w:color w:val="auto"/>
          <w:szCs w:val="21"/>
        </w:rPr>
        <w:t>和书面</w:t>
      </w:r>
      <w:r>
        <w:rPr>
          <w:rFonts w:hint="eastAsia" w:ascii="宋体" w:hAnsi="宋体"/>
          <w:b/>
          <w:color w:val="auto"/>
          <w:szCs w:val="21"/>
        </w:rPr>
        <w:t>资信、商务、技术文件</w:t>
      </w:r>
      <w:r>
        <w:rPr>
          <w:rFonts w:hint="eastAsia" w:hAnsi="宋体"/>
          <w:color w:val="auto"/>
          <w:szCs w:val="21"/>
        </w:rPr>
        <w:t>作无效投标文件（活页装订指除胶装方式外的书面文件装订方式，补充、修改、澄清说明的资料除外）。</w:t>
      </w:r>
    </w:p>
    <w:p>
      <w:pPr>
        <w:snapToGrid w:val="0"/>
        <w:spacing w:line="360" w:lineRule="auto"/>
        <w:ind w:firstLine="420" w:firstLineChars="200"/>
        <w:jc w:val="left"/>
        <w:rPr>
          <w:rFonts w:ascii="宋体" w:hAnsi="宋体"/>
          <w:color w:val="auto"/>
          <w:szCs w:val="21"/>
        </w:rPr>
      </w:pPr>
      <w:r>
        <w:rPr>
          <w:rFonts w:hint="eastAsia" w:hAnsi="宋体"/>
          <w:color w:val="auto"/>
          <w:szCs w:val="21"/>
        </w:rPr>
        <w:t>注意事项：</w:t>
      </w:r>
      <w:r>
        <w:rPr>
          <w:rFonts w:hint="eastAsia" w:ascii="宋体" w:hAnsi="宋体"/>
          <w:color w:val="auto"/>
          <w:szCs w:val="21"/>
        </w:rPr>
        <w:t>投标人应当按照采购文件的要求编制投标文件。投标文件应当对采购文件提出的要求和条件作出明确响应。</w:t>
      </w:r>
      <w:r>
        <w:rPr>
          <w:rFonts w:hAnsi="宋体"/>
          <w:color w:val="auto"/>
          <w:szCs w:val="21"/>
        </w:rPr>
        <w:t>投标文件内容不完整、编排混乱导致投标文件被误读、漏读或者查找不到相关内容是投标人的责任</w:t>
      </w:r>
      <w:r>
        <w:rPr>
          <w:rFonts w:hint="eastAsia" w:hAnsi="宋体"/>
          <w:color w:val="auto"/>
          <w:szCs w:val="21"/>
        </w:rPr>
        <w:t>，风险由投标人承担</w:t>
      </w:r>
      <w:r>
        <w:rPr>
          <w:rFonts w:hAnsi="宋体"/>
          <w:color w:val="auto"/>
          <w:szCs w:val="21"/>
        </w:rPr>
        <w:t>。</w:t>
      </w:r>
    </w:p>
    <w:p>
      <w:pPr>
        <w:spacing w:line="360" w:lineRule="auto"/>
        <w:rPr>
          <w:rFonts w:hint="eastAsia" w:ascii="宋体" w:hAnsi="宋体"/>
          <w:color w:val="auto"/>
          <w:szCs w:val="21"/>
        </w:rPr>
      </w:pPr>
      <w:r>
        <w:rPr>
          <w:rFonts w:hAnsi="宋体"/>
          <w:color w:val="auto"/>
          <w:szCs w:val="21"/>
        </w:rPr>
        <w:t>2</w:t>
      </w:r>
      <w:r>
        <w:rPr>
          <w:rFonts w:hint="eastAsia" w:hAnsi="宋体"/>
          <w:color w:val="auto"/>
          <w:szCs w:val="21"/>
        </w:rPr>
        <w:t>.</w:t>
      </w:r>
      <w:r>
        <w:rPr>
          <w:rFonts w:hAnsi="宋体"/>
          <w:color w:val="auto"/>
          <w:szCs w:val="21"/>
        </w:rPr>
        <w:t xml:space="preserve"> 投标</w:t>
      </w:r>
      <w:r>
        <w:rPr>
          <w:rFonts w:hint="eastAsia" w:hAnsi="宋体"/>
          <w:color w:val="auto"/>
          <w:szCs w:val="21"/>
        </w:rPr>
        <w:t>文件份数详见投标人须知前附表第8条款内容，书面</w:t>
      </w:r>
      <w:r>
        <w:rPr>
          <w:rFonts w:hAnsi="宋体"/>
          <w:b/>
          <w:color w:val="auto"/>
          <w:szCs w:val="21"/>
        </w:rPr>
        <w:t>报价文件</w:t>
      </w:r>
      <w:r>
        <w:rPr>
          <w:rFonts w:hint="eastAsia" w:hAnsi="宋体"/>
          <w:color w:val="auto"/>
          <w:szCs w:val="21"/>
        </w:rPr>
        <w:t>和书面</w:t>
      </w:r>
      <w:r>
        <w:rPr>
          <w:rFonts w:hint="eastAsia" w:ascii="宋体" w:hAnsi="宋体"/>
          <w:b/>
          <w:color w:val="auto"/>
          <w:szCs w:val="21"/>
        </w:rPr>
        <w:t>资信、商务、技术文件</w:t>
      </w:r>
      <w:r>
        <w:rPr>
          <w:rFonts w:hint="eastAsia" w:hAnsi="宋体"/>
          <w:color w:val="auto"/>
          <w:szCs w:val="21"/>
        </w:rPr>
        <w:t>正副本的封面应注明“正本”、“副本”字样。封面格式见采购</w:t>
      </w:r>
      <w:r>
        <w:rPr>
          <w:rFonts w:hAnsi="宋体"/>
          <w:color w:val="auto"/>
          <w:szCs w:val="21"/>
        </w:rPr>
        <w:t>文件</w:t>
      </w:r>
      <w:r>
        <w:rPr>
          <w:rFonts w:hint="eastAsia" w:hAnsi="宋体"/>
          <w:color w:val="auto"/>
          <w:szCs w:val="21"/>
        </w:rPr>
        <w:t>第六章投标文件格式中相应内容。书</w:t>
      </w:r>
      <w:r>
        <w:rPr>
          <w:rFonts w:hint="eastAsia" w:ascii="宋体" w:hAnsi="宋体"/>
          <w:color w:val="auto"/>
          <w:szCs w:val="21"/>
        </w:rPr>
        <w:t>面</w:t>
      </w:r>
      <w:r>
        <w:rPr>
          <w:rFonts w:ascii="宋体" w:hAnsi="宋体"/>
          <w:color w:val="auto"/>
          <w:szCs w:val="21"/>
        </w:rPr>
        <w:t>投标文件的正本需打印或用不褪色的墨水填写，</w:t>
      </w:r>
      <w:r>
        <w:rPr>
          <w:rFonts w:hint="eastAsia" w:ascii="宋体" w:hAnsi="宋体"/>
          <w:color w:val="auto"/>
          <w:szCs w:val="21"/>
        </w:rPr>
        <w:t>按采购文件要求须提供原件的资料，</w:t>
      </w:r>
      <w:r>
        <w:rPr>
          <w:rFonts w:ascii="宋体" w:hAnsi="宋体"/>
          <w:color w:val="auto"/>
          <w:szCs w:val="21"/>
        </w:rPr>
        <w:t>投标文件正本</w:t>
      </w:r>
      <w:r>
        <w:rPr>
          <w:rFonts w:hint="eastAsia" w:ascii="宋体" w:hAnsi="宋体"/>
          <w:color w:val="auto"/>
          <w:szCs w:val="21"/>
        </w:rPr>
        <w:t>中的相应资料</w:t>
      </w:r>
      <w:r>
        <w:rPr>
          <w:rFonts w:ascii="宋体" w:hAnsi="宋体"/>
          <w:color w:val="auto"/>
          <w:szCs w:val="21"/>
        </w:rPr>
        <w:t>须提供原件</w:t>
      </w:r>
      <w:r>
        <w:rPr>
          <w:rFonts w:hint="eastAsia" w:ascii="宋体" w:hAnsi="宋体"/>
          <w:color w:val="auto"/>
          <w:szCs w:val="21"/>
        </w:rPr>
        <w:t>，</w:t>
      </w:r>
      <w:r>
        <w:rPr>
          <w:rFonts w:ascii="宋体" w:hAnsi="宋体"/>
          <w:color w:val="auto"/>
          <w:szCs w:val="21"/>
        </w:rPr>
        <w:t>副本</w:t>
      </w:r>
      <w:r>
        <w:rPr>
          <w:rFonts w:hint="eastAsia" w:ascii="宋体" w:hAnsi="宋体"/>
          <w:color w:val="auto"/>
          <w:szCs w:val="21"/>
        </w:rPr>
        <w:t>内容</w:t>
      </w:r>
      <w:r>
        <w:rPr>
          <w:rFonts w:ascii="宋体" w:hAnsi="宋体"/>
          <w:color w:val="auto"/>
          <w:szCs w:val="21"/>
        </w:rPr>
        <w:t>为正本</w:t>
      </w:r>
      <w:r>
        <w:rPr>
          <w:rFonts w:hint="eastAsia" w:ascii="宋体" w:hAnsi="宋体"/>
          <w:color w:val="auto"/>
          <w:szCs w:val="21"/>
        </w:rPr>
        <w:t>内容</w:t>
      </w:r>
      <w:r>
        <w:rPr>
          <w:rFonts w:ascii="宋体" w:hAnsi="宋体"/>
          <w:color w:val="auto"/>
          <w:szCs w:val="21"/>
        </w:rPr>
        <w:t>的复印件。</w:t>
      </w:r>
      <w:r>
        <w:rPr>
          <w:rFonts w:hint="eastAsia" w:ascii="宋体" w:hAnsi="宋体"/>
          <w:color w:val="auto"/>
          <w:szCs w:val="21"/>
        </w:rPr>
        <w:t>若投标文件正、副本内容不一致的，以正本为准。</w:t>
      </w:r>
    </w:p>
    <w:p>
      <w:pPr>
        <w:pStyle w:val="42"/>
        <w:widowControl w:val="0"/>
        <w:spacing w:before="0" w:after="120" w:line="360" w:lineRule="auto"/>
        <w:rPr>
          <w:color w:val="auto"/>
          <w:sz w:val="21"/>
          <w:szCs w:val="21"/>
        </w:rPr>
      </w:pPr>
      <w:r>
        <w:rPr>
          <w:rFonts w:hint="eastAsia"/>
          <w:color w:val="auto"/>
          <w:sz w:val="21"/>
          <w:szCs w:val="21"/>
        </w:rPr>
        <w:t>3. 采购文件第六章投标文件格式中提供了格式的，</w:t>
      </w:r>
      <w:r>
        <w:rPr>
          <w:color w:val="auto"/>
          <w:sz w:val="21"/>
          <w:szCs w:val="21"/>
        </w:rPr>
        <w:t>投标文件</w:t>
      </w:r>
      <w:r>
        <w:rPr>
          <w:rFonts w:hint="eastAsia"/>
          <w:color w:val="auto"/>
          <w:sz w:val="21"/>
          <w:szCs w:val="21"/>
        </w:rPr>
        <w:t>须</w:t>
      </w:r>
      <w:r>
        <w:rPr>
          <w:rFonts w:hint="eastAsia"/>
          <w:b/>
          <w:color w:val="auto"/>
          <w:sz w:val="21"/>
          <w:szCs w:val="21"/>
        </w:rPr>
        <w:t>按本须知要求及投标文件格式要求</w:t>
      </w:r>
      <w:r>
        <w:rPr>
          <w:b/>
          <w:color w:val="auto"/>
          <w:sz w:val="21"/>
          <w:szCs w:val="21"/>
        </w:rPr>
        <w:t>签署</w:t>
      </w:r>
      <w:r>
        <w:rPr>
          <w:rFonts w:hint="eastAsia"/>
          <w:b/>
          <w:color w:val="auto"/>
          <w:sz w:val="21"/>
          <w:szCs w:val="21"/>
        </w:rPr>
        <w:t>、</w:t>
      </w:r>
      <w:r>
        <w:rPr>
          <w:b/>
          <w:color w:val="auto"/>
          <w:sz w:val="21"/>
          <w:szCs w:val="21"/>
        </w:rPr>
        <w:t>盖章</w:t>
      </w:r>
      <w:r>
        <w:rPr>
          <w:color w:val="auto"/>
          <w:sz w:val="21"/>
          <w:szCs w:val="21"/>
        </w:rPr>
        <w:t>。</w:t>
      </w:r>
    </w:p>
    <w:p>
      <w:pPr>
        <w:snapToGrid w:val="0"/>
        <w:spacing w:line="360" w:lineRule="auto"/>
        <w:jc w:val="left"/>
        <w:rPr>
          <w:rFonts w:hint="eastAsia" w:ascii="宋体" w:hAnsi="宋体"/>
          <w:color w:val="auto"/>
          <w:szCs w:val="21"/>
        </w:rPr>
      </w:pPr>
      <w:r>
        <w:rPr>
          <w:rFonts w:hint="eastAsia" w:ascii="宋体" w:hAnsi="宋体"/>
          <w:color w:val="auto"/>
          <w:szCs w:val="21"/>
        </w:rPr>
        <w:t>4.</w:t>
      </w:r>
      <w:r>
        <w:rPr>
          <w:rFonts w:ascii="宋体" w:hAnsi="宋体"/>
          <w:color w:val="auto"/>
          <w:szCs w:val="21"/>
        </w:rPr>
        <w:t>投标文件不得涂改，若有错</w:t>
      </w:r>
      <w:r>
        <w:rPr>
          <w:rFonts w:hint="eastAsia" w:ascii="宋体" w:hAnsi="宋体"/>
          <w:color w:val="auto"/>
          <w:szCs w:val="21"/>
        </w:rPr>
        <w:t>、</w:t>
      </w:r>
      <w:r>
        <w:rPr>
          <w:rFonts w:ascii="宋体" w:hAnsi="宋体"/>
          <w:color w:val="auto"/>
          <w:szCs w:val="21"/>
        </w:rPr>
        <w:t>漏处</w:t>
      </w:r>
      <w:r>
        <w:rPr>
          <w:rFonts w:hint="eastAsia" w:ascii="宋体" w:hAnsi="宋体"/>
          <w:color w:val="auto"/>
          <w:szCs w:val="21"/>
        </w:rPr>
        <w:t>必须修改的，修改处</w:t>
      </w:r>
      <w:r>
        <w:rPr>
          <w:rFonts w:ascii="宋体" w:hAnsi="宋体"/>
          <w:color w:val="auto"/>
          <w:szCs w:val="21"/>
        </w:rPr>
        <w:t>须加盖</w:t>
      </w:r>
      <w:r>
        <w:rPr>
          <w:rFonts w:hint="eastAsia" w:ascii="宋体" w:hAnsi="宋体"/>
          <w:color w:val="auto"/>
          <w:szCs w:val="21"/>
        </w:rPr>
        <w:t>投标人</w:t>
      </w:r>
      <w:r>
        <w:rPr>
          <w:rFonts w:ascii="宋体" w:hAnsi="宋体"/>
          <w:color w:val="auto"/>
          <w:szCs w:val="21"/>
        </w:rPr>
        <w:t>公章或者</w:t>
      </w:r>
      <w:r>
        <w:rPr>
          <w:rFonts w:hint="eastAsia" w:ascii="宋体" w:hAnsi="宋体"/>
          <w:color w:val="auto"/>
          <w:szCs w:val="21"/>
        </w:rPr>
        <w:t>由</w:t>
      </w:r>
      <w:r>
        <w:rPr>
          <w:rFonts w:ascii="宋体" w:hAnsi="宋体"/>
          <w:color w:val="auto"/>
          <w:szCs w:val="21"/>
        </w:rPr>
        <w:t>法定代表人或</w:t>
      </w:r>
      <w:r>
        <w:rPr>
          <w:rFonts w:hint="eastAsia" w:ascii="宋体" w:hAnsi="宋体"/>
          <w:color w:val="auto"/>
          <w:szCs w:val="21"/>
        </w:rPr>
        <w:t>法定代表人</w:t>
      </w:r>
      <w:r>
        <w:rPr>
          <w:rFonts w:ascii="宋体" w:hAnsi="宋体"/>
          <w:color w:val="auto"/>
          <w:szCs w:val="21"/>
        </w:rPr>
        <w:t>授权</w:t>
      </w:r>
      <w:r>
        <w:rPr>
          <w:rFonts w:hint="eastAsia" w:ascii="宋体" w:hAnsi="宋体"/>
          <w:color w:val="auto"/>
          <w:szCs w:val="21"/>
        </w:rPr>
        <w:t>代表</w:t>
      </w:r>
      <w:r>
        <w:rPr>
          <w:rFonts w:ascii="宋体" w:hAnsi="宋体"/>
          <w:color w:val="auto"/>
          <w:szCs w:val="21"/>
        </w:rPr>
        <w:t>签字或盖章。</w:t>
      </w:r>
    </w:p>
    <w:p>
      <w:pPr>
        <w:snapToGrid w:val="0"/>
        <w:spacing w:line="360" w:lineRule="auto"/>
        <w:jc w:val="left"/>
        <w:rPr>
          <w:rFonts w:hint="eastAsia" w:ascii="宋体" w:hAnsi="宋体"/>
          <w:color w:val="auto"/>
          <w:szCs w:val="21"/>
        </w:rPr>
      </w:pPr>
      <w:r>
        <w:rPr>
          <w:rFonts w:hint="eastAsia" w:ascii="宋体" w:hAnsi="宋体"/>
          <w:color w:val="auto"/>
          <w:szCs w:val="21"/>
        </w:rPr>
        <w:t>注意事项：</w:t>
      </w:r>
      <w:r>
        <w:rPr>
          <w:rFonts w:ascii="宋体" w:hAnsi="宋体"/>
          <w:color w:val="auto"/>
          <w:szCs w:val="21"/>
        </w:rPr>
        <w:t>投标文件因字迹潦草或表达不清</w:t>
      </w:r>
      <w:r>
        <w:rPr>
          <w:rFonts w:hint="eastAsia" w:ascii="宋体" w:hAnsi="宋体"/>
          <w:color w:val="auto"/>
          <w:szCs w:val="21"/>
        </w:rPr>
        <w:t>造成的风险</w:t>
      </w:r>
      <w:r>
        <w:rPr>
          <w:rFonts w:ascii="宋体" w:hAnsi="宋体"/>
          <w:color w:val="auto"/>
          <w:szCs w:val="21"/>
        </w:rPr>
        <w:t>由投标人</w:t>
      </w:r>
      <w:r>
        <w:rPr>
          <w:rFonts w:hint="eastAsia" w:ascii="宋体" w:hAnsi="宋体"/>
          <w:color w:val="auto"/>
          <w:szCs w:val="21"/>
        </w:rPr>
        <w:t>承担</w:t>
      </w:r>
      <w:r>
        <w:rPr>
          <w:rFonts w:ascii="宋体" w:hAnsi="宋体"/>
          <w:color w:val="auto"/>
          <w:szCs w:val="21"/>
        </w:rPr>
        <w:t>。</w:t>
      </w:r>
    </w:p>
    <w:p>
      <w:pPr>
        <w:pStyle w:val="13"/>
        <w:widowControl w:val="0"/>
        <w:numPr>
          <w:ilvl w:val="0"/>
          <w:numId w:val="0"/>
        </w:numPr>
        <w:tabs>
          <w:tab w:val="clear" w:pos="454"/>
        </w:tabs>
        <w:snapToGrid w:val="0"/>
        <w:spacing w:before="120" w:beforeLines="50" w:after="0" w:afterLines="0" w:line="360" w:lineRule="auto"/>
        <w:ind w:left="280"/>
        <w:rPr>
          <w:rFonts w:ascii="宋体" w:hAnsi="宋体"/>
          <w:b/>
          <w:color w:val="auto"/>
          <w:sz w:val="21"/>
          <w:szCs w:val="21"/>
        </w:rPr>
      </w:pPr>
      <w:r>
        <w:rPr>
          <w:rFonts w:hint="eastAsia" w:ascii="宋体" w:hAnsi="宋体"/>
          <w:b/>
          <w:color w:val="auto"/>
          <w:sz w:val="21"/>
          <w:szCs w:val="21"/>
        </w:rPr>
        <w:t>（七）投标文件的包装、提交、修改和撤回</w:t>
      </w:r>
    </w:p>
    <w:p>
      <w:pPr>
        <w:snapToGrid w:val="0"/>
        <w:spacing w:line="360" w:lineRule="auto"/>
        <w:jc w:val="left"/>
        <w:rPr>
          <w:rFonts w:hint="eastAsia" w:ascii="宋体" w:hAnsi="宋体"/>
          <w:color w:val="auto"/>
          <w:szCs w:val="21"/>
        </w:rPr>
      </w:pPr>
      <w:r>
        <w:rPr>
          <w:rFonts w:hint="eastAsia" w:ascii="宋体" w:hAnsi="宋体"/>
          <w:color w:val="auto"/>
          <w:szCs w:val="21"/>
        </w:rPr>
        <w:t>1.</w:t>
      </w:r>
      <w:r>
        <w:rPr>
          <w:rFonts w:hAnsi="宋体"/>
          <w:b/>
          <w:color w:val="auto"/>
          <w:szCs w:val="21"/>
        </w:rPr>
        <w:t>报价文件</w:t>
      </w:r>
      <w:r>
        <w:rPr>
          <w:rFonts w:hint="eastAsia" w:hAnsi="宋体"/>
          <w:color w:val="auto"/>
          <w:szCs w:val="21"/>
        </w:rPr>
        <w:t>须单独密封包装，</w:t>
      </w:r>
      <w:r>
        <w:rPr>
          <w:rFonts w:hint="eastAsia" w:ascii="宋体" w:hAnsi="宋体"/>
          <w:b/>
          <w:color w:val="auto"/>
          <w:szCs w:val="21"/>
        </w:rPr>
        <w:t>电子投标文件</w:t>
      </w:r>
      <w:r>
        <w:rPr>
          <w:rFonts w:hint="eastAsia" w:ascii="宋体" w:hAnsi="宋体"/>
          <w:color w:val="auto"/>
          <w:szCs w:val="21"/>
        </w:rPr>
        <w:t>包装入</w:t>
      </w:r>
      <w:r>
        <w:rPr>
          <w:rFonts w:hint="eastAsia" w:ascii="宋体" w:hAnsi="宋体"/>
          <w:b/>
          <w:color w:val="auto"/>
          <w:szCs w:val="21"/>
        </w:rPr>
        <w:t>报价文件</w:t>
      </w:r>
      <w:r>
        <w:rPr>
          <w:rFonts w:hint="eastAsia" w:ascii="宋体" w:hAnsi="宋体"/>
          <w:color w:val="auto"/>
          <w:szCs w:val="21"/>
        </w:rPr>
        <w:t>密封袋中。</w:t>
      </w:r>
      <w:r>
        <w:rPr>
          <w:rFonts w:hint="eastAsia" w:ascii="宋体" w:hAnsi="宋体"/>
          <w:b/>
          <w:color w:val="auto"/>
          <w:szCs w:val="21"/>
        </w:rPr>
        <w:t>资信、商务、技术文件</w:t>
      </w:r>
      <w:r>
        <w:rPr>
          <w:rFonts w:hint="eastAsia" w:hAnsi="宋体"/>
          <w:color w:val="auto"/>
          <w:szCs w:val="21"/>
        </w:rPr>
        <w:t>单独密封包装，其包装内</w:t>
      </w:r>
      <w:r>
        <w:rPr>
          <w:rFonts w:hint="eastAsia" w:hAnsi="宋体"/>
          <w:b/>
          <w:color w:val="auto"/>
          <w:szCs w:val="21"/>
        </w:rPr>
        <w:t>无</w:t>
      </w:r>
      <w:r>
        <w:rPr>
          <w:rFonts w:hint="eastAsia" w:hAnsi="宋体"/>
          <w:color w:val="auto"/>
          <w:szCs w:val="21"/>
        </w:rPr>
        <w:t>电子投标文件。</w:t>
      </w:r>
      <w:r>
        <w:rPr>
          <w:rFonts w:hint="eastAsia" w:ascii="宋体" w:hAnsi="宋体"/>
          <w:color w:val="auto"/>
          <w:szCs w:val="21"/>
        </w:rPr>
        <w:t>投标文件的包装封面的格式见采购</w:t>
      </w:r>
      <w:r>
        <w:rPr>
          <w:rFonts w:ascii="宋体" w:hAnsi="宋体"/>
          <w:color w:val="auto"/>
          <w:szCs w:val="21"/>
        </w:rPr>
        <w:t>文件</w:t>
      </w:r>
      <w:r>
        <w:rPr>
          <w:rFonts w:hint="eastAsia" w:ascii="宋体" w:hAnsi="宋体"/>
          <w:color w:val="auto"/>
          <w:szCs w:val="21"/>
        </w:rPr>
        <w:t>第六章投标文件格式中相应内容，须加盖投标人公章。</w:t>
      </w:r>
    </w:p>
    <w:p>
      <w:pPr>
        <w:snapToGrid w:val="0"/>
        <w:spacing w:line="360" w:lineRule="auto"/>
        <w:jc w:val="left"/>
        <w:rPr>
          <w:rFonts w:hint="eastAsia" w:ascii="宋体" w:hAnsi="宋体"/>
          <w:color w:val="auto"/>
          <w:szCs w:val="21"/>
        </w:rPr>
      </w:pPr>
      <w:r>
        <w:rPr>
          <w:rFonts w:hint="eastAsia" w:ascii="宋体" w:hAnsi="宋体"/>
          <w:color w:val="auto"/>
          <w:szCs w:val="21"/>
        </w:rPr>
        <w:t>2. 未密封包装的投标文件（包含</w:t>
      </w:r>
      <w:r>
        <w:rPr>
          <w:rFonts w:ascii="宋体" w:hAnsi="宋体"/>
          <w:b/>
          <w:color w:val="auto"/>
          <w:szCs w:val="21"/>
        </w:rPr>
        <w:t>报价文件</w:t>
      </w:r>
      <w:r>
        <w:rPr>
          <w:rFonts w:hint="eastAsia" w:ascii="宋体" w:hAnsi="宋体"/>
          <w:b/>
          <w:color w:val="auto"/>
          <w:szCs w:val="21"/>
        </w:rPr>
        <w:t>的密封包装</w:t>
      </w:r>
      <w:r>
        <w:rPr>
          <w:rFonts w:hint="eastAsia" w:ascii="宋体" w:hAnsi="宋体"/>
          <w:color w:val="auto"/>
          <w:szCs w:val="21"/>
        </w:rPr>
        <w:t>，</w:t>
      </w:r>
      <w:r>
        <w:rPr>
          <w:rFonts w:hint="eastAsia" w:ascii="宋体" w:hAnsi="宋体"/>
          <w:b/>
          <w:color w:val="auto"/>
          <w:szCs w:val="21"/>
          <w:u w:val="double"/>
        </w:rPr>
        <w:t>资信、商务、技术</w:t>
      </w:r>
      <w:r>
        <w:rPr>
          <w:rFonts w:hint="eastAsia" w:ascii="宋体" w:hAnsi="宋体"/>
          <w:b/>
          <w:color w:val="auto"/>
          <w:szCs w:val="21"/>
        </w:rPr>
        <w:t>文件</w:t>
      </w:r>
      <w:r>
        <w:rPr>
          <w:rFonts w:hint="eastAsia" w:ascii="宋体" w:hAnsi="宋体"/>
          <w:color w:val="auto"/>
          <w:szCs w:val="21"/>
        </w:rPr>
        <w:t>的密封包装）将被拒绝，包装封面未按本采购文件第六章投标文件格式要求编制、签署、盖章的将被拒绝。</w:t>
      </w:r>
    </w:p>
    <w:p>
      <w:pPr>
        <w:snapToGrid w:val="0"/>
        <w:spacing w:before="120" w:beforeLines="50" w:after="50" w:line="360" w:lineRule="auto"/>
        <w:rPr>
          <w:rFonts w:hint="eastAsia" w:ascii="宋体" w:hAnsi="宋体"/>
          <w:color w:val="auto"/>
          <w:szCs w:val="21"/>
        </w:rPr>
      </w:pPr>
      <w:r>
        <w:rPr>
          <w:rFonts w:hint="eastAsia" w:ascii="宋体" w:hAnsi="宋体"/>
          <w:color w:val="auto"/>
          <w:szCs w:val="21"/>
        </w:rPr>
        <w:t>3.</w:t>
      </w:r>
      <w:r>
        <w:rPr>
          <w:rFonts w:hint="eastAsia"/>
          <w:color w:val="auto"/>
        </w:rPr>
        <w:t xml:space="preserve"> </w:t>
      </w:r>
      <w:r>
        <w:rPr>
          <w:rFonts w:hint="eastAsia" w:ascii="宋体" w:hAnsi="宋体"/>
          <w:color w:val="auto"/>
          <w:szCs w:val="21"/>
        </w:rPr>
        <w:t>投标人在投标截止时间前，如需对投标文件进行补充、修改、撤回的，须以书面形式通知采购人或代理机构后方可对所提交的投标文件进行补充、修改或者撤回。补充、修改的内容</w:t>
      </w:r>
      <w:r>
        <w:rPr>
          <w:rFonts w:ascii="宋体" w:hAnsi="宋体"/>
          <w:color w:val="auto"/>
          <w:szCs w:val="21"/>
        </w:rPr>
        <w:t>须加盖</w:t>
      </w:r>
      <w:r>
        <w:rPr>
          <w:rFonts w:hint="eastAsia" w:ascii="宋体" w:hAnsi="宋体"/>
          <w:color w:val="auto"/>
          <w:szCs w:val="21"/>
        </w:rPr>
        <w:t>投标人</w:t>
      </w:r>
      <w:r>
        <w:rPr>
          <w:rFonts w:ascii="宋体" w:hAnsi="宋体"/>
          <w:color w:val="auto"/>
          <w:szCs w:val="21"/>
        </w:rPr>
        <w:t>公章或者</w:t>
      </w:r>
      <w:r>
        <w:rPr>
          <w:rFonts w:hint="eastAsia" w:ascii="宋体" w:hAnsi="宋体"/>
          <w:color w:val="auto"/>
          <w:szCs w:val="21"/>
        </w:rPr>
        <w:t>由</w:t>
      </w:r>
      <w:r>
        <w:rPr>
          <w:rFonts w:ascii="宋体" w:hAnsi="宋体"/>
          <w:color w:val="auto"/>
          <w:szCs w:val="21"/>
        </w:rPr>
        <w:t>法定代表人或</w:t>
      </w:r>
      <w:r>
        <w:rPr>
          <w:rFonts w:hint="eastAsia" w:ascii="宋体" w:hAnsi="宋体"/>
          <w:color w:val="auto"/>
          <w:szCs w:val="21"/>
        </w:rPr>
        <w:t>法定代表人</w:t>
      </w:r>
      <w:r>
        <w:rPr>
          <w:rFonts w:ascii="宋体" w:hAnsi="宋体"/>
          <w:color w:val="auto"/>
          <w:szCs w:val="21"/>
        </w:rPr>
        <w:t>授权</w:t>
      </w:r>
      <w:r>
        <w:rPr>
          <w:rFonts w:hint="eastAsia" w:ascii="宋体" w:hAnsi="宋体"/>
          <w:color w:val="auto"/>
          <w:szCs w:val="21"/>
        </w:rPr>
        <w:t>代表</w:t>
      </w:r>
      <w:r>
        <w:rPr>
          <w:rFonts w:ascii="宋体" w:hAnsi="宋体"/>
          <w:color w:val="auto"/>
          <w:szCs w:val="21"/>
        </w:rPr>
        <w:t>签字或盖章</w:t>
      </w:r>
      <w:r>
        <w:rPr>
          <w:rFonts w:hint="eastAsia" w:ascii="宋体" w:hAnsi="宋体"/>
          <w:color w:val="auto"/>
          <w:szCs w:val="21"/>
        </w:rPr>
        <w:t>且密封包装，单独提交的补充、修改文件包封上需注明</w:t>
      </w:r>
      <w:r>
        <w:rPr>
          <w:rFonts w:hint="eastAsia" w:ascii="宋体" w:hAnsi="宋体"/>
          <w:bCs/>
          <w:color w:val="auto"/>
          <w:szCs w:val="21"/>
        </w:rPr>
        <w:t>项目名称、项目编号、子包号、采购人名称、投标人名称、</w:t>
      </w:r>
      <w:r>
        <w:rPr>
          <w:rFonts w:hint="eastAsia" w:ascii="宋体" w:hAnsi="宋体"/>
          <w:color w:val="auto"/>
          <w:szCs w:val="21"/>
        </w:rPr>
        <w:t>补充、修改文件</w:t>
      </w:r>
      <w:r>
        <w:rPr>
          <w:rFonts w:hint="eastAsia" w:ascii="宋体" w:hAnsi="宋体"/>
          <w:bCs/>
          <w:color w:val="auto"/>
          <w:szCs w:val="21"/>
        </w:rPr>
        <w:t>于递交投标文件截止时间前不得启封内容。</w:t>
      </w:r>
      <w:r>
        <w:rPr>
          <w:rFonts w:hint="eastAsia" w:ascii="宋体" w:hAnsi="宋体"/>
          <w:color w:val="auto"/>
          <w:szCs w:val="21"/>
        </w:rPr>
        <w:t>补充、修改文件作为投标文件的组成部分。</w:t>
      </w:r>
    </w:p>
    <w:p>
      <w:pPr>
        <w:pStyle w:val="13"/>
        <w:widowControl w:val="0"/>
        <w:numPr>
          <w:ilvl w:val="0"/>
          <w:numId w:val="0"/>
        </w:numPr>
        <w:tabs>
          <w:tab w:val="clear" w:pos="454"/>
        </w:tabs>
        <w:snapToGrid w:val="0"/>
        <w:spacing w:before="120" w:beforeLines="50" w:after="0" w:afterLines="0" w:line="360" w:lineRule="auto"/>
        <w:ind w:left="280"/>
        <w:rPr>
          <w:rFonts w:hint="eastAsia" w:ascii="宋体" w:hAnsi="宋体"/>
          <w:b/>
          <w:color w:val="auto"/>
          <w:sz w:val="21"/>
          <w:szCs w:val="21"/>
        </w:rPr>
      </w:pPr>
      <w:r>
        <w:rPr>
          <w:rFonts w:hint="eastAsia" w:ascii="宋体" w:hAnsi="宋体"/>
          <w:b/>
          <w:color w:val="auto"/>
          <w:sz w:val="21"/>
          <w:szCs w:val="21"/>
        </w:rPr>
        <w:t>四、投标无效的情形</w:t>
      </w:r>
    </w:p>
    <w:p>
      <w:pPr>
        <w:pStyle w:val="13"/>
        <w:widowControl w:val="0"/>
        <w:numPr>
          <w:ilvl w:val="0"/>
          <w:numId w:val="0"/>
        </w:numPr>
        <w:tabs>
          <w:tab w:val="clear" w:pos="454"/>
        </w:tabs>
        <w:snapToGrid w:val="0"/>
        <w:spacing w:before="120" w:beforeLines="50" w:after="0" w:afterLines="0" w:line="360" w:lineRule="auto"/>
        <w:ind w:left="170"/>
        <w:rPr>
          <w:rFonts w:ascii="宋体" w:hAnsi="宋体"/>
          <w:color w:val="auto"/>
          <w:kern w:val="2"/>
          <w:sz w:val="21"/>
          <w:szCs w:val="21"/>
        </w:rPr>
      </w:pPr>
      <w:r>
        <w:rPr>
          <w:rFonts w:hint="eastAsia" w:ascii="宋体" w:hAnsi="宋体"/>
          <w:b/>
          <w:bCs/>
          <w:color w:val="auto"/>
          <w:spacing w:val="-4"/>
          <w:kern w:val="2"/>
          <w:sz w:val="21"/>
          <w:szCs w:val="21"/>
        </w:rPr>
        <w:t>（一）</w:t>
      </w:r>
      <w:r>
        <w:rPr>
          <w:rFonts w:ascii="宋体" w:hAnsi="宋体"/>
          <w:b/>
          <w:bCs/>
          <w:color w:val="auto"/>
          <w:spacing w:val="-4"/>
          <w:kern w:val="2"/>
          <w:sz w:val="21"/>
          <w:szCs w:val="21"/>
        </w:rPr>
        <w:t>资格</w:t>
      </w:r>
      <w:r>
        <w:rPr>
          <w:rFonts w:hint="eastAsia" w:ascii="宋体" w:hAnsi="宋体"/>
          <w:b/>
          <w:bCs/>
          <w:color w:val="auto"/>
          <w:spacing w:val="-4"/>
          <w:kern w:val="2"/>
          <w:sz w:val="21"/>
          <w:szCs w:val="21"/>
        </w:rPr>
        <w:t>审查</w:t>
      </w:r>
      <w:r>
        <w:rPr>
          <w:rFonts w:hint="eastAsia" w:ascii="宋体" w:hAnsi="宋体"/>
          <w:color w:val="auto"/>
          <w:kern w:val="2"/>
          <w:sz w:val="21"/>
          <w:szCs w:val="21"/>
        </w:rPr>
        <w:t>：</w:t>
      </w:r>
      <w:r>
        <w:rPr>
          <w:rFonts w:ascii="宋体" w:hAnsi="宋体"/>
          <w:color w:val="auto"/>
          <w:kern w:val="2"/>
          <w:sz w:val="21"/>
          <w:szCs w:val="21"/>
        </w:rPr>
        <w:t>在资格</w:t>
      </w:r>
      <w:r>
        <w:rPr>
          <w:rFonts w:hint="eastAsia" w:ascii="宋体" w:hAnsi="宋体"/>
          <w:color w:val="auto"/>
          <w:kern w:val="2"/>
          <w:sz w:val="21"/>
          <w:szCs w:val="21"/>
        </w:rPr>
        <w:t>审查</w:t>
      </w:r>
      <w:r>
        <w:rPr>
          <w:rFonts w:ascii="宋体" w:hAnsi="宋体"/>
          <w:color w:val="auto"/>
          <w:kern w:val="2"/>
          <w:sz w:val="21"/>
          <w:szCs w:val="21"/>
        </w:rPr>
        <w:t>时，如发现</w:t>
      </w:r>
      <w:r>
        <w:rPr>
          <w:rFonts w:hint="eastAsia" w:ascii="宋体" w:hAnsi="宋体"/>
          <w:color w:val="auto"/>
          <w:kern w:val="2"/>
          <w:sz w:val="21"/>
          <w:szCs w:val="21"/>
        </w:rPr>
        <w:t>不具备采购文件规定的“合格投标人的资格要求”的作为无效投标。</w:t>
      </w:r>
    </w:p>
    <w:p>
      <w:pPr>
        <w:snapToGrid w:val="0"/>
        <w:spacing w:before="120" w:beforeLines="50" w:after="50" w:line="360" w:lineRule="auto"/>
        <w:ind w:firstLine="203" w:firstLineChars="100"/>
        <w:rPr>
          <w:rFonts w:hint="eastAsia" w:ascii="宋体" w:hAnsi="宋体"/>
          <w:color w:val="auto"/>
          <w:szCs w:val="21"/>
        </w:rPr>
      </w:pPr>
      <w:r>
        <w:rPr>
          <w:rFonts w:hint="eastAsia" w:ascii="宋体" w:hAnsi="宋体"/>
          <w:b/>
          <w:bCs/>
          <w:color w:val="auto"/>
          <w:spacing w:val="-4"/>
          <w:szCs w:val="21"/>
        </w:rPr>
        <w:t>（二）符合性审查</w:t>
      </w:r>
      <w:r>
        <w:rPr>
          <w:rFonts w:hint="eastAsia" w:ascii="宋体" w:hAnsi="宋体"/>
          <w:color w:val="auto"/>
          <w:szCs w:val="21"/>
        </w:rPr>
        <w:t>：评标委员会对符合资格的投标人的投标文件进行符合性审查，</w:t>
      </w:r>
      <w:r>
        <w:rPr>
          <w:rFonts w:ascii="宋体" w:hAnsi="宋体"/>
          <w:color w:val="auto"/>
          <w:szCs w:val="21"/>
        </w:rPr>
        <w:t>在符合性</w:t>
      </w:r>
      <w:r>
        <w:rPr>
          <w:rFonts w:hint="eastAsia" w:ascii="宋体" w:hAnsi="宋体"/>
          <w:color w:val="auto"/>
          <w:szCs w:val="21"/>
        </w:rPr>
        <w:t>审查</w:t>
      </w:r>
      <w:r>
        <w:rPr>
          <w:rFonts w:ascii="宋体" w:hAnsi="宋体"/>
          <w:color w:val="auto"/>
          <w:szCs w:val="21"/>
        </w:rPr>
        <w:t>时，如发现下列情形之一的，</w:t>
      </w:r>
      <w:r>
        <w:rPr>
          <w:rFonts w:hint="eastAsia" w:ascii="宋体" w:hAnsi="宋体"/>
          <w:color w:val="auto"/>
          <w:szCs w:val="21"/>
        </w:rPr>
        <w:t>作为无效投标</w:t>
      </w:r>
      <w:r>
        <w:rPr>
          <w:rFonts w:ascii="宋体" w:hAnsi="宋体"/>
          <w:color w:val="auto"/>
          <w:szCs w:val="21"/>
        </w:rPr>
        <w:t>：</w:t>
      </w:r>
    </w:p>
    <w:p>
      <w:pPr>
        <w:snapToGrid w:val="0"/>
        <w:spacing w:line="360" w:lineRule="auto"/>
        <w:rPr>
          <w:rFonts w:hint="eastAsia" w:ascii="宋体" w:hAnsi="宋体"/>
          <w:color w:val="auto"/>
          <w:szCs w:val="21"/>
        </w:rPr>
      </w:pPr>
      <w:r>
        <w:rPr>
          <w:rFonts w:hint="eastAsia" w:ascii="宋体" w:hAnsi="宋体"/>
          <w:color w:val="auto"/>
          <w:szCs w:val="21"/>
        </w:rPr>
        <w:t>1.单位负责人为同一人或者存在直接控股、管理关系的不同供应商，参加本项目的政府采购活动的；为本采购项目提供整体设计、规范编制或者项目管理、监理、检测等服务的供应商，参加本采购项目的投标的；</w:t>
      </w:r>
      <w:r>
        <w:rPr>
          <w:rFonts w:hint="eastAsia" w:hAnsi="宋体"/>
          <w:color w:val="auto"/>
          <w:szCs w:val="21"/>
        </w:rPr>
        <w:t>投标人恶意串通的；</w:t>
      </w:r>
      <w:r>
        <w:rPr>
          <w:rFonts w:hAnsi="宋体"/>
          <w:color w:val="auto"/>
          <w:szCs w:val="21"/>
        </w:rPr>
        <w:t>提供任何虚假材料</w:t>
      </w:r>
      <w:r>
        <w:rPr>
          <w:rFonts w:hint="eastAsia" w:hAnsi="宋体"/>
          <w:color w:val="auto"/>
          <w:szCs w:val="21"/>
        </w:rPr>
        <w:t>、以他人名义投标或者以其他方式弄虚作假的；</w:t>
      </w:r>
    </w:p>
    <w:p>
      <w:pPr>
        <w:snapToGrid w:val="0"/>
        <w:spacing w:line="360" w:lineRule="auto"/>
        <w:rPr>
          <w:rFonts w:hint="eastAsia" w:hAnsi="宋体"/>
          <w:bCs/>
          <w:color w:val="auto"/>
          <w:szCs w:val="21"/>
        </w:rPr>
      </w:pPr>
      <w:r>
        <w:rPr>
          <w:rFonts w:hint="eastAsia" w:ascii="宋体" w:hAnsi="宋体"/>
          <w:color w:val="auto"/>
          <w:szCs w:val="21"/>
        </w:rPr>
        <w:t>2.</w:t>
      </w:r>
      <w:r>
        <w:rPr>
          <w:rFonts w:hint="eastAsia" w:hAnsi="宋体"/>
          <w:bCs/>
          <w:color w:val="auto"/>
          <w:szCs w:val="21"/>
        </w:rPr>
        <w:t>未按采购文件要求缴纳投标保证金的；</w:t>
      </w:r>
    </w:p>
    <w:p>
      <w:pPr>
        <w:snapToGrid w:val="0"/>
        <w:spacing w:line="360" w:lineRule="auto"/>
        <w:rPr>
          <w:rFonts w:hint="eastAsia" w:ascii="宋体" w:hAnsi="宋体"/>
          <w:color w:val="auto"/>
          <w:szCs w:val="21"/>
        </w:rPr>
      </w:pPr>
      <w:r>
        <w:rPr>
          <w:rFonts w:hint="eastAsia" w:hAnsi="宋体"/>
          <w:bCs/>
          <w:color w:val="auto"/>
          <w:szCs w:val="21"/>
        </w:rPr>
        <w:t>3.</w:t>
      </w:r>
      <w:r>
        <w:rPr>
          <w:rFonts w:ascii="宋体" w:hAnsi="宋体"/>
          <w:color w:val="auto"/>
          <w:szCs w:val="21"/>
        </w:rPr>
        <w:t>超出经营范围投标的</w:t>
      </w:r>
      <w:r>
        <w:rPr>
          <w:rFonts w:hint="eastAsia" w:ascii="宋体" w:hAnsi="宋体"/>
          <w:color w:val="auto"/>
          <w:szCs w:val="21"/>
        </w:rPr>
        <w:t>；</w:t>
      </w:r>
    </w:p>
    <w:p>
      <w:pPr>
        <w:snapToGrid w:val="0"/>
        <w:spacing w:line="360" w:lineRule="auto"/>
        <w:rPr>
          <w:rFonts w:hint="eastAsia" w:ascii="宋体" w:hAnsi="宋体"/>
          <w:bCs/>
          <w:color w:val="auto"/>
          <w:szCs w:val="21"/>
        </w:rPr>
      </w:pPr>
      <w:r>
        <w:rPr>
          <w:rFonts w:hint="eastAsia" w:ascii="宋体" w:hAnsi="宋体"/>
          <w:bCs/>
          <w:color w:val="auto"/>
          <w:szCs w:val="21"/>
        </w:rPr>
        <w:t>4.未响应采购文件标有</w:t>
      </w:r>
      <w:r>
        <w:rPr>
          <w:rFonts w:ascii="宋体" w:hAnsi="宋体"/>
          <w:color w:val="auto"/>
          <w:szCs w:val="21"/>
        </w:rPr>
        <w:t>“▲”</w:t>
      </w:r>
      <w:r>
        <w:rPr>
          <w:rFonts w:hint="eastAsia" w:ascii="宋体" w:hAnsi="宋体"/>
          <w:color w:val="auto"/>
          <w:szCs w:val="21"/>
        </w:rPr>
        <w:t>的</w:t>
      </w:r>
      <w:r>
        <w:rPr>
          <w:rFonts w:ascii="宋体" w:hAnsi="宋体"/>
          <w:color w:val="auto"/>
          <w:szCs w:val="21"/>
        </w:rPr>
        <w:t>实质性</w:t>
      </w:r>
      <w:r>
        <w:rPr>
          <w:rFonts w:hint="eastAsia" w:ascii="宋体" w:hAnsi="宋体"/>
          <w:color w:val="auto"/>
          <w:szCs w:val="21"/>
        </w:rPr>
        <w:t>内容</w:t>
      </w:r>
      <w:r>
        <w:rPr>
          <w:rFonts w:hint="eastAsia" w:ascii="宋体" w:hAnsi="宋体"/>
          <w:bCs/>
          <w:color w:val="auto"/>
          <w:szCs w:val="21"/>
        </w:rPr>
        <w:t>的(经评标委员会认定优于采购文件标有</w:t>
      </w:r>
      <w:r>
        <w:rPr>
          <w:rFonts w:ascii="宋体" w:hAnsi="宋体"/>
          <w:color w:val="auto"/>
          <w:szCs w:val="21"/>
        </w:rPr>
        <w:t>“▲”</w:t>
      </w:r>
      <w:r>
        <w:rPr>
          <w:rFonts w:hint="eastAsia" w:ascii="宋体" w:hAnsi="宋体"/>
          <w:color w:val="auto"/>
          <w:szCs w:val="21"/>
        </w:rPr>
        <w:t>的</w:t>
      </w:r>
      <w:r>
        <w:rPr>
          <w:rFonts w:ascii="宋体" w:hAnsi="宋体"/>
          <w:color w:val="auto"/>
          <w:szCs w:val="21"/>
        </w:rPr>
        <w:t>实质性</w:t>
      </w:r>
      <w:r>
        <w:rPr>
          <w:rFonts w:hint="eastAsia" w:ascii="宋体" w:hAnsi="宋体"/>
          <w:color w:val="auto"/>
          <w:szCs w:val="21"/>
        </w:rPr>
        <w:t>内容的除外)</w:t>
      </w:r>
      <w:r>
        <w:rPr>
          <w:rFonts w:hint="eastAsia" w:ascii="宋体" w:hAnsi="宋体"/>
          <w:bCs/>
          <w:color w:val="auto"/>
          <w:szCs w:val="21"/>
        </w:rPr>
        <w:t>。</w:t>
      </w:r>
    </w:p>
    <w:p>
      <w:pPr>
        <w:snapToGrid w:val="0"/>
        <w:spacing w:line="360" w:lineRule="auto"/>
        <w:rPr>
          <w:rFonts w:ascii="宋体" w:hAnsi="宋体"/>
          <w:bCs/>
          <w:color w:val="auto"/>
          <w:kern w:val="0"/>
          <w:szCs w:val="21"/>
        </w:rPr>
      </w:pPr>
      <w:r>
        <w:rPr>
          <w:rFonts w:hint="eastAsia" w:ascii="宋体" w:hAnsi="宋体"/>
          <w:color w:val="auto"/>
          <w:szCs w:val="21"/>
        </w:rPr>
        <w:t>5.</w:t>
      </w:r>
      <w:r>
        <w:rPr>
          <w:rFonts w:hint="eastAsia" w:hAnsi="宋体"/>
          <w:bCs/>
          <w:color w:val="auto"/>
          <w:szCs w:val="21"/>
        </w:rPr>
        <w:t>未按照本须知规定的</w:t>
      </w:r>
      <w:r>
        <w:rPr>
          <w:rFonts w:hint="eastAsia" w:ascii="宋体" w:hAnsi="宋体"/>
          <w:b/>
          <w:color w:val="auto"/>
          <w:szCs w:val="21"/>
        </w:rPr>
        <w:t>投标文件的</w:t>
      </w:r>
      <w:r>
        <w:rPr>
          <w:rFonts w:hint="eastAsia" w:hAnsi="宋体"/>
          <w:b/>
          <w:bCs/>
          <w:color w:val="auto"/>
          <w:szCs w:val="21"/>
        </w:rPr>
        <w:t>装订、份数、签署及盖章要求</w:t>
      </w:r>
      <w:r>
        <w:rPr>
          <w:rFonts w:hint="eastAsia" w:hAnsi="宋体"/>
          <w:bCs/>
          <w:color w:val="auto"/>
          <w:szCs w:val="21"/>
        </w:rPr>
        <w:t>及</w:t>
      </w:r>
      <w:r>
        <w:rPr>
          <w:rFonts w:hint="eastAsia" w:ascii="宋体" w:hAnsi="宋体"/>
          <w:b/>
          <w:color w:val="auto"/>
          <w:szCs w:val="21"/>
        </w:rPr>
        <w:t>投标文件内容的组成</w:t>
      </w:r>
      <w:r>
        <w:rPr>
          <w:rFonts w:hint="eastAsia" w:hAnsi="宋体"/>
          <w:b/>
          <w:bCs/>
          <w:color w:val="auto"/>
          <w:szCs w:val="21"/>
        </w:rPr>
        <w:t>要求</w:t>
      </w:r>
      <w:r>
        <w:rPr>
          <w:rFonts w:hint="eastAsia" w:hAnsi="宋体"/>
          <w:bCs/>
          <w:color w:val="auto"/>
          <w:szCs w:val="21"/>
        </w:rPr>
        <w:t>的</w:t>
      </w:r>
      <w:r>
        <w:rPr>
          <w:rFonts w:hint="eastAsia" w:hAnsi="宋体"/>
          <w:color w:val="auto"/>
          <w:szCs w:val="21"/>
        </w:rPr>
        <w:t>；</w:t>
      </w:r>
    </w:p>
    <w:p>
      <w:pPr>
        <w:snapToGrid w:val="0"/>
        <w:spacing w:line="360" w:lineRule="auto"/>
        <w:rPr>
          <w:rFonts w:ascii="宋体" w:hAnsi="宋体"/>
          <w:color w:val="auto"/>
          <w:szCs w:val="21"/>
        </w:rPr>
      </w:pPr>
      <w:r>
        <w:rPr>
          <w:rFonts w:hint="eastAsia" w:ascii="宋体" w:hAnsi="宋体"/>
          <w:color w:val="auto"/>
          <w:szCs w:val="21"/>
        </w:rPr>
        <w:t>6.投标文件中无法定代表人身份证复印件、无法定代表人授权代表身份证复印件（适用于非法定代表人参加投标），无法定代表人授权书（适用于非法定代表人参加投标）、无</w:t>
      </w:r>
      <w:r>
        <w:rPr>
          <w:rFonts w:hint="eastAsia" w:hAnsi="宋体"/>
          <w:color w:val="auto"/>
          <w:szCs w:val="21"/>
        </w:rPr>
        <w:t>投标人的法定代表人授权代表近一个月的社保证明</w:t>
      </w:r>
      <w:r>
        <w:rPr>
          <w:rFonts w:hint="eastAsia" w:ascii="宋体" w:hAnsi="宋体"/>
          <w:color w:val="auto"/>
          <w:szCs w:val="21"/>
        </w:rPr>
        <w:t>（适用于非法定代表人参加投标），</w:t>
      </w:r>
      <w:r>
        <w:rPr>
          <w:rFonts w:hint="eastAsia" w:hAnsi="宋体"/>
          <w:color w:val="auto"/>
          <w:szCs w:val="21"/>
        </w:rPr>
        <w:t>投标人的法定代表人授权代表</w:t>
      </w:r>
      <w:r>
        <w:rPr>
          <w:rFonts w:hint="eastAsia" w:ascii="宋体" w:hAnsi="宋体"/>
          <w:color w:val="auto"/>
          <w:szCs w:val="21"/>
        </w:rPr>
        <w:t xml:space="preserve">的社保证明文件与法定代表人授权代表身份不符的（适用于非法定代表人参加投标），投标人代表非投标人在职人员的（适用于非法定代表人参加投标）； </w:t>
      </w:r>
    </w:p>
    <w:p>
      <w:pPr>
        <w:pStyle w:val="20"/>
        <w:snapToGrid w:val="0"/>
        <w:spacing w:line="360" w:lineRule="auto"/>
        <w:ind w:firstLine="0"/>
        <w:rPr>
          <w:rFonts w:hint="eastAsia" w:hAnsi="宋体"/>
          <w:snapToGrid w:val="0"/>
          <w:color w:val="auto"/>
          <w:sz w:val="21"/>
          <w:szCs w:val="21"/>
        </w:rPr>
      </w:pPr>
      <w:r>
        <w:rPr>
          <w:rFonts w:hint="eastAsia" w:hAnsi="宋体"/>
          <w:color w:val="auto"/>
          <w:sz w:val="21"/>
          <w:szCs w:val="21"/>
          <w:lang w:eastAsia="zh-CN"/>
        </w:rPr>
        <w:t>7.</w:t>
      </w:r>
      <w:r>
        <w:rPr>
          <w:rFonts w:hAnsi="宋体"/>
          <w:color w:val="auto"/>
          <w:sz w:val="21"/>
          <w:szCs w:val="21"/>
        </w:rPr>
        <w:t>投标文件的内容未使用中文表述</w:t>
      </w:r>
      <w:r>
        <w:rPr>
          <w:rFonts w:hint="eastAsia" w:hAnsi="宋体"/>
          <w:color w:val="auto"/>
          <w:sz w:val="21"/>
          <w:szCs w:val="21"/>
          <w:lang w:eastAsia="zh-CN"/>
        </w:rPr>
        <w:t>，</w:t>
      </w:r>
      <w:r>
        <w:rPr>
          <w:rFonts w:hint="eastAsia" w:hAnsi="宋体"/>
          <w:color w:val="auto"/>
          <w:sz w:val="21"/>
          <w:szCs w:val="21"/>
        </w:rPr>
        <w:t>含义不明确、同类问题表述不一致</w:t>
      </w:r>
      <w:r>
        <w:rPr>
          <w:rFonts w:hint="eastAsia" w:hAnsi="宋体"/>
          <w:color w:val="auto"/>
          <w:sz w:val="21"/>
          <w:szCs w:val="21"/>
          <w:lang w:eastAsia="zh-CN"/>
        </w:rPr>
        <w:t>，</w:t>
      </w:r>
      <w:r>
        <w:rPr>
          <w:rFonts w:hAnsi="宋体"/>
          <w:color w:val="auto"/>
          <w:sz w:val="21"/>
          <w:szCs w:val="21"/>
        </w:rPr>
        <w:t>使用</w:t>
      </w:r>
      <w:r>
        <w:rPr>
          <w:rFonts w:hint="eastAsia" w:hAnsi="宋体"/>
          <w:color w:val="auto"/>
          <w:sz w:val="21"/>
          <w:szCs w:val="21"/>
          <w:lang w:eastAsia="zh-CN"/>
        </w:rPr>
        <w:t>的</w:t>
      </w:r>
      <w:r>
        <w:rPr>
          <w:rFonts w:hAnsi="宋体"/>
          <w:color w:val="auto"/>
          <w:sz w:val="21"/>
          <w:szCs w:val="21"/>
        </w:rPr>
        <w:t>计量单位不符合</w:t>
      </w:r>
      <w:r>
        <w:rPr>
          <w:rFonts w:hint="eastAsia" w:hAnsi="宋体"/>
          <w:color w:val="auto"/>
          <w:sz w:val="21"/>
          <w:szCs w:val="21"/>
          <w:lang w:eastAsia="zh-CN"/>
        </w:rPr>
        <w:t>投标人须知</w:t>
      </w:r>
      <w:r>
        <w:rPr>
          <w:rFonts w:hAnsi="宋体"/>
          <w:color w:val="auto"/>
          <w:sz w:val="21"/>
          <w:szCs w:val="21"/>
        </w:rPr>
        <w:t>要求</w:t>
      </w:r>
      <w:r>
        <w:rPr>
          <w:rFonts w:hint="eastAsia" w:hAnsi="宋体"/>
          <w:color w:val="auto"/>
          <w:sz w:val="21"/>
          <w:szCs w:val="21"/>
          <w:lang w:eastAsia="zh-CN"/>
        </w:rPr>
        <w:t>，经评标委员会认定为无效投标</w:t>
      </w:r>
      <w:r>
        <w:rPr>
          <w:rFonts w:hAnsi="宋体"/>
          <w:color w:val="auto"/>
          <w:sz w:val="21"/>
          <w:szCs w:val="21"/>
        </w:rPr>
        <w:t>的</w:t>
      </w:r>
      <w:r>
        <w:rPr>
          <w:rFonts w:hint="eastAsia" w:hAnsi="宋体"/>
          <w:color w:val="auto"/>
          <w:sz w:val="21"/>
          <w:szCs w:val="21"/>
          <w:lang w:eastAsia="zh-CN"/>
        </w:rPr>
        <w:t>；</w:t>
      </w:r>
    </w:p>
    <w:p>
      <w:pPr>
        <w:pStyle w:val="20"/>
        <w:snapToGrid w:val="0"/>
        <w:spacing w:line="360" w:lineRule="auto"/>
        <w:ind w:firstLine="0"/>
        <w:rPr>
          <w:rFonts w:hint="eastAsia" w:hAnsi="宋体"/>
          <w:bCs/>
          <w:color w:val="auto"/>
          <w:sz w:val="21"/>
          <w:szCs w:val="21"/>
          <w:lang w:eastAsia="zh-CN"/>
        </w:rPr>
      </w:pPr>
      <w:r>
        <w:rPr>
          <w:rFonts w:hint="eastAsia" w:hAnsi="宋体"/>
          <w:color w:val="auto"/>
          <w:sz w:val="21"/>
          <w:szCs w:val="21"/>
          <w:lang w:eastAsia="zh-CN"/>
        </w:rPr>
        <w:t>8.</w:t>
      </w:r>
      <w:r>
        <w:rPr>
          <w:rFonts w:hAnsi="宋体"/>
          <w:color w:val="auto"/>
          <w:sz w:val="21"/>
          <w:szCs w:val="21"/>
        </w:rPr>
        <w:t>投标文件有</w:t>
      </w:r>
      <w:r>
        <w:rPr>
          <w:rFonts w:hint="eastAsia" w:hAnsi="宋体"/>
          <w:color w:val="auto"/>
          <w:sz w:val="21"/>
          <w:szCs w:val="21"/>
          <w:lang w:eastAsia="zh-CN"/>
        </w:rPr>
        <w:t>采购人</w:t>
      </w:r>
      <w:r>
        <w:rPr>
          <w:rFonts w:hAnsi="宋体"/>
          <w:color w:val="auto"/>
          <w:sz w:val="21"/>
          <w:szCs w:val="21"/>
        </w:rPr>
        <w:t>不能接受的</w:t>
      </w:r>
      <w:r>
        <w:rPr>
          <w:rFonts w:hAnsi="宋体"/>
          <w:bCs/>
          <w:color w:val="auto"/>
          <w:sz w:val="21"/>
          <w:szCs w:val="21"/>
        </w:rPr>
        <w:t>附加条件的</w:t>
      </w:r>
      <w:r>
        <w:rPr>
          <w:rFonts w:hint="eastAsia" w:hAnsi="宋体"/>
          <w:bCs/>
          <w:color w:val="auto"/>
          <w:sz w:val="21"/>
          <w:szCs w:val="21"/>
          <w:lang w:eastAsia="zh-CN"/>
        </w:rPr>
        <w:t>；</w:t>
      </w:r>
    </w:p>
    <w:p>
      <w:pPr>
        <w:pStyle w:val="20"/>
        <w:snapToGrid w:val="0"/>
        <w:spacing w:line="360" w:lineRule="auto"/>
        <w:ind w:firstLine="0"/>
        <w:rPr>
          <w:rFonts w:hint="eastAsia" w:hAnsi="宋体"/>
          <w:bCs/>
          <w:color w:val="auto"/>
          <w:sz w:val="21"/>
          <w:szCs w:val="21"/>
          <w:lang w:eastAsia="zh-CN"/>
        </w:rPr>
      </w:pPr>
      <w:r>
        <w:rPr>
          <w:rFonts w:hint="eastAsia" w:hAnsi="宋体"/>
          <w:bCs/>
          <w:color w:val="auto"/>
          <w:sz w:val="21"/>
          <w:szCs w:val="21"/>
          <w:lang w:eastAsia="zh-CN"/>
        </w:rPr>
        <w:t>9.法律、法规和采购文件规定的其他符合性审查无效投标情形；</w:t>
      </w:r>
    </w:p>
    <w:p>
      <w:pPr>
        <w:pStyle w:val="20"/>
        <w:snapToGrid w:val="0"/>
        <w:spacing w:line="360" w:lineRule="auto"/>
        <w:ind w:firstLine="203" w:firstLineChars="100"/>
        <w:rPr>
          <w:rFonts w:hint="eastAsia" w:hAnsi="宋体"/>
          <w:bCs/>
          <w:color w:val="auto"/>
          <w:sz w:val="21"/>
          <w:szCs w:val="21"/>
          <w:lang w:eastAsia="zh-CN"/>
        </w:rPr>
      </w:pPr>
      <w:r>
        <w:rPr>
          <w:rFonts w:hint="eastAsia" w:hAnsi="宋体"/>
          <w:b/>
          <w:bCs/>
          <w:color w:val="auto"/>
          <w:sz w:val="21"/>
          <w:szCs w:val="21"/>
          <w:lang w:eastAsia="zh-CN"/>
        </w:rPr>
        <w:t>（三）</w:t>
      </w:r>
      <w:r>
        <w:rPr>
          <w:rFonts w:hAnsi="宋体"/>
          <w:b/>
          <w:bCs/>
          <w:color w:val="auto"/>
          <w:sz w:val="21"/>
          <w:szCs w:val="21"/>
        </w:rPr>
        <w:t>在</w:t>
      </w:r>
      <w:r>
        <w:rPr>
          <w:rFonts w:hint="eastAsia" w:hAnsi="宋体"/>
          <w:b/>
          <w:bCs/>
          <w:color w:val="auto"/>
          <w:sz w:val="21"/>
          <w:szCs w:val="21"/>
          <w:lang w:eastAsia="zh-CN"/>
        </w:rPr>
        <w:t>商务</w:t>
      </w:r>
      <w:r>
        <w:rPr>
          <w:rFonts w:hAnsi="宋体"/>
          <w:b/>
          <w:bCs/>
          <w:color w:val="auto"/>
          <w:sz w:val="21"/>
          <w:szCs w:val="21"/>
        </w:rPr>
        <w:t>评审时，如发现下列情形之一的，</w:t>
      </w:r>
      <w:r>
        <w:rPr>
          <w:rFonts w:hint="eastAsia" w:hAnsi="宋体"/>
          <w:b/>
          <w:bCs/>
          <w:color w:val="auto"/>
          <w:sz w:val="21"/>
          <w:szCs w:val="21"/>
        </w:rPr>
        <w:t>将作为无效投标</w:t>
      </w:r>
      <w:r>
        <w:rPr>
          <w:rFonts w:hAnsi="宋体"/>
          <w:b/>
          <w:bCs/>
          <w:color w:val="auto"/>
          <w:sz w:val="21"/>
          <w:szCs w:val="21"/>
        </w:rPr>
        <w:t>：</w:t>
      </w:r>
    </w:p>
    <w:p>
      <w:pPr>
        <w:pStyle w:val="20"/>
        <w:snapToGrid w:val="0"/>
        <w:spacing w:line="360" w:lineRule="auto"/>
        <w:ind w:firstLine="0"/>
        <w:rPr>
          <w:rFonts w:hint="eastAsia" w:hAnsi="宋体"/>
          <w:bCs/>
          <w:color w:val="auto"/>
          <w:sz w:val="21"/>
          <w:szCs w:val="21"/>
          <w:lang w:eastAsia="zh-CN"/>
        </w:rPr>
      </w:pPr>
      <w:r>
        <w:rPr>
          <w:rFonts w:hint="eastAsia" w:hAnsi="宋体"/>
          <w:bCs/>
          <w:color w:val="auto"/>
          <w:sz w:val="21"/>
          <w:szCs w:val="21"/>
          <w:lang w:eastAsia="zh-CN"/>
        </w:rPr>
        <w:t>1.投标文件中的投标有效期少于采购文件中载明的投标有效期的。</w:t>
      </w:r>
    </w:p>
    <w:p>
      <w:pPr>
        <w:pStyle w:val="20"/>
        <w:snapToGrid w:val="0"/>
        <w:spacing w:line="360" w:lineRule="auto"/>
        <w:ind w:firstLine="0"/>
        <w:rPr>
          <w:rFonts w:hint="eastAsia" w:hAnsi="宋体"/>
          <w:bCs/>
          <w:color w:val="auto"/>
          <w:sz w:val="21"/>
          <w:szCs w:val="21"/>
          <w:lang w:eastAsia="zh-CN"/>
        </w:rPr>
      </w:pPr>
      <w:r>
        <w:rPr>
          <w:rFonts w:hint="eastAsia" w:hAnsi="宋体"/>
          <w:bCs/>
          <w:color w:val="auto"/>
          <w:sz w:val="21"/>
          <w:szCs w:val="21"/>
          <w:lang w:eastAsia="zh-CN"/>
        </w:rPr>
        <w:t>2.未响应采购文件标有</w:t>
      </w:r>
      <w:r>
        <w:rPr>
          <w:rFonts w:hAnsi="宋体"/>
          <w:bCs/>
          <w:color w:val="auto"/>
          <w:sz w:val="21"/>
          <w:szCs w:val="21"/>
          <w:lang w:eastAsia="zh-CN"/>
        </w:rPr>
        <w:t>“▲”</w:t>
      </w:r>
      <w:r>
        <w:rPr>
          <w:rFonts w:hint="eastAsia" w:hAnsi="宋体"/>
          <w:bCs/>
          <w:color w:val="auto"/>
          <w:sz w:val="21"/>
          <w:szCs w:val="21"/>
          <w:lang w:eastAsia="zh-CN"/>
        </w:rPr>
        <w:t>的</w:t>
      </w:r>
      <w:r>
        <w:rPr>
          <w:rFonts w:hAnsi="宋体"/>
          <w:bCs/>
          <w:color w:val="auto"/>
          <w:sz w:val="21"/>
          <w:szCs w:val="21"/>
          <w:lang w:eastAsia="zh-CN"/>
        </w:rPr>
        <w:t>实质性</w:t>
      </w:r>
      <w:r>
        <w:rPr>
          <w:rFonts w:hint="eastAsia" w:hAnsi="宋体"/>
          <w:bCs/>
          <w:color w:val="auto"/>
          <w:sz w:val="21"/>
          <w:szCs w:val="21"/>
          <w:lang w:eastAsia="zh-CN"/>
        </w:rPr>
        <w:t>商务内容的(经评标委员会认定优于采购文件标有</w:t>
      </w:r>
      <w:r>
        <w:rPr>
          <w:rFonts w:hAnsi="宋体"/>
          <w:bCs/>
          <w:color w:val="auto"/>
          <w:sz w:val="21"/>
          <w:szCs w:val="21"/>
          <w:lang w:eastAsia="zh-CN"/>
        </w:rPr>
        <w:t>“▲”</w:t>
      </w:r>
      <w:r>
        <w:rPr>
          <w:rFonts w:hint="eastAsia" w:hAnsi="宋体"/>
          <w:bCs/>
          <w:color w:val="auto"/>
          <w:sz w:val="21"/>
          <w:szCs w:val="21"/>
          <w:lang w:eastAsia="zh-CN"/>
        </w:rPr>
        <w:t>的</w:t>
      </w:r>
      <w:r>
        <w:rPr>
          <w:rFonts w:hAnsi="宋体"/>
          <w:bCs/>
          <w:color w:val="auto"/>
          <w:sz w:val="21"/>
          <w:szCs w:val="21"/>
          <w:lang w:eastAsia="zh-CN"/>
        </w:rPr>
        <w:t>实质性</w:t>
      </w:r>
      <w:r>
        <w:rPr>
          <w:rFonts w:hint="eastAsia" w:hAnsi="宋体"/>
          <w:bCs/>
          <w:color w:val="auto"/>
          <w:sz w:val="21"/>
          <w:szCs w:val="21"/>
          <w:lang w:eastAsia="zh-CN"/>
        </w:rPr>
        <w:t>内容的除外)。</w:t>
      </w:r>
    </w:p>
    <w:p>
      <w:pPr>
        <w:pStyle w:val="20"/>
        <w:snapToGrid w:val="0"/>
        <w:spacing w:line="360" w:lineRule="auto"/>
        <w:ind w:firstLine="0"/>
        <w:rPr>
          <w:rFonts w:hint="eastAsia" w:hAnsi="宋体"/>
          <w:bCs/>
          <w:color w:val="auto"/>
          <w:sz w:val="21"/>
          <w:szCs w:val="21"/>
          <w:lang w:eastAsia="zh-CN"/>
        </w:rPr>
      </w:pPr>
      <w:r>
        <w:rPr>
          <w:rFonts w:hint="eastAsia" w:hAnsi="宋体"/>
          <w:bCs/>
          <w:color w:val="auto"/>
          <w:sz w:val="21"/>
          <w:szCs w:val="21"/>
          <w:lang w:eastAsia="zh-CN"/>
        </w:rPr>
        <w:t>3.法律、法规和采购文件规定的其他商务</w:t>
      </w:r>
      <w:r>
        <w:rPr>
          <w:rFonts w:hAnsi="宋体"/>
          <w:bCs/>
          <w:color w:val="auto"/>
          <w:sz w:val="21"/>
          <w:szCs w:val="21"/>
          <w:lang w:eastAsia="zh-CN"/>
        </w:rPr>
        <w:t>评审</w:t>
      </w:r>
      <w:r>
        <w:rPr>
          <w:rFonts w:hint="eastAsia" w:hAnsi="宋体"/>
          <w:bCs/>
          <w:color w:val="auto"/>
          <w:sz w:val="21"/>
          <w:szCs w:val="21"/>
          <w:lang w:eastAsia="zh-CN"/>
        </w:rPr>
        <w:t>作无效投标的情形；</w:t>
      </w:r>
    </w:p>
    <w:p>
      <w:pPr>
        <w:pStyle w:val="20"/>
        <w:snapToGrid w:val="0"/>
        <w:spacing w:line="360" w:lineRule="auto"/>
        <w:ind w:firstLine="199" w:firstLineChars="98"/>
        <w:rPr>
          <w:rFonts w:hint="eastAsia" w:hAnsi="宋体"/>
          <w:b/>
          <w:bCs/>
          <w:color w:val="auto"/>
          <w:sz w:val="21"/>
          <w:szCs w:val="21"/>
          <w:lang w:eastAsia="zh-CN"/>
        </w:rPr>
      </w:pPr>
      <w:r>
        <w:rPr>
          <w:rFonts w:hint="eastAsia" w:hAnsi="宋体"/>
          <w:b/>
          <w:bCs/>
          <w:color w:val="auto"/>
          <w:sz w:val="21"/>
          <w:szCs w:val="21"/>
          <w:lang w:eastAsia="zh-CN"/>
        </w:rPr>
        <w:t>（四）</w:t>
      </w:r>
      <w:r>
        <w:rPr>
          <w:rFonts w:hAnsi="宋体"/>
          <w:b/>
          <w:bCs/>
          <w:color w:val="auto"/>
          <w:sz w:val="21"/>
          <w:szCs w:val="21"/>
        </w:rPr>
        <w:t>在技术评审时，如发现下列情形之一的，</w:t>
      </w:r>
      <w:r>
        <w:rPr>
          <w:rFonts w:hint="eastAsia" w:hAnsi="宋体"/>
          <w:b/>
          <w:bCs/>
          <w:color w:val="auto"/>
          <w:sz w:val="21"/>
          <w:szCs w:val="21"/>
        </w:rPr>
        <w:t>将作为无效投标</w:t>
      </w:r>
      <w:r>
        <w:rPr>
          <w:rFonts w:hAnsi="宋体"/>
          <w:b/>
          <w:bCs/>
          <w:color w:val="auto"/>
          <w:sz w:val="21"/>
          <w:szCs w:val="21"/>
        </w:rPr>
        <w:t>：</w:t>
      </w:r>
    </w:p>
    <w:p>
      <w:pPr>
        <w:pStyle w:val="20"/>
        <w:snapToGrid w:val="0"/>
        <w:spacing w:line="360" w:lineRule="auto"/>
        <w:ind w:firstLine="0"/>
        <w:rPr>
          <w:rFonts w:hint="eastAsia" w:ascii="Times New Roman" w:hAnsi="Times New Roman"/>
          <w:color w:val="auto"/>
          <w:spacing w:val="0"/>
          <w:sz w:val="21"/>
          <w:szCs w:val="24"/>
          <w:lang w:val="en-US" w:eastAsia="zh-CN"/>
        </w:rPr>
      </w:pPr>
      <w:r>
        <w:rPr>
          <w:rFonts w:hint="eastAsia" w:ascii="Times New Roman" w:hAnsi="Times New Roman"/>
          <w:color w:val="auto"/>
          <w:spacing w:val="0"/>
          <w:sz w:val="21"/>
          <w:szCs w:val="24"/>
          <w:lang w:val="en-US" w:eastAsia="zh-CN"/>
        </w:rPr>
        <w:t>1.对采购文件第二章采购需求中的“二、采购清单及技术参数”内容的</w:t>
      </w:r>
      <w:r>
        <w:rPr>
          <w:rFonts w:ascii="Times New Roman" w:hAnsi="Times New Roman"/>
          <w:color w:val="auto"/>
          <w:spacing w:val="0"/>
          <w:sz w:val="21"/>
          <w:szCs w:val="24"/>
          <w:lang w:val="en-US" w:eastAsia="zh-CN"/>
        </w:rPr>
        <w:t>响应与事实不符或</w:t>
      </w:r>
      <w:r>
        <w:rPr>
          <w:rFonts w:hint="eastAsia" w:ascii="Times New Roman" w:hAnsi="Times New Roman"/>
          <w:color w:val="auto"/>
          <w:spacing w:val="0"/>
          <w:sz w:val="21"/>
          <w:szCs w:val="24"/>
          <w:lang w:val="en-US" w:eastAsia="zh-CN"/>
        </w:rPr>
        <w:t>与“二、采购清单及技术参数”内容要求提供的相关资料不符的或</w:t>
      </w:r>
      <w:r>
        <w:rPr>
          <w:rFonts w:ascii="Times New Roman" w:hAnsi="Times New Roman"/>
          <w:color w:val="auto"/>
          <w:spacing w:val="0"/>
          <w:sz w:val="21"/>
          <w:szCs w:val="24"/>
          <w:lang w:val="en-US" w:eastAsia="zh-CN"/>
        </w:rPr>
        <w:t>虚假投标的；</w:t>
      </w:r>
    </w:p>
    <w:p>
      <w:pPr>
        <w:pStyle w:val="20"/>
        <w:snapToGrid w:val="0"/>
        <w:spacing w:line="360" w:lineRule="auto"/>
        <w:ind w:firstLine="0"/>
        <w:rPr>
          <w:rFonts w:hint="eastAsia" w:ascii="Times New Roman" w:hAnsi="Times New Roman"/>
          <w:color w:val="auto"/>
          <w:spacing w:val="0"/>
          <w:sz w:val="21"/>
          <w:szCs w:val="24"/>
          <w:lang w:val="en-US" w:eastAsia="zh-CN"/>
        </w:rPr>
      </w:pPr>
      <w:r>
        <w:rPr>
          <w:rFonts w:hint="eastAsia" w:ascii="Times New Roman" w:hAnsi="Times New Roman"/>
          <w:color w:val="auto"/>
          <w:spacing w:val="0"/>
          <w:sz w:val="21"/>
          <w:szCs w:val="24"/>
          <w:lang w:val="en-US" w:eastAsia="zh-CN"/>
        </w:rPr>
        <w:t>2.未响应采购文件标有</w:t>
      </w:r>
      <w:r>
        <w:rPr>
          <w:rFonts w:ascii="Times New Roman" w:hAnsi="Times New Roman"/>
          <w:color w:val="auto"/>
          <w:spacing w:val="0"/>
          <w:sz w:val="21"/>
          <w:szCs w:val="24"/>
          <w:lang w:val="en-US" w:eastAsia="zh-CN"/>
        </w:rPr>
        <w:t>“▲”</w:t>
      </w:r>
      <w:r>
        <w:rPr>
          <w:rFonts w:hint="eastAsia" w:ascii="Times New Roman" w:hAnsi="Times New Roman"/>
          <w:color w:val="auto"/>
          <w:spacing w:val="0"/>
          <w:sz w:val="21"/>
          <w:szCs w:val="24"/>
          <w:lang w:val="en-US" w:eastAsia="zh-CN"/>
        </w:rPr>
        <w:t>的</w:t>
      </w:r>
      <w:r>
        <w:rPr>
          <w:rFonts w:ascii="Times New Roman" w:hAnsi="Times New Roman"/>
          <w:color w:val="auto"/>
          <w:spacing w:val="0"/>
          <w:sz w:val="21"/>
          <w:szCs w:val="24"/>
          <w:lang w:val="en-US" w:eastAsia="zh-CN"/>
        </w:rPr>
        <w:t>实质性</w:t>
      </w:r>
      <w:r>
        <w:rPr>
          <w:rFonts w:hint="eastAsia" w:ascii="Times New Roman" w:hAnsi="Times New Roman"/>
          <w:color w:val="auto"/>
          <w:spacing w:val="0"/>
          <w:sz w:val="21"/>
          <w:szCs w:val="24"/>
          <w:lang w:val="en-US" w:eastAsia="zh-CN"/>
        </w:rPr>
        <w:t>技术条款的(经评标委员会认定优于采购文件标有</w:t>
      </w:r>
      <w:r>
        <w:rPr>
          <w:rFonts w:ascii="Times New Roman" w:hAnsi="Times New Roman"/>
          <w:color w:val="auto"/>
          <w:spacing w:val="0"/>
          <w:sz w:val="21"/>
          <w:szCs w:val="24"/>
          <w:lang w:val="en-US" w:eastAsia="zh-CN"/>
        </w:rPr>
        <w:t>“▲”</w:t>
      </w:r>
      <w:r>
        <w:rPr>
          <w:rFonts w:hint="eastAsia" w:ascii="Times New Roman" w:hAnsi="Times New Roman"/>
          <w:color w:val="auto"/>
          <w:spacing w:val="0"/>
          <w:sz w:val="21"/>
          <w:szCs w:val="24"/>
          <w:lang w:val="en-US" w:eastAsia="zh-CN"/>
        </w:rPr>
        <w:t>的</w:t>
      </w:r>
      <w:r>
        <w:rPr>
          <w:rFonts w:ascii="Times New Roman" w:hAnsi="Times New Roman"/>
          <w:color w:val="auto"/>
          <w:spacing w:val="0"/>
          <w:sz w:val="21"/>
          <w:szCs w:val="24"/>
          <w:lang w:val="en-US" w:eastAsia="zh-CN"/>
        </w:rPr>
        <w:t>实质性</w:t>
      </w:r>
      <w:r>
        <w:rPr>
          <w:rFonts w:hint="eastAsia" w:ascii="Times New Roman" w:hAnsi="Times New Roman"/>
          <w:color w:val="auto"/>
          <w:spacing w:val="0"/>
          <w:sz w:val="21"/>
          <w:szCs w:val="24"/>
          <w:lang w:val="en-US" w:eastAsia="zh-CN"/>
        </w:rPr>
        <w:t>内容的除外)。</w:t>
      </w:r>
    </w:p>
    <w:p>
      <w:pPr>
        <w:spacing w:line="360" w:lineRule="auto"/>
        <w:rPr>
          <w:rFonts w:hint="eastAsia"/>
          <w:color w:val="auto"/>
        </w:rPr>
      </w:pPr>
      <w:r>
        <w:rPr>
          <w:rFonts w:hint="eastAsia"/>
          <w:color w:val="auto"/>
        </w:rPr>
        <w:t>3.非实质性技术条款负偏离达  /  项（含）以上的；</w:t>
      </w:r>
    </w:p>
    <w:p>
      <w:pPr>
        <w:pStyle w:val="20"/>
        <w:snapToGrid w:val="0"/>
        <w:spacing w:line="360" w:lineRule="auto"/>
        <w:ind w:firstLine="0"/>
        <w:rPr>
          <w:rFonts w:hint="eastAsia" w:hAnsi="宋体"/>
          <w:color w:val="auto"/>
          <w:sz w:val="21"/>
          <w:szCs w:val="21"/>
          <w:lang w:eastAsia="zh-CN"/>
        </w:rPr>
      </w:pPr>
      <w:r>
        <w:rPr>
          <w:rFonts w:hint="eastAsia" w:hAnsi="宋体"/>
          <w:color w:val="auto"/>
          <w:sz w:val="21"/>
          <w:szCs w:val="21"/>
          <w:lang w:eastAsia="zh-CN"/>
        </w:rPr>
        <w:t>4.</w:t>
      </w:r>
      <w:r>
        <w:rPr>
          <w:rFonts w:hAnsi="宋体"/>
          <w:color w:val="auto"/>
          <w:sz w:val="21"/>
          <w:szCs w:val="21"/>
        </w:rPr>
        <w:t>投标技术方案不明确，存在一个或一个以上备选（替代）投标方案的</w:t>
      </w:r>
      <w:r>
        <w:rPr>
          <w:rFonts w:hint="eastAsia" w:hAnsi="宋体"/>
          <w:color w:val="auto"/>
          <w:sz w:val="21"/>
          <w:szCs w:val="21"/>
          <w:lang w:eastAsia="zh-CN"/>
        </w:rPr>
        <w:t>（采购文件约定允许提供备选方案的除外）</w:t>
      </w:r>
      <w:r>
        <w:rPr>
          <w:rFonts w:hAnsi="宋体"/>
          <w:color w:val="auto"/>
          <w:sz w:val="21"/>
          <w:szCs w:val="21"/>
        </w:rPr>
        <w:t>；</w:t>
      </w:r>
    </w:p>
    <w:p>
      <w:pPr>
        <w:pStyle w:val="20"/>
        <w:snapToGrid w:val="0"/>
        <w:spacing w:line="360" w:lineRule="auto"/>
        <w:ind w:firstLine="0"/>
        <w:rPr>
          <w:rFonts w:hint="eastAsia" w:hAnsi="宋体"/>
          <w:color w:val="auto"/>
          <w:sz w:val="21"/>
          <w:szCs w:val="21"/>
          <w:lang w:eastAsia="zh-CN"/>
        </w:rPr>
      </w:pPr>
      <w:r>
        <w:rPr>
          <w:rFonts w:hint="eastAsia" w:hAnsi="宋体"/>
          <w:color w:val="auto"/>
          <w:sz w:val="21"/>
          <w:szCs w:val="21"/>
          <w:lang w:eastAsia="zh-CN"/>
        </w:rPr>
        <w:t>5.</w:t>
      </w:r>
      <w:r>
        <w:rPr>
          <w:rFonts w:hint="eastAsia" w:hAnsi="宋体"/>
          <w:color w:val="auto"/>
          <w:sz w:val="21"/>
          <w:szCs w:val="21"/>
        </w:rPr>
        <w:t>与其他</w:t>
      </w:r>
      <w:r>
        <w:rPr>
          <w:rFonts w:hint="eastAsia" w:hAnsi="宋体"/>
          <w:color w:val="auto"/>
          <w:sz w:val="21"/>
          <w:szCs w:val="21"/>
          <w:lang w:eastAsia="zh-CN"/>
        </w:rPr>
        <w:t>投标人的</w:t>
      </w:r>
      <w:r>
        <w:rPr>
          <w:rFonts w:hint="eastAsia" w:hAnsi="宋体"/>
          <w:color w:val="auto"/>
          <w:sz w:val="21"/>
          <w:szCs w:val="21"/>
        </w:rPr>
        <w:t>投标文件</w:t>
      </w:r>
      <w:r>
        <w:rPr>
          <w:rFonts w:hint="eastAsia" w:hAnsi="宋体"/>
          <w:color w:val="auto"/>
          <w:sz w:val="21"/>
          <w:szCs w:val="21"/>
          <w:lang w:eastAsia="zh-CN"/>
        </w:rPr>
        <w:t>中</w:t>
      </w:r>
      <w:r>
        <w:rPr>
          <w:rFonts w:hint="eastAsia" w:hAnsi="宋体"/>
          <w:color w:val="auto"/>
          <w:sz w:val="21"/>
          <w:szCs w:val="21"/>
        </w:rPr>
        <w:t>技术文件</w:t>
      </w:r>
      <w:r>
        <w:rPr>
          <w:rFonts w:hint="eastAsia" w:hAnsi="宋体"/>
          <w:color w:val="auto"/>
          <w:sz w:val="21"/>
          <w:szCs w:val="21"/>
          <w:lang w:eastAsia="zh-CN"/>
        </w:rPr>
        <w:t>部分</w:t>
      </w:r>
      <w:r>
        <w:rPr>
          <w:rFonts w:hint="eastAsia" w:hAnsi="宋体"/>
          <w:color w:val="auto"/>
          <w:sz w:val="21"/>
          <w:szCs w:val="21"/>
        </w:rPr>
        <w:t>的文字表述内容差错相同</w:t>
      </w:r>
      <w:r>
        <w:rPr>
          <w:rFonts w:hint="eastAsia" w:hAnsi="宋体"/>
          <w:color w:val="auto"/>
          <w:sz w:val="21"/>
          <w:szCs w:val="21"/>
          <w:lang w:eastAsia="zh-CN"/>
        </w:rPr>
        <w:t>达3</w:t>
      </w:r>
      <w:r>
        <w:rPr>
          <w:rFonts w:hint="eastAsia" w:hAnsi="宋体"/>
          <w:color w:val="auto"/>
          <w:sz w:val="21"/>
          <w:szCs w:val="21"/>
        </w:rPr>
        <w:t>处</w:t>
      </w:r>
      <w:r>
        <w:rPr>
          <w:rFonts w:hint="eastAsia" w:hAnsi="宋体"/>
          <w:color w:val="auto"/>
          <w:sz w:val="21"/>
          <w:szCs w:val="21"/>
          <w:lang w:eastAsia="zh-CN"/>
        </w:rPr>
        <w:t>及</w:t>
      </w:r>
      <w:r>
        <w:rPr>
          <w:rFonts w:hint="eastAsia" w:hAnsi="宋体"/>
          <w:color w:val="auto"/>
          <w:sz w:val="21"/>
          <w:szCs w:val="21"/>
        </w:rPr>
        <w:t>以上的</w:t>
      </w:r>
      <w:r>
        <w:rPr>
          <w:rFonts w:hint="eastAsia" w:hAnsi="宋体"/>
          <w:color w:val="auto"/>
          <w:sz w:val="21"/>
          <w:szCs w:val="21"/>
          <w:lang w:eastAsia="zh-CN"/>
        </w:rPr>
        <w:t>，或评标委员会认定存在</w:t>
      </w:r>
      <w:r>
        <w:rPr>
          <w:rFonts w:hint="eastAsia" w:hAnsi="宋体"/>
          <w:color w:val="auto"/>
          <w:sz w:val="21"/>
          <w:szCs w:val="21"/>
        </w:rPr>
        <w:t>串通</w:t>
      </w:r>
      <w:r>
        <w:rPr>
          <w:rFonts w:hint="eastAsia" w:hAnsi="宋体"/>
          <w:color w:val="auto"/>
          <w:sz w:val="21"/>
          <w:szCs w:val="21"/>
          <w:lang w:eastAsia="zh-CN"/>
        </w:rPr>
        <w:t>投标情形的；</w:t>
      </w:r>
    </w:p>
    <w:p>
      <w:pPr>
        <w:pStyle w:val="20"/>
        <w:snapToGrid w:val="0"/>
        <w:spacing w:line="360" w:lineRule="auto"/>
        <w:ind w:firstLine="0"/>
        <w:rPr>
          <w:rFonts w:hint="eastAsia" w:hAnsi="宋体"/>
          <w:bCs/>
          <w:color w:val="auto"/>
          <w:sz w:val="21"/>
          <w:szCs w:val="21"/>
          <w:lang w:eastAsia="zh-CN"/>
        </w:rPr>
      </w:pPr>
      <w:r>
        <w:rPr>
          <w:rFonts w:hint="eastAsia" w:hAnsi="宋体"/>
          <w:bCs/>
          <w:color w:val="auto"/>
          <w:sz w:val="21"/>
          <w:szCs w:val="21"/>
          <w:lang w:eastAsia="zh-CN"/>
        </w:rPr>
        <w:t>6.法律、法规和采购文件规定的其他技术</w:t>
      </w:r>
      <w:r>
        <w:rPr>
          <w:rFonts w:hAnsi="宋体"/>
          <w:bCs/>
          <w:color w:val="auto"/>
          <w:sz w:val="21"/>
          <w:szCs w:val="21"/>
          <w:lang w:eastAsia="zh-CN"/>
        </w:rPr>
        <w:t>评审</w:t>
      </w:r>
      <w:r>
        <w:rPr>
          <w:rFonts w:hint="eastAsia" w:hAnsi="宋体"/>
          <w:bCs/>
          <w:color w:val="auto"/>
          <w:sz w:val="21"/>
          <w:szCs w:val="21"/>
          <w:lang w:eastAsia="zh-CN"/>
        </w:rPr>
        <w:t>作无效投标的情形；</w:t>
      </w:r>
    </w:p>
    <w:p>
      <w:pPr>
        <w:pStyle w:val="20"/>
        <w:snapToGrid w:val="0"/>
        <w:spacing w:line="360" w:lineRule="auto"/>
        <w:ind w:firstLine="199" w:firstLineChars="98"/>
        <w:rPr>
          <w:rFonts w:hAnsi="宋体"/>
          <w:b/>
          <w:bCs/>
          <w:color w:val="auto"/>
          <w:sz w:val="21"/>
          <w:szCs w:val="21"/>
        </w:rPr>
      </w:pPr>
      <w:r>
        <w:rPr>
          <w:rFonts w:hint="eastAsia" w:hAnsi="宋体"/>
          <w:b/>
          <w:bCs/>
          <w:color w:val="auto"/>
          <w:sz w:val="21"/>
          <w:szCs w:val="21"/>
          <w:lang w:eastAsia="zh-CN"/>
        </w:rPr>
        <w:t>（五）</w:t>
      </w:r>
      <w:r>
        <w:rPr>
          <w:rFonts w:hAnsi="宋体"/>
          <w:b/>
          <w:bCs/>
          <w:color w:val="auto"/>
          <w:sz w:val="21"/>
          <w:szCs w:val="21"/>
        </w:rPr>
        <w:t>在报价评审时，如发现下列情形之一的，</w:t>
      </w:r>
      <w:r>
        <w:rPr>
          <w:rFonts w:hint="eastAsia" w:hAnsi="宋体"/>
          <w:b/>
          <w:bCs/>
          <w:color w:val="auto"/>
          <w:sz w:val="21"/>
          <w:szCs w:val="21"/>
        </w:rPr>
        <w:t>将作为无效投标</w:t>
      </w:r>
      <w:r>
        <w:rPr>
          <w:rFonts w:hAnsi="宋体"/>
          <w:b/>
          <w:bCs/>
          <w:color w:val="auto"/>
          <w:sz w:val="21"/>
          <w:szCs w:val="21"/>
        </w:rPr>
        <w:t>：</w:t>
      </w:r>
    </w:p>
    <w:p>
      <w:pPr>
        <w:pStyle w:val="20"/>
        <w:snapToGrid w:val="0"/>
        <w:spacing w:line="360" w:lineRule="auto"/>
        <w:ind w:firstLine="0"/>
        <w:rPr>
          <w:rFonts w:hAnsi="宋体"/>
          <w:color w:val="auto"/>
          <w:sz w:val="21"/>
          <w:szCs w:val="21"/>
        </w:rPr>
      </w:pPr>
      <w:r>
        <w:rPr>
          <w:rFonts w:hint="eastAsia" w:hAnsi="宋体"/>
          <w:color w:val="auto"/>
          <w:sz w:val="21"/>
          <w:szCs w:val="21"/>
          <w:lang w:eastAsia="zh-CN"/>
        </w:rPr>
        <w:t>1.</w:t>
      </w:r>
      <w:r>
        <w:rPr>
          <w:rFonts w:hAnsi="宋体"/>
          <w:color w:val="auto"/>
          <w:sz w:val="21"/>
          <w:szCs w:val="21"/>
        </w:rPr>
        <w:t>未采用人民币报价</w:t>
      </w:r>
      <w:r>
        <w:rPr>
          <w:rFonts w:hint="eastAsia" w:hAnsi="宋体"/>
          <w:color w:val="auto"/>
          <w:sz w:val="21"/>
          <w:szCs w:val="21"/>
          <w:lang w:eastAsia="zh-CN"/>
        </w:rPr>
        <w:t>的</w:t>
      </w:r>
      <w:r>
        <w:rPr>
          <w:rFonts w:hAnsi="宋体"/>
          <w:color w:val="auto"/>
          <w:sz w:val="21"/>
          <w:szCs w:val="21"/>
        </w:rPr>
        <w:t>；</w:t>
      </w:r>
    </w:p>
    <w:p>
      <w:pPr>
        <w:pStyle w:val="20"/>
        <w:snapToGrid w:val="0"/>
        <w:spacing w:line="360" w:lineRule="auto"/>
        <w:ind w:firstLine="0"/>
        <w:rPr>
          <w:rFonts w:hint="eastAsia" w:hAnsi="宋体"/>
          <w:color w:val="auto"/>
          <w:sz w:val="21"/>
          <w:szCs w:val="21"/>
        </w:rPr>
      </w:pPr>
      <w:r>
        <w:rPr>
          <w:rFonts w:hint="eastAsia" w:hAnsi="宋体"/>
          <w:color w:val="auto"/>
          <w:sz w:val="21"/>
          <w:szCs w:val="21"/>
          <w:lang w:eastAsia="zh-CN"/>
        </w:rPr>
        <w:t>2.投标价格超过采购文件中规定的最高限价的；</w:t>
      </w:r>
    </w:p>
    <w:p>
      <w:pPr>
        <w:pStyle w:val="20"/>
        <w:snapToGrid w:val="0"/>
        <w:spacing w:line="360" w:lineRule="auto"/>
        <w:ind w:firstLine="0"/>
        <w:rPr>
          <w:rFonts w:hint="eastAsia" w:hAnsi="宋体"/>
          <w:color w:val="auto"/>
          <w:sz w:val="21"/>
          <w:szCs w:val="21"/>
          <w:lang w:eastAsia="zh-CN"/>
        </w:rPr>
      </w:pPr>
      <w:r>
        <w:rPr>
          <w:rFonts w:hint="eastAsia" w:hAnsi="宋体"/>
          <w:color w:val="auto"/>
          <w:sz w:val="21"/>
          <w:szCs w:val="21"/>
          <w:lang w:eastAsia="zh-CN"/>
        </w:rPr>
        <w:t>3.投标价格</w:t>
      </w:r>
      <w:r>
        <w:rPr>
          <w:rFonts w:hint="eastAsia" w:hAnsi="宋体"/>
          <w:color w:val="auto"/>
          <w:sz w:val="21"/>
          <w:szCs w:val="21"/>
        </w:rPr>
        <w:t>具有选择性，</w:t>
      </w:r>
      <w:r>
        <w:rPr>
          <w:rFonts w:hint="eastAsia" w:hAnsi="宋体"/>
          <w:color w:val="auto"/>
          <w:sz w:val="21"/>
          <w:szCs w:val="21"/>
          <w:lang w:eastAsia="zh-CN"/>
        </w:rPr>
        <w:t>如</w:t>
      </w:r>
      <w:r>
        <w:rPr>
          <w:rFonts w:hint="eastAsia" w:hAnsi="宋体"/>
          <w:color w:val="auto"/>
          <w:sz w:val="21"/>
          <w:szCs w:val="21"/>
        </w:rPr>
        <w:t>开标</w:t>
      </w:r>
      <w:r>
        <w:rPr>
          <w:rFonts w:hint="eastAsia" w:hAnsi="宋体"/>
          <w:color w:val="auto"/>
          <w:sz w:val="21"/>
          <w:szCs w:val="21"/>
          <w:lang w:eastAsia="zh-CN"/>
        </w:rPr>
        <w:t>一览表中的</w:t>
      </w:r>
      <w:r>
        <w:rPr>
          <w:rFonts w:hint="eastAsia" w:hAnsi="宋体"/>
          <w:color w:val="auto"/>
          <w:sz w:val="21"/>
          <w:szCs w:val="21"/>
        </w:rPr>
        <w:t>价格与</w:t>
      </w:r>
      <w:r>
        <w:rPr>
          <w:rFonts w:hint="eastAsia" w:hAnsi="宋体"/>
          <w:color w:val="auto"/>
          <w:sz w:val="21"/>
          <w:szCs w:val="21"/>
          <w:lang w:eastAsia="zh-CN"/>
        </w:rPr>
        <w:t>投标声明中</w:t>
      </w:r>
      <w:r>
        <w:rPr>
          <w:rFonts w:hint="eastAsia" w:hAnsi="宋体"/>
          <w:color w:val="auto"/>
          <w:sz w:val="21"/>
          <w:szCs w:val="21"/>
        </w:rPr>
        <w:t>承诺的优惠（折扣）价格不一致</w:t>
      </w:r>
      <w:r>
        <w:rPr>
          <w:rFonts w:hint="eastAsia" w:hAnsi="宋体"/>
          <w:color w:val="auto"/>
          <w:sz w:val="21"/>
          <w:szCs w:val="21"/>
          <w:lang w:eastAsia="zh-CN"/>
        </w:rPr>
        <w:t>等情况的</w:t>
      </w:r>
      <w:r>
        <w:rPr>
          <w:rFonts w:hint="eastAsia" w:hAnsi="宋体"/>
          <w:color w:val="auto"/>
          <w:sz w:val="21"/>
          <w:szCs w:val="21"/>
        </w:rPr>
        <w:t>；</w:t>
      </w:r>
    </w:p>
    <w:p>
      <w:pPr>
        <w:pStyle w:val="20"/>
        <w:snapToGrid w:val="0"/>
        <w:spacing w:line="360" w:lineRule="auto"/>
        <w:ind w:firstLine="0"/>
        <w:rPr>
          <w:rFonts w:hint="eastAsia" w:hAnsi="宋体"/>
          <w:color w:val="auto"/>
          <w:sz w:val="21"/>
          <w:szCs w:val="21"/>
          <w:lang w:eastAsia="zh-CN"/>
        </w:rPr>
      </w:pPr>
      <w:r>
        <w:rPr>
          <w:rFonts w:hint="eastAsia" w:hAnsi="宋体"/>
          <w:color w:val="auto"/>
          <w:sz w:val="21"/>
          <w:szCs w:val="21"/>
          <w:lang w:eastAsia="zh-CN"/>
        </w:rPr>
        <w:t>4.投标报价中出现重大缺项、漏项的；</w:t>
      </w:r>
    </w:p>
    <w:p>
      <w:pPr>
        <w:pStyle w:val="20"/>
        <w:snapToGrid w:val="0"/>
        <w:spacing w:line="360" w:lineRule="auto"/>
        <w:ind w:firstLine="0"/>
        <w:rPr>
          <w:rFonts w:hint="eastAsia" w:hAnsi="宋体"/>
          <w:color w:val="auto"/>
          <w:sz w:val="21"/>
          <w:szCs w:val="21"/>
          <w:lang w:eastAsia="zh-CN"/>
        </w:rPr>
      </w:pPr>
      <w:r>
        <w:rPr>
          <w:rFonts w:hint="eastAsia" w:hAnsi="宋体"/>
          <w:color w:val="auto"/>
          <w:sz w:val="21"/>
          <w:szCs w:val="21"/>
          <w:lang w:eastAsia="zh-CN"/>
        </w:rPr>
        <w:t>5.评委会一致认为报价明显不合理的（不平衡报价）；</w:t>
      </w:r>
    </w:p>
    <w:p>
      <w:pPr>
        <w:pStyle w:val="20"/>
        <w:snapToGrid w:val="0"/>
        <w:spacing w:line="360" w:lineRule="auto"/>
        <w:ind w:firstLine="0"/>
        <w:rPr>
          <w:rFonts w:hint="eastAsia" w:hAnsi="宋体"/>
          <w:color w:val="auto"/>
          <w:sz w:val="21"/>
          <w:szCs w:val="21"/>
        </w:rPr>
      </w:pPr>
      <w:r>
        <w:rPr>
          <w:rFonts w:hint="eastAsia" w:hAnsi="宋体"/>
          <w:color w:val="auto"/>
          <w:sz w:val="21"/>
          <w:szCs w:val="21"/>
          <w:lang w:eastAsia="zh-CN"/>
        </w:rPr>
        <w:t>6.</w:t>
      </w:r>
      <w:r>
        <w:rPr>
          <w:rFonts w:hint="eastAsia" w:hAnsi="宋体"/>
          <w:color w:val="auto"/>
          <w:sz w:val="21"/>
          <w:szCs w:val="21"/>
        </w:rPr>
        <w:t>评标委员会认为投标人的报价明显低于其他通过符合性审查投标人的报价，有可能影响</w:t>
      </w:r>
      <w:r>
        <w:rPr>
          <w:rFonts w:hint="eastAsia" w:hAnsi="宋体"/>
          <w:color w:val="auto"/>
          <w:sz w:val="21"/>
          <w:szCs w:val="21"/>
          <w:lang w:eastAsia="zh-CN"/>
        </w:rPr>
        <w:t>产品</w:t>
      </w:r>
      <w:r>
        <w:rPr>
          <w:rFonts w:hint="eastAsia" w:hAnsi="宋体"/>
          <w:color w:val="auto"/>
          <w:sz w:val="21"/>
          <w:szCs w:val="21"/>
        </w:rPr>
        <w:t>质量或者不能诚信履约的，可要求其在评标现场合理的时间内提供书面说明，必要时提交相关证明材料；投标人不能证明其报价合理性的，评标委员会将其作为无效投标处理；</w:t>
      </w:r>
    </w:p>
    <w:p>
      <w:pPr>
        <w:pStyle w:val="20"/>
        <w:snapToGrid w:val="0"/>
        <w:spacing w:line="360" w:lineRule="auto"/>
        <w:ind w:firstLine="0"/>
        <w:rPr>
          <w:rFonts w:hint="eastAsia" w:hAnsi="宋体"/>
          <w:color w:val="auto"/>
          <w:sz w:val="21"/>
          <w:szCs w:val="21"/>
        </w:rPr>
      </w:pPr>
      <w:r>
        <w:rPr>
          <w:rFonts w:hint="eastAsia" w:hAnsi="宋体"/>
          <w:color w:val="auto"/>
          <w:sz w:val="21"/>
          <w:szCs w:val="21"/>
        </w:rPr>
        <w:t>7.投标价格低于成本价的或评标委员会认定存在投标报价呈规律性差异情形的；</w:t>
      </w:r>
    </w:p>
    <w:p>
      <w:pPr>
        <w:pStyle w:val="20"/>
        <w:snapToGrid w:val="0"/>
        <w:spacing w:line="360" w:lineRule="auto"/>
        <w:ind w:firstLine="0"/>
        <w:rPr>
          <w:rFonts w:hint="eastAsia" w:hAnsi="宋体"/>
          <w:color w:val="auto"/>
          <w:sz w:val="21"/>
          <w:szCs w:val="21"/>
        </w:rPr>
      </w:pPr>
      <w:r>
        <w:rPr>
          <w:rFonts w:hint="eastAsia" w:hAnsi="宋体"/>
          <w:color w:val="auto"/>
          <w:sz w:val="21"/>
          <w:szCs w:val="21"/>
        </w:rPr>
        <w:t>8.法律、法规和采购文件规定的其他报价</w:t>
      </w:r>
      <w:r>
        <w:rPr>
          <w:rFonts w:hAnsi="宋体"/>
          <w:color w:val="auto"/>
          <w:sz w:val="21"/>
          <w:szCs w:val="21"/>
        </w:rPr>
        <w:t>评审</w:t>
      </w:r>
      <w:r>
        <w:rPr>
          <w:rFonts w:hint="eastAsia" w:hAnsi="宋体"/>
          <w:color w:val="auto"/>
          <w:sz w:val="21"/>
          <w:szCs w:val="21"/>
        </w:rPr>
        <w:t>作无效投标的情形。</w:t>
      </w:r>
    </w:p>
    <w:p>
      <w:pPr>
        <w:pStyle w:val="20"/>
        <w:snapToGrid w:val="0"/>
        <w:spacing w:line="360" w:lineRule="auto"/>
        <w:ind w:firstLine="0"/>
        <w:rPr>
          <w:rFonts w:hint="eastAsia" w:hAnsi="宋体"/>
          <w:b/>
          <w:color w:val="auto"/>
          <w:sz w:val="21"/>
          <w:szCs w:val="21"/>
          <w:lang w:eastAsia="zh-CN"/>
        </w:rPr>
      </w:pPr>
      <w:r>
        <w:rPr>
          <w:rFonts w:hint="eastAsia" w:hAnsi="宋体"/>
          <w:b/>
          <w:color w:val="auto"/>
          <w:sz w:val="21"/>
          <w:szCs w:val="21"/>
          <w:lang w:eastAsia="zh-CN"/>
        </w:rPr>
        <w:t>（六）</w:t>
      </w:r>
      <w:r>
        <w:rPr>
          <w:rFonts w:hint="eastAsia" w:hAnsi="宋体"/>
          <w:b/>
          <w:color w:val="auto"/>
          <w:sz w:val="21"/>
          <w:szCs w:val="21"/>
        </w:rPr>
        <w:t>其他无效投标情形：</w:t>
      </w:r>
    </w:p>
    <w:p>
      <w:pPr>
        <w:pStyle w:val="20"/>
        <w:snapToGrid w:val="0"/>
        <w:spacing w:line="360" w:lineRule="auto"/>
        <w:ind w:firstLine="0"/>
        <w:rPr>
          <w:rFonts w:hAnsi="宋体"/>
          <w:b/>
          <w:color w:val="auto"/>
          <w:sz w:val="21"/>
          <w:szCs w:val="21"/>
          <w:lang w:eastAsia="zh-CN"/>
        </w:rPr>
      </w:pPr>
      <w:r>
        <w:rPr>
          <w:rFonts w:hint="eastAsia" w:hAnsi="宋体"/>
          <w:b/>
          <w:color w:val="auto"/>
          <w:sz w:val="21"/>
          <w:szCs w:val="21"/>
          <w:lang w:eastAsia="zh-CN"/>
        </w:rPr>
        <w:t>1.</w:t>
      </w:r>
      <w:r>
        <w:rPr>
          <w:rFonts w:hint="eastAsia" w:hAnsi="宋体"/>
          <w:b/>
          <w:color w:val="auto"/>
          <w:sz w:val="21"/>
          <w:szCs w:val="21"/>
        </w:rPr>
        <w:t>投标人应当遵循公平竞争的原则，不得恶意串通，不得妨碍其他投标人的竞争行为，不得损害采购人或者其他投标人的合法权益。在评标过程中发现投标人有上述情形的，其投标无效。</w:t>
      </w:r>
    </w:p>
    <w:p>
      <w:pPr>
        <w:pStyle w:val="20"/>
        <w:snapToGrid w:val="0"/>
        <w:spacing w:line="360" w:lineRule="auto"/>
        <w:ind w:firstLine="0"/>
        <w:rPr>
          <w:rFonts w:hAnsi="宋体"/>
          <w:b/>
          <w:color w:val="auto"/>
          <w:sz w:val="21"/>
          <w:szCs w:val="21"/>
        </w:rPr>
      </w:pPr>
      <w:r>
        <w:rPr>
          <w:rFonts w:hint="eastAsia" w:hAnsi="宋体"/>
          <w:b/>
          <w:color w:val="auto"/>
          <w:sz w:val="21"/>
          <w:szCs w:val="21"/>
        </w:rPr>
        <w:t>投标人串通投标</w:t>
      </w:r>
      <w:r>
        <w:rPr>
          <w:rFonts w:hint="eastAsia" w:hAnsi="宋体"/>
          <w:b/>
          <w:color w:val="auto"/>
          <w:sz w:val="21"/>
          <w:szCs w:val="21"/>
          <w:lang w:eastAsia="zh-CN"/>
        </w:rPr>
        <w:t>包括下列情形</w:t>
      </w:r>
      <w:r>
        <w:rPr>
          <w:rFonts w:hint="eastAsia" w:hAnsi="宋体"/>
          <w:b/>
          <w:color w:val="auto"/>
          <w:sz w:val="21"/>
          <w:szCs w:val="21"/>
        </w:rPr>
        <w:t>：</w:t>
      </w:r>
    </w:p>
    <w:p>
      <w:pPr>
        <w:pStyle w:val="20"/>
        <w:snapToGrid w:val="0"/>
        <w:spacing w:line="360" w:lineRule="auto"/>
        <w:ind w:firstLine="0"/>
        <w:rPr>
          <w:rFonts w:hAnsi="宋体"/>
          <w:b/>
          <w:color w:val="auto"/>
          <w:sz w:val="21"/>
          <w:szCs w:val="21"/>
        </w:rPr>
      </w:pPr>
      <w:r>
        <w:rPr>
          <w:rFonts w:hint="eastAsia" w:hAnsi="宋体"/>
          <w:b/>
          <w:color w:val="auto"/>
          <w:sz w:val="21"/>
          <w:szCs w:val="21"/>
        </w:rPr>
        <w:t>①不同投标人的投标文件由同一单位或者个人编制；</w:t>
      </w:r>
    </w:p>
    <w:p>
      <w:pPr>
        <w:pStyle w:val="20"/>
        <w:snapToGrid w:val="0"/>
        <w:spacing w:line="360" w:lineRule="auto"/>
        <w:ind w:firstLine="0"/>
        <w:rPr>
          <w:rFonts w:hAnsi="宋体"/>
          <w:b/>
          <w:color w:val="auto"/>
          <w:sz w:val="21"/>
          <w:szCs w:val="21"/>
        </w:rPr>
      </w:pPr>
      <w:r>
        <w:rPr>
          <w:rFonts w:hint="eastAsia" w:hAnsi="宋体"/>
          <w:b/>
          <w:color w:val="auto"/>
          <w:sz w:val="21"/>
          <w:szCs w:val="21"/>
        </w:rPr>
        <w:t>②不同投标人委托同一单位或者个人办理投标事宜；</w:t>
      </w:r>
    </w:p>
    <w:p>
      <w:pPr>
        <w:pStyle w:val="20"/>
        <w:snapToGrid w:val="0"/>
        <w:spacing w:line="360" w:lineRule="auto"/>
        <w:ind w:firstLine="0"/>
        <w:rPr>
          <w:rFonts w:hAnsi="宋体"/>
          <w:b/>
          <w:color w:val="auto"/>
          <w:sz w:val="21"/>
          <w:szCs w:val="21"/>
        </w:rPr>
      </w:pPr>
      <w:r>
        <w:rPr>
          <w:rFonts w:hint="eastAsia" w:hAnsi="宋体"/>
          <w:b/>
          <w:color w:val="auto"/>
          <w:sz w:val="21"/>
          <w:szCs w:val="21"/>
          <w:lang w:eastAsia="zh-CN"/>
        </w:rPr>
        <w:t>③</w:t>
      </w:r>
      <w:r>
        <w:rPr>
          <w:rFonts w:hint="eastAsia" w:hAnsi="宋体"/>
          <w:b/>
          <w:color w:val="auto"/>
          <w:sz w:val="21"/>
          <w:szCs w:val="21"/>
        </w:rPr>
        <w:t>不同投标人的投标文件载明的项目管理成员或者联系人员为同一人；</w:t>
      </w:r>
    </w:p>
    <w:p>
      <w:pPr>
        <w:pStyle w:val="20"/>
        <w:snapToGrid w:val="0"/>
        <w:spacing w:line="360" w:lineRule="auto"/>
        <w:ind w:firstLine="0"/>
        <w:rPr>
          <w:rFonts w:hAnsi="宋体"/>
          <w:b/>
          <w:color w:val="auto"/>
          <w:sz w:val="21"/>
          <w:szCs w:val="21"/>
        </w:rPr>
      </w:pPr>
      <w:r>
        <w:rPr>
          <w:rFonts w:hint="eastAsia" w:hAnsi="宋体"/>
          <w:b/>
          <w:color w:val="auto"/>
          <w:sz w:val="21"/>
          <w:szCs w:val="21"/>
          <w:lang w:eastAsia="zh-CN"/>
        </w:rPr>
        <w:t>④</w:t>
      </w:r>
      <w:r>
        <w:rPr>
          <w:rFonts w:hint="eastAsia" w:hAnsi="宋体"/>
          <w:b/>
          <w:color w:val="auto"/>
          <w:sz w:val="21"/>
          <w:szCs w:val="21"/>
        </w:rPr>
        <w:t>不同投标人的投标文件异常一致或者投标报价呈规律性差异；</w:t>
      </w:r>
    </w:p>
    <w:p>
      <w:pPr>
        <w:pStyle w:val="20"/>
        <w:snapToGrid w:val="0"/>
        <w:spacing w:line="360" w:lineRule="auto"/>
        <w:ind w:firstLine="0"/>
        <w:rPr>
          <w:rFonts w:hAnsi="宋体"/>
          <w:b/>
          <w:color w:val="auto"/>
          <w:sz w:val="21"/>
          <w:szCs w:val="21"/>
        </w:rPr>
      </w:pPr>
      <w:r>
        <w:rPr>
          <w:rFonts w:hint="eastAsia" w:hAnsi="宋体"/>
          <w:b/>
          <w:color w:val="auto"/>
          <w:sz w:val="21"/>
          <w:szCs w:val="21"/>
          <w:lang w:eastAsia="zh-CN"/>
        </w:rPr>
        <w:t>⑤</w:t>
      </w:r>
      <w:r>
        <w:rPr>
          <w:rFonts w:hint="eastAsia" w:hAnsi="宋体"/>
          <w:b/>
          <w:color w:val="auto"/>
          <w:sz w:val="21"/>
          <w:szCs w:val="21"/>
        </w:rPr>
        <w:t>不同投标人的投标文件相互混装；</w:t>
      </w:r>
    </w:p>
    <w:p>
      <w:pPr>
        <w:pStyle w:val="20"/>
        <w:snapToGrid w:val="0"/>
        <w:spacing w:line="360" w:lineRule="auto"/>
        <w:ind w:firstLine="0"/>
        <w:rPr>
          <w:rFonts w:hint="eastAsia" w:hAnsi="宋体"/>
          <w:b/>
          <w:color w:val="auto"/>
          <w:sz w:val="21"/>
          <w:szCs w:val="21"/>
          <w:lang w:eastAsia="zh-CN"/>
        </w:rPr>
      </w:pPr>
      <w:r>
        <w:rPr>
          <w:rFonts w:hint="eastAsia" w:hAnsi="宋体"/>
          <w:b/>
          <w:color w:val="auto"/>
          <w:sz w:val="21"/>
          <w:szCs w:val="21"/>
          <w:lang w:eastAsia="zh-CN"/>
        </w:rPr>
        <w:t>⑥</w:t>
      </w:r>
      <w:r>
        <w:rPr>
          <w:rFonts w:hint="eastAsia" w:hAnsi="宋体"/>
          <w:b/>
          <w:color w:val="auto"/>
          <w:sz w:val="21"/>
          <w:szCs w:val="21"/>
        </w:rPr>
        <w:t>不同投标人的投标保证金从同一单位或者个人的账户转出。</w:t>
      </w:r>
    </w:p>
    <w:p>
      <w:pPr>
        <w:pStyle w:val="20"/>
        <w:snapToGrid w:val="0"/>
        <w:spacing w:line="360" w:lineRule="auto"/>
        <w:ind w:firstLine="0"/>
        <w:rPr>
          <w:rFonts w:hint="eastAsia" w:hAnsi="宋体"/>
          <w:b/>
          <w:color w:val="auto"/>
          <w:sz w:val="21"/>
          <w:szCs w:val="21"/>
          <w:lang w:eastAsia="zh-CN"/>
        </w:rPr>
      </w:pPr>
      <w:r>
        <w:rPr>
          <w:rFonts w:hint="eastAsia" w:hAnsi="宋体"/>
          <w:b/>
          <w:color w:val="auto"/>
          <w:sz w:val="21"/>
          <w:szCs w:val="21"/>
          <w:lang w:eastAsia="zh-CN"/>
        </w:rPr>
        <w:t>2.</w:t>
      </w:r>
      <w:r>
        <w:rPr>
          <w:rFonts w:hAnsi="宋体"/>
          <w:b/>
          <w:color w:val="auto"/>
          <w:sz w:val="21"/>
          <w:szCs w:val="21"/>
        </w:rPr>
        <w:t>被拒绝的投标文件为无效</w:t>
      </w:r>
      <w:r>
        <w:rPr>
          <w:rFonts w:hint="eastAsia" w:hAnsi="宋体"/>
          <w:b/>
          <w:color w:val="auto"/>
          <w:sz w:val="21"/>
          <w:szCs w:val="21"/>
          <w:lang w:eastAsia="zh-CN"/>
        </w:rPr>
        <w:t>投标文件</w:t>
      </w:r>
      <w:r>
        <w:rPr>
          <w:rFonts w:hAnsi="宋体"/>
          <w:b/>
          <w:color w:val="auto"/>
          <w:sz w:val="21"/>
          <w:szCs w:val="21"/>
        </w:rPr>
        <w:t>。</w:t>
      </w:r>
    </w:p>
    <w:p>
      <w:pPr>
        <w:pStyle w:val="20"/>
        <w:snapToGrid w:val="0"/>
        <w:spacing w:line="360" w:lineRule="auto"/>
        <w:ind w:firstLine="0"/>
        <w:rPr>
          <w:rFonts w:hint="eastAsia" w:hAnsi="宋体"/>
          <w:b/>
          <w:color w:val="auto"/>
          <w:sz w:val="21"/>
          <w:szCs w:val="21"/>
          <w:lang w:eastAsia="zh-CN"/>
        </w:rPr>
      </w:pPr>
      <w:r>
        <w:rPr>
          <w:rFonts w:hint="eastAsia" w:hAnsi="宋体"/>
          <w:b/>
          <w:color w:val="auto"/>
          <w:sz w:val="21"/>
          <w:szCs w:val="21"/>
        </w:rPr>
        <w:t>3. 法律、法规和招标文件规定的其他无效情形</w:t>
      </w:r>
      <w:r>
        <w:rPr>
          <w:rFonts w:hint="eastAsia" w:hAnsi="宋体"/>
          <w:b/>
          <w:color w:val="auto"/>
          <w:sz w:val="21"/>
          <w:szCs w:val="21"/>
          <w:lang w:eastAsia="zh-CN"/>
        </w:rPr>
        <w:t>。</w:t>
      </w:r>
    </w:p>
    <w:p>
      <w:pPr>
        <w:pStyle w:val="13"/>
        <w:widowControl w:val="0"/>
        <w:numPr>
          <w:ilvl w:val="0"/>
          <w:numId w:val="0"/>
        </w:numPr>
        <w:tabs>
          <w:tab w:val="clear" w:pos="454"/>
        </w:tabs>
        <w:snapToGrid w:val="0"/>
        <w:spacing w:before="120" w:beforeLines="50" w:after="0" w:afterLines="0" w:line="360" w:lineRule="auto"/>
        <w:ind w:left="454"/>
        <w:rPr>
          <w:rFonts w:hint="eastAsia" w:ascii="宋体" w:hAnsi="宋体"/>
          <w:b/>
          <w:color w:val="auto"/>
          <w:sz w:val="21"/>
          <w:szCs w:val="21"/>
        </w:rPr>
      </w:pPr>
      <w:r>
        <w:rPr>
          <w:rFonts w:hint="eastAsia" w:ascii="宋体" w:hAnsi="宋体"/>
          <w:b/>
          <w:color w:val="auto"/>
          <w:sz w:val="21"/>
          <w:szCs w:val="21"/>
        </w:rPr>
        <w:t>五、开标</w:t>
      </w:r>
    </w:p>
    <w:p>
      <w:pPr>
        <w:pStyle w:val="13"/>
        <w:widowControl w:val="0"/>
        <w:numPr>
          <w:ilvl w:val="0"/>
          <w:numId w:val="0"/>
        </w:numPr>
        <w:tabs>
          <w:tab w:val="clear" w:pos="454"/>
        </w:tabs>
        <w:snapToGrid w:val="0"/>
        <w:spacing w:before="120" w:beforeLines="50" w:after="0" w:afterLines="0" w:line="360" w:lineRule="auto"/>
        <w:ind w:left="452"/>
        <w:rPr>
          <w:rFonts w:ascii="宋体" w:hAnsi="宋体"/>
          <w:b/>
          <w:color w:val="auto"/>
          <w:sz w:val="21"/>
          <w:szCs w:val="21"/>
        </w:rPr>
      </w:pPr>
      <w:r>
        <w:rPr>
          <w:rFonts w:ascii="宋体" w:hAnsi="宋体"/>
          <w:b/>
          <w:color w:val="auto"/>
          <w:kern w:val="2"/>
          <w:sz w:val="21"/>
          <w:szCs w:val="21"/>
        </w:rPr>
        <w:t>（一）</w:t>
      </w:r>
      <w:r>
        <w:rPr>
          <w:rFonts w:hAnsi="宋体"/>
          <w:b/>
          <w:color w:val="auto"/>
          <w:sz w:val="21"/>
          <w:szCs w:val="21"/>
        </w:rPr>
        <w:t>开标准备</w:t>
      </w:r>
    </w:p>
    <w:p>
      <w:pPr>
        <w:pStyle w:val="25"/>
        <w:snapToGrid w:val="0"/>
        <w:spacing w:before="120" w:after="120" w:line="360" w:lineRule="auto"/>
        <w:ind w:firstLine="420" w:firstLineChars="200"/>
        <w:rPr>
          <w:rFonts w:hint="eastAsia" w:hAnsi="宋体"/>
          <w:color w:val="auto"/>
          <w:sz w:val="21"/>
          <w:szCs w:val="21"/>
        </w:rPr>
      </w:pPr>
      <w:r>
        <w:rPr>
          <w:rFonts w:hint="eastAsia" w:hAnsi="宋体"/>
          <w:color w:val="auto"/>
          <w:sz w:val="21"/>
          <w:szCs w:val="21"/>
        </w:rPr>
        <w:t>代理机构</w:t>
      </w:r>
      <w:r>
        <w:rPr>
          <w:rFonts w:hAnsi="宋体"/>
          <w:color w:val="auto"/>
          <w:sz w:val="21"/>
          <w:szCs w:val="21"/>
        </w:rPr>
        <w:t>将在</w:t>
      </w:r>
      <w:r>
        <w:rPr>
          <w:rFonts w:hint="eastAsia" w:hAnsi="宋体"/>
          <w:color w:val="auto"/>
          <w:sz w:val="21"/>
          <w:szCs w:val="21"/>
        </w:rPr>
        <w:t>采购文件</w:t>
      </w:r>
      <w:r>
        <w:rPr>
          <w:rFonts w:hAnsi="宋体"/>
          <w:color w:val="auto"/>
          <w:sz w:val="21"/>
          <w:szCs w:val="21"/>
        </w:rPr>
        <w:t>规定的时间和地点</w:t>
      </w:r>
      <w:r>
        <w:rPr>
          <w:rFonts w:hint="eastAsia" w:hAnsi="宋体"/>
          <w:color w:val="auto"/>
          <w:sz w:val="21"/>
          <w:szCs w:val="21"/>
        </w:rPr>
        <w:t>主持</w:t>
      </w:r>
      <w:r>
        <w:rPr>
          <w:rFonts w:hAnsi="宋体"/>
          <w:color w:val="auto"/>
          <w:sz w:val="21"/>
          <w:szCs w:val="21"/>
        </w:rPr>
        <w:t>开标，投标人</w:t>
      </w:r>
      <w:r>
        <w:rPr>
          <w:rFonts w:hint="eastAsia" w:hAnsi="宋体"/>
          <w:color w:val="auto"/>
          <w:sz w:val="21"/>
          <w:szCs w:val="21"/>
        </w:rPr>
        <w:t>代表</w:t>
      </w:r>
      <w:r>
        <w:rPr>
          <w:rFonts w:hAnsi="宋体"/>
          <w:color w:val="auto"/>
          <w:sz w:val="21"/>
          <w:szCs w:val="21"/>
        </w:rPr>
        <w:t>应参加开标</w:t>
      </w:r>
      <w:r>
        <w:rPr>
          <w:rFonts w:hint="eastAsia" w:hAnsi="宋体"/>
          <w:color w:val="auto"/>
          <w:sz w:val="21"/>
          <w:szCs w:val="21"/>
        </w:rPr>
        <w:t>大会</w:t>
      </w:r>
      <w:r>
        <w:rPr>
          <w:rFonts w:hAnsi="宋体"/>
          <w:color w:val="auto"/>
          <w:sz w:val="21"/>
          <w:szCs w:val="21"/>
        </w:rPr>
        <w:t>并签到</w:t>
      </w:r>
      <w:r>
        <w:rPr>
          <w:rFonts w:hint="eastAsia" w:hAnsi="宋体"/>
          <w:color w:val="auto"/>
          <w:sz w:val="21"/>
          <w:szCs w:val="21"/>
        </w:rPr>
        <w:t>，评标委员会成员不得参加开标活动</w:t>
      </w:r>
      <w:r>
        <w:rPr>
          <w:rFonts w:hAnsi="宋体"/>
          <w:color w:val="auto"/>
          <w:sz w:val="21"/>
          <w:szCs w:val="21"/>
        </w:rPr>
        <w:t>。</w:t>
      </w:r>
      <w:r>
        <w:rPr>
          <w:rFonts w:hint="eastAsia" w:hAnsi="宋体"/>
          <w:color w:val="auto"/>
          <w:sz w:val="21"/>
          <w:szCs w:val="21"/>
        </w:rPr>
        <w:t>投标人代表对开标过程和开标记录有异议，应当场提出询问，认为采购人、代理机构相关工作人员有需要回避的情形的，须提交书面回避申请。采购人、代理机构对投标人代表提出的询问或者回避申请将及时处理。投标人未参加开标的，视同认可开标结果。</w:t>
      </w:r>
    </w:p>
    <w:p>
      <w:pPr>
        <w:pStyle w:val="25"/>
        <w:snapToGrid w:val="0"/>
        <w:spacing w:before="120" w:beforeLines="0" w:after="120" w:afterLines="0" w:line="360" w:lineRule="auto"/>
        <w:ind w:firstLine="207" w:firstLineChars="98"/>
        <w:rPr>
          <w:rFonts w:hint="eastAsia" w:hAnsi="宋体"/>
          <w:b/>
          <w:color w:val="auto"/>
          <w:sz w:val="21"/>
          <w:szCs w:val="21"/>
        </w:rPr>
      </w:pPr>
      <w:r>
        <w:rPr>
          <w:rFonts w:hint="eastAsia" w:hAnsi="宋体"/>
          <w:b/>
          <w:color w:val="auto"/>
          <w:sz w:val="21"/>
          <w:szCs w:val="21"/>
        </w:rPr>
        <w:t>（二）</w:t>
      </w:r>
      <w:r>
        <w:rPr>
          <w:rFonts w:hAnsi="宋体"/>
          <w:b/>
          <w:color w:val="auto"/>
          <w:sz w:val="21"/>
          <w:szCs w:val="21"/>
        </w:rPr>
        <w:t>开标程序</w:t>
      </w:r>
    </w:p>
    <w:p>
      <w:pPr>
        <w:pStyle w:val="25"/>
        <w:snapToGrid w:val="0"/>
        <w:spacing w:before="120" w:after="120" w:line="360" w:lineRule="auto"/>
        <w:ind w:firstLine="420" w:firstLineChars="200"/>
        <w:rPr>
          <w:rFonts w:hint="eastAsia" w:hAnsi="宋体"/>
          <w:color w:val="auto"/>
          <w:sz w:val="21"/>
          <w:szCs w:val="21"/>
          <w:lang w:eastAsia="zh-CN"/>
        </w:rPr>
      </w:pPr>
      <w:r>
        <w:rPr>
          <w:rFonts w:hint="eastAsia" w:hAnsi="宋体"/>
          <w:color w:val="auto"/>
          <w:sz w:val="21"/>
          <w:szCs w:val="21"/>
        </w:rPr>
        <w:t>开标由代理机构组织，开标按先开</w:t>
      </w:r>
      <w:r>
        <w:rPr>
          <w:rFonts w:hint="eastAsia" w:hAnsi="宋体"/>
          <w:b/>
          <w:color w:val="auto"/>
          <w:sz w:val="21"/>
          <w:szCs w:val="21"/>
        </w:rPr>
        <w:t>资信、</w:t>
      </w:r>
      <w:r>
        <w:rPr>
          <w:rFonts w:hAnsi="宋体"/>
          <w:b/>
          <w:color w:val="auto"/>
          <w:sz w:val="21"/>
          <w:szCs w:val="21"/>
        </w:rPr>
        <w:t>商务</w:t>
      </w:r>
      <w:r>
        <w:rPr>
          <w:rFonts w:hint="eastAsia" w:hAnsi="宋体"/>
          <w:b/>
          <w:color w:val="auto"/>
          <w:sz w:val="21"/>
          <w:szCs w:val="21"/>
        </w:rPr>
        <w:t>、</w:t>
      </w:r>
      <w:r>
        <w:rPr>
          <w:rFonts w:hAnsi="宋体"/>
          <w:b/>
          <w:color w:val="auto"/>
          <w:sz w:val="21"/>
          <w:szCs w:val="21"/>
        </w:rPr>
        <w:t>技术</w:t>
      </w:r>
      <w:r>
        <w:rPr>
          <w:rFonts w:hAnsi="宋体"/>
          <w:color w:val="auto"/>
          <w:sz w:val="21"/>
          <w:szCs w:val="21"/>
        </w:rPr>
        <w:t>文件</w:t>
      </w:r>
      <w:r>
        <w:rPr>
          <w:rFonts w:hint="eastAsia" w:hAnsi="宋体"/>
          <w:color w:val="auto"/>
          <w:sz w:val="21"/>
          <w:szCs w:val="21"/>
        </w:rPr>
        <w:t>，后开</w:t>
      </w:r>
      <w:r>
        <w:rPr>
          <w:rFonts w:hint="eastAsia" w:hAnsi="宋体"/>
          <w:b/>
          <w:color w:val="auto"/>
          <w:sz w:val="21"/>
          <w:szCs w:val="21"/>
        </w:rPr>
        <w:t>报价文件</w:t>
      </w:r>
      <w:r>
        <w:rPr>
          <w:rFonts w:hint="eastAsia" w:hAnsi="宋体"/>
          <w:color w:val="auto"/>
          <w:sz w:val="21"/>
          <w:szCs w:val="21"/>
        </w:rPr>
        <w:t>的顺序进行。按以下程序进行。</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1.</w:t>
      </w:r>
      <w:r>
        <w:rPr>
          <w:rFonts w:hint="eastAsia" w:hAnsi="宋体"/>
          <w:color w:val="auto"/>
          <w:sz w:val="21"/>
          <w:szCs w:val="21"/>
          <w:lang w:eastAsia="zh-CN"/>
        </w:rPr>
        <w:t>开标前，</w:t>
      </w:r>
      <w:r>
        <w:rPr>
          <w:rFonts w:hint="eastAsia" w:hAnsi="宋体"/>
          <w:color w:val="auto"/>
          <w:sz w:val="21"/>
          <w:szCs w:val="21"/>
        </w:rPr>
        <w:t>确认开标场地的录音录像采集设备正常运行。</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2.</w:t>
      </w:r>
      <w:r>
        <w:rPr>
          <w:rFonts w:hint="eastAsia" w:hAnsi="宋体"/>
          <w:color w:val="auto"/>
          <w:sz w:val="21"/>
          <w:szCs w:val="21"/>
          <w:lang w:eastAsia="zh-CN"/>
        </w:rPr>
        <w:t xml:space="preserve"> 开标前，</w:t>
      </w:r>
      <w:r>
        <w:rPr>
          <w:rFonts w:hint="eastAsia" w:hAnsi="宋体"/>
          <w:color w:val="auto"/>
          <w:sz w:val="21"/>
          <w:szCs w:val="21"/>
        </w:rPr>
        <w:t>核验出席开标活动现场的各投标人代表及相关单位人员身份，并组织其分别签到。</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3.</w:t>
      </w:r>
      <w:r>
        <w:rPr>
          <w:rFonts w:hint="eastAsia" w:hAnsi="宋体"/>
          <w:color w:val="auto"/>
          <w:sz w:val="21"/>
          <w:szCs w:val="21"/>
          <w:lang w:eastAsia="zh-CN"/>
        </w:rPr>
        <w:t xml:space="preserve"> 开标前，</w:t>
      </w:r>
      <w:r>
        <w:rPr>
          <w:rFonts w:hint="eastAsia" w:hAnsi="宋体"/>
          <w:color w:val="auto"/>
          <w:sz w:val="21"/>
          <w:szCs w:val="21"/>
        </w:rPr>
        <w:t>由现场工作人员接收投标文件并如实记载投标文件的送达时间和密封情况，签收保存。</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4.主持人宣布开标，介绍开标现场的人员情况，宣读提交投标文件的投标人名单、开标纪律、应当回避的情形、采购文件要求宣读的内容，组织投标人签署不存在影响公平竞争的《政府采购活动现场确认声明书》。</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5.对投标人保证金缴纳情况进行查验、核实，提请投标人代表查验投标文件密封情况，由投标人或者其推选的代表检查投标文件的密封情况，经确认无误后，由工作人员当众拆封资信、</w:t>
      </w:r>
      <w:r>
        <w:rPr>
          <w:rFonts w:hAnsi="宋体"/>
          <w:color w:val="auto"/>
          <w:sz w:val="21"/>
          <w:szCs w:val="21"/>
        </w:rPr>
        <w:t>商务</w:t>
      </w:r>
      <w:r>
        <w:rPr>
          <w:rFonts w:hint="eastAsia" w:hAnsi="宋体"/>
          <w:color w:val="auto"/>
          <w:sz w:val="21"/>
          <w:szCs w:val="21"/>
        </w:rPr>
        <w:t>、</w:t>
      </w:r>
      <w:r>
        <w:rPr>
          <w:rFonts w:hAnsi="宋体"/>
          <w:color w:val="auto"/>
          <w:sz w:val="21"/>
          <w:szCs w:val="21"/>
        </w:rPr>
        <w:t>技术文件</w:t>
      </w:r>
      <w:r>
        <w:rPr>
          <w:rFonts w:hint="eastAsia" w:hAnsi="宋体"/>
          <w:color w:val="auto"/>
          <w:sz w:val="21"/>
          <w:szCs w:val="21"/>
        </w:rPr>
        <w:t>。</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6.按投标人提交投标文件的先后顺序当众拆封、清点、宣读书面资信、</w:t>
      </w:r>
      <w:r>
        <w:rPr>
          <w:rFonts w:hAnsi="宋体"/>
          <w:color w:val="auto"/>
          <w:sz w:val="21"/>
          <w:szCs w:val="21"/>
        </w:rPr>
        <w:t>商务</w:t>
      </w:r>
      <w:r>
        <w:rPr>
          <w:rFonts w:hint="eastAsia" w:hAnsi="宋体"/>
          <w:color w:val="auto"/>
          <w:sz w:val="21"/>
          <w:szCs w:val="21"/>
        </w:rPr>
        <w:t>、</w:t>
      </w:r>
      <w:r>
        <w:rPr>
          <w:rFonts w:hAnsi="宋体"/>
          <w:color w:val="auto"/>
          <w:sz w:val="21"/>
          <w:szCs w:val="21"/>
        </w:rPr>
        <w:t>技术文件</w:t>
      </w:r>
      <w:r>
        <w:rPr>
          <w:rFonts w:hint="eastAsia" w:hAnsi="宋体"/>
          <w:color w:val="auto"/>
          <w:sz w:val="21"/>
          <w:szCs w:val="21"/>
        </w:rPr>
        <w:t>（包括正本、副本）数量，将密封的报价文件现场集中管理等候拆封，将拆封后的书面资信、</w:t>
      </w:r>
      <w:r>
        <w:rPr>
          <w:rFonts w:hAnsi="宋体"/>
          <w:color w:val="auto"/>
          <w:sz w:val="21"/>
          <w:szCs w:val="21"/>
        </w:rPr>
        <w:t>商务</w:t>
      </w:r>
      <w:r>
        <w:rPr>
          <w:rFonts w:hint="eastAsia" w:hAnsi="宋体"/>
          <w:color w:val="auto"/>
          <w:sz w:val="21"/>
          <w:szCs w:val="21"/>
        </w:rPr>
        <w:t>、</w:t>
      </w:r>
      <w:r>
        <w:rPr>
          <w:rFonts w:hAnsi="宋体"/>
          <w:color w:val="auto"/>
          <w:sz w:val="21"/>
          <w:szCs w:val="21"/>
        </w:rPr>
        <w:t>技术文件</w:t>
      </w:r>
      <w:r>
        <w:rPr>
          <w:rFonts w:hint="eastAsia" w:hAnsi="宋体"/>
          <w:color w:val="auto"/>
          <w:sz w:val="21"/>
          <w:szCs w:val="21"/>
        </w:rPr>
        <w:t>由现场工作人员护送至指定的评审地点，同时告知投标人代表拆封报价文件的预计时间。</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7. 资信、</w:t>
      </w:r>
      <w:r>
        <w:rPr>
          <w:rFonts w:hAnsi="宋体"/>
          <w:color w:val="auto"/>
          <w:sz w:val="21"/>
          <w:szCs w:val="21"/>
        </w:rPr>
        <w:t>商务</w:t>
      </w:r>
      <w:r>
        <w:rPr>
          <w:rFonts w:hint="eastAsia" w:hAnsi="宋体"/>
          <w:color w:val="auto"/>
          <w:sz w:val="21"/>
          <w:szCs w:val="21"/>
        </w:rPr>
        <w:t>、</w:t>
      </w:r>
      <w:r>
        <w:rPr>
          <w:rFonts w:hAnsi="宋体"/>
          <w:color w:val="auto"/>
          <w:sz w:val="21"/>
          <w:szCs w:val="21"/>
        </w:rPr>
        <w:t>技术文件</w:t>
      </w:r>
      <w:r>
        <w:rPr>
          <w:rFonts w:hint="eastAsia" w:hAnsi="宋体"/>
          <w:color w:val="auto"/>
          <w:sz w:val="21"/>
          <w:szCs w:val="21"/>
        </w:rPr>
        <w:t>开标结束后，采购人或者代理机构将依法对投标人的资格进行审查。合格投标人不足3家的，不得评标。</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8. 资信、</w:t>
      </w:r>
      <w:r>
        <w:rPr>
          <w:rFonts w:hAnsi="宋体"/>
          <w:color w:val="auto"/>
          <w:sz w:val="21"/>
          <w:szCs w:val="21"/>
        </w:rPr>
        <w:t>商务</w:t>
      </w:r>
      <w:r>
        <w:rPr>
          <w:rFonts w:hint="eastAsia" w:hAnsi="宋体"/>
          <w:color w:val="auto"/>
          <w:sz w:val="21"/>
          <w:szCs w:val="21"/>
        </w:rPr>
        <w:t>、</w:t>
      </w:r>
      <w:r>
        <w:rPr>
          <w:rFonts w:hAnsi="宋体"/>
          <w:color w:val="auto"/>
          <w:sz w:val="21"/>
          <w:szCs w:val="21"/>
        </w:rPr>
        <w:t>技术文件</w:t>
      </w:r>
      <w:r>
        <w:rPr>
          <w:rFonts w:hint="eastAsia" w:hAnsi="宋体"/>
          <w:color w:val="auto"/>
          <w:sz w:val="21"/>
          <w:szCs w:val="21"/>
        </w:rPr>
        <w:t>经评审，主持人宣</w:t>
      </w:r>
      <w:r>
        <w:rPr>
          <w:rFonts w:hint="eastAsia" w:hAnsi="宋体"/>
          <w:color w:val="auto"/>
          <w:sz w:val="21"/>
          <w:szCs w:val="21"/>
          <w:lang w:eastAsia="zh-CN"/>
        </w:rPr>
        <w:t>布</w:t>
      </w:r>
      <w:r>
        <w:rPr>
          <w:rFonts w:hint="eastAsia" w:hAnsi="宋体"/>
          <w:color w:val="auto"/>
          <w:sz w:val="21"/>
          <w:szCs w:val="21"/>
        </w:rPr>
        <w:t>无效投标人名称及理由</w:t>
      </w:r>
      <w:r>
        <w:rPr>
          <w:rFonts w:hint="eastAsia" w:hAnsi="宋体"/>
          <w:color w:val="auto"/>
          <w:sz w:val="21"/>
          <w:szCs w:val="21"/>
          <w:lang w:eastAsia="zh-CN"/>
        </w:rPr>
        <w:t>，</w:t>
      </w:r>
      <w:r>
        <w:rPr>
          <w:rFonts w:hint="eastAsia" w:hAnsi="宋体"/>
          <w:color w:val="auto"/>
          <w:sz w:val="21"/>
          <w:szCs w:val="21"/>
        </w:rPr>
        <w:t>采用综合评分法的，同时公布其资信</w:t>
      </w:r>
      <w:r>
        <w:rPr>
          <w:rFonts w:hint="eastAsia" w:hAnsi="宋体"/>
          <w:color w:val="auto"/>
          <w:sz w:val="21"/>
          <w:szCs w:val="21"/>
          <w:lang w:eastAsia="zh-CN"/>
        </w:rPr>
        <w:t>、</w:t>
      </w:r>
      <w:r>
        <w:rPr>
          <w:rFonts w:hAnsi="宋体"/>
          <w:color w:val="auto"/>
          <w:sz w:val="21"/>
          <w:szCs w:val="21"/>
        </w:rPr>
        <w:t>商务</w:t>
      </w:r>
      <w:r>
        <w:rPr>
          <w:rFonts w:hint="eastAsia" w:hAnsi="宋体"/>
          <w:color w:val="auto"/>
          <w:sz w:val="21"/>
          <w:szCs w:val="21"/>
        </w:rPr>
        <w:t>、</w:t>
      </w:r>
      <w:r>
        <w:rPr>
          <w:rFonts w:hAnsi="宋体"/>
          <w:color w:val="auto"/>
          <w:sz w:val="21"/>
          <w:szCs w:val="21"/>
        </w:rPr>
        <w:t>技术</w:t>
      </w:r>
      <w:r>
        <w:rPr>
          <w:rFonts w:hint="eastAsia" w:hAnsi="宋体"/>
          <w:color w:val="auto"/>
          <w:sz w:val="21"/>
          <w:szCs w:val="21"/>
        </w:rPr>
        <w:t>得分情况</w:t>
      </w:r>
      <w:r>
        <w:rPr>
          <w:rFonts w:hint="eastAsia" w:hAnsi="宋体"/>
          <w:color w:val="auto"/>
          <w:sz w:val="21"/>
          <w:szCs w:val="21"/>
          <w:lang w:eastAsia="zh-CN"/>
        </w:rPr>
        <w:t>，</w:t>
      </w:r>
      <w:r>
        <w:rPr>
          <w:rFonts w:hint="eastAsia" w:hAnsi="宋体"/>
          <w:color w:val="auto"/>
          <w:sz w:val="21"/>
          <w:szCs w:val="21"/>
        </w:rPr>
        <w:t>根据评标委员会的安排开报价文件部分。</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9.提请投标人代表检查报价文件密封情况，由投标人或者其推选的代表检查报价文件的密封情况，经确认无误后，由工作人员当众拆封报价</w:t>
      </w:r>
      <w:r>
        <w:rPr>
          <w:rFonts w:hAnsi="宋体"/>
          <w:color w:val="auto"/>
          <w:sz w:val="21"/>
          <w:szCs w:val="21"/>
        </w:rPr>
        <w:t>文件</w:t>
      </w:r>
      <w:r>
        <w:rPr>
          <w:rFonts w:hint="eastAsia" w:hAnsi="宋体"/>
          <w:color w:val="auto"/>
          <w:sz w:val="21"/>
          <w:szCs w:val="21"/>
        </w:rPr>
        <w:t>。并清点、宣读书面报价文件（包括正本、副本）及电子投标文件数量，宣读各投标人投标价格及采购文件要求宣读的内容，当场制作开标记录表，由参加开标的各投标人代表和相关工作人员签字确认（投标人未参加开标的，视同认可开标结果。不予确认的应说明理由，否则视为同意）。唱标结束后，现场工作人员将报价文件、电子投标文件及开标记录表护送至指定评审地点，由评标委员会成员对报价的</w:t>
      </w:r>
      <w:r>
        <w:rPr>
          <w:rFonts w:hint="eastAsia" w:hAnsi="宋体"/>
          <w:color w:val="auto"/>
          <w:sz w:val="21"/>
          <w:szCs w:val="21"/>
          <w:lang w:eastAsia="zh-CN"/>
        </w:rPr>
        <w:t>组成及</w:t>
      </w:r>
      <w:r>
        <w:rPr>
          <w:rFonts w:hint="eastAsia" w:hAnsi="宋体"/>
          <w:color w:val="auto"/>
          <w:sz w:val="21"/>
          <w:szCs w:val="21"/>
        </w:rPr>
        <w:t>合理性、准确性等进行审查核实。</w:t>
      </w:r>
    </w:p>
    <w:p>
      <w:pPr>
        <w:pStyle w:val="25"/>
        <w:snapToGrid w:val="0"/>
        <w:spacing w:before="120" w:after="120" w:line="360" w:lineRule="auto"/>
        <w:ind w:left="210" w:hanging="210" w:hangingChars="100"/>
        <w:rPr>
          <w:rFonts w:hint="eastAsia" w:hAnsi="宋体"/>
          <w:color w:val="auto"/>
          <w:sz w:val="21"/>
          <w:szCs w:val="21"/>
          <w:lang w:eastAsia="zh-CN"/>
        </w:rPr>
      </w:pPr>
      <w:r>
        <w:rPr>
          <w:rFonts w:hint="eastAsia" w:hAnsi="宋体"/>
          <w:color w:val="auto"/>
          <w:sz w:val="21"/>
          <w:szCs w:val="21"/>
        </w:rPr>
        <w:t>10.评审结束后，主持人公布中标候选人名单及采购人最终确定中标人的预计时间和结果公告方</w:t>
      </w:r>
    </w:p>
    <w:p>
      <w:pPr>
        <w:pStyle w:val="25"/>
        <w:snapToGrid w:val="0"/>
        <w:spacing w:before="120" w:after="120" w:line="360" w:lineRule="auto"/>
        <w:ind w:left="210" w:hanging="210" w:hangingChars="100"/>
        <w:rPr>
          <w:rFonts w:hint="eastAsia" w:hAnsi="宋体"/>
          <w:color w:val="auto"/>
          <w:sz w:val="21"/>
          <w:szCs w:val="21"/>
          <w:lang w:eastAsia="zh-CN"/>
        </w:rPr>
      </w:pPr>
      <w:r>
        <w:rPr>
          <w:rFonts w:hint="eastAsia" w:hAnsi="宋体"/>
          <w:color w:val="auto"/>
          <w:sz w:val="21"/>
          <w:szCs w:val="21"/>
        </w:rPr>
        <w:t>式等。</w:t>
      </w:r>
    </w:p>
    <w:p>
      <w:pPr>
        <w:pStyle w:val="25"/>
        <w:snapToGrid w:val="0"/>
        <w:spacing w:before="120" w:after="120" w:line="360" w:lineRule="auto"/>
        <w:ind w:left="211" w:hanging="211" w:hangingChars="100"/>
        <w:rPr>
          <w:rFonts w:hint="eastAsia" w:hAnsi="宋体"/>
          <w:color w:val="auto"/>
          <w:sz w:val="21"/>
          <w:szCs w:val="21"/>
        </w:rPr>
      </w:pPr>
      <w:r>
        <w:rPr>
          <w:rFonts w:hint="eastAsia" w:hAnsi="宋体"/>
          <w:b/>
          <w:color w:val="auto"/>
          <w:sz w:val="21"/>
          <w:szCs w:val="21"/>
        </w:rPr>
        <w:t>六、评标</w:t>
      </w:r>
    </w:p>
    <w:p>
      <w:pPr>
        <w:pStyle w:val="25"/>
        <w:snapToGrid w:val="0"/>
        <w:spacing w:before="120" w:after="120" w:line="360" w:lineRule="auto"/>
        <w:ind w:left="210" w:leftChars="100"/>
        <w:rPr>
          <w:rFonts w:hint="eastAsia" w:hAnsi="宋体"/>
          <w:color w:val="auto"/>
          <w:sz w:val="21"/>
          <w:szCs w:val="21"/>
        </w:rPr>
      </w:pPr>
      <w:r>
        <w:rPr>
          <w:rFonts w:hAnsi="宋体"/>
          <w:b/>
          <w:color w:val="auto"/>
          <w:sz w:val="21"/>
          <w:szCs w:val="21"/>
        </w:rPr>
        <w:t>（一）组建评标委员会</w:t>
      </w:r>
    </w:p>
    <w:p>
      <w:pPr>
        <w:pStyle w:val="25"/>
        <w:snapToGrid w:val="0"/>
        <w:spacing w:before="120" w:after="120" w:line="360" w:lineRule="auto"/>
        <w:ind w:firstLine="315" w:firstLineChars="150"/>
        <w:rPr>
          <w:rFonts w:hAnsi="宋体"/>
          <w:color w:val="auto"/>
          <w:sz w:val="21"/>
          <w:szCs w:val="21"/>
        </w:rPr>
      </w:pPr>
      <w:r>
        <w:rPr>
          <w:rFonts w:hint="eastAsia" w:hAnsi="宋体"/>
          <w:color w:val="auto"/>
          <w:sz w:val="21"/>
          <w:szCs w:val="21"/>
        </w:rPr>
        <w:t>依法组建评标委员会，评标委员会成员人数为五人以上单数。其中评审专家人数不少于评标委员会成员总数的三分之二。</w:t>
      </w:r>
    </w:p>
    <w:p>
      <w:pPr>
        <w:pStyle w:val="25"/>
        <w:snapToGrid w:val="0"/>
        <w:spacing w:before="120" w:beforeLines="0" w:after="120" w:afterLines="0" w:line="360" w:lineRule="auto"/>
        <w:ind w:firstLine="207" w:firstLineChars="98"/>
        <w:rPr>
          <w:rFonts w:hAnsi="宋体"/>
          <w:b/>
          <w:color w:val="auto"/>
          <w:sz w:val="21"/>
          <w:szCs w:val="21"/>
        </w:rPr>
      </w:pPr>
      <w:r>
        <w:rPr>
          <w:rFonts w:hAnsi="宋体"/>
          <w:b/>
          <w:color w:val="auto"/>
          <w:sz w:val="21"/>
          <w:szCs w:val="21"/>
        </w:rPr>
        <w:t>（二）评标的方式</w:t>
      </w:r>
    </w:p>
    <w:p>
      <w:pPr>
        <w:pStyle w:val="25"/>
        <w:snapToGrid w:val="0"/>
        <w:spacing w:before="120" w:beforeLines="0" w:after="120" w:afterLines="0" w:line="360" w:lineRule="auto"/>
        <w:ind w:left="689" w:leftChars="228" w:hanging="210" w:hangingChars="100"/>
        <w:rPr>
          <w:rFonts w:hint="eastAsia" w:hAnsi="宋体"/>
          <w:color w:val="auto"/>
          <w:sz w:val="21"/>
          <w:szCs w:val="21"/>
        </w:rPr>
      </w:pPr>
      <w:r>
        <w:rPr>
          <w:rFonts w:hint="eastAsia" w:hAnsi="宋体"/>
          <w:color w:val="auto"/>
          <w:sz w:val="21"/>
          <w:szCs w:val="21"/>
        </w:rPr>
        <w:t>评标在严格保密的情况下进行</w:t>
      </w:r>
      <w:r>
        <w:rPr>
          <w:rFonts w:hAnsi="宋体"/>
          <w:color w:val="auto"/>
          <w:sz w:val="21"/>
          <w:szCs w:val="21"/>
        </w:rPr>
        <w:t>，评标的依据为</w:t>
      </w:r>
      <w:r>
        <w:rPr>
          <w:rFonts w:hint="eastAsia" w:hAnsi="宋体"/>
          <w:color w:val="auto"/>
          <w:sz w:val="21"/>
          <w:szCs w:val="21"/>
        </w:rPr>
        <w:t>采购文件、</w:t>
      </w:r>
      <w:r>
        <w:rPr>
          <w:rFonts w:hAnsi="宋体"/>
          <w:color w:val="auto"/>
          <w:sz w:val="21"/>
          <w:szCs w:val="21"/>
        </w:rPr>
        <w:t>投标文件。</w:t>
      </w:r>
    </w:p>
    <w:p>
      <w:pPr>
        <w:pStyle w:val="25"/>
        <w:snapToGrid w:val="0"/>
        <w:spacing w:before="120" w:beforeLines="0" w:after="120" w:afterLines="0" w:line="360" w:lineRule="auto"/>
        <w:ind w:firstLine="207" w:firstLineChars="98"/>
        <w:rPr>
          <w:rFonts w:hint="eastAsia" w:hAnsi="宋体"/>
          <w:b/>
          <w:color w:val="auto"/>
          <w:sz w:val="21"/>
          <w:szCs w:val="21"/>
        </w:rPr>
      </w:pPr>
      <w:r>
        <w:rPr>
          <w:rFonts w:hint="eastAsia" w:hAnsi="宋体"/>
          <w:b/>
          <w:color w:val="auto"/>
          <w:sz w:val="21"/>
          <w:szCs w:val="21"/>
        </w:rPr>
        <w:t>（三）评标组织程序</w:t>
      </w:r>
    </w:p>
    <w:p>
      <w:pPr>
        <w:pStyle w:val="25"/>
        <w:snapToGrid w:val="0"/>
        <w:spacing w:before="120" w:after="120" w:line="360" w:lineRule="auto"/>
        <w:ind w:left="413"/>
        <w:rPr>
          <w:rFonts w:hint="eastAsia" w:hAnsi="宋体"/>
          <w:color w:val="auto"/>
          <w:sz w:val="21"/>
          <w:szCs w:val="21"/>
          <w:lang w:eastAsia="zh-CN"/>
        </w:rPr>
      </w:pPr>
      <w:r>
        <w:rPr>
          <w:rFonts w:hint="eastAsia" w:hAnsi="宋体"/>
          <w:color w:val="auto"/>
          <w:sz w:val="21"/>
          <w:szCs w:val="21"/>
        </w:rPr>
        <w:t>采购组织机构按采购文件规定的时间、地点及程序组织评审。评审活动按以下程序组织开</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展：</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1.确认评审场地的录音录像采集设备正常运行。</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2.核验出席评审活动现场的评标委员会各成员身份，并要求其登记、签到，按规定统一收缴、保存其通讯工具，无关人员一律拒绝其进入评审现场。</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3.介绍评审现场的人员情况，公布投标人名单，宣布评审工作纪律，告知评审人员应当回避情形，组织推选评标委员会组长，采购人代表不得担任组长。</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4.通报资格预审情况（如有），宣读最终提交投标文件的投标人名单，组织评标委员会各位成员签订《政府采购评审人员廉洁自律承诺书》。</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5.根据评标委员会的要求介绍政府采购相关政策法规、简要介绍采购文件（含补充文件）制定及质疑答复情况（如有）、按书面陈述项目基本情况及评审工作需注意事项等，让评审专家尽快知悉和了解所评审项目的采购需求、评审依据、评审标准、评审程序等；提醒评标委员会对客观评审因素应统一评审依据和评审标准，对主观评审项目不得协商评审，对评审人员提出的有关采购文件、投标文件的问题进行必要的说明、解释或讨论。</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6.维护评标秩序，监督评标委员会依照招标文件规定的评标程序、方法和标准进行独立评审，及时制止和纠正采购人代表、评审专家的倾向性言论或者违法违规行为。</w:t>
      </w:r>
    </w:p>
    <w:p>
      <w:pPr>
        <w:pStyle w:val="25"/>
        <w:snapToGrid w:val="0"/>
        <w:spacing w:before="120" w:beforeLines="0" w:after="120" w:afterLines="0" w:line="360" w:lineRule="auto"/>
        <w:rPr>
          <w:rFonts w:hAnsi="宋体"/>
          <w:color w:val="auto"/>
          <w:sz w:val="21"/>
          <w:szCs w:val="21"/>
        </w:rPr>
      </w:pPr>
      <w:r>
        <w:rPr>
          <w:rFonts w:hint="eastAsia" w:hAnsi="宋体"/>
          <w:color w:val="auto"/>
          <w:sz w:val="21"/>
          <w:szCs w:val="21"/>
        </w:rPr>
        <w:t>7.评标委员会组长组织评审人员独立评审。具体评标程序见“（四）</w:t>
      </w:r>
      <w:r>
        <w:rPr>
          <w:rFonts w:hAnsi="宋体"/>
          <w:color w:val="auto"/>
          <w:sz w:val="21"/>
          <w:szCs w:val="21"/>
        </w:rPr>
        <w:t>评标程序</w:t>
      </w:r>
      <w:r>
        <w:rPr>
          <w:rFonts w:hint="eastAsia" w:hAnsi="宋体"/>
          <w:color w:val="auto"/>
          <w:sz w:val="21"/>
          <w:szCs w:val="21"/>
        </w:rPr>
        <w:t>的内容”。</w:t>
      </w:r>
    </w:p>
    <w:p>
      <w:pPr>
        <w:pStyle w:val="25"/>
        <w:snapToGrid w:val="0"/>
        <w:spacing w:before="120" w:beforeLines="0" w:after="120" w:afterLines="0" w:line="360" w:lineRule="auto"/>
        <w:ind w:firstLine="207" w:firstLineChars="98"/>
        <w:rPr>
          <w:rFonts w:hint="eastAsia" w:hAnsi="宋体"/>
          <w:b/>
          <w:color w:val="auto"/>
          <w:sz w:val="21"/>
          <w:szCs w:val="21"/>
        </w:rPr>
      </w:pPr>
      <w:r>
        <w:rPr>
          <w:rFonts w:hint="eastAsia" w:hAnsi="宋体"/>
          <w:b/>
          <w:color w:val="auto"/>
          <w:sz w:val="21"/>
          <w:szCs w:val="21"/>
        </w:rPr>
        <w:t>（四）</w:t>
      </w:r>
      <w:r>
        <w:rPr>
          <w:rFonts w:hAnsi="宋体"/>
          <w:b/>
          <w:color w:val="auto"/>
          <w:sz w:val="21"/>
          <w:szCs w:val="21"/>
        </w:rPr>
        <w:t>评标程序</w:t>
      </w:r>
    </w:p>
    <w:p>
      <w:pPr>
        <w:snapToGrid w:val="0"/>
        <w:spacing w:line="360" w:lineRule="auto"/>
        <w:ind w:firstLine="422" w:firstLineChars="200"/>
        <w:rPr>
          <w:rFonts w:hint="eastAsia" w:hAnsi="宋体"/>
          <w:color w:val="auto"/>
          <w:szCs w:val="21"/>
        </w:rPr>
      </w:pPr>
      <w:r>
        <w:rPr>
          <w:rFonts w:hint="eastAsia" w:hAnsi="宋体"/>
          <w:b/>
          <w:bCs/>
          <w:color w:val="auto"/>
          <w:szCs w:val="21"/>
        </w:rPr>
        <w:t>评标委员会先对资格审查合格的投标人的</w:t>
      </w:r>
      <w:r>
        <w:rPr>
          <w:rFonts w:hint="eastAsia" w:hAnsi="宋体"/>
          <w:color w:val="auto"/>
          <w:szCs w:val="21"/>
        </w:rPr>
        <w:t>资信、</w:t>
      </w:r>
      <w:r>
        <w:rPr>
          <w:rFonts w:hAnsi="宋体"/>
          <w:color w:val="auto"/>
          <w:szCs w:val="21"/>
        </w:rPr>
        <w:t>商务</w:t>
      </w:r>
      <w:r>
        <w:rPr>
          <w:rFonts w:hint="eastAsia" w:hAnsi="宋体"/>
          <w:color w:val="auto"/>
          <w:szCs w:val="21"/>
        </w:rPr>
        <w:t>、</w:t>
      </w:r>
      <w:r>
        <w:rPr>
          <w:rFonts w:hAnsi="宋体"/>
          <w:color w:val="auto"/>
          <w:szCs w:val="21"/>
        </w:rPr>
        <w:t>技术文件</w:t>
      </w:r>
      <w:r>
        <w:rPr>
          <w:rFonts w:hint="eastAsia" w:hAnsi="宋体"/>
          <w:color w:val="auto"/>
          <w:szCs w:val="21"/>
        </w:rPr>
        <w:t>进行评审，后对其报价文件的内容及报价的合理性、准确性等进行审查核实。具体如下：</w:t>
      </w:r>
    </w:p>
    <w:p>
      <w:pPr>
        <w:snapToGrid w:val="0"/>
        <w:spacing w:line="360" w:lineRule="auto"/>
        <w:rPr>
          <w:rFonts w:hint="eastAsia" w:ascii="宋体" w:hAnsi="宋体"/>
          <w:color w:val="auto"/>
          <w:szCs w:val="21"/>
        </w:rPr>
      </w:pPr>
      <w:r>
        <w:rPr>
          <w:rFonts w:hint="eastAsia" w:ascii="宋体" w:hAnsi="宋体"/>
          <w:color w:val="auto"/>
          <w:szCs w:val="21"/>
        </w:rPr>
        <w:t>1.符合性审查。</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依据采购文件的规定，从投标文件的有效性、完整性和对采购文件的响应程度等进行审查，以确定是否对采购文件的实质性要求作出响应，是否存在无效投标情形。</w:t>
      </w:r>
    </w:p>
    <w:p>
      <w:pPr>
        <w:snapToGrid w:val="0"/>
        <w:spacing w:line="360" w:lineRule="auto"/>
        <w:rPr>
          <w:rFonts w:hint="eastAsia" w:ascii="宋体" w:hAnsi="宋体"/>
          <w:color w:val="auto"/>
          <w:szCs w:val="21"/>
        </w:rPr>
      </w:pPr>
      <w:r>
        <w:rPr>
          <w:rFonts w:hint="eastAsia" w:ascii="宋体" w:hAnsi="宋体"/>
          <w:color w:val="auto"/>
          <w:szCs w:val="21"/>
        </w:rPr>
        <w:t>2.澄清有关问题。</w:t>
      </w:r>
    </w:p>
    <w:p>
      <w:pPr>
        <w:snapToGrid w:val="0"/>
        <w:spacing w:line="360" w:lineRule="auto"/>
        <w:rPr>
          <w:rFonts w:hint="eastAsia" w:ascii="宋体" w:hAnsi="宋体"/>
          <w:color w:val="auto"/>
          <w:szCs w:val="21"/>
        </w:rPr>
      </w:pPr>
      <w:r>
        <w:rPr>
          <w:rFonts w:hint="eastAsia" w:ascii="宋体" w:hAnsi="宋体"/>
          <w:color w:val="auto"/>
          <w:szCs w:val="21"/>
        </w:rPr>
        <w:t>3.比较与评价。按采购文件的规定，先对资格审查合格、符合性审查合格的投标文件进行资信及商务和技术评估，后对报价文件的内容及报价的合理性、准确性等进行审查核实，综合比较与评价。</w:t>
      </w:r>
    </w:p>
    <w:p>
      <w:pPr>
        <w:snapToGrid w:val="0"/>
        <w:spacing w:line="360" w:lineRule="auto"/>
        <w:rPr>
          <w:rFonts w:hint="eastAsia" w:ascii="宋体" w:hAnsi="宋体"/>
          <w:color w:val="auto"/>
          <w:szCs w:val="21"/>
        </w:rPr>
      </w:pPr>
      <w:r>
        <w:rPr>
          <w:rFonts w:hint="eastAsia" w:ascii="宋体" w:hAnsi="宋体"/>
          <w:color w:val="auto"/>
          <w:szCs w:val="21"/>
        </w:rPr>
        <w:t>4.推荐中标候选人名单。投标文件满足招标文件全部实质性要求，且按照评审因素的量化指标评审得分最高的投标人为排名第一的中标候选人。评标结果按评审后得分由高到低顺序排列，得分相同的，按投标报价由低到高顺序排列，得分且投标报价相同的并列。本项目中标候选人数量为1名，为排名第一的投标人。</w:t>
      </w:r>
    </w:p>
    <w:p>
      <w:pPr>
        <w:pStyle w:val="28"/>
        <w:spacing w:line="360" w:lineRule="auto"/>
        <w:ind w:firstLine="0" w:firstLineChars="0"/>
        <w:rPr>
          <w:rFonts w:hint="eastAsia" w:ascii="宋体"/>
          <w:b w:val="0"/>
          <w:bCs w:val="0"/>
          <w:color w:val="auto"/>
          <w:sz w:val="21"/>
          <w:szCs w:val="21"/>
        </w:rPr>
      </w:pPr>
      <w:r>
        <w:rPr>
          <w:rFonts w:hint="eastAsia" w:ascii="宋体"/>
          <w:b w:val="0"/>
          <w:bCs w:val="0"/>
          <w:color w:val="auto"/>
          <w:sz w:val="21"/>
          <w:szCs w:val="21"/>
        </w:rPr>
        <w:t>5.编制评标报告。</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6.评审要求：</w:t>
      </w:r>
    </w:p>
    <w:p>
      <w:pPr>
        <w:pStyle w:val="25"/>
        <w:snapToGrid w:val="0"/>
        <w:spacing w:before="120" w:after="120" w:line="360" w:lineRule="auto"/>
        <w:rPr>
          <w:rFonts w:hint="eastAsia" w:hAnsi="宋体"/>
          <w:color w:val="auto"/>
          <w:sz w:val="21"/>
          <w:szCs w:val="21"/>
        </w:rPr>
      </w:pPr>
      <w:r>
        <w:rPr>
          <w:rFonts w:hint="eastAsia" w:hAnsi="宋体"/>
          <w:color w:val="auto"/>
          <w:sz w:val="21"/>
          <w:szCs w:val="21"/>
        </w:rPr>
        <w:t>①对评标委员会成员明显畸高、畸低的评分（其总评分偏离平均分30%以上的），评标委员会组长需提醒相关评审人员进行复核或书面说明理由，评审人员拒绝说明的，由现场监督员据实记录。</w:t>
      </w:r>
    </w:p>
    <w:p>
      <w:pPr>
        <w:pStyle w:val="25"/>
        <w:snapToGrid w:val="0"/>
        <w:spacing w:before="120" w:after="120" w:line="360" w:lineRule="auto"/>
        <w:rPr>
          <w:rFonts w:hint="eastAsia" w:hAnsi="宋体"/>
          <w:color w:val="auto"/>
          <w:sz w:val="21"/>
          <w:szCs w:val="21"/>
        </w:rPr>
      </w:pPr>
      <w:r>
        <w:rPr>
          <w:rFonts w:hint="eastAsia" w:hAnsi="宋体"/>
          <w:bCs/>
          <w:color w:val="auto"/>
          <w:sz w:val="21"/>
          <w:szCs w:val="21"/>
        </w:rPr>
        <w:t>②</w:t>
      </w:r>
      <w:r>
        <w:rPr>
          <w:rFonts w:hint="eastAsia"/>
          <w:bCs/>
          <w:color w:val="auto"/>
          <w:sz w:val="21"/>
          <w:szCs w:val="21"/>
        </w:rPr>
        <w:t>评标委员会成员对需要共同认定的事项存在争议的，按照少数服从多数的原则作出结论。持不同意见的评标委员会成员须在评标报告上签署不同意见及理由，否则视为同意评标报告。</w:t>
      </w:r>
    </w:p>
    <w:p>
      <w:pPr>
        <w:snapToGrid w:val="0"/>
        <w:spacing w:line="360" w:lineRule="auto"/>
        <w:rPr>
          <w:rFonts w:hint="eastAsia" w:ascii="宋体" w:hAnsi="宋体"/>
          <w:color w:val="auto"/>
          <w:szCs w:val="21"/>
        </w:rPr>
      </w:pPr>
      <w:r>
        <w:rPr>
          <w:rFonts w:hint="eastAsia" w:ascii="宋体" w:hAnsi="宋体"/>
          <w:color w:val="auto"/>
          <w:szCs w:val="21"/>
        </w:rPr>
        <w:t>③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28"/>
        <w:spacing w:line="360" w:lineRule="auto"/>
        <w:ind w:firstLine="0" w:firstLineChars="0"/>
        <w:rPr>
          <w:rFonts w:hint="eastAsia" w:ascii="宋体"/>
          <w:b w:val="0"/>
          <w:bCs w:val="0"/>
          <w:color w:val="auto"/>
          <w:sz w:val="21"/>
          <w:szCs w:val="21"/>
        </w:rPr>
      </w:pPr>
      <w:r>
        <w:rPr>
          <w:rFonts w:hint="eastAsia" w:ascii="宋体"/>
          <w:b w:val="0"/>
          <w:bCs w:val="0"/>
          <w:color w:val="auto"/>
          <w:sz w:val="21"/>
          <w:szCs w:val="21"/>
        </w:rPr>
        <w:t>④评标结果汇总完成后（即经评标委员会成员对其打分汇总确认后），除下列情形外，任何人不得修改评标结果：（一）分值汇总计算错误的；（二）分项评分超出评分标准范围的；（三）评标委员会成员对客观评审因素评分不一致的；（四）经评标委员会认定评分畸高、畸低的。</w:t>
      </w:r>
    </w:p>
    <w:p>
      <w:pPr>
        <w:pStyle w:val="25"/>
        <w:snapToGrid w:val="0"/>
        <w:spacing w:before="120" w:beforeLines="0" w:after="120" w:afterLines="0" w:line="360" w:lineRule="auto"/>
        <w:ind w:firstLine="207" w:firstLineChars="98"/>
        <w:rPr>
          <w:rFonts w:hAnsi="宋体"/>
          <w:b/>
          <w:color w:val="auto"/>
          <w:sz w:val="21"/>
          <w:szCs w:val="21"/>
        </w:rPr>
      </w:pPr>
      <w:r>
        <w:rPr>
          <w:rFonts w:hint="eastAsia" w:hAnsi="宋体"/>
          <w:b/>
          <w:color w:val="auto"/>
          <w:sz w:val="21"/>
          <w:szCs w:val="21"/>
        </w:rPr>
        <w:t>（五）澄清问题</w:t>
      </w:r>
    </w:p>
    <w:p>
      <w:pPr>
        <w:snapToGrid w:val="0"/>
        <w:spacing w:line="360" w:lineRule="auto"/>
        <w:ind w:firstLine="420" w:firstLineChars="200"/>
        <w:rPr>
          <w:rFonts w:ascii="宋体" w:hAnsi="宋体"/>
          <w:color w:val="auto"/>
          <w:szCs w:val="21"/>
        </w:rPr>
      </w:pPr>
      <w:r>
        <w:rPr>
          <w:rFonts w:hint="eastAsia" w:ascii="宋体" w:hAnsi="宋体"/>
          <w:color w:val="auto"/>
          <w:szCs w:val="21"/>
        </w:rPr>
        <w:t>对投标文件中含义不明确、同类问题表述不一致或者有明显文字和计算错误的内容，评标委员会如认为有必要的可以书面形式要求投标人作出必要的澄清、说明或者纠正。投标人的澄清、说明或者补正须采用书面形式，需加盖公章或者由法定代表人或其授权的代表签字或盖章，并不得超出投标文件的范围或者改变投标文件的实质性内容。投标人代表未到场作出澄清或者拒绝澄清，评标委员会有权对该投标文件作出不利于投标人的评审。</w:t>
      </w:r>
    </w:p>
    <w:p>
      <w:pPr>
        <w:pStyle w:val="25"/>
        <w:snapToGrid w:val="0"/>
        <w:spacing w:before="120" w:beforeLines="0" w:after="120" w:afterLines="0" w:line="360" w:lineRule="auto"/>
        <w:ind w:firstLine="207" w:firstLineChars="98"/>
        <w:rPr>
          <w:rFonts w:hint="eastAsia" w:hAnsi="宋体"/>
          <w:b/>
          <w:color w:val="auto"/>
          <w:sz w:val="21"/>
          <w:szCs w:val="21"/>
        </w:rPr>
      </w:pPr>
      <w:r>
        <w:rPr>
          <w:rFonts w:hAnsi="宋体"/>
          <w:b/>
          <w:color w:val="auto"/>
          <w:sz w:val="21"/>
          <w:szCs w:val="21"/>
        </w:rPr>
        <w:t>（</w:t>
      </w:r>
      <w:r>
        <w:rPr>
          <w:rFonts w:hint="eastAsia" w:hAnsi="宋体"/>
          <w:b/>
          <w:color w:val="auto"/>
          <w:sz w:val="21"/>
          <w:szCs w:val="21"/>
        </w:rPr>
        <w:t>六</w:t>
      </w:r>
      <w:r>
        <w:rPr>
          <w:rFonts w:hAnsi="宋体"/>
          <w:b/>
          <w:color w:val="auto"/>
          <w:sz w:val="21"/>
          <w:szCs w:val="21"/>
        </w:rPr>
        <w:t>）错误修正</w:t>
      </w:r>
    </w:p>
    <w:p>
      <w:pPr>
        <w:pStyle w:val="25"/>
        <w:tabs>
          <w:tab w:val="left" w:pos="630"/>
        </w:tabs>
        <w:snapToGrid w:val="0"/>
        <w:spacing w:before="120" w:after="120" w:line="360" w:lineRule="auto"/>
        <w:ind w:firstLine="411" w:firstLineChars="196"/>
        <w:rPr>
          <w:rFonts w:hint="eastAsia" w:hAnsi="宋体"/>
          <w:color w:val="auto"/>
          <w:sz w:val="21"/>
          <w:szCs w:val="21"/>
        </w:rPr>
      </w:pPr>
      <w:r>
        <w:rPr>
          <w:rFonts w:hint="eastAsia" w:hAnsi="宋体"/>
          <w:color w:val="auto"/>
          <w:sz w:val="21"/>
          <w:szCs w:val="21"/>
        </w:rPr>
        <w:t>投标文件报价出现前后不一致的，按照下列规定修正：（一）投标文件中开标一览表（报价表）内容与投标文件中相应内容不一致的，以开标一览表（报价表）为准；（二）大写金额和小写金额不一致的，以大写金额为准；（三）单价金额小数点或者百分比有明显错位的，以开标一览表的总价为准，并修改单价；（四）总价金额与按单价汇总金额不一致的，以单价金额计算结果为准。同时出现两种以上不一致的，按照前款规定的顺序修正。修正后的报价按</w:t>
      </w:r>
      <w:r>
        <w:rPr>
          <w:rFonts w:hint="eastAsia" w:hAnsi="宋体"/>
          <w:color w:val="auto"/>
          <w:sz w:val="21"/>
          <w:szCs w:val="21"/>
          <w:lang w:eastAsia="zh-CN"/>
        </w:rPr>
        <w:t>澄清问题的</w:t>
      </w:r>
      <w:r>
        <w:rPr>
          <w:rFonts w:hint="eastAsia" w:hAnsi="宋体"/>
          <w:color w:val="auto"/>
          <w:sz w:val="21"/>
          <w:szCs w:val="21"/>
        </w:rPr>
        <w:t>规定经投标人确认后产生约束力，投标人不</w:t>
      </w:r>
      <w:r>
        <w:rPr>
          <w:rFonts w:hint="eastAsia" w:hAnsi="宋体"/>
          <w:color w:val="auto"/>
          <w:sz w:val="21"/>
          <w:szCs w:val="21"/>
          <w:lang w:eastAsia="zh-CN"/>
        </w:rPr>
        <w:t>签字</w:t>
      </w:r>
      <w:r>
        <w:rPr>
          <w:rFonts w:hint="eastAsia" w:hAnsi="宋体"/>
          <w:color w:val="auto"/>
          <w:sz w:val="21"/>
          <w:szCs w:val="21"/>
        </w:rPr>
        <w:t>确认的，其投标无效。</w:t>
      </w:r>
    </w:p>
    <w:p>
      <w:pPr>
        <w:pStyle w:val="25"/>
        <w:tabs>
          <w:tab w:val="left" w:pos="630"/>
        </w:tabs>
        <w:snapToGrid w:val="0"/>
        <w:spacing w:before="120" w:after="120" w:line="360" w:lineRule="auto"/>
        <w:ind w:firstLine="207" w:firstLineChars="98"/>
        <w:rPr>
          <w:rFonts w:hAnsi="宋体"/>
          <w:b/>
          <w:color w:val="auto"/>
          <w:sz w:val="21"/>
          <w:szCs w:val="21"/>
        </w:rPr>
      </w:pPr>
      <w:r>
        <w:rPr>
          <w:rFonts w:hAnsi="宋体"/>
          <w:b/>
          <w:color w:val="auto"/>
          <w:sz w:val="21"/>
          <w:szCs w:val="21"/>
        </w:rPr>
        <w:t>（</w:t>
      </w:r>
      <w:r>
        <w:rPr>
          <w:rFonts w:hint="eastAsia" w:hAnsi="宋体"/>
          <w:b/>
          <w:color w:val="auto"/>
          <w:sz w:val="21"/>
          <w:szCs w:val="21"/>
        </w:rPr>
        <w:t>七</w:t>
      </w:r>
      <w:r>
        <w:rPr>
          <w:rFonts w:hAnsi="宋体"/>
          <w:b/>
          <w:color w:val="auto"/>
          <w:sz w:val="21"/>
          <w:szCs w:val="21"/>
        </w:rPr>
        <w:t>）评标原则和评标办法</w:t>
      </w:r>
    </w:p>
    <w:p>
      <w:pPr>
        <w:pStyle w:val="25"/>
        <w:snapToGrid w:val="0"/>
        <w:spacing w:before="120" w:after="120" w:line="360" w:lineRule="auto"/>
        <w:rPr>
          <w:rFonts w:hAnsi="宋体"/>
          <w:color w:val="auto"/>
          <w:sz w:val="21"/>
          <w:szCs w:val="21"/>
        </w:rPr>
      </w:pPr>
      <w:r>
        <w:rPr>
          <w:rFonts w:hAnsi="宋体"/>
          <w:color w:val="auto"/>
          <w:sz w:val="21"/>
          <w:szCs w:val="21"/>
        </w:rPr>
        <w:t>1</w:t>
      </w:r>
      <w:r>
        <w:rPr>
          <w:rFonts w:hint="eastAsia" w:hAnsi="宋体"/>
          <w:color w:val="auto"/>
          <w:sz w:val="21"/>
          <w:szCs w:val="21"/>
        </w:rPr>
        <w:t>.</w:t>
      </w:r>
      <w:r>
        <w:rPr>
          <w:rFonts w:hAnsi="宋体"/>
          <w:color w:val="auto"/>
          <w:sz w:val="21"/>
          <w:szCs w:val="21"/>
        </w:rPr>
        <w:t>评标原则。</w:t>
      </w:r>
      <w:r>
        <w:rPr>
          <w:rFonts w:hint="eastAsia" w:hAnsi="宋体"/>
          <w:color w:val="auto"/>
          <w:sz w:val="21"/>
          <w:szCs w:val="21"/>
        </w:rPr>
        <w:t>评标委员会成员（简称“评委</w:t>
      </w:r>
      <w:r>
        <w:rPr>
          <w:rFonts w:hAnsi="宋体"/>
          <w:color w:val="auto"/>
          <w:sz w:val="21"/>
          <w:szCs w:val="21"/>
        </w:rPr>
        <w:t>”）</w:t>
      </w:r>
      <w:r>
        <w:rPr>
          <w:rFonts w:hint="eastAsia" w:hAnsi="宋体"/>
          <w:color w:val="auto"/>
          <w:sz w:val="21"/>
          <w:szCs w:val="21"/>
        </w:rPr>
        <w:t>应当按照客观、公正、审慎的原则，根据采购文件规定的评审程序、评审方法和评审标准进行独立评审。</w:t>
      </w:r>
      <w:r>
        <w:rPr>
          <w:rFonts w:hAnsi="宋体"/>
          <w:color w:val="auto"/>
          <w:sz w:val="21"/>
          <w:szCs w:val="21"/>
        </w:rPr>
        <w:t>评标委员</w:t>
      </w:r>
      <w:r>
        <w:rPr>
          <w:rFonts w:hint="eastAsia" w:hAnsi="宋体"/>
          <w:color w:val="auto"/>
          <w:sz w:val="21"/>
          <w:szCs w:val="21"/>
        </w:rPr>
        <w:t>会成员</w:t>
      </w:r>
      <w:r>
        <w:rPr>
          <w:rFonts w:hAnsi="宋体"/>
          <w:color w:val="auto"/>
          <w:sz w:val="21"/>
          <w:szCs w:val="21"/>
        </w:rPr>
        <w:t>须公平、公正、客观，不带任何倾向性和启发性；不得向外界透露任何与评标相关的内容；评委及有关工作人员不得私下接触投标人</w:t>
      </w:r>
      <w:r>
        <w:rPr>
          <w:rFonts w:hint="eastAsia" w:hAnsi="宋体"/>
          <w:color w:val="auto"/>
          <w:sz w:val="21"/>
          <w:szCs w:val="21"/>
        </w:rPr>
        <w:t>并对评标相关内容保密</w:t>
      </w:r>
      <w:r>
        <w:rPr>
          <w:rFonts w:hAnsi="宋体"/>
          <w:color w:val="auto"/>
          <w:sz w:val="21"/>
          <w:szCs w:val="21"/>
        </w:rPr>
        <w:t>。任何单位和个人不得干扰、影响评标的正常进行</w:t>
      </w:r>
      <w:r>
        <w:rPr>
          <w:rFonts w:hint="eastAsia" w:hAnsi="宋体"/>
          <w:color w:val="auto"/>
          <w:sz w:val="21"/>
          <w:szCs w:val="21"/>
        </w:rPr>
        <w:t>。</w:t>
      </w:r>
    </w:p>
    <w:p>
      <w:pPr>
        <w:snapToGrid w:val="0"/>
        <w:spacing w:line="360" w:lineRule="auto"/>
        <w:jc w:val="left"/>
        <w:rPr>
          <w:rFonts w:hint="eastAsia" w:hAnsi="宋体"/>
          <w:color w:val="auto"/>
          <w:szCs w:val="21"/>
        </w:rPr>
      </w:pPr>
      <w:r>
        <w:rPr>
          <w:rFonts w:ascii="宋体" w:hAnsi="宋体"/>
          <w:color w:val="auto"/>
          <w:szCs w:val="21"/>
        </w:rPr>
        <w:t>2</w:t>
      </w:r>
      <w:r>
        <w:rPr>
          <w:rFonts w:hint="eastAsia" w:ascii="宋体" w:hAnsi="宋体"/>
          <w:color w:val="auto"/>
          <w:szCs w:val="21"/>
        </w:rPr>
        <w:t>.</w:t>
      </w:r>
      <w:r>
        <w:rPr>
          <w:rFonts w:hAnsi="宋体"/>
          <w:color w:val="auto"/>
          <w:szCs w:val="21"/>
        </w:rPr>
        <w:t>评标办法。本项目</w:t>
      </w:r>
      <w:r>
        <w:rPr>
          <w:rFonts w:hint="eastAsia" w:hAnsi="宋体"/>
          <w:color w:val="auto"/>
          <w:szCs w:val="21"/>
        </w:rPr>
        <w:t>采用综合</w:t>
      </w:r>
      <w:r>
        <w:rPr>
          <w:rFonts w:hAnsi="宋体"/>
          <w:color w:val="auto"/>
          <w:szCs w:val="21"/>
        </w:rPr>
        <w:t>评分法，具体评标</w:t>
      </w:r>
      <w:r>
        <w:rPr>
          <w:rFonts w:hint="eastAsia" w:hAnsi="宋体"/>
          <w:color w:val="auto"/>
          <w:szCs w:val="21"/>
        </w:rPr>
        <w:t>办法</w:t>
      </w:r>
      <w:r>
        <w:rPr>
          <w:rFonts w:hAnsi="宋体"/>
          <w:color w:val="auto"/>
          <w:szCs w:val="21"/>
        </w:rPr>
        <w:t>及评分标准详见</w:t>
      </w:r>
      <w:r>
        <w:rPr>
          <w:rFonts w:hint="eastAsia" w:hAnsi="宋体"/>
          <w:color w:val="auto"/>
          <w:szCs w:val="21"/>
        </w:rPr>
        <w:t>采购文件</w:t>
      </w:r>
      <w:r>
        <w:rPr>
          <w:rFonts w:hAnsi="宋体"/>
          <w:color w:val="auto"/>
          <w:szCs w:val="21"/>
        </w:rPr>
        <w:t>第四章</w:t>
      </w:r>
      <w:r>
        <w:rPr>
          <w:rFonts w:hint="eastAsia" w:hAnsi="宋体"/>
          <w:color w:val="auto"/>
          <w:szCs w:val="21"/>
        </w:rPr>
        <w:t>内容</w:t>
      </w:r>
      <w:r>
        <w:rPr>
          <w:rFonts w:hAnsi="宋体"/>
          <w:color w:val="auto"/>
          <w:szCs w:val="21"/>
        </w:rPr>
        <w:t>。</w:t>
      </w:r>
    </w:p>
    <w:p>
      <w:pPr>
        <w:snapToGrid w:val="0"/>
        <w:spacing w:line="360" w:lineRule="auto"/>
        <w:ind w:firstLine="211" w:firstLineChars="100"/>
        <w:jc w:val="left"/>
        <w:rPr>
          <w:rFonts w:hint="eastAsia"/>
          <w:color w:val="auto"/>
        </w:rPr>
      </w:pPr>
      <w:r>
        <w:rPr>
          <w:rFonts w:hint="eastAsia" w:hAnsi="宋体"/>
          <w:b/>
          <w:color w:val="auto"/>
          <w:szCs w:val="21"/>
        </w:rPr>
        <w:t>七、定标</w:t>
      </w:r>
    </w:p>
    <w:p>
      <w:pPr>
        <w:snapToGrid w:val="0"/>
        <w:spacing w:line="360" w:lineRule="auto"/>
        <w:ind w:firstLine="420" w:firstLineChars="200"/>
        <w:rPr>
          <w:rFonts w:hint="eastAsia" w:ascii="宋体" w:hAnsi="宋体"/>
          <w:color w:val="auto"/>
          <w:szCs w:val="21"/>
        </w:rPr>
      </w:pPr>
      <w:r>
        <w:rPr>
          <w:rFonts w:hint="eastAsia" w:ascii="宋体" w:hAnsi="宋体"/>
          <w:color w:val="auto"/>
          <w:szCs w:val="21"/>
        </w:rPr>
        <w:t>代理机构于评审结束之日起2个工作日内将评标报告送交采购人，采购人自收到评估报告之日起5个工作日内在评标报告推荐的中标候选人中按顺序确定中标人，排序并列的按技术指标优劣顺序确定中标人。代理机构自中标人确定之日起2个工作日内在采购公告发布的媒体上公告中标结果并</w:t>
      </w:r>
      <w:r>
        <w:rPr>
          <w:rFonts w:ascii="宋体" w:hAnsi="宋体"/>
          <w:color w:val="auto"/>
          <w:szCs w:val="21"/>
        </w:rPr>
        <w:t>发出中标通知书</w:t>
      </w:r>
      <w:r>
        <w:rPr>
          <w:rFonts w:hint="eastAsia" w:ascii="宋体" w:hAnsi="宋体"/>
          <w:color w:val="auto"/>
          <w:szCs w:val="21"/>
        </w:rPr>
        <w:t>。</w:t>
      </w:r>
      <w:r>
        <w:rPr>
          <w:rFonts w:ascii="宋体" w:hAnsi="宋体"/>
          <w:color w:val="auto"/>
          <w:szCs w:val="21"/>
        </w:rPr>
        <w:t xml:space="preserve"> </w:t>
      </w:r>
      <w:r>
        <w:rPr>
          <w:rFonts w:hint="eastAsia" w:ascii="宋体" w:hAnsi="宋体"/>
          <w:color w:val="auto"/>
          <w:szCs w:val="21"/>
        </w:rPr>
        <w:t>中标通知书发出后，采购人不得违法改变中标结果，中标人无正当理由不得放弃中标。</w:t>
      </w:r>
    </w:p>
    <w:p>
      <w:pPr>
        <w:pStyle w:val="20"/>
        <w:snapToGrid w:val="0"/>
        <w:spacing w:line="360" w:lineRule="auto"/>
        <w:ind w:firstLine="199" w:firstLineChars="98"/>
        <w:rPr>
          <w:rFonts w:hint="eastAsia" w:hAnsi="宋体"/>
          <w:b/>
          <w:color w:val="auto"/>
          <w:sz w:val="21"/>
          <w:szCs w:val="21"/>
          <w:lang w:eastAsia="zh-CN"/>
        </w:rPr>
      </w:pPr>
      <w:r>
        <w:rPr>
          <w:rFonts w:hint="eastAsia" w:hAnsi="宋体"/>
          <w:b/>
          <w:color w:val="auto"/>
          <w:sz w:val="21"/>
          <w:szCs w:val="21"/>
          <w:lang w:eastAsia="zh-CN"/>
        </w:rPr>
        <w:t>八、废标</w:t>
      </w:r>
    </w:p>
    <w:p>
      <w:pPr>
        <w:pStyle w:val="20"/>
        <w:snapToGrid w:val="0"/>
        <w:spacing w:line="360" w:lineRule="auto"/>
        <w:ind w:firstLine="202" w:firstLineChars="100"/>
        <w:rPr>
          <w:rFonts w:hint="eastAsia" w:hAnsi="宋体"/>
          <w:color w:val="auto"/>
          <w:sz w:val="21"/>
          <w:szCs w:val="21"/>
          <w:lang w:eastAsia="zh-CN"/>
        </w:rPr>
      </w:pPr>
      <w:r>
        <w:rPr>
          <w:rFonts w:hint="eastAsia" w:hAnsi="宋体"/>
          <w:color w:val="auto"/>
          <w:sz w:val="21"/>
          <w:szCs w:val="21"/>
          <w:lang w:eastAsia="zh-CN"/>
        </w:rPr>
        <w:t>（一）</w:t>
      </w:r>
      <w:r>
        <w:rPr>
          <w:rFonts w:hint="eastAsia" w:hAnsi="宋体"/>
          <w:color w:val="auto"/>
          <w:sz w:val="21"/>
          <w:szCs w:val="21"/>
        </w:rPr>
        <w:t>在</w:t>
      </w:r>
      <w:r>
        <w:rPr>
          <w:rFonts w:hint="eastAsia" w:hAnsi="宋体"/>
          <w:color w:val="auto"/>
          <w:sz w:val="21"/>
          <w:szCs w:val="21"/>
          <w:lang w:eastAsia="zh-CN"/>
        </w:rPr>
        <w:t>本项目</w:t>
      </w:r>
      <w:r>
        <w:rPr>
          <w:rFonts w:hint="eastAsia" w:hAnsi="宋体"/>
          <w:color w:val="auto"/>
          <w:sz w:val="21"/>
          <w:szCs w:val="21"/>
        </w:rPr>
        <w:t>采购中，出现下列情形之一的，</w:t>
      </w:r>
      <w:r>
        <w:rPr>
          <w:rFonts w:hint="eastAsia" w:hAnsi="宋体"/>
          <w:color w:val="auto"/>
          <w:sz w:val="21"/>
          <w:szCs w:val="21"/>
          <w:lang w:eastAsia="zh-CN"/>
        </w:rPr>
        <w:t>将</w:t>
      </w:r>
      <w:r>
        <w:rPr>
          <w:rFonts w:hint="eastAsia" w:hAnsi="宋体"/>
          <w:color w:val="auto"/>
          <w:sz w:val="21"/>
          <w:szCs w:val="21"/>
        </w:rPr>
        <w:t>予废标：</w:t>
      </w:r>
    </w:p>
    <w:p>
      <w:pPr>
        <w:pStyle w:val="20"/>
        <w:snapToGrid w:val="0"/>
        <w:spacing w:line="360" w:lineRule="auto"/>
        <w:ind w:firstLine="0"/>
        <w:rPr>
          <w:rFonts w:hint="eastAsia" w:hAnsi="宋体"/>
          <w:color w:val="auto"/>
          <w:sz w:val="21"/>
          <w:szCs w:val="21"/>
          <w:lang w:eastAsia="zh-CN"/>
        </w:rPr>
      </w:pPr>
      <w:r>
        <w:rPr>
          <w:rFonts w:hint="eastAsia" w:hAnsi="宋体"/>
          <w:color w:val="auto"/>
          <w:sz w:val="21"/>
          <w:szCs w:val="21"/>
          <w:lang w:eastAsia="zh-CN"/>
        </w:rPr>
        <w:t>1.投标人不足三家的；</w:t>
      </w:r>
    </w:p>
    <w:p>
      <w:pPr>
        <w:pStyle w:val="20"/>
        <w:snapToGrid w:val="0"/>
        <w:spacing w:line="360" w:lineRule="auto"/>
        <w:ind w:firstLine="0"/>
        <w:rPr>
          <w:rFonts w:hint="eastAsia" w:hAnsi="宋体"/>
          <w:color w:val="auto"/>
          <w:sz w:val="21"/>
          <w:szCs w:val="21"/>
          <w:lang w:eastAsia="zh-CN"/>
        </w:rPr>
      </w:pPr>
      <w:r>
        <w:rPr>
          <w:rFonts w:hint="eastAsia" w:hAnsi="宋体"/>
          <w:color w:val="auto"/>
          <w:sz w:val="21"/>
          <w:szCs w:val="21"/>
          <w:lang w:eastAsia="zh-CN"/>
        </w:rPr>
        <w:t>2.</w:t>
      </w:r>
      <w:r>
        <w:rPr>
          <w:rFonts w:hint="eastAsia" w:hAnsi="宋体"/>
          <w:color w:val="auto"/>
          <w:szCs w:val="21"/>
        </w:rPr>
        <w:t xml:space="preserve"> </w:t>
      </w:r>
      <w:r>
        <w:rPr>
          <w:rFonts w:hint="eastAsia" w:hAnsi="宋体"/>
          <w:color w:val="auto"/>
          <w:sz w:val="21"/>
          <w:szCs w:val="21"/>
        </w:rPr>
        <w:t>符合合格投标人资格要求</w:t>
      </w:r>
      <w:r>
        <w:rPr>
          <w:rFonts w:hint="eastAsia" w:hAnsi="宋体"/>
          <w:color w:val="auto"/>
          <w:sz w:val="21"/>
          <w:szCs w:val="21"/>
          <w:lang w:eastAsia="zh-CN"/>
        </w:rPr>
        <w:t>的投标人</w:t>
      </w:r>
      <w:r>
        <w:rPr>
          <w:rFonts w:hint="eastAsia" w:hAnsi="宋体"/>
          <w:color w:val="auto"/>
          <w:sz w:val="21"/>
          <w:szCs w:val="21"/>
        </w:rPr>
        <w:t>或者</w:t>
      </w:r>
      <w:r>
        <w:rPr>
          <w:rFonts w:hint="eastAsia" w:hAnsi="宋体"/>
          <w:color w:val="auto"/>
          <w:sz w:val="21"/>
          <w:szCs w:val="21"/>
          <w:lang w:eastAsia="zh-CN"/>
        </w:rPr>
        <w:t>有效投标</w:t>
      </w:r>
      <w:r>
        <w:rPr>
          <w:rFonts w:hint="eastAsia" w:hAnsi="宋体"/>
          <w:color w:val="auto"/>
          <w:sz w:val="21"/>
          <w:szCs w:val="21"/>
        </w:rPr>
        <w:t>的</w:t>
      </w:r>
      <w:r>
        <w:rPr>
          <w:rFonts w:hint="eastAsia" w:hAnsi="宋体"/>
          <w:color w:val="auto"/>
          <w:sz w:val="21"/>
          <w:szCs w:val="21"/>
          <w:lang w:eastAsia="zh-CN"/>
        </w:rPr>
        <w:t>投标人</w:t>
      </w:r>
      <w:r>
        <w:rPr>
          <w:rFonts w:hint="eastAsia" w:hAnsi="宋体"/>
          <w:color w:val="auto"/>
          <w:sz w:val="21"/>
          <w:szCs w:val="21"/>
        </w:rPr>
        <w:t>不足三家的；</w:t>
      </w:r>
    </w:p>
    <w:p>
      <w:pPr>
        <w:pStyle w:val="20"/>
        <w:snapToGrid w:val="0"/>
        <w:spacing w:line="360" w:lineRule="auto"/>
        <w:ind w:firstLine="0"/>
        <w:rPr>
          <w:rFonts w:hint="eastAsia" w:hAnsi="宋体"/>
          <w:color w:val="auto"/>
          <w:sz w:val="21"/>
          <w:szCs w:val="21"/>
          <w:lang w:eastAsia="zh-CN"/>
        </w:rPr>
      </w:pPr>
      <w:r>
        <w:rPr>
          <w:rFonts w:hint="eastAsia" w:hAnsi="宋体"/>
          <w:color w:val="auto"/>
          <w:sz w:val="21"/>
          <w:szCs w:val="21"/>
          <w:lang w:eastAsia="zh-CN"/>
        </w:rPr>
        <w:t>3.</w:t>
      </w:r>
      <w:r>
        <w:rPr>
          <w:rFonts w:hint="eastAsia" w:hAnsi="宋体"/>
          <w:color w:val="auto"/>
          <w:sz w:val="21"/>
          <w:szCs w:val="21"/>
        </w:rPr>
        <w:t>出现影响采购公正的违法、违规行为的；</w:t>
      </w:r>
    </w:p>
    <w:p>
      <w:pPr>
        <w:pStyle w:val="20"/>
        <w:snapToGrid w:val="0"/>
        <w:spacing w:line="360" w:lineRule="auto"/>
        <w:ind w:firstLine="0"/>
        <w:rPr>
          <w:rFonts w:hint="eastAsia" w:hAnsi="宋体"/>
          <w:color w:val="auto"/>
          <w:sz w:val="21"/>
          <w:szCs w:val="21"/>
          <w:lang w:eastAsia="zh-CN"/>
        </w:rPr>
      </w:pPr>
      <w:r>
        <w:rPr>
          <w:rFonts w:hint="eastAsia" w:hAnsi="宋体"/>
          <w:color w:val="auto"/>
          <w:sz w:val="21"/>
          <w:szCs w:val="21"/>
          <w:lang w:eastAsia="zh-CN"/>
        </w:rPr>
        <w:t>4.</w:t>
      </w:r>
      <w:r>
        <w:rPr>
          <w:rFonts w:hint="eastAsia" w:hAnsi="宋体"/>
          <w:color w:val="auto"/>
          <w:sz w:val="21"/>
          <w:szCs w:val="21"/>
        </w:rPr>
        <w:t>投标人的报价均超过了采购预算，采购人不能支付的；</w:t>
      </w:r>
    </w:p>
    <w:p>
      <w:pPr>
        <w:pStyle w:val="20"/>
        <w:snapToGrid w:val="0"/>
        <w:spacing w:line="360" w:lineRule="auto"/>
        <w:ind w:firstLine="0"/>
        <w:rPr>
          <w:rFonts w:hint="eastAsia" w:hAnsi="宋体"/>
          <w:color w:val="auto"/>
          <w:sz w:val="21"/>
          <w:szCs w:val="21"/>
          <w:lang w:eastAsia="zh-CN"/>
        </w:rPr>
      </w:pPr>
      <w:r>
        <w:rPr>
          <w:rFonts w:hint="eastAsia" w:hAnsi="宋体"/>
          <w:color w:val="auto"/>
          <w:sz w:val="21"/>
          <w:szCs w:val="21"/>
          <w:lang w:eastAsia="zh-CN"/>
        </w:rPr>
        <w:t>5.</w:t>
      </w:r>
      <w:r>
        <w:rPr>
          <w:rFonts w:hint="eastAsia" w:hAnsi="宋体"/>
          <w:color w:val="auto"/>
          <w:sz w:val="21"/>
          <w:szCs w:val="21"/>
        </w:rPr>
        <w:t>因重大变故，采购任务取消的。</w:t>
      </w:r>
    </w:p>
    <w:p>
      <w:pPr>
        <w:pStyle w:val="20"/>
        <w:snapToGrid w:val="0"/>
        <w:spacing w:line="360" w:lineRule="auto"/>
        <w:ind w:firstLine="202" w:firstLineChars="100"/>
        <w:rPr>
          <w:rFonts w:hint="eastAsia" w:hAnsi="宋体"/>
          <w:color w:val="auto"/>
          <w:sz w:val="21"/>
          <w:szCs w:val="21"/>
          <w:lang w:eastAsia="zh-CN"/>
        </w:rPr>
      </w:pPr>
      <w:r>
        <w:rPr>
          <w:rFonts w:hint="eastAsia" w:hAnsi="宋体"/>
          <w:color w:val="auto"/>
          <w:sz w:val="21"/>
          <w:szCs w:val="21"/>
          <w:lang w:eastAsia="zh-CN"/>
        </w:rPr>
        <w:t>（二）公开招标数额标准以上的采购项目，投标截止后投标人不足3家或者通过资格审查或符合性审查的投标人不足3家的，除采购任务取消情形外，按照以下方式处理：</w:t>
      </w:r>
    </w:p>
    <w:p>
      <w:pPr>
        <w:pStyle w:val="20"/>
        <w:snapToGrid w:val="0"/>
        <w:spacing w:line="360" w:lineRule="auto"/>
        <w:ind w:firstLine="0"/>
        <w:rPr>
          <w:rFonts w:hint="eastAsia" w:hAnsi="宋体"/>
          <w:color w:val="auto"/>
          <w:sz w:val="21"/>
          <w:szCs w:val="21"/>
          <w:lang w:eastAsia="zh-CN"/>
        </w:rPr>
      </w:pPr>
      <w:r>
        <w:rPr>
          <w:rFonts w:hint="eastAsia" w:hAnsi="宋体"/>
          <w:color w:val="auto"/>
          <w:sz w:val="21"/>
          <w:szCs w:val="21"/>
          <w:lang w:eastAsia="zh-CN"/>
        </w:rPr>
        <w:t>1.采购文件存在不合理条款或者招标程序不符合规定的，采购人、采购代理机构改正后依法重新招标；</w:t>
      </w:r>
    </w:p>
    <w:p>
      <w:pPr>
        <w:pStyle w:val="20"/>
        <w:snapToGrid w:val="0"/>
        <w:spacing w:line="360" w:lineRule="auto"/>
        <w:ind w:firstLine="0"/>
        <w:rPr>
          <w:rFonts w:hAnsi="宋体"/>
          <w:color w:val="auto"/>
          <w:sz w:val="21"/>
          <w:szCs w:val="21"/>
          <w:lang w:eastAsia="zh-CN"/>
        </w:rPr>
      </w:pPr>
      <w:r>
        <w:rPr>
          <w:rFonts w:hint="eastAsia" w:hAnsi="宋体"/>
          <w:color w:val="auto"/>
          <w:sz w:val="21"/>
          <w:szCs w:val="21"/>
          <w:lang w:eastAsia="zh-CN"/>
        </w:rPr>
        <w:t>2.经评标委员会审核采购文件没有不合理条款、招标程序符合规定，需要采用其他采购方式采购的，采购人应当依法报财政部门批准。</w:t>
      </w:r>
    </w:p>
    <w:p>
      <w:pPr>
        <w:pStyle w:val="25"/>
        <w:snapToGrid w:val="0"/>
        <w:spacing w:before="120" w:after="120" w:line="360" w:lineRule="auto"/>
        <w:ind w:firstLine="207" w:firstLineChars="98"/>
        <w:outlineLvl w:val="1"/>
        <w:rPr>
          <w:rFonts w:hAnsi="宋体"/>
          <w:b/>
          <w:color w:val="auto"/>
          <w:sz w:val="21"/>
          <w:szCs w:val="21"/>
        </w:rPr>
      </w:pPr>
      <w:r>
        <w:rPr>
          <w:rFonts w:hint="eastAsia" w:hAnsi="宋体"/>
          <w:b/>
          <w:color w:val="auto"/>
          <w:sz w:val="21"/>
          <w:szCs w:val="21"/>
        </w:rPr>
        <w:t>九、合同授予</w:t>
      </w:r>
    </w:p>
    <w:p>
      <w:pPr>
        <w:snapToGrid w:val="0"/>
        <w:spacing w:line="360" w:lineRule="auto"/>
        <w:ind w:firstLine="210" w:firstLineChars="100"/>
        <w:rPr>
          <w:rFonts w:hint="eastAsia"/>
          <w:color w:val="auto"/>
          <w:szCs w:val="21"/>
        </w:rPr>
      </w:pPr>
      <w:r>
        <w:rPr>
          <w:rFonts w:hint="eastAsia"/>
          <w:color w:val="auto"/>
          <w:szCs w:val="21"/>
        </w:rPr>
        <w:t>（一）采购人应当自中标通知书发出之日起30日内，按照采购文件和中标人投标文件的规定，与中标人签订书面合同。所签订的合同不得对采购文件确定的事项和中标人投标文件作实质性修改。采购人不得向中标人提出任何不合理的要求作为签订合同的条件 。</w:t>
      </w:r>
    </w:p>
    <w:p>
      <w:pPr>
        <w:snapToGrid w:val="0"/>
        <w:spacing w:line="360" w:lineRule="auto"/>
        <w:ind w:firstLine="210" w:firstLineChars="100"/>
        <w:rPr>
          <w:rFonts w:hint="eastAsia"/>
          <w:color w:val="auto"/>
          <w:szCs w:val="21"/>
        </w:rPr>
      </w:pPr>
      <w:r>
        <w:rPr>
          <w:rFonts w:hint="eastAsia"/>
          <w:color w:val="auto"/>
          <w:szCs w:val="21"/>
        </w:rPr>
        <w:t>（二）政府采购合同应当包括采购人与中标人的名称和住所、标的、数量、质量、价款或者报酬、履行期限及地点和方式、验收要求、违约责任、解决争议的方法等内容。</w:t>
      </w:r>
      <w:r>
        <w:rPr>
          <w:rFonts w:hint="eastAsia" w:ascii="宋体" w:hAnsi="宋体" w:cs="宋体"/>
          <w:color w:val="auto"/>
          <w:szCs w:val="21"/>
          <w:lang w:bidi="ar"/>
        </w:rPr>
        <w:t>采购文件、中标人的投标文件及评标过程中有关的澄清文件均应作为合同签订的附件。</w:t>
      </w:r>
    </w:p>
    <w:p>
      <w:pPr>
        <w:snapToGrid w:val="0"/>
        <w:spacing w:line="360" w:lineRule="auto"/>
        <w:ind w:firstLine="210" w:firstLineChars="100"/>
        <w:rPr>
          <w:rFonts w:hint="eastAsia"/>
          <w:color w:val="auto"/>
          <w:szCs w:val="21"/>
        </w:rPr>
      </w:pPr>
      <w:r>
        <w:rPr>
          <w:rFonts w:hint="eastAsia"/>
          <w:color w:val="auto"/>
          <w:szCs w:val="21"/>
        </w:rPr>
        <w:t>（三）采购人与中标人应当根据合同的约定依法履行合同义务。政府采购合同的履行、违约责任和解决争议的方法等适用《中华人民共和国合同法》。</w:t>
      </w:r>
    </w:p>
    <w:p>
      <w:pPr>
        <w:snapToGrid w:val="0"/>
        <w:spacing w:line="360" w:lineRule="auto"/>
        <w:ind w:firstLine="210" w:firstLineChars="100"/>
        <w:rPr>
          <w:rFonts w:hint="eastAsia"/>
          <w:color w:val="auto"/>
          <w:szCs w:val="21"/>
        </w:rPr>
      </w:pPr>
      <w:r>
        <w:rPr>
          <w:rFonts w:hint="eastAsia"/>
          <w:color w:val="auto"/>
          <w:szCs w:val="21"/>
        </w:rPr>
        <w:t>（四）政府采购合同履行中，采购人需追加与合同标的相同的货物或者服务的，在不改变合同其他条款的前提下，可报监督管理部门同意后与供应商协商签订补充合同，但所有补充合同的采购金额不得超过原合同采购金额的百分之十。</w:t>
      </w:r>
    </w:p>
    <w:p>
      <w:pPr>
        <w:snapToGrid w:val="0"/>
        <w:spacing w:line="360" w:lineRule="auto"/>
        <w:ind w:firstLine="207" w:firstLineChars="98"/>
        <w:rPr>
          <w:rFonts w:hint="eastAsia"/>
          <w:b/>
          <w:color w:val="auto"/>
          <w:szCs w:val="21"/>
        </w:rPr>
      </w:pPr>
      <w:r>
        <w:rPr>
          <w:rFonts w:hint="eastAsia"/>
          <w:b/>
          <w:color w:val="auto"/>
          <w:szCs w:val="21"/>
        </w:rPr>
        <w:t>十、合同公告</w:t>
      </w:r>
    </w:p>
    <w:p>
      <w:pPr>
        <w:snapToGrid w:val="0"/>
        <w:spacing w:line="360" w:lineRule="auto"/>
        <w:ind w:firstLine="420" w:firstLineChars="200"/>
        <w:rPr>
          <w:rFonts w:hint="eastAsia"/>
          <w:color w:val="auto"/>
          <w:szCs w:val="21"/>
        </w:rPr>
      </w:pPr>
      <w:r>
        <w:rPr>
          <w:rFonts w:hint="eastAsia"/>
          <w:color w:val="auto"/>
          <w:szCs w:val="21"/>
        </w:rPr>
        <w:t>采购人应当自政府采购合同签订之日起2个工作日内，将政府采购合同在省级以上人民政府财政部门指定的媒体上公告，但政府采购合同中涉及国家秘密、商业秘密的内容除外。政府采购项目的采购合同自签订之日起七个工作日内，采购人须将合同副本报同级政府采购监督管理部门和有关部门备案。</w:t>
      </w:r>
    </w:p>
    <w:p>
      <w:pPr>
        <w:snapToGrid w:val="0"/>
        <w:spacing w:line="360" w:lineRule="auto"/>
        <w:ind w:firstLine="207" w:firstLineChars="98"/>
        <w:rPr>
          <w:rFonts w:hint="eastAsia" w:ascii="宋体" w:hAnsi="宋体" w:cs="宋体"/>
          <w:b/>
          <w:color w:val="auto"/>
          <w:szCs w:val="21"/>
        </w:rPr>
      </w:pPr>
      <w:r>
        <w:rPr>
          <w:rFonts w:hint="eastAsia" w:ascii="宋体" w:hAnsi="宋体" w:cs="宋体"/>
          <w:b/>
          <w:color w:val="auto"/>
          <w:szCs w:val="21"/>
        </w:rPr>
        <w:t>十一、履约验收</w:t>
      </w:r>
    </w:p>
    <w:p>
      <w:pPr>
        <w:snapToGrid w:val="0"/>
        <w:spacing w:line="360" w:lineRule="auto"/>
        <w:ind w:firstLine="420" w:firstLineChars="200"/>
        <w:rPr>
          <w:rFonts w:hint="eastAsia" w:hAnsi="宋体"/>
          <w:bCs/>
          <w:color w:val="auto"/>
          <w:szCs w:val="21"/>
        </w:rPr>
      </w:pPr>
      <w:r>
        <w:rPr>
          <w:rFonts w:hint="eastAsia" w:ascii="宋体" w:hAnsi="宋体" w:cs="宋体"/>
          <w:color w:val="auto"/>
          <w:szCs w:val="21"/>
          <w:lang w:bidi="ar"/>
        </w:rPr>
        <w:t>采购人负责对中标人的履约情况进行验收。采购人应当按照政府采购合同规定的技术、服务、安全标准组织对供应商履约情况进行验收，并出具验收书。验收书应当包括每一项技术、服务、安全标准的履约情况。</w:t>
      </w:r>
    </w:p>
    <w:p>
      <w:pPr>
        <w:pStyle w:val="25"/>
        <w:snapToGrid w:val="0"/>
        <w:spacing w:before="120" w:beforeLines="0" w:after="120" w:afterLines="0" w:line="360" w:lineRule="auto"/>
        <w:outlineLvl w:val="0"/>
        <w:rPr>
          <w:rFonts w:hint="eastAsia" w:ascii="黑体" w:hAnsi="宋体" w:eastAsia="黑体"/>
          <w:color w:val="auto"/>
          <w:sz w:val="28"/>
          <w:szCs w:val="28"/>
          <w:lang w:eastAsia="zh-CN"/>
        </w:rPr>
      </w:pPr>
    </w:p>
    <w:p>
      <w:pPr>
        <w:pStyle w:val="25"/>
        <w:snapToGrid w:val="0"/>
        <w:spacing w:before="120" w:beforeLines="0" w:after="120" w:afterLines="0" w:line="360" w:lineRule="auto"/>
        <w:jc w:val="center"/>
        <w:outlineLvl w:val="0"/>
        <w:rPr>
          <w:rFonts w:hint="eastAsia" w:ascii="黑体" w:hAnsi="宋体" w:eastAsia="黑体"/>
          <w:color w:val="auto"/>
          <w:sz w:val="28"/>
          <w:szCs w:val="28"/>
        </w:rPr>
      </w:pPr>
    </w:p>
    <w:p>
      <w:pPr>
        <w:pStyle w:val="25"/>
        <w:snapToGrid w:val="0"/>
        <w:spacing w:before="120" w:beforeLines="0" w:after="120" w:afterLines="0" w:line="360" w:lineRule="auto"/>
        <w:jc w:val="center"/>
        <w:outlineLvl w:val="0"/>
        <w:rPr>
          <w:rFonts w:hint="eastAsia" w:ascii="黑体" w:hAnsi="宋体" w:eastAsia="黑体"/>
          <w:color w:val="auto"/>
          <w:sz w:val="28"/>
          <w:szCs w:val="28"/>
        </w:rPr>
      </w:pPr>
      <w:r>
        <w:rPr>
          <w:rFonts w:hint="eastAsia" w:ascii="黑体" w:hAnsi="宋体" w:eastAsia="黑体"/>
          <w:color w:val="auto"/>
          <w:sz w:val="28"/>
          <w:szCs w:val="28"/>
        </w:rPr>
        <w:t>第四章  评标办法及评分标准</w:t>
      </w:r>
    </w:p>
    <w:p>
      <w:pPr>
        <w:pStyle w:val="28"/>
        <w:spacing w:line="360" w:lineRule="auto"/>
        <w:ind w:firstLine="623" w:firstLineChars="297"/>
        <w:rPr>
          <w:rFonts w:hint="eastAsia" w:ascii="宋体"/>
          <w:b w:val="0"/>
          <w:color w:val="auto"/>
          <w:sz w:val="21"/>
          <w:szCs w:val="21"/>
        </w:rPr>
      </w:pPr>
      <w:r>
        <w:rPr>
          <w:rFonts w:hint="eastAsia" w:ascii="宋体"/>
          <w:b w:val="0"/>
          <w:color w:val="auto"/>
          <w:sz w:val="21"/>
          <w:szCs w:val="21"/>
        </w:rPr>
        <w:t>本评标办法遵照中华人民共和国政府采购法、中华人民共和国政府采购法实施条例、政府采购货物和服务招标投标管理办法等法律法规、规章和本项目的实际情况制定。</w:t>
      </w:r>
    </w:p>
    <w:p>
      <w:pPr>
        <w:spacing w:line="360" w:lineRule="auto"/>
        <w:ind w:right="-506" w:rightChars="-241" w:firstLine="420" w:firstLineChars="200"/>
        <w:jc w:val="left"/>
        <w:rPr>
          <w:rFonts w:hint="eastAsia" w:ascii="宋体" w:hAnsi="宋体"/>
          <w:bCs/>
          <w:color w:val="auto"/>
          <w:szCs w:val="21"/>
        </w:rPr>
      </w:pPr>
      <w:r>
        <w:rPr>
          <w:rFonts w:hint="eastAsia" w:ascii="宋体" w:hAnsi="宋体"/>
          <w:color w:val="auto"/>
          <w:szCs w:val="21"/>
        </w:rPr>
        <w:t>本评标办法适用于</w:t>
      </w:r>
      <w:r>
        <w:rPr>
          <w:rFonts w:hint="eastAsia" w:ascii="宋体" w:hAnsi="宋体"/>
          <w:bCs/>
          <w:color w:val="auto"/>
          <w:szCs w:val="21"/>
          <w:u w:val="single"/>
        </w:rPr>
        <w:t>邱隘镇校园安全防控指挥中心设备采购及安装项目</w:t>
      </w:r>
      <w:r>
        <w:rPr>
          <w:rFonts w:hint="eastAsia" w:ascii="宋体" w:hAnsi="宋体"/>
          <w:bCs/>
          <w:color w:val="auto"/>
          <w:szCs w:val="21"/>
        </w:rPr>
        <w:t>的评标。</w:t>
      </w:r>
    </w:p>
    <w:p>
      <w:pPr>
        <w:snapToGrid w:val="0"/>
        <w:spacing w:line="360" w:lineRule="auto"/>
        <w:ind w:firstLine="420" w:firstLineChars="200"/>
        <w:rPr>
          <w:rFonts w:hint="eastAsia" w:ascii="宋体" w:hAnsi="宋体"/>
          <w:bCs/>
          <w:color w:val="auto"/>
          <w:szCs w:val="21"/>
        </w:rPr>
      </w:pPr>
      <w:r>
        <w:rPr>
          <w:rFonts w:hint="eastAsia" w:ascii="宋体" w:hAnsi="宋体"/>
          <w:bCs/>
          <w:color w:val="auto"/>
          <w:szCs w:val="21"/>
        </w:rPr>
        <w:t>因落实政府采购政策进行价格调整的，以调整后的价格计算评标基准价和投标报价。本项目</w:t>
      </w:r>
      <w:r>
        <w:rPr>
          <w:rFonts w:ascii="宋体" w:hAnsi="宋体"/>
          <w:bCs/>
          <w:color w:val="auto"/>
          <w:szCs w:val="21"/>
        </w:rPr>
        <w:t>对小型和微型企业</w:t>
      </w:r>
      <w:r>
        <w:rPr>
          <w:rFonts w:hint="eastAsia" w:ascii="宋体" w:hAnsi="宋体"/>
          <w:bCs/>
          <w:color w:val="auto"/>
          <w:szCs w:val="21"/>
        </w:rPr>
        <w:t>产品</w:t>
      </w:r>
      <w:r>
        <w:rPr>
          <w:rFonts w:ascii="宋体" w:hAnsi="宋体"/>
          <w:bCs/>
          <w:color w:val="auto"/>
          <w:szCs w:val="21"/>
        </w:rPr>
        <w:t>的价格给予6%的扣除，小型和微型企业</w:t>
      </w:r>
      <w:r>
        <w:rPr>
          <w:rFonts w:hint="eastAsia" w:ascii="宋体" w:hAnsi="宋体"/>
          <w:bCs/>
          <w:color w:val="auto"/>
          <w:szCs w:val="21"/>
        </w:rPr>
        <w:t>需</w:t>
      </w:r>
      <w:r>
        <w:rPr>
          <w:rFonts w:ascii="宋体" w:hAnsi="宋体"/>
          <w:bCs/>
          <w:color w:val="auto"/>
          <w:szCs w:val="21"/>
        </w:rPr>
        <w:t>符合中小企业划分标准（</w:t>
      </w:r>
      <w:r>
        <w:rPr>
          <w:rFonts w:hint="eastAsia" w:ascii="宋体" w:hAnsi="宋体"/>
          <w:bCs/>
          <w:color w:val="auto"/>
          <w:szCs w:val="21"/>
        </w:rPr>
        <w:t>详</w:t>
      </w:r>
      <w:r>
        <w:rPr>
          <w:rFonts w:ascii="宋体" w:hAnsi="宋体"/>
          <w:bCs/>
          <w:color w:val="auto"/>
          <w:szCs w:val="21"/>
        </w:rPr>
        <w:t>见工信部联企业[2011]300号</w:t>
      </w:r>
      <w:r>
        <w:rPr>
          <w:rFonts w:hint="eastAsia" w:ascii="宋体" w:hAnsi="宋体"/>
          <w:bCs/>
          <w:color w:val="auto"/>
          <w:szCs w:val="21"/>
        </w:rPr>
        <w:t>文</w:t>
      </w:r>
      <w:r>
        <w:rPr>
          <w:rFonts w:ascii="宋体" w:hAnsi="宋体"/>
          <w:bCs/>
          <w:color w:val="auto"/>
          <w:szCs w:val="21"/>
        </w:rPr>
        <w:t>）</w:t>
      </w:r>
      <w:r>
        <w:rPr>
          <w:rFonts w:hint="eastAsia" w:ascii="宋体" w:hAnsi="宋体"/>
          <w:bCs/>
          <w:color w:val="auto"/>
          <w:szCs w:val="21"/>
        </w:rPr>
        <w:t>并全部提供本企业制造的货物、承担的工程或者服务，或者提供其它小型、微型企业制造的货物。小型、微型企业提供中型企业制造的货物的，视同为中型企业。</w:t>
      </w:r>
    </w:p>
    <w:p>
      <w:pPr>
        <w:widowControl/>
        <w:shd w:val="clear" w:color="auto" w:fill="FFFFFF"/>
        <w:spacing w:line="360" w:lineRule="auto"/>
        <w:ind w:firstLine="420" w:firstLineChars="200"/>
        <w:jc w:val="left"/>
        <w:outlineLvl w:val="0"/>
        <w:rPr>
          <w:rFonts w:hint="eastAsia" w:ascii="宋体" w:hAnsi="宋体"/>
          <w:bCs/>
          <w:color w:val="auto"/>
          <w:szCs w:val="21"/>
        </w:rPr>
      </w:pPr>
      <w:r>
        <w:rPr>
          <w:rFonts w:hint="eastAsia" w:ascii="宋体" w:hAnsi="宋体"/>
          <w:bCs/>
          <w:color w:val="auto"/>
          <w:szCs w:val="21"/>
        </w:rPr>
        <w:t>在本项目采购活动中，残疾人福利性单位视同小型、微型企业，享受上述促进中小企业发展的政府采购政策。残疾人福利性单位属于小型、微型企业的，不重复享受政策。残疾人福利性单位需符合“（财库〔2017〕141号）关于促进残疾人就业政府采购政策的通知”中的享受政府采购支持政策的残疾人福利性单位的条件并提供《残疾人福利性单位声明函》。</w:t>
      </w:r>
    </w:p>
    <w:p>
      <w:pPr>
        <w:spacing w:line="360" w:lineRule="auto"/>
        <w:ind w:right="-506" w:rightChars="-241" w:firstLine="420" w:firstLineChars="200"/>
        <w:jc w:val="left"/>
        <w:rPr>
          <w:rFonts w:ascii="宋体" w:hAnsi="宋体"/>
          <w:bCs/>
          <w:color w:val="auto"/>
          <w:szCs w:val="21"/>
        </w:rPr>
      </w:pPr>
      <w:r>
        <w:rPr>
          <w:rFonts w:ascii="宋体" w:hAnsi="宋体"/>
          <w:bCs/>
          <w:color w:val="auto"/>
          <w:szCs w:val="21"/>
        </w:rPr>
        <w:t>在本项目采购活动中，监狱企业视同小型、微型企业，享受上述政府采购促进中小企业发展的政府采购政策。监狱企业参加政府采购活动时，应当提供由省级以上监狱管理局、戒毒管理局（含新疆生产建设兵团）出具的属于监狱企业的证明文件。</w:t>
      </w:r>
    </w:p>
    <w:p>
      <w:pPr>
        <w:spacing w:before="120" w:beforeLines="50" w:after="120" w:afterLines="50" w:line="360" w:lineRule="auto"/>
        <w:rPr>
          <w:rFonts w:hint="eastAsia" w:ascii="宋体" w:hAnsi="宋体"/>
          <w:bCs/>
          <w:color w:val="auto"/>
          <w:szCs w:val="21"/>
        </w:rPr>
      </w:pPr>
      <w:r>
        <w:rPr>
          <w:rFonts w:hint="eastAsia" w:ascii="宋体" w:hAnsi="宋体"/>
          <w:color w:val="auto"/>
          <w:szCs w:val="21"/>
        </w:rPr>
        <w:t>一、总则</w:t>
      </w:r>
    </w:p>
    <w:p>
      <w:pPr>
        <w:spacing w:before="120" w:beforeLines="50" w:after="120" w:afterLines="50" w:line="360" w:lineRule="auto"/>
        <w:ind w:firstLine="315" w:firstLineChars="150"/>
        <w:rPr>
          <w:rFonts w:hint="eastAsia" w:ascii="宋体" w:hAnsi="宋体"/>
          <w:bCs/>
          <w:color w:val="auto"/>
          <w:szCs w:val="21"/>
        </w:rPr>
      </w:pPr>
      <w:r>
        <w:rPr>
          <w:rFonts w:hint="eastAsia" w:ascii="宋体" w:hAnsi="宋体"/>
          <w:color w:val="auto"/>
          <w:szCs w:val="21"/>
        </w:rPr>
        <w:t>本次评标办法采用综合评分法，总分为100分，其中价格分30分</w:t>
      </w:r>
      <w:r>
        <w:rPr>
          <w:rFonts w:hint="eastAsia" w:ascii="宋体" w:hAnsi="宋体"/>
          <w:bCs/>
          <w:color w:val="auto"/>
          <w:szCs w:val="21"/>
        </w:rPr>
        <w:t>，</w:t>
      </w:r>
      <w:r>
        <w:rPr>
          <w:rFonts w:hint="eastAsia" w:ascii="宋体" w:hAnsi="宋体"/>
          <w:color w:val="auto"/>
          <w:szCs w:val="21"/>
        </w:rPr>
        <w:t>技术、资信、商务分共70分，具体的评审因素分值设置、评分标准详见评分标准表。</w:t>
      </w:r>
    </w:p>
    <w:p>
      <w:pPr>
        <w:spacing w:line="360" w:lineRule="auto"/>
        <w:rPr>
          <w:rFonts w:hint="eastAsia" w:ascii="宋体" w:hAnsi="宋体"/>
          <w:bCs/>
          <w:color w:val="auto"/>
          <w:szCs w:val="21"/>
        </w:rPr>
      </w:pPr>
      <w:r>
        <w:rPr>
          <w:rFonts w:hint="eastAsia" w:ascii="宋体" w:hAnsi="宋体"/>
          <w:bCs/>
          <w:color w:val="auto"/>
          <w:szCs w:val="21"/>
        </w:rPr>
        <w:t>二、评标程序</w:t>
      </w:r>
    </w:p>
    <w:p>
      <w:pPr>
        <w:pStyle w:val="28"/>
        <w:spacing w:line="360" w:lineRule="auto"/>
        <w:ind w:firstLine="0" w:firstLineChars="0"/>
        <w:rPr>
          <w:rFonts w:hint="eastAsia" w:ascii="宋体"/>
          <w:b w:val="0"/>
          <w:bCs w:val="0"/>
          <w:color w:val="auto"/>
          <w:sz w:val="21"/>
          <w:szCs w:val="21"/>
        </w:rPr>
      </w:pPr>
      <w:r>
        <w:rPr>
          <w:rFonts w:hint="eastAsia" w:ascii="宋体"/>
          <w:b w:val="0"/>
          <w:bCs w:val="0"/>
          <w:color w:val="auto"/>
          <w:sz w:val="21"/>
          <w:szCs w:val="21"/>
        </w:rPr>
        <w:t>1.初步审查：见第三章投标人须知中的相应内容。</w:t>
      </w:r>
    </w:p>
    <w:p>
      <w:pPr>
        <w:pStyle w:val="28"/>
        <w:spacing w:line="360" w:lineRule="auto"/>
        <w:ind w:firstLine="0" w:firstLineChars="0"/>
        <w:rPr>
          <w:rFonts w:hint="eastAsia" w:ascii="宋体"/>
          <w:b w:val="0"/>
          <w:bCs w:val="0"/>
          <w:color w:val="auto"/>
          <w:sz w:val="21"/>
          <w:szCs w:val="21"/>
        </w:rPr>
      </w:pPr>
      <w:r>
        <w:rPr>
          <w:rFonts w:hint="eastAsia" w:ascii="宋体"/>
          <w:b w:val="0"/>
          <w:bCs w:val="0"/>
          <w:color w:val="auto"/>
          <w:sz w:val="21"/>
          <w:szCs w:val="21"/>
        </w:rPr>
        <w:t>2.澄清有关问题：见第三章投标人须知中的相应内容。</w:t>
      </w:r>
    </w:p>
    <w:p>
      <w:pPr>
        <w:pStyle w:val="28"/>
        <w:spacing w:line="360" w:lineRule="auto"/>
        <w:ind w:firstLine="0" w:firstLineChars="0"/>
        <w:rPr>
          <w:rFonts w:ascii="宋体"/>
          <w:b w:val="0"/>
          <w:bCs w:val="0"/>
          <w:color w:val="auto"/>
          <w:sz w:val="21"/>
          <w:szCs w:val="21"/>
        </w:rPr>
      </w:pPr>
      <w:r>
        <w:rPr>
          <w:rFonts w:hint="eastAsia" w:ascii="宋体"/>
          <w:b w:val="0"/>
          <w:bCs w:val="0"/>
          <w:color w:val="auto"/>
          <w:sz w:val="21"/>
          <w:szCs w:val="21"/>
        </w:rPr>
        <w:t>3. 比较与评价：见第三章投标人须知中的相应内容，其他约定如下：评委按评分标准表内容进行独立打分，并汇总分值。打分采用记名方式，汇总分小数点后保留二位小数。</w:t>
      </w:r>
      <w:r>
        <w:rPr>
          <w:rFonts w:ascii="宋体"/>
          <w:b w:val="0"/>
          <w:bCs w:val="0"/>
          <w:color w:val="auto"/>
          <w:sz w:val="21"/>
          <w:szCs w:val="21"/>
        </w:rPr>
        <w:t>各投标人的得分为所有</w:t>
      </w:r>
      <w:r>
        <w:rPr>
          <w:rFonts w:hint="eastAsia" w:ascii="宋体"/>
          <w:b w:val="0"/>
          <w:bCs w:val="0"/>
          <w:color w:val="auto"/>
          <w:sz w:val="21"/>
          <w:szCs w:val="21"/>
        </w:rPr>
        <w:t>评委</w:t>
      </w:r>
      <w:r>
        <w:rPr>
          <w:rFonts w:ascii="宋体"/>
          <w:b w:val="0"/>
          <w:bCs w:val="0"/>
          <w:color w:val="auto"/>
          <w:sz w:val="21"/>
          <w:szCs w:val="21"/>
        </w:rPr>
        <w:t>的</w:t>
      </w:r>
      <w:r>
        <w:rPr>
          <w:rFonts w:hint="eastAsia" w:ascii="宋体"/>
          <w:b w:val="0"/>
          <w:bCs w:val="0"/>
          <w:color w:val="auto"/>
          <w:sz w:val="21"/>
          <w:szCs w:val="21"/>
        </w:rPr>
        <w:t>汇总</w:t>
      </w:r>
      <w:r>
        <w:rPr>
          <w:rFonts w:ascii="宋体"/>
          <w:b w:val="0"/>
          <w:bCs w:val="0"/>
          <w:color w:val="auto"/>
          <w:sz w:val="21"/>
          <w:szCs w:val="21"/>
        </w:rPr>
        <w:t>分的算术平均数</w:t>
      </w:r>
      <w:r>
        <w:rPr>
          <w:rFonts w:hint="eastAsia" w:ascii="宋体"/>
          <w:b w:val="0"/>
          <w:bCs w:val="0"/>
          <w:color w:val="auto"/>
          <w:sz w:val="21"/>
          <w:szCs w:val="21"/>
        </w:rPr>
        <w:t>，</w:t>
      </w:r>
      <w:r>
        <w:rPr>
          <w:rFonts w:ascii="宋体"/>
          <w:b w:val="0"/>
          <w:bCs w:val="0"/>
          <w:color w:val="auto"/>
          <w:sz w:val="21"/>
          <w:szCs w:val="21"/>
        </w:rPr>
        <w:t>由指定专人进行复核。</w:t>
      </w:r>
    </w:p>
    <w:p>
      <w:pPr>
        <w:snapToGrid w:val="0"/>
        <w:spacing w:line="360" w:lineRule="auto"/>
        <w:rPr>
          <w:rFonts w:hint="eastAsia" w:ascii="宋体" w:hAnsi="宋体"/>
          <w:color w:val="auto"/>
          <w:szCs w:val="21"/>
        </w:rPr>
      </w:pPr>
      <w:r>
        <w:rPr>
          <w:rFonts w:hint="eastAsia" w:ascii="宋体" w:hAnsi="宋体"/>
          <w:color w:val="auto"/>
          <w:szCs w:val="21"/>
        </w:rPr>
        <w:t>4.推荐中标候选人：见第三章投标人须知中的相应内容。</w:t>
      </w:r>
    </w:p>
    <w:p>
      <w:pPr>
        <w:pStyle w:val="28"/>
        <w:spacing w:line="360" w:lineRule="auto"/>
        <w:ind w:firstLine="0" w:firstLineChars="0"/>
        <w:rPr>
          <w:rFonts w:hint="eastAsia" w:ascii="宋体"/>
          <w:b w:val="0"/>
          <w:bCs w:val="0"/>
          <w:color w:val="auto"/>
          <w:sz w:val="21"/>
          <w:szCs w:val="21"/>
        </w:rPr>
      </w:pPr>
      <w:r>
        <w:rPr>
          <w:rFonts w:hint="eastAsia" w:ascii="宋体"/>
          <w:b w:val="0"/>
          <w:bCs w:val="0"/>
          <w:color w:val="auto"/>
          <w:sz w:val="21"/>
          <w:szCs w:val="21"/>
        </w:rPr>
        <w:t>5.推荐中标候选人后评标委员会起草评标报告。</w:t>
      </w:r>
    </w:p>
    <w:p>
      <w:pPr>
        <w:pStyle w:val="28"/>
        <w:spacing w:line="360" w:lineRule="auto"/>
        <w:ind w:firstLine="0" w:firstLineChars="0"/>
        <w:rPr>
          <w:rFonts w:hint="eastAsia" w:ascii="宋体"/>
          <w:b w:val="0"/>
          <w:bCs w:val="0"/>
          <w:color w:val="auto"/>
          <w:sz w:val="21"/>
          <w:szCs w:val="21"/>
        </w:rPr>
      </w:pPr>
    </w:p>
    <w:p>
      <w:pPr>
        <w:spacing w:line="360" w:lineRule="auto"/>
        <w:ind w:firstLine="420" w:firstLineChars="200"/>
        <w:rPr>
          <w:rFonts w:hint="eastAsia" w:ascii="宋体" w:hAnsi="宋体"/>
          <w:color w:val="auto"/>
          <w:szCs w:val="21"/>
        </w:rPr>
      </w:pPr>
    </w:p>
    <w:p>
      <w:pPr>
        <w:spacing w:line="360" w:lineRule="auto"/>
        <w:ind w:firstLine="420" w:firstLineChars="200"/>
        <w:rPr>
          <w:rFonts w:hint="eastAsia" w:ascii="宋体" w:hAnsi="宋体"/>
          <w:color w:val="auto"/>
          <w:szCs w:val="21"/>
        </w:rPr>
      </w:pPr>
    </w:p>
    <w:p>
      <w:pPr>
        <w:spacing w:line="360" w:lineRule="auto"/>
        <w:ind w:firstLine="420" w:firstLineChars="200"/>
        <w:rPr>
          <w:rFonts w:hint="eastAsia" w:ascii="宋体" w:hAnsi="宋体"/>
          <w:color w:val="auto"/>
          <w:szCs w:val="21"/>
        </w:rPr>
      </w:pPr>
    </w:p>
    <w:p>
      <w:pPr>
        <w:spacing w:line="360" w:lineRule="auto"/>
        <w:ind w:firstLine="420" w:firstLineChars="200"/>
        <w:rPr>
          <w:rFonts w:hint="eastAsia" w:ascii="宋体" w:hAnsi="宋体"/>
          <w:color w:val="auto"/>
          <w:szCs w:val="21"/>
        </w:rPr>
      </w:pPr>
    </w:p>
    <w:p>
      <w:pPr>
        <w:spacing w:line="360" w:lineRule="auto"/>
        <w:ind w:firstLine="420" w:firstLineChars="200"/>
        <w:rPr>
          <w:rFonts w:hint="eastAsia" w:ascii="宋体" w:hAnsi="宋体"/>
          <w:color w:val="auto"/>
          <w:szCs w:val="21"/>
        </w:rPr>
      </w:pPr>
    </w:p>
    <w:p>
      <w:pPr>
        <w:spacing w:before="120" w:beforeLines="50" w:after="120" w:afterLines="50" w:line="360" w:lineRule="auto"/>
        <w:rPr>
          <w:rFonts w:hint="eastAsia" w:ascii="宋体" w:hAnsi="宋体"/>
          <w:color w:val="auto"/>
          <w:szCs w:val="21"/>
        </w:rPr>
      </w:pPr>
      <w:r>
        <w:rPr>
          <w:rFonts w:hint="eastAsia" w:ascii="宋体" w:hAnsi="宋体"/>
          <w:color w:val="auto"/>
          <w:szCs w:val="21"/>
        </w:rPr>
        <w:t>三、评分标准</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6"/>
        <w:gridCol w:w="1134"/>
        <w:gridCol w:w="5883"/>
        <w:gridCol w:w="14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84" w:hRule="atLeast"/>
        </w:trPr>
        <w:tc>
          <w:tcPr>
            <w:tcW w:w="1880" w:type="dxa"/>
            <w:gridSpan w:val="2"/>
            <w:noWrap w:val="0"/>
            <w:vAlign w:val="center"/>
          </w:tcPr>
          <w:p>
            <w:pPr>
              <w:autoSpaceDE w:val="0"/>
              <w:autoSpaceDN w:val="0"/>
              <w:adjustRightInd w:val="0"/>
              <w:spacing w:line="240" w:lineRule="exact"/>
              <w:rPr>
                <w:rFonts w:ascii="宋体" w:hAnsi="宋体"/>
                <w:color w:val="auto"/>
                <w:szCs w:val="21"/>
              </w:rPr>
            </w:pPr>
            <w:r>
              <w:rPr>
                <w:rFonts w:hint="eastAsia" w:ascii="宋体" w:hAnsi="宋体"/>
                <w:color w:val="auto"/>
                <w:szCs w:val="21"/>
              </w:rPr>
              <w:t>评标内容</w:t>
            </w:r>
          </w:p>
        </w:tc>
        <w:tc>
          <w:tcPr>
            <w:tcW w:w="5883" w:type="dxa"/>
            <w:noWrap w:val="0"/>
            <w:vAlign w:val="center"/>
          </w:tcPr>
          <w:p>
            <w:pPr>
              <w:spacing w:line="240" w:lineRule="exact"/>
              <w:ind w:left="-69" w:leftChars="-33" w:firstLine="420" w:firstLineChars="200"/>
              <w:rPr>
                <w:rFonts w:ascii="宋体" w:hAnsi="宋体"/>
                <w:color w:val="auto"/>
                <w:szCs w:val="21"/>
              </w:rPr>
            </w:pPr>
            <w:r>
              <w:rPr>
                <w:rFonts w:hint="eastAsia" w:ascii="宋体" w:hAnsi="宋体"/>
                <w:color w:val="auto"/>
                <w:szCs w:val="21"/>
              </w:rPr>
              <w:t>评分标准</w:t>
            </w:r>
          </w:p>
        </w:tc>
        <w:tc>
          <w:tcPr>
            <w:tcW w:w="1417" w:type="dxa"/>
            <w:noWrap w:val="0"/>
            <w:vAlign w:val="center"/>
          </w:tcPr>
          <w:p>
            <w:pPr>
              <w:autoSpaceDE w:val="0"/>
              <w:autoSpaceDN w:val="0"/>
              <w:adjustRightInd w:val="0"/>
              <w:spacing w:line="240" w:lineRule="exac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074" w:hRule="atLeast"/>
        </w:trPr>
        <w:tc>
          <w:tcPr>
            <w:tcW w:w="1880" w:type="dxa"/>
            <w:gridSpan w:val="2"/>
            <w:noWrap w:val="0"/>
            <w:vAlign w:val="center"/>
          </w:tcPr>
          <w:p>
            <w:pPr>
              <w:autoSpaceDE w:val="0"/>
              <w:autoSpaceDN w:val="0"/>
              <w:adjustRightInd w:val="0"/>
              <w:spacing w:line="240" w:lineRule="exact"/>
              <w:rPr>
                <w:rFonts w:ascii="宋体" w:hAnsi="宋体"/>
                <w:color w:val="auto"/>
                <w:szCs w:val="21"/>
              </w:rPr>
            </w:pPr>
            <w:r>
              <w:rPr>
                <w:rFonts w:hint="eastAsia" w:ascii="宋体" w:hAnsi="宋体"/>
                <w:color w:val="auto"/>
                <w:szCs w:val="21"/>
              </w:rPr>
              <w:t>价格分</w:t>
            </w:r>
          </w:p>
          <w:p>
            <w:pPr>
              <w:autoSpaceDE w:val="0"/>
              <w:autoSpaceDN w:val="0"/>
              <w:adjustRightInd w:val="0"/>
              <w:spacing w:line="240" w:lineRule="exact"/>
              <w:rPr>
                <w:rFonts w:ascii="宋体" w:hAnsi="宋体"/>
                <w:color w:val="auto"/>
                <w:szCs w:val="21"/>
              </w:rPr>
            </w:pPr>
            <w:r>
              <w:rPr>
                <w:rFonts w:hint="eastAsia" w:ascii="宋体" w:hAnsi="宋体"/>
                <w:color w:val="auto"/>
                <w:szCs w:val="21"/>
              </w:rPr>
              <w:t>（30分）</w:t>
            </w:r>
          </w:p>
        </w:tc>
        <w:tc>
          <w:tcPr>
            <w:tcW w:w="5883" w:type="dxa"/>
            <w:noWrap w:val="0"/>
            <w:vAlign w:val="center"/>
          </w:tcPr>
          <w:p>
            <w:pPr>
              <w:spacing w:line="240" w:lineRule="exact"/>
              <w:ind w:left="36" w:leftChars="-33" w:hanging="105" w:hangingChars="50"/>
              <w:rPr>
                <w:rFonts w:hint="eastAsia"/>
                <w:color w:val="auto"/>
                <w:szCs w:val="21"/>
              </w:rPr>
            </w:pPr>
            <w:r>
              <w:rPr>
                <w:color w:val="auto"/>
              </w:rPr>
              <w:t>有效投标</w:t>
            </w:r>
            <w:r>
              <w:rPr>
                <w:rFonts w:hint="eastAsia"/>
                <w:color w:val="auto"/>
              </w:rPr>
              <w:t>文件</w:t>
            </w:r>
            <w:r>
              <w:rPr>
                <w:color w:val="auto"/>
              </w:rPr>
              <w:t>（初步评审合格</w:t>
            </w:r>
            <w:r>
              <w:rPr>
                <w:rFonts w:hint="eastAsia"/>
                <w:color w:val="auto"/>
              </w:rPr>
              <w:t>、符合性审查合格</w:t>
            </w:r>
            <w:r>
              <w:rPr>
                <w:color w:val="auto"/>
              </w:rPr>
              <w:t>且</w:t>
            </w:r>
            <w:r>
              <w:rPr>
                <w:rFonts w:hint="eastAsia"/>
                <w:color w:val="auto"/>
              </w:rPr>
              <w:t>商务、技术、</w:t>
            </w:r>
            <w:r>
              <w:rPr>
                <w:color w:val="auto"/>
              </w:rPr>
              <w:t>报价部分</w:t>
            </w:r>
            <w:r>
              <w:rPr>
                <w:rFonts w:hint="eastAsia"/>
                <w:color w:val="auto"/>
              </w:rPr>
              <w:t>均</w:t>
            </w:r>
            <w:r>
              <w:rPr>
                <w:color w:val="auto"/>
              </w:rPr>
              <w:t>合格）且投标</w:t>
            </w:r>
            <w:r>
              <w:rPr>
                <w:rFonts w:hint="eastAsia"/>
                <w:color w:val="auto"/>
              </w:rPr>
              <w:t>报价</w:t>
            </w:r>
            <w:r>
              <w:rPr>
                <w:color w:val="auto"/>
              </w:rPr>
              <w:t>最低的投标报价为评标基准价，</w:t>
            </w:r>
            <w:r>
              <w:rPr>
                <w:rFonts w:hint="eastAsia"/>
                <w:color w:val="auto"/>
              </w:rPr>
              <w:t>评标基准价</w:t>
            </w:r>
            <w:r>
              <w:rPr>
                <w:color w:val="auto"/>
              </w:rPr>
              <w:t>得</w:t>
            </w:r>
            <w:r>
              <w:rPr>
                <w:rFonts w:hint="eastAsia"/>
                <w:color w:val="auto"/>
              </w:rPr>
              <w:t>30</w:t>
            </w:r>
            <w:r>
              <w:rPr>
                <w:color w:val="auto"/>
              </w:rPr>
              <w:t>分；</w:t>
            </w:r>
            <w:r>
              <w:rPr>
                <w:rFonts w:hint="eastAsia"/>
                <w:color w:val="auto"/>
                <w:szCs w:val="21"/>
              </w:rPr>
              <w:t>其他投标人的价格分统一按照下列公式计算：</w:t>
            </w:r>
          </w:p>
          <w:p>
            <w:pPr>
              <w:spacing w:line="240" w:lineRule="exact"/>
              <w:ind w:left="36" w:leftChars="-33" w:hanging="105" w:hangingChars="50"/>
              <w:rPr>
                <w:rFonts w:ascii="宋体" w:hAnsi="宋体"/>
                <w:color w:val="auto"/>
                <w:szCs w:val="21"/>
              </w:rPr>
            </w:pPr>
            <w:r>
              <w:rPr>
                <w:rFonts w:hint="eastAsia"/>
                <w:color w:val="auto"/>
                <w:szCs w:val="21"/>
              </w:rPr>
              <w:t>　投标报价得分=(评标基准价／投标报价)×30%×100</w:t>
            </w:r>
          </w:p>
        </w:tc>
        <w:tc>
          <w:tcPr>
            <w:tcW w:w="1417" w:type="dxa"/>
            <w:noWrap w:val="0"/>
            <w:vAlign w:val="center"/>
          </w:tcPr>
          <w:p>
            <w:pPr>
              <w:spacing w:line="240" w:lineRule="exact"/>
              <w:ind w:left="105" w:hanging="105" w:hangingChars="5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56" w:hRule="atLeast"/>
        </w:trPr>
        <w:tc>
          <w:tcPr>
            <w:tcW w:w="746" w:type="dxa"/>
            <w:vMerge w:val="restart"/>
            <w:noWrap w:val="0"/>
            <w:vAlign w:val="center"/>
          </w:tcPr>
          <w:p>
            <w:pPr>
              <w:widowControl/>
              <w:spacing w:line="240" w:lineRule="exact"/>
              <w:rPr>
                <w:rFonts w:ascii="宋体" w:hAnsi="宋体"/>
                <w:color w:val="auto"/>
                <w:szCs w:val="21"/>
              </w:rPr>
            </w:pPr>
            <w:r>
              <w:rPr>
                <w:rFonts w:hint="eastAsia" w:ascii="宋体" w:hAnsi="宋体"/>
                <w:color w:val="auto"/>
                <w:szCs w:val="21"/>
              </w:rPr>
              <w:t>技术、资信、商务（70分）</w:t>
            </w:r>
          </w:p>
        </w:tc>
        <w:tc>
          <w:tcPr>
            <w:tcW w:w="1134" w:type="dxa"/>
            <w:noWrap w:val="0"/>
            <w:vAlign w:val="center"/>
          </w:tcPr>
          <w:p>
            <w:pPr>
              <w:autoSpaceDE w:val="0"/>
              <w:autoSpaceDN w:val="0"/>
              <w:adjustRightInd w:val="0"/>
              <w:spacing w:line="240" w:lineRule="exact"/>
              <w:rPr>
                <w:rFonts w:ascii="宋体" w:hAnsi="宋体"/>
                <w:color w:val="auto"/>
                <w:szCs w:val="21"/>
              </w:rPr>
            </w:pPr>
            <w:r>
              <w:rPr>
                <w:rFonts w:hint="eastAsia" w:ascii="宋体" w:hAnsi="宋体"/>
                <w:color w:val="auto"/>
                <w:szCs w:val="21"/>
              </w:rPr>
              <w:t>技术指标响应程度（18分）</w:t>
            </w:r>
          </w:p>
        </w:tc>
        <w:tc>
          <w:tcPr>
            <w:tcW w:w="5883" w:type="dxa"/>
            <w:noWrap w:val="0"/>
            <w:vAlign w:val="center"/>
          </w:tcPr>
          <w:p>
            <w:pPr>
              <w:spacing w:line="240" w:lineRule="exact"/>
              <w:ind w:left="-69" w:leftChars="-33" w:firstLine="2"/>
              <w:rPr>
                <w:rFonts w:ascii="宋体" w:hAnsi="宋体"/>
                <w:color w:val="auto"/>
                <w:szCs w:val="21"/>
              </w:rPr>
            </w:pPr>
            <w:r>
              <w:rPr>
                <w:rFonts w:hint="eastAsia" w:ascii="宋体" w:hAnsi="宋体"/>
                <w:color w:val="auto"/>
                <w:szCs w:val="21"/>
              </w:rPr>
              <w:t>完全响应采购文件第二章采购需求中“技术参数”中技术要求的得18分；每出现一条非实质性要求条款负偏离的扣3分，扣完为止。</w:t>
            </w:r>
          </w:p>
        </w:tc>
        <w:tc>
          <w:tcPr>
            <w:tcW w:w="1417" w:type="dxa"/>
            <w:noWrap w:val="0"/>
            <w:vAlign w:val="center"/>
          </w:tcPr>
          <w:p>
            <w:pPr>
              <w:spacing w:line="240" w:lineRule="exact"/>
              <w:ind w:left="-69" w:leftChars="-33" w:firstLine="2"/>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654" w:hRule="atLeast"/>
        </w:trPr>
        <w:tc>
          <w:tcPr>
            <w:tcW w:w="746" w:type="dxa"/>
            <w:vMerge w:val="continue"/>
            <w:noWrap w:val="0"/>
            <w:vAlign w:val="center"/>
          </w:tcPr>
          <w:p>
            <w:pPr>
              <w:widowControl/>
              <w:spacing w:line="240" w:lineRule="exact"/>
              <w:rPr>
                <w:rFonts w:ascii="宋体" w:hAnsi="宋体"/>
                <w:color w:val="auto"/>
                <w:szCs w:val="21"/>
              </w:rPr>
            </w:pPr>
          </w:p>
        </w:tc>
        <w:tc>
          <w:tcPr>
            <w:tcW w:w="1134" w:type="dxa"/>
            <w:noWrap w:val="0"/>
            <w:vAlign w:val="center"/>
          </w:tcPr>
          <w:p>
            <w:pPr>
              <w:autoSpaceDE w:val="0"/>
              <w:autoSpaceDN w:val="0"/>
              <w:adjustRightInd w:val="0"/>
              <w:spacing w:line="240" w:lineRule="exact"/>
              <w:rPr>
                <w:rFonts w:hint="eastAsia" w:ascii="宋体" w:hAnsi="宋体"/>
                <w:color w:val="auto"/>
                <w:szCs w:val="21"/>
              </w:rPr>
            </w:pPr>
            <w:r>
              <w:rPr>
                <w:rFonts w:hint="eastAsia" w:ascii="宋体" w:hAnsi="宋体"/>
                <w:color w:val="auto"/>
                <w:szCs w:val="21"/>
              </w:rPr>
              <w:t>演示分（22分）</w:t>
            </w:r>
          </w:p>
        </w:tc>
        <w:tc>
          <w:tcPr>
            <w:tcW w:w="5883" w:type="dxa"/>
            <w:noWrap w:val="0"/>
            <w:vAlign w:val="center"/>
          </w:tcPr>
          <w:p>
            <w:pPr>
              <w:spacing w:line="240" w:lineRule="exact"/>
              <w:ind w:left="-69" w:leftChars="-33" w:firstLine="2"/>
              <w:rPr>
                <w:rFonts w:ascii="宋体" w:hAnsi="宋体"/>
                <w:color w:val="auto"/>
                <w:szCs w:val="21"/>
              </w:rPr>
            </w:pPr>
            <w:r>
              <w:rPr>
                <w:rFonts w:hint="eastAsia" w:ascii="宋体" w:hAnsi="宋体"/>
                <w:color w:val="auto"/>
                <w:szCs w:val="21"/>
              </w:rPr>
              <w:t>评委根据采购文件的技术要求及投标人功能一演示效果进行综合评议（2分）</w:t>
            </w:r>
          </w:p>
          <w:p>
            <w:pPr>
              <w:spacing w:line="240" w:lineRule="exact"/>
              <w:ind w:left="-69" w:leftChars="-33" w:firstLine="2"/>
              <w:rPr>
                <w:rFonts w:ascii="宋体" w:hAnsi="宋体"/>
                <w:color w:val="auto"/>
                <w:szCs w:val="21"/>
              </w:rPr>
            </w:pPr>
            <w:r>
              <w:rPr>
                <w:rFonts w:hint="eastAsia" w:ascii="宋体" w:hAnsi="宋体"/>
                <w:color w:val="auto"/>
                <w:szCs w:val="21"/>
              </w:rPr>
              <w:t>评委根据采购文件的技术要求及投标人功能二演示效果进行综合评议（2分）</w:t>
            </w:r>
          </w:p>
          <w:p>
            <w:pPr>
              <w:spacing w:line="240" w:lineRule="exact"/>
              <w:ind w:left="-69" w:leftChars="-33" w:firstLine="2"/>
              <w:rPr>
                <w:rFonts w:ascii="宋体" w:hAnsi="宋体"/>
                <w:color w:val="auto"/>
                <w:szCs w:val="21"/>
              </w:rPr>
            </w:pPr>
            <w:r>
              <w:rPr>
                <w:rFonts w:hint="eastAsia" w:ascii="宋体" w:hAnsi="宋体"/>
                <w:color w:val="auto"/>
                <w:szCs w:val="21"/>
              </w:rPr>
              <w:t>评委根据采购文件的技术要求及投标人功能三演示效果进行综合评议（2分）</w:t>
            </w:r>
          </w:p>
          <w:p>
            <w:pPr>
              <w:spacing w:line="240" w:lineRule="exact"/>
              <w:ind w:left="-69" w:leftChars="-33" w:firstLine="2"/>
              <w:rPr>
                <w:rFonts w:hint="eastAsia" w:ascii="宋体" w:hAnsi="宋体"/>
                <w:color w:val="auto"/>
                <w:szCs w:val="21"/>
              </w:rPr>
            </w:pPr>
            <w:r>
              <w:rPr>
                <w:rFonts w:hint="eastAsia" w:ascii="宋体" w:hAnsi="宋体"/>
                <w:color w:val="auto"/>
                <w:szCs w:val="21"/>
              </w:rPr>
              <w:t>评委根据采购文件的技术要求及投标人功能四演示效果进行综合评议（2分）</w:t>
            </w:r>
          </w:p>
          <w:p>
            <w:pPr>
              <w:spacing w:line="240" w:lineRule="exact"/>
              <w:ind w:left="-69" w:leftChars="-33" w:firstLine="2"/>
              <w:rPr>
                <w:rFonts w:hint="eastAsia" w:ascii="宋体" w:hAnsi="宋体"/>
                <w:color w:val="auto"/>
                <w:szCs w:val="21"/>
              </w:rPr>
            </w:pPr>
            <w:r>
              <w:rPr>
                <w:rFonts w:hint="eastAsia" w:ascii="宋体" w:hAnsi="宋体"/>
                <w:color w:val="auto"/>
                <w:szCs w:val="21"/>
              </w:rPr>
              <w:t>评委根据采购文件的技术要求及投标人功能五演示效果进行综合评议（5分）</w:t>
            </w:r>
          </w:p>
          <w:p>
            <w:pPr>
              <w:spacing w:line="240" w:lineRule="exact"/>
              <w:ind w:left="-69" w:leftChars="-33" w:firstLine="2"/>
              <w:rPr>
                <w:rFonts w:hint="eastAsia" w:ascii="宋体" w:hAnsi="宋体"/>
                <w:color w:val="auto"/>
                <w:szCs w:val="21"/>
              </w:rPr>
            </w:pPr>
            <w:r>
              <w:rPr>
                <w:rFonts w:hint="eastAsia" w:ascii="宋体" w:hAnsi="宋体"/>
                <w:color w:val="auto"/>
                <w:szCs w:val="21"/>
              </w:rPr>
              <w:t>评委根据采购文件的技术要求及投标人功能六演示效果进行综合评议（4分）</w:t>
            </w:r>
          </w:p>
          <w:p>
            <w:pPr>
              <w:spacing w:line="240" w:lineRule="exact"/>
              <w:ind w:left="-69" w:leftChars="-33" w:firstLine="2"/>
              <w:rPr>
                <w:rFonts w:hint="eastAsia" w:ascii="宋体" w:hAnsi="宋体"/>
                <w:color w:val="auto"/>
                <w:szCs w:val="21"/>
              </w:rPr>
            </w:pPr>
            <w:r>
              <w:rPr>
                <w:rFonts w:hint="eastAsia" w:ascii="宋体" w:hAnsi="宋体"/>
                <w:color w:val="auto"/>
                <w:szCs w:val="21"/>
              </w:rPr>
              <w:t>评委根据采购文件的技术要求及投标人功能七演示效果进行综合评议（5分）</w:t>
            </w:r>
          </w:p>
        </w:tc>
        <w:tc>
          <w:tcPr>
            <w:tcW w:w="1417" w:type="dxa"/>
            <w:noWrap w:val="0"/>
            <w:vAlign w:val="center"/>
          </w:tcPr>
          <w:p>
            <w:pPr>
              <w:spacing w:line="240" w:lineRule="exact"/>
              <w:ind w:left="-69" w:leftChars="-33" w:firstLine="2"/>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56" w:hRule="atLeast"/>
        </w:trPr>
        <w:tc>
          <w:tcPr>
            <w:tcW w:w="746" w:type="dxa"/>
            <w:vMerge w:val="continue"/>
            <w:noWrap w:val="0"/>
            <w:vAlign w:val="center"/>
          </w:tcPr>
          <w:p>
            <w:pPr>
              <w:widowControl/>
              <w:spacing w:line="240" w:lineRule="exact"/>
              <w:rPr>
                <w:rFonts w:ascii="宋体" w:hAnsi="宋体"/>
                <w:color w:val="auto"/>
                <w:szCs w:val="21"/>
              </w:rPr>
            </w:pPr>
          </w:p>
        </w:tc>
        <w:tc>
          <w:tcPr>
            <w:tcW w:w="1134" w:type="dxa"/>
            <w:vMerge w:val="restart"/>
            <w:noWrap w:val="0"/>
            <w:vAlign w:val="center"/>
          </w:tcPr>
          <w:p>
            <w:pPr>
              <w:autoSpaceDE w:val="0"/>
              <w:autoSpaceDN w:val="0"/>
              <w:adjustRightInd w:val="0"/>
              <w:spacing w:line="240" w:lineRule="exact"/>
              <w:rPr>
                <w:rFonts w:hint="eastAsia" w:ascii="宋体" w:hAnsi="宋体"/>
                <w:color w:val="auto"/>
                <w:szCs w:val="21"/>
              </w:rPr>
            </w:pPr>
            <w:r>
              <w:rPr>
                <w:rFonts w:hint="eastAsia" w:ascii="宋体" w:hAnsi="宋体"/>
                <w:color w:val="auto"/>
                <w:szCs w:val="21"/>
              </w:rPr>
              <w:t>产品先进性、稳定性、市场认可度（10分）</w:t>
            </w:r>
          </w:p>
        </w:tc>
        <w:tc>
          <w:tcPr>
            <w:tcW w:w="5883" w:type="dxa"/>
            <w:noWrap w:val="0"/>
            <w:vAlign w:val="center"/>
          </w:tcPr>
          <w:p>
            <w:pPr>
              <w:spacing w:line="240" w:lineRule="exact"/>
              <w:ind w:left="-69" w:leftChars="-33" w:firstLine="2"/>
              <w:rPr>
                <w:rFonts w:hint="eastAsia" w:ascii="宋体" w:hAnsi="宋体"/>
                <w:color w:val="auto"/>
                <w:szCs w:val="21"/>
              </w:rPr>
            </w:pPr>
            <w:r>
              <w:rPr>
                <w:rFonts w:hint="eastAsia" w:ascii="宋体" w:hAnsi="宋体"/>
                <w:color w:val="auto"/>
                <w:szCs w:val="21"/>
              </w:rPr>
              <w:t>评委根据采购文件的技术要求及投标人所投设备先进性的描述及相关证明资料进行综合评议（4分）</w:t>
            </w:r>
          </w:p>
        </w:tc>
        <w:tc>
          <w:tcPr>
            <w:tcW w:w="1417" w:type="dxa"/>
            <w:noWrap w:val="0"/>
            <w:vAlign w:val="center"/>
          </w:tcPr>
          <w:p>
            <w:pPr>
              <w:spacing w:line="240" w:lineRule="exact"/>
              <w:ind w:left="-69" w:leftChars="-33" w:firstLine="2"/>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56" w:hRule="atLeast"/>
        </w:trPr>
        <w:tc>
          <w:tcPr>
            <w:tcW w:w="746" w:type="dxa"/>
            <w:vMerge w:val="continue"/>
            <w:noWrap w:val="0"/>
            <w:vAlign w:val="center"/>
          </w:tcPr>
          <w:p>
            <w:pPr>
              <w:widowControl/>
              <w:spacing w:line="240" w:lineRule="exact"/>
              <w:rPr>
                <w:rFonts w:ascii="宋体" w:hAnsi="宋体"/>
                <w:color w:val="auto"/>
                <w:szCs w:val="21"/>
              </w:rPr>
            </w:pPr>
          </w:p>
        </w:tc>
        <w:tc>
          <w:tcPr>
            <w:tcW w:w="1134" w:type="dxa"/>
            <w:vMerge w:val="continue"/>
            <w:noWrap w:val="0"/>
            <w:vAlign w:val="center"/>
          </w:tcPr>
          <w:p>
            <w:pPr>
              <w:autoSpaceDE w:val="0"/>
              <w:autoSpaceDN w:val="0"/>
              <w:adjustRightInd w:val="0"/>
              <w:spacing w:line="240" w:lineRule="exact"/>
              <w:rPr>
                <w:rFonts w:hint="eastAsia" w:ascii="宋体" w:hAnsi="宋体"/>
                <w:color w:val="auto"/>
                <w:szCs w:val="21"/>
              </w:rPr>
            </w:pPr>
          </w:p>
        </w:tc>
        <w:tc>
          <w:tcPr>
            <w:tcW w:w="5883" w:type="dxa"/>
            <w:noWrap w:val="0"/>
            <w:vAlign w:val="center"/>
          </w:tcPr>
          <w:p>
            <w:pPr>
              <w:spacing w:line="240" w:lineRule="exact"/>
              <w:ind w:left="-69" w:leftChars="-33" w:firstLine="2"/>
              <w:rPr>
                <w:rFonts w:hint="eastAsia" w:ascii="宋体" w:hAnsi="宋体"/>
                <w:color w:val="auto"/>
                <w:szCs w:val="21"/>
              </w:rPr>
            </w:pPr>
            <w:r>
              <w:rPr>
                <w:rFonts w:hint="eastAsia" w:ascii="宋体" w:hAnsi="宋体"/>
                <w:color w:val="auto"/>
                <w:szCs w:val="21"/>
              </w:rPr>
              <w:t>评委根据采购文件的技术要求及投标人所投设备稳定性的描述及相关证明资料进行综合评议（3分）</w:t>
            </w:r>
          </w:p>
        </w:tc>
        <w:tc>
          <w:tcPr>
            <w:tcW w:w="1417" w:type="dxa"/>
            <w:noWrap w:val="0"/>
            <w:vAlign w:val="center"/>
          </w:tcPr>
          <w:p>
            <w:pPr>
              <w:spacing w:line="240" w:lineRule="exact"/>
              <w:ind w:left="-69" w:leftChars="-33" w:firstLine="2"/>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56" w:hRule="atLeast"/>
        </w:trPr>
        <w:tc>
          <w:tcPr>
            <w:tcW w:w="746" w:type="dxa"/>
            <w:vMerge w:val="continue"/>
            <w:noWrap w:val="0"/>
            <w:vAlign w:val="center"/>
          </w:tcPr>
          <w:p>
            <w:pPr>
              <w:widowControl/>
              <w:spacing w:line="240" w:lineRule="exact"/>
              <w:rPr>
                <w:rFonts w:ascii="宋体" w:hAnsi="宋体"/>
                <w:color w:val="auto"/>
                <w:szCs w:val="21"/>
              </w:rPr>
            </w:pPr>
          </w:p>
        </w:tc>
        <w:tc>
          <w:tcPr>
            <w:tcW w:w="1134" w:type="dxa"/>
            <w:vMerge w:val="continue"/>
            <w:noWrap w:val="0"/>
            <w:vAlign w:val="center"/>
          </w:tcPr>
          <w:p>
            <w:pPr>
              <w:autoSpaceDE w:val="0"/>
              <w:autoSpaceDN w:val="0"/>
              <w:adjustRightInd w:val="0"/>
              <w:spacing w:line="240" w:lineRule="exact"/>
              <w:rPr>
                <w:rFonts w:hint="eastAsia" w:ascii="宋体" w:hAnsi="宋体"/>
                <w:color w:val="auto"/>
                <w:szCs w:val="21"/>
              </w:rPr>
            </w:pPr>
          </w:p>
        </w:tc>
        <w:tc>
          <w:tcPr>
            <w:tcW w:w="5883" w:type="dxa"/>
            <w:noWrap w:val="0"/>
            <w:vAlign w:val="center"/>
          </w:tcPr>
          <w:p>
            <w:pPr>
              <w:spacing w:line="240" w:lineRule="exact"/>
              <w:ind w:left="-69" w:leftChars="-33" w:firstLine="2"/>
              <w:rPr>
                <w:rFonts w:hint="eastAsia" w:ascii="宋体" w:hAnsi="宋体"/>
                <w:color w:val="auto"/>
                <w:szCs w:val="21"/>
              </w:rPr>
            </w:pPr>
            <w:r>
              <w:rPr>
                <w:rFonts w:hint="eastAsia" w:ascii="宋体" w:hAnsi="宋体"/>
                <w:color w:val="auto"/>
                <w:szCs w:val="21"/>
              </w:rPr>
              <w:t>评委根据采购文件的技术要求及投标人所投设备市场认可度的描述及相关证明资料进行综合评议（3分）</w:t>
            </w:r>
          </w:p>
        </w:tc>
        <w:tc>
          <w:tcPr>
            <w:tcW w:w="1417" w:type="dxa"/>
            <w:noWrap w:val="0"/>
            <w:vAlign w:val="center"/>
          </w:tcPr>
          <w:p>
            <w:pPr>
              <w:spacing w:line="240" w:lineRule="exact"/>
              <w:ind w:left="-69" w:leftChars="-33" w:firstLine="2"/>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70" w:hRule="atLeast"/>
        </w:trPr>
        <w:tc>
          <w:tcPr>
            <w:tcW w:w="746" w:type="dxa"/>
            <w:vMerge w:val="continue"/>
            <w:noWrap w:val="0"/>
            <w:vAlign w:val="center"/>
          </w:tcPr>
          <w:p>
            <w:pPr>
              <w:widowControl/>
              <w:spacing w:line="240" w:lineRule="exact"/>
              <w:rPr>
                <w:rFonts w:ascii="宋体" w:hAnsi="宋体"/>
                <w:color w:val="auto"/>
                <w:szCs w:val="21"/>
              </w:rPr>
            </w:pPr>
          </w:p>
        </w:tc>
        <w:tc>
          <w:tcPr>
            <w:tcW w:w="1134" w:type="dxa"/>
            <w:noWrap w:val="0"/>
            <w:vAlign w:val="center"/>
          </w:tcPr>
          <w:p>
            <w:pPr>
              <w:autoSpaceDE w:val="0"/>
              <w:autoSpaceDN w:val="0"/>
              <w:adjustRightInd w:val="0"/>
              <w:spacing w:line="240" w:lineRule="exact"/>
              <w:rPr>
                <w:rFonts w:ascii="宋体" w:hAnsi="宋体"/>
                <w:color w:val="auto"/>
                <w:szCs w:val="21"/>
              </w:rPr>
            </w:pPr>
            <w:r>
              <w:rPr>
                <w:rFonts w:hint="eastAsia" w:ascii="宋体" w:hAnsi="宋体"/>
                <w:color w:val="auto"/>
                <w:szCs w:val="21"/>
              </w:rPr>
              <w:t>项目实施方案（6分）</w:t>
            </w:r>
          </w:p>
        </w:tc>
        <w:tc>
          <w:tcPr>
            <w:tcW w:w="5883" w:type="dxa"/>
            <w:noWrap w:val="0"/>
            <w:vAlign w:val="center"/>
          </w:tcPr>
          <w:p>
            <w:pPr>
              <w:spacing w:line="240" w:lineRule="exact"/>
              <w:ind w:left="-69" w:leftChars="-33" w:firstLine="2"/>
              <w:rPr>
                <w:rFonts w:ascii="宋体" w:hAnsi="宋体"/>
                <w:color w:val="auto"/>
                <w:szCs w:val="21"/>
              </w:rPr>
            </w:pPr>
            <w:r>
              <w:rPr>
                <w:rFonts w:hint="eastAsia" w:ascii="宋体" w:hAnsi="宋体"/>
                <w:color w:val="auto"/>
                <w:szCs w:val="21"/>
              </w:rPr>
              <w:t>评委根据投标人提供的本项目实施方案，包括实施计划、质量管控、测试及验收方案，从实施方案的完整性、可行性、优越性进行综合评议（6分）</w:t>
            </w:r>
          </w:p>
        </w:tc>
        <w:tc>
          <w:tcPr>
            <w:tcW w:w="1417" w:type="dxa"/>
            <w:noWrap w:val="0"/>
            <w:vAlign w:val="center"/>
          </w:tcPr>
          <w:p>
            <w:pPr>
              <w:spacing w:line="240" w:lineRule="exact"/>
              <w:ind w:left="-69" w:leftChars="-33" w:firstLine="2"/>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98" w:hRule="atLeast"/>
        </w:trPr>
        <w:tc>
          <w:tcPr>
            <w:tcW w:w="746" w:type="dxa"/>
            <w:vMerge w:val="continue"/>
            <w:noWrap w:val="0"/>
            <w:vAlign w:val="center"/>
          </w:tcPr>
          <w:p>
            <w:pPr>
              <w:widowControl/>
              <w:spacing w:line="240" w:lineRule="exact"/>
              <w:rPr>
                <w:rFonts w:ascii="宋体" w:hAnsi="宋体"/>
                <w:color w:val="auto"/>
                <w:szCs w:val="21"/>
              </w:rPr>
            </w:pPr>
          </w:p>
        </w:tc>
        <w:tc>
          <w:tcPr>
            <w:tcW w:w="1134" w:type="dxa"/>
            <w:vMerge w:val="restart"/>
            <w:noWrap w:val="0"/>
            <w:vAlign w:val="center"/>
          </w:tcPr>
          <w:p>
            <w:pPr>
              <w:autoSpaceDE w:val="0"/>
              <w:autoSpaceDN w:val="0"/>
              <w:adjustRightInd w:val="0"/>
              <w:spacing w:line="240" w:lineRule="exact"/>
              <w:rPr>
                <w:rFonts w:ascii="宋体" w:hAnsi="宋体"/>
                <w:color w:val="auto"/>
                <w:szCs w:val="21"/>
              </w:rPr>
            </w:pPr>
            <w:r>
              <w:rPr>
                <w:rFonts w:hint="eastAsia" w:ascii="宋体" w:hAnsi="宋体"/>
                <w:color w:val="auto"/>
                <w:szCs w:val="21"/>
              </w:rPr>
              <w:t>售后服务与技术支持</w:t>
            </w:r>
          </w:p>
          <w:p>
            <w:pPr>
              <w:autoSpaceDE w:val="0"/>
              <w:autoSpaceDN w:val="0"/>
              <w:adjustRightInd w:val="0"/>
              <w:spacing w:line="240" w:lineRule="exact"/>
              <w:rPr>
                <w:rFonts w:ascii="宋体" w:hAnsi="宋体"/>
                <w:color w:val="auto"/>
                <w:szCs w:val="21"/>
              </w:rPr>
            </w:pPr>
            <w:r>
              <w:rPr>
                <w:rFonts w:hint="eastAsia" w:ascii="宋体" w:hAnsi="宋体"/>
                <w:color w:val="auto"/>
                <w:szCs w:val="21"/>
              </w:rPr>
              <w:t>（9分）</w:t>
            </w:r>
          </w:p>
        </w:tc>
        <w:tc>
          <w:tcPr>
            <w:tcW w:w="5883" w:type="dxa"/>
            <w:noWrap w:val="0"/>
            <w:vAlign w:val="center"/>
          </w:tcPr>
          <w:p>
            <w:pPr>
              <w:spacing w:line="240" w:lineRule="exact"/>
              <w:ind w:left="-69" w:leftChars="-33" w:firstLine="2"/>
              <w:rPr>
                <w:rFonts w:ascii="宋体" w:hAnsi="宋体"/>
                <w:color w:val="auto"/>
                <w:szCs w:val="21"/>
              </w:rPr>
            </w:pPr>
            <w:r>
              <w:rPr>
                <w:rFonts w:hint="eastAsia" w:ascii="宋体" w:hAnsi="宋体"/>
                <w:color w:val="auto"/>
                <w:szCs w:val="21"/>
              </w:rPr>
              <w:t>质保期在满足采购文件要求的基础上每增加半年的加1分，最高得2分。</w:t>
            </w:r>
          </w:p>
        </w:tc>
        <w:tc>
          <w:tcPr>
            <w:tcW w:w="1417" w:type="dxa"/>
            <w:noWrap w:val="0"/>
            <w:vAlign w:val="center"/>
          </w:tcPr>
          <w:p>
            <w:pPr>
              <w:spacing w:line="240" w:lineRule="exact"/>
              <w:ind w:left="-69" w:leftChars="-33" w:firstLine="2"/>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20" w:hRule="atLeast"/>
        </w:trPr>
        <w:tc>
          <w:tcPr>
            <w:tcW w:w="746" w:type="dxa"/>
            <w:vMerge w:val="continue"/>
            <w:noWrap w:val="0"/>
            <w:vAlign w:val="center"/>
          </w:tcPr>
          <w:p>
            <w:pPr>
              <w:widowControl/>
              <w:spacing w:line="240" w:lineRule="exact"/>
              <w:rPr>
                <w:rFonts w:ascii="宋体" w:hAnsi="宋体"/>
                <w:color w:val="auto"/>
                <w:szCs w:val="21"/>
              </w:rPr>
            </w:pPr>
          </w:p>
        </w:tc>
        <w:tc>
          <w:tcPr>
            <w:tcW w:w="1134" w:type="dxa"/>
            <w:vMerge w:val="continue"/>
            <w:noWrap w:val="0"/>
            <w:vAlign w:val="center"/>
          </w:tcPr>
          <w:p>
            <w:pPr>
              <w:widowControl/>
              <w:spacing w:line="240" w:lineRule="exact"/>
              <w:rPr>
                <w:rFonts w:ascii="宋体" w:hAnsi="宋体"/>
                <w:color w:val="auto"/>
                <w:szCs w:val="21"/>
              </w:rPr>
            </w:pPr>
          </w:p>
        </w:tc>
        <w:tc>
          <w:tcPr>
            <w:tcW w:w="5883" w:type="dxa"/>
            <w:noWrap w:val="0"/>
            <w:vAlign w:val="center"/>
          </w:tcPr>
          <w:p>
            <w:pPr>
              <w:spacing w:line="240" w:lineRule="exact"/>
              <w:ind w:left="-69" w:leftChars="-33" w:firstLine="2"/>
              <w:rPr>
                <w:rFonts w:ascii="宋体" w:hAnsi="宋体"/>
                <w:color w:val="auto"/>
                <w:szCs w:val="21"/>
              </w:rPr>
            </w:pPr>
            <w:r>
              <w:rPr>
                <w:rFonts w:hint="eastAsia" w:ascii="宋体" w:hAnsi="宋体"/>
                <w:color w:val="auto"/>
                <w:szCs w:val="21"/>
              </w:rPr>
              <w:t>评委根据投标人针对本项目服务响应能力的描述及相关证明资料进行综合评议（4分）</w:t>
            </w:r>
          </w:p>
        </w:tc>
        <w:tc>
          <w:tcPr>
            <w:tcW w:w="1417" w:type="dxa"/>
            <w:noWrap w:val="0"/>
            <w:vAlign w:val="center"/>
          </w:tcPr>
          <w:p>
            <w:pPr>
              <w:spacing w:line="240" w:lineRule="exact"/>
              <w:ind w:left="-69" w:leftChars="-33" w:firstLine="2"/>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52" w:hRule="atLeast"/>
        </w:trPr>
        <w:tc>
          <w:tcPr>
            <w:tcW w:w="746" w:type="dxa"/>
            <w:vMerge w:val="continue"/>
            <w:noWrap w:val="0"/>
            <w:vAlign w:val="center"/>
          </w:tcPr>
          <w:p>
            <w:pPr>
              <w:widowControl/>
              <w:spacing w:line="240" w:lineRule="exact"/>
              <w:rPr>
                <w:rFonts w:ascii="宋体" w:hAnsi="宋体"/>
                <w:color w:val="auto"/>
                <w:szCs w:val="21"/>
              </w:rPr>
            </w:pPr>
          </w:p>
        </w:tc>
        <w:tc>
          <w:tcPr>
            <w:tcW w:w="1134" w:type="dxa"/>
            <w:vMerge w:val="continue"/>
            <w:noWrap w:val="0"/>
            <w:vAlign w:val="center"/>
          </w:tcPr>
          <w:p>
            <w:pPr>
              <w:widowControl/>
              <w:spacing w:line="240" w:lineRule="exact"/>
              <w:rPr>
                <w:rFonts w:ascii="宋体" w:hAnsi="宋体"/>
                <w:color w:val="auto"/>
                <w:szCs w:val="21"/>
              </w:rPr>
            </w:pPr>
          </w:p>
        </w:tc>
        <w:tc>
          <w:tcPr>
            <w:tcW w:w="5883" w:type="dxa"/>
            <w:noWrap w:val="0"/>
            <w:vAlign w:val="center"/>
          </w:tcPr>
          <w:p>
            <w:pPr>
              <w:spacing w:line="240" w:lineRule="exact"/>
              <w:ind w:left="-69" w:leftChars="-33" w:firstLine="2"/>
              <w:rPr>
                <w:rFonts w:ascii="宋体" w:hAnsi="宋体"/>
                <w:color w:val="auto"/>
                <w:szCs w:val="21"/>
              </w:rPr>
            </w:pPr>
            <w:r>
              <w:rPr>
                <w:rFonts w:hint="eastAsia" w:ascii="宋体" w:hAnsi="宋体"/>
                <w:color w:val="auto"/>
                <w:szCs w:val="21"/>
              </w:rPr>
              <w:t>评委根据投标人提供的售后服务承诺、培训方案及培训承诺进行综合评议（3分）。</w:t>
            </w:r>
          </w:p>
        </w:tc>
        <w:tc>
          <w:tcPr>
            <w:tcW w:w="1417" w:type="dxa"/>
            <w:noWrap w:val="0"/>
            <w:vAlign w:val="center"/>
          </w:tcPr>
          <w:p>
            <w:pPr>
              <w:spacing w:line="240" w:lineRule="exact"/>
              <w:ind w:left="-69" w:leftChars="-33" w:firstLine="2"/>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77" w:hRule="atLeast"/>
        </w:trPr>
        <w:tc>
          <w:tcPr>
            <w:tcW w:w="746" w:type="dxa"/>
            <w:vMerge w:val="continue"/>
            <w:noWrap w:val="0"/>
            <w:vAlign w:val="center"/>
          </w:tcPr>
          <w:p>
            <w:pPr>
              <w:widowControl/>
              <w:spacing w:line="240" w:lineRule="exact"/>
              <w:rPr>
                <w:rFonts w:ascii="宋体" w:hAnsi="宋体"/>
                <w:color w:val="auto"/>
                <w:szCs w:val="21"/>
              </w:rPr>
            </w:pPr>
          </w:p>
        </w:tc>
        <w:tc>
          <w:tcPr>
            <w:tcW w:w="1134" w:type="dxa"/>
            <w:noWrap w:val="0"/>
            <w:vAlign w:val="center"/>
          </w:tcPr>
          <w:p>
            <w:pPr>
              <w:autoSpaceDE w:val="0"/>
              <w:autoSpaceDN w:val="0"/>
              <w:adjustRightInd w:val="0"/>
              <w:spacing w:line="240" w:lineRule="exact"/>
              <w:rPr>
                <w:rFonts w:ascii="宋体" w:hAnsi="宋体"/>
                <w:color w:val="auto"/>
                <w:szCs w:val="21"/>
              </w:rPr>
            </w:pPr>
            <w:r>
              <w:rPr>
                <w:rFonts w:hint="eastAsia" w:ascii="宋体" w:hAnsi="宋体"/>
                <w:color w:val="auto"/>
                <w:szCs w:val="21"/>
              </w:rPr>
              <w:t>业绩分（3分）</w:t>
            </w:r>
          </w:p>
        </w:tc>
        <w:tc>
          <w:tcPr>
            <w:tcW w:w="5883" w:type="dxa"/>
            <w:noWrap w:val="0"/>
            <w:vAlign w:val="center"/>
          </w:tcPr>
          <w:p>
            <w:pPr>
              <w:spacing w:line="240" w:lineRule="exact"/>
              <w:ind w:left="-69" w:leftChars="-33" w:firstLine="2"/>
              <w:rPr>
                <w:rFonts w:ascii="宋体" w:hAnsi="宋体"/>
                <w:color w:val="auto"/>
                <w:szCs w:val="21"/>
              </w:rPr>
            </w:pPr>
            <w:r>
              <w:rPr>
                <w:rFonts w:hint="eastAsia" w:ascii="宋体" w:hAnsi="宋体"/>
                <w:color w:val="auto"/>
                <w:szCs w:val="21"/>
              </w:rPr>
              <w:t>投标人每提供一个类似项目合同的得1.5分，最高得3分，没有不得分。（投标文件中附类似项目合同复印件，开标时携带原件备查。）</w:t>
            </w:r>
          </w:p>
        </w:tc>
        <w:tc>
          <w:tcPr>
            <w:tcW w:w="1417" w:type="dxa"/>
            <w:noWrap w:val="0"/>
            <w:vAlign w:val="center"/>
          </w:tcPr>
          <w:p>
            <w:pPr>
              <w:spacing w:line="240" w:lineRule="exact"/>
              <w:ind w:left="-69" w:leftChars="-33" w:firstLine="2"/>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77" w:hRule="atLeast"/>
        </w:trPr>
        <w:tc>
          <w:tcPr>
            <w:tcW w:w="746" w:type="dxa"/>
            <w:vMerge w:val="continue"/>
            <w:noWrap w:val="0"/>
            <w:vAlign w:val="center"/>
          </w:tcPr>
          <w:p>
            <w:pPr>
              <w:widowControl/>
              <w:spacing w:line="240" w:lineRule="exact"/>
              <w:rPr>
                <w:rFonts w:ascii="宋体" w:hAnsi="宋体"/>
                <w:color w:val="auto"/>
                <w:szCs w:val="21"/>
              </w:rPr>
            </w:pPr>
          </w:p>
        </w:tc>
        <w:tc>
          <w:tcPr>
            <w:tcW w:w="1134" w:type="dxa"/>
            <w:vMerge w:val="restart"/>
            <w:noWrap w:val="0"/>
            <w:vAlign w:val="center"/>
          </w:tcPr>
          <w:p>
            <w:pPr>
              <w:autoSpaceDE w:val="0"/>
              <w:autoSpaceDN w:val="0"/>
              <w:adjustRightInd w:val="0"/>
              <w:spacing w:line="400" w:lineRule="exact"/>
              <w:jc w:val="center"/>
              <w:rPr>
                <w:rFonts w:hint="eastAsia" w:ascii="宋体" w:hAnsi="宋体" w:cs="宋体"/>
                <w:color w:val="auto"/>
                <w:szCs w:val="21"/>
              </w:rPr>
            </w:pPr>
            <w:r>
              <w:rPr>
                <w:rFonts w:hint="eastAsia" w:ascii="宋体" w:hAnsi="宋体" w:cs="宋体"/>
                <w:color w:val="auto"/>
                <w:szCs w:val="21"/>
              </w:rPr>
              <w:t>政策分         2分</w:t>
            </w:r>
          </w:p>
        </w:tc>
        <w:tc>
          <w:tcPr>
            <w:tcW w:w="5883" w:type="dxa"/>
            <w:noWrap w:val="0"/>
            <w:vAlign w:val="center"/>
          </w:tcPr>
          <w:p>
            <w:pPr>
              <w:autoSpaceDE w:val="0"/>
              <w:autoSpaceDN w:val="0"/>
              <w:adjustRightInd w:val="0"/>
              <w:spacing w:line="440" w:lineRule="atLeast"/>
              <w:rPr>
                <w:rFonts w:hint="eastAsia" w:ascii="宋体" w:hAnsi="宋体"/>
                <w:color w:val="auto"/>
                <w:szCs w:val="21"/>
              </w:rPr>
            </w:pPr>
            <w:r>
              <w:rPr>
                <w:rFonts w:hint="eastAsia" w:ascii="宋体" w:hAnsi="宋体"/>
                <w:color w:val="auto"/>
                <w:szCs w:val="21"/>
              </w:rPr>
              <w:t>投标产品全部为列入中国政府采购网距投标截止时间最近一期“节能产品政府采购清单”的加1分，部分列入的得分按节能产品投标价格除以投标总价格计算（保留1位小数）；</w:t>
            </w:r>
          </w:p>
        </w:tc>
        <w:tc>
          <w:tcPr>
            <w:tcW w:w="1417" w:type="dxa"/>
            <w:noWrap w:val="0"/>
            <w:vAlign w:val="center"/>
          </w:tcPr>
          <w:p>
            <w:pPr>
              <w:spacing w:line="240" w:lineRule="exact"/>
              <w:ind w:left="-69" w:leftChars="-33" w:firstLine="2"/>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77" w:hRule="atLeast"/>
        </w:trPr>
        <w:tc>
          <w:tcPr>
            <w:tcW w:w="746" w:type="dxa"/>
            <w:vMerge w:val="continue"/>
            <w:noWrap w:val="0"/>
            <w:vAlign w:val="center"/>
          </w:tcPr>
          <w:p>
            <w:pPr>
              <w:widowControl/>
              <w:spacing w:line="240" w:lineRule="exact"/>
              <w:rPr>
                <w:rFonts w:ascii="宋体" w:hAnsi="宋体"/>
                <w:color w:val="auto"/>
                <w:szCs w:val="21"/>
              </w:rPr>
            </w:pPr>
          </w:p>
        </w:tc>
        <w:tc>
          <w:tcPr>
            <w:tcW w:w="1134" w:type="dxa"/>
            <w:vMerge w:val="continue"/>
            <w:noWrap w:val="0"/>
            <w:vAlign w:val="center"/>
          </w:tcPr>
          <w:p>
            <w:pPr>
              <w:autoSpaceDE w:val="0"/>
              <w:autoSpaceDN w:val="0"/>
              <w:adjustRightInd w:val="0"/>
              <w:spacing w:line="240" w:lineRule="exact"/>
              <w:rPr>
                <w:rFonts w:ascii="宋体" w:hAnsi="宋体"/>
                <w:color w:val="auto"/>
                <w:szCs w:val="21"/>
              </w:rPr>
            </w:pPr>
          </w:p>
        </w:tc>
        <w:tc>
          <w:tcPr>
            <w:tcW w:w="5883" w:type="dxa"/>
            <w:noWrap w:val="0"/>
            <w:vAlign w:val="center"/>
          </w:tcPr>
          <w:p>
            <w:pPr>
              <w:autoSpaceDE w:val="0"/>
              <w:autoSpaceDN w:val="0"/>
              <w:adjustRightInd w:val="0"/>
              <w:spacing w:line="440" w:lineRule="atLeast"/>
              <w:rPr>
                <w:rFonts w:hint="eastAsia" w:ascii="宋体" w:hAnsi="宋体"/>
                <w:color w:val="auto"/>
                <w:szCs w:val="21"/>
              </w:rPr>
            </w:pPr>
            <w:r>
              <w:rPr>
                <w:rFonts w:hint="eastAsia" w:ascii="宋体" w:hAnsi="宋体"/>
                <w:color w:val="auto"/>
                <w:szCs w:val="21"/>
              </w:rPr>
              <w:t>投标产品全部为列入中国政府采购网距投标截止时间最近一期“环境标志产品政府采购清单”的加1分，部分列入的得分按环境标志产品投标价格除以投标总价格计算（保留1位小数）。</w:t>
            </w:r>
          </w:p>
        </w:tc>
        <w:tc>
          <w:tcPr>
            <w:tcW w:w="1417" w:type="dxa"/>
            <w:noWrap w:val="0"/>
            <w:vAlign w:val="center"/>
          </w:tcPr>
          <w:p>
            <w:pPr>
              <w:spacing w:line="240" w:lineRule="exact"/>
              <w:ind w:left="-69" w:leftChars="-33" w:firstLine="2"/>
              <w:rPr>
                <w:rFonts w:ascii="宋体" w:hAnsi="宋体"/>
                <w:color w:val="auto"/>
                <w:szCs w:val="21"/>
              </w:rPr>
            </w:pPr>
          </w:p>
        </w:tc>
      </w:tr>
    </w:tbl>
    <w:p>
      <w:pPr>
        <w:rPr>
          <w:rFonts w:hint="eastAsia" w:ascii="宋体" w:hAnsi="宋体"/>
          <w:color w:val="auto"/>
          <w:spacing w:val="14"/>
          <w:szCs w:val="21"/>
        </w:rPr>
      </w:pPr>
    </w:p>
    <w:p>
      <w:pPr>
        <w:rPr>
          <w:rFonts w:hint="eastAsia" w:ascii="宋体" w:hAnsi="宋体"/>
          <w:color w:val="auto"/>
          <w:spacing w:val="14"/>
          <w:szCs w:val="21"/>
        </w:rPr>
      </w:pPr>
      <w:r>
        <w:rPr>
          <w:rFonts w:hint="eastAsia" w:ascii="宋体" w:hAnsi="宋体"/>
          <w:color w:val="auto"/>
          <w:spacing w:val="14"/>
          <w:szCs w:val="21"/>
        </w:rPr>
        <w:t>1.评标委员会成员分项评分不得超出评分标准范围；</w:t>
      </w:r>
    </w:p>
    <w:p>
      <w:pPr>
        <w:rPr>
          <w:rFonts w:hint="eastAsia" w:ascii="宋体" w:hAnsi="宋体"/>
          <w:color w:val="auto"/>
          <w:spacing w:val="14"/>
          <w:szCs w:val="21"/>
        </w:rPr>
      </w:pPr>
      <w:r>
        <w:rPr>
          <w:rFonts w:hint="eastAsia" w:ascii="宋体" w:hAnsi="宋体"/>
          <w:color w:val="auto"/>
          <w:spacing w:val="14"/>
          <w:szCs w:val="21"/>
        </w:rPr>
        <w:t>2. 评委打分分值小数点后保留两位小数；</w:t>
      </w:r>
    </w:p>
    <w:p>
      <w:pPr>
        <w:rPr>
          <w:rFonts w:hint="eastAsia" w:ascii="宋体" w:hAnsi="宋体"/>
          <w:color w:val="auto"/>
          <w:spacing w:val="14"/>
          <w:szCs w:val="21"/>
        </w:rPr>
      </w:pPr>
      <w:r>
        <w:rPr>
          <w:rFonts w:hint="eastAsia" w:ascii="宋体" w:hAnsi="宋体"/>
          <w:color w:val="auto"/>
          <w:spacing w:val="14"/>
          <w:szCs w:val="21"/>
        </w:rPr>
        <w:t>3. 评标委员会成员对客观评审因素评分须一致；</w:t>
      </w:r>
    </w:p>
    <w:p>
      <w:pPr>
        <w:spacing w:line="240" w:lineRule="atLeast"/>
        <w:rPr>
          <w:rFonts w:hint="eastAsia" w:ascii="宋体" w:hAnsi="宋体"/>
          <w:color w:val="auto"/>
          <w:szCs w:val="21"/>
        </w:rPr>
      </w:pPr>
      <w:r>
        <w:rPr>
          <w:rFonts w:hint="eastAsia" w:ascii="宋体" w:hAnsi="宋体"/>
          <w:color w:val="auto"/>
          <w:szCs w:val="21"/>
        </w:rPr>
        <w:t>4. 对评分出现明显畸高、畸低（其总评分偏离平均分30%以上的）的且</w:t>
      </w:r>
      <w:r>
        <w:rPr>
          <w:rFonts w:hint="eastAsia" w:ascii="宋体" w:hAnsi="宋体"/>
          <w:color w:val="auto"/>
          <w:spacing w:val="14"/>
          <w:szCs w:val="21"/>
        </w:rPr>
        <w:t>经评标委员会认定为评分畸高、畸低的，该评委</w:t>
      </w:r>
      <w:r>
        <w:rPr>
          <w:rFonts w:hint="eastAsia" w:ascii="宋体" w:hAnsi="宋体"/>
          <w:color w:val="auto"/>
          <w:szCs w:val="21"/>
        </w:rPr>
        <w:t>需出具书面说明理由，评审人员拒绝说明的，由现场监督员据实记录。</w:t>
      </w:r>
    </w:p>
    <w:p>
      <w:pPr>
        <w:spacing w:before="120" w:beforeLines="50" w:after="120" w:afterLines="50" w:line="360" w:lineRule="auto"/>
        <w:ind w:firstLine="476" w:firstLineChars="200"/>
        <w:rPr>
          <w:rFonts w:hint="eastAsia" w:ascii="宋体" w:hAnsi="宋体"/>
          <w:color w:val="auto"/>
          <w:spacing w:val="14"/>
          <w:szCs w:val="21"/>
        </w:rPr>
      </w:pPr>
      <w:r>
        <w:rPr>
          <w:rFonts w:hint="eastAsia" w:ascii="宋体" w:hAnsi="宋体"/>
          <w:color w:val="auto"/>
          <w:spacing w:val="14"/>
          <w:szCs w:val="21"/>
        </w:rPr>
        <w:t>评委签名;                                          日期：</w:t>
      </w:r>
    </w:p>
    <w:p>
      <w:pPr>
        <w:adjustRightInd w:val="0"/>
        <w:spacing w:line="360" w:lineRule="auto"/>
        <w:jc w:val="center"/>
        <w:rPr>
          <w:rFonts w:hint="eastAsia" w:ascii="黑体" w:hAnsi="宋体" w:eastAsia="黑体"/>
          <w:color w:val="auto"/>
          <w:sz w:val="28"/>
          <w:szCs w:val="28"/>
        </w:rPr>
      </w:pPr>
    </w:p>
    <w:p>
      <w:pPr>
        <w:adjustRightInd w:val="0"/>
        <w:spacing w:line="360" w:lineRule="auto"/>
        <w:jc w:val="center"/>
        <w:rPr>
          <w:rFonts w:hint="eastAsia" w:ascii="黑体" w:hAnsi="宋体" w:eastAsia="黑体"/>
          <w:color w:val="auto"/>
          <w:sz w:val="28"/>
          <w:szCs w:val="28"/>
        </w:rPr>
      </w:pPr>
    </w:p>
    <w:p>
      <w:pPr>
        <w:adjustRightInd w:val="0"/>
        <w:spacing w:line="360" w:lineRule="auto"/>
        <w:jc w:val="center"/>
        <w:rPr>
          <w:rFonts w:hint="eastAsia" w:ascii="黑体" w:hAnsi="宋体" w:eastAsia="黑体"/>
          <w:color w:val="auto"/>
          <w:sz w:val="28"/>
          <w:szCs w:val="28"/>
        </w:rPr>
      </w:pPr>
    </w:p>
    <w:p>
      <w:pPr>
        <w:adjustRightInd w:val="0"/>
        <w:spacing w:line="360" w:lineRule="auto"/>
        <w:jc w:val="center"/>
        <w:rPr>
          <w:rFonts w:hint="eastAsia" w:ascii="黑体" w:hAnsi="宋体" w:eastAsia="黑体"/>
          <w:color w:val="auto"/>
          <w:sz w:val="28"/>
          <w:szCs w:val="28"/>
        </w:rPr>
      </w:pPr>
    </w:p>
    <w:p>
      <w:pPr>
        <w:adjustRightInd w:val="0"/>
        <w:spacing w:line="360" w:lineRule="auto"/>
        <w:jc w:val="center"/>
        <w:rPr>
          <w:rFonts w:hint="eastAsia" w:ascii="黑体" w:hAnsi="宋体" w:eastAsia="黑体"/>
          <w:color w:val="auto"/>
          <w:sz w:val="28"/>
          <w:szCs w:val="28"/>
        </w:rPr>
      </w:pPr>
    </w:p>
    <w:p>
      <w:pPr>
        <w:adjustRightInd w:val="0"/>
        <w:spacing w:line="360" w:lineRule="auto"/>
        <w:jc w:val="center"/>
        <w:rPr>
          <w:rFonts w:hint="eastAsia" w:ascii="黑体" w:hAnsi="宋体" w:eastAsia="黑体"/>
          <w:color w:val="auto"/>
          <w:sz w:val="28"/>
          <w:szCs w:val="28"/>
        </w:rPr>
      </w:pPr>
    </w:p>
    <w:p>
      <w:pPr>
        <w:adjustRightInd w:val="0"/>
        <w:spacing w:line="360" w:lineRule="auto"/>
        <w:jc w:val="center"/>
        <w:rPr>
          <w:rFonts w:hint="eastAsia" w:ascii="黑体" w:hAnsi="宋体" w:eastAsia="黑体"/>
          <w:color w:val="auto"/>
          <w:sz w:val="28"/>
          <w:szCs w:val="28"/>
        </w:rPr>
      </w:pPr>
    </w:p>
    <w:p>
      <w:pPr>
        <w:adjustRightInd w:val="0"/>
        <w:spacing w:line="360" w:lineRule="auto"/>
        <w:jc w:val="center"/>
        <w:rPr>
          <w:rFonts w:hint="eastAsia" w:ascii="黑体" w:hAnsi="宋体" w:eastAsia="黑体"/>
          <w:color w:val="auto"/>
          <w:sz w:val="28"/>
          <w:szCs w:val="28"/>
        </w:rPr>
      </w:pPr>
    </w:p>
    <w:p>
      <w:pPr>
        <w:adjustRightInd w:val="0"/>
        <w:spacing w:line="360" w:lineRule="auto"/>
        <w:jc w:val="center"/>
        <w:rPr>
          <w:rFonts w:hint="eastAsia" w:ascii="黑体" w:hAnsi="宋体" w:eastAsia="黑体"/>
          <w:color w:val="auto"/>
          <w:sz w:val="28"/>
          <w:szCs w:val="28"/>
        </w:rPr>
      </w:pPr>
    </w:p>
    <w:p>
      <w:pPr>
        <w:adjustRightInd w:val="0"/>
        <w:spacing w:line="360" w:lineRule="auto"/>
        <w:jc w:val="center"/>
        <w:rPr>
          <w:rFonts w:hint="eastAsia" w:ascii="黑体" w:hAnsi="宋体" w:eastAsia="黑体"/>
          <w:color w:val="auto"/>
          <w:sz w:val="28"/>
          <w:szCs w:val="28"/>
        </w:rPr>
      </w:pPr>
    </w:p>
    <w:p>
      <w:pPr>
        <w:adjustRightInd w:val="0"/>
        <w:spacing w:line="360" w:lineRule="auto"/>
        <w:jc w:val="center"/>
        <w:rPr>
          <w:rFonts w:hint="eastAsia" w:ascii="黑体" w:hAnsi="宋体" w:eastAsia="黑体"/>
          <w:color w:val="auto"/>
          <w:sz w:val="28"/>
          <w:szCs w:val="28"/>
        </w:rPr>
      </w:pPr>
    </w:p>
    <w:p>
      <w:pPr>
        <w:adjustRightInd w:val="0"/>
        <w:spacing w:line="360" w:lineRule="auto"/>
        <w:jc w:val="center"/>
        <w:rPr>
          <w:rFonts w:hint="eastAsia" w:ascii="黑体" w:hAnsi="宋体" w:eastAsia="黑体"/>
          <w:color w:val="auto"/>
          <w:sz w:val="28"/>
          <w:szCs w:val="28"/>
        </w:rPr>
      </w:pPr>
    </w:p>
    <w:p>
      <w:pPr>
        <w:adjustRightInd w:val="0"/>
        <w:spacing w:line="360" w:lineRule="auto"/>
        <w:jc w:val="center"/>
        <w:rPr>
          <w:rFonts w:hint="eastAsia" w:ascii="黑体" w:hAnsi="宋体" w:eastAsia="黑体"/>
          <w:color w:val="auto"/>
          <w:sz w:val="28"/>
          <w:szCs w:val="28"/>
        </w:rPr>
      </w:pPr>
    </w:p>
    <w:p>
      <w:pPr>
        <w:adjustRightInd w:val="0"/>
        <w:spacing w:line="360" w:lineRule="auto"/>
        <w:jc w:val="center"/>
        <w:rPr>
          <w:rFonts w:hint="eastAsia" w:ascii="黑体" w:hAnsi="宋体" w:eastAsia="黑体"/>
          <w:color w:val="auto"/>
          <w:sz w:val="28"/>
          <w:szCs w:val="28"/>
        </w:rPr>
      </w:pPr>
    </w:p>
    <w:p>
      <w:pPr>
        <w:adjustRightInd w:val="0"/>
        <w:spacing w:line="360" w:lineRule="auto"/>
        <w:jc w:val="center"/>
        <w:rPr>
          <w:rFonts w:hint="eastAsia" w:ascii="黑体" w:hAnsi="宋体" w:eastAsia="黑体"/>
          <w:color w:val="auto"/>
          <w:sz w:val="28"/>
          <w:szCs w:val="28"/>
        </w:rPr>
      </w:pPr>
    </w:p>
    <w:p>
      <w:pPr>
        <w:adjustRightInd w:val="0"/>
        <w:spacing w:line="360" w:lineRule="auto"/>
        <w:jc w:val="center"/>
        <w:rPr>
          <w:rFonts w:hint="eastAsia" w:ascii="黑体" w:hAnsi="宋体" w:eastAsia="黑体"/>
          <w:color w:val="auto"/>
          <w:sz w:val="28"/>
          <w:szCs w:val="28"/>
        </w:rPr>
      </w:pPr>
    </w:p>
    <w:p>
      <w:pPr>
        <w:adjustRightInd w:val="0"/>
        <w:spacing w:line="360" w:lineRule="auto"/>
        <w:jc w:val="center"/>
        <w:rPr>
          <w:rFonts w:hint="eastAsia" w:ascii="黑体" w:hAnsi="宋体" w:eastAsia="黑体"/>
          <w:color w:val="auto"/>
          <w:sz w:val="28"/>
          <w:szCs w:val="28"/>
        </w:rPr>
      </w:pPr>
    </w:p>
    <w:p>
      <w:pPr>
        <w:adjustRightInd w:val="0"/>
        <w:spacing w:line="360" w:lineRule="auto"/>
        <w:rPr>
          <w:rFonts w:hint="eastAsia" w:ascii="黑体" w:hAnsi="宋体" w:eastAsia="黑体"/>
          <w:color w:val="auto"/>
          <w:sz w:val="28"/>
          <w:szCs w:val="28"/>
        </w:rPr>
      </w:pPr>
    </w:p>
    <w:p>
      <w:pPr>
        <w:adjustRightInd w:val="0"/>
        <w:spacing w:line="360" w:lineRule="auto"/>
        <w:rPr>
          <w:rFonts w:hint="eastAsia" w:ascii="黑体" w:hAnsi="宋体" w:eastAsia="黑体"/>
          <w:color w:val="auto"/>
          <w:sz w:val="28"/>
          <w:szCs w:val="28"/>
        </w:rPr>
      </w:pPr>
    </w:p>
    <w:p>
      <w:pPr>
        <w:adjustRightInd w:val="0"/>
        <w:spacing w:line="360" w:lineRule="auto"/>
        <w:rPr>
          <w:rFonts w:hint="eastAsia" w:ascii="黑体" w:hAnsi="宋体" w:eastAsia="黑体"/>
          <w:color w:val="auto"/>
          <w:sz w:val="28"/>
          <w:szCs w:val="28"/>
        </w:rPr>
      </w:pPr>
    </w:p>
    <w:p>
      <w:pPr>
        <w:adjustRightInd w:val="0"/>
        <w:spacing w:line="360" w:lineRule="auto"/>
        <w:jc w:val="center"/>
        <w:rPr>
          <w:rFonts w:hint="eastAsia" w:ascii="黑体" w:hAnsi="宋体" w:eastAsia="黑体"/>
          <w:bCs/>
          <w:color w:val="auto"/>
          <w:sz w:val="28"/>
          <w:szCs w:val="28"/>
        </w:rPr>
      </w:pPr>
      <w:r>
        <w:rPr>
          <w:rFonts w:hint="eastAsia" w:ascii="黑体" w:hAnsi="宋体" w:eastAsia="黑体"/>
          <w:color w:val="auto"/>
          <w:sz w:val="28"/>
          <w:szCs w:val="28"/>
        </w:rPr>
        <w:t xml:space="preserve">第五章  </w:t>
      </w:r>
      <w:r>
        <w:rPr>
          <w:rFonts w:hint="eastAsia" w:ascii="黑体" w:hAnsi="宋体" w:eastAsia="黑体"/>
          <w:bCs/>
          <w:color w:val="auto"/>
          <w:sz w:val="28"/>
          <w:szCs w:val="28"/>
        </w:rPr>
        <w:t xml:space="preserve">拟签订的合同                           </w:t>
      </w:r>
    </w:p>
    <w:p>
      <w:pPr>
        <w:snapToGrid w:val="0"/>
        <w:spacing w:before="120" w:beforeLines="50" w:after="120" w:afterLines="50" w:line="360" w:lineRule="auto"/>
        <w:jc w:val="center"/>
        <w:outlineLvl w:val="0"/>
        <w:rPr>
          <w:rFonts w:ascii="宋体" w:hAnsi="宋体"/>
          <w:bCs/>
          <w:color w:val="auto"/>
          <w:szCs w:val="21"/>
          <w:u w:val="single"/>
        </w:rPr>
      </w:pPr>
      <w:r>
        <w:rPr>
          <w:rFonts w:hint="eastAsia" w:ascii="宋体" w:hAnsi="宋体"/>
          <w:color w:val="auto"/>
          <w:szCs w:val="21"/>
          <w:u w:val="single"/>
        </w:rPr>
        <w:t>采购合同指引（货物）</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项目名称：                                       项目编号：</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甲方：（买方）</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乙方：（卖方）</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 xml:space="preserve">   甲、乙双方根据甲中心关于ABC单位XYZ项目  公开招标  的结果，签署本合同。</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一、货物内容</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1. 货物名称：</w:t>
      </w:r>
    </w:p>
    <w:p>
      <w:pPr>
        <w:pStyle w:val="25"/>
        <w:snapToGrid w:val="0"/>
        <w:spacing w:before="120" w:beforeLines="0" w:after="120" w:afterLines="0" w:line="360" w:lineRule="auto"/>
        <w:rPr>
          <w:rFonts w:hAnsi="宋体"/>
          <w:color w:val="auto"/>
          <w:sz w:val="21"/>
          <w:szCs w:val="21"/>
        </w:rPr>
      </w:pPr>
      <w:r>
        <w:rPr>
          <w:rFonts w:hint="eastAsia" w:hAnsi="宋体"/>
          <w:color w:val="auto"/>
          <w:sz w:val="21"/>
          <w:szCs w:val="21"/>
        </w:rPr>
        <w:t>2</w:t>
      </w:r>
      <w:r>
        <w:rPr>
          <w:rFonts w:hAnsi="宋体"/>
          <w:color w:val="auto"/>
          <w:sz w:val="21"/>
          <w:szCs w:val="21"/>
        </w:rPr>
        <w:t>. 型号规格：</w:t>
      </w:r>
    </w:p>
    <w:p>
      <w:pPr>
        <w:pStyle w:val="25"/>
        <w:snapToGrid w:val="0"/>
        <w:spacing w:before="120" w:beforeLines="0" w:after="120" w:afterLines="0" w:line="360" w:lineRule="auto"/>
        <w:rPr>
          <w:rFonts w:hAnsi="宋体"/>
          <w:color w:val="auto"/>
          <w:sz w:val="21"/>
          <w:szCs w:val="21"/>
        </w:rPr>
      </w:pPr>
      <w:r>
        <w:rPr>
          <w:rFonts w:hint="eastAsia" w:hAnsi="宋体"/>
          <w:color w:val="auto"/>
          <w:sz w:val="21"/>
          <w:szCs w:val="21"/>
        </w:rPr>
        <w:t>3</w:t>
      </w:r>
      <w:r>
        <w:rPr>
          <w:rFonts w:hAnsi="宋体"/>
          <w:color w:val="auto"/>
          <w:sz w:val="21"/>
          <w:szCs w:val="21"/>
        </w:rPr>
        <w:t>. 技术参数：</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4</w:t>
      </w:r>
      <w:r>
        <w:rPr>
          <w:rFonts w:hint="eastAsia" w:hAnsi="宋体"/>
          <w:color w:val="auto"/>
          <w:sz w:val="21"/>
          <w:szCs w:val="21"/>
        </w:rPr>
        <w:t>.</w:t>
      </w:r>
      <w:r>
        <w:rPr>
          <w:rFonts w:hAnsi="宋体"/>
          <w:color w:val="auto"/>
          <w:sz w:val="21"/>
          <w:szCs w:val="21"/>
        </w:rPr>
        <w:t xml:space="preserve"> 数量（单位）：</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二、合同金额</w:t>
      </w:r>
    </w:p>
    <w:p>
      <w:pPr>
        <w:pStyle w:val="25"/>
        <w:snapToGrid w:val="0"/>
        <w:spacing w:before="120" w:beforeLines="0" w:after="120" w:afterLines="0" w:line="360" w:lineRule="auto"/>
        <w:ind w:left="359" w:hanging="359" w:hangingChars="171"/>
        <w:rPr>
          <w:rFonts w:hAnsi="宋体"/>
          <w:color w:val="auto"/>
          <w:sz w:val="21"/>
          <w:szCs w:val="21"/>
        </w:rPr>
      </w:pPr>
      <w:r>
        <w:rPr>
          <w:rFonts w:hAnsi="宋体"/>
          <w:color w:val="auto"/>
          <w:sz w:val="21"/>
          <w:szCs w:val="21"/>
        </w:rPr>
        <w:t xml:space="preserve"> 本合同金额为（大写）：____________________________________元（￥_______________元）人民币。</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三、技术资料</w:t>
      </w:r>
    </w:p>
    <w:p>
      <w:pPr>
        <w:pStyle w:val="25"/>
        <w:snapToGrid w:val="0"/>
        <w:spacing w:before="120" w:beforeLines="0" w:after="120" w:afterLines="0" w:line="360" w:lineRule="auto"/>
        <w:ind w:left="359" w:hanging="359" w:hangingChars="171"/>
        <w:rPr>
          <w:rFonts w:hAnsi="宋体"/>
          <w:color w:val="auto"/>
          <w:sz w:val="21"/>
          <w:szCs w:val="21"/>
        </w:rPr>
      </w:pPr>
      <w:r>
        <w:rPr>
          <w:rFonts w:hAnsi="宋体"/>
          <w:color w:val="auto"/>
          <w:sz w:val="21"/>
          <w:szCs w:val="21"/>
        </w:rPr>
        <w:t>1</w:t>
      </w:r>
      <w:r>
        <w:rPr>
          <w:rFonts w:hint="eastAsia" w:hAnsi="宋体"/>
          <w:color w:val="auto"/>
          <w:sz w:val="21"/>
          <w:szCs w:val="21"/>
        </w:rPr>
        <w:t>.</w:t>
      </w:r>
      <w:r>
        <w:rPr>
          <w:rFonts w:hAnsi="宋体"/>
          <w:color w:val="auto"/>
          <w:sz w:val="21"/>
          <w:szCs w:val="21"/>
        </w:rPr>
        <w:t>乙方应按采购文件规定的时间向甲方提供使用货物的有关技术资料。</w:t>
      </w:r>
    </w:p>
    <w:p>
      <w:pPr>
        <w:pStyle w:val="25"/>
        <w:snapToGrid w:val="0"/>
        <w:spacing w:before="120" w:beforeLines="0" w:after="120" w:afterLines="0" w:line="360" w:lineRule="auto"/>
        <w:ind w:left="359" w:hanging="359" w:hangingChars="171"/>
        <w:rPr>
          <w:rFonts w:hAnsi="宋体"/>
          <w:color w:val="auto"/>
          <w:sz w:val="21"/>
          <w:szCs w:val="21"/>
        </w:rPr>
      </w:pPr>
      <w:r>
        <w:rPr>
          <w:rFonts w:hAnsi="宋体"/>
          <w:color w:val="auto"/>
          <w:sz w:val="21"/>
          <w:szCs w:val="21"/>
        </w:rPr>
        <w:t>2</w:t>
      </w:r>
      <w:r>
        <w:rPr>
          <w:rFonts w:hint="eastAsia" w:hAnsi="宋体"/>
          <w:color w:val="auto"/>
          <w:sz w:val="21"/>
          <w:szCs w:val="21"/>
        </w:rPr>
        <w:t>.</w:t>
      </w:r>
      <w:r>
        <w:rPr>
          <w:rFonts w:hAnsi="宋体"/>
          <w:color w:val="auto"/>
          <w:sz w:val="21"/>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5"/>
        <w:snapToGrid w:val="0"/>
        <w:spacing w:before="120" w:beforeLines="0" w:after="120" w:afterLines="0" w:line="360" w:lineRule="auto"/>
        <w:ind w:left="359" w:hanging="359" w:hangingChars="171"/>
        <w:rPr>
          <w:rFonts w:hAnsi="宋体"/>
          <w:color w:val="auto"/>
          <w:sz w:val="21"/>
          <w:szCs w:val="21"/>
        </w:rPr>
      </w:pPr>
      <w:r>
        <w:rPr>
          <w:rFonts w:hAnsi="宋体"/>
          <w:color w:val="auto"/>
          <w:sz w:val="21"/>
          <w:szCs w:val="21"/>
        </w:rPr>
        <w:t>四、知识产权</w:t>
      </w:r>
    </w:p>
    <w:p>
      <w:pPr>
        <w:pStyle w:val="25"/>
        <w:snapToGrid w:val="0"/>
        <w:spacing w:before="120" w:beforeLines="0" w:after="120" w:afterLines="0" w:line="360" w:lineRule="auto"/>
        <w:rPr>
          <w:rFonts w:hAnsi="宋体"/>
          <w:bCs/>
          <w:color w:val="auto"/>
          <w:sz w:val="21"/>
          <w:szCs w:val="21"/>
        </w:rPr>
      </w:pPr>
      <w:r>
        <w:rPr>
          <w:rFonts w:hAnsi="宋体"/>
          <w:color w:val="auto"/>
          <w:sz w:val="21"/>
          <w:szCs w:val="21"/>
        </w:rPr>
        <w:t>乙方应保证所提供的货物或其任何一部分均不会侵犯任何第三方的知识产权</w:t>
      </w:r>
      <w:r>
        <w:rPr>
          <w:rFonts w:hAnsi="宋体"/>
          <w:bCs/>
          <w:color w:val="auto"/>
          <w:sz w:val="21"/>
          <w:szCs w:val="21"/>
        </w:rPr>
        <w:t>。</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五、产权担保</w:t>
      </w:r>
    </w:p>
    <w:p>
      <w:pPr>
        <w:pStyle w:val="25"/>
        <w:snapToGrid w:val="0"/>
        <w:spacing w:before="120" w:beforeLines="0" w:after="120" w:afterLines="0" w:line="360" w:lineRule="auto"/>
        <w:ind w:left="357" w:hanging="357" w:hangingChars="170"/>
        <w:rPr>
          <w:rFonts w:hAnsi="宋体"/>
          <w:color w:val="auto"/>
          <w:sz w:val="21"/>
          <w:szCs w:val="21"/>
        </w:rPr>
      </w:pPr>
      <w:r>
        <w:rPr>
          <w:rFonts w:hAnsi="宋体"/>
          <w:color w:val="auto"/>
          <w:sz w:val="21"/>
          <w:szCs w:val="21"/>
        </w:rPr>
        <w:t>乙方保证所交付的货物的所有权完全属于乙方且无任何抵押、查封等产权瑕疵。</w:t>
      </w:r>
    </w:p>
    <w:p>
      <w:pPr>
        <w:pStyle w:val="25"/>
        <w:snapToGrid w:val="0"/>
        <w:spacing w:before="120" w:beforeLines="0" w:after="120" w:afterLines="0" w:line="360" w:lineRule="auto"/>
        <w:ind w:left="357" w:hanging="357" w:hangingChars="170"/>
        <w:rPr>
          <w:rFonts w:hAnsi="宋体"/>
          <w:color w:val="auto"/>
          <w:sz w:val="21"/>
          <w:szCs w:val="21"/>
        </w:rPr>
      </w:pPr>
      <w:r>
        <w:rPr>
          <w:rFonts w:hAnsi="宋体"/>
          <w:color w:val="auto"/>
          <w:sz w:val="21"/>
          <w:szCs w:val="21"/>
        </w:rPr>
        <w:t>六、履约保证金</w:t>
      </w:r>
    </w:p>
    <w:p>
      <w:pPr>
        <w:pStyle w:val="25"/>
        <w:snapToGrid w:val="0"/>
        <w:spacing w:before="120" w:beforeLines="0" w:after="120" w:afterLines="0" w:line="360" w:lineRule="auto"/>
        <w:ind w:left="357" w:hanging="357" w:hangingChars="170"/>
        <w:rPr>
          <w:rFonts w:hAnsi="宋体"/>
          <w:color w:val="auto"/>
          <w:sz w:val="21"/>
          <w:szCs w:val="21"/>
        </w:rPr>
      </w:pPr>
      <w:r>
        <w:rPr>
          <w:rFonts w:hAnsi="宋体"/>
          <w:color w:val="auto"/>
          <w:sz w:val="21"/>
          <w:szCs w:val="21"/>
        </w:rPr>
        <w:t>乙方交纳人民币△元作为本合同的履约保证金。</w:t>
      </w:r>
    </w:p>
    <w:p>
      <w:pPr>
        <w:pStyle w:val="25"/>
        <w:snapToGrid w:val="0"/>
        <w:spacing w:before="120" w:beforeLines="0" w:after="120" w:afterLines="0" w:line="360" w:lineRule="auto"/>
        <w:ind w:left="357" w:hanging="357" w:hangingChars="170"/>
        <w:rPr>
          <w:rFonts w:hAnsi="宋体"/>
          <w:color w:val="auto"/>
          <w:sz w:val="21"/>
          <w:szCs w:val="21"/>
        </w:rPr>
      </w:pPr>
      <w:r>
        <w:rPr>
          <w:rFonts w:hint="eastAsia" w:hAnsi="宋体"/>
          <w:color w:val="auto"/>
          <w:sz w:val="21"/>
          <w:szCs w:val="21"/>
        </w:rPr>
        <w:t>七、转包或分包</w:t>
      </w:r>
    </w:p>
    <w:p>
      <w:pPr>
        <w:snapToGrid w:val="0"/>
        <w:spacing w:before="120" w:beforeLines="50" w:after="120" w:afterLines="50" w:line="360" w:lineRule="auto"/>
        <w:rPr>
          <w:rFonts w:ascii="宋体" w:hAnsi="宋体"/>
          <w:color w:val="auto"/>
          <w:szCs w:val="21"/>
        </w:rPr>
      </w:pPr>
      <w:r>
        <w:rPr>
          <w:rFonts w:ascii="宋体" w:hAnsi="宋体"/>
          <w:color w:val="auto"/>
          <w:szCs w:val="21"/>
        </w:rPr>
        <w:t>1</w:t>
      </w:r>
      <w:r>
        <w:rPr>
          <w:rFonts w:hint="eastAsia" w:ascii="宋体" w:hAnsi="宋体"/>
          <w:color w:val="auto"/>
          <w:szCs w:val="21"/>
        </w:rPr>
        <w:t>.本合同范围的货物，应由</w:t>
      </w:r>
      <w:r>
        <w:rPr>
          <w:rFonts w:ascii="宋体" w:hAnsi="宋体"/>
          <w:color w:val="auto"/>
          <w:szCs w:val="21"/>
        </w:rPr>
        <w:t>乙</w:t>
      </w:r>
      <w:r>
        <w:rPr>
          <w:rFonts w:hint="eastAsia" w:ascii="宋体" w:hAnsi="宋体"/>
          <w:color w:val="auto"/>
          <w:szCs w:val="21"/>
        </w:rPr>
        <w:t>方直接供应，不得转让他人供应；</w:t>
      </w:r>
    </w:p>
    <w:p>
      <w:pPr>
        <w:snapToGrid w:val="0"/>
        <w:spacing w:before="120" w:beforeLines="50" w:after="120" w:afterLines="50" w:line="360" w:lineRule="auto"/>
        <w:rPr>
          <w:rFonts w:ascii="宋体" w:hAnsi="宋体"/>
          <w:color w:val="auto"/>
          <w:szCs w:val="21"/>
        </w:rPr>
      </w:pPr>
      <w:r>
        <w:rPr>
          <w:rFonts w:ascii="宋体" w:hAnsi="宋体"/>
          <w:color w:val="auto"/>
          <w:szCs w:val="21"/>
        </w:rPr>
        <w:t>2</w:t>
      </w:r>
      <w:r>
        <w:rPr>
          <w:rFonts w:hint="eastAsia" w:ascii="宋体" w:hAnsi="宋体"/>
          <w:color w:val="auto"/>
          <w:szCs w:val="21"/>
        </w:rPr>
        <w:t>.除非得到</w:t>
      </w:r>
      <w:r>
        <w:rPr>
          <w:rFonts w:ascii="宋体" w:hAnsi="宋体"/>
          <w:color w:val="auto"/>
          <w:szCs w:val="21"/>
        </w:rPr>
        <w:t>甲</w:t>
      </w:r>
      <w:r>
        <w:rPr>
          <w:rFonts w:hint="eastAsia" w:ascii="宋体" w:hAnsi="宋体"/>
          <w:color w:val="auto"/>
          <w:szCs w:val="21"/>
        </w:rPr>
        <w:t>方的书面同意，</w:t>
      </w:r>
      <w:r>
        <w:rPr>
          <w:rFonts w:ascii="宋体" w:hAnsi="宋体"/>
          <w:color w:val="auto"/>
          <w:szCs w:val="21"/>
        </w:rPr>
        <w:t>乙</w:t>
      </w:r>
      <w:r>
        <w:rPr>
          <w:rFonts w:hint="eastAsia" w:ascii="宋体" w:hAnsi="宋体"/>
          <w:color w:val="auto"/>
          <w:szCs w:val="21"/>
        </w:rPr>
        <w:t>方不得将本合同范围的货物全部或部分分包给他人供应；</w:t>
      </w:r>
    </w:p>
    <w:p>
      <w:pPr>
        <w:snapToGrid w:val="0"/>
        <w:spacing w:before="120" w:beforeLines="50" w:after="120" w:afterLines="50" w:line="360" w:lineRule="auto"/>
        <w:rPr>
          <w:rFonts w:ascii="宋体" w:hAnsi="宋体"/>
          <w:color w:val="auto"/>
          <w:szCs w:val="21"/>
        </w:rPr>
      </w:pPr>
      <w:r>
        <w:rPr>
          <w:rFonts w:ascii="宋体" w:hAnsi="宋体"/>
          <w:color w:val="auto"/>
          <w:szCs w:val="21"/>
        </w:rPr>
        <w:t>3</w:t>
      </w:r>
      <w:r>
        <w:rPr>
          <w:rFonts w:hint="eastAsia" w:ascii="宋体" w:hAnsi="宋体"/>
          <w:color w:val="auto"/>
          <w:szCs w:val="21"/>
        </w:rPr>
        <w:t>.如有转让和未经</w:t>
      </w:r>
      <w:r>
        <w:rPr>
          <w:rFonts w:ascii="宋体" w:hAnsi="宋体"/>
          <w:color w:val="auto"/>
          <w:szCs w:val="21"/>
        </w:rPr>
        <w:t>甲</w:t>
      </w:r>
      <w:r>
        <w:rPr>
          <w:rFonts w:hint="eastAsia" w:ascii="宋体" w:hAnsi="宋体"/>
          <w:color w:val="auto"/>
          <w:szCs w:val="21"/>
        </w:rPr>
        <w:t>方同意的分包行为，</w:t>
      </w:r>
      <w:r>
        <w:rPr>
          <w:rFonts w:ascii="宋体" w:hAnsi="宋体"/>
          <w:color w:val="auto"/>
          <w:szCs w:val="21"/>
        </w:rPr>
        <w:t>甲</w:t>
      </w:r>
      <w:r>
        <w:rPr>
          <w:rFonts w:hint="eastAsia" w:ascii="宋体" w:hAnsi="宋体"/>
          <w:color w:val="auto"/>
          <w:szCs w:val="21"/>
        </w:rPr>
        <w:t>方有权解除合同，没收履约保证金并追究乙方的违约责任。</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八、质保期和质保金</w:t>
      </w:r>
    </w:p>
    <w:p>
      <w:pPr>
        <w:pStyle w:val="25"/>
        <w:snapToGrid w:val="0"/>
        <w:spacing w:before="120" w:beforeLines="0" w:after="120" w:afterLines="0" w:line="360" w:lineRule="auto"/>
        <w:ind w:left="359" w:hanging="359" w:hangingChars="171"/>
        <w:rPr>
          <w:rFonts w:hAnsi="宋体"/>
          <w:color w:val="auto"/>
          <w:sz w:val="21"/>
          <w:szCs w:val="21"/>
        </w:rPr>
      </w:pPr>
      <w:r>
        <w:rPr>
          <w:rFonts w:hAnsi="宋体"/>
          <w:color w:val="auto"/>
          <w:sz w:val="21"/>
          <w:szCs w:val="21"/>
        </w:rPr>
        <w:t>1</w:t>
      </w:r>
      <w:r>
        <w:rPr>
          <w:rFonts w:hint="eastAsia" w:hAnsi="宋体"/>
          <w:color w:val="auto"/>
          <w:sz w:val="21"/>
          <w:szCs w:val="21"/>
        </w:rPr>
        <w:t>.</w:t>
      </w:r>
      <w:r>
        <w:rPr>
          <w:rFonts w:hAnsi="宋体"/>
          <w:color w:val="auto"/>
          <w:sz w:val="21"/>
          <w:szCs w:val="21"/>
        </w:rPr>
        <w:t xml:space="preserve"> 质保期      年。（自交货验收合格之日起计）</w:t>
      </w:r>
    </w:p>
    <w:p>
      <w:pPr>
        <w:pStyle w:val="25"/>
        <w:snapToGrid w:val="0"/>
        <w:spacing w:before="120" w:beforeLines="0" w:after="120" w:afterLines="0" w:line="360" w:lineRule="auto"/>
        <w:ind w:left="359" w:hanging="359" w:hangingChars="171"/>
        <w:rPr>
          <w:rFonts w:hAnsi="宋体"/>
          <w:color w:val="auto"/>
          <w:sz w:val="21"/>
          <w:szCs w:val="21"/>
        </w:rPr>
      </w:pPr>
      <w:r>
        <w:rPr>
          <w:rFonts w:hAnsi="宋体"/>
          <w:color w:val="auto"/>
          <w:sz w:val="21"/>
          <w:szCs w:val="21"/>
        </w:rPr>
        <w:t>2</w:t>
      </w:r>
      <w:r>
        <w:rPr>
          <w:rFonts w:hint="eastAsia" w:hAnsi="宋体"/>
          <w:color w:val="auto"/>
          <w:sz w:val="21"/>
          <w:szCs w:val="21"/>
        </w:rPr>
        <w:t>.</w:t>
      </w:r>
      <w:r>
        <w:rPr>
          <w:rFonts w:hAnsi="宋体"/>
          <w:color w:val="auto"/>
          <w:sz w:val="21"/>
          <w:szCs w:val="21"/>
        </w:rPr>
        <w:t xml:space="preserve"> 质保金            元。（履约保证金在中标投标人按合同约定交货验收合格后自行转为质保金）</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九、交货期、交货方式及交货地点</w:t>
      </w:r>
    </w:p>
    <w:p>
      <w:pPr>
        <w:pStyle w:val="25"/>
        <w:snapToGrid w:val="0"/>
        <w:spacing w:before="120" w:beforeLines="0" w:after="120" w:afterLines="0" w:line="360" w:lineRule="auto"/>
        <w:rPr>
          <w:rFonts w:hAnsi="宋体"/>
          <w:bCs/>
          <w:color w:val="auto"/>
          <w:sz w:val="21"/>
          <w:szCs w:val="21"/>
        </w:rPr>
      </w:pPr>
      <w:r>
        <w:rPr>
          <w:rFonts w:hAnsi="宋体"/>
          <w:bCs/>
          <w:color w:val="auto"/>
          <w:sz w:val="21"/>
          <w:szCs w:val="21"/>
        </w:rPr>
        <w:t>1</w:t>
      </w:r>
      <w:r>
        <w:rPr>
          <w:rFonts w:hint="eastAsia" w:hAnsi="宋体"/>
          <w:bCs/>
          <w:color w:val="auto"/>
          <w:sz w:val="21"/>
          <w:szCs w:val="21"/>
        </w:rPr>
        <w:t>.</w:t>
      </w:r>
      <w:r>
        <w:rPr>
          <w:rFonts w:hAnsi="宋体"/>
          <w:bCs/>
          <w:color w:val="auto"/>
          <w:sz w:val="21"/>
          <w:szCs w:val="21"/>
        </w:rPr>
        <w:t xml:space="preserve"> 交货期：</w:t>
      </w:r>
    </w:p>
    <w:p>
      <w:pPr>
        <w:pStyle w:val="25"/>
        <w:snapToGrid w:val="0"/>
        <w:spacing w:before="120" w:beforeLines="0" w:after="120" w:afterLines="0" w:line="360" w:lineRule="auto"/>
        <w:rPr>
          <w:rFonts w:hAnsi="宋体"/>
          <w:bCs/>
          <w:color w:val="auto"/>
          <w:sz w:val="21"/>
          <w:szCs w:val="21"/>
        </w:rPr>
      </w:pPr>
      <w:r>
        <w:rPr>
          <w:rFonts w:hAnsi="宋体"/>
          <w:bCs/>
          <w:color w:val="auto"/>
          <w:sz w:val="21"/>
          <w:szCs w:val="21"/>
        </w:rPr>
        <w:t>2</w:t>
      </w:r>
      <w:r>
        <w:rPr>
          <w:rFonts w:hint="eastAsia" w:hAnsi="宋体"/>
          <w:bCs/>
          <w:color w:val="auto"/>
          <w:sz w:val="21"/>
          <w:szCs w:val="21"/>
        </w:rPr>
        <w:t>.</w:t>
      </w:r>
      <w:r>
        <w:rPr>
          <w:rFonts w:hAnsi="宋体"/>
          <w:bCs/>
          <w:color w:val="auto"/>
          <w:sz w:val="21"/>
          <w:szCs w:val="21"/>
        </w:rPr>
        <w:t xml:space="preserve"> 交货方式：</w:t>
      </w:r>
    </w:p>
    <w:p>
      <w:pPr>
        <w:pStyle w:val="25"/>
        <w:snapToGrid w:val="0"/>
        <w:spacing w:before="120" w:beforeLines="0" w:after="120" w:afterLines="0" w:line="360" w:lineRule="auto"/>
        <w:rPr>
          <w:rFonts w:hAnsi="宋体"/>
          <w:color w:val="auto"/>
          <w:sz w:val="21"/>
          <w:szCs w:val="21"/>
        </w:rPr>
      </w:pPr>
      <w:r>
        <w:rPr>
          <w:rFonts w:hAnsi="宋体"/>
          <w:bCs/>
          <w:color w:val="auto"/>
          <w:sz w:val="21"/>
          <w:szCs w:val="21"/>
        </w:rPr>
        <w:t>3</w:t>
      </w:r>
      <w:r>
        <w:rPr>
          <w:rFonts w:hint="eastAsia" w:hAnsi="宋体"/>
          <w:bCs/>
          <w:color w:val="auto"/>
          <w:sz w:val="21"/>
          <w:szCs w:val="21"/>
        </w:rPr>
        <w:t>.</w:t>
      </w:r>
      <w:r>
        <w:rPr>
          <w:rFonts w:hAnsi="宋体"/>
          <w:bCs/>
          <w:color w:val="auto"/>
          <w:sz w:val="21"/>
          <w:szCs w:val="21"/>
        </w:rPr>
        <w:t xml:space="preserve"> 交货地点：</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十、货款支付</w:t>
      </w:r>
    </w:p>
    <w:p>
      <w:pPr>
        <w:pStyle w:val="25"/>
        <w:snapToGrid w:val="0"/>
        <w:spacing w:before="120" w:beforeLines="0" w:after="120" w:afterLines="0" w:line="360" w:lineRule="auto"/>
        <w:rPr>
          <w:rFonts w:hAnsi="宋体"/>
          <w:bCs/>
          <w:color w:val="auto"/>
          <w:sz w:val="21"/>
          <w:szCs w:val="21"/>
        </w:rPr>
      </w:pPr>
      <w:r>
        <w:rPr>
          <w:rFonts w:hAnsi="宋体"/>
          <w:bCs/>
          <w:color w:val="auto"/>
          <w:sz w:val="21"/>
          <w:szCs w:val="21"/>
        </w:rPr>
        <w:t>1</w:t>
      </w:r>
      <w:r>
        <w:rPr>
          <w:rFonts w:hint="eastAsia" w:hAnsi="宋体"/>
          <w:bCs/>
          <w:color w:val="auto"/>
          <w:sz w:val="21"/>
          <w:szCs w:val="21"/>
        </w:rPr>
        <w:t>.</w:t>
      </w:r>
      <w:r>
        <w:rPr>
          <w:rFonts w:hAnsi="宋体"/>
          <w:bCs/>
          <w:color w:val="auto"/>
          <w:sz w:val="21"/>
          <w:szCs w:val="21"/>
        </w:rPr>
        <w:t xml:space="preserve"> 付款方式：</w:t>
      </w:r>
    </w:p>
    <w:p>
      <w:pPr>
        <w:pStyle w:val="25"/>
        <w:snapToGrid w:val="0"/>
        <w:spacing w:before="120" w:beforeLines="0" w:after="120" w:afterLines="0" w:line="360" w:lineRule="auto"/>
        <w:ind w:left="420" w:hanging="420" w:hangingChars="200"/>
        <w:rPr>
          <w:rFonts w:hAnsi="宋体"/>
          <w:bCs/>
          <w:color w:val="auto"/>
          <w:sz w:val="21"/>
          <w:szCs w:val="21"/>
        </w:rPr>
      </w:pPr>
      <w:r>
        <w:rPr>
          <w:rFonts w:hAnsi="宋体"/>
          <w:bCs/>
          <w:color w:val="auto"/>
          <w:sz w:val="21"/>
          <w:szCs w:val="21"/>
        </w:rPr>
        <w:t>2</w:t>
      </w:r>
      <w:r>
        <w:rPr>
          <w:rFonts w:hint="eastAsia" w:hAnsi="宋体"/>
          <w:bCs/>
          <w:color w:val="auto"/>
          <w:sz w:val="21"/>
          <w:szCs w:val="21"/>
        </w:rPr>
        <w:t>.</w:t>
      </w:r>
      <w:r>
        <w:rPr>
          <w:rFonts w:hAnsi="宋体"/>
          <w:color w:val="auto"/>
          <w:sz w:val="21"/>
          <w:szCs w:val="21"/>
        </w:rPr>
        <w:t>当采购数量与实际使用数量不一致时，乙</w:t>
      </w:r>
      <w:r>
        <w:rPr>
          <w:rFonts w:hint="eastAsia" w:hAnsi="宋体"/>
          <w:color w:val="auto"/>
          <w:sz w:val="21"/>
          <w:szCs w:val="21"/>
        </w:rPr>
        <w:t>方</w:t>
      </w:r>
      <w:r>
        <w:rPr>
          <w:rFonts w:hAnsi="宋体"/>
          <w:color w:val="auto"/>
          <w:sz w:val="21"/>
          <w:szCs w:val="21"/>
        </w:rPr>
        <w:t>应根据实际使用量供货，合同的最终结算金额按实际使用量乘以成交单价进行计算。</w:t>
      </w:r>
    </w:p>
    <w:p>
      <w:pPr>
        <w:snapToGrid w:val="0"/>
        <w:spacing w:before="120" w:beforeLines="50" w:after="120" w:afterLines="50" w:line="360" w:lineRule="auto"/>
        <w:rPr>
          <w:rFonts w:ascii="宋体" w:hAnsi="宋体"/>
          <w:color w:val="auto"/>
          <w:szCs w:val="21"/>
        </w:rPr>
      </w:pPr>
      <w:r>
        <w:rPr>
          <w:rFonts w:hint="eastAsia" w:ascii="宋体" w:hAnsi="宋体"/>
          <w:color w:val="auto"/>
          <w:szCs w:val="21"/>
        </w:rPr>
        <w:t>十一、税费</w:t>
      </w:r>
    </w:p>
    <w:p>
      <w:pPr>
        <w:snapToGrid w:val="0"/>
        <w:spacing w:before="120" w:beforeLines="50" w:after="120" w:afterLines="50" w:line="360" w:lineRule="auto"/>
        <w:rPr>
          <w:rFonts w:ascii="宋体" w:hAnsi="宋体"/>
          <w:color w:val="auto"/>
          <w:szCs w:val="21"/>
        </w:rPr>
      </w:pPr>
      <w:r>
        <w:rPr>
          <w:rFonts w:hint="eastAsia" w:ascii="宋体" w:hAnsi="宋体"/>
          <w:color w:val="auto"/>
          <w:szCs w:val="21"/>
        </w:rPr>
        <w:t>本合同执行中相关的一切税费均由</w:t>
      </w:r>
      <w:r>
        <w:rPr>
          <w:rFonts w:hAnsi="宋体"/>
          <w:color w:val="auto"/>
          <w:szCs w:val="21"/>
        </w:rPr>
        <w:t>乙</w:t>
      </w:r>
      <w:r>
        <w:rPr>
          <w:rFonts w:hint="eastAsia" w:ascii="宋体" w:hAnsi="宋体"/>
          <w:color w:val="auto"/>
          <w:szCs w:val="21"/>
        </w:rPr>
        <w:t>方负担。</w:t>
      </w:r>
    </w:p>
    <w:p>
      <w:pPr>
        <w:pStyle w:val="25"/>
        <w:snapToGrid w:val="0"/>
        <w:spacing w:before="120" w:beforeLines="0" w:after="120" w:afterLines="0" w:line="360" w:lineRule="auto"/>
        <w:ind w:left="359" w:hanging="359" w:hangingChars="171"/>
        <w:rPr>
          <w:rFonts w:hAnsi="宋体"/>
          <w:color w:val="auto"/>
          <w:sz w:val="21"/>
          <w:szCs w:val="21"/>
        </w:rPr>
      </w:pPr>
      <w:r>
        <w:rPr>
          <w:rFonts w:hAnsi="宋体"/>
          <w:color w:val="auto"/>
          <w:sz w:val="21"/>
          <w:szCs w:val="21"/>
        </w:rPr>
        <w:t>十二、质量保证及售后服务</w:t>
      </w:r>
    </w:p>
    <w:p>
      <w:pPr>
        <w:pStyle w:val="25"/>
        <w:snapToGrid w:val="0"/>
        <w:spacing w:before="120" w:beforeLines="0" w:after="120" w:afterLines="0" w:line="360" w:lineRule="auto"/>
        <w:ind w:left="359" w:hanging="359" w:hangingChars="171"/>
        <w:rPr>
          <w:rFonts w:hAnsi="宋体"/>
          <w:color w:val="auto"/>
          <w:sz w:val="21"/>
          <w:szCs w:val="21"/>
        </w:rPr>
      </w:pPr>
      <w:r>
        <w:rPr>
          <w:rFonts w:hAnsi="宋体"/>
          <w:color w:val="auto"/>
          <w:sz w:val="21"/>
          <w:szCs w:val="21"/>
        </w:rPr>
        <w:t>1</w:t>
      </w:r>
      <w:r>
        <w:rPr>
          <w:rFonts w:hint="eastAsia" w:hAnsi="宋体"/>
          <w:color w:val="auto"/>
          <w:sz w:val="21"/>
          <w:szCs w:val="21"/>
        </w:rPr>
        <w:t>.</w:t>
      </w:r>
      <w:r>
        <w:rPr>
          <w:rFonts w:hAnsi="宋体"/>
          <w:color w:val="auto"/>
          <w:sz w:val="21"/>
          <w:szCs w:val="21"/>
        </w:rPr>
        <w:t xml:space="preserve"> 乙方应按采购文件规定的货物性能、技术要求、质量标准向甲方提供未经使用的全新产品。</w:t>
      </w:r>
    </w:p>
    <w:p>
      <w:pPr>
        <w:pStyle w:val="25"/>
        <w:snapToGrid w:val="0"/>
        <w:spacing w:before="120" w:beforeLines="0" w:after="120" w:afterLines="0" w:line="360" w:lineRule="auto"/>
        <w:ind w:left="420" w:hanging="420" w:hangingChars="200"/>
        <w:rPr>
          <w:rFonts w:hAnsi="宋体"/>
          <w:color w:val="auto"/>
          <w:sz w:val="21"/>
          <w:szCs w:val="21"/>
        </w:rPr>
      </w:pPr>
      <w:r>
        <w:rPr>
          <w:rFonts w:hAnsi="宋体"/>
          <w:color w:val="auto"/>
          <w:sz w:val="21"/>
          <w:szCs w:val="21"/>
        </w:rPr>
        <w:t>2</w:t>
      </w:r>
      <w:r>
        <w:rPr>
          <w:rFonts w:hint="eastAsia" w:hAnsi="宋体"/>
          <w:color w:val="auto"/>
          <w:sz w:val="21"/>
          <w:szCs w:val="21"/>
        </w:rPr>
        <w:t>.</w:t>
      </w:r>
      <w:r>
        <w:rPr>
          <w:rFonts w:hAnsi="宋体"/>
          <w:color w:val="auto"/>
          <w:sz w:val="21"/>
          <w:szCs w:val="21"/>
        </w:rPr>
        <w:t xml:space="preserve"> 乙方提供的货物在质</w:t>
      </w:r>
      <w:r>
        <w:rPr>
          <w:rFonts w:hint="eastAsia" w:hAnsi="宋体"/>
          <w:color w:val="auto"/>
          <w:sz w:val="21"/>
          <w:szCs w:val="21"/>
        </w:rPr>
        <w:t>保</w:t>
      </w:r>
      <w:r>
        <w:rPr>
          <w:rFonts w:hAnsi="宋体"/>
          <w:color w:val="auto"/>
          <w:sz w:val="21"/>
          <w:szCs w:val="21"/>
        </w:rPr>
        <w:t>期内因货物本身的质量问题发生故障，乙方应负责免费更换。对达不到技术要求者，根据实际情况，经双方协商，可按以下办法处理：</w:t>
      </w:r>
    </w:p>
    <w:p>
      <w:pPr>
        <w:pStyle w:val="25"/>
        <w:snapToGrid w:val="0"/>
        <w:spacing w:before="120" w:beforeLines="0" w:after="120" w:afterLines="0" w:line="360" w:lineRule="auto"/>
        <w:ind w:firstLine="420"/>
        <w:rPr>
          <w:rFonts w:hAnsi="宋体"/>
          <w:color w:val="auto"/>
          <w:sz w:val="21"/>
          <w:szCs w:val="21"/>
        </w:rPr>
      </w:pPr>
      <w:r>
        <w:rPr>
          <w:rFonts w:hAnsi="宋体"/>
          <w:color w:val="auto"/>
          <w:sz w:val="21"/>
          <w:szCs w:val="21"/>
        </w:rPr>
        <w:t>⑴更换：由乙方承担所发生的全部费用。</w:t>
      </w:r>
    </w:p>
    <w:p>
      <w:pPr>
        <w:pStyle w:val="25"/>
        <w:snapToGrid w:val="0"/>
        <w:spacing w:before="120" w:beforeLines="0" w:after="120" w:afterLines="0" w:line="360" w:lineRule="auto"/>
        <w:ind w:firstLine="420"/>
        <w:rPr>
          <w:rFonts w:hAnsi="宋体"/>
          <w:color w:val="auto"/>
          <w:sz w:val="21"/>
          <w:szCs w:val="21"/>
        </w:rPr>
      </w:pPr>
      <w:r>
        <w:rPr>
          <w:rFonts w:hAnsi="宋体"/>
          <w:color w:val="auto"/>
          <w:sz w:val="21"/>
          <w:szCs w:val="21"/>
        </w:rPr>
        <w:t>⑵贬值处理：由甲乙双方合议定价。</w:t>
      </w:r>
    </w:p>
    <w:p>
      <w:pPr>
        <w:pStyle w:val="25"/>
        <w:snapToGrid w:val="0"/>
        <w:spacing w:before="120" w:beforeLines="0" w:after="120" w:afterLines="0" w:line="360" w:lineRule="auto"/>
        <w:ind w:left="420" w:leftChars="200"/>
        <w:rPr>
          <w:rFonts w:hAnsi="宋体"/>
          <w:color w:val="auto"/>
          <w:sz w:val="21"/>
          <w:szCs w:val="21"/>
        </w:rPr>
      </w:pPr>
      <w:r>
        <w:rPr>
          <w:rFonts w:hAnsi="宋体"/>
          <w:color w:val="auto"/>
          <w:sz w:val="21"/>
          <w:szCs w:val="21"/>
        </w:rPr>
        <w:t>⑶退货处理：乙方应退还甲方支付的合同款，同时应承担该货物的直接费用（运输、保险、检验、货款利息及银行手续费等）。</w:t>
      </w:r>
    </w:p>
    <w:p>
      <w:pPr>
        <w:pStyle w:val="25"/>
        <w:snapToGrid w:val="0"/>
        <w:spacing w:before="120" w:beforeLines="0" w:after="120" w:afterLines="0" w:line="360" w:lineRule="auto"/>
        <w:rPr>
          <w:rFonts w:hint="eastAsia" w:hAnsi="宋体"/>
          <w:color w:val="auto"/>
          <w:sz w:val="21"/>
          <w:szCs w:val="21"/>
        </w:rPr>
      </w:pPr>
      <w:r>
        <w:rPr>
          <w:rFonts w:hAnsi="宋体"/>
          <w:color w:val="auto"/>
          <w:sz w:val="21"/>
          <w:szCs w:val="21"/>
        </w:rPr>
        <w:t>3</w:t>
      </w:r>
      <w:r>
        <w:rPr>
          <w:rFonts w:hint="eastAsia" w:hAnsi="宋体"/>
          <w:color w:val="auto"/>
          <w:sz w:val="21"/>
          <w:szCs w:val="21"/>
        </w:rPr>
        <w:t>.</w:t>
      </w:r>
      <w:r>
        <w:rPr>
          <w:rFonts w:hAnsi="宋体"/>
          <w:color w:val="auto"/>
          <w:sz w:val="21"/>
          <w:szCs w:val="21"/>
        </w:rPr>
        <w:t xml:space="preserve"> 如在使用过程中发生质量问题，乙方在接到甲方通知后在△小时内到达甲方</w:t>
      </w:r>
    </w:p>
    <w:p>
      <w:pPr>
        <w:pStyle w:val="25"/>
        <w:snapToGrid w:val="0"/>
        <w:spacing w:before="120" w:beforeLines="0" w:after="120" w:afterLines="0" w:line="360" w:lineRule="auto"/>
        <w:ind w:firstLine="315" w:firstLineChars="150"/>
        <w:rPr>
          <w:rFonts w:hAnsi="宋体"/>
          <w:color w:val="auto"/>
          <w:sz w:val="21"/>
          <w:szCs w:val="21"/>
        </w:rPr>
      </w:pPr>
      <w:r>
        <w:rPr>
          <w:rFonts w:hAnsi="宋体"/>
          <w:color w:val="auto"/>
          <w:sz w:val="21"/>
          <w:szCs w:val="21"/>
        </w:rPr>
        <w:t>现场。</w:t>
      </w:r>
    </w:p>
    <w:p>
      <w:pPr>
        <w:pStyle w:val="25"/>
        <w:snapToGrid w:val="0"/>
        <w:spacing w:before="120" w:beforeLines="0" w:after="120" w:afterLines="0" w:line="360" w:lineRule="auto"/>
        <w:rPr>
          <w:rFonts w:hint="eastAsia" w:hAnsi="宋体"/>
          <w:color w:val="auto"/>
          <w:sz w:val="21"/>
          <w:szCs w:val="21"/>
        </w:rPr>
      </w:pPr>
      <w:r>
        <w:rPr>
          <w:rFonts w:hAnsi="宋体"/>
          <w:color w:val="auto"/>
          <w:sz w:val="21"/>
          <w:szCs w:val="21"/>
        </w:rPr>
        <w:t>4</w:t>
      </w:r>
      <w:r>
        <w:rPr>
          <w:rFonts w:hint="eastAsia" w:hAnsi="宋体"/>
          <w:color w:val="auto"/>
          <w:sz w:val="21"/>
          <w:szCs w:val="21"/>
        </w:rPr>
        <w:t>.</w:t>
      </w:r>
      <w:r>
        <w:rPr>
          <w:rFonts w:hAnsi="宋体"/>
          <w:color w:val="auto"/>
          <w:sz w:val="21"/>
          <w:szCs w:val="21"/>
        </w:rPr>
        <w:t xml:space="preserve"> 在质保期内，乙方应对货物出现的质量及安全问题负责处理解决并承担一切</w:t>
      </w:r>
    </w:p>
    <w:p>
      <w:pPr>
        <w:pStyle w:val="25"/>
        <w:snapToGrid w:val="0"/>
        <w:spacing w:before="120" w:beforeLines="0" w:after="120" w:afterLines="0" w:line="360" w:lineRule="auto"/>
        <w:ind w:firstLine="315" w:firstLineChars="150"/>
        <w:rPr>
          <w:rFonts w:hAnsi="宋体"/>
          <w:color w:val="auto"/>
          <w:sz w:val="21"/>
          <w:szCs w:val="21"/>
        </w:rPr>
      </w:pPr>
      <w:r>
        <w:rPr>
          <w:rFonts w:hAnsi="宋体"/>
          <w:color w:val="auto"/>
          <w:sz w:val="21"/>
          <w:szCs w:val="21"/>
        </w:rPr>
        <w:t>费用。</w:t>
      </w:r>
    </w:p>
    <w:p>
      <w:pPr>
        <w:pStyle w:val="25"/>
        <w:snapToGrid w:val="0"/>
        <w:spacing w:before="120" w:beforeLines="0" w:after="120" w:afterLines="0" w:line="360" w:lineRule="auto"/>
        <w:rPr>
          <w:rFonts w:hint="eastAsia" w:hAnsi="宋体"/>
          <w:color w:val="auto"/>
          <w:sz w:val="21"/>
          <w:szCs w:val="21"/>
        </w:rPr>
      </w:pPr>
      <w:r>
        <w:rPr>
          <w:rFonts w:hAnsi="宋体"/>
          <w:color w:val="auto"/>
          <w:sz w:val="21"/>
          <w:szCs w:val="21"/>
        </w:rPr>
        <w:t>5</w:t>
      </w:r>
      <w:r>
        <w:rPr>
          <w:rFonts w:hint="eastAsia" w:hAnsi="宋体"/>
          <w:color w:val="auto"/>
          <w:sz w:val="21"/>
          <w:szCs w:val="21"/>
        </w:rPr>
        <w:t>.</w:t>
      </w:r>
      <w:r>
        <w:rPr>
          <w:rFonts w:hAnsi="宋体"/>
          <w:color w:val="auto"/>
          <w:sz w:val="21"/>
          <w:szCs w:val="21"/>
        </w:rPr>
        <w:t>上述的货物免费保修期为     年，因人为因素出现的故障不在免费保修范围</w:t>
      </w:r>
    </w:p>
    <w:p>
      <w:pPr>
        <w:pStyle w:val="25"/>
        <w:snapToGrid w:val="0"/>
        <w:spacing w:before="120" w:beforeLines="0" w:after="120" w:afterLines="0" w:line="360" w:lineRule="auto"/>
        <w:ind w:firstLine="210" w:firstLineChars="100"/>
        <w:rPr>
          <w:rFonts w:hAnsi="宋体"/>
          <w:color w:val="auto"/>
          <w:sz w:val="21"/>
          <w:szCs w:val="21"/>
        </w:rPr>
      </w:pPr>
      <w:r>
        <w:rPr>
          <w:rFonts w:hAnsi="宋体"/>
          <w:color w:val="auto"/>
          <w:sz w:val="21"/>
          <w:szCs w:val="21"/>
        </w:rPr>
        <w:t>内。超过保修期的机器设备，终生维修，维修时只收部件成本费。</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十三、调试和验收</w:t>
      </w:r>
    </w:p>
    <w:p>
      <w:pPr>
        <w:pStyle w:val="25"/>
        <w:snapToGrid w:val="0"/>
        <w:spacing w:before="120" w:beforeLines="0" w:after="120" w:afterLines="0" w:line="360" w:lineRule="auto"/>
        <w:jc w:val="left"/>
        <w:rPr>
          <w:rFonts w:hint="eastAsia" w:hAnsi="宋体"/>
          <w:color w:val="auto"/>
          <w:sz w:val="21"/>
          <w:szCs w:val="21"/>
        </w:rPr>
      </w:pPr>
      <w:r>
        <w:rPr>
          <w:rFonts w:hAnsi="宋体"/>
          <w:color w:val="auto"/>
          <w:sz w:val="21"/>
          <w:szCs w:val="21"/>
        </w:rPr>
        <w:t>1</w:t>
      </w:r>
      <w:r>
        <w:rPr>
          <w:rFonts w:hint="eastAsia" w:hAnsi="宋体"/>
          <w:color w:val="auto"/>
          <w:sz w:val="21"/>
          <w:szCs w:val="21"/>
        </w:rPr>
        <w:t>.</w:t>
      </w:r>
      <w:r>
        <w:rPr>
          <w:rFonts w:hAnsi="宋体"/>
          <w:color w:val="auto"/>
          <w:sz w:val="21"/>
          <w:szCs w:val="21"/>
        </w:rPr>
        <w:t xml:space="preserve"> 甲方对乙方提交的货物依据采购文件上的技术规格要求和国家有关质量标准</w:t>
      </w:r>
    </w:p>
    <w:p>
      <w:pPr>
        <w:pStyle w:val="25"/>
        <w:snapToGrid w:val="0"/>
        <w:spacing w:before="120" w:beforeLines="0" w:after="120" w:afterLines="0" w:line="360" w:lineRule="auto"/>
        <w:ind w:firstLine="315" w:firstLineChars="150"/>
        <w:jc w:val="left"/>
        <w:rPr>
          <w:rFonts w:hint="eastAsia" w:hAnsi="宋体"/>
          <w:color w:val="auto"/>
          <w:sz w:val="21"/>
          <w:szCs w:val="21"/>
        </w:rPr>
      </w:pPr>
      <w:r>
        <w:rPr>
          <w:rFonts w:hAnsi="宋体"/>
          <w:color w:val="auto"/>
          <w:sz w:val="21"/>
          <w:szCs w:val="21"/>
        </w:rPr>
        <w:t>进行现场初步验收，外观、说明书符合采购文件技术要求的，给予签收，初</w:t>
      </w:r>
    </w:p>
    <w:p>
      <w:pPr>
        <w:pStyle w:val="25"/>
        <w:snapToGrid w:val="0"/>
        <w:spacing w:before="120" w:beforeLines="0" w:after="120" w:afterLines="0" w:line="360" w:lineRule="auto"/>
        <w:ind w:firstLine="315" w:firstLineChars="150"/>
        <w:jc w:val="left"/>
        <w:rPr>
          <w:rFonts w:hAnsi="宋体"/>
          <w:color w:val="auto"/>
          <w:sz w:val="21"/>
          <w:szCs w:val="21"/>
        </w:rPr>
      </w:pPr>
      <w:r>
        <w:rPr>
          <w:rFonts w:hAnsi="宋体"/>
          <w:color w:val="auto"/>
          <w:sz w:val="21"/>
          <w:szCs w:val="21"/>
        </w:rPr>
        <w:t>步验收不合格的不予签收。货到后，甲方需在五个工作日内验收。</w:t>
      </w:r>
    </w:p>
    <w:p>
      <w:pPr>
        <w:pStyle w:val="25"/>
        <w:snapToGrid w:val="0"/>
        <w:spacing w:before="120" w:beforeLines="0" w:after="120" w:afterLines="0" w:line="360" w:lineRule="auto"/>
        <w:rPr>
          <w:rFonts w:hint="eastAsia" w:hAnsi="宋体"/>
          <w:color w:val="auto"/>
          <w:sz w:val="21"/>
          <w:szCs w:val="21"/>
        </w:rPr>
      </w:pPr>
      <w:r>
        <w:rPr>
          <w:rFonts w:hAnsi="宋体"/>
          <w:color w:val="auto"/>
          <w:sz w:val="21"/>
          <w:szCs w:val="21"/>
        </w:rPr>
        <w:t>2</w:t>
      </w:r>
      <w:r>
        <w:rPr>
          <w:rFonts w:hint="eastAsia" w:hAnsi="宋体"/>
          <w:color w:val="auto"/>
          <w:sz w:val="21"/>
          <w:szCs w:val="21"/>
        </w:rPr>
        <w:t>.</w:t>
      </w:r>
      <w:r>
        <w:rPr>
          <w:rFonts w:hAnsi="宋体"/>
          <w:color w:val="auto"/>
          <w:sz w:val="21"/>
          <w:szCs w:val="21"/>
        </w:rPr>
        <w:t xml:space="preserve"> 乙方交货前应对产品作出全面检查和对验收文件进行整理，并列出清单，作</w:t>
      </w:r>
    </w:p>
    <w:p>
      <w:pPr>
        <w:pStyle w:val="25"/>
        <w:snapToGrid w:val="0"/>
        <w:spacing w:before="120" w:beforeLines="0" w:after="120" w:afterLines="0" w:line="360" w:lineRule="auto"/>
        <w:ind w:firstLine="315" w:firstLineChars="150"/>
        <w:rPr>
          <w:rFonts w:hAnsi="宋体"/>
          <w:color w:val="auto"/>
          <w:sz w:val="21"/>
          <w:szCs w:val="21"/>
        </w:rPr>
      </w:pPr>
      <w:r>
        <w:rPr>
          <w:rFonts w:hAnsi="宋体"/>
          <w:color w:val="auto"/>
          <w:sz w:val="21"/>
          <w:szCs w:val="21"/>
        </w:rPr>
        <w:t>为甲方收货验收和使用的技术条件依据，检验的结果应随货物交甲方。</w:t>
      </w:r>
    </w:p>
    <w:p>
      <w:pPr>
        <w:pStyle w:val="25"/>
        <w:snapToGrid w:val="0"/>
        <w:spacing w:before="120" w:beforeLines="0" w:after="120" w:afterLines="0" w:line="360" w:lineRule="auto"/>
        <w:rPr>
          <w:rFonts w:hint="eastAsia" w:hAnsi="宋体"/>
          <w:color w:val="auto"/>
          <w:sz w:val="21"/>
          <w:szCs w:val="21"/>
        </w:rPr>
      </w:pPr>
      <w:r>
        <w:rPr>
          <w:rFonts w:hAnsi="宋体"/>
          <w:color w:val="auto"/>
          <w:sz w:val="21"/>
          <w:szCs w:val="21"/>
        </w:rPr>
        <w:t>3</w:t>
      </w:r>
      <w:r>
        <w:rPr>
          <w:rFonts w:hint="eastAsia" w:hAnsi="宋体"/>
          <w:color w:val="auto"/>
          <w:sz w:val="21"/>
          <w:szCs w:val="21"/>
        </w:rPr>
        <w:t>.</w:t>
      </w:r>
      <w:r>
        <w:rPr>
          <w:rFonts w:hAnsi="宋体"/>
          <w:color w:val="auto"/>
          <w:sz w:val="21"/>
          <w:szCs w:val="21"/>
        </w:rPr>
        <w:t xml:space="preserve"> 甲方对乙方提供的货物在使用前进行调试时，乙方需负责安装并培训甲方的</w:t>
      </w:r>
    </w:p>
    <w:p>
      <w:pPr>
        <w:pStyle w:val="25"/>
        <w:snapToGrid w:val="0"/>
        <w:spacing w:before="120" w:beforeLines="0" w:after="120" w:afterLines="0" w:line="360" w:lineRule="auto"/>
        <w:ind w:firstLine="315" w:firstLineChars="150"/>
        <w:rPr>
          <w:rFonts w:hint="eastAsia" w:hAnsi="宋体"/>
          <w:color w:val="auto"/>
          <w:sz w:val="21"/>
          <w:szCs w:val="21"/>
        </w:rPr>
      </w:pPr>
      <w:r>
        <w:rPr>
          <w:rFonts w:hAnsi="宋体"/>
          <w:color w:val="auto"/>
          <w:sz w:val="21"/>
          <w:szCs w:val="21"/>
        </w:rPr>
        <w:t>使用操作人员，并协助甲方一起调试，直到符合技术要求，甲方才做最终验</w:t>
      </w:r>
    </w:p>
    <w:p>
      <w:pPr>
        <w:pStyle w:val="25"/>
        <w:snapToGrid w:val="0"/>
        <w:spacing w:before="120" w:beforeLines="0" w:after="120" w:afterLines="0" w:line="360" w:lineRule="auto"/>
        <w:ind w:firstLine="315" w:firstLineChars="150"/>
        <w:rPr>
          <w:rFonts w:hAnsi="宋体"/>
          <w:color w:val="auto"/>
          <w:sz w:val="21"/>
          <w:szCs w:val="21"/>
        </w:rPr>
      </w:pPr>
      <w:r>
        <w:rPr>
          <w:rFonts w:hAnsi="宋体"/>
          <w:color w:val="auto"/>
          <w:sz w:val="21"/>
          <w:szCs w:val="21"/>
        </w:rPr>
        <w:t>收。</w:t>
      </w:r>
    </w:p>
    <w:p>
      <w:pPr>
        <w:pStyle w:val="25"/>
        <w:snapToGrid w:val="0"/>
        <w:spacing w:before="120" w:beforeLines="0" w:after="120" w:afterLines="0" w:line="360" w:lineRule="auto"/>
        <w:rPr>
          <w:rFonts w:hint="eastAsia" w:hAnsi="宋体"/>
          <w:color w:val="auto"/>
          <w:sz w:val="21"/>
          <w:szCs w:val="21"/>
        </w:rPr>
      </w:pPr>
      <w:r>
        <w:rPr>
          <w:rFonts w:hAnsi="宋体"/>
          <w:color w:val="auto"/>
          <w:sz w:val="21"/>
          <w:szCs w:val="21"/>
        </w:rPr>
        <w:t>4</w:t>
      </w:r>
      <w:r>
        <w:rPr>
          <w:rFonts w:hint="eastAsia" w:hAnsi="宋体"/>
          <w:color w:val="auto"/>
          <w:sz w:val="21"/>
          <w:szCs w:val="21"/>
        </w:rPr>
        <w:t>.</w:t>
      </w:r>
      <w:r>
        <w:rPr>
          <w:rFonts w:hAnsi="宋体"/>
          <w:color w:val="auto"/>
          <w:sz w:val="21"/>
          <w:szCs w:val="21"/>
        </w:rPr>
        <w:t xml:space="preserve"> 对技术复杂的货物，甲方应请国家认可的专业检测机构参与初步验收及最终</w:t>
      </w:r>
    </w:p>
    <w:p>
      <w:pPr>
        <w:pStyle w:val="25"/>
        <w:snapToGrid w:val="0"/>
        <w:spacing w:before="120" w:beforeLines="0" w:after="120" w:afterLines="0" w:line="360" w:lineRule="auto"/>
        <w:ind w:firstLine="315" w:firstLineChars="150"/>
        <w:rPr>
          <w:rFonts w:hAnsi="宋体"/>
          <w:color w:val="auto"/>
          <w:sz w:val="21"/>
          <w:szCs w:val="21"/>
        </w:rPr>
      </w:pPr>
      <w:r>
        <w:rPr>
          <w:rFonts w:hAnsi="宋体"/>
          <w:color w:val="auto"/>
          <w:sz w:val="21"/>
          <w:szCs w:val="21"/>
        </w:rPr>
        <w:t>验收，并由其出具质量检测报告。</w:t>
      </w:r>
    </w:p>
    <w:p>
      <w:pPr>
        <w:pStyle w:val="25"/>
        <w:snapToGrid w:val="0"/>
        <w:spacing w:before="120" w:beforeLines="0" w:after="120" w:afterLines="0" w:line="360" w:lineRule="auto"/>
        <w:rPr>
          <w:rFonts w:hint="eastAsia" w:hAnsi="宋体"/>
          <w:color w:val="auto"/>
          <w:sz w:val="21"/>
          <w:szCs w:val="21"/>
        </w:rPr>
      </w:pPr>
      <w:r>
        <w:rPr>
          <w:rFonts w:hAnsi="宋体"/>
          <w:color w:val="auto"/>
          <w:sz w:val="21"/>
          <w:szCs w:val="21"/>
        </w:rPr>
        <w:t>5</w:t>
      </w:r>
      <w:r>
        <w:rPr>
          <w:rFonts w:hint="eastAsia" w:hAnsi="宋体"/>
          <w:color w:val="auto"/>
          <w:sz w:val="21"/>
          <w:szCs w:val="21"/>
        </w:rPr>
        <w:t>.</w:t>
      </w:r>
      <w:r>
        <w:rPr>
          <w:rFonts w:hAnsi="宋体"/>
          <w:color w:val="auto"/>
          <w:sz w:val="21"/>
          <w:szCs w:val="21"/>
        </w:rPr>
        <w:t xml:space="preserve"> 验收时乙方必须在现场，验收完毕后作出验收结果报告；验收费用由乙方负</w:t>
      </w:r>
    </w:p>
    <w:p>
      <w:pPr>
        <w:pStyle w:val="25"/>
        <w:snapToGrid w:val="0"/>
        <w:spacing w:before="120" w:beforeLines="0" w:after="120" w:afterLines="0" w:line="360" w:lineRule="auto"/>
        <w:ind w:firstLine="315" w:firstLineChars="150"/>
        <w:rPr>
          <w:rFonts w:hAnsi="宋体"/>
          <w:color w:val="auto"/>
          <w:sz w:val="21"/>
          <w:szCs w:val="21"/>
        </w:rPr>
      </w:pPr>
      <w:r>
        <w:rPr>
          <w:rFonts w:hAnsi="宋体"/>
          <w:color w:val="auto"/>
          <w:sz w:val="21"/>
          <w:szCs w:val="21"/>
        </w:rPr>
        <w:t>责。</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十四、货物包装、发运及运输</w:t>
      </w:r>
    </w:p>
    <w:p>
      <w:pPr>
        <w:pStyle w:val="25"/>
        <w:snapToGrid w:val="0"/>
        <w:spacing w:before="120" w:beforeLines="0" w:after="120" w:afterLines="0" w:line="360" w:lineRule="auto"/>
        <w:ind w:left="420" w:hanging="420" w:hangingChars="200"/>
        <w:rPr>
          <w:rFonts w:hAnsi="宋体"/>
          <w:color w:val="auto"/>
          <w:sz w:val="21"/>
          <w:szCs w:val="21"/>
        </w:rPr>
      </w:pPr>
      <w:r>
        <w:rPr>
          <w:rFonts w:hAnsi="宋体"/>
          <w:color w:val="auto"/>
          <w:sz w:val="21"/>
          <w:szCs w:val="21"/>
        </w:rPr>
        <w:t>1</w:t>
      </w:r>
      <w:r>
        <w:rPr>
          <w:rFonts w:hint="eastAsia" w:hAnsi="宋体"/>
          <w:color w:val="auto"/>
          <w:sz w:val="21"/>
          <w:szCs w:val="21"/>
        </w:rPr>
        <w:t>.</w:t>
      </w:r>
      <w:r>
        <w:rPr>
          <w:rFonts w:hAnsi="宋体"/>
          <w:color w:val="auto"/>
          <w:sz w:val="21"/>
          <w:szCs w:val="21"/>
        </w:rPr>
        <w:t xml:space="preserve"> 乙方应在货物发运前对其进行满足运输距离、防潮、防震、防锈和防破损装卸等要求包装，以保证货物安全运达甲方指定地点。</w:t>
      </w:r>
    </w:p>
    <w:p>
      <w:pPr>
        <w:pStyle w:val="25"/>
        <w:snapToGrid w:val="0"/>
        <w:spacing w:before="120" w:beforeLines="0" w:after="120" w:afterLines="0" w:line="360" w:lineRule="auto"/>
        <w:ind w:left="420" w:hanging="420" w:hangingChars="200"/>
        <w:rPr>
          <w:rFonts w:hAnsi="宋体"/>
          <w:color w:val="auto"/>
          <w:sz w:val="21"/>
          <w:szCs w:val="21"/>
        </w:rPr>
      </w:pPr>
      <w:r>
        <w:rPr>
          <w:rFonts w:hAnsi="宋体"/>
          <w:color w:val="auto"/>
          <w:sz w:val="21"/>
          <w:szCs w:val="21"/>
        </w:rPr>
        <w:t>2</w:t>
      </w:r>
      <w:r>
        <w:rPr>
          <w:rFonts w:hint="eastAsia" w:hAnsi="宋体"/>
          <w:color w:val="auto"/>
          <w:sz w:val="21"/>
          <w:szCs w:val="21"/>
        </w:rPr>
        <w:t>.</w:t>
      </w:r>
      <w:r>
        <w:rPr>
          <w:rFonts w:hAnsi="宋体"/>
          <w:color w:val="auto"/>
          <w:sz w:val="21"/>
          <w:szCs w:val="21"/>
        </w:rPr>
        <w:t xml:space="preserve"> 使用说明书、质量检验证明书、随配附件和工具以及清单一并附于货物内。</w:t>
      </w:r>
    </w:p>
    <w:p>
      <w:pPr>
        <w:pStyle w:val="25"/>
        <w:snapToGrid w:val="0"/>
        <w:spacing w:before="120" w:beforeLines="0" w:after="120" w:afterLines="0" w:line="360" w:lineRule="auto"/>
        <w:ind w:left="420" w:hanging="420" w:hangingChars="200"/>
        <w:rPr>
          <w:rFonts w:hAnsi="宋体"/>
          <w:color w:val="auto"/>
          <w:sz w:val="21"/>
          <w:szCs w:val="21"/>
        </w:rPr>
      </w:pPr>
      <w:r>
        <w:rPr>
          <w:rFonts w:hAnsi="宋体"/>
          <w:color w:val="auto"/>
          <w:sz w:val="21"/>
          <w:szCs w:val="21"/>
        </w:rPr>
        <w:t>3</w:t>
      </w:r>
      <w:r>
        <w:rPr>
          <w:rFonts w:hint="eastAsia" w:hAnsi="宋体"/>
          <w:color w:val="auto"/>
          <w:sz w:val="21"/>
          <w:szCs w:val="21"/>
        </w:rPr>
        <w:t>.</w:t>
      </w:r>
      <w:r>
        <w:rPr>
          <w:rFonts w:hAnsi="宋体"/>
          <w:color w:val="auto"/>
          <w:sz w:val="21"/>
          <w:szCs w:val="21"/>
        </w:rPr>
        <w:t xml:space="preserve"> 乙方在货物发运手续办理完毕后24小时内或货到甲方48小时前通知甲方，以准备接货。</w:t>
      </w:r>
    </w:p>
    <w:p>
      <w:pPr>
        <w:pStyle w:val="25"/>
        <w:snapToGrid w:val="0"/>
        <w:spacing w:before="120" w:beforeLines="0" w:after="120" w:afterLines="0" w:line="360" w:lineRule="auto"/>
        <w:ind w:left="420" w:hanging="420" w:hangingChars="200"/>
        <w:rPr>
          <w:rFonts w:hAnsi="宋体"/>
          <w:color w:val="auto"/>
          <w:sz w:val="21"/>
          <w:szCs w:val="21"/>
        </w:rPr>
      </w:pPr>
      <w:r>
        <w:rPr>
          <w:rFonts w:hAnsi="宋体"/>
          <w:color w:val="auto"/>
          <w:sz w:val="21"/>
          <w:szCs w:val="21"/>
        </w:rPr>
        <w:t>4</w:t>
      </w:r>
      <w:r>
        <w:rPr>
          <w:rFonts w:hint="eastAsia" w:hAnsi="宋体"/>
          <w:color w:val="auto"/>
          <w:sz w:val="21"/>
          <w:szCs w:val="21"/>
        </w:rPr>
        <w:t>.</w:t>
      </w:r>
      <w:r>
        <w:rPr>
          <w:rFonts w:hAnsi="宋体"/>
          <w:color w:val="auto"/>
          <w:sz w:val="21"/>
          <w:szCs w:val="21"/>
        </w:rPr>
        <w:t xml:space="preserve"> 货物在交付甲方前发生的风险均由乙方负责。</w:t>
      </w:r>
    </w:p>
    <w:p>
      <w:pPr>
        <w:pStyle w:val="25"/>
        <w:snapToGrid w:val="0"/>
        <w:spacing w:before="120" w:after="120" w:line="360" w:lineRule="auto"/>
        <w:ind w:left="420" w:right="26" w:hanging="420" w:hangingChars="200"/>
        <w:rPr>
          <w:rFonts w:hint="eastAsia" w:hAnsi="宋体"/>
          <w:color w:val="auto"/>
          <w:sz w:val="21"/>
          <w:szCs w:val="21"/>
        </w:rPr>
      </w:pPr>
      <w:r>
        <w:rPr>
          <w:rFonts w:hAnsi="宋体"/>
          <w:color w:val="auto"/>
          <w:sz w:val="21"/>
          <w:szCs w:val="21"/>
        </w:rPr>
        <w:t>5</w:t>
      </w:r>
      <w:r>
        <w:rPr>
          <w:rFonts w:hint="eastAsia" w:hAnsi="宋体"/>
          <w:color w:val="auto"/>
          <w:sz w:val="21"/>
          <w:szCs w:val="21"/>
        </w:rPr>
        <w:t>.</w:t>
      </w:r>
      <w:r>
        <w:rPr>
          <w:rFonts w:hAnsi="宋体"/>
          <w:color w:val="auto"/>
          <w:sz w:val="21"/>
          <w:szCs w:val="21"/>
        </w:rPr>
        <w:t xml:space="preserve"> 货物在规定的交付期限内由乙方送达甲方指定的地点视为交付，乙方同时需</w:t>
      </w:r>
    </w:p>
    <w:p>
      <w:pPr>
        <w:pStyle w:val="25"/>
        <w:snapToGrid w:val="0"/>
        <w:spacing w:before="120" w:after="120" w:line="360" w:lineRule="auto"/>
        <w:ind w:left="464" w:leftChars="171" w:right="26" w:hanging="105" w:hangingChars="50"/>
        <w:rPr>
          <w:rFonts w:hAnsi="宋体"/>
          <w:color w:val="auto"/>
          <w:sz w:val="21"/>
          <w:szCs w:val="21"/>
        </w:rPr>
      </w:pPr>
      <w:r>
        <w:rPr>
          <w:rFonts w:hAnsi="宋体"/>
          <w:color w:val="auto"/>
          <w:sz w:val="21"/>
          <w:szCs w:val="21"/>
        </w:rPr>
        <w:t>通知甲方货物已送达。</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十五、违约责任</w:t>
      </w:r>
    </w:p>
    <w:p>
      <w:pPr>
        <w:pStyle w:val="25"/>
        <w:snapToGrid w:val="0"/>
        <w:spacing w:before="120" w:beforeLines="0" w:after="120" w:afterLines="0" w:line="360" w:lineRule="auto"/>
        <w:ind w:left="359" w:hanging="359" w:hangingChars="171"/>
        <w:rPr>
          <w:rFonts w:hAnsi="宋体"/>
          <w:color w:val="auto"/>
          <w:sz w:val="21"/>
          <w:szCs w:val="21"/>
        </w:rPr>
      </w:pPr>
      <w:r>
        <w:rPr>
          <w:rFonts w:hAnsi="宋体"/>
          <w:color w:val="auto"/>
          <w:sz w:val="21"/>
          <w:szCs w:val="21"/>
        </w:rPr>
        <w:t>1</w:t>
      </w:r>
      <w:r>
        <w:rPr>
          <w:rFonts w:hint="eastAsia" w:hAnsi="宋体"/>
          <w:color w:val="auto"/>
          <w:sz w:val="21"/>
          <w:szCs w:val="21"/>
        </w:rPr>
        <w:t>.</w:t>
      </w:r>
      <w:r>
        <w:rPr>
          <w:rFonts w:hAnsi="宋体"/>
          <w:color w:val="auto"/>
          <w:sz w:val="21"/>
          <w:szCs w:val="21"/>
        </w:rPr>
        <w:t xml:space="preserve"> 甲方无正当理由拒收货物的，甲方向乙方偿付拒收货款总值的百分之五违约金。</w:t>
      </w:r>
    </w:p>
    <w:p>
      <w:pPr>
        <w:pStyle w:val="25"/>
        <w:snapToGrid w:val="0"/>
        <w:spacing w:before="120" w:beforeLines="0" w:after="120" w:afterLines="0" w:line="360" w:lineRule="auto"/>
        <w:ind w:left="359" w:hanging="359" w:hangingChars="171"/>
        <w:rPr>
          <w:rFonts w:hAnsi="宋体"/>
          <w:color w:val="auto"/>
          <w:sz w:val="21"/>
          <w:szCs w:val="21"/>
        </w:rPr>
      </w:pPr>
      <w:r>
        <w:rPr>
          <w:rFonts w:hAnsi="宋体"/>
          <w:color w:val="auto"/>
          <w:sz w:val="21"/>
          <w:szCs w:val="21"/>
        </w:rPr>
        <w:t>2</w:t>
      </w:r>
      <w:r>
        <w:rPr>
          <w:rFonts w:hint="eastAsia" w:hAnsi="宋体"/>
          <w:color w:val="auto"/>
          <w:sz w:val="21"/>
          <w:szCs w:val="21"/>
        </w:rPr>
        <w:t>.</w:t>
      </w:r>
      <w:r>
        <w:rPr>
          <w:rFonts w:hAnsi="宋体"/>
          <w:color w:val="auto"/>
          <w:sz w:val="21"/>
          <w:szCs w:val="21"/>
        </w:rPr>
        <w:t xml:space="preserve"> 甲方无故逾期验收和办理货款支付手续的,甲方应按逾期付款总额每日万分之五向乙方支付违约金。</w:t>
      </w:r>
    </w:p>
    <w:p>
      <w:pPr>
        <w:pStyle w:val="25"/>
        <w:snapToGrid w:val="0"/>
        <w:spacing w:before="120" w:beforeLines="0" w:after="120" w:afterLines="0" w:line="360" w:lineRule="auto"/>
        <w:ind w:left="359" w:hanging="359" w:hangingChars="171"/>
        <w:rPr>
          <w:rFonts w:hAnsi="宋体"/>
          <w:color w:val="auto"/>
          <w:sz w:val="21"/>
          <w:szCs w:val="21"/>
        </w:rPr>
      </w:pPr>
      <w:r>
        <w:rPr>
          <w:rFonts w:hAnsi="宋体"/>
          <w:color w:val="auto"/>
          <w:sz w:val="21"/>
          <w:szCs w:val="21"/>
        </w:rPr>
        <w:t>3</w:t>
      </w:r>
      <w:r>
        <w:rPr>
          <w:rFonts w:hint="eastAsia" w:hAnsi="宋体"/>
          <w:color w:val="auto"/>
          <w:sz w:val="21"/>
          <w:szCs w:val="21"/>
        </w:rPr>
        <w:t>.</w:t>
      </w:r>
      <w:r>
        <w:rPr>
          <w:rFonts w:hAnsi="宋体"/>
          <w:color w:val="auto"/>
          <w:sz w:val="21"/>
          <w:szCs w:val="21"/>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5"/>
        <w:snapToGrid w:val="0"/>
        <w:spacing w:before="120" w:beforeLines="0" w:after="120" w:afterLines="0" w:line="360" w:lineRule="auto"/>
        <w:ind w:left="359" w:hanging="359" w:hangingChars="171"/>
        <w:rPr>
          <w:rFonts w:hAnsi="宋体"/>
          <w:color w:val="auto"/>
          <w:sz w:val="21"/>
          <w:szCs w:val="21"/>
        </w:rPr>
      </w:pPr>
      <w:r>
        <w:rPr>
          <w:rFonts w:hAnsi="宋体"/>
          <w:color w:val="auto"/>
          <w:sz w:val="21"/>
          <w:szCs w:val="21"/>
        </w:rPr>
        <w:t>4</w:t>
      </w:r>
      <w:r>
        <w:rPr>
          <w:rFonts w:hint="eastAsia" w:hAnsi="宋体"/>
          <w:color w:val="auto"/>
          <w:sz w:val="21"/>
          <w:szCs w:val="21"/>
        </w:rPr>
        <w:t>.</w:t>
      </w:r>
      <w:r>
        <w:rPr>
          <w:rFonts w:hAnsi="宋体"/>
          <w:color w:val="auto"/>
          <w:sz w:val="21"/>
          <w:szCs w:val="21"/>
        </w:rPr>
        <w:t xml:space="preserve">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十六、不可抗力事件处理</w:t>
      </w:r>
    </w:p>
    <w:p>
      <w:pPr>
        <w:pStyle w:val="25"/>
        <w:snapToGrid w:val="0"/>
        <w:spacing w:before="120" w:beforeLines="0" w:after="120" w:afterLines="0" w:line="360" w:lineRule="auto"/>
        <w:rPr>
          <w:rFonts w:hint="eastAsia" w:hAnsi="宋体"/>
          <w:color w:val="auto"/>
          <w:sz w:val="21"/>
          <w:szCs w:val="21"/>
        </w:rPr>
      </w:pPr>
      <w:r>
        <w:rPr>
          <w:rFonts w:hAnsi="宋体"/>
          <w:color w:val="auto"/>
          <w:sz w:val="21"/>
          <w:szCs w:val="21"/>
        </w:rPr>
        <w:t>1</w:t>
      </w:r>
      <w:r>
        <w:rPr>
          <w:rFonts w:hint="eastAsia" w:hAnsi="宋体"/>
          <w:color w:val="auto"/>
          <w:sz w:val="21"/>
          <w:szCs w:val="21"/>
        </w:rPr>
        <w:t>.</w:t>
      </w:r>
      <w:r>
        <w:rPr>
          <w:rFonts w:hAnsi="宋体"/>
          <w:color w:val="auto"/>
          <w:sz w:val="21"/>
          <w:szCs w:val="21"/>
        </w:rPr>
        <w:t xml:space="preserve"> 在合同有效期内，任何一方因不可抗力事件导致不能履行合同，则合同履行</w:t>
      </w:r>
    </w:p>
    <w:p>
      <w:pPr>
        <w:pStyle w:val="25"/>
        <w:snapToGrid w:val="0"/>
        <w:spacing w:before="120" w:beforeLines="0" w:after="120" w:afterLines="0" w:line="360" w:lineRule="auto"/>
        <w:ind w:firstLine="315" w:firstLineChars="150"/>
        <w:rPr>
          <w:rFonts w:hAnsi="宋体"/>
          <w:color w:val="auto"/>
          <w:sz w:val="21"/>
          <w:szCs w:val="21"/>
        </w:rPr>
      </w:pPr>
      <w:r>
        <w:rPr>
          <w:rFonts w:hAnsi="宋体"/>
          <w:color w:val="auto"/>
          <w:sz w:val="21"/>
          <w:szCs w:val="21"/>
        </w:rPr>
        <w:t>期可延长，其延长期与不可抗力影响期相同。</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2</w:t>
      </w:r>
      <w:r>
        <w:rPr>
          <w:rFonts w:hint="eastAsia" w:hAnsi="宋体"/>
          <w:color w:val="auto"/>
          <w:sz w:val="21"/>
          <w:szCs w:val="21"/>
        </w:rPr>
        <w:t>.</w:t>
      </w:r>
      <w:r>
        <w:rPr>
          <w:rFonts w:hAnsi="宋体"/>
          <w:color w:val="auto"/>
          <w:sz w:val="21"/>
          <w:szCs w:val="21"/>
        </w:rPr>
        <w:t xml:space="preserve"> 不可抗力事件发生后，应立即通知对方，并寄送有关权威机构出具的证明。</w:t>
      </w:r>
    </w:p>
    <w:p>
      <w:pPr>
        <w:pStyle w:val="25"/>
        <w:snapToGrid w:val="0"/>
        <w:spacing w:before="120" w:beforeLines="0" w:after="120" w:afterLines="0" w:line="360" w:lineRule="auto"/>
        <w:rPr>
          <w:rFonts w:hint="eastAsia" w:hAnsi="宋体"/>
          <w:color w:val="auto"/>
          <w:sz w:val="21"/>
          <w:szCs w:val="21"/>
        </w:rPr>
      </w:pPr>
      <w:r>
        <w:rPr>
          <w:rFonts w:hAnsi="宋体"/>
          <w:color w:val="auto"/>
          <w:sz w:val="21"/>
          <w:szCs w:val="21"/>
        </w:rPr>
        <w:t>3</w:t>
      </w:r>
      <w:r>
        <w:rPr>
          <w:rFonts w:hint="eastAsia" w:hAnsi="宋体"/>
          <w:color w:val="auto"/>
          <w:sz w:val="21"/>
          <w:szCs w:val="21"/>
        </w:rPr>
        <w:t>.</w:t>
      </w:r>
      <w:r>
        <w:rPr>
          <w:rFonts w:hAnsi="宋体"/>
          <w:color w:val="auto"/>
          <w:sz w:val="21"/>
          <w:szCs w:val="21"/>
        </w:rPr>
        <w:t xml:space="preserve"> 不可抗力事件延续120天以上，双方应通过友好协商，确定是否继续履行合</w:t>
      </w:r>
    </w:p>
    <w:p>
      <w:pPr>
        <w:pStyle w:val="25"/>
        <w:snapToGrid w:val="0"/>
        <w:spacing w:before="120" w:beforeLines="0" w:after="120" w:afterLines="0" w:line="360" w:lineRule="auto"/>
        <w:ind w:firstLine="315" w:firstLineChars="150"/>
        <w:rPr>
          <w:rFonts w:hAnsi="宋体"/>
          <w:color w:val="auto"/>
          <w:sz w:val="21"/>
          <w:szCs w:val="21"/>
        </w:rPr>
      </w:pPr>
      <w:r>
        <w:rPr>
          <w:rFonts w:hAnsi="宋体"/>
          <w:color w:val="auto"/>
          <w:sz w:val="21"/>
          <w:szCs w:val="21"/>
        </w:rPr>
        <w:t>同。</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十七、诉讼</w:t>
      </w:r>
    </w:p>
    <w:p>
      <w:pPr>
        <w:pStyle w:val="25"/>
        <w:snapToGrid w:val="0"/>
        <w:spacing w:before="120" w:beforeLines="0" w:after="120" w:afterLines="0" w:line="360" w:lineRule="auto"/>
        <w:ind w:left="420" w:hanging="420" w:hangingChars="200"/>
        <w:rPr>
          <w:rFonts w:hint="eastAsia" w:hAnsi="宋体"/>
          <w:color w:val="auto"/>
          <w:sz w:val="21"/>
          <w:szCs w:val="21"/>
        </w:rPr>
      </w:pPr>
      <w:r>
        <w:rPr>
          <w:rFonts w:hAnsi="宋体"/>
          <w:color w:val="auto"/>
          <w:sz w:val="21"/>
          <w:szCs w:val="21"/>
        </w:rPr>
        <w:t xml:space="preserve"> 双方在执行合同中所发生的一切争议，应通过协商解决。如协商不成，可向</w:t>
      </w:r>
      <w:r>
        <w:rPr>
          <w:rFonts w:hint="eastAsia" w:hAnsi="宋体"/>
          <w:color w:val="auto"/>
          <w:sz w:val="21"/>
          <w:szCs w:val="21"/>
        </w:rPr>
        <w:t>甲</w:t>
      </w:r>
    </w:p>
    <w:p>
      <w:pPr>
        <w:pStyle w:val="25"/>
        <w:snapToGrid w:val="0"/>
        <w:spacing w:before="120" w:beforeLines="0" w:after="120" w:afterLines="0" w:line="360" w:lineRule="auto"/>
        <w:ind w:left="435" w:leftChars="57" w:hanging="315" w:hangingChars="150"/>
        <w:rPr>
          <w:rFonts w:hAnsi="宋体"/>
          <w:color w:val="auto"/>
          <w:sz w:val="21"/>
          <w:szCs w:val="21"/>
        </w:rPr>
      </w:pPr>
      <w:r>
        <w:rPr>
          <w:rFonts w:hint="eastAsia" w:hAnsi="宋体"/>
          <w:color w:val="auto"/>
          <w:sz w:val="21"/>
          <w:szCs w:val="21"/>
        </w:rPr>
        <w:t>方所在</w:t>
      </w:r>
      <w:r>
        <w:rPr>
          <w:rFonts w:hAnsi="宋体"/>
          <w:color w:val="auto"/>
          <w:sz w:val="21"/>
          <w:szCs w:val="21"/>
        </w:rPr>
        <w:t>地法院起诉。</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十八、合同生效及其它</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1</w:t>
      </w:r>
      <w:r>
        <w:rPr>
          <w:rFonts w:hint="eastAsia" w:hAnsi="宋体"/>
          <w:color w:val="auto"/>
          <w:sz w:val="21"/>
          <w:szCs w:val="21"/>
        </w:rPr>
        <w:t>.</w:t>
      </w:r>
      <w:r>
        <w:rPr>
          <w:rFonts w:hAnsi="宋体"/>
          <w:color w:val="auto"/>
          <w:sz w:val="21"/>
          <w:szCs w:val="21"/>
        </w:rPr>
        <w:t xml:space="preserve"> 合同经双方法定代表人或授权代表签字并加盖单位公章后生效。</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2</w:t>
      </w:r>
      <w:r>
        <w:rPr>
          <w:rFonts w:hint="eastAsia" w:hAnsi="宋体"/>
          <w:color w:val="auto"/>
          <w:sz w:val="21"/>
          <w:szCs w:val="21"/>
        </w:rPr>
        <w:t>.</w:t>
      </w:r>
      <w:r>
        <w:rPr>
          <w:rFonts w:hAnsi="宋体"/>
          <w:color w:val="auto"/>
          <w:sz w:val="21"/>
          <w:szCs w:val="21"/>
        </w:rPr>
        <w:t>合同执行中涉及采购资金和采购内容修改或补充的，须经财政部门审批，并签书面补充协议报政府采购监督管理部门备案，方可作为主合同不可分割的一部分。</w:t>
      </w:r>
    </w:p>
    <w:p>
      <w:pPr>
        <w:pStyle w:val="25"/>
        <w:snapToGrid w:val="0"/>
        <w:spacing w:before="120" w:beforeLines="0" w:after="120" w:afterLines="0" w:line="360" w:lineRule="auto"/>
        <w:ind w:left="420" w:hanging="420" w:hangingChars="200"/>
        <w:rPr>
          <w:rFonts w:hAnsi="宋体"/>
          <w:color w:val="auto"/>
          <w:sz w:val="21"/>
          <w:szCs w:val="21"/>
        </w:rPr>
      </w:pPr>
      <w:r>
        <w:rPr>
          <w:rFonts w:hAnsi="宋体"/>
          <w:color w:val="auto"/>
          <w:sz w:val="21"/>
          <w:szCs w:val="21"/>
        </w:rPr>
        <w:t>3</w:t>
      </w:r>
      <w:r>
        <w:rPr>
          <w:rFonts w:hint="eastAsia" w:hAnsi="宋体"/>
          <w:color w:val="auto"/>
          <w:sz w:val="21"/>
          <w:szCs w:val="21"/>
        </w:rPr>
        <w:t>.</w:t>
      </w:r>
      <w:r>
        <w:rPr>
          <w:rFonts w:hAnsi="宋体"/>
          <w:color w:val="auto"/>
          <w:sz w:val="21"/>
          <w:szCs w:val="21"/>
        </w:rPr>
        <w:t>本合同未尽事宜，遵照《合同法》有关条文执行。</w:t>
      </w:r>
    </w:p>
    <w:p>
      <w:pPr>
        <w:pStyle w:val="25"/>
        <w:snapToGrid w:val="0"/>
        <w:spacing w:before="120" w:beforeLines="0" w:after="120" w:afterLines="0" w:line="360" w:lineRule="auto"/>
        <w:ind w:left="420" w:hanging="420" w:hangingChars="200"/>
        <w:rPr>
          <w:rFonts w:hint="eastAsia" w:hAnsi="宋体"/>
          <w:color w:val="auto"/>
          <w:sz w:val="21"/>
          <w:szCs w:val="21"/>
        </w:rPr>
      </w:pPr>
      <w:r>
        <w:rPr>
          <w:rFonts w:hAnsi="宋体"/>
          <w:color w:val="auto"/>
          <w:sz w:val="21"/>
          <w:szCs w:val="21"/>
        </w:rPr>
        <w:t>4</w:t>
      </w:r>
      <w:r>
        <w:rPr>
          <w:rFonts w:hint="eastAsia" w:hAnsi="宋体"/>
          <w:color w:val="auto"/>
          <w:sz w:val="21"/>
          <w:szCs w:val="21"/>
        </w:rPr>
        <w:t>.</w:t>
      </w:r>
      <w:r>
        <w:rPr>
          <w:rFonts w:hAnsi="宋体"/>
          <w:color w:val="auto"/>
          <w:sz w:val="21"/>
          <w:szCs w:val="21"/>
        </w:rPr>
        <w:t>本合同正本一式两份，具有同等法律效力，甲乙双方各执一份；副本△份，(用</w:t>
      </w:r>
    </w:p>
    <w:p>
      <w:pPr>
        <w:pStyle w:val="25"/>
        <w:snapToGrid w:val="0"/>
        <w:spacing w:before="120" w:beforeLines="0" w:after="120" w:afterLines="0" w:line="360" w:lineRule="auto"/>
        <w:ind w:left="449" w:leftChars="114" w:hanging="210" w:hangingChars="100"/>
        <w:rPr>
          <w:rFonts w:hAnsi="宋体"/>
          <w:color w:val="auto"/>
          <w:sz w:val="21"/>
          <w:szCs w:val="21"/>
        </w:rPr>
      </w:pPr>
      <w:r>
        <w:rPr>
          <w:rFonts w:hAnsi="宋体"/>
          <w:color w:val="auto"/>
          <w:sz w:val="21"/>
          <w:szCs w:val="21"/>
        </w:rPr>
        <w:t>途)。</w:t>
      </w:r>
    </w:p>
    <w:p>
      <w:pPr>
        <w:pStyle w:val="25"/>
        <w:snapToGrid w:val="0"/>
        <w:spacing w:before="120" w:beforeLines="0" w:after="120" w:afterLines="0" w:line="360" w:lineRule="auto"/>
        <w:ind w:left="420" w:hanging="420" w:hangingChars="200"/>
        <w:rPr>
          <w:rFonts w:hAnsi="宋体"/>
          <w:color w:val="auto"/>
          <w:sz w:val="21"/>
          <w:szCs w:val="21"/>
        </w:rPr>
      </w:pPr>
      <w:r>
        <w:rPr>
          <w:rFonts w:hAnsi="宋体"/>
          <w:color w:val="auto"/>
          <w:sz w:val="21"/>
          <w:szCs w:val="21"/>
        </w:rPr>
        <w:t xml:space="preserve">  甲方：</w:t>
      </w:r>
      <w:r>
        <w:rPr>
          <w:rFonts w:hint="eastAsia" w:hAnsi="宋体"/>
          <w:color w:val="auto"/>
          <w:sz w:val="21"/>
          <w:szCs w:val="21"/>
        </w:rPr>
        <w:t xml:space="preserve">  </w:t>
      </w:r>
      <w:r>
        <w:rPr>
          <w:rFonts w:hAnsi="宋体"/>
          <w:color w:val="auto"/>
          <w:sz w:val="21"/>
          <w:szCs w:val="21"/>
        </w:rPr>
        <w:t xml:space="preserve">                                 乙方： </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 xml:space="preserve">  地址：                                   地址： </w:t>
      </w:r>
    </w:p>
    <w:p>
      <w:pPr>
        <w:pStyle w:val="25"/>
        <w:snapToGrid w:val="0"/>
        <w:spacing w:before="120" w:beforeLines="0" w:after="120" w:afterLines="0" w:line="360" w:lineRule="auto"/>
        <w:rPr>
          <w:rFonts w:hAnsi="宋体"/>
          <w:color w:val="auto"/>
          <w:sz w:val="21"/>
          <w:szCs w:val="21"/>
        </w:rPr>
      </w:pPr>
      <w:r>
        <w:rPr>
          <w:rFonts w:hAnsi="宋体"/>
          <w:color w:val="auto"/>
          <w:sz w:val="21"/>
          <w:szCs w:val="21"/>
        </w:rPr>
        <w:t xml:space="preserve">  法定</w:t>
      </w:r>
      <w:r>
        <w:rPr>
          <w:rFonts w:hint="eastAsia" w:hAnsi="宋体"/>
          <w:color w:val="auto"/>
          <w:sz w:val="21"/>
          <w:szCs w:val="21"/>
        </w:rPr>
        <w:t>（授权）</w:t>
      </w:r>
      <w:r>
        <w:rPr>
          <w:rFonts w:hAnsi="宋体"/>
          <w:color w:val="auto"/>
          <w:sz w:val="21"/>
          <w:szCs w:val="21"/>
        </w:rPr>
        <w:t>代表人：                     法定</w:t>
      </w:r>
      <w:r>
        <w:rPr>
          <w:rFonts w:hint="eastAsia" w:hAnsi="宋体"/>
          <w:color w:val="auto"/>
          <w:sz w:val="21"/>
          <w:szCs w:val="21"/>
        </w:rPr>
        <w:t>（授权）</w:t>
      </w:r>
      <w:r>
        <w:rPr>
          <w:rFonts w:hAnsi="宋体"/>
          <w:color w:val="auto"/>
          <w:sz w:val="21"/>
          <w:szCs w:val="21"/>
        </w:rPr>
        <w:t>代表人：</w:t>
      </w:r>
    </w:p>
    <w:p>
      <w:pPr>
        <w:pStyle w:val="25"/>
        <w:snapToGrid w:val="0"/>
        <w:spacing w:before="120" w:beforeLines="0" w:after="120" w:afterLines="0" w:line="360" w:lineRule="auto"/>
        <w:rPr>
          <w:rFonts w:hint="eastAsia" w:hAnsi="宋体"/>
          <w:color w:val="auto"/>
          <w:sz w:val="21"/>
          <w:szCs w:val="21"/>
        </w:rPr>
      </w:pPr>
      <w:r>
        <w:rPr>
          <w:rFonts w:hAnsi="宋体"/>
          <w:color w:val="auto"/>
          <w:sz w:val="21"/>
          <w:szCs w:val="21"/>
        </w:rPr>
        <w:t xml:space="preserve">  签</w:t>
      </w:r>
      <w:r>
        <w:rPr>
          <w:rFonts w:hint="eastAsia" w:hAnsi="宋体"/>
          <w:color w:val="auto"/>
          <w:sz w:val="21"/>
          <w:szCs w:val="21"/>
        </w:rPr>
        <w:t>字日期</w:t>
      </w:r>
      <w:r>
        <w:rPr>
          <w:rFonts w:hAnsi="宋体"/>
          <w:color w:val="auto"/>
          <w:sz w:val="21"/>
          <w:szCs w:val="21"/>
        </w:rPr>
        <w:t xml:space="preserve">：      年  月  日  </w:t>
      </w:r>
      <w:r>
        <w:rPr>
          <w:rFonts w:hint="eastAsia" w:hAnsi="宋体"/>
          <w:color w:val="auto"/>
          <w:sz w:val="21"/>
          <w:szCs w:val="21"/>
        </w:rPr>
        <w:t xml:space="preserve">    </w:t>
      </w:r>
      <w:r>
        <w:rPr>
          <w:rFonts w:hAnsi="宋体"/>
          <w:color w:val="auto"/>
          <w:sz w:val="21"/>
          <w:szCs w:val="21"/>
        </w:rPr>
        <w:t xml:space="preserve">     签</w:t>
      </w:r>
      <w:r>
        <w:rPr>
          <w:rFonts w:hint="eastAsia" w:hAnsi="宋体"/>
          <w:color w:val="auto"/>
          <w:sz w:val="21"/>
          <w:szCs w:val="21"/>
        </w:rPr>
        <w:t>字</w:t>
      </w:r>
      <w:r>
        <w:rPr>
          <w:rFonts w:hAnsi="宋体"/>
          <w:color w:val="auto"/>
          <w:sz w:val="21"/>
          <w:szCs w:val="21"/>
        </w:rPr>
        <w:t>日期：      年  月  日</w:t>
      </w:r>
    </w:p>
    <w:p>
      <w:pPr>
        <w:pStyle w:val="25"/>
        <w:snapToGrid w:val="0"/>
        <w:spacing w:before="120" w:beforeLines="0" w:after="120" w:afterLines="0" w:line="360" w:lineRule="auto"/>
        <w:rPr>
          <w:rFonts w:hint="eastAsia" w:hAnsi="宋体"/>
          <w:color w:val="auto"/>
          <w:sz w:val="21"/>
          <w:szCs w:val="21"/>
        </w:rPr>
      </w:pPr>
    </w:p>
    <w:p>
      <w:pPr>
        <w:pStyle w:val="25"/>
        <w:snapToGrid w:val="0"/>
        <w:spacing w:before="120" w:beforeLines="0" w:after="120" w:afterLines="0" w:line="360" w:lineRule="auto"/>
        <w:rPr>
          <w:rFonts w:hint="eastAsia" w:hAnsi="宋体"/>
          <w:color w:val="auto"/>
          <w:sz w:val="21"/>
          <w:szCs w:val="21"/>
        </w:rPr>
      </w:pPr>
      <w:r>
        <w:rPr>
          <w:rFonts w:hint="eastAsia" w:hAnsi="宋体"/>
          <w:color w:val="auto"/>
          <w:sz w:val="21"/>
          <w:szCs w:val="21"/>
        </w:rPr>
        <w:t xml:space="preserve"> 合同鉴证方:</w:t>
      </w:r>
    </w:p>
    <w:p>
      <w:pPr>
        <w:pStyle w:val="25"/>
        <w:snapToGrid w:val="0"/>
        <w:spacing w:before="120" w:beforeLines="0" w:after="120" w:afterLines="0" w:line="360" w:lineRule="auto"/>
        <w:rPr>
          <w:rFonts w:hint="eastAsia" w:hAnsi="宋体"/>
          <w:color w:val="auto"/>
          <w:sz w:val="21"/>
          <w:szCs w:val="21"/>
        </w:rPr>
      </w:pPr>
      <w:r>
        <w:rPr>
          <w:rFonts w:hint="eastAsia" w:hAnsi="宋体"/>
          <w:color w:val="auto"/>
          <w:sz w:val="21"/>
          <w:szCs w:val="21"/>
        </w:rPr>
        <w:t>法定代表人或主要负责人:</w:t>
      </w:r>
    </w:p>
    <w:p>
      <w:pPr>
        <w:pStyle w:val="25"/>
        <w:snapToGrid w:val="0"/>
        <w:spacing w:before="120" w:beforeLines="0" w:after="120" w:afterLines="0" w:line="360" w:lineRule="auto"/>
        <w:rPr>
          <w:rFonts w:hint="eastAsia" w:hAnsi="宋体"/>
          <w:color w:val="auto"/>
          <w:sz w:val="21"/>
          <w:szCs w:val="21"/>
        </w:rPr>
      </w:pPr>
      <w:r>
        <w:rPr>
          <w:rFonts w:hint="eastAsia" w:hAnsi="宋体"/>
          <w:color w:val="auto"/>
          <w:sz w:val="21"/>
          <w:szCs w:val="21"/>
        </w:rPr>
        <w:t>鉴证日期:</w:t>
      </w:r>
    </w:p>
    <w:p>
      <w:pPr>
        <w:snapToGrid w:val="0"/>
        <w:spacing w:before="120" w:beforeLines="50" w:after="120" w:afterLines="50" w:line="360" w:lineRule="auto"/>
        <w:rPr>
          <w:rFonts w:hAnsi="宋体"/>
          <w:color w:val="auto"/>
        </w:rPr>
      </w:pPr>
    </w:p>
    <w:p>
      <w:pPr>
        <w:pStyle w:val="25"/>
        <w:snapToGrid w:val="0"/>
        <w:spacing w:before="120" w:beforeLines="0" w:after="120" w:afterLines="0" w:line="360" w:lineRule="auto"/>
        <w:rPr>
          <w:rFonts w:hAnsi="宋体"/>
          <w:color w:val="auto"/>
        </w:rPr>
      </w:pPr>
    </w:p>
    <w:p>
      <w:pPr>
        <w:pStyle w:val="25"/>
        <w:tabs>
          <w:tab w:val="left" w:pos="2472"/>
        </w:tabs>
        <w:snapToGrid w:val="0"/>
        <w:spacing w:before="0" w:beforeLines="0" w:after="0" w:afterLines="0" w:line="360" w:lineRule="auto"/>
        <w:jc w:val="center"/>
        <w:rPr>
          <w:rFonts w:hint="eastAsia" w:ascii="黑体" w:hAnsi="宋体" w:eastAsia="黑体"/>
          <w:color w:val="auto"/>
          <w:sz w:val="28"/>
          <w:szCs w:val="28"/>
        </w:rPr>
      </w:pPr>
      <w:r>
        <w:rPr>
          <w:rFonts w:hAnsi="宋体"/>
          <w:color w:val="auto"/>
        </w:rPr>
        <w:br w:type="page"/>
      </w:r>
      <w:r>
        <w:rPr>
          <w:rFonts w:hint="eastAsia" w:ascii="黑体" w:hAnsi="宋体" w:eastAsia="黑体"/>
          <w:color w:val="auto"/>
          <w:sz w:val="28"/>
          <w:szCs w:val="28"/>
        </w:rPr>
        <w:t>第六章　投标文件格式</w:t>
      </w:r>
    </w:p>
    <w:p>
      <w:pPr>
        <w:snapToGrid w:val="0"/>
        <w:spacing w:before="120" w:beforeLines="50" w:after="50"/>
        <w:rPr>
          <w:rFonts w:ascii="宋体" w:hAnsi="宋体"/>
          <w:b/>
          <w:color w:val="auto"/>
          <w:szCs w:val="21"/>
        </w:rPr>
      </w:pPr>
      <w:r>
        <w:rPr>
          <w:rFonts w:ascii="宋体" w:hAnsi="宋体"/>
          <w:b/>
          <w:color w:val="auto"/>
          <w:szCs w:val="21"/>
        </w:rPr>
        <w:t>1</w:t>
      </w:r>
      <w:r>
        <w:rPr>
          <w:rFonts w:hint="eastAsia" w:ascii="宋体" w:hAnsi="宋体"/>
          <w:b/>
          <w:color w:val="auto"/>
          <w:szCs w:val="21"/>
        </w:rPr>
        <w:t>. 投标文件包装封面格式及投标文件封面格式：</w:t>
      </w:r>
    </w:p>
    <w:p>
      <w:pPr>
        <w:snapToGrid w:val="0"/>
        <w:spacing w:before="120" w:beforeLines="50" w:after="50"/>
        <w:rPr>
          <w:rFonts w:hint="eastAsia" w:ascii="宋体" w:hAnsi="宋体"/>
          <w:b/>
          <w:bCs/>
          <w:color w:val="auto"/>
          <w:szCs w:val="21"/>
        </w:rPr>
      </w:pPr>
      <w:r>
        <w:rPr>
          <w:rFonts w:hint="eastAsia" w:ascii="宋体" w:hAnsi="宋体"/>
          <w:b/>
          <w:bCs/>
          <w:color w:val="auto"/>
          <w:szCs w:val="21"/>
        </w:rPr>
        <w:t>包装</w:t>
      </w:r>
      <w:r>
        <w:rPr>
          <w:rFonts w:hint="eastAsia" w:ascii="宋体" w:hAnsi="宋体"/>
          <w:b/>
          <w:color w:val="auto"/>
          <w:szCs w:val="21"/>
        </w:rPr>
        <w:t>封面格式</w:t>
      </w:r>
      <w:r>
        <w:rPr>
          <w:rFonts w:hint="eastAsia" w:ascii="宋体" w:hAnsi="宋体"/>
          <w:b/>
          <w:bCs/>
          <w:color w:val="auto"/>
          <w:szCs w:val="21"/>
        </w:rPr>
        <w:t>：</w:t>
      </w:r>
    </w:p>
    <w:p>
      <w:pPr>
        <w:snapToGrid w:val="0"/>
        <w:spacing w:before="120" w:beforeLines="50" w:after="50"/>
        <w:jc w:val="center"/>
        <w:rPr>
          <w:rFonts w:hint="eastAsia" w:ascii="宋体" w:hAnsi="宋体"/>
          <w:bCs/>
          <w:color w:val="auto"/>
          <w:szCs w:val="21"/>
        </w:rPr>
      </w:pPr>
      <w:r>
        <w:rPr>
          <w:rFonts w:hint="eastAsia" w:ascii="宋体" w:hAnsi="宋体"/>
          <w:bCs/>
          <w:color w:val="auto"/>
          <w:szCs w:val="21"/>
        </w:rPr>
        <w:t>投</w:t>
      </w:r>
      <w:r>
        <w:rPr>
          <w:rFonts w:ascii="宋体" w:hAnsi="宋体"/>
          <w:bCs/>
          <w:color w:val="auto"/>
          <w:szCs w:val="21"/>
        </w:rPr>
        <w:t xml:space="preserve"> </w:t>
      </w:r>
      <w:r>
        <w:rPr>
          <w:rFonts w:hint="eastAsia" w:ascii="宋体" w:hAnsi="宋体"/>
          <w:bCs/>
          <w:color w:val="auto"/>
          <w:szCs w:val="21"/>
        </w:rPr>
        <w:t>标</w:t>
      </w:r>
      <w:r>
        <w:rPr>
          <w:rFonts w:ascii="宋体" w:hAnsi="宋体"/>
          <w:bCs/>
          <w:color w:val="auto"/>
          <w:szCs w:val="21"/>
        </w:rPr>
        <w:t xml:space="preserve"> </w:t>
      </w:r>
      <w:r>
        <w:rPr>
          <w:rFonts w:hint="eastAsia" w:ascii="宋体" w:hAnsi="宋体"/>
          <w:bCs/>
          <w:color w:val="auto"/>
          <w:szCs w:val="21"/>
        </w:rPr>
        <w:t>文</w:t>
      </w:r>
      <w:r>
        <w:rPr>
          <w:rFonts w:ascii="宋体" w:hAnsi="宋体"/>
          <w:bCs/>
          <w:color w:val="auto"/>
          <w:szCs w:val="21"/>
        </w:rPr>
        <w:t xml:space="preserve"> </w:t>
      </w:r>
      <w:r>
        <w:rPr>
          <w:rFonts w:hint="eastAsia" w:ascii="宋体" w:hAnsi="宋体"/>
          <w:bCs/>
          <w:color w:val="auto"/>
          <w:szCs w:val="21"/>
        </w:rPr>
        <w:t>件</w:t>
      </w:r>
    </w:p>
    <w:p>
      <w:pPr>
        <w:snapToGrid w:val="0"/>
        <w:spacing w:before="120" w:beforeLines="50" w:after="50"/>
        <w:jc w:val="center"/>
        <w:rPr>
          <w:rFonts w:ascii="宋体" w:hAnsi="宋体"/>
          <w:bCs/>
          <w:color w:val="auto"/>
          <w:szCs w:val="21"/>
        </w:rPr>
      </w:pPr>
      <w:r>
        <w:rPr>
          <w:rFonts w:hint="eastAsia" w:ascii="宋体" w:hAnsi="宋体"/>
          <w:bCs/>
          <w:color w:val="auto"/>
          <w:szCs w:val="21"/>
        </w:rPr>
        <w:t>（</w:t>
      </w:r>
      <w:r>
        <w:rPr>
          <w:rFonts w:hint="eastAsia" w:hAnsi="宋体"/>
          <w:color w:val="auto"/>
          <w:szCs w:val="21"/>
        </w:rPr>
        <w:t>资信、</w:t>
      </w:r>
      <w:r>
        <w:rPr>
          <w:rFonts w:hAnsi="宋体"/>
          <w:color w:val="auto"/>
          <w:szCs w:val="21"/>
        </w:rPr>
        <w:t>商务</w:t>
      </w:r>
      <w:r>
        <w:rPr>
          <w:rFonts w:hint="eastAsia" w:hAnsi="宋体"/>
          <w:color w:val="auto"/>
          <w:szCs w:val="21"/>
        </w:rPr>
        <w:t>、</w:t>
      </w:r>
      <w:r>
        <w:rPr>
          <w:rFonts w:hAnsi="宋体"/>
          <w:color w:val="auto"/>
          <w:szCs w:val="21"/>
        </w:rPr>
        <w:t>技术文件</w:t>
      </w:r>
      <w:r>
        <w:rPr>
          <w:rFonts w:hint="eastAsia" w:ascii="宋体" w:hAnsi="宋体"/>
          <w:bCs/>
          <w:color w:val="auto"/>
          <w:szCs w:val="21"/>
        </w:rPr>
        <w:t>）</w:t>
      </w:r>
    </w:p>
    <w:p>
      <w:pPr>
        <w:snapToGrid w:val="0"/>
        <w:spacing w:before="120" w:beforeLines="50" w:after="50"/>
        <w:ind w:firstLine="945" w:firstLineChars="450"/>
        <w:rPr>
          <w:rFonts w:ascii="宋体" w:hAnsi="宋体"/>
          <w:bCs/>
          <w:color w:val="auto"/>
          <w:szCs w:val="21"/>
        </w:rPr>
      </w:pPr>
      <w:r>
        <w:rPr>
          <w:rFonts w:hint="eastAsia" w:ascii="宋体" w:hAnsi="宋体"/>
          <w:bCs/>
          <w:color w:val="auto"/>
          <w:szCs w:val="21"/>
        </w:rPr>
        <w:t>项目名称：</w:t>
      </w:r>
      <w:r>
        <w:rPr>
          <w:rFonts w:hint="eastAsia" w:ascii="宋体" w:hAnsi="宋体"/>
          <w:bCs/>
          <w:color w:val="auto"/>
          <w:szCs w:val="21"/>
          <w:u w:val="single"/>
        </w:rPr>
        <w:t>邱隘镇校园安全防控指挥中心设备采购及安装项目</w:t>
      </w:r>
    </w:p>
    <w:p>
      <w:pPr>
        <w:snapToGrid w:val="0"/>
        <w:spacing w:before="120" w:beforeLines="50" w:after="50"/>
        <w:ind w:firstLine="420" w:firstLineChars="200"/>
        <w:rPr>
          <w:rFonts w:hint="eastAsia" w:ascii="宋体" w:hAnsi="宋体"/>
          <w:bCs/>
          <w:color w:val="auto"/>
          <w:szCs w:val="21"/>
        </w:rPr>
      </w:pPr>
      <w:r>
        <w:rPr>
          <w:rFonts w:ascii="宋体" w:hAnsi="宋体"/>
          <w:bCs/>
          <w:color w:val="auto"/>
          <w:szCs w:val="21"/>
        </w:rPr>
        <w:t xml:space="preserve">    </w:t>
      </w:r>
      <w:r>
        <w:rPr>
          <w:rFonts w:hint="eastAsia" w:ascii="宋体" w:hAnsi="宋体"/>
          <w:bCs/>
          <w:color w:val="auto"/>
          <w:szCs w:val="21"/>
        </w:rPr>
        <w:t xml:space="preserve"> 项目编号：NBRL-19082</w:t>
      </w:r>
    </w:p>
    <w:p>
      <w:pPr>
        <w:snapToGrid w:val="0"/>
        <w:spacing w:before="120" w:beforeLines="50" w:after="50"/>
        <w:ind w:firstLine="420" w:firstLineChars="200"/>
        <w:rPr>
          <w:rFonts w:hint="eastAsia" w:ascii="宋体" w:hAnsi="宋体"/>
          <w:bCs/>
          <w:color w:val="auto"/>
          <w:szCs w:val="21"/>
        </w:rPr>
      </w:pPr>
      <w:r>
        <w:rPr>
          <w:rFonts w:hint="eastAsia" w:ascii="宋体" w:hAnsi="宋体"/>
          <w:bCs/>
          <w:color w:val="auto"/>
          <w:szCs w:val="21"/>
        </w:rPr>
        <w:t xml:space="preserve">     子包号：</w:t>
      </w:r>
      <w:r>
        <w:rPr>
          <w:rFonts w:hint="eastAsia" w:ascii="宋体" w:hAnsi="宋体"/>
          <w:bCs/>
          <w:color w:val="auto"/>
          <w:szCs w:val="21"/>
          <w:u w:val="single"/>
        </w:rPr>
        <w:t xml:space="preserve">   </w:t>
      </w:r>
    </w:p>
    <w:p>
      <w:pPr>
        <w:snapToGrid w:val="0"/>
        <w:spacing w:before="120" w:beforeLines="50" w:after="50"/>
        <w:ind w:firstLine="945" w:firstLineChars="450"/>
        <w:rPr>
          <w:rFonts w:hint="eastAsia" w:ascii="宋体" w:hAnsi="宋体"/>
          <w:bCs/>
          <w:color w:val="auto"/>
          <w:szCs w:val="21"/>
        </w:rPr>
      </w:pPr>
      <w:r>
        <w:rPr>
          <w:rFonts w:hint="eastAsia" w:ascii="宋体" w:hAnsi="宋体"/>
          <w:bCs/>
          <w:color w:val="auto"/>
          <w:szCs w:val="21"/>
        </w:rPr>
        <w:t>投标人名称（加盖公章）：</w:t>
      </w:r>
    </w:p>
    <w:p>
      <w:pPr>
        <w:snapToGrid w:val="0"/>
        <w:spacing w:before="120" w:beforeLines="50" w:after="50"/>
        <w:ind w:firstLine="945" w:firstLineChars="450"/>
        <w:rPr>
          <w:rFonts w:hint="eastAsia" w:ascii="宋体" w:hAnsi="宋体"/>
          <w:bCs/>
          <w:color w:val="auto"/>
          <w:szCs w:val="21"/>
          <w:u w:val="single"/>
        </w:rPr>
      </w:pPr>
      <w:r>
        <w:rPr>
          <w:rFonts w:hint="eastAsia" w:ascii="宋体" w:hAnsi="宋体"/>
          <w:bCs/>
          <w:color w:val="auto"/>
          <w:szCs w:val="21"/>
        </w:rPr>
        <w:t>投标人地址：</w:t>
      </w:r>
      <w:r>
        <w:rPr>
          <w:rFonts w:hint="eastAsia" w:ascii="宋体" w:hAnsi="宋体"/>
          <w:bCs/>
          <w:color w:val="auto"/>
          <w:szCs w:val="21"/>
          <w:u w:val="single"/>
        </w:rPr>
        <w:t xml:space="preserve">                          </w:t>
      </w:r>
    </w:p>
    <w:p>
      <w:pPr>
        <w:snapToGrid w:val="0"/>
        <w:spacing w:before="120" w:beforeLines="50" w:after="50"/>
        <w:ind w:firstLine="945" w:firstLineChars="450"/>
        <w:rPr>
          <w:rFonts w:ascii="宋体" w:hAnsi="宋体"/>
          <w:bCs/>
          <w:color w:val="auto"/>
          <w:szCs w:val="21"/>
        </w:rPr>
      </w:pPr>
      <w:r>
        <w:rPr>
          <w:rFonts w:hint="eastAsia" w:ascii="宋体" w:hAnsi="宋体"/>
          <w:bCs/>
          <w:color w:val="auto"/>
          <w:szCs w:val="21"/>
        </w:rPr>
        <w:t>投标文件于2019年7月</w:t>
      </w:r>
      <w:r>
        <w:rPr>
          <w:rFonts w:hint="eastAsia" w:ascii="宋体" w:hAnsi="宋体"/>
          <w:bCs/>
          <w:color w:val="auto"/>
          <w:szCs w:val="21"/>
          <w:lang w:val="en-US" w:eastAsia="zh-CN"/>
        </w:rPr>
        <w:t>3</w:t>
      </w:r>
      <w:r>
        <w:rPr>
          <w:rFonts w:hint="eastAsia" w:ascii="宋体" w:hAnsi="宋体"/>
          <w:bCs/>
          <w:color w:val="auto"/>
          <w:szCs w:val="21"/>
          <w:lang w:val="en-US" w:eastAsia="zh-CN"/>
        </w:rPr>
        <w:t>0</w:t>
      </w:r>
      <w:r>
        <w:rPr>
          <w:rFonts w:hint="eastAsia" w:ascii="宋体" w:hAnsi="宋体"/>
          <w:bCs/>
          <w:color w:val="auto"/>
          <w:szCs w:val="21"/>
        </w:rPr>
        <w:t>日14：00（北京时间）前不得启封</w:t>
      </w:r>
    </w:p>
    <w:p>
      <w:pPr>
        <w:snapToGrid w:val="0"/>
        <w:spacing w:before="120" w:beforeLines="50" w:after="50"/>
        <w:ind w:firstLine="3570" w:firstLineChars="1700"/>
        <w:rPr>
          <w:rFonts w:ascii="宋体" w:hAnsi="宋体"/>
          <w:bCs/>
          <w:color w:val="auto"/>
          <w:szCs w:val="21"/>
        </w:rPr>
      </w:pPr>
    </w:p>
    <w:p>
      <w:pPr>
        <w:snapToGrid w:val="0"/>
        <w:spacing w:before="120" w:beforeLines="50" w:after="50"/>
        <w:jc w:val="center"/>
        <w:rPr>
          <w:rFonts w:hint="eastAsia" w:ascii="宋体" w:hAnsi="宋体"/>
          <w:bCs/>
          <w:color w:val="auto"/>
          <w:szCs w:val="21"/>
        </w:rPr>
      </w:pPr>
      <w:r>
        <w:rPr>
          <w:rFonts w:ascii="宋体" w:hAnsi="宋体"/>
          <w:bCs/>
          <w:color w:val="auto"/>
          <w:szCs w:val="21"/>
        </w:rPr>
        <w:t xml:space="preserve">                        </w:t>
      </w:r>
      <w:r>
        <w:rPr>
          <w:rFonts w:hint="eastAsia" w:ascii="宋体" w:hAnsi="宋体"/>
          <w:bCs/>
          <w:color w:val="auto"/>
          <w:szCs w:val="21"/>
        </w:rPr>
        <w:t>年</w:t>
      </w:r>
      <w:r>
        <w:rPr>
          <w:rFonts w:ascii="宋体" w:hAnsi="宋体"/>
          <w:bCs/>
          <w:color w:val="auto"/>
          <w:szCs w:val="21"/>
        </w:rPr>
        <w:t xml:space="preserve">  </w:t>
      </w:r>
      <w:r>
        <w:rPr>
          <w:rFonts w:hint="eastAsia" w:ascii="宋体" w:hAnsi="宋体"/>
          <w:bCs/>
          <w:color w:val="auto"/>
          <w:szCs w:val="21"/>
        </w:rPr>
        <w:t>月</w:t>
      </w:r>
      <w:r>
        <w:rPr>
          <w:rFonts w:ascii="宋体" w:hAnsi="宋体"/>
          <w:bCs/>
          <w:color w:val="auto"/>
          <w:szCs w:val="21"/>
        </w:rPr>
        <w:t xml:space="preserve">  </w:t>
      </w:r>
      <w:r>
        <w:rPr>
          <w:rFonts w:hint="eastAsia" w:ascii="宋体" w:hAnsi="宋体"/>
          <w:bCs/>
          <w:color w:val="auto"/>
          <w:szCs w:val="21"/>
        </w:rPr>
        <w:t>日</w:t>
      </w:r>
    </w:p>
    <w:p>
      <w:pPr>
        <w:snapToGrid w:val="0"/>
        <w:spacing w:before="120" w:beforeLines="50" w:after="50"/>
        <w:jc w:val="center"/>
        <w:rPr>
          <w:rFonts w:hint="eastAsia" w:ascii="宋体" w:hAnsi="宋体"/>
          <w:bCs/>
          <w:color w:val="auto"/>
          <w:szCs w:val="21"/>
        </w:rPr>
      </w:pPr>
    </w:p>
    <w:p>
      <w:pPr>
        <w:snapToGrid w:val="0"/>
        <w:spacing w:before="120" w:beforeLines="50" w:after="50"/>
        <w:jc w:val="center"/>
        <w:rPr>
          <w:rFonts w:hint="eastAsia" w:ascii="宋体" w:hAnsi="宋体"/>
          <w:bCs/>
          <w:color w:val="auto"/>
          <w:szCs w:val="21"/>
        </w:rPr>
      </w:pPr>
      <w:r>
        <w:rPr>
          <w:rFonts w:hint="eastAsia" w:ascii="宋体" w:hAnsi="宋体"/>
          <w:bCs/>
          <w:color w:val="auto"/>
          <w:szCs w:val="21"/>
        </w:rPr>
        <w:t>投</w:t>
      </w:r>
      <w:r>
        <w:rPr>
          <w:rFonts w:ascii="宋体" w:hAnsi="宋体"/>
          <w:bCs/>
          <w:color w:val="auto"/>
          <w:szCs w:val="21"/>
        </w:rPr>
        <w:t xml:space="preserve"> </w:t>
      </w:r>
      <w:r>
        <w:rPr>
          <w:rFonts w:hint="eastAsia" w:ascii="宋体" w:hAnsi="宋体"/>
          <w:bCs/>
          <w:color w:val="auto"/>
          <w:szCs w:val="21"/>
        </w:rPr>
        <w:t>标</w:t>
      </w:r>
      <w:r>
        <w:rPr>
          <w:rFonts w:ascii="宋体" w:hAnsi="宋体"/>
          <w:bCs/>
          <w:color w:val="auto"/>
          <w:szCs w:val="21"/>
        </w:rPr>
        <w:t xml:space="preserve"> </w:t>
      </w:r>
      <w:r>
        <w:rPr>
          <w:rFonts w:hint="eastAsia" w:ascii="宋体" w:hAnsi="宋体"/>
          <w:bCs/>
          <w:color w:val="auto"/>
          <w:szCs w:val="21"/>
        </w:rPr>
        <w:t>文</w:t>
      </w:r>
      <w:r>
        <w:rPr>
          <w:rFonts w:ascii="宋体" w:hAnsi="宋体"/>
          <w:bCs/>
          <w:color w:val="auto"/>
          <w:szCs w:val="21"/>
        </w:rPr>
        <w:t xml:space="preserve"> </w:t>
      </w:r>
      <w:r>
        <w:rPr>
          <w:rFonts w:hint="eastAsia" w:ascii="宋体" w:hAnsi="宋体"/>
          <w:bCs/>
          <w:color w:val="auto"/>
          <w:szCs w:val="21"/>
        </w:rPr>
        <w:t>件</w:t>
      </w:r>
    </w:p>
    <w:p>
      <w:pPr>
        <w:snapToGrid w:val="0"/>
        <w:spacing w:before="120" w:beforeLines="50" w:after="50"/>
        <w:jc w:val="center"/>
        <w:rPr>
          <w:rFonts w:ascii="宋体" w:hAnsi="宋体"/>
          <w:bCs/>
          <w:color w:val="auto"/>
          <w:szCs w:val="21"/>
        </w:rPr>
      </w:pPr>
      <w:r>
        <w:rPr>
          <w:rFonts w:hint="eastAsia" w:ascii="宋体" w:hAnsi="宋体"/>
          <w:bCs/>
          <w:color w:val="auto"/>
          <w:szCs w:val="21"/>
        </w:rPr>
        <w:t>（</w:t>
      </w:r>
      <w:r>
        <w:rPr>
          <w:rFonts w:hint="eastAsia" w:hAnsi="宋体"/>
          <w:color w:val="auto"/>
          <w:szCs w:val="21"/>
        </w:rPr>
        <w:t>报价</w:t>
      </w:r>
      <w:r>
        <w:rPr>
          <w:rFonts w:hAnsi="宋体"/>
          <w:color w:val="auto"/>
          <w:szCs w:val="21"/>
        </w:rPr>
        <w:t>文件</w:t>
      </w:r>
      <w:r>
        <w:rPr>
          <w:rFonts w:hint="eastAsia" w:ascii="宋体" w:hAnsi="宋体"/>
          <w:bCs/>
          <w:color w:val="auto"/>
          <w:szCs w:val="21"/>
        </w:rPr>
        <w:t>）</w:t>
      </w:r>
    </w:p>
    <w:p>
      <w:pPr>
        <w:snapToGrid w:val="0"/>
        <w:spacing w:before="120" w:beforeLines="50" w:after="50"/>
        <w:ind w:firstLine="945" w:firstLineChars="450"/>
        <w:rPr>
          <w:rFonts w:ascii="宋体" w:hAnsi="宋体"/>
          <w:bCs/>
          <w:color w:val="auto"/>
          <w:szCs w:val="21"/>
        </w:rPr>
      </w:pPr>
      <w:r>
        <w:rPr>
          <w:rFonts w:hint="eastAsia" w:ascii="宋体" w:hAnsi="宋体"/>
          <w:bCs/>
          <w:color w:val="auto"/>
          <w:szCs w:val="21"/>
        </w:rPr>
        <w:t>项目名称：</w:t>
      </w:r>
      <w:r>
        <w:rPr>
          <w:rFonts w:hint="eastAsia" w:ascii="宋体" w:hAnsi="宋体"/>
          <w:bCs/>
          <w:color w:val="auto"/>
          <w:szCs w:val="21"/>
          <w:u w:val="single"/>
        </w:rPr>
        <w:t>邱隘镇校园安全防控指挥中心设备采购及安装项目</w:t>
      </w:r>
    </w:p>
    <w:p>
      <w:pPr>
        <w:snapToGrid w:val="0"/>
        <w:spacing w:before="120" w:beforeLines="50" w:after="50"/>
        <w:ind w:firstLine="420" w:firstLineChars="200"/>
        <w:rPr>
          <w:rFonts w:hint="eastAsia" w:ascii="宋体" w:hAnsi="宋体"/>
          <w:bCs/>
          <w:color w:val="auto"/>
          <w:szCs w:val="21"/>
        </w:rPr>
      </w:pPr>
      <w:r>
        <w:rPr>
          <w:rFonts w:ascii="宋体" w:hAnsi="宋体"/>
          <w:bCs/>
          <w:color w:val="auto"/>
          <w:szCs w:val="21"/>
        </w:rPr>
        <w:t xml:space="preserve">    </w:t>
      </w:r>
      <w:r>
        <w:rPr>
          <w:rFonts w:hint="eastAsia" w:ascii="宋体" w:hAnsi="宋体"/>
          <w:bCs/>
          <w:color w:val="auto"/>
          <w:szCs w:val="21"/>
        </w:rPr>
        <w:t xml:space="preserve"> 项目编号：NBRL-19082</w:t>
      </w:r>
    </w:p>
    <w:p>
      <w:pPr>
        <w:snapToGrid w:val="0"/>
        <w:spacing w:before="120" w:beforeLines="50" w:after="50"/>
        <w:ind w:firstLine="420" w:firstLineChars="200"/>
        <w:rPr>
          <w:rFonts w:hint="eastAsia" w:ascii="宋体" w:hAnsi="宋体"/>
          <w:bCs/>
          <w:color w:val="auto"/>
          <w:szCs w:val="21"/>
        </w:rPr>
      </w:pPr>
      <w:r>
        <w:rPr>
          <w:rFonts w:hint="eastAsia" w:ascii="宋体" w:hAnsi="宋体"/>
          <w:bCs/>
          <w:color w:val="auto"/>
          <w:szCs w:val="21"/>
        </w:rPr>
        <w:t xml:space="preserve">     子包号：</w:t>
      </w:r>
      <w:r>
        <w:rPr>
          <w:rFonts w:hint="eastAsia" w:ascii="宋体" w:hAnsi="宋体"/>
          <w:bCs/>
          <w:color w:val="auto"/>
          <w:szCs w:val="21"/>
          <w:u w:val="single"/>
        </w:rPr>
        <w:t xml:space="preserve">   </w:t>
      </w:r>
    </w:p>
    <w:p>
      <w:pPr>
        <w:snapToGrid w:val="0"/>
        <w:spacing w:before="120" w:beforeLines="50" w:after="50"/>
        <w:ind w:firstLine="945" w:firstLineChars="450"/>
        <w:rPr>
          <w:rFonts w:hint="eastAsia" w:ascii="宋体" w:hAnsi="宋体"/>
          <w:bCs/>
          <w:color w:val="auto"/>
          <w:szCs w:val="21"/>
        </w:rPr>
      </w:pPr>
      <w:r>
        <w:rPr>
          <w:rFonts w:hint="eastAsia" w:ascii="宋体" w:hAnsi="宋体"/>
          <w:bCs/>
          <w:color w:val="auto"/>
          <w:szCs w:val="21"/>
        </w:rPr>
        <w:t>投标人名称（加盖公章）：</w:t>
      </w:r>
    </w:p>
    <w:p>
      <w:pPr>
        <w:snapToGrid w:val="0"/>
        <w:spacing w:before="120" w:beforeLines="50" w:after="50"/>
        <w:ind w:firstLine="945" w:firstLineChars="450"/>
        <w:rPr>
          <w:rFonts w:hint="eastAsia" w:ascii="宋体" w:hAnsi="宋体"/>
          <w:bCs/>
          <w:color w:val="auto"/>
          <w:szCs w:val="21"/>
          <w:u w:val="single"/>
        </w:rPr>
      </w:pPr>
      <w:r>
        <w:rPr>
          <w:rFonts w:hint="eastAsia" w:ascii="宋体" w:hAnsi="宋体"/>
          <w:bCs/>
          <w:color w:val="auto"/>
          <w:szCs w:val="21"/>
        </w:rPr>
        <w:t>投标人地址：</w:t>
      </w:r>
      <w:r>
        <w:rPr>
          <w:rFonts w:hint="eastAsia" w:ascii="宋体" w:hAnsi="宋体"/>
          <w:bCs/>
          <w:color w:val="auto"/>
          <w:szCs w:val="21"/>
          <w:u w:val="single"/>
        </w:rPr>
        <w:t xml:space="preserve">                          </w:t>
      </w:r>
    </w:p>
    <w:p>
      <w:pPr>
        <w:snapToGrid w:val="0"/>
        <w:spacing w:before="120" w:beforeLines="50" w:after="50"/>
        <w:ind w:firstLine="945" w:firstLineChars="450"/>
        <w:rPr>
          <w:rFonts w:ascii="宋体" w:hAnsi="宋体"/>
          <w:bCs/>
          <w:color w:val="auto"/>
          <w:szCs w:val="21"/>
        </w:rPr>
      </w:pPr>
      <w:r>
        <w:rPr>
          <w:rFonts w:hint="eastAsia" w:ascii="宋体" w:hAnsi="宋体"/>
          <w:bCs/>
          <w:color w:val="auto"/>
          <w:szCs w:val="21"/>
        </w:rPr>
        <w:t>投标文件于2019年7月</w:t>
      </w:r>
      <w:r>
        <w:rPr>
          <w:rFonts w:hint="eastAsia" w:ascii="宋体" w:hAnsi="宋体"/>
          <w:bCs/>
          <w:color w:val="auto"/>
          <w:szCs w:val="21"/>
          <w:lang w:val="en-US" w:eastAsia="zh-CN"/>
        </w:rPr>
        <w:t>3</w:t>
      </w:r>
      <w:r>
        <w:rPr>
          <w:rFonts w:hint="eastAsia" w:ascii="宋体" w:hAnsi="宋体"/>
          <w:bCs/>
          <w:color w:val="auto"/>
          <w:szCs w:val="21"/>
          <w:lang w:val="en-US" w:eastAsia="zh-CN"/>
        </w:rPr>
        <w:t>0</w:t>
      </w:r>
      <w:r>
        <w:rPr>
          <w:rFonts w:hint="eastAsia" w:ascii="宋体" w:hAnsi="宋体"/>
          <w:bCs/>
          <w:color w:val="auto"/>
          <w:szCs w:val="21"/>
        </w:rPr>
        <w:t>日14：00（北京时间）前不得启封</w:t>
      </w:r>
    </w:p>
    <w:p>
      <w:pPr>
        <w:snapToGrid w:val="0"/>
        <w:spacing w:before="120" w:beforeLines="50" w:after="50"/>
        <w:ind w:firstLine="3570" w:firstLineChars="1700"/>
        <w:rPr>
          <w:rFonts w:ascii="宋体" w:hAnsi="宋体"/>
          <w:bCs/>
          <w:color w:val="auto"/>
          <w:szCs w:val="21"/>
        </w:rPr>
      </w:pPr>
    </w:p>
    <w:p>
      <w:pPr>
        <w:snapToGrid w:val="0"/>
        <w:spacing w:before="120" w:beforeLines="50" w:after="50"/>
        <w:jc w:val="center"/>
        <w:rPr>
          <w:rFonts w:hint="eastAsia" w:ascii="宋体" w:hAnsi="宋体"/>
          <w:bCs/>
          <w:color w:val="auto"/>
          <w:szCs w:val="21"/>
        </w:rPr>
      </w:pPr>
      <w:r>
        <w:rPr>
          <w:rFonts w:ascii="宋体" w:hAnsi="宋体"/>
          <w:bCs/>
          <w:color w:val="auto"/>
          <w:szCs w:val="21"/>
        </w:rPr>
        <w:t xml:space="preserve">                        </w:t>
      </w:r>
      <w:r>
        <w:rPr>
          <w:rFonts w:hint="eastAsia" w:ascii="宋体" w:hAnsi="宋体"/>
          <w:bCs/>
          <w:color w:val="auto"/>
          <w:szCs w:val="21"/>
        </w:rPr>
        <w:t>年</w:t>
      </w:r>
      <w:r>
        <w:rPr>
          <w:rFonts w:ascii="宋体" w:hAnsi="宋体"/>
          <w:bCs/>
          <w:color w:val="auto"/>
          <w:szCs w:val="21"/>
        </w:rPr>
        <w:t xml:space="preserve">  </w:t>
      </w:r>
      <w:r>
        <w:rPr>
          <w:rFonts w:hint="eastAsia" w:ascii="宋体" w:hAnsi="宋体"/>
          <w:bCs/>
          <w:color w:val="auto"/>
          <w:szCs w:val="21"/>
        </w:rPr>
        <w:t>月</w:t>
      </w:r>
      <w:r>
        <w:rPr>
          <w:rFonts w:ascii="宋体" w:hAnsi="宋体"/>
          <w:bCs/>
          <w:color w:val="auto"/>
          <w:szCs w:val="21"/>
        </w:rPr>
        <w:t xml:space="preserve">  </w:t>
      </w:r>
      <w:r>
        <w:rPr>
          <w:rFonts w:hint="eastAsia" w:ascii="宋体" w:hAnsi="宋体"/>
          <w:bCs/>
          <w:color w:val="auto"/>
          <w:szCs w:val="21"/>
        </w:rPr>
        <w:t>日</w:t>
      </w:r>
    </w:p>
    <w:p>
      <w:pPr>
        <w:snapToGrid w:val="0"/>
        <w:spacing w:before="120" w:beforeLines="50" w:after="50"/>
        <w:jc w:val="center"/>
        <w:rPr>
          <w:rFonts w:hint="eastAsia" w:ascii="宋体" w:hAnsi="宋体"/>
          <w:bCs/>
          <w:color w:val="auto"/>
          <w:szCs w:val="21"/>
        </w:rPr>
      </w:pPr>
    </w:p>
    <w:p>
      <w:pPr>
        <w:snapToGrid w:val="0"/>
        <w:spacing w:before="120" w:beforeLines="50" w:after="50"/>
        <w:jc w:val="center"/>
        <w:rPr>
          <w:rFonts w:hint="eastAsia" w:ascii="宋体" w:hAnsi="宋体"/>
          <w:bCs/>
          <w:color w:val="auto"/>
          <w:szCs w:val="21"/>
        </w:rPr>
      </w:pPr>
    </w:p>
    <w:p>
      <w:pPr>
        <w:snapToGrid w:val="0"/>
        <w:spacing w:before="120" w:beforeLines="50" w:after="50"/>
        <w:jc w:val="center"/>
        <w:rPr>
          <w:rFonts w:hint="eastAsia" w:ascii="宋体" w:hAnsi="宋体"/>
          <w:bCs/>
          <w:color w:val="auto"/>
          <w:szCs w:val="21"/>
        </w:rPr>
      </w:pPr>
    </w:p>
    <w:p>
      <w:pPr>
        <w:snapToGrid w:val="0"/>
        <w:spacing w:before="120" w:beforeLines="50" w:after="50"/>
        <w:jc w:val="center"/>
        <w:rPr>
          <w:rFonts w:hint="eastAsia" w:ascii="宋体" w:hAnsi="宋体"/>
          <w:bCs/>
          <w:color w:val="auto"/>
          <w:szCs w:val="21"/>
        </w:rPr>
      </w:pPr>
    </w:p>
    <w:p>
      <w:pPr>
        <w:snapToGrid w:val="0"/>
        <w:spacing w:before="120" w:beforeLines="50" w:after="50"/>
        <w:jc w:val="center"/>
        <w:rPr>
          <w:rFonts w:hint="eastAsia" w:ascii="宋体" w:hAnsi="宋体"/>
          <w:bCs/>
          <w:color w:val="auto"/>
          <w:szCs w:val="21"/>
        </w:rPr>
      </w:pPr>
    </w:p>
    <w:p>
      <w:pPr>
        <w:snapToGrid w:val="0"/>
        <w:spacing w:before="120" w:beforeLines="50" w:after="50"/>
        <w:jc w:val="center"/>
        <w:rPr>
          <w:rFonts w:hint="eastAsia" w:ascii="宋体" w:hAnsi="宋体"/>
          <w:bCs/>
          <w:color w:val="auto"/>
          <w:szCs w:val="21"/>
        </w:rPr>
      </w:pPr>
    </w:p>
    <w:p>
      <w:pPr>
        <w:snapToGrid w:val="0"/>
        <w:spacing w:before="120" w:beforeLines="50" w:after="50"/>
        <w:jc w:val="center"/>
        <w:rPr>
          <w:rFonts w:hint="eastAsia" w:ascii="宋体" w:hAnsi="宋体"/>
          <w:bCs/>
          <w:color w:val="auto"/>
          <w:szCs w:val="21"/>
        </w:rPr>
      </w:pPr>
    </w:p>
    <w:p>
      <w:pPr>
        <w:snapToGrid w:val="0"/>
        <w:spacing w:before="120" w:beforeLines="50" w:after="50"/>
        <w:jc w:val="center"/>
        <w:rPr>
          <w:rFonts w:hint="eastAsia" w:ascii="宋体" w:hAnsi="宋体"/>
          <w:bCs/>
          <w:color w:val="auto"/>
          <w:szCs w:val="21"/>
        </w:rPr>
      </w:pPr>
    </w:p>
    <w:p>
      <w:pPr>
        <w:snapToGrid w:val="0"/>
        <w:spacing w:before="120" w:beforeLines="50" w:after="50"/>
        <w:jc w:val="center"/>
        <w:rPr>
          <w:rFonts w:hint="eastAsia" w:ascii="宋体" w:hAnsi="宋体"/>
          <w:bCs/>
          <w:color w:val="auto"/>
          <w:szCs w:val="21"/>
        </w:rPr>
      </w:pPr>
    </w:p>
    <w:p>
      <w:pPr>
        <w:snapToGrid w:val="0"/>
        <w:spacing w:before="120" w:beforeLines="50" w:after="50"/>
        <w:jc w:val="center"/>
        <w:rPr>
          <w:rFonts w:hint="eastAsia" w:ascii="宋体" w:hAnsi="宋体"/>
          <w:bCs/>
          <w:color w:val="auto"/>
          <w:szCs w:val="21"/>
        </w:rPr>
      </w:pPr>
    </w:p>
    <w:p>
      <w:pPr>
        <w:snapToGrid w:val="0"/>
        <w:spacing w:before="120" w:beforeLines="50" w:after="50"/>
        <w:rPr>
          <w:rFonts w:hint="eastAsia" w:ascii="宋体" w:hAnsi="宋体"/>
          <w:bCs/>
          <w:color w:val="auto"/>
          <w:szCs w:val="21"/>
        </w:rPr>
      </w:pPr>
    </w:p>
    <w:p>
      <w:pPr>
        <w:snapToGrid w:val="0"/>
        <w:spacing w:before="120" w:beforeLines="50" w:after="50"/>
        <w:rPr>
          <w:rFonts w:hint="eastAsia" w:ascii="宋体" w:hAnsi="宋体"/>
          <w:b/>
          <w:bCs/>
          <w:color w:val="auto"/>
          <w:szCs w:val="21"/>
        </w:rPr>
      </w:pPr>
      <w:r>
        <w:rPr>
          <w:rFonts w:hint="eastAsia" w:ascii="宋体" w:hAnsi="宋体"/>
          <w:b/>
          <w:color w:val="auto"/>
          <w:szCs w:val="21"/>
        </w:rPr>
        <w:t>投标文件</w:t>
      </w:r>
      <w:r>
        <w:rPr>
          <w:rFonts w:hint="eastAsia" w:ascii="宋体" w:hAnsi="宋体"/>
          <w:b/>
          <w:bCs/>
          <w:color w:val="auto"/>
          <w:szCs w:val="21"/>
        </w:rPr>
        <w:t>封面格式：</w:t>
      </w:r>
    </w:p>
    <w:p>
      <w:pPr>
        <w:snapToGrid w:val="0"/>
        <w:spacing w:before="120" w:beforeLines="50" w:after="50"/>
        <w:jc w:val="center"/>
        <w:rPr>
          <w:rFonts w:ascii="宋体" w:hAnsi="宋体"/>
          <w:bCs/>
          <w:color w:val="auto"/>
          <w:szCs w:val="21"/>
        </w:rPr>
      </w:pPr>
      <w:r>
        <w:rPr>
          <w:rFonts w:hint="eastAsia" w:ascii="宋体" w:hAnsi="宋体"/>
          <w:b/>
          <w:bCs/>
          <w:color w:val="auto"/>
          <w:szCs w:val="21"/>
        </w:rPr>
        <w:t xml:space="preserve">                                            正本</w:t>
      </w:r>
      <w:r>
        <w:rPr>
          <w:rFonts w:ascii="宋体" w:hAnsi="宋体"/>
          <w:b/>
          <w:bCs/>
          <w:color w:val="auto"/>
          <w:szCs w:val="21"/>
        </w:rPr>
        <w:t>/</w:t>
      </w:r>
      <w:r>
        <w:rPr>
          <w:rFonts w:hint="eastAsia" w:ascii="宋体" w:hAnsi="宋体"/>
          <w:b/>
          <w:bCs/>
          <w:color w:val="auto"/>
          <w:szCs w:val="21"/>
        </w:rPr>
        <w:t>或副本</w:t>
      </w:r>
    </w:p>
    <w:p>
      <w:pPr>
        <w:snapToGrid w:val="0"/>
        <w:spacing w:before="120" w:beforeLines="50" w:after="50"/>
        <w:jc w:val="center"/>
        <w:rPr>
          <w:rFonts w:hint="eastAsia" w:ascii="宋体" w:hAnsi="宋体"/>
          <w:bCs/>
          <w:color w:val="auto"/>
          <w:szCs w:val="21"/>
        </w:rPr>
      </w:pPr>
      <w:r>
        <w:rPr>
          <w:rFonts w:hint="eastAsia" w:ascii="宋体" w:hAnsi="宋体"/>
          <w:bCs/>
          <w:color w:val="auto"/>
          <w:szCs w:val="21"/>
        </w:rPr>
        <w:t>投</w:t>
      </w:r>
      <w:r>
        <w:rPr>
          <w:rFonts w:ascii="宋体" w:hAnsi="宋体"/>
          <w:bCs/>
          <w:color w:val="auto"/>
          <w:szCs w:val="21"/>
        </w:rPr>
        <w:t xml:space="preserve"> </w:t>
      </w:r>
      <w:r>
        <w:rPr>
          <w:rFonts w:hint="eastAsia" w:ascii="宋体" w:hAnsi="宋体"/>
          <w:bCs/>
          <w:color w:val="auto"/>
          <w:szCs w:val="21"/>
        </w:rPr>
        <w:t>标</w:t>
      </w:r>
      <w:r>
        <w:rPr>
          <w:rFonts w:ascii="宋体" w:hAnsi="宋体"/>
          <w:bCs/>
          <w:color w:val="auto"/>
          <w:szCs w:val="21"/>
        </w:rPr>
        <w:t xml:space="preserve"> </w:t>
      </w:r>
      <w:r>
        <w:rPr>
          <w:rFonts w:hint="eastAsia" w:ascii="宋体" w:hAnsi="宋体"/>
          <w:bCs/>
          <w:color w:val="auto"/>
          <w:szCs w:val="21"/>
        </w:rPr>
        <w:t>文</w:t>
      </w:r>
      <w:r>
        <w:rPr>
          <w:rFonts w:ascii="宋体" w:hAnsi="宋体"/>
          <w:bCs/>
          <w:color w:val="auto"/>
          <w:szCs w:val="21"/>
        </w:rPr>
        <w:t xml:space="preserve"> </w:t>
      </w:r>
      <w:r>
        <w:rPr>
          <w:rFonts w:hint="eastAsia" w:ascii="宋体" w:hAnsi="宋体"/>
          <w:bCs/>
          <w:color w:val="auto"/>
          <w:szCs w:val="21"/>
        </w:rPr>
        <w:t>件</w:t>
      </w:r>
    </w:p>
    <w:p>
      <w:pPr>
        <w:snapToGrid w:val="0"/>
        <w:spacing w:before="120" w:beforeLines="50" w:after="50"/>
        <w:jc w:val="center"/>
        <w:rPr>
          <w:rFonts w:ascii="宋体" w:hAnsi="宋体"/>
          <w:bCs/>
          <w:color w:val="auto"/>
          <w:szCs w:val="21"/>
        </w:rPr>
      </w:pPr>
      <w:r>
        <w:rPr>
          <w:rFonts w:hint="eastAsia" w:ascii="宋体" w:hAnsi="宋体"/>
          <w:bCs/>
          <w:color w:val="auto"/>
          <w:szCs w:val="21"/>
        </w:rPr>
        <w:t>（</w:t>
      </w:r>
      <w:r>
        <w:rPr>
          <w:rFonts w:hint="eastAsia" w:hAnsi="宋体"/>
          <w:color w:val="auto"/>
          <w:szCs w:val="21"/>
        </w:rPr>
        <w:t>资信、</w:t>
      </w:r>
      <w:r>
        <w:rPr>
          <w:rFonts w:hAnsi="宋体"/>
          <w:color w:val="auto"/>
          <w:szCs w:val="21"/>
        </w:rPr>
        <w:t>商务</w:t>
      </w:r>
      <w:r>
        <w:rPr>
          <w:rFonts w:hint="eastAsia" w:hAnsi="宋体"/>
          <w:color w:val="auto"/>
          <w:szCs w:val="21"/>
        </w:rPr>
        <w:t>、</w:t>
      </w:r>
      <w:r>
        <w:rPr>
          <w:rFonts w:hAnsi="宋体"/>
          <w:color w:val="auto"/>
          <w:szCs w:val="21"/>
        </w:rPr>
        <w:t>技术文件</w:t>
      </w:r>
      <w:r>
        <w:rPr>
          <w:rFonts w:hint="eastAsia" w:ascii="宋体" w:hAnsi="宋体"/>
          <w:bCs/>
          <w:color w:val="auto"/>
          <w:szCs w:val="21"/>
        </w:rPr>
        <w:t>）</w:t>
      </w:r>
    </w:p>
    <w:p>
      <w:pPr>
        <w:snapToGrid w:val="0"/>
        <w:spacing w:before="120" w:beforeLines="50" w:after="50"/>
        <w:ind w:firstLine="6054" w:firstLineChars="2883"/>
        <w:rPr>
          <w:rFonts w:ascii="宋体" w:hAnsi="宋体"/>
          <w:bCs/>
          <w:color w:val="auto"/>
          <w:szCs w:val="21"/>
        </w:rPr>
      </w:pPr>
    </w:p>
    <w:p>
      <w:pPr>
        <w:snapToGrid w:val="0"/>
        <w:spacing w:before="120" w:beforeLines="50" w:after="50"/>
        <w:ind w:firstLine="945" w:firstLineChars="450"/>
        <w:rPr>
          <w:rFonts w:ascii="宋体" w:hAnsi="宋体"/>
          <w:bCs/>
          <w:color w:val="auto"/>
          <w:szCs w:val="21"/>
        </w:rPr>
      </w:pPr>
      <w:r>
        <w:rPr>
          <w:rFonts w:hint="eastAsia" w:ascii="宋体" w:hAnsi="宋体"/>
          <w:bCs/>
          <w:color w:val="auto"/>
          <w:szCs w:val="21"/>
        </w:rPr>
        <w:t>项目名称：</w:t>
      </w:r>
      <w:r>
        <w:rPr>
          <w:rFonts w:hint="eastAsia" w:ascii="宋体" w:hAnsi="宋体"/>
          <w:bCs/>
          <w:color w:val="auto"/>
          <w:szCs w:val="21"/>
          <w:u w:val="single"/>
        </w:rPr>
        <w:t>邱隘镇校园安全防控指挥中心设备采购及安装项目</w:t>
      </w:r>
    </w:p>
    <w:p>
      <w:pPr>
        <w:snapToGrid w:val="0"/>
        <w:spacing w:before="120" w:beforeLines="50" w:after="50"/>
        <w:ind w:firstLine="420" w:firstLineChars="200"/>
        <w:rPr>
          <w:rFonts w:hint="eastAsia" w:ascii="宋体" w:hAnsi="宋体"/>
          <w:bCs/>
          <w:color w:val="auto"/>
          <w:szCs w:val="21"/>
        </w:rPr>
      </w:pPr>
      <w:r>
        <w:rPr>
          <w:rFonts w:ascii="宋体" w:hAnsi="宋体"/>
          <w:bCs/>
          <w:color w:val="auto"/>
          <w:szCs w:val="21"/>
        </w:rPr>
        <w:t xml:space="preserve">    </w:t>
      </w:r>
      <w:r>
        <w:rPr>
          <w:rFonts w:hint="eastAsia" w:ascii="宋体" w:hAnsi="宋体"/>
          <w:bCs/>
          <w:color w:val="auto"/>
          <w:szCs w:val="21"/>
        </w:rPr>
        <w:t xml:space="preserve"> 项目编号：NBRL-19082</w:t>
      </w:r>
    </w:p>
    <w:p>
      <w:pPr>
        <w:snapToGrid w:val="0"/>
        <w:spacing w:before="120" w:beforeLines="50" w:after="50"/>
        <w:ind w:firstLine="420" w:firstLineChars="200"/>
        <w:rPr>
          <w:rFonts w:hint="eastAsia" w:ascii="宋体" w:hAnsi="宋体"/>
          <w:bCs/>
          <w:color w:val="auto"/>
          <w:szCs w:val="21"/>
        </w:rPr>
      </w:pPr>
      <w:r>
        <w:rPr>
          <w:rFonts w:hint="eastAsia" w:ascii="宋体" w:hAnsi="宋体"/>
          <w:bCs/>
          <w:color w:val="auto"/>
          <w:szCs w:val="21"/>
        </w:rPr>
        <w:t xml:space="preserve">     子包号：</w:t>
      </w:r>
      <w:r>
        <w:rPr>
          <w:rFonts w:hint="eastAsia" w:ascii="宋体" w:hAnsi="宋体"/>
          <w:bCs/>
          <w:color w:val="auto"/>
          <w:szCs w:val="21"/>
          <w:u w:val="single"/>
        </w:rPr>
        <w:t xml:space="preserve">   </w:t>
      </w:r>
    </w:p>
    <w:p>
      <w:pPr>
        <w:snapToGrid w:val="0"/>
        <w:spacing w:before="120" w:beforeLines="50" w:after="50"/>
        <w:ind w:firstLine="945" w:firstLineChars="450"/>
        <w:rPr>
          <w:rFonts w:hint="eastAsia" w:ascii="宋体" w:hAnsi="宋体"/>
          <w:bCs/>
          <w:color w:val="auto"/>
          <w:szCs w:val="21"/>
        </w:rPr>
      </w:pPr>
      <w:r>
        <w:rPr>
          <w:rFonts w:hint="eastAsia" w:ascii="宋体" w:hAnsi="宋体"/>
          <w:bCs/>
          <w:color w:val="auto"/>
          <w:szCs w:val="21"/>
        </w:rPr>
        <w:t>投标人名称（加盖公章）：</w:t>
      </w:r>
    </w:p>
    <w:p>
      <w:pPr>
        <w:snapToGrid w:val="0"/>
        <w:spacing w:before="120" w:beforeLines="50" w:after="50"/>
        <w:ind w:firstLine="945" w:firstLineChars="450"/>
        <w:rPr>
          <w:rFonts w:hint="eastAsia" w:ascii="宋体" w:hAnsi="宋体"/>
          <w:bCs/>
          <w:color w:val="auto"/>
          <w:szCs w:val="21"/>
          <w:u w:val="single"/>
        </w:rPr>
      </w:pPr>
      <w:r>
        <w:rPr>
          <w:rFonts w:hint="eastAsia" w:ascii="宋体" w:hAnsi="宋体"/>
          <w:bCs/>
          <w:color w:val="auto"/>
          <w:szCs w:val="21"/>
        </w:rPr>
        <w:t>投标人地址：</w:t>
      </w:r>
      <w:r>
        <w:rPr>
          <w:rFonts w:hint="eastAsia" w:ascii="宋体" w:hAnsi="宋体"/>
          <w:bCs/>
          <w:color w:val="auto"/>
          <w:szCs w:val="21"/>
          <w:u w:val="single"/>
        </w:rPr>
        <w:t xml:space="preserve">                          </w:t>
      </w:r>
    </w:p>
    <w:p>
      <w:pPr>
        <w:snapToGrid w:val="0"/>
        <w:spacing w:before="120" w:beforeLines="50" w:after="50"/>
        <w:ind w:firstLine="645"/>
        <w:jc w:val="left"/>
        <w:rPr>
          <w:rFonts w:hint="eastAsia" w:ascii="宋体" w:hAnsi="宋体"/>
          <w:bCs/>
          <w:color w:val="auto"/>
          <w:szCs w:val="21"/>
        </w:rPr>
      </w:pPr>
      <w:r>
        <w:rPr>
          <w:rFonts w:ascii="宋体" w:hAnsi="宋体"/>
          <w:bCs/>
          <w:color w:val="auto"/>
          <w:szCs w:val="21"/>
        </w:rPr>
        <w:t xml:space="preserve">                        </w:t>
      </w:r>
      <w:r>
        <w:rPr>
          <w:rFonts w:hint="eastAsia" w:ascii="宋体" w:hAnsi="宋体"/>
          <w:bCs/>
          <w:color w:val="auto"/>
          <w:szCs w:val="21"/>
        </w:rPr>
        <w:t>年</w:t>
      </w:r>
      <w:r>
        <w:rPr>
          <w:rFonts w:ascii="宋体" w:hAnsi="宋体"/>
          <w:bCs/>
          <w:color w:val="auto"/>
          <w:szCs w:val="21"/>
        </w:rPr>
        <w:t xml:space="preserve">  </w:t>
      </w:r>
      <w:r>
        <w:rPr>
          <w:rFonts w:hint="eastAsia" w:ascii="宋体" w:hAnsi="宋体"/>
          <w:bCs/>
          <w:color w:val="auto"/>
          <w:szCs w:val="21"/>
        </w:rPr>
        <w:t>月</w:t>
      </w:r>
      <w:r>
        <w:rPr>
          <w:rFonts w:ascii="宋体" w:hAnsi="宋体"/>
          <w:bCs/>
          <w:color w:val="auto"/>
          <w:szCs w:val="21"/>
        </w:rPr>
        <w:t xml:space="preserve">  </w:t>
      </w:r>
      <w:r>
        <w:rPr>
          <w:rFonts w:hint="eastAsia" w:ascii="宋体" w:hAnsi="宋体"/>
          <w:bCs/>
          <w:color w:val="auto"/>
          <w:szCs w:val="21"/>
        </w:rPr>
        <w:t>日</w:t>
      </w:r>
    </w:p>
    <w:p>
      <w:pPr>
        <w:snapToGrid w:val="0"/>
        <w:spacing w:before="120" w:beforeLines="50" w:after="50"/>
        <w:ind w:firstLine="645"/>
        <w:jc w:val="left"/>
        <w:rPr>
          <w:rFonts w:hint="eastAsia" w:ascii="宋体" w:hAnsi="宋体"/>
          <w:bCs/>
          <w:color w:val="auto"/>
          <w:szCs w:val="21"/>
        </w:rPr>
      </w:pPr>
    </w:p>
    <w:p>
      <w:pPr>
        <w:snapToGrid w:val="0"/>
        <w:spacing w:before="120" w:beforeLines="50" w:after="50"/>
        <w:ind w:firstLine="645"/>
        <w:jc w:val="left"/>
        <w:rPr>
          <w:rFonts w:hint="eastAsia" w:ascii="宋体" w:hAnsi="宋体"/>
          <w:bCs/>
          <w:color w:val="auto"/>
          <w:szCs w:val="21"/>
        </w:rPr>
      </w:pPr>
    </w:p>
    <w:p>
      <w:pPr>
        <w:snapToGrid w:val="0"/>
        <w:spacing w:before="120" w:beforeLines="50" w:after="50"/>
        <w:jc w:val="center"/>
        <w:rPr>
          <w:rFonts w:ascii="宋体" w:hAnsi="宋体"/>
          <w:bCs/>
          <w:color w:val="auto"/>
          <w:szCs w:val="21"/>
        </w:rPr>
      </w:pPr>
      <w:r>
        <w:rPr>
          <w:rFonts w:hint="eastAsia" w:ascii="宋体" w:hAnsi="宋体"/>
          <w:b/>
          <w:bCs/>
          <w:color w:val="auto"/>
          <w:szCs w:val="21"/>
        </w:rPr>
        <w:t xml:space="preserve">                          正本</w:t>
      </w:r>
      <w:r>
        <w:rPr>
          <w:rFonts w:ascii="宋体" w:hAnsi="宋体"/>
          <w:b/>
          <w:bCs/>
          <w:color w:val="auto"/>
          <w:szCs w:val="21"/>
        </w:rPr>
        <w:t>/</w:t>
      </w:r>
      <w:r>
        <w:rPr>
          <w:rFonts w:hint="eastAsia" w:ascii="宋体" w:hAnsi="宋体"/>
          <w:b/>
          <w:bCs/>
          <w:color w:val="auto"/>
          <w:szCs w:val="21"/>
        </w:rPr>
        <w:t>或副本</w:t>
      </w:r>
    </w:p>
    <w:p>
      <w:pPr>
        <w:snapToGrid w:val="0"/>
        <w:spacing w:before="120" w:beforeLines="50" w:after="50"/>
        <w:jc w:val="center"/>
        <w:rPr>
          <w:rFonts w:hint="eastAsia" w:ascii="宋体" w:hAnsi="宋体"/>
          <w:bCs/>
          <w:color w:val="auto"/>
          <w:szCs w:val="21"/>
        </w:rPr>
      </w:pPr>
      <w:r>
        <w:rPr>
          <w:rFonts w:hint="eastAsia" w:ascii="宋体" w:hAnsi="宋体"/>
          <w:bCs/>
          <w:color w:val="auto"/>
          <w:szCs w:val="21"/>
        </w:rPr>
        <w:t>投</w:t>
      </w:r>
      <w:r>
        <w:rPr>
          <w:rFonts w:ascii="宋体" w:hAnsi="宋体"/>
          <w:bCs/>
          <w:color w:val="auto"/>
          <w:szCs w:val="21"/>
        </w:rPr>
        <w:t xml:space="preserve"> </w:t>
      </w:r>
      <w:r>
        <w:rPr>
          <w:rFonts w:hint="eastAsia" w:ascii="宋体" w:hAnsi="宋体"/>
          <w:bCs/>
          <w:color w:val="auto"/>
          <w:szCs w:val="21"/>
        </w:rPr>
        <w:t>标</w:t>
      </w:r>
      <w:r>
        <w:rPr>
          <w:rFonts w:ascii="宋体" w:hAnsi="宋体"/>
          <w:bCs/>
          <w:color w:val="auto"/>
          <w:szCs w:val="21"/>
        </w:rPr>
        <w:t xml:space="preserve"> </w:t>
      </w:r>
      <w:r>
        <w:rPr>
          <w:rFonts w:hint="eastAsia" w:ascii="宋体" w:hAnsi="宋体"/>
          <w:bCs/>
          <w:color w:val="auto"/>
          <w:szCs w:val="21"/>
        </w:rPr>
        <w:t>文</w:t>
      </w:r>
      <w:r>
        <w:rPr>
          <w:rFonts w:ascii="宋体" w:hAnsi="宋体"/>
          <w:bCs/>
          <w:color w:val="auto"/>
          <w:szCs w:val="21"/>
        </w:rPr>
        <w:t xml:space="preserve"> </w:t>
      </w:r>
      <w:r>
        <w:rPr>
          <w:rFonts w:hint="eastAsia" w:ascii="宋体" w:hAnsi="宋体"/>
          <w:bCs/>
          <w:color w:val="auto"/>
          <w:szCs w:val="21"/>
        </w:rPr>
        <w:t>件</w:t>
      </w:r>
    </w:p>
    <w:p>
      <w:pPr>
        <w:snapToGrid w:val="0"/>
        <w:spacing w:before="120" w:beforeLines="50" w:after="50"/>
        <w:jc w:val="center"/>
        <w:rPr>
          <w:rFonts w:ascii="宋体" w:hAnsi="宋体"/>
          <w:bCs/>
          <w:color w:val="auto"/>
          <w:szCs w:val="21"/>
        </w:rPr>
      </w:pPr>
      <w:r>
        <w:rPr>
          <w:rFonts w:hint="eastAsia" w:ascii="宋体" w:hAnsi="宋体"/>
          <w:bCs/>
          <w:color w:val="auto"/>
          <w:szCs w:val="21"/>
        </w:rPr>
        <w:t>（</w:t>
      </w:r>
      <w:r>
        <w:rPr>
          <w:rFonts w:hint="eastAsia" w:hAnsi="宋体"/>
          <w:color w:val="auto"/>
          <w:szCs w:val="21"/>
        </w:rPr>
        <w:t>报价</w:t>
      </w:r>
      <w:r>
        <w:rPr>
          <w:rFonts w:hAnsi="宋体"/>
          <w:color w:val="auto"/>
          <w:szCs w:val="21"/>
        </w:rPr>
        <w:t>文件</w:t>
      </w:r>
      <w:r>
        <w:rPr>
          <w:rFonts w:hint="eastAsia" w:ascii="宋体" w:hAnsi="宋体"/>
          <w:bCs/>
          <w:color w:val="auto"/>
          <w:szCs w:val="21"/>
        </w:rPr>
        <w:t>）</w:t>
      </w:r>
    </w:p>
    <w:p>
      <w:pPr>
        <w:snapToGrid w:val="0"/>
        <w:spacing w:before="120" w:beforeLines="50" w:after="50"/>
        <w:ind w:firstLine="6054" w:firstLineChars="2883"/>
        <w:rPr>
          <w:rFonts w:ascii="宋体" w:hAnsi="宋体"/>
          <w:bCs/>
          <w:color w:val="auto"/>
          <w:szCs w:val="21"/>
        </w:rPr>
      </w:pPr>
    </w:p>
    <w:p>
      <w:pPr>
        <w:snapToGrid w:val="0"/>
        <w:spacing w:before="120" w:beforeLines="50" w:after="50"/>
        <w:ind w:firstLine="945" w:firstLineChars="450"/>
        <w:rPr>
          <w:rFonts w:ascii="宋体" w:hAnsi="宋体"/>
          <w:bCs/>
          <w:color w:val="auto"/>
          <w:szCs w:val="21"/>
        </w:rPr>
      </w:pPr>
      <w:r>
        <w:rPr>
          <w:rFonts w:hint="eastAsia" w:ascii="宋体" w:hAnsi="宋体"/>
          <w:bCs/>
          <w:color w:val="auto"/>
          <w:szCs w:val="21"/>
        </w:rPr>
        <w:t>项目名称：</w:t>
      </w:r>
      <w:r>
        <w:rPr>
          <w:rFonts w:hint="eastAsia" w:ascii="宋体" w:hAnsi="宋体"/>
          <w:bCs/>
          <w:color w:val="auto"/>
          <w:szCs w:val="21"/>
          <w:u w:val="single"/>
        </w:rPr>
        <w:t>邱隘镇校园安全防控指挥中心设备采购及安装项目</w:t>
      </w:r>
    </w:p>
    <w:p>
      <w:pPr>
        <w:snapToGrid w:val="0"/>
        <w:spacing w:before="120" w:beforeLines="50" w:after="50"/>
        <w:ind w:firstLine="420" w:firstLineChars="200"/>
        <w:rPr>
          <w:rFonts w:hint="eastAsia" w:ascii="宋体" w:hAnsi="宋体"/>
          <w:bCs/>
          <w:color w:val="auto"/>
          <w:szCs w:val="21"/>
        </w:rPr>
      </w:pPr>
      <w:r>
        <w:rPr>
          <w:rFonts w:ascii="宋体" w:hAnsi="宋体"/>
          <w:bCs/>
          <w:color w:val="auto"/>
          <w:szCs w:val="21"/>
        </w:rPr>
        <w:t xml:space="preserve">    </w:t>
      </w:r>
      <w:r>
        <w:rPr>
          <w:rFonts w:hint="eastAsia" w:ascii="宋体" w:hAnsi="宋体"/>
          <w:bCs/>
          <w:color w:val="auto"/>
          <w:szCs w:val="21"/>
        </w:rPr>
        <w:t xml:space="preserve"> 项目编号：NBRL-19082</w:t>
      </w:r>
    </w:p>
    <w:p>
      <w:pPr>
        <w:snapToGrid w:val="0"/>
        <w:spacing w:before="120" w:beforeLines="50" w:after="50"/>
        <w:ind w:firstLine="420" w:firstLineChars="200"/>
        <w:rPr>
          <w:rFonts w:hint="eastAsia" w:ascii="宋体" w:hAnsi="宋体"/>
          <w:bCs/>
          <w:color w:val="auto"/>
          <w:szCs w:val="21"/>
        </w:rPr>
      </w:pPr>
      <w:r>
        <w:rPr>
          <w:rFonts w:hint="eastAsia" w:ascii="宋体" w:hAnsi="宋体"/>
          <w:bCs/>
          <w:color w:val="auto"/>
          <w:szCs w:val="21"/>
        </w:rPr>
        <w:t xml:space="preserve">     子包号：</w:t>
      </w:r>
      <w:r>
        <w:rPr>
          <w:rFonts w:hint="eastAsia" w:ascii="宋体" w:hAnsi="宋体"/>
          <w:bCs/>
          <w:color w:val="auto"/>
          <w:szCs w:val="21"/>
          <w:u w:val="single"/>
        </w:rPr>
        <w:t xml:space="preserve">   </w:t>
      </w:r>
    </w:p>
    <w:p>
      <w:pPr>
        <w:snapToGrid w:val="0"/>
        <w:spacing w:before="120" w:beforeLines="50" w:after="50"/>
        <w:ind w:firstLine="945" w:firstLineChars="450"/>
        <w:rPr>
          <w:rFonts w:hint="eastAsia" w:ascii="宋体" w:hAnsi="宋体"/>
          <w:bCs/>
          <w:color w:val="auto"/>
          <w:szCs w:val="21"/>
        </w:rPr>
      </w:pPr>
      <w:r>
        <w:rPr>
          <w:rFonts w:hint="eastAsia" w:ascii="宋体" w:hAnsi="宋体"/>
          <w:bCs/>
          <w:color w:val="auto"/>
          <w:szCs w:val="21"/>
        </w:rPr>
        <w:t>投标人名称（加盖公章）：</w:t>
      </w:r>
    </w:p>
    <w:p>
      <w:pPr>
        <w:snapToGrid w:val="0"/>
        <w:spacing w:before="120" w:beforeLines="50" w:after="50"/>
        <w:ind w:firstLine="945" w:firstLineChars="450"/>
        <w:rPr>
          <w:rFonts w:hint="eastAsia" w:ascii="宋体" w:hAnsi="宋体"/>
          <w:bCs/>
          <w:color w:val="auto"/>
          <w:szCs w:val="21"/>
          <w:u w:val="single"/>
        </w:rPr>
      </w:pPr>
      <w:r>
        <w:rPr>
          <w:rFonts w:hint="eastAsia" w:ascii="宋体" w:hAnsi="宋体"/>
          <w:bCs/>
          <w:color w:val="auto"/>
          <w:szCs w:val="21"/>
        </w:rPr>
        <w:t>投标人地址：</w:t>
      </w:r>
      <w:r>
        <w:rPr>
          <w:rFonts w:hint="eastAsia" w:ascii="宋体" w:hAnsi="宋体"/>
          <w:bCs/>
          <w:color w:val="auto"/>
          <w:szCs w:val="21"/>
          <w:u w:val="single"/>
        </w:rPr>
        <w:t xml:space="preserve">                          </w:t>
      </w:r>
    </w:p>
    <w:p>
      <w:pPr>
        <w:snapToGrid w:val="0"/>
        <w:spacing w:before="120" w:beforeLines="50" w:after="50" w:line="360" w:lineRule="auto"/>
        <w:rPr>
          <w:rFonts w:hint="eastAsia" w:ascii="宋体" w:hAnsi="宋体"/>
          <w:color w:val="auto"/>
          <w:szCs w:val="21"/>
        </w:rPr>
      </w:pPr>
      <w:r>
        <w:rPr>
          <w:rFonts w:ascii="宋体" w:hAnsi="宋体"/>
          <w:bCs/>
          <w:color w:val="auto"/>
          <w:szCs w:val="21"/>
        </w:rPr>
        <w:t xml:space="preserve">                        </w:t>
      </w:r>
      <w:r>
        <w:rPr>
          <w:rFonts w:hint="eastAsia" w:ascii="宋体" w:hAnsi="宋体"/>
          <w:bCs/>
          <w:color w:val="auto"/>
          <w:szCs w:val="21"/>
        </w:rPr>
        <w:t>年</w:t>
      </w:r>
      <w:r>
        <w:rPr>
          <w:rFonts w:ascii="宋体" w:hAnsi="宋体"/>
          <w:bCs/>
          <w:color w:val="auto"/>
          <w:szCs w:val="21"/>
        </w:rPr>
        <w:t xml:space="preserve">  </w:t>
      </w:r>
      <w:r>
        <w:rPr>
          <w:rFonts w:hint="eastAsia" w:ascii="宋体" w:hAnsi="宋体"/>
          <w:bCs/>
          <w:color w:val="auto"/>
          <w:szCs w:val="21"/>
        </w:rPr>
        <w:t>月</w:t>
      </w:r>
      <w:r>
        <w:rPr>
          <w:rFonts w:ascii="宋体" w:hAnsi="宋体"/>
          <w:bCs/>
          <w:color w:val="auto"/>
          <w:szCs w:val="21"/>
        </w:rPr>
        <w:t xml:space="preserve">  </w:t>
      </w:r>
      <w:r>
        <w:rPr>
          <w:rFonts w:hint="eastAsia" w:ascii="宋体" w:hAnsi="宋体"/>
          <w:bCs/>
          <w:color w:val="auto"/>
          <w:szCs w:val="21"/>
        </w:rPr>
        <w:t>日</w:t>
      </w:r>
    </w:p>
    <w:p>
      <w:pPr>
        <w:snapToGrid w:val="0"/>
        <w:spacing w:before="120" w:beforeLines="50" w:after="50" w:line="360" w:lineRule="auto"/>
        <w:jc w:val="center"/>
        <w:rPr>
          <w:rFonts w:hint="eastAsia" w:ascii="宋体" w:hAnsi="宋体"/>
          <w:bCs/>
          <w:color w:val="auto"/>
          <w:szCs w:val="21"/>
        </w:rPr>
      </w:pPr>
      <w:r>
        <w:rPr>
          <w:rFonts w:hint="eastAsia" w:ascii="宋体" w:hAnsi="宋体"/>
          <w:bCs/>
          <w:color w:val="auto"/>
          <w:szCs w:val="21"/>
        </w:rPr>
        <w:t xml:space="preserve">                         </w:t>
      </w:r>
    </w:p>
    <w:p>
      <w:pPr>
        <w:snapToGrid w:val="0"/>
        <w:spacing w:before="120" w:beforeLines="50" w:after="50" w:line="360" w:lineRule="auto"/>
        <w:jc w:val="center"/>
        <w:rPr>
          <w:rFonts w:hint="eastAsia" w:ascii="宋体" w:hAnsi="宋体"/>
          <w:bCs/>
          <w:color w:val="auto"/>
          <w:szCs w:val="21"/>
        </w:rPr>
      </w:pPr>
    </w:p>
    <w:p>
      <w:pPr>
        <w:snapToGrid w:val="0"/>
        <w:spacing w:before="120" w:beforeLines="50" w:after="50" w:line="360" w:lineRule="auto"/>
        <w:jc w:val="center"/>
        <w:rPr>
          <w:rFonts w:hint="eastAsia" w:ascii="宋体" w:hAnsi="宋体"/>
          <w:bCs/>
          <w:color w:val="auto"/>
          <w:szCs w:val="21"/>
        </w:rPr>
      </w:pPr>
    </w:p>
    <w:p>
      <w:pPr>
        <w:snapToGrid w:val="0"/>
        <w:spacing w:before="120" w:beforeLines="50" w:after="50" w:line="360" w:lineRule="auto"/>
        <w:jc w:val="center"/>
        <w:rPr>
          <w:rFonts w:hint="eastAsia" w:ascii="宋体" w:hAnsi="宋体"/>
          <w:bCs/>
          <w:color w:val="auto"/>
          <w:szCs w:val="21"/>
        </w:rPr>
      </w:pPr>
    </w:p>
    <w:p>
      <w:pPr>
        <w:snapToGrid w:val="0"/>
        <w:spacing w:before="120" w:beforeLines="50" w:after="50" w:line="360" w:lineRule="auto"/>
        <w:jc w:val="center"/>
        <w:rPr>
          <w:rFonts w:hint="eastAsia" w:ascii="宋体" w:hAnsi="宋体"/>
          <w:bCs/>
          <w:color w:val="auto"/>
          <w:szCs w:val="21"/>
        </w:rPr>
      </w:pPr>
    </w:p>
    <w:p>
      <w:pPr>
        <w:snapToGrid w:val="0"/>
        <w:spacing w:before="120" w:beforeLines="50" w:after="50" w:line="360" w:lineRule="auto"/>
        <w:jc w:val="center"/>
        <w:rPr>
          <w:rFonts w:hint="eastAsia" w:ascii="宋体" w:hAnsi="宋体"/>
          <w:bCs/>
          <w:color w:val="auto"/>
          <w:szCs w:val="21"/>
        </w:rPr>
      </w:pPr>
    </w:p>
    <w:p>
      <w:pPr>
        <w:snapToGrid w:val="0"/>
        <w:spacing w:before="120" w:beforeLines="50" w:after="50" w:line="360" w:lineRule="auto"/>
        <w:jc w:val="center"/>
        <w:rPr>
          <w:rFonts w:hint="eastAsia" w:ascii="宋体" w:hAnsi="宋体"/>
          <w:bCs/>
          <w:color w:val="auto"/>
          <w:szCs w:val="21"/>
        </w:rPr>
      </w:pPr>
    </w:p>
    <w:p>
      <w:pPr>
        <w:snapToGrid w:val="0"/>
        <w:spacing w:before="120" w:beforeLines="50" w:after="50" w:line="360" w:lineRule="auto"/>
        <w:jc w:val="center"/>
        <w:rPr>
          <w:rFonts w:hint="eastAsia" w:ascii="宋体" w:hAnsi="宋体"/>
          <w:bCs/>
          <w:color w:val="auto"/>
          <w:szCs w:val="21"/>
        </w:rPr>
      </w:pPr>
    </w:p>
    <w:p>
      <w:pPr>
        <w:snapToGrid w:val="0"/>
        <w:spacing w:before="120" w:beforeLines="50" w:after="50" w:line="360" w:lineRule="auto"/>
        <w:jc w:val="center"/>
        <w:rPr>
          <w:rFonts w:hint="eastAsia" w:ascii="宋体" w:hAnsi="宋体"/>
          <w:bCs/>
          <w:color w:val="auto"/>
          <w:szCs w:val="21"/>
        </w:rPr>
      </w:pPr>
      <w:r>
        <w:rPr>
          <w:rFonts w:hint="eastAsia" w:ascii="宋体" w:hAnsi="宋体"/>
          <w:bCs/>
          <w:color w:val="auto"/>
          <w:szCs w:val="21"/>
        </w:rPr>
        <w:t xml:space="preserve">        </w:t>
      </w:r>
    </w:p>
    <w:p>
      <w:pPr>
        <w:snapToGrid w:val="0"/>
        <w:spacing w:before="120" w:beforeLines="50" w:after="50"/>
        <w:ind w:firstLine="645"/>
        <w:jc w:val="left"/>
        <w:rPr>
          <w:rFonts w:hint="eastAsia" w:ascii="宋体" w:hAnsi="宋体"/>
          <w:b/>
          <w:bCs/>
          <w:color w:val="auto"/>
          <w:szCs w:val="21"/>
        </w:rPr>
      </w:pPr>
      <w:r>
        <w:rPr>
          <w:rFonts w:hint="eastAsia" w:ascii="宋体" w:hAnsi="宋体"/>
          <w:b/>
          <w:color w:val="auto"/>
          <w:szCs w:val="21"/>
        </w:rPr>
        <w:t>2.</w:t>
      </w:r>
      <w:r>
        <w:rPr>
          <w:rFonts w:hint="eastAsia" w:ascii="宋体" w:hAnsi="宋体"/>
          <w:b/>
          <w:bCs/>
          <w:color w:val="auto"/>
          <w:szCs w:val="21"/>
        </w:rPr>
        <w:t>投标文件目录及索引</w:t>
      </w:r>
      <w:r>
        <w:rPr>
          <w:rFonts w:hint="eastAsia" w:ascii="宋体" w:hAnsi="宋体"/>
          <w:b/>
          <w:color w:val="auto"/>
          <w:szCs w:val="21"/>
        </w:rPr>
        <w:t>（投标文件内容的组成以采购文件第三章投标人须知中的相应内容为准。以下资料中投标人未能提供的请在备注栏注明“无”。</w:t>
      </w:r>
      <w:r>
        <w:rPr>
          <w:rFonts w:hint="eastAsia" w:ascii="宋体" w:hAnsi="宋体"/>
          <w:color w:val="auto"/>
          <w:szCs w:val="21"/>
        </w:rPr>
        <w:t xml:space="preserve"> </w:t>
      </w:r>
      <w:r>
        <w:rPr>
          <w:rFonts w:hint="eastAsia" w:ascii="宋体" w:hAnsi="宋体"/>
          <w:b/>
          <w:color w:val="auto"/>
          <w:szCs w:val="21"/>
        </w:rPr>
        <w:t>）</w:t>
      </w:r>
    </w:p>
    <w:p>
      <w:pPr>
        <w:snapToGrid w:val="0"/>
        <w:spacing w:before="120" w:beforeLines="50" w:after="50"/>
        <w:jc w:val="center"/>
        <w:rPr>
          <w:rFonts w:hint="eastAsia" w:ascii="宋体" w:hAnsi="宋体"/>
          <w:b/>
          <w:color w:val="auto"/>
          <w:szCs w:val="21"/>
        </w:rPr>
      </w:pPr>
      <w:r>
        <w:rPr>
          <w:rFonts w:hint="eastAsia" w:ascii="宋体" w:hAnsi="宋体"/>
          <w:b/>
          <w:color w:val="auto"/>
          <w:szCs w:val="21"/>
        </w:rPr>
        <w:t>资信、商务、技术文件目录及索引</w:t>
      </w:r>
    </w:p>
    <w:tbl>
      <w:tblPr>
        <w:tblStyle w:val="49"/>
        <w:tblW w:w="0" w:type="auto"/>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83"/>
        <w:gridCol w:w="709"/>
        <w:gridCol w:w="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center"/>
          </w:tcPr>
          <w:p>
            <w:pPr>
              <w:tabs>
                <w:tab w:val="left" w:pos="518"/>
              </w:tabs>
              <w:adjustRightInd w:val="0"/>
              <w:snapToGrid w:val="0"/>
              <w:spacing w:line="400" w:lineRule="exact"/>
              <w:jc w:val="center"/>
              <w:rPr>
                <w:rFonts w:hint="eastAsia" w:ascii="宋体" w:hAnsi="宋体"/>
                <w:color w:val="auto"/>
                <w:szCs w:val="21"/>
              </w:rPr>
            </w:pPr>
            <w:r>
              <w:rPr>
                <w:rFonts w:hint="eastAsia" w:ascii="宋体" w:hAnsi="宋体"/>
                <w:color w:val="auto"/>
                <w:szCs w:val="21"/>
              </w:rPr>
              <w:t>投标文件内容</w:t>
            </w:r>
          </w:p>
        </w:tc>
        <w:tc>
          <w:tcPr>
            <w:tcW w:w="709" w:type="dxa"/>
            <w:tcBorders>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r>
              <w:rPr>
                <w:rFonts w:hint="eastAsia" w:ascii="宋体" w:hAnsi="宋体"/>
                <w:color w:val="auto"/>
                <w:szCs w:val="21"/>
              </w:rPr>
              <w:t>页码</w:t>
            </w: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r>
              <w:rPr>
                <w:rFonts w:hint="eastAsia" w:ascii="宋体" w:hAnsi="宋体"/>
                <w:color w:val="auto"/>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pStyle w:val="27"/>
              <w:snapToGrid w:val="0"/>
              <w:spacing w:line="360" w:lineRule="auto"/>
              <w:ind w:leftChars="0"/>
              <w:rPr>
                <w:rFonts w:hint="eastAsia" w:ascii="宋体" w:hAnsi="宋体" w:eastAsia="宋体"/>
                <w:b/>
                <w:color w:val="auto"/>
                <w:sz w:val="21"/>
                <w:szCs w:val="21"/>
                <w:lang w:val="en-US" w:eastAsia="zh-CN"/>
              </w:rPr>
            </w:pPr>
            <w:r>
              <w:rPr>
                <w:rFonts w:hint="eastAsia" w:ascii="宋体" w:hAnsi="宋体" w:eastAsia="宋体"/>
                <w:b/>
                <w:color w:val="auto"/>
                <w:sz w:val="21"/>
                <w:szCs w:val="21"/>
                <w:lang w:val="en-US" w:eastAsia="zh-CN"/>
              </w:rPr>
              <w:t>资信、</w:t>
            </w:r>
            <w:r>
              <w:rPr>
                <w:rFonts w:ascii="宋体" w:hAnsi="宋体" w:eastAsia="宋体"/>
                <w:b/>
                <w:color w:val="auto"/>
                <w:sz w:val="21"/>
                <w:szCs w:val="21"/>
                <w:lang w:val="en-US" w:eastAsia="zh-CN"/>
              </w:rPr>
              <w:t>商务</w:t>
            </w:r>
            <w:r>
              <w:rPr>
                <w:rFonts w:hint="eastAsia" w:ascii="宋体" w:hAnsi="宋体" w:eastAsia="宋体"/>
                <w:b/>
                <w:color w:val="auto"/>
                <w:sz w:val="21"/>
                <w:szCs w:val="21"/>
                <w:lang w:val="en-US" w:eastAsia="zh-CN"/>
              </w:rPr>
              <w:t>部分</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snapToGrid w:val="0"/>
              <w:spacing w:line="360" w:lineRule="auto"/>
              <w:jc w:val="left"/>
              <w:rPr>
                <w:rFonts w:ascii="宋体" w:hAnsi="宋体"/>
                <w:color w:val="auto"/>
                <w:szCs w:val="21"/>
              </w:rPr>
            </w:pPr>
            <w:r>
              <w:rPr>
                <w:rFonts w:hint="eastAsia" w:ascii="宋体" w:hAnsi="宋体"/>
                <w:color w:val="auto"/>
                <w:szCs w:val="21"/>
              </w:rPr>
              <w:t>①</w:t>
            </w:r>
            <w:r>
              <w:rPr>
                <w:rFonts w:ascii="宋体" w:hAnsi="宋体"/>
                <w:color w:val="auto"/>
                <w:szCs w:val="21"/>
              </w:rPr>
              <w:t>投标保证金缴纳凭证（</w:t>
            </w:r>
            <w:r>
              <w:rPr>
                <w:rFonts w:hint="eastAsia" w:ascii="宋体" w:hAnsi="宋体"/>
                <w:color w:val="auto"/>
                <w:szCs w:val="21"/>
              </w:rPr>
              <w:t>格式自拟，投标文件中附满足投标邀请第七条规定的</w:t>
            </w:r>
            <w:r>
              <w:rPr>
                <w:rFonts w:ascii="宋体" w:hAnsi="宋体"/>
                <w:color w:val="auto"/>
                <w:szCs w:val="21"/>
              </w:rPr>
              <w:t>投标保证金缴纳凭证</w:t>
            </w:r>
            <w:r>
              <w:rPr>
                <w:rFonts w:hint="eastAsia" w:ascii="宋体" w:hAnsi="宋体"/>
                <w:color w:val="auto"/>
                <w:szCs w:val="21"/>
              </w:rPr>
              <w:t>资料复印件</w:t>
            </w:r>
            <w:r>
              <w:rPr>
                <w:rFonts w:ascii="宋体" w:hAnsi="宋体"/>
                <w:color w:val="auto"/>
                <w:szCs w:val="21"/>
              </w:rPr>
              <w:t>）；</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snapToGrid w:val="0"/>
              <w:spacing w:line="360" w:lineRule="auto"/>
              <w:jc w:val="left"/>
              <w:rPr>
                <w:rFonts w:hint="eastAsia" w:ascii="宋体" w:hAnsi="宋体"/>
                <w:color w:val="auto"/>
                <w:szCs w:val="21"/>
              </w:rPr>
            </w:pPr>
            <w:r>
              <w:rPr>
                <w:rFonts w:hint="eastAsia" w:ascii="宋体" w:hAnsi="宋体"/>
                <w:color w:val="auto"/>
                <w:szCs w:val="21"/>
              </w:rPr>
              <w:t>②投标声明书（格式见第六章投标文件格式相应内容）</w:t>
            </w:r>
            <w:r>
              <w:rPr>
                <w:rFonts w:ascii="宋体" w:hAnsi="宋体"/>
                <w:color w:val="auto"/>
                <w:szCs w:val="21"/>
              </w:rPr>
              <w:t>；</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1996" w:hRule="atLeast"/>
        </w:trPr>
        <w:tc>
          <w:tcPr>
            <w:tcW w:w="6983" w:type="dxa"/>
            <w:noWrap w:val="0"/>
            <w:vAlign w:val="top"/>
          </w:tcPr>
          <w:p>
            <w:pPr>
              <w:pStyle w:val="25"/>
              <w:snapToGrid w:val="0"/>
              <w:spacing w:before="120" w:after="120" w:line="360" w:lineRule="auto"/>
              <w:rPr>
                <w:rFonts w:hint="eastAsia" w:hAnsi="宋体"/>
                <w:color w:val="auto"/>
                <w:szCs w:val="21"/>
                <w:lang w:val="en-US" w:eastAsia="zh-CN"/>
              </w:rPr>
            </w:pPr>
            <w:r>
              <w:rPr>
                <w:rFonts w:hint="eastAsia" w:hAnsi="宋体"/>
                <w:color w:val="auto"/>
                <w:sz w:val="21"/>
                <w:szCs w:val="21"/>
                <w:lang w:val="en-US" w:eastAsia="zh-CN"/>
              </w:rPr>
              <w:t>③法定代表人身份证正反面复印件加盖投标人公章，</w:t>
            </w:r>
            <w:r>
              <w:rPr>
                <w:rFonts w:hAnsi="宋体"/>
                <w:color w:val="auto"/>
                <w:sz w:val="21"/>
                <w:szCs w:val="21"/>
                <w:lang w:val="en-US" w:eastAsia="zh-CN"/>
              </w:rPr>
              <w:t>如投标人代表不是法定代表人，</w:t>
            </w:r>
            <w:r>
              <w:rPr>
                <w:rFonts w:hint="eastAsia" w:hAnsi="宋体"/>
                <w:color w:val="auto"/>
                <w:sz w:val="21"/>
                <w:szCs w:val="21"/>
                <w:lang w:val="en-US" w:eastAsia="zh-CN"/>
              </w:rPr>
              <w:t>投标文件中还</w:t>
            </w:r>
            <w:r>
              <w:rPr>
                <w:rFonts w:hAnsi="宋体"/>
                <w:color w:val="auto"/>
                <w:sz w:val="21"/>
                <w:szCs w:val="21"/>
                <w:lang w:val="en-US" w:eastAsia="zh-CN"/>
              </w:rPr>
              <w:t>须有法定代表人出具的授权委托书（</w:t>
            </w:r>
            <w:r>
              <w:rPr>
                <w:rFonts w:hint="eastAsia" w:hAnsi="宋体"/>
                <w:color w:val="auto"/>
                <w:sz w:val="21"/>
                <w:szCs w:val="21"/>
                <w:lang w:val="en-US" w:eastAsia="zh-CN"/>
              </w:rPr>
              <w:t>投标文件</w:t>
            </w:r>
            <w:r>
              <w:rPr>
                <w:rFonts w:hAnsi="宋体"/>
                <w:color w:val="auto"/>
                <w:sz w:val="21"/>
                <w:szCs w:val="21"/>
                <w:lang w:val="en-US" w:eastAsia="zh-CN"/>
              </w:rPr>
              <w:t>正本用原件，格式见第</w:t>
            </w:r>
            <w:r>
              <w:rPr>
                <w:rFonts w:hint="eastAsia" w:hAnsi="宋体"/>
                <w:color w:val="auto"/>
                <w:sz w:val="21"/>
                <w:szCs w:val="21"/>
                <w:lang w:val="en-US" w:eastAsia="zh-CN"/>
              </w:rPr>
              <w:t>六章投标文件格式相应内容</w:t>
            </w:r>
            <w:r>
              <w:rPr>
                <w:rFonts w:hAnsi="宋体"/>
                <w:color w:val="auto"/>
                <w:sz w:val="21"/>
                <w:szCs w:val="21"/>
                <w:lang w:val="en-US" w:eastAsia="zh-CN"/>
              </w:rPr>
              <w:t>）</w:t>
            </w:r>
            <w:r>
              <w:rPr>
                <w:rFonts w:hint="eastAsia" w:hAnsi="宋体"/>
                <w:color w:val="auto"/>
                <w:sz w:val="21"/>
                <w:szCs w:val="21"/>
                <w:lang w:val="en-US" w:eastAsia="zh-CN"/>
              </w:rPr>
              <w:t>及法定代表人授权代表身份证正反面复印件加盖投标人公章、投标人法定代表人授权代表近一个月的社保证明复印件加盖投标人公章</w:t>
            </w:r>
            <w:r>
              <w:rPr>
                <w:rFonts w:hint="eastAsia" w:hAnsi="宋体"/>
                <w:color w:val="auto"/>
                <w:szCs w:val="21"/>
                <w:lang w:val="en-US" w:eastAsia="zh-CN"/>
              </w:rPr>
              <w:t>；</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center"/>
          </w:tcPr>
          <w:p>
            <w:pPr>
              <w:tabs>
                <w:tab w:val="left" w:pos="518"/>
              </w:tabs>
              <w:adjustRightInd w:val="0"/>
              <w:snapToGrid w:val="0"/>
              <w:spacing w:line="300" w:lineRule="exact"/>
              <w:rPr>
                <w:rFonts w:hint="eastAsia" w:ascii="宋体" w:hAnsi="宋体"/>
                <w:color w:val="auto"/>
                <w:szCs w:val="21"/>
              </w:rPr>
            </w:pPr>
            <w:r>
              <w:rPr>
                <w:rFonts w:hint="eastAsia" w:ascii="宋体" w:hAnsi="宋体"/>
                <w:color w:val="auto"/>
                <w:szCs w:val="21"/>
              </w:rPr>
              <w:t>④</w:t>
            </w:r>
            <w:r>
              <w:rPr>
                <w:rFonts w:hint="eastAsia" w:hAnsi="宋体"/>
                <w:b/>
                <w:color w:val="auto"/>
                <w:szCs w:val="21"/>
              </w:rPr>
              <w:t>合格投标人的资格要求中相应的证明材料</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spacing w:line="360" w:lineRule="auto"/>
              <w:rPr>
                <w:rFonts w:hint="eastAsia" w:ascii="宋体" w:hAnsi="宋体" w:cs="宋体"/>
                <w:b/>
                <w:color w:val="auto"/>
                <w:szCs w:val="21"/>
              </w:rPr>
            </w:pPr>
            <w:r>
              <w:rPr>
                <w:rFonts w:hint="eastAsia" w:ascii="宋体" w:hAnsi="宋体" w:cs="宋体"/>
                <w:b/>
                <w:color w:val="auto"/>
                <w:szCs w:val="21"/>
              </w:rPr>
              <w:t>（1）</w:t>
            </w:r>
            <w:r>
              <w:rPr>
                <w:rFonts w:hint="eastAsia" w:ascii="宋体" w:hAnsi="宋体"/>
                <w:b/>
                <w:color w:val="auto"/>
                <w:szCs w:val="21"/>
              </w:rPr>
              <w:t>投标人在</w:t>
            </w:r>
            <w:r>
              <w:rPr>
                <w:rFonts w:hint="eastAsia" w:ascii="宋体" w:hAnsi="宋体" w:cs="宋体"/>
                <w:b/>
                <w:color w:val="auto"/>
              </w:rPr>
              <w:t xml:space="preserve"> “信用中国”网站(</w:t>
            </w:r>
            <w:r>
              <w:rPr>
                <w:rFonts w:ascii="宋体" w:hAnsi="宋体" w:cs="宋体"/>
                <w:b/>
                <w:color w:val="auto"/>
              </w:rPr>
              <w:fldChar w:fldCharType="begin"/>
            </w:r>
            <w:r>
              <w:rPr>
                <w:rFonts w:ascii="宋体" w:hAnsi="宋体" w:cs="宋体"/>
                <w:b/>
                <w:color w:val="auto"/>
              </w:rPr>
              <w:instrText xml:space="preserve"> HYPERLINK "http://</w:instrText>
            </w:r>
            <w:r>
              <w:rPr>
                <w:rFonts w:hint="eastAsia" w:ascii="宋体" w:hAnsi="宋体" w:cs="宋体"/>
                <w:b/>
                <w:color w:val="auto"/>
              </w:rPr>
              <w:instrText xml:space="preserve">www.creditchina.gov.cn</w:instrText>
            </w:r>
            <w:r>
              <w:rPr>
                <w:rFonts w:ascii="宋体" w:hAnsi="宋体" w:cs="宋体"/>
                <w:b/>
                <w:color w:val="auto"/>
              </w:rPr>
              <w:instrText xml:space="preserve">" </w:instrText>
            </w:r>
            <w:r>
              <w:rPr>
                <w:rFonts w:ascii="宋体" w:hAnsi="宋体" w:cs="宋体"/>
                <w:b/>
                <w:color w:val="auto"/>
              </w:rPr>
              <w:fldChar w:fldCharType="separate"/>
            </w:r>
            <w:r>
              <w:rPr>
                <w:rStyle w:val="55"/>
                <w:rFonts w:hint="eastAsia" w:hAnsi="宋体" w:cs="宋体"/>
                <w:b/>
                <w:color w:val="auto"/>
              </w:rPr>
              <w:t>www.creditchina.gov.cn</w:t>
            </w:r>
            <w:r>
              <w:rPr>
                <w:rFonts w:ascii="宋体" w:hAnsi="宋体" w:cs="宋体"/>
                <w:b/>
                <w:color w:val="auto"/>
              </w:rPr>
              <w:fldChar w:fldCharType="end"/>
            </w:r>
            <w:r>
              <w:rPr>
                <w:rFonts w:hint="eastAsia" w:ascii="宋体" w:hAnsi="宋体" w:cs="宋体"/>
                <w:b/>
                <w:color w:val="auto"/>
              </w:rPr>
              <w:t>)、中国政府采购网(www.ccgp.gov.cn)</w:t>
            </w:r>
            <w:r>
              <w:rPr>
                <w:rFonts w:hint="eastAsia" w:ascii="宋体" w:hAnsi="宋体"/>
                <w:b/>
                <w:color w:val="auto"/>
                <w:szCs w:val="21"/>
              </w:rPr>
              <w:t>中查询结果的截图复印件。</w:t>
            </w:r>
            <w:r>
              <w:rPr>
                <w:rFonts w:hint="eastAsia" w:ascii="宋体" w:hAnsi="宋体" w:cs="宋体"/>
                <w:b/>
                <w:color w:val="auto"/>
              </w:rPr>
              <w:t>“</w:t>
            </w:r>
            <w:r>
              <w:rPr>
                <w:rFonts w:hint="eastAsia" w:ascii="微软雅黑" w:hAnsi="微软雅黑" w:eastAsia="微软雅黑"/>
                <w:b/>
                <w:color w:val="auto"/>
                <w:sz w:val="19"/>
                <w:szCs w:val="19"/>
              </w:rPr>
              <w:t> </w:t>
            </w:r>
            <w:r>
              <w:rPr>
                <w:rFonts w:ascii="微软雅黑" w:hAnsi="微软雅黑" w:eastAsia="微软雅黑"/>
                <w:b/>
                <w:color w:val="auto"/>
                <w:sz w:val="19"/>
                <w:szCs w:val="19"/>
              </w:rPr>
              <w:fldChar w:fldCharType="begin"/>
            </w:r>
            <w:r>
              <w:rPr>
                <w:rFonts w:ascii="微软雅黑" w:hAnsi="微软雅黑" w:eastAsia="微软雅黑"/>
                <w:b/>
                <w:color w:val="auto"/>
                <w:sz w:val="19"/>
                <w:szCs w:val="19"/>
              </w:rPr>
              <w:instrText xml:space="preserve"> HYPERLINK "http://www.ccgp.gov.cn/search/cr/" \o "政府采购严重违法失信行为记录名单" </w:instrText>
            </w:r>
            <w:r>
              <w:rPr>
                <w:rFonts w:ascii="微软雅黑" w:hAnsi="微软雅黑" w:eastAsia="微软雅黑"/>
                <w:b/>
                <w:color w:val="auto"/>
                <w:sz w:val="19"/>
                <w:szCs w:val="19"/>
              </w:rPr>
              <w:fldChar w:fldCharType="separate"/>
            </w:r>
            <w:r>
              <w:rPr>
                <w:rStyle w:val="55"/>
                <w:b/>
                <w:color w:val="auto"/>
              </w:rPr>
              <w:t>政府采购严重违法失信行为记录名单</w:t>
            </w:r>
            <w:r>
              <w:rPr>
                <w:rFonts w:ascii="微软雅黑" w:hAnsi="微软雅黑" w:eastAsia="微软雅黑"/>
                <w:b/>
                <w:color w:val="auto"/>
                <w:sz w:val="19"/>
                <w:szCs w:val="19"/>
              </w:rPr>
              <w:fldChar w:fldCharType="end"/>
            </w:r>
            <w:r>
              <w:rPr>
                <w:rFonts w:hint="eastAsia" w:ascii="宋体" w:hAnsi="宋体" w:cs="宋体"/>
                <w:b/>
                <w:color w:val="auto"/>
              </w:rPr>
              <w:t>”处罚结果确定为禁止参加政府采购活动</w:t>
            </w:r>
            <w:r>
              <w:rPr>
                <w:rFonts w:hint="eastAsia" w:ascii="宋体" w:hAnsi="宋体"/>
                <w:b/>
                <w:color w:val="auto"/>
                <w:szCs w:val="21"/>
              </w:rPr>
              <w:t>期限届满的需另行提供相关证明</w:t>
            </w:r>
            <w:r>
              <w:rPr>
                <w:rFonts w:hint="eastAsia" w:ascii="宋体" w:hAnsi="宋体" w:cs="宋体"/>
                <w:b/>
                <w:color w:val="auto"/>
                <w:szCs w:val="21"/>
              </w:rPr>
              <w:t>资料，加盖投标人公章。</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spacing w:line="360" w:lineRule="auto"/>
              <w:rPr>
                <w:rFonts w:ascii="宋体" w:hAnsi="宋体" w:cs="宋体"/>
                <w:color w:val="auto"/>
                <w:szCs w:val="21"/>
              </w:rPr>
            </w:pPr>
            <w:r>
              <w:rPr>
                <w:rFonts w:hint="eastAsia" w:ascii="宋体" w:hAnsi="宋体" w:cs="宋体"/>
                <w:color w:val="auto"/>
                <w:szCs w:val="21"/>
              </w:rPr>
              <w:t>（2）</w:t>
            </w:r>
            <w:r>
              <w:rPr>
                <w:rFonts w:hint="eastAsia" w:ascii="宋体" w:hAnsi="宋体" w:cs="宋体"/>
                <w:b/>
                <w:color w:val="auto"/>
                <w:szCs w:val="21"/>
              </w:rPr>
              <w:t>具有独立承担民事责任的能力【格式自拟，投标文件中附法人或者其他组织的营业执照等证明文件（包括有效的企业法人营业执照或事业法人登记证或其他组织（个体工商户）的营业执照或者民办非企业单位登记证书）复印件并加盖投标人公章，如为自然人的需附身份证明复印件并签字。】</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spacing w:line="360" w:lineRule="auto"/>
              <w:rPr>
                <w:rFonts w:ascii="宋体" w:hAnsi="宋体" w:cs="宋体"/>
                <w:b/>
                <w:color w:val="auto"/>
                <w:szCs w:val="21"/>
              </w:rPr>
            </w:pPr>
            <w:r>
              <w:rPr>
                <w:rFonts w:hint="eastAsia" w:ascii="宋体" w:hAnsi="宋体" w:cs="宋体"/>
                <w:color w:val="auto"/>
                <w:szCs w:val="21"/>
              </w:rPr>
              <w:t>（3）</w:t>
            </w:r>
            <w:r>
              <w:rPr>
                <w:rFonts w:hint="eastAsia" w:ascii="宋体" w:hAnsi="宋体" w:cs="宋体"/>
                <w:b/>
                <w:color w:val="auto"/>
                <w:szCs w:val="21"/>
              </w:rPr>
              <w:t>具有良好的商业信誉和健全的财务会计制度、具有依法缴纳税收和社会保障资金良好记录【格式自拟，投标文件中附财务状况报告（包括</w:t>
            </w:r>
            <w:r>
              <w:rPr>
                <w:rFonts w:hint="eastAsia"/>
                <w:color w:val="auto"/>
              </w:rPr>
              <w:t>2018年财务状况报告</w:t>
            </w:r>
            <w:r>
              <w:rPr>
                <w:rFonts w:hint="eastAsia"/>
                <w:b/>
                <w:color w:val="auto"/>
              </w:rPr>
              <w:t>或投标人成立不足一年的须提供银行出具的资信证明材料）</w:t>
            </w:r>
            <w:r>
              <w:rPr>
                <w:rFonts w:hint="eastAsia" w:ascii="宋体" w:hAnsi="宋体" w:cs="宋体"/>
                <w:b/>
                <w:color w:val="auto"/>
                <w:szCs w:val="21"/>
              </w:rPr>
              <w:t>复印件、依法缴纳税收和社会保障资金的相关材料复印件，加盖投标人公章，</w:t>
            </w:r>
            <w:r>
              <w:rPr>
                <w:rFonts w:hint="eastAsia"/>
                <w:b/>
                <w:color w:val="auto"/>
              </w:rPr>
              <w:t>如依法免税的，应提供其依法免税的证明文件复印件加盖</w:t>
            </w:r>
            <w:r>
              <w:rPr>
                <w:rFonts w:hint="eastAsia" w:ascii="宋体" w:hAnsi="宋体" w:cs="宋体"/>
                <w:b/>
                <w:color w:val="auto"/>
                <w:szCs w:val="21"/>
              </w:rPr>
              <w:t>投标人公章</w:t>
            </w:r>
            <w:r>
              <w:rPr>
                <w:rFonts w:hint="eastAsia"/>
                <w:b/>
                <w:color w:val="auto"/>
              </w:rPr>
              <w:t>，如依法不需要缴纳社会保障资金的，应提供其依法不需要缴纳社会保障资金的证明文件复印件加盖</w:t>
            </w:r>
            <w:r>
              <w:rPr>
                <w:rFonts w:hint="eastAsia" w:ascii="宋体" w:hAnsi="宋体" w:cs="宋体"/>
                <w:b/>
                <w:color w:val="auto"/>
                <w:szCs w:val="21"/>
              </w:rPr>
              <w:t>投标人公章</w:t>
            </w:r>
            <w:r>
              <w:rPr>
                <w:rFonts w:hint="eastAsia"/>
                <w:b/>
                <w:color w:val="auto"/>
              </w:rPr>
              <w:t>。</w:t>
            </w:r>
            <w:r>
              <w:rPr>
                <w:rFonts w:hint="eastAsia" w:ascii="宋体" w:hAnsi="宋体" w:cs="宋体"/>
                <w:b/>
                <w:color w:val="auto"/>
                <w:szCs w:val="21"/>
              </w:rPr>
              <w:t>】</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spacing w:line="360" w:lineRule="auto"/>
              <w:rPr>
                <w:rFonts w:ascii="宋体" w:hAnsi="宋体" w:cs="宋体"/>
                <w:b/>
                <w:color w:val="auto"/>
                <w:szCs w:val="21"/>
              </w:rPr>
            </w:pPr>
            <w:r>
              <w:rPr>
                <w:rFonts w:hint="eastAsia" w:ascii="宋体" w:hAnsi="宋体" w:cs="宋体"/>
                <w:b/>
                <w:color w:val="auto"/>
                <w:szCs w:val="21"/>
              </w:rPr>
              <w:t>（4）具有履行合同所必需的设备和专业技术能力(格式自拟，投标文件中附具备履行合同所必需的设备和专业技术能力的证明材料复印件并加盖投标人公章。)</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spacing w:line="360" w:lineRule="auto"/>
              <w:rPr>
                <w:rFonts w:hint="eastAsia" w:ascii="宋体" w:hAnsi="宋体" w:cs="宋体"/>
                <w:b/>
                <w:color w:val="auto"/>
                <w:szCs w:val="21"/>
              </w:rPr>
            </w:pPr>
            <w:r>
              <w:rPr>
                <w:rFonts w:hint="eastAsia" w:ascii="宋体" w:hAnsi="宋体" w:cs="宋体"/>
                <w:b/>
                <w:color w:val="auto"/>
                <w:szCs w:val="21"/>
              </w:rPr>
              <w:t>（5）参加本政府采购活动前三年内，</w:t>
            </w:r>
            <w:r>
              <w:rPr>
                <w:rFonts w:ascii="宋体" w:hAnsi="宋体" w:cs="宋体"/>
                <w:b/>
                <w:color w:val="auto"/>
                <w:kern w:val="0"/>
                <w:szCs w:val="21"/>
              </w:rPr>
              <w:t>在经营活动中没有重大违法记录</w:t>
            </w:r>
            <w:r>
              <w:rPr>
                <w:rFonts w:hint="eastAsia" w:ascii="宋体" w:hAnsi="宋体" w:cs="宋体"/>
                <w:b/>
                <w:color w:val="auto"/>
                <w:szCs w:val="21"/>
              </w:rPr>
              <w:t>。（按第六章投标文件格式中的投标声明书作相应声明。）</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center"/>
          </w:tcPr>
          <w:p>
            <w:pPr>
              <w:kinsoku w:val="0"/>
              <w:snapToGrid w:val="0"/>
              <w:spacing w:line="360" w:lineRule="auto"/>
              <w:rPr>
                <w:rFonts w:hint="eastAsia" w:ascii="宋体" w:hAnsi="宋体" w:cs="宋体"/>
                <w:b/>
                <w:color w:val="auto"/>
                <w:szCs w:val="21"/>
              </w:rPr>
            </w:pPr>
            <w:r>
              <w:rPr>
                <w:rFonts w:hint="eastAsia" w:ascii="宋体" w:hAnsi="宋体"/>
                <w:b/>
                <w:color w:val="auto"/>
                <w:szCs w:val="21"/>
              </w:rPr>
              <w:t>（6）单位负责人为同一人或者存在直接控股、管理关系的不同供应商，不得参加本项目的政府采购活动。为本采购项目提供整体设计、规范编制或者项目管理、监理、检测等服务的供应商，不得</w:t>
            </w:r>
            <w:r>
              <w:rPr>
                <w:rFonts w:hint="eastAsia" w:ascii="宋体" w:hAnsi="宋体" w:cs="宋体"/>
                <w:b/>
                <w:color w:val="auto"/>
                <w:szCs w:val="21"/>
              </w:rPr>
              <w:t>再参加本采购项目的投标。（按第六章投标文件格式中的投标声明作相应声明、按承诺书作相应承诺。）</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center"/>
          </w:tcPr>
          <w:p>
            <w:pPr>
              <w:kinsoku w:val="0"/>
              <w:snapToGrid w:val="0"/>
              <w:spacing w:line="360" w:lineRule="auto"/>
              <w:rPr>
                <w:rFonts w:ascii="宋体" w:hAnsi="宋体" w:cs="宋体"/>
                <w:b/>
                <w:color w:val="auto"/>
                <w:szCs w:val="21"/>
              </w:rPr>
            </w:pPr>
            <w:r>
              <w:rPr>
                <w:rFonts w:hint="eastAsia" w:ascii="宋体" w:hAnsi="宋体" w:cs="宋体"/>
                <w:b/>
                <w:color w:val="auto"/>
                <w:szCs w:val="21"/>
              </w:rPr>
              <w:t>（7）</w:t>
            </w:r>
            <w:r>
              <w:rPr>
                <w:rFonts w:ascii="宋体" w:hAnsi="宋体" w:cs="宋体"/>
                <w:b/>
                <w:color w:val="auto"/>
                <w:szCs w:val="21"/>
              </w:rPr>
              <w:t>本项目不接受联合体投标</w:t>
            </w:r>
            <w:r>
              <w:rPr>
                <w:rFonts w:hint="eastAsia" w:ascii="宋体" w:hAnsi="宋体" w:cs="宋体"/>
                <w:b/>
                <w:color w:val="auto"/>
                <w:szCs w:val="21"/>
              </w:rPr>
              <w:t>。（按第六章投标文件格式中的投标声明书作相应声明。）</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snapToGrid w:val="0"/>
              <w:spacing w:line="360" w:lineRule="auto"/>
              <w:jc w:val="left"/>
              <w:rPr>
                <w:rFonts w:hint="eastAsia" w:ascii="宋体" w:hAnsi="宋体"/>
                <w:color w:val="auto"/>
                <w:szCs w:val="21"/>
              </w:rPr>
            </w:pPr>
            <w:r>
              <w:rPr>
                <w:rFonts w:hint="eastAsia" w:ascii="宋体" w:hAnsi="宋体"/>
                <w:color w:val="auto"/>
                <w:szCs w:val="21"/>
              </w:rPr>
              <w:t>⑤采购文件评分标准表中要求提供的资信、商务资料；（格式自拟，按评分标准表中的要求提供）；</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snapToGrid w:val="0"/>
              <w:spacing w:line="360" w:lineRule="auto"/>
              <w:jc w:val="left"/>
              <w:rPr>
                <w:rFonts w:ascii="宋体" w:hAnsi="宋体"/>
                <w:color w:val="auto"/>
                <w:szCs w:val="21"/>
              </w:rPr>
            </w:pPr>
            <w:r>
              <w:rPr>
                <w:rFonts w:hint="eastAsia" w:ascii="宋体" w:hAnsi="宋体"/>
                <w:color w:val="auto"/>
                <w:szCs w:val="21"/>
              </w:rPr>
              <w:t>⑥投标人情况介绍（格式见第六章投标文件格式中相应内容）；</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snapToGrid w:val="0"/>
              <w:spacing w:line="360" w:lineRule="auto"/>
              <w:jc w:val="left"/>
              <w:rPr>
                <w:rFonts w:hint="eastAsia" w:ascii="宋体" w:hAnsi="宋体"/>
                <w:color w:val="auto"/>
                <w:szCs w:val="21"/>
              </w:rPr>
            </w:pPr>
            <w:r>
              <w:rPr>
                <w:rFonts w:hint="eastAsia" w:ascii="宋体" w:hAnsi="宋体"/>
                <w:color w:val="auto"/>
                <w:szCs w:val="21"/>
              </w:rPr>
              <w:t>⑦商务响应表（格式见第六章投标文件格式中相应内容）；</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snapToGrid w:val="0"/>
              <w:spacing w:line="360" w:lineRule="auto"/>
              <w:jc w:val="left"/>
              <w:rPr>
                <w:rFonts w:ascii="宋体" w:hAnsi="宋体"/>
                <w:color w:val="auto"/>
                <w:szCs w:val="21"/>
              </w:rPr>
            </w:pPr>
            <w:r>
              <w:rPr>
                <w:rFonts w:hint="eastAsia" w:ascii="宋体" w:hAnsi="宋体"/>
                <w:color w:val="auto"/>
                <w:szCs w:val="21"/>
              </w:rPr>
              <w:t>⑧投标人认为需要提供的与本项目有关的其他资信及商务资料（如有可提供，格式自拟）。</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tabs>
                <w:tab w:val="left" w:pos="420"/>
              </w:tabs>
              <w:adjustRightInd w:val="0"/>
              <w:snapToGrid w:val="0"/>
              <w:spacing w:line="300" w:lineRule="exact"/>
              <w:rPr>
                <w:rFonts w:hint="eastAsia" w:ascii="宋体" w:hAnsi="宋体"/>
                <w:color w:val="auto"/>
                <w:szCs w:val="21"/>
              </w:rPr>
            </w:pPr>
            <w:r>
              <w:rPr>
                <w:rFonts w:hint="eastAsia" w:ascii="宋体" w:hAnsi="宋体"/>
                <w:b/>
                <w:color w:val="auto"/>
                <w:szCs w:val="21"/>
              </w:rPr>
              <w:t>技术部分</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tabs>
                <w:tab w:val="left" w:pos="420"/>
              </w:tabs>
              <w:adjustRightInd w:val="0"/>
              <w:snapToGrid w:val="0"/>
              <w:spacing w:line="360" w:lineRule="auto"/>
              <w:rPr>
                <w:rFonts w:ascii="宋体" w:hAnsi="宋体"/>
                <w:color w:val="auto"/>
                <w:szCs w:val="21"/>
              </w:rPr>
            </w:pPr>
            <w:r>
              <w:rPr>
                <w:rFonts w:hint="eastAsia" w:ascii="宋体" w:hAnsi="宋体"/>
                <w:color w:val="auto"/>
                <w:szCs w:val="21"/>
              </w:rPr>
              <w:t>①对采购文件第二章采购需求中的“二、采购清单及技术参数”内容的响应及按其要求需提供的相关资料（格式见第六章投标文件格式相应内容，相关资料格式自拟）</w:t>
            </w:r>
            <w:r>
              <w:rPr>
                <w:rFonts w:hint="eastAsia"/>
                <w:color w:val="auto"/>
                <w:szCs w:val="21"/>
              </w:rPr>
              <w:t>；</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snapToGrid w:val="0"/>
              <w:spacing w:before="50" w:after="120" w:afterLines="50" w:line="360" w:lineRule="auto"/>
              <w:jc w:val="left"/>
              <w:rPr>
                <w:rFonts w:hint="eastAsia" w:ascii="宋体" w:hAnsi="宋体"/>
                <w:color w:val="auto"/>
                <w:szCs w:val="21"/>
              </w:rPr>
            </w:pPr>
            <w:r>
              <w:rPr>
                <w:rFonts w:hint="eastAsia" w:ascii="宋体" w:hAnsi="宋体"/>
                <w:color w:val="auto"/>
                <w:szCs w:val="21"/>
              </w:rPr>
              <w:t>②根据采购文件第四章评标办法及评分标准中的内容、要求提供的技术文件：</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tabs>
                <w:tab w:val="left" w:pos="420"/>
              </w:tabs>
              <w:adjustRightInd w:val="0"/>
              <w:snapToGrid w:val="0"/>
              <w:spacing w:line="360" w:lineRule="auto"/>
              <w:rPr>
                <w:rFonts w:hint="eastAsia" w:ascii="宋体" w:hAnsi="宋体"/>
                <w:color w:val="auto"/>
                <w:szCs w:val="21"/>
              </w:rPr>
            </w:pPr>
            <w:r>
              <w:rPr>
                <w:rFonts w:hint="eastAsia" w:ascii="宋体" w:hAnsi="宋体"/>
                <w:color w:val="auto"/>
                <w:szCs w:val="21"/>
              </w:rPr>
              <w:t>1）按按演示要求进行演示；</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46" w:hRule="atLeast"/>
        </w:trPr>
        <w:tc>
          <w:tcPr>
            <w:tcW w:w="6983" w:type="dxa"/>
            <w:noWrap w:val="0"/>
            <w:vAlign w:val="top"/>
          </w:tcPr>
          <w:p>
            <w:pPr>
              <w:tabs>
                <w:tab w:val="left" w:pos="420"/>
              </w:tabs>
              <w:adjustRightInd w:val="0"/>
              <w:snapToGrid w:val="0"/>
              <w:spacing w:line="360" w:lineRule="auto"/>
              <w:rPr>
                <w:rFonts w:hint="eastAsia" w:ascii="宋体" w:hAnsi="宋体"/>
                <w:color w:val="auto"/>
                <w:szCs w:val="21"/>
              </w:rPr>
            </w:pPr>
            <w:r>
              <w:rPr>
                <w:rFonts w:hint="eastAsia" w:ascii="宋体" w:hAnsi="宋体"/>
                <w:color w:val="auto"/>
                <w:szCs w:val="21"/>
              </w:rPr>
              <w:t>2）所投设备先进性的描述及相关证明资料；</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tabs>
                <w:tab w:val="left" w:pos="420"/>
              </w:tabs>
              <w:adjustRightInd w:val="0"/>
              <w:snapToGrid w:val="0"/>
              <w:spacing w:line="360" w:lineRule="auto"/>
              <w:rPr>
                <w:rFonts w:hint="eastAsia" w:ascii="宋体" w:hAnsi="宋体"/>
                <w:color w:val="auto"/>
                <w:szCs w:val="21"/>
              </w:rPr>
            </w:pPr>
            <w:r>
              <w:rPr>
                <w:rFonts w:hint="eastAsia" w:ascii="宋体" w:hAnsi="宋体"/>
                <w:color w:val="auto"/>
                <w:szCs w:val="21"/>
              </w:rPr>
              <w:t>3）所投设备稳定性的描述及相关证明资料；</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tabs>
                <w:tab w:val="left" w:pos="420"/>
              </w:tabs>
              <w:adjustRightInd w:val="0"/>
              <w:snapToGrid w:val="0"/>
              <w:spacing w:line="360" w:lineRule="auto"/>
              <w:rPr>
                <w:rFonts w:ascii="宋体" w:hAnsi="宋体"/>
                <w:color w:val="auto"/>
                <w:szCs w:val="21"/>
              </w:rPr>
            </w:pPr>
            <w:r>
              <w:rPr>
                <w:rFonts w:hint="eastAsia" w:ascii="宋体" w:hAnsi="宋体"/>
                <w:color w:val="auto"/>
                <w:szCs w:val="21"/>
              </w:rPr>
              <w:t>4）所投产品认可度的描述及证明资料；</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tabs>
                <w:tab w:val="left" w:pos="315"/>
              </w:tabs>
              <w:adjustRightInd w:val="0"/>
              <w:snapToGrid w:val="0"/>
              <w:spacing w:line="360" w:lineRule="auto"/>
              <w:jc w:val="left"/>
              <w:rPr>
                <w:rFonts w:ascii="宋体" w:hAnsi="宋体"/>
                <w:color w:val="auto"/>
                <w:szCs w:val="21"/>
              </w:rPr>
            </w:pPr>
            <w:r>
              <w:rPr>
                <w:rFonts w:hint="eastAsia" w:ascii="宋体" w:hAnsi="宋体"/>
                <w:color w:val="auto"/>
                <w:szCs w:val="21"/>
              </w:rPr>
              <w:t>5）针对本项目的实施方案，包括施工计划、质量管控、测试及验收方案等；</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6983" w:type="dxa"/>
            <w:noWrap w:val="0"/>
            <w:vAlign w:val="top"/>
          </w:tcPr>
          <w:p>
            <w:pPr>
              <w:tabs>
                <w:tab w:val="left" w:pos="315"/>
              </w:tabs>
              <w:adjustRightInd w:val="0"/>
              <w:snapToGrid w:val="0"/>
              <w:spacing w:line="360" w:lineRule="auto"/>
              <w:jc w:val="left"/>
              <w:rPr>
                <w:rFonts w:ascii="宋体" w:hAnsi="宋体"/>
                <w:color w:val="auto"/>
                <w:szCs w:val="21"/>
              </w:rPr>
            </w:pPr>
            <w:r>
              <w:rPr>
                <w:rFonts w:hint="eastAsia" w:ascii="宋体" w:hAnsi="宋体"/>
                <w:color w:val="auto"/>
                <w:szCs w:val="21"/>
              </w:rPr>
              <w:t>6）针对本项目的质保期承诺；</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4" w:hRule="atLeast"/>
        </w:trPr>
        <w:tc>
          <w:tcPr>
            <w:tcW w:w="6983" w:type="dxa"/>
            <w:noWrap w:val="0"/>
            <w:vAlign w:val="top"/>
          </w:tcPr>
          <w:p>
            <w:pPr>
              <w:tabs>
                <w:tab w:val="left" w:pos="315"/>
              </w:tabs>
              <w:adjustRightInd w:val="0"/>
              <w:snapToGrid w:val="0"/>
              <w:spacing w:line="360" w:lineRule="auto"/>
              <w:jc w:val="left"/>
              <w:rPr>
                <w:rFonts w:ascii="宋体" w:hAnsi="宋体"/>
                <w:color w:val="auto"/>
                <w:szCs w:val="21"/>
              </w:rPr>
            </w:pPr>
            <w:r>
              <w:rPr>
                <w:rFonts w:hint="eastAsia" w:ascii="宋体" w:hAnsi="宋体"/>
                <w:color w:val="auto"/>
                <w:szCs w:val="21"/>
              </w:rPr>
              <w:t>7）针对本项目服务响应能力的描述及相关证明资料；</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4" w:hRule="atLeast"/>
        </w:trPr>
        <w:tc>
          <w:tcPr>
            <w:tcW w:w="6983" w:type="dxa"/>
            <w:noWrap w:val="0"/>
            <w:vAlign w:val="top"/>
          </w:tcPr>
          <w:p>
            <w:pPr>
              <w:tabs>
                <w:tab w:val="left" w:pos="315"/>
              </w:tabs>
              <w:adjustRightInd w:val="0"/>
              <w:snapToGrid w:val="0"/>
              <w:spacing w:line="360" w:lineRule="auto"/>
              <w:jc w:val="left"/>
              <w:rPr>
                <w:rFonts w:ascii="宋体" w:hAnsi="宋体"/>
                <w:color w:val="auto"/>
                <w:szCs w:val="21"/>
              </w:rPr>
            </w:pPr>
            <w:r>
              <w:rPr>
                <w:rFonts w:hint="eastAsia" w:ascii="宋体" w:hAnsi="宋体"/>
                <w:color w:val="auto"/>
                <w:szCs w:val="21"/>
              </w:rPr>
              <w:t>8）售后服务承诺、培训方案及培训承诺；</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4" w:hRule="atLeast"/>
        </w:trPr>
        <w:tc>
          <w:tcPr>
            <w:tcW w:w="6983" w:type="dxa"/>
            <w:noWrap w:val="0"/>
            <w:vAlign w:val="top"/>
          </w:tcPr>
          <w:p>
            <w:pPr>
              <w:snapToGrid w:val="0"/>
              <w:spacing w:line="360" w:lineRule="auto"/>
              <w:jc w:val="left"/>
              <w:rPr>
                <w:rFonts w:hint="eastAsia"/>
                <w:color w:val="auto"/>
              </w:rPr>
            </w:pPr>
            <w:r>
              <w:rPr>
                <w:rFonts w:hint="eastAsia" w:ascii="宋体" w:hAnsi="宋体"/>
                <w:color w:val="auto"/>
                <w:szCs w:val="21"/>
              </w:rPr>
              <w:t>③</w:t>
            </w:r>
            <w:r>
              <w:rPr>
                <w:rFonts w:ascii="宋体" w:hAnsi="宋体"/>
                <w:color w:val="auto"/>
                <w:szCs w:val="21"/>
              </w:rPr>
              <w:t>投标人认为需要提供的其它技术资料</w:t>
            </w:r>
            <w:r>
              <w:rPr>
                <w:rFonts w:hint="eastAsia" w:ascii="宋体" w:hAnsi="宋体"/>
                <w:color w:val="auto"/>
                <w:szCs w:val="21"/>
              </w:rPr>
              <w:t>。</w:t>
            </w:r>
            <w:r>
              <w:rPr>
                <w:rFonts w:hint="eastAsia"/>
                <w:color w:val="auto"/>
                <w:szCs w:val="21"/>
              </w:rPr>
              <w:t>（格式自拟）</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4" w:hRule="atLeast"/>
        </w:trPr>
        <w:tc>
          <w:tcPr>
            <w:tcW w:w="6983" w:type="dxa"/>
            <w:noWrap w:val="0"/>
            <w:vAlign w:val="top"/>
          </w:tcPr>
          <w:p>
            <w:pPr>
              <w:snapToGrid w:val="0"/>
              <w:spacing w:line="360" w:lineRule="auto"/>
              <w:jc w:val="left"/>
              <w:rPr>
                <w:rFonts w:hint="eastAsia" w:ascii="宋体" w:hAnsi="宋体"/>
                <w:color w:val="auto"/>
                <w:szCs w:val="21"/>
              </w:rPr>
            </w:pPr>
            <w:r>
              <w:rPr>
                <w:rFonts w:hint="eastAsia" w:ascii="宋体" w:hAnsi="宋体"/>
                <w:color w:val="auto"/>
                <w:szCs w:val="21"/>
              </w:rPr>
              <w:t>④响应地方政策的承诺文件。（格式见第六章投标文件格式内容）</w:t>
            </w:r>
          </w:p>
        </w:tc>
        <w:tc>
          <w:tcPr>
            <w:tcW w:w="709"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762"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bl>
    <w:p>
      <w:pPr>
        <w:snapToGrid w:val="0"/>
        <w:spacing w:before="120" w:beforeLines="50" w:after="50"/>
        <w:jc w:val="center"/>
        <w:rPr>
          <w:rFonts w:hint="eastAsia" w:ascii="宋体" w:hAnsi="宋体"/>
          <w:b/>
          <w:bCs/>
          <w:color w:val="auto"/>
          <w:szCs w:val="21"/>
        </w:rPr>
      </w:pPr>
    </w:p>
    <w:p>
      <w:pPr>
        <w:snapToGrid w:val="0"/>
        <w:spacing w:before="120" w:beforeLines="50" w:after="50"/>
        <w:jc w:val="center"/>
        <w:rPr>
          <w:rFonts w:hint="eastAsia" w:ascii="宋体" w:hAnsi="宋体"/>
          <w:b/>
          <w:bCs/>
          <w:color w:val="auto"/>
          <w:szCs w:val="21"/>
        </w:rPr>
      </w:pPr>
    </w:p>
    <w:p>
      <w:pPr>
        <w:snapToGrid w:val="0"/>
        <w:spacing w:before="120" w:beforeLines="50" w:after="50"/>
        <w:jc w:val="center"/>
        <w:rPr>
          <w:rFonts w:hint="eastAsia" w:ascii="宋体" w:hAnsi="宋体"/>
          <w:b/>
          <w:bCs/>
          <w:color w:val="auto"/>
          <w:szCs w:val="21"/>
        </w:rPr>
      </w:pPr>
    </w:p>
    <w:p>
      <w:pPr>
        <w:snapToGrid w:val="0"/>
        <w:spacing w:before="120" w:beforeLines="50" w:after="50"/>
        <w:rPr>
          <w:rFonts w:hint="eastAsia" w:ascii="宋体" w:hAnsi="宋体"/>
          <w:b/>
          <w:bCs/>
          <w:color w:val="auto"/>
          <w:szCs w:val="21"/>
        </w:rPr>
      </w:pPr>
    </w:p>
    <w:p>
      <w:pPr>
        <w:snapToGrid w:val="0"/>
        <w:spacing w:before="120" w:beforeLines="50" w:after="50"/>
        <w:rPr>
          <w:rFonts w:hint="eastAsia" w:ascii="宋体" w:hAnsi="宋体"/>
          <w:b/>
          <w:bCs/>
          <w:color w:val="auto"/>
          <w:szCs w:val="21"/>
        </w:rPr>
      </w:pPr>
    </w:p>
    <w:p>
      <w:pPr>
        <w:snapToGrid w:val="0"/>
        <w:spacing w:before="120" w:beforeLines="50" w:after="50"/>
        <w:jc w:val="center"/>
        <w:rPr>
          <w:rFonts w:hint="eastAsia" w:ascii="宋体" w:hAnsi="宋体"/>
          <w:b/>
          <w:color w:val="auto"/>
          <w:szCs w:val="21"/>
        </w:rPr>
      </w:pPr>
      <w:r>
        <w:rPr>
          <w:rFonts w:hint="eastAsia" w:ascii="宋体" w:hAnsi="宋体"/>
          <w:b/>
          <w:color w:val="auto"/>
          <w:szCs w:val="21"/>
        </w:rPr>
        <w:t>报价文件目录及索引</w:t>
      </w:r>
    </w:p>
    <w:tbl>
      <w:tblPr>
        <w:tblStyle w:val="49"/>
        <w:tblW w:w="0" w:type="auto"/>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08"/>
        <w:gridCol w:w="567"/>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408" w:type="dxa"/>
            <w:noWrap w:val="0"/>
            <w:vAlign w:val="center"/>
          </w:tcPr>
          <w:p>
            <w:pPr>
              <w:tabs>
                <w:tab w:val="left" w:pos="518"/>
              </w:tabs>
              <w:adjustRightInd w:val="0"/>
              <w:snapToGrid w:val="0"/>
              <w:spacing w:line="400" w:lineRule="exact"/>
              <w:jc w:val="center"/>
              <w:rPr>
                <w:rFonts w:hint="eastAsia" w:ascii="宋体" w:hAnsi="宋体"/>
                <w:color w:val="auto"/>
                <w:szCs w:val="21"/>
              </w:rPr>
            </w:pPr>
            <w:r>
              <w:rPr>
                <w:rFonts w:hint="eastAsia" w:ascii="宋体" w:hAnsi="宋体"/>
                <w:color w:val="auto"/>
                <w:szCs w:val="21"/>
              </w:rPr>
              <w:t>投标文件内容</w:t>
            </w:r>
          </w:p>
        </w:tc>
        <w:tc>
          <w:tcPr>
            <w:tcW w:w="567" w:type="dxa"/>
            <w:tcBorders>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r>
              <w:rPr>
                <w:rFonts w:hint="eastAsia" w:ascii="宋体" w:hAnsi="宋体"/>
                <w:color w:val="auto"/>
                <w:szCs w:val="21"/>
              </w:rPr>
              <w:t>页码</w:t>
            </w:r>
          </w:p>
        </w:tc>
        <w:tc>
          <w:tcPr>
            <w:tcW w:w="479"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r>
              <w:rPr>
                <w:rFonts w:hint="eastAsia" w:ascii="宋体" w:hAnsi="宋体"/>
                <w:color w:val="auto"/>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408" w:type="dxa"/>
            <w:noWrap w:val="0"/>
            <w:vAlign w:val="top"/>
          </w:tcPr>
          <w:p>
            <w:pPr>
              <w:snapToGrid w:val="0"/>
              <w:spacing w:line="360" w:lineRule="auto"/>
              <w:jc w:val="left"/>
              <w:rPr>
                <w:rFonts w:hint="eastAsia" w:ascii="宋体" w:hAnsi="宋体"/>
                <w:b/>
                <w:color w:val="auto"/>
                <w:szCs w:val="21"/>
              </w:rPr>
            </w:pPr>
            <w:r>
              <w:rPr>
                <w:rFonts w:hint="eastAsia" w:ascii="宋体" w:hAnsi="宋体"/>
                <w:b/>
                <w:color w:val="auto"/>
                <w:szCs w:val="21"/>
              </w:rPr>
              <w:t>1.</w:t>
            </w:r>
            <w:r>
              <w:rPr>
                <w:rFonts w:ascii="宋体" w:hAnsi="宋体"/>
                <w:b/>
                <w:color w:val="auto"/>
                <w:szCs w:val="21"/>
              </w:rPr>
              <w:t>报价文件</w:t>
            </w:r>
            <w:r>
              <w:rPr>
                <w:rFonts w:hint="eastAsia" w:ascii="宋体" w:hAnsi="宋体"/>
                <w:b/>
                <w:color w:val="auto"/>
                <w:szCs w:val="21"/>
              </w:rPr>
              <w:t>（报价文件密封袋中须包含电子投标文件）</w:t>
            </w:r>
          </w:p>
        </w:tc>
        <w:tc>
          <w:tcPr>
            <w:tcW w:w="567"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479"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408" w:type="dxa"/>
            <w:noWrap w:val="0"/>
            <w:vAlign w:val="top"/>
          </w:tcPr>
          <w:p>
            <w:pPr>
              <w:snapToGrid w:val="0"/>
              <w:spacing w:line="360" w:lineRule="auto"/>
              <w:jc w:val="left"/>
              <w:rPr>
                <w:rFonts w:hint="eastAsia" w:ascii="宋体" w:hAnsi="宋体"/>
                <w:b/>
                <w:color w:val="auto"/>
                <w:szCs w:val="21"/>
              </w:rPr>
            </w:pPr>
            <w:r>
              <w:rPr>
                <w:rFonts w:hint="eastAsia" w:ascii="宋体" w:hAnsi="宋体"/>
                <w:color w:val="auto"/>
                <w:szCs w:val="21"/>
              </w:rPr>
              <w:t>①投标函（格式见第六章投标文件格式相应内容）；</w:t>
            </w:r>
          </w:p>
        </w:tc>
        <w:tc>
          <w:tcPr>
            <w:tcW w:w="567"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479"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408" w:type="dxa"/>
            <w:noWrap w:val="0"/>
            <w:vAlign w:val="top"/>
          </w:tcPr>
          <w:p>
            <w:pPr>
              <w:tabs>
                <w:tab w:val="left" w:pos="3870"/>
                <w:tab w:val="left" w:pos="4085"/>
              </w:tabs>
              <w:snapToGrid w:val="0"/>
              <w:spacing w:line="360" w:lineRule="auto"/>
              <w:jc w:val="left"/>
              <w:rPr>
                <w:rFonts w:hint="eastAsia" w:ascii="宋体" w:hAnsi="宋体"/>
                <w:color w:val="auto"/>
                <w:szCs w:val="21"/>
              </w:rPr>
            </w:pPr>
            <w:r>
              <w:rPr>
                <w:rFonts w:hint="eastAsia" w:ascii="宋体" w:hAnsi="宋体"/>
                <w:color w:val="auto"/>
                <w:szCs w:val="21"/>
              </w:rPr>
              <w:t xml:space="preserve">②开标一览表（格式见第六章投标文件格式相应内容）； </w:t>
            </w:r>
          </w:p>
        </w:tc>
        <w:tc>
          <w:tcPr>
            <w:tcW w:w="567"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479"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408" w:type="dxa"/>
            <w:noWrap w:val="0"/>
            <w:vAlign w:val="top"/>
          </w:tcPr>
          <w:p>
            <w:pPr>
              <w:pStyle w:val="27"/>
              <w:snapToGrid w:val="0"/>
              <w:spacing w:line="360" w:lineRule="auto"/>
              <w:ind w:leftChars="0"/>
              <w:rPr>
                <w:rFonts w:hint="eastAsia" w:ascii="宋体" w:hAnsi="宋体" w:eastAsia="宋体"/>
                <w:color w:val="auto"/>
                <w:szCs w:val="21"/>
                <w:lang w:val="en-US" w:eastAsia="zh-CN"/>
              </w:rPr>
            </w:pPr>
            <w:r>
              <w:rPr>
                <w:rFonts w:hint="eastAsia" w:ascii="宋体" w:hAnsi="宋体" w:eastAsia="宋体"/>
                <w:color w:val="auto"/>
                <w:sz w:val="21"/>
                <w:szCs w:val="21"/>
                <w:lang w:val="en-US" w:eastAsia="zh-CN"/>
              </w:rPr>
              <w:t>③</w:t>
            </w:r>
            <w:r>
              <w:rPr>
                <w:rFonts w:ascii="宋体" w:hAnsi="宋体" w:eastAsia="宋体"/>
                <w:color w:val="auto"/>
                <w:sz w:val="21"/>
                <w:szCs w:val="21"/>
                <w:lang w:val="en-US" w:eastAsia="zh-CN"/>
              </w:rPr>
              <w:t>报价</w:t>
            </w:r>
            <w:r>
              <w:rPr>
                <w:rFonts w:hint="eastAsia" w:ascii="宋体" w:hAnsi="宋体" w:eastAsia="宋体"/>
                <w:color w:val="auto"/>
                <w:sz w:val="21"/>
                <w:szCs w:val="21"/>
                <w:lang w:val="en-US" w:eastAsia="zh-CN"/>
              </w:rPr>
              <w:t>（投标价格）</w:t>
            </w:r>
            <w:r>
              <w:rPr>
                <w:rFonts w:ascii="宋体" w:hAnsi="宋体" w:eastAsia="宋体"/>
                <w:color w:val="auto"/>
                <w:sz w:val="21"/>
                <w:szCs w:val="21"/>
                <w:lang w:val="en-US" w:eastAsia="zh-CN"/>
              </w:rPr>
              <w:t>组成明细表</w:t>
            </w:r>
            <w:r>
              <w:rPr>
                <w:rFonts w:hint="eastAsia" w:ascii="宋体" w:hAnsi="宋体" w:eastAsia="宋体"/>
                <w:color w:val="auto"/>
                <w:sz w:val="21"/>
                <w:szCs w:val="21"/>
                <w:lang w:val="en-US" w:eastAsia="zh-CN"/>
              </w:rPr>
              <w:t xml:space="preserve">（格式见第六章投标文件格式相应内容）； </w:t>
            </w:r>
          </w:p>
        </w:tc>
        <w:tc>
          <w:tcPr>
            <w:tcW w:w="567"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479"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408" w:type="dxa"/>
            <w:noWrap w:val="0"/>
            <w:vAlign w:val="top"/>
          </w:tcPr>
          <w:p>
            <w:pPr>
              <w:snapToGrid w:val="0"/>
              <w:spacing w:line="360" w:lineRule="auto"/>
              <w:jc w:val="left"/>
              <w:rPr>
                <w:rFonts w:hint="eastAsia" w:ascii="宋体" w:hAnsi="宋体"/>
                <w:color w:val="auto"/>
                <w:szCs w:val="21"/>
              </w:rPr>
            </w:pPr>
            <w:r>
              <w:rPr>
                <w:rFonts w:hint="eastAsia" w:ascii="宋体" w:hAnsi="宋体"/>
                <w:color w:val="auto"/>
                <w:szCs w:val="21"/>
              </w:rPr>
              <w:t>④中小企业声明函（如符合要求，可提供，格式见第六章投标文件格式相应内容）；</w:t>
            </w:r>
          </w:p>
        </w:tc>
        <w:tc>
          <w:tcPr>
            <w:tcW w:w="567"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479"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408" w:type="dxa"/>
            <w:noWrap w:val="0"/>
            <w:vAlign w:val="top"/>
          </w:tcPr>
          <w:p>
            <w:pPr>
              <w:snapToGrid w:val="0"/>
              <w:spacing w:line="360" w:lineRule="auto"/>
              <w:jc w:val="left"/>
              <w:rPr>
                <w:rFonts w:hint="eastAsia" w:ascii="宋体" w:hAnsi="宋体"/>
                <w:color w:val="auto"/>
                <w:szCs w:val="21"/>
              </w:rPr>
            </w:pPr>
            <w:r>
              <w:rPr>
                <w:rFonts w:hint="eastAsia" w:ascii="宋体" w:hAnsi="宋体"/>
                <w:color w:val="auto"/>
                <w:szCs w:val="21"/>
              </w:rPr>
              <w:t>⑤小微企业产品分项报价表（如符合要求，可提供，格式见第六章投标文件格式相应内容）；</w:t>
            </w:r>
          </w:p>
        </w:tc>
        <w:tc>
          <w:tcPr>
            <w:tcW w:w="567"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479"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408" w:type="dxa"/>
            <w:noWrap w:val="0"/>
            <w:vAlign w:val="top"/>
          </w:tcPr>
          <w:p>
            <w:pPr>
              <w:snapToGrid w:val="0"/>
              <w:spacing w:line="360" w:lineRule="auto"/>
              <w:jc w:val="left"/>
              <w:rPr>
                <w:rFonts w:hint="eastAsia" w:ascii="宋体" w:hAnsi="宋体"/>
                <w:color w:val="auto"/>
                <w:szCs w:val="21"/>
              </w:rPr>
            </w:pPr>
            <w:r>
              <w:rPr>
                <w:rFonts w:hint="eastAsia" w:ascii="宋体" w:hAnsi="宋体"/>
                <w:color w:val="auto"/>
                <w:szCs w:val="21"/>
              </w:rPr>
              <w:t>⑥列入距投标截止时间最近一期节能产品政府采购清单的产品分项报价表（如符合要求，可提供，格式见第六章投标文件格式相应内容）；</w:t>
            </w:r>
          </w:p>
        </w:tc>
        <w:tc>
          <w:tcPr>
            <w:tcW w:w="567"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479"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408" w:type="dxa"/>
            <w:noWrap w:val="0"/>
            <w:vAlign w:val="top"/>
          </w:tcPr>
          <w:p>
            <w:pPr>
              <w:snapToGrid w:val="0"/>
              <w:spacing w:line="360" w:lineRule="auto"/>
              <w:jc w:val="left"/>
              <w:rPr>
                <w:rFonts w:hint="eastAsia" w:ascii="宋体" w:hAnsi="宋体"/>
                <w:color w:val="auto"/>
                <w:szCs w:val="21"/>
              </w:rPr>
            </w:pPr>
            <w:r>
              <w:rPr>
                <w:rFonts w:hint="eastAsia" w:ascii="宋体" w:hAnsi="宋体"/>
                <w:color w:val="auto"/>
                <w:szCs w:val="21"/>
              </w:rPr>
              <w:t>⑦列入距投标截止时间最近一期环境标志产品政府采购清单的产品分项报价表（如符合要求，可提供，格式见第六章投标文件格式相应内容）</w:t>
            </w:r>
          </w:p>
        </w:tc>
        <w:tc>
          <w:tcPr>
            <w:tcW w:w="567"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479"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408" w:type="dxa"/>
            <w:noWrap w:val="0"/>
            <w:vAlign w:val="top"/>
          </w:tcPr>
          <w:p>
            <w:pPr>
              <w:snapToGrid w:val="0"/>
              <w:spacing w:line="360" w:lineRule="auto"/>
              <w:jc w:val="left"/>
              <w:rPr>
                <w:rFonts w:hint="eastAsia" w:ascii="宋体" w:hAnsi="宋体"/>
                <w:color w:val="auto"/>
                <w:szCs w:val="21"/>
              </w:rPr>
            </w:pPr>
            <w:r>
              <w:rPr>
                <w:rFonts w:hint="eastAsia" w:ascii="宋体" w:hAnsi="宋体"/>
                <w:color w:val="auto"/>
                <w:szCs w:val="21"/>
              </w:rPr>
              <w:t>⑧《残疾人福利性单位声明函》（如符合要求，可提供，格式见第六章投标文件格式相应内容）；</w:t>
            </w:r>
          </w:p>
        </w:tc>
        <w:tc>
          <w:tcPr>
            <w:tcW w:w="567"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479"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408" w:type="dxa"/>
            <w:noWrap w:val="0"/>
            <w:vAlign w:val="top"/>
          </w:tcPr>
          <w:p>
            <w:pPr>
              <w:snapToGrid w:val="0"/>
              <w:spacing w:line="360" w:lineRule="auto"/>
              <w:jc w:val="left"/>
              <w:rPr>
                <w:rFonts w:hint="eastAsia"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9 \* GB3</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lang/>
              </w:rPr>
              <w:t>⑨</w:t>
            </w:r>
            <w:r>
              <w:rPr>
                <w:rFonts w:ascii="宋体" w:hAnsi="宋体"/>
                <w:color w:val="auto"/>
                <w:szCs w:val="21"/>
              </w:rPr>
              <w:fldChar w:fldCharType="end"/>
            </w:r>
            <w:r>
              <w:rPr>
                <w:rFonts w:ascii="宋体" w:hAnsi="宋体"/>
                <w:bCs/>
                <w:color w:val="auto"/>
                <w:szCs w:val="21"/>
              </w:rPr>
              <w:t>省级以上监狱管理局、戒毒管理局（含新疆生产建设兵团）出具的属于监狱企业的证明文件</w:t>
            </w:r>
            <w:r>
              <w:rPr>
                <w:rFonts w:hint="eastAsia" w:ascii="宋体" w:hAnsi="宋体"/>
                <w:color w:val="auto"/>
                <w:szCs w:val="21"/>
              </w:rPr>
              <w:t>（如符合要求，可提供，格式自拟）；</w:t>
            </w:r>
          </w:p>
        </w:tc>
        <w:tc>
          <w:tcPr>
            <w:tcW w:w="567"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479"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7408" w:type="dxa"/>
            <w:noWrap w:val="0"/>
            <w:vAlign w:val="top"/>
          </w:tcPr>
          <w:p>
            <w:pPr>
              <w:pStyle w:val="27"/>
              <w:snapToGrid w:val="0"/>
              <w:spacing w:line="360" w:lineRule="auto"/>
              <w:ind w:leftChars="0"/>
              <w:rPr>
                <w:rFonts w:hint="eastAsia" w:ascii="宋体" w:hAnsi="宋体" w:eastAsia="宋体"/>
                <w:color w:val="auto"/>
                <w:szCs w:val="21"/>
                <w:lang w:val="en-US" w:eastAsia="zh-CN"/>
              </w:rPr>
            </w:pPr>
            <w:r>
              <w:rPr>
                <w:rFonts w:ascii="宋体" w:hAnsi="宋体" w:eastAsia="宋体"/>
                <w:color w:val="auto"/>
                <w:sz w:val="21"/>
                <w:szCs w:val="21"/>
                <w:lang w:val="en-US" w:eastAsia="zh-CN"/>
              </w:rPr>
              <w:fldChar w:fldCharType="begin"/>
            </w:r>
            <w:r>
              <w:rPr>
                <w:rFonts w:ascii="宋体" w:hAnsi="宋体" w:eastAsia="宋体"/>
                <w:color w:val="auto"/>
                <w:sz w:val="21"/>
                <w:szCs w:val="21"/>
                <w:lang w:val="en-US" w:eastAsia="zh-CN"/>
              </w:rPr>
              <w:instrText xml:space="preserve"> </w:instrText>
            </w:r>
            <w:r>
              <w:rPr>
                <w:rFonts w:hint="eastAsia" w:ascii="宋体" w:hAnsi="宋体" w:eastAsia="宋体"/>
                <w:color w:val="auto"/>
                <w:sz w:val="21"/>
                <w:szCs w:val="21"/>
                <w:lang w:val="en-US" w:eastAsia="zh-CN"/>
              </w:rPr>
              <w:instrText xml:space="preserve">= 10 \* GB3</w:instrText>
            </w:r>
            <w:r>
              <w:rPr>
                <w:rFonts w:ascii="宋体" w:hAnsi="宋体" w:eastAsia="宋体"/>
                <w:color w:val="auto"/>
                <w:sz w:val="21"/>
                <w:szCs w:val="21"/>
                <w:lang w:val="en-US" w:eastAsia="zh-CN"/>
              </w:rPr>
              <w:instrText xml:space="preserve"> </w:instrText>
            </w:r>
            <w:r>
              <w:rPr>
                <w:rFonts w:ascii="宋体" w:hAnsi="宋体" w:eastAsia="宋体"/>
                <w:color w:val="auto"/>
                <w:sz w:val="21"/>
                <w:szCs w:val="21"/>
                <w:lang w:val="en-US" w:eastAsia="zh-CN"/>
              </w:rPr>
              <w:fldChar w:fldCharType="separate"/>
            </w:r>
            <w:r>
              <w:rPr>
                <w:rFonts w:hint="eastAsia" w:ascii="宋体" w:hAnsi="宋体" w:eastAsia="宋体"/>
                <w:color w:val="auto"/>
                <w:sz w:val="21"/>
                <w:szCs w:val="21"/>
                <w:lang w:eastAsia="zh-CN"/>
              </w:rPr>
              <w:t>⑩</w:t>
            </w:r>
            <w:r>
              <w:rPr>
                <w:rFonts w:ascii="宋体" w:hAnsi="宋体" w:eastAsia="宋体"/>
                <w:color w:val="auto"/>
                <w:sz w:val="21"/>
                <w:szCs w:val="21"/>
                <w:lang w:val="en-US" w:eastAsia="zh-CN"/>
              </w:rPr>
              <w:fldChar w:fldCharType="end"/>
            </w:r>
            <w:r>
              <w:rPr>
                <w:rFonts w:ascii="宋体" w:hAnsi="宋体" w:eastAsia="宋体"/>
                <w:color w:val="auto"/>
                <w:sz w:val="21"/>
                <w:szCs w:val="21"/>
                <w:lang w:val="en-US" w:eastAsia="zh-CN"/>
              </w:rPr>
              <w:t>投标人针对报价内容需要说明的其他文件（如有</w:t>
            </w:r>
            <w:r>
              <w:rPr>
                <w:rFonts w:hint="eastAsia" w:ascii="宋体" w:hAnsi="宋体" w:eastAsia="宋体"/>
                <w:color w:val="auto"/>
                <w:sz w:val="21"/>
                <w:szCs w:val="21"/>
                <w:lang w:val="en-US" w:eastAsia="zh-CN"/>
              </w:rPr>
              <w:t>，</w:t>
            </w:r>
            <w:r>
              <w:rPr>
                <w:rFonts w:ascii="宋体" w:hAnsi="宋体" w:eastAsia="宋体"/>
                <w:color w:val="auto"/>
                <w:sz w:val="21"/>
                <w:szCs w:val="21"/>
                <w:lang w:val="en-US" w:eastAsia="zh-CN"/>
              </w:rPr>
              <w:t>可提供，格式自拟）。</w:t>
            </w:r>
          </w:p>
        </w:tc>
        <w:tc>
          <w:tcPr>
            <w:tcW w:w="567" w:type="dxa"/>
            <w:tcBorders>
              <w:right w:val="single" w:color="auto" w:sz="4" w:space="0"/>
            </w:tcBorders>
            <w:noWrap w:val="0"/>
            <w:vAlign w:val="top"/>
          </w:tcPr>
          <w:p>
            <w:pPr>
              <w:tabs>
                <w:tab w:val="left" w:pos="518"/>
              </w:tabs>
              <w:adjustRightInd w:val="0"/>
              <w:snapToGrid w:val="0"/>
              <w:spacing w:line="400" w:lineRule="exact"/>
              <w:jc w:val="center"/>
              <w:rPr>
                <w:rFonts w:hint="eastAsia" w:ascii="宋体" w:hAnsi="宋体"/>
                <w:color w:val="auto"/>
                <w:szCs w:val="21"/>
              </w:rPr>
            </w:pPr>
          </w:p>
        </w:tc>
        <w:tc>
          <w:tcPr>
            <w:tcW w:w="479" w:type="dxa"/>
            <w:tcBorders>
              <w:left w:val="single" w:color="auto" w:sz="4" w:space="0"/>
              <w:right w:val="single" w:color="auto" w:sz="4" w:space="0"/>
            </w:tcBorders>
            <w:noWrap w:val="0"/>
            <w:vAlign w:val="center"/>
          </w:tcPr>
          <w:p>
            <w:pPr>
              <w:tabs>
                <w:tab w:val="left" w:pos="518"/>
              </w:tabs>
              <w:adjustRightInd w:val="0"/>
              <w:snapToGrid w:val="0"/>
              <w:spacing w:line="400" w:lineRule="exact"/>
              <w:jc w:val="center"/>
              <w:rPr>
                <w:rFonts w:hint="eastAsia" w:ascii="宋体" w:hAnsi="宋体"/>
                <w:color w:val="auto"/>
                <w:szCs w:val="21"/>
              </w:rPr>
            </w:pPr>
          </w:p>
        </w:tc>
      </w:tr>
    </w:tbl>
    <w:p>
      <w:pPr>
        <w:snapToGrid w:val="0"/>
        <w:spacing w:line="360" w:lineRule="auto"/>
        <w:jc w:val="left"/>
        <w:rPr>
          <w:rFonts w:hint="eastAsia" w:ascii="宋体" w:hAnsi="宋体"/>
          <w:color w:val="auto"/>
          <w:szCs w:val="21"/>
        </w:rPr>
      </w:pPr>
    </w:p>
    <w:p>
      <w:pPr>
        <w:snapToGrid w:val="0"/>
        <w:spacing w:line="360" w:lineRule="auto"/>
        <w:jc w:val="left"/>
        <w:rPr>
          <w:rFonts w:hint="eastAsia" w:ascii="宋体" w:hAnsi="宋体"/>
          <w:color w:val="auto"/>
          <w:szCs w:val="21"/>
        </w:rPr>
      </w:pPr>
    </w:p>
    <w:p>
      <w:pPr>
        <w:snapToGrid w:val="0"/>
        <w:spacing w:before="120" w:beforeLines="50" w:after="50" w:line="360" w:lineRule="auto"/>
        <w:rPr>
          <w:rFonts w:hint="eastAsia" w:ascii="宋体" w:hAnsi="宋体"/>
          <w:color w:val="auto"/>
          <w:szCs w:val="21"/>
        </w:rPr>
      </w:pPr>
    </w:p>
    <w:p>
      <w:pPr>
        <w:snapToGrid w:val="0"/>
        <w:spacing w:before="120" w:beforeLines="50" w:after="50" w:line="360" w:lineRule="auto"/>
        <w:ind w:firstLine="645"/>
        <w:jc w:val="center"/>
        <w:rPr>
          <w:rFonts w:hint="eastAsia" w:ascii="宋体" w:hAnsi="宋体"/>
          <w:color w:val="auto"/>
          <w:sz w:val="24"/>
        </w:rPr>
        <w:sectPr>
          <w:headerReference r:id="rId16" w:type="first"/>
          <w:footerReference r:id="rId19" w:type="first"/>
          <w:headerReference r:id="rId14" w:type="default"/>
          <w:footerReference r:id="rId17" w:type="default"/>
          <w:headerReference r:id="rId15" w:type="even"/>
          <w:footerReference r:id="rId18" w:type="even"/>
          <w:pgSz w:w="11906" w:h="16838"/>
          <w:pgMar w:top="1440" w:right="1440" w:bottom="1440" w:left="1610" w:header="851" w:footer="851" w:gutter="0"/>
          <w:cols w:space="720" w:num="1"/>
          <w:titlePg/>
          <w:docGrid w:linePitch="312" w:charSpace="0"/>
        </w:sectPr>
      </w:pPr>
      <w:r>
        <w:rPr>
          <w:rFonts w:ascii="宋体" w:hAnsi="宋体"/>
          <w:color w:val="auto"/>
          <w:sz w:val="24"/>
        </w:rPr>
        <w:t xml:space="preserve">   </w:t>
      </w:r>
    </w:p>
    <w:p>
      <w:pPr>
        <w:pStyle w:val="25"/>
        <w:snapToGrid w:val="0"/>
        <w:spacing w:before="120" w:beforeLines="0" w:after="120" w:afterLines="0" w:line="240" w:lineRule="auto"/>
        <w:rPr>
          <w:rFonts w:hint="eastAsia" w:hAnsi="宋体"/>
          <w:color w:val="auto"/>
          <w:sz w:val="21"/>
          <w:szCs w:val="21"/>
          <w:lang w:eastAsia="zh-CN"/>
        </w:rPr>
      </w:pPr>
      <w:r>
        <w:rPr>
          <w:rFonts w:hint="eastAsia" w:hAnsi="宋体"/>
          <w:color w:val="auto"/>
          <w:sz w:val="21"/>
          <w:szCs w:val="21"/>
          <w:lang w:val="en-US" w:eastAsia="zh-CN"/>
        </w:rPr>
        <w:t>3.</w:t>
      </w:r>
      <w:r>
        <w:rPr>
          <w:rFonts w:hint="eastAsia" w:hAnsi="宋体"/>
          <w:color w:val="auto"/>
          <w:sz w:val="21"/>
          <w:szCs w:val="21"/>
        </w:rPr>
        <w:t>投标文件</w:t>
      </w:r>
      <w:r>
        <w:rPr>
          <w:rFonts w:hint="eastAsia" w:hAnsi="宋体"/>
          <w:color w:val="auto"/>
          <w:sz w:val="21"/>
          <w:szCs w:val="21"/>
          <w:lang w:eastAsia="zh-CN"/>
        </w:rPr>
        <w:t>内容的</w:t>
      </w:r>
      <w:r>
        <w:rPr>
          <w:rFonts w:hint="eastAsia" w:hAnsi="宋体"/>
          <w:color w:val="auto"/>
          <w:sz w:val="21"/>
          <w:szCs w:val="21"/>
        </w:rPr>
        <w:t>具体格式</w:t>
      </w:r>
    </w:p>
    <w:p>
      <w:pPr>
        <w:snapToGrid w:val="0"/>
        <w:spacing w:before="50" w:after="120" w:afterLines="50"/>
        <w:jc w:val="left"/>
        <w:rPr>
          <w:rFonts w:hint="eastAsia" w:ascii="宋体" w:hAnsi="宋体"/>
          <w:b/>
          <w:color w:val="auto"/>
          <w:szCs w:val="21"/>
        </w:rPr>
      </w:pPr>
      <w:r>
        <w:rPr>
          <w:rFonts w:hint="eastAsia" w:ascii="宋体" w:hAnsi="宋体"/>
          <w:b/>
          <w:color w:val="auto"/>
          <w:szCs w:val="21"/>
        </w:rPr>
        <w:t>一.报价文件部分</w:t>
      </w:r>
    </w:p>
    <w:p>
      <w:pPr>
        <w:snapToGrid w:val="0"/>
        <w:spacing w:before="50" w:after="120" w:afterLines="50" w:line="360" w:lineRule="auto"/>
        <w:jc w:val="left"/>
        <w:rPr>
          <w:rFonts w:hint="eastAsia" w:hAnsi="宋体"/>
          <w:color w:val="auto"/>
          <w:szCs w:val="21"/>
        </w:rPr>
      </w:pPr>
      <w:r>
        <w:rPr>
          <w:rFonts w:hint="eastAsia" w:hAnsi="宋体"/>
          <w:color w:val="auto"/>
          <w:szCs w:val="21"/>
        </w:rPr>
        <w:t>1）.投标函</w:t>
      </w:r>
    </w:p>
    <w:p>
      <w:pPr>
        <w:snapToGrid w:val="0"/>
        <w:spacing w:before="120" w:beforeLines="50" w:after="50" w:line="360" w:lineRule="auto"/>
        <w:ind w:left="360"/>
        <w:jc w:val="center"/>
        <w:rPr>
          <w:rFonts w:ascii="宋体" w:hAnsi="宋体"/>
          <w:b/>
          <w:color w:val="auto"/>
          <w:szCs w:val="21"/>
        </w:rPr>
      </w:pPr>
      <w:r>
        <w:rPr>
          <w:rFonts w:hint="eastAsia" w:ascii="宋体" w:hAnsi="宋体"/>
          <w:b/>
          <w:color w:val="auto"/>
          <w:szCs w:val="21"/>
        </w:rPr>
        <w:t>投</w:t>
      </w:r>
      <w:r>
        <w:rPr>
          <w:rFonts w:ascii="宋体" w:hAnsi="宋体"/>
          <w:b/>
          <w:color w:val="auto"/>
          <w:szCs w:val="21"/>
        </w:rPr>
        <w:t xml:space="preserve"> </w:t>
      </w:r>
      <w:r>
        <w:rPr>
          <w:rFonts w:hint="eastAsia" w:ascii="宋体" w:hAnsi="宋体"/>
          <w:b/>
          <w:color w:val="auto"/>
          <w:szCs w:val="21"/>
        </w:rPr>
        <w:t>标</w:t>
      </w:r>
      <w:r>
        <w:rPr>
          <w:rFonts w:ascii="宋体" w:hAnsi="宋体"/>
          <w:b/>
          <w:color w:val="auto"/>
          <w:szCs w:val="21"/>
        </w:rPr>
        <w:t xml:space="preserve"> </w:t>
      </w:r>
      <w:r>
        <w:rPr>
          <w:rFonts w:hint="eastAsia" w:ascii="宋体" w:hAnsi="宋体"/>
          <w:b/>
          <w:color w:val="auto"/>
          <w:szCs w:val="21"/>
        </w:rPr>
        <w:t>函</w:t>
      </w:r>
    </w:p>
    <w:p>
      <w:pPr>
        <w:snapToGrid w:val="0"/>
        <w:spacing w:line="360" w:lineRule="auto"/>
        <w:rPr>
          <w:rFonts w:hint="eastAsia" w:ascii="宋体" w:hAnsi="宋体"/>
          <w:color w:val="auto"/>
          <w:szCs w:val="21"/>
        </w:rPr>
      </w:pPr>
    </w:p>
    <w:p>
      <w:pPr>
        <w:snapToGrid w:val="0"/>
        <w:spacing w:line="360" w:lineRule="auto"/>
        <w:rPr>
          <w:rFonts w:ascii="宋体" w:hAnsi="宋体"/>
          <w:color w:val="auto"/>
          <w:szCs w:val="21"/>
        </w:rPr>
      </w:pPr>
      <w:r>
        <w:rPr>
          <w:rFonts w:hint="eastAsia" w:ascii="宋体" w:hAnsi="宋体"/>
          <w:color w:val="auto"/>
          <w:szCs w:val="21"/>
        </w:rPr>
        <w:t>致：</w:t>
      </w:r>
      <w:r>
        <w:rPr>
          <w:rFonts w:ascii="宋体" w:hAnsi="宋体"/>
          <w:color w:val="auto"/>
          <w:szCs w:val="21"/>
          <w:u w:val="single"/>
        </w:rPr>
        <w:t>_______     __</w:t>
      </w:r>
      <w:r>
        <w:rPr>
          <w:rFonts w:hint="eastAsia" w:ascii="宋体" w:hAnsi="宋体"/>
          <w:color w:val="auto"/>
          <w:szCs w:val="21"/>
        </w:rPr>
        <w:t>（采购人、代理机构名称）：</w:t>
      </w:r>
    </w:p>
    <w:p>
      <w:pPr>
        <w:snapToGrid w:val="0"/>
        <w:spacing w:line="360" w:lineRule="auto"/>
        <w:ind w:firstLine="420" w:firstLineChars="200"/>
        <w:rPr>
          <w:rFonts w:ascii="宋体" w:hAnsi="宋体"/>
          <w:color w:val="auto"/>
          <w:szCs w:val="21"/>
        </w:rPr>
      </w:pPr>
      <w:r>
        <w:rPr>
          <w:rFonts w:hint="eastAsia" w:ascii="宋体" w:hAnsi="宋体"/>
          <w:color w:val="auto"/>
          <w:szCs w:val="21"/>
        </w:rPr>
        <w:t>根据贵方</w:t>
      </w:r>
      <w:r>
        <w:rPr>
          <w:rFonts w:ascii="宋体" w:hAnsi="宋体"/>
          <w:color w:val="auto"/>
          <w:szCs w:val="21"/>
          <w:u w:val="single"/>
        </w:rPr>
        <w:t xml:space="preserve">                             </w:t>
      </w:r>
      <w:r>
        <w:rPr>
          <w:rFonts w:hint="eastAsia" w:ascii="宋体" w:hAnsi="宋体"/>
          <w:color w:val="auto"/>
          <w:szCs w:val="21"/>
        </w:rPr>
        <w:t>项目的招标公告（项目编号：</w:t>
      </w:r>
      <w:r>
        <w:rPr>
          <w:rFonts w:ascii="宋体" w:hAnsi="宋体"/>
          <w:color w:val="auto"/>
          <w:szCs w:val="21"/>
          <w:u w:val="single"/>
        </w:rPr>
        <w:t>_____     __</w:t>
      </w:r>
      <w:r>
        <w:rPr>
          <w:rFonts w:hint="eastAsia" w:ascii="宋体" w:hAnsi="宋体"/>
          <w:color w:val="auto"/>
          <w:szCs w:val="21"/>
        </w:rPr>
        <w:t>），签字代表</w:t>
      </w:r>
      <w:r>
        <w:rPr>
          <w:rFonts w:ascii="宋体" w:hAnsi="宋体"/>
          <w:color w:val="auto"/>
          <w:szCs w:val="21"/>
          <w:u w:val="single"/>
        </w:rPr>
        <w:t xml:space="preserve">_______     </w:t>
      </w:r>
      <w:r>
        <w:rPr>
          <w:rFonts w:hint="eastAsia" w:ascii="宋体" w:hAnsi="宋体"/>
          <w:color w:val="auto"/>
          <w:szCs w:val="21"/>
        </w:rPr>
        <w:t>（全名）代表投标人</w:t>
      </w:r>
      <w:r>
        <w:rPr>
          <w:rFonts w:ascii="宋体" w:hAnsi="宋体"/>
          <w:color w:val="auto"/>
          <w:szCs w:val="21"/>
          <w:u w:val="single"/>
        </w:rPr>
        <w:t>_</w:t>
      </w:r>
      <w:r>
        <w:rPr>
          <w:rFonts w:hint="eastAsia" w:ascii="宋体" w:hAnsi="宋体"/>
          <w:color w:val="auto"/>
          <w:szCs w:val="21"/>
          <w:u w:val="single"/>
        </w:rPr>
        <w:t>（投标人名称）</w:t>
      </w:r>
      <w:r>
        <w:rPr>
          <w:rFonts w:hint="eastAsia" w:ascii="宋体" w:hAnsi="宋体"/>
          <w:color w:val="auto"/>
          <w:szCs w:val="21"/>
        </w:rPr>
        <w:t>提交</w:t>
      </w:r>
      <w:r>
        <w:rPr>
          <w:rFonts w:hint="eastAsia"/>
          <w:color w:val="auto"/>
          <w:szCs w:val="21"/>
        </w:rPr>
        <w:t>书面</w:t>
      </w:r>
      <w:r>
        <w:rPr>
          <w:color w:val="auto"/>
          <w:szCs w:val="21"/>
        </w:rPr>
        <w:t>报价文件</w:t>
      </w:r>
      <w:r>
        <w:rPr>
          <w:rFonts w:hint="eastAsia"/>
          <w:color w:val="auto"/>
          <w:szCs w:val="21"/>
        </w:rPr>
        <w:t>正本</w:t>
      </w:r>
      <w:r>
        <w:rPr>
          <w:color w:val="auto"/>
          <w:szCs w:val="21"/>
        </w:rPr>
        <w:t xml:space="preserve">1 </w:t>
      </w:r>
      <w:r>
        <w:rPr>
          <w:rFonts w:hint="eastAsia"/>
          <w:color w:val="auto"/>
          <w:szCs w:val="21"/>
        </w:rPr>
        <w:t>份，副本</w:t>
      </w:r>
      <w:r>
        <w:rPr>
          <w:color w:val="auto"/>
          <w:szCs w:val="21"/>
        </w:rPr>
        <w:t xml:space="preserve">4 </w:t>
      </w:r>
      <w:r>
        <w:rPr>
          <w:rFonts w:hint="eastAsia"/>
          <w:color w:val="auto"/>
          <w:szCs w:val="21"/>
        </w:rPr>
        <w:t>份；书面资信、</w:t>
      </w:r>
      <w:r>
        <w:rPr>
          <w:color w:val="auto"/>
          <w:szCs w:val="21"/>
        </w:rPr>
        <w:t>商务</w:t>
      </w:r>
      <w:r>
        <w:rPr>
          <w:rFonts w:hint="eastAsia"/>
          <w:color w:val="auto"/>
          <w:szCs w:val="21"/>
        </w:rPr>
        <w:t>、</w:t>
      </w:r>
      <w:r>
        <w:rPr>
          <w:color w:val="auto"/>
          <w:szCs w:val="21"/>
        </w:rPr>
        <w:t>技术文件</w:t>
      </w:r>
      <w:r>
        <w:rPr>
          <w:rFonts w:hint="eastAsia"/>
          <w:color w:val="auto"/>
          <w:szCs w:val="21"/>
        </w:rPr>
        <w:t>正本</w:t>
      </w:r>
      <w:r>
        <w:rPr>
          <w:color w:val="auto"/>
          <w:szCs w:val="21"/>
        </w:rPr>
        <w:t xml:space="preserve">1 </w:t>
      </w:r>
      <w:r>
        <w:rPr>
          <w:rFonts w:hint="eastAsia"/>
          <w:color w:val="auto"/>
          <w:szCs w:val="21"/>
        </w:rPr>
        <w:t>份，副本</w:t>
      </w:r>
      <w:r>
        <w:rPr>
          <w:color w:val="auto"/>
          <w:szCs w:val="21"/>
        </w:rPr>
        <w:t xml:space="preserve">4 </w:t>
      </w:r>
      <w:r>
        <w:rPr>
          <w:rFonts w:hint="eastAsia"/>
          <w:color w:val="auto"/>
          <w:szCs w:val="21"/>
        </w:rPr>
        <w:t>份；电子投标文件1份。</w:t>
      </w:r>
    </w:p>
    <w:p>
      <w:pPr>
        <w:snapToGrid w:val="0"/>
        <w:spacing w:line="360" w:lineRule="auto"/>
        <w:rPr>
          <w:rFonts w:ascii="宋体" w:hAnsi="宋体"/>
          <w:color w:val="auto"/>
          <w:szCs w:val="21"/>
        </w:rPr>
      </w:pPr>
      <w:r>
        <w:rPr>
          <w:rFonts w:hint="eastAsia" w:ascii="宋体" w:hAnsi="宋体"/>
          <w:color w:val="auto"/>
          <w:szCs w:val="21"/>
        </w:rPr>
        <w:t>据此函，签字代表代表我方宣布同意以下内容：</w:t>
      </w:r>
    </w:p>
    <w:p>
      <w:pPr>
        <w:snapToGrid w:val="0"/>
        <w:spacing w:line="360" w:lineRule="auto"/>
        <w:rPr>
          <w:rFonts w:ascii="宋体" w:hAnsi="宋体"/>
          <w:color w:val="auto"/>
          <w:szCs w:val="21"/>
        </w:rPr>
      </w:pPr>
      <w:r>
        <w:rPr>
          <w:rFonts w:ascii="宋体" w:hAnsi="宋体"/>
          <w:color w:val="auto"/>
          <w:szCs w:val="21"/>
        </w:rPr>
        <w:t>1</w:t>
      </w:r>
      <w:r>
        <w:rPr>
          <w:rFonts w:hint="eastAsia" w:ascii="宋体" w:hAnsi="宋体"/>
          <w:color w:val="auto"/>
          <w:szCs w:val="21"/>
        </w:rPr>
        <w:t>.我方已详细阅读、审查采购文件、采购文件的修改、澄清文件（如有的话）、采购文件的有关附件，已经了解我方对于采购文件、采购过程、采购结果有依法进行询问、质疑、投诉的权利及进行询问、质疑、投诉的相关渠道、要求。</w:t>
      </w:r>
    </w:p>
    <w:p>
      <w:pPr>
        <w:snapToGrid w:val="0"/>
        <w:spacing w:line="360" w:lineRule="auto"/>
        <w:rPr>
          <w:rFonts w:ascii="宋体" w:hAnsi="宋体"/>
          <w:color w:val="auto"/>
          <w:szCs w:val="21"/>
        </w:rPr>
      </w:pPr>
      <w:r>
        <w:rPr>
          <w:rFonts w:ascii="宋体" w:hAnsi="宋体"/>
          <w:color w:val="auto"/>
          <w:szCs w:val="21"/>
        </w:rPr>
        <w:t>2</w:t>
      </w:r>
      <w:r>
        <w:rPr>
          <w:rFonts w:hint="eastAsia" w:ascii="宋体" w:hAnsi="宋体"/>
          <w:color w:val="auto"/>
          <w:szCs w:val="21"/>
        </w:rPr>
        <w:t>.我方在投标之前已完全理解并接受采购文件的内容和要求，对采购文件的合法性、合理性不再有异议。</w:t>
      </w:r>
    </w:p>
    <w:p>
      <w:pPr>
        <w:snapToGrid w:val="0"/>
        <w:spacing w:line="360" w:lineRule="auto"/>
        <w:rPr>
          <w:rFonts w:ascii="宋体" w:hAnsi="宋体"/>
          <w:color w:val="auto"/>
          <w:szCs w:val="21"/>
        </w:rPr>
      </w:pPr>
      <w:r>
        <w:rPr>
          <w:rFonts w:ascii="宋体" w:hAnsi="宋体"/>
          <w:color w:val="auto"/>
          <w:szCs w:val="21"/>
        </w:rPr>
        <w:t>3</w:t>
      </w:r>
      <w:r>
        <w:rPr>
          <w:rFonts w:hint="eastAsia" w:ascii="宋体" w:hAnsi="宋体"/>
          <w:color w:val="auto"/>
          <w:szCs w:val="21"/>
        </w:rPr>
        <w:t>.投标有效期自提交投标文件的截止之日起</w:t>
      </w:r>
      <w:r>
        <w:rPr>
          <w:rFonts w:ascii="宋体" w:hAnsi="宋体"/>
          <w:color w:val="auto"/>
          <w:szCs w:val="21"/>
        </w:rPr>
        <w:t xml:space="preserve"> </w:t>
      </w:r>
      <w:r>
        <w:rPr>
          <w:rFonts w:hint="eastAsia" w:ascii="宋体" w:hAnsi="宋体"/>
          <w:color w:val="auto"/>
          <w:szCs w:val="21"/>
          <w:u w:val="single"/>
        </w:rPr>
        <w:t>90</w:t>
      </w:r>
      <w:r>
        <w:rPr>
          <w:rFonts w:hint="eastAsia" w:ascii="宋体" w:hAnsi="宋体"/>
          <w:color w:val="auto"/>
          <w:szCs w:val="21"/>
        </w:rPr>
        <w:t>天。</w:t>
      </w:r>
    </w:p>
    <w:p>
      <w:pPr>
        <w:snapToGrid w:val="0"/>
        <w:spacing w:line="360" w:lineRule="auto"/>
        <w:rPr>
          <w:rFonts w:ascii="宋体" w:hAnsi="宋体"/>
          <w:color w:val="auto"/>
          <w:szCs w:val="21"/>
        </w:rPr>
      </w:pPr>
      <w:r>
        <w:rPr>
          <w:rFonts w:ascii="宋体" w:hAnsi="宋体"/>
          <w:color w:val="auto"/>
          <w:szCs w:val="21"/>
        </w:rPr>
        <w:t>4</w:t>
      </w:r>
      <w:r>
        <w:rPr>
          <w:rFonts w:hint="eastAsia" w:ascii="宋体" w:hAnsi="宋体"/>
          <w:color w:val="auto"/>
          <w:szCs w:val="21"/>
        </w:rPr>
        <w:t>.如中标，我方将按采购文件确定的事项及在此基础上双方签订的合同、政府采购法律、法规、规章的规定履行合同，并承担相应的义务、责任。</w:t>
      </w:r>
    </w:p>
    <w:p>
      <w:pPr>
        <w:snapToGrid w:val="0"/>
        <w:spacing w:line="360" w:lineRule="auto"/>
        <w:rPr>
          <w:rFonts w:ascii="宋体" w:hAnsi="宋体"/>
          <w:color w:val="auto"/>
          <w:szCs w:val="21"/>
        </w:rPr>
      </w:pPr>
      <w:r>
        <w:rPr>
          <w:rFonts w:ascii="宋体" w:hAnsi="宋体"/>
          <w:color w:val="auto"/>
          <w:szCs w:val="21"/>
        </w:rPr>
        <w:t>5</w:t>
      </w:r>
      <w:r>
        <w:rPr>
          <w:rFonts w:hint="eastAsia" w:ascii="宋体" w:hAnsi="宋体"/>
          <w:color w:val="auto"/>
          <w:szCs w:val="21"/>
        </w:rPr>
        <w:t>.我方同意按照采购文件要求提供与投标有关的一切数据或资料。</w:t>
      </w:r>
    </w:p>
    <w:p>
      <w:pPr>
        <w:snapToGrid w:val="0"/>
        <w:spacing w:line="360" w:lineRule="auto"/>
        <w:rPr>
          <w:rFonts w:ascii="宋体" w:hAnsi="宋体"/>
          <w:color w:val="auto"/>
          <w:szCs w:val="21"/>
        </w:rPr>
      </w:pPr>
      <w:r>
        <w:rPr>
          <w:rFonts w:ascii="宋体" w:hAnsi="宋体"/>
          <w:color w:val="auto"/>
          <w:szCs w:val="21"/>
        </w:rPr>
        <w:t>6</w:t>
      </w:r>
      <w:r>
        <w:rPr>
          <w:rFonts w:hint="eastAsia" w:ascii="宋体" w:hAnsi="宋体"/>
          <w:color w:val="auto"/>
          <w:szCs w:val="21"/>
        </w:rPr>
        <w:t>.与本投标有关的一切正式往来信函请寄：</w:t>
      </w:r>
    </w:p>
    <w:p>
      <w:pPr>
        <w:snapToGrid w:val="0"/>
        <w:spacing w:line="360" w:lineRule="auto"/>
        <w:rPr>
          <w:rFonts w:hint="eastAsia" w:ascii="宋体" w:hAnsi="宋体"/>
          <w:color w:val="auto"/>
          <w:szCs w:val="21"/>
        </w:rPr>
      </w:pPr>
    </w:p>
    <w:p>
      <w:pPr>
        <w:snapToGrid w:val="0"/>
        <w:spacing w:line="360" w:lineRule="auto"/>
        <w:rPr>
          <w:rFonts w:ascii="宋体" w:hAnsi="宋体"/>
          <w:color w:val="auto"/>
          <w:szCs w:val="21"/>
        </w:rPr>
      </w:pPr>
      <w:r>
        <w:rPr>
          <w:rFonts w:hint="eastAsia" w:ascii="宋体" w:hAnsi="宋体"/>
          <w:color w:val="auto"/>
          <w:szCs w:val="21"/>
        </w:rPr>
        <w:t>地址：</w:t>
      </w:r>
      <w:r>
        <w:rPr>
          <w:rFonts w:ascii="宋体" w:hAnsi="宋体"/>
          <w:color w:val="auto"/>
          <w:szCs w:val="21"/>
          <w:u w:val="single"/>
        </w:rPr>
        <w:t xml:space="preserve"> _____        _____</w:t>
      </w:r>
      <w:r>
        <w:rPr>
          <w:rFonts w:hint="eastAsia" w:ascii="宋体" w:hAnsi="宋体"/>
          <w:color w:val="auto"/>
          <w:szCs w:val="21"/>
        </w:rPr>
        <w:t>邮编：</w:t>
      </w:r>
      <w:r>
        <w:rPr>
          <w:rFonts w:ascii="宋体" w:hAnsi="宋体"/>
          <w:color w:val="auto"/>
          <w:szCs w:val="21"/>
          <w:u w:val="single"/>
        </w:rPr>
        <w:t>__________</w:t>
      </w:r>
      <w:r>
        <w:rPr>
          <w:rFonts w:ascii="宋体" w:hAnsi="宋体"/>
          <w:color w:val="auto"/>
          <w:szCs w:val="21"/>
        </w:rPr>
        <w:t xml:space="preserve">   </w:t>
      </w:r>
      <w:r>
        <w:rPr>
          <w:rFonts w:hint="eastAsia" w:ascii="宋体" w:hAnsi="宋体"/>
          <w:color w:val="auto"/>
          <w:szCs w:val="21"/>
        </w:rPr>
        <w:t>电话：</w:t>
      </w:r>
      <w:r>
        <w:rPr>
          <w:rFonts w:ascii="宋体" w:hAnsi="宋体"/>
          <w:color w:val="auto"/>
          <w:szCs w:val="21"/>
          <w:u w:val="single"/>
        </w:rPr>
        <w:t>______________</w:t>
      </w:r>
    </w:p>
    <w:p>
      <w:pPr>
        <w:snapToGrid w:val="0"/>
        <w:spacing w:line="360" w:lineRule="auto"/>
        <w:rPr>
          <w:rFonts w:ascii="宋体" w:hAnsi="宋体"/>
          <w:color w:val="auto"/>
          <w:szCs w:val="21"/>
        </w:rPr>
      </w:pPr>
      <w:r>
        <w:rPr>
          <w:rFonts w:hint="eastAsia" w:ascii="宋体" w:hAnsi="宋体"/>
          <w:color w:val="auto"/>
          <w:szCs w:val="21"/>
        </w:rPr>
        <w:t>传真：</w:t>
      </w:r>
      <w:r>
        <w:rPr>
          <w:rFonts w:ascii="宋体" w:hAnsi="宋体"/>
          <w:color w:val="auto"/>
          <w:szCs w:val="21"/>
          <w:u w:val="single"/>
        </w:rPr>
        <w:t>______________</w:t>
      </w:r>
      <w:r>
        <w:rPr>
          <w:rFonts w:hint="eastAsia" w:ascii="宋体" w:hAnsi="宋体"/>
          <w:color w:val="auto"/>
          <w:szCs w:val="21"/>
        </w:rPr>
        <w:t>投标人代表姓名：</w:t>
      </w:r>
      <w:r>
        <w:rPr>
          <w:rFonts w:ascii="宋体" w:hAnsi="宋体"/>
          <w:color w:val="auto"/>
          <w:szCs w:val="21"/>
        </w:rPr>
        <w:t xml:space="preserve"> </w:t>
      </w:r>
      <w:r>
        <w:rPr>
          <w:rFonts w:ascii="宋体" w:hAnsi="宋体"/>
          <w:color w:val="auto"/>
          <w:szCs w:val="21"/>
          <w:u w:val="single"/>
        </w:rPr>
        <w:t>___________</w:t>
      </w:r>
      <w:r>
        <w:rPr>
          <w:rFonts w:ascii="宋体" w:hAnsi="宋体"/>
          <w:color w:val="auto"/>
          <w:szCs w:val="21"/>
        </w:rPr>
        <w:t xml:space="preserve">  </w:t>
      </w:r>
      <w:r>
        <w:rPr>
          <w:rFonts w:hint="eastAsia" w:ascii="宋体" w:hAnsi="宋体"/>
          <w:color w:val="auto"/>
          <w:szCs w:val="21"/>
        </w:rPr>
        <w:t>职务：</w:t>
      </w:r>
      <w:r>
        <w:rPr>
          <w:rFonts w:ascii="宋体" w:hAnsi="宋体"/>
          <w:color w:val="auto"/>
          <w:szCs w:val="21"/>
          <w:u w:val="single"/>
        </w:rPr>
        <w:t>______ _______</w:t>
      </w:r>
    </w:p>
    <w:p>
      <w:pPr>
        <w:snapToGrid w:val="0"/>
        <w:spacing w:line="360" w:lineRule="auto"/>
        <w:rPr>
          <w:rFonts w:ascii="宋体" w:hAnsi="宋体"/>
          <w:color w:val="auto"/>
          <w:szCs w:val="21"/>
        </w:rPr>
      </w:pPr>
      <w:r>
        <w:rPr>
          <w:rFonts w:hint="eastAsia" w:ascii="宋体" w:hAnsi="宋体"/>
          <w:color w:val="auto"/>
          <w:szCs w:val="21"/>
        </w:rPr>
        <w:t>投标人名称</w:t>
      </w:r>
      <w:r>
        <w:rPr>
          <w:rFonts w:ascii="宋体" w:hAnsi="宋体"/>
          <w:color w:val="auto"/>
          <w:szCs w:val="21"/>
        </w:rPr>
        <w:t>(</w:t>
      </w:r>
      <w:r>
        <w:rPr>
          <w:rFonts w:hint="eastAsia" w:ascii="宋体" w:hAnsi="宋体"/>
          <w:color w:val="auto"/>
          <w:szCs w:val="21"/>
        </w:rPr>
        <w:t>公章</w:t>
      </w:r>
      <w:r>
        <w:rPr>
          <w:rFonts w:ascii="宋体" w:hAnsi="宋体"/>
          <w:color w:val="auto"/>
          <w:szCs w:val="21"/>
        </w:rPr>
        <w:t>):</w:t>
      </w:r>
      <w:r>
        <w:rPr>
          <w:rFonts w:ascii="宋体" w:hAnsi="宋体"/>
          <w:color w:val="auto"/>
          <w:szCs w:val="21"/>
          <w:u w:val="single"/>
        </w:rPr>
        <w:t>___________________</w:t>
      </w:r>
    </w:p>
    <w:p>
      <w:pPr>
        <w:snapToGrid w:val="0"/>
        <w:spacing w:line="360" w:lineRule="auto"/>
        <w:rPr>
          <w:rFonts w:hint="eastAsia" w:ascii="宋体" w:hAnsi="宋体"/>
          <w:color w:val="auto"/>
          <w:szCs w:val="21"/>
        </w:rPr>
      </w:pPr>
      <w:r>
        <w:rPr>
          <w:rFonts w:hint="eastAsia" w:ascii="宋体" w:hAnsi="宋体"/>
          <w:color w:val="auto"/>
          <w:szCs w:val="21"/>
        </w:rPr>
        <w:t>开户银行：</w:t>
      </w:r>
      <w:r>
        <w:rPr>
          <w:rFonts w:ascii="宋体" w:hAnsi="宋体"/>
          <w:color w:val="auto"/>
          <w:szCs w:val="21"/>
        </w:rPr>
        <w:t xml:space="preserve">                         </w:t>
      </w:r>
      <w:r>
        <w:rPr>
          <w:rFonts w:hint="eastAsia" w:ascii="宋体" w:hAnsi="宋体"/>
          <w:color w:val="auto"/>
          <w:szCs w:val="21"/>
        </w:rPr>
        <w:t>银行帐号：</w:t>
      </w:r>
      <w:r>
        <w:rPr>
          <w:rFonts w:ascii="宋体" w:hAnsi="宋体"/>
          <w:color w:val="auto"/>
          <w:szCs w:val="21"/>
        </w:rPr>
        <w:t xml:space="preserve">                     </w:t>
      </w:r>
    </w:p>
    <w:p>
      <w:pPr>
        <w:snapToGrid w:val="0"/>
        <w:spacing w:line="360" w:lineRule="auto"/>
        <w:rPr>
          <w:rFonts w:hint="eastAsia" w:ascii="宋体" w:hAnsi="宋体"/>
          <w:color w:val="auto"/>
          <w:szCs w:val="21"/>
        </w:rPr>
      </w:pPr>
    </w:p>
    <w:p>
      <w:pPr>
        <w:snapToGrid w:val="0"/>
        <w:spacing w:line="360" w:lineRule="auto"/>
        <w:rPr>
          <w:rFonts w:hint="eastAsia" w:ascii="宋体" w:hAnsi="宋体"/>
          <w:color w:val="auto"/>
          <w:szCs w:val="21"/>
        </w:rPr>
      </w:pPr>
      <w:r>
        <w:rPr>
          <w:rFonts w:hint="eastAsia" w:ascii="宋体" w:hAnsi="宋体"/>
          <w:color w:val="auto"/>
          <w:szCs w:val="21"/>
        </w:rPr>
        <w:t>投标人代表签字</w:t>
      </w:r>
      <w:r>
        <w:rPr>
          <w:rFonts w:ascii="宋体" w:hAnsi="宋体"/>
          <w:color w:val="auto"/>
          <w:szCs w:val="21"/>
        </w:rPr>
        <w:t>:</w:t>
      </w:r>
      <w:r>
        <w:rPr>
          <w:rFonts w:ascii="宋体" w:hAnsi="宋体"/>
          <w:color w:val="auto"/>
          <w:szCs w:val="21"/>
          <w:u w:val="single"/>
        </w:rPr>
        <w:t>___________</w:t>
      </w:r>
      <w:r>
        <w:rPr>
          <w:rFonts w:ascii="宋体" w:hAnsi="宋体"/>
          <w:color w:val="auto"/>
          <w:szCs w:val="21"/>
        </w:rPr>
        <w:t xml:space="preserve">                      </w:t>
      </w:r>
      <w:r>
        <w:rPr>
          <w:rFonts w:hint="eastAsia" w:ascii="宋体" w:hAnsi="宋体"/>
          <w:color w:val="auto"/>
          <w:szCs w:val="21"/>
        </w:rPr>
        <w:t>日期</w:t>
      </w:r>
      <w:r>
        <w:rPr>
          <w:rFonts w:ascii="宋体" w:hAnsi="宋体"/>
          <w:color w:val="auto"/>
          <w:szCs w:val="21"/>
        </w:rPr>
        <w:t>:</w:t>
      </w:r>
      <w:r>
        <w:rPr>
          <w:rFonts w:ascii="宋体" w:hAnsi="宋体"/>
          <w:color w:val="auto"/>
          <w:szCs w:val="21"/>
          <w:u w:val="single"/>
        </w:rPr>
        <w:t>_____</w:t>
      </w:r>
      <w:r>
        <w:rPr>
          <w:rFonts w:hint="eastAsia" w:ascii="宋体" w:hAnsi="宋体"/>
          <w:color w:val="auto"/>
          <w:szCs w:val="21"/>
        </w:rPr>
        <w:t>年</w:t>
      </w:r>
      <w:r>
        <w:rPr>
          <w:rFonts w:ascii="宋体" w:hAnsi="宋体"/>
          <w:color w:val="auto"/>
          <w:szCs w:val="21"/>
          <w:u w:val="single"/>
        </w:rPr>
        <w:t>___</w:t>
      </w:r>
      <w:r>
        <w:rPr>
          <w:rFonts w:hint="eastAsia" w:ascii="宋体" w:hAnsi="宋体"/>
          <w:color w:val="auto"/>
          <w:szCs w:val="21"/>
        </w:rPr>
        <w:t>月</w:t>
      </w:r>
      <w:r>
        <w:rPr>
          <w:rFonts w:ascii="宋体" w:hAnsi="宋体"/>
          <w:color w:val="auto"/>
          <w:szCs w:val="21"/>
          <w:u w:val="single"/>
        </w:rPr>
        <w:t>___</w:t>
      </w:r>
      <w:r>
        <w:rPr>
          <w:rFonts w:hint="eastAsia" w:ascii="宋体" w:hAnsi="宋体"/>
          <w:color w:val="auto"/>
          <w:szCs w:val="21"/>
        </w:rPr>
        <w:t>日</w:t>
      </w:r>
    </w:p>
    <w:p>
      <w:pPr>
        <w:snapToGrid w:val="0"/>
        <w:spacing w:before="50" w:after="50"/>
        <w:ind w:left="360"/>
        <w:rPr>
          <w:rFonts w:hint="eastAsia" w:ascii="宋体" w:hAnsi="宋体"/>
          <w:color w:val="auto"/>
          <w:szCs w:val="21"/>
        </w:rPr>
      </w:pPr>
    </w:p>
    <w:p>
      <w:pPr>
        <w:snapToGrid w:val="0"/>
        <w:spacing w:before="50" w:after="120" w:afterLines="50" w:line="360" w:lineRule="auto"/>
        <w:jc w:val="left"/>
        <w:rPr>
          <w:rFonts w:ascii="宋体" w:hAnsi="宋体"/>
          <w:color w:val="auto"/>
          <w:szCs w:val="21"/>
        </w:rPr>
        <w:sectPr>
          <w:headerReference r:id="rId22" w:type="first"/>
          <w:footerReference r:id="rId25" w:type="first"/>
          <w:headerReference r:id="rId20" w:type="default"/>
          <w:footerReference r:id="rId23" w:type="default"/>
          <w:headerReference r:id="rId21" w:type="even"/>
          <w:footerReference r:id="rId24" w:type="even"/>
          <w:pgSz w:w="11906" w:h="16838"/>
          <w:pgMar w:top="1440" w:right="1440" w:bottom="1440" w:left="1610" w:header="851" w:footer="851" w:gutter="0"/>
          <w:cols w:space="720" w:num="1"/>
          <w:titlePg/>
          <w:docGrid w:linePitch="312" w:charSpace="0"/>
        </w:sectPr>
      </w:pPr>
    </w:p>
    <w:p>
      <w:pPr>
        <w:snapToGrid w:val="0"/>
        <w:spacing w:before="50" w:after="50" w:line="360" w:lineRule="auto"/>
        <w:rPr>
          <w:rFonts w:ascii="宋体" w:hAnsi="宋体"/>
          <w:color w:val="auto"/>
          <w:szCs w:val="21"/>
        </w:rPr>
      </w:pPr>
      <w:r>
        <w:rPr>
          <w:rFonts w:hint="eastAsia" w:ascii="宋体" w:hAnsi="宋体"/>
          <w:color w:val="auto"/>
          <w:szCs w:val="21"/>
        </w:rPr>
        <w:t>2）开标一览表</w:t>
      </w:r>
    </w:p>
    <w:p>
      <w:pPr>
        <w:snapToGrid w:val="0"/>
        <w:spacing w:before="50" w:after="50" w:line="360" w:lineRule="auto"/>
        <w:jc w:val="center"/>
        <w:rPr>
          <w:rFonts w:ascii="宋体" w:hAnsi="宋体"/>
          <w:color w:val="auto"/>
          <w:szCs w:val="21"/>
        </w:rPr>
      </w:pPr>
      <w:r>
        <w:rPr>
          <w:rFonts w:hint="eastAsia" w:ascii="宋体" w:hAnsi="宋体"/>
          <w:color w:val="auto"/>
          <w:szCs w:val="21"/>
        </w:rPr>
        <w:t>开标一览表</w:t>
      </w:r>
    </w:p>
    <w:p>
      <w:pPr>
        <w:snapToGrid w:val="0"/>
        <w:spacing w:before="50" w:after="50" w:line="360" w:lineRule="auto"/>
        <w:ind w:firstLine="630" w:firstLineChars="300"/>
        <w:rPr>
          <w:rFonts w:hint="eastAsia" w:ascii="宋体" w:hAnsi="宋体"/>
          <w:color w:val="auto"/>
          <w:szCs w:val="21"/>
        </w:rPr>
      </w:pPr>
      <w:r>
        <w:rPr>
          <w:rFonts w:hint="eastAsia" w:ascii="宋体" w:hAnsi="宋体"/>
          <w:color w:val="auto"/>
          <w:szCs w:val="21"/>
        </w:rPr>
        <w:t>项目名称：</w:t>
      </w:r>
      <w:r>
        <w:rPr>
          <w:rFonts w:hint="eastAsia" w:ascii="宋体" w:hAnsi="宋体"/>
          <w:color w:val="auto"/>
          <w:szCs w:val="21"/>
          <w:u w:val="single"/>
        </w:rPr>
        <w:t xml:space="preserve">          </w:t>
      </w:r>
      <w:r>
        <w:rPr>
          <w:rFonts w:hint="eastAsia" w:ascii="宋体" w:hAnsi="宋体"/>
          <w:color w:val="auto"/>
          <w:szCs w:val="21"/>
        </w:rPr>
        <w:t xml:space="preserve">     项目编号：</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子包：</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 xml:space="preserve">  投标人名称：</w:t>
      </w:r>
      <w:r>
        <w:rPr>
          <w:rFonts w:ascii="宋体" w:hAnsi="宋体"/>
          <w:color w:val="auto"/>
          <w:szCs w:val="21"/>
          <w:u w:val="single"/>
        </w:rPr>
        <w:t xml:space="preserve">                     </w:t>
      </w:r>
      <w:r>
        <w:rPr>
          <w:rFonts w:ascii="宋体" w:hAnsi="宋体"/>
          <w:color w:val="auto"/>
          <w:szCs w:val="21"/>
        </w:rPr>
        <w:t xml:space="preserve">         </w:t>
      </w:r>
      <w:r>
        <w:rPr>
          <w:rFonts w:hint="eastAsia"/>
          <w:color w:val="auto"/>
          <w:szCs w:val="21"/>
        </w:rPr>
        <w:t>（价格单位：人民币元）</w:t>
      </w:r>
    </w:p>
    <w:tbl>
      <w:tblPr>
        <w:tblStyle w:val="4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8"/>
        <w:gridCol w:w="2234"/>
        <w:gridCol w:w="885"/>
        <w:gridCol w:w="1014"/>
        <w:gridCol w:w="2572"/>
        <w:gridCol w:w="2535"/>
        <w:gridCol w:w="1090"/>
        <w:gridCol w:w="15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6" w:hRule="atLeast"/>
          <w:jc w:val="center"/>
        </w:trPr>
        <w:tc>
          <w:tcPr>
            <w:tcW w:w="12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r>
              <w:rPr>
                <w:rFonts w:hint="eastAsia" w:ascii="宋体" w:hAnsi="宋体"/>
                <w:color w:val="auto"/>
                <w:szCs w:val="21"/>
              </w:rPr>
              <w:t>子包</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r>
              <w:rPr>
                <w:rFonts w:hint="eastAsia" w:ascii="宋体" w:hAnsi="宋体"/>
                <w:color w:val="auto"/>
                <w:szCs w:val="21"/>
              </w:rPr>
              <w:t>货物名称</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r>
              <w:rPr>
                <w:rFonts w:hint="eastAsia" w:ascii="宋体" w:hAnsi="宋体"/>
                <w:color w:val="auto"/>
                <w:szCs w:val="21"/>
              </w:rPr>
              <w:t>数量</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r>
              <w:rPr>
                <w:rFonts w:hint="eastAsia" w:ascii="宋体" w:hAnsi="宋体"/>
                <w:color w:val="auto"/>
                <w:szCs w:val="21"/>
              </w:rPr>
              <w:t>产地</w:t>
            </w:r>
          </w:p>
        </w:tc>
        <w:tc>
          <w:tcPr>
            <w:tcW w:w="25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r>
              <w:rPr>
                <w:rFonts w:hint="eastAsia" w:ascii="宋体" w:hAnsi="宋体"/>
                <w:color w:val="auto"/>
                <w:szCs w:val="21"/>
              </w:rPr>
              <w:t>品牌及厂家</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r>
              <w:rPr>
                <w:rFonts w:hint="eastAsia" w:ascii="宋体" w:hAnsi="宋体"/>
                <w:color w:val="auto"/>
                <w:szCs w:val="21"/>
              </w:rPr>
              <w:t>规格型号</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color w:val="auto"/>
                <w:szCs w:val="21"/>
              </w:rPr>
            </w:pPr>
            <w:r>
              <w:rPr>
                <w:rFonts w:hint="eastAsia" w:ascii="宋体" w:hAnsi="宋体"/>
                <w:color w:val="auto"/>
                <w:szCs w:val="21"/>
              </w:rPr>
              <w:t>单价</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r>
              <w:rPr>
                <w:rFonts w:hint="eastAsia" w:ascii="宋体" w:hAnsi="宋体"/>
                <w:color w:val="auto"/>
                <w:szCs w:val="21"/>
              </w:rPr>
              <w:t>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01" w:hRule="atLeast"/>
          <w:jc w:val="center"/>
        </w:trPr>
        <w:tc>
          <w:tcPr>
            <w:tcW w:w="12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bCs/>
                <w:color w:val="auto"/>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bCs/>
                <w:color w:val="auto"/>
                <w:szCs w:val="21"/>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25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02" w:hRule="atLeast"/>
          <w:jc w:val="center"/>
        </w:trPr>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bCs/>
                <w:color w:val="auto"/>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bCs/>
                <w:color w:val="auto"/>
                <w:szCs w:val="21"/>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25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39" w:hRule="atLeast"/>
          <w:jc w:val="center"/>
        </w:trPr>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hint="eastAsia" w:ascii="宋体" w:hAnsi="宋体"/>
                <w:bCs/>
                <w:color w:val="auto"/>
                <w:szCs w:val="21"/>
              </w:rPr>
            </w:pPr>
            <w:r>
              <w:rPr>
                <w:rFonts w:hint="eastAsia" w:ascii="宋体" w:hAnsi="宋体"/>
                <w:bCs/>
                <w:color w:val="auto"/>
                <w:szCs w:val="21"/>
              </w:rPr>
              <w:t>........</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bCs/>
                <w:color w:val="auto"/>
                <w:szCs w:val="21"/>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25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3" w:hRule="atLeast"/>
          <w:jc w:val="center"/>
        </w:trPr>
        <w:tc>
          <w:tcPr>
            <w:tcW w:w="1228" w:type="dxa"/>
            <w:vMerge w:val="restart"/>
            <w:tcBorders>
              <w:top w:val="single" w:color="auto" w:sz="4" w:space="0"/>
              <w:left w:val="single" w:color="auto" w:sz="4" w:space="0"/>
              <w:bottom w:val="single" w:color="auto" w:sz="4" w:space="0"/>
              <w:right w:val="single" w:color="auto" w:sz="4" w:space="0"/>
            </w:tcBorders>
            <w:noWrap w:val="0"/>
            <w:vAlign w:val="center"/>
          </w:tcPr>
          <w:p>
            <w:pPr>
              <w:pStyle w:val="199"/>
              <w:tabs>
                <w:tab w:val="left" w:pos="420"/>
              </w:tabs>
              <w:snapToGrid w:val="0"/>
              <w:spacing w:before="50" w:after="50"/>
              <w:rPr>
                <w:rFonts w:ascii="宋体" w:hAnsi="宋体" w:eastAsia="宋体"/>
                <w:color w:val="auto"/>
                <w:spacing w:val="0"/>
                <w:kern w:val="2"/>
                <w:sz w:val="21"/>
                <w:szCs w:val="21"/>
              </w:rPr>
            </w:pPr>
            <w:r>
              <w:rPr>
                <w:rFonts w:ascii="宋体" w:hAnsi="宋体" w:eastAsia="宋体"/>
                <w:color w:val="auto"/>
                <w:spacing w:val="0"/>
                <w:kern w:val="2"/>
                <w:sz w:val="21"/>
                <w:szCs w:val="21"/>
              </w:rPr>
              <w:t>专用耗材</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bCs/>
                <w:color w:val="auto"/>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bCs/>
                <w:color w:val="auto"/>
                <w:szCs w:val="21"/>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25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53" w:hRule="atLeast"/>
          <w:jc w:val="center"/>
        </w:trPr>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c>
          <w:tcPr>
            <w:tcW w:w="22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bCs/>
                <w:color w:val="auto"/>
                <w:szCs w:val="21"/>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left"/>
              <w:rPr>
                <w:rFonts w:ascii="宋体" w:hAnsi="宋体"/>
                <w:bCs/>
                <w:color w:val="auto"/>
                <w:szCs w:val="21"/>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25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p>
        </w:tc>
        <w:tc>
          <w:tcPr>
            <w:tcW w:w="109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6" w:hRule="atLeast"/>
          <w:jc w:val="center"/>
        </w:trPr>
        <w:tc>
          <w:tcPr>
            <w:tcW w:w="13095"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rPr>
            </w:pPr>
            <w:r>
              <w:rPr>
                <w:rFonts w:hint="eastAsia" w:ascii="宋体" w:hAnsi="宋体"/>
                <w:color w:val="auto"/>
                <w:szCs w:val="21"/>
              </w:rPr>
              <w:t>投标费用及利润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9" w:hRule="atLeast"/>
          <w:jc w:val="center"/>
        </w:trPr>
        <w:tc>
          <w:tcPr>
            <w:tcW w:w="13095"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ascii="宋体" w:hAnsi="宋体"/>
                <w:color w:val="auto"/>
                <w:szCs w:val="21"/>
                <w:u w:val="single"/>
              </w:rPr>
            </w:pPr>
            <w:r>
              <w:rPr>
                <w:rFonts w:hint="eastAsia" w:ascii="宋体" w:hAnsi="宋体"/>
                <w:color w:val="auto"/>
                <w:szCs w:val="21"/>
              </w:rPr>
              <w:t>合计金额大写：</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w:t>
            </w:r>
            <w:r>
              <w:rPr>
                <w:rFonts w:ascii="宋体" w:hAns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9" w:hRule="atLeast"/>
          <w:jc w:val="center"/>
        </w:trPr>
        <w:tc>
          <w:tcPr>
            <w:tcW w:w="13095"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rPr>
                <w:rFonts w:hint="eastAsia" w:ascii="宋体" w:hAnsi="宋体"/>
                <w:color w:val="auto"/>
                <w:szCs w:val="21"/>
              </w:rPr>
            </w:pPr>
            <w:r>
              <w:rPr>
                <w:rFonts w:hint="eastAsia" w:ascii="宋体" w:hAnsi="宋体"/>
                <w:color w:val="auto"/>
                <w:szCs w:val="21"/>
              </w:rPr>
              <w:t>投标声明：</w:t>
            </w:r>
          </w:p>
        </w:tc>
      </w:tr>
    </w:tbl>
    <w:p>
      <w:pPr>
        <w:snapToGrid w:val="0"/>
        <w:spacing w:before="50" w:after="50" w:line="360" w:lineRule="auto"/>
        <w:jc w:val="left"/>
        <w:rPr>
          <w:rFonts w:hint="eastAsia" w:ascii="宋体" w:hAnsi="宋体"/>
          <w:color w:val="auto"/>
          <w:szCs w:val="21"/>
        </w:rPr>
      </w:pPr>
      <w:r>
        <w:rPr>
          <w:rFonts w:hint="eastAsia" w:ascii="宋体" w:hAnsi="宋体"/>
          <w:color w:val="auto"/>
          <w:szCs w:val="21"/>
        </w:rPr>
        <w:t>注</w:t>
      </w:r>
      <w:r>
        <w:rPr>
          <w:rFonts w:ascii="宋体" w:hAnsi="宋体"/>
          <w:color w:val="auto"/>
          <w:szCs w:val="21"/>
        </w:rPr>
        <w:t xml:space="preserve">: </w:t>
      </w:r>
      <w:r>
        <w:rPr>
          <w:rFonts w:hint="eastAsia" w:ascii="宋体" w:hAnsi="宋体"/>
          <w:color w:val="auto"/>
          <w:szCs w:val="21"/>
        </w:rPr>
        <w:t>投标报价要求需符合投标人须知前附表中的第4条款要求。</w:t>
      </w:r>
    </w:p>
    <w:p>
      <w:pPr>
        <w:snapToGrid w:val="0"/>
        <w:spacing w:before="50" w:after="50" w:line="360" w:lineRule="auto"/>
        <w:ind w:firstLine="420" w:firstLineChars="200"/>
        <w:jc w:val="left"/>
        <w:rPr>
          <w:rFonts w:ascii="宋体" w:hAnsi="宋体"/>
          <w:color w:val="auto"/>
          <w:szCs w:val="21"/>
        </w:rPr>
      </w:pPr>
      <w:r>
        <w:rPr>
          <w:rFonts w:hint="eastAsia" w:ascii="宋体" w:hAnsi="宋体"/>
          <w:color w:val="auto"/>
          <w:szCs w:val="21"/>
        </w:rPr>
        <w:t>法定代表人或授权代表（签字或盖章）：</w:t>
      </w:r>
      <w:r>
        <w:rPr>
          <w:rFonts w:ascii="宋体" w:hAnsi="宋体"/>
          <w:color w:val="auto"/>
          <w:szCs w:val="21"/>
        </w:rPr>
        <w:t xml:space="preserve">                    </w:t>
      </w:r>
    </w:p>
    <w:p>
      <w:pPr>
        <w:snapToGrid w:val="0"/>
        <w:spacing w:before="50" w:after="50" w:line="360" w:lineRule="auto"/>
        <w:ind w:left="-23" w:leftChars="-11" w:right="-817" w:rightChars="-389" w:firstLine="420" w:firstLineChars="200"/>
        <w:rPr>
          <w:rFonts w:ascii="宋体" w:hAnsi="宋体"/>
          <w:color w:val="auto"/>
          <w:szCs w:val="21"/>
        </w:rPr>
      </w:pPr>
      <w:r>
        <w:rPr>
          <w:rFonts w:hint="eastAsia" w:ascii="宋体" w:hAnsi="宋体"/>
          <w:color w:val="auto"/>
          <w:szCs w:val="21"/>
        </w:rPr>
        <w:t>投标人名称（盖章）：</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日期：</w:t>
      </w: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napToGrid w:val="0"/>
        <w:spacing w:before="50" w:after="50" w:line="360" w:lineRule="auto"/>
        <w:ind w:left="360" w:right="-817" w:rightChars="-389"/>
        <w:rPr>
          <w:color w:val="auto"/>
          <w:szCs w:val="21"/>
        </w:rPr>
        <w:sectPr>
          <w:pgSz w:w="16838" w:h="11906" w:orient="landscape"/>
          <w:pgMar w:top="1610" w:right="1440" w:bottom="1440" w:left="1440" w:header="851" w:footer="851" w:gutter="0"/>
          <w:cols w:space="720" w:num="1"/>
          <w:titlePg/>
          <w:docGrid w:linePitch="312" w:charSpace="0"/>
        </w:sectPr>
      </w:pPr>
    </w:p>
    <w:p>
      <w:pPr>
        <w:spacing w:line="360" w:lineRule="auto"/>
        <w:rPr>
          <w:rFonts w:hint="eastAsia" w:ascii="宋体" w:hAnsi="宋体"/>
          <w:color w:val="auto"/>
          <w:szCs w:val="21"/>
        </w:rPr>
      </w:pPr>
      <w:r>
        <w:rPr>
          <w:rFonts w:hint="eastAsia" w:ascii="宋体" w:hAnsi="宋体"/>
          <w:color w:val="auto"/>
          <w:szCs w:val="21"/>
        </w:rPr>
        <w:t>3）报价（投标价格）组成明细表</w:t>
      </w:r>
    </w:p>
    <w:p>
      <w:pPr>
        <w:pStyle w:val="20"/>
        <w:spacing w:line="360" w:lineRule="auto"/>
        <w:ind w:firstLine="0"/>
        <w:rPr>
          <w:rFonts w:hint="eastAsia"/>
          <w:color w:val="auto"/>
          <w:sz w:val="21"/>
          <w:szCs w:val="21"/>
        </w:rPr>
      </w:pPr>
      <w:r>
        <w:rPr>
          <w:rFonts w:hint="eastAsia" w:hAnsi="宋体"/>
          <w:color w:val="auto"/>
          <w:spacing w:val="0"/>
          <w:sz w:val="21"/>
          <w:szCs w:val="21"/>
          <w:lang w:val="en-US" w:eastAsia="zh-CN"/>
        </w:rPr>
        <w:t>项目名称：</w:t>
      </w:r>
      <w:r>
        <w:rPr>
          <w:rFonts w:hint="eastAsia" w:hAnsi="宋体"/>
          <w:color w:val="auto"/>
          <w:spacing w:val="0"/>
          <w:sz w:val="21"/>
          <w:szCs w:val="21"/>
          <w:u w:val="single"/>
          <w:lang w:val="en-US" w:eastAsia="zh-CN"/>
        </w:rPr>
        <w:t xml:space="preserve">         </w:t>
      </w:r>
      <w:r>
        <w:rPr>
          <w:rFonts w:hint="eastAsia" w:hAnsi="宋体"/>
          <w:color w:val="auto"/>
          <w:spacing w:val="0"/>
          <w:sz w:val="21"/>
          <w:szCs w:val="21"/>
          <w:lang w:val="en-US" w:eastAsia="zh-CN"/>
        </w:rPr>
        <w:t xml:space="preserve">      项目编号：</w:t>
      </w:r>
      <w:r>
        <w:rPr>
          <w:rFonts w:hAnsi="宋体"/>
          <w:color w:val="auto"/>
          <w:spacing w:val="0"/>
          <w:sz w:val="21"/>
          <w:szCs w:val="21"/>
          <w:u w:val="single"/>
          <w:lang w:val="en-US" w:eastAsia="zh-CN"/>
        </w:rPr>
        <w:t xml:space="preserve">    </w:t>
      </w:r>
      <w:r>
        <w:rPr>
          <w:rFonts w:hAnsi="宋体"/>
          <w:color w:val="auto"/>
          <w:spacing w:val="0"/>
          <w:sz w:val="21"/>
          <w:szCs w:val="21"/>
          <w:lang w:val="en-US" w:eastAsia="zh-CN"/>
        </w:rPr>
        <w:t xml:space="preserve">     </w:t>
      </w:r>
      <w:r>
        <w:rPr>
          <w:rFonts w:hint="eastAsia" w:hAnsi="宋体"/>
          <w:color w:val="auto"/>
          <w:spacing w:val="0"/>
          <w:sz w:val="21"/>
          <w:szCs w:val="21"/>
          <w:lang w:val="en-US" w:eastAsia="zh-CN"/>
        </w:rPr>
        <w:t>子包：</w:t>
      </w:r>
      <w:r>
        <w:rPr>
          <w:rFonts w:hAnsi="宋体"/>
          <w:color w:val="auto"/>
          <w:spacing w:val="0"/>
          <w:sz w:val="21"/>
          <w:szCs w:val="21"/>
          <w:u w:val="single"/>
          <w:lang w:val="en-US" w:eastAsia="zh-CN"/>
        </w:rPr>
        <w:t xml:space="preserve">   </w:t>
      </w:r>
      <w:r>
        <w:rPr>
          <w:rFonts w:hAnsi="宋体"/>
          <w:color w:val="auto"/>
          <w:spacing w:val="0"/>
          <w:sz w:val="21"/>
          <w:szCs w:val="21"/>
          <w:lang w:val="en-US" w:eastAsia="zh-CN"/>
        </w:rPr>
        <w:t xml:space="preserve">   </w:t>
      </w:r>
      <w:r>
        <w:rPr>
          <w:rFonts w:hint="eastAsia" w:hAnsi="宋体"/>
          <w:color w:val="auto"/>
          <w:spacing w:val="0"/>
          <w:sz w:val="21"/>
          <w:szCs w:val="21"/>
          <w:lang w:val="en-US" w:eastAsia="zh-CN"/>
        </w:rPr>
        <w:t xml:space="preserve">     投标人名称：</w:t>
      </w:r>
      <w:r>
        <w:rPr>
          <w:rFonts w:hAnsi="宋体"/>
          <w:color w:val="auto"/>
          <w:spacing w:val="0"/>
          <w:sz w:val="21"/>
          <w:szCs w:val="21"/>
          <w:u w:val="single"/>
          <w:lang w:val="en-US" w:eastAsia="zh-CN"/>
        </w:rPr>
        <w:t xml:space="preserve">                     </w:t>
      </w:r>
      <w:r>
        <w:rPr>
          <w:rFonts w:hint="eastAsia" w:hAnsi="宋体"/>
          <w:color w:val="auto"/>
          <w:spacing w:val="0"/>
          <w:sz w:val="21"/>
          <w:szCs w:val="21"/>
          <w:u w:val="single"/>
          <w:lang w:val="en-US" w:eastAsia="zh-CN"/>
        </w:rPr>
        <w:t xml:space="preserve">     </w:t>
      </w:r>
      <w:r>
        <w:rPr>
          <w:rFonts w:hint="eastAsia"/>
          <w:color w:val="auto"/>
          <w:sz w:val="21"/>
          <w:szCs w:val="21"/>
          <w:lang w:eastAsia="zh-CN"/>
        </w:rPr>
        <w:t xml:space="preserve">           </w:t>
      </w:r>
      <w:r>
        <w:rPr>
          <w:rFonts w:hint="eastAsia"/>
          <w:color w:val="auto"/>
          <w:sz w:val="21"/>
          <w:szCs w:val="21"/>
        </w:rPr>
        <w:t xml:space="preserve">（价格单位：人民币元）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276"/>
        <w:gridCol w:w="871"/>
        <w:gridCol w:w="1218"/>
        <w:gridCol w:w="777"/>
        <w:gridCol w:w="945"/>
        <w:gridCol w:w="840"/>
        <w:gridCol w:w="945"/>
        <w:gridCol w:w="945"/>
        <w:gridCol w:w="945"/>
        <w:gridCol w:w="1260"/>
        <w:gridCol w:w="840"/>
        <w:gridCol w:w="73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70" w:hRule="atLeast"/>
        </w:trPr>
        <w:tc>
          <w:tcPr>
            <w:tcW w:w="817" w:type="dxa"/>
            <w:vMerge w:val="restart"/>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序号</w:t>
            </w:r>
          </w:p>
        </w:tc>
        <w:tc>
          <w:tcPr>
            <w:tcW w:w="1134" w:type="dxa"/>
            <w:vMerge w:val="restart"/>
            <w:noWrap w:val="0"/>
            <w:vAlign w:val="center"/>
          </w:tcPr>
          <w:p>
            <w:pPr>
              <w:pStyle w:val="20"/>
              <w:spacing w:line="360" w:lineRule="auto"/>
              <w:ind w:firstLine="0"/>
              <w:jc w:val="center"/>
              <w:rPr>
                <w:color w:val="auto"/>
                <w:sz w:val="21"/>
                <w:szCs w:val="21"/>
                <w:lang w:val="en-US" w:eastAsia="zh-CN"/>
              </w:rPr>
            </w:pPr>
            <w:r>
              <w:rPr>
                <w:color w:val="auto"/>
                <w:sz w:val="21"/>
                <w:szCs w:val="21"/>
                <w:lang w:val="en-US" w:eastAsia="zh-CN"/>
              </w:rPr>
              <w:t>投标货物名称</w:t>
            </w:r>
          </w:p>
        </w:tc>
        <w:tc>
          <w:tcPr>
            <w:tcW w:w="1276" w:type="dxa"/>
            <w:vMerge w:val="restart"/>
            <w:noWrap w:val="0"/>
            <w:vAlign w:val="center"/>
          </w:tcPr>
          <w:p>
            <w:pPr>
              <w:pStyle w:val="20"/>
              <w:spacing w:line="360" w:lineRule="auto"/>
              <w:ind w:firstLine="0"/>
              <w:jc w:val="center"/>
              <w:rPr>
                <w:color w:val="auto"/>
                <w:sz w:val="21"/>
                <w:szCs w:val="21"/>
                <w:lang w:val="en-US" w:eastAsia="zh-CN"/>
              </w:rPr>
            </w:pPr>
            <w:r>
              <w:rPr>
                <w:color w:val="auto"/>
                <w:sz w:val="21"/>
                <w:szCs w:val="21"/>
                <w:lang w:val="en-US" w:eastAsia="zh-CN"/>
              </w:rPr>
              <w:t>规格</w:t>
            </w:r>
            <w:r>
              <w:rPr>
                <w:rFonts w:hint="eastAsia"/>
                <w:color w:val="auto"/>
                <w:sz w:val="21"/>
                <w:szCs w:val="21"/>
                <w:lang w:val="en-US" w:eastAsia="zh-CN"/>
              </w:rPr>
              <w:t>、型号</w:t>
            </w:r>
          </w:p>
        </w:tc>
        <w:tc>
          <w:tcPr>
            <w:tcW w:w="871" w:type="dxa"/>
            <w:vMerge w:val="restart"/>
            <w:noWrap w:val="0"/>
            <w:vAlign w:val="center"/>
          </w:tcPr>
          <w:p>
            <w:pPr>
              <w:pStyle w:val="20"/>
              <w:spacing w:line="360" w:lineRule="auto"/>
              <w:ind w:firstLine="0"/>
              <w:jc w:val="center"/>
              <w:rPr>
                <w:color w:val="auto"/>
                <w:sz w:val="21"/>
                <w:szCs w:val="21"/>
                <w:lang w:val="en-US" w:eastAsia="zh-CN"/>
              </w:rPr>
            </w:pPr>
            <w:r>
              <w:rPr>
                <w:color w:val="auto"/>
                <w:sz w:val="21"/>
                <w:szCs w:val="21"/>
                <w:lang w:val="en-US" w:eastAsia="zh-CN"/>
              </w:rPr>
              <w:t>数量</w:t>
            </w:r>
          </w:p>
        </w:tc>
        <w:tc>
          <w:tcPr>
            <w:tcW w:w="1218" w:type="dxa"/>
            <w:vMerge w:val="restart"/>
            <w:noWrap w:val="0"/>
            <w:vAlign w:val="center"/>
          </w:tcPr>
          <w:p>
            <w:pPr>
              <w:pStyle w:val="20"/>
              <w:spacing w:line="360" w:lineRule="auto"/>
              <w:ind w:firstLine="0"/>
              <w:jc w:val="center"/>
              <w:rPr>
                <w:color w:val="auto"/>
                <w:sz w:val="21"/>
                <w:szCs w:val="21"/>
                <w:lang w:val="en-US" w:eastAsia="zh-CN"/>
              </w:rPr>
            </w:pPr>
            <w:r>
              <w:rPr>
                <w:color w:val="auto"/>
                <w:sz w:val="21"/>
                <w:szCs w:val="21"/>
                <w:lang w:val="en-US" w:eastAsia="zh-CN"/>
              </w:rPr>
              <w:t>投标货物制造商</w:t>
            </w:r>
            <w:r>
              <w:rPr>
                <w:rFonts w:hint="eastAsia"/>
                <w:color w:val="auto"/>
                <w:sz w:val="21"/>
                <w:szCs w:val="21"/>
                <w:lang w:val="en-US" w:eastAsia="zh-CN"/>
              </w:rPr>
              <w:t>名称</w:t>
            </w:r>
          </w:p>
        </w:tc>
        <w:tc>
          <w:tcPr>
            <w:tcW w:w="777" w:type="dxa"/>
            <w:vMerge w:val="restart"/>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投标价格</w:t>
            </w:r>
          </w:p>
        </w:tc>
        <w:tc>
          <w:tcPr>
            <w:tcW w:w="8190" w:type="dxa"/>
            <w:gridSpan w:val="9"/>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货物</w:t>
            </w:r>
            <w:r>
              <w:rPr>
                <w:color w:val="auto"/>
                <w:sz w:val="21"/>
                <w:szCs w:val="21"/>
                <w:lang w:val="en-US" w:eastAsia="zh-CN"/>
              </w:rPr>
              <w:t>投标价组成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74" w:hRule="atLeast"/>
        </w:trPr>
        <w:tc>
          <w:tcPr>
            <w:tcW w:w="817" w:type="dxa"/>
            <w:vMerge w:val="continue"/>
            <w:noWrap w:val="0"/>
            <w:vAlign w:val="center"/>
          </w:tcPr>
          <w:p>
            <w:pPr>
              <w:pStyle w:val="20"/>
              <w:spacing w:line="360" w:lineRule="auto"/>
              <w:ind w:firstLine="0"/>
              <w:jc w:val="center"/>
              <w:rPr>
                <w:color w:val="auto"/>
                <w:sz w:val="21"/>
                <w:szCs w:val="21"/>
                <w:lang w:val="en-US" w:eastAsia="zh-CN"/>
              </w:rPr>
            </w:pPr>
          </w:p>
        </w:tc>
        <w:tc>
          <w:tcPr>
            <w:tcW w:w="1134" w:type="dxa"/>
            <w:vMerge w:val="continue"/>
            <w:noWrap w:val="0"/>
            <w:vAlign w:val="center"/>
          </w:tcPr>
          <w:p>
            <w:pPr>
              <w:pStyle w:val="20"/>
              <w:spacing w:line="360" w:lineRule="auto"/>
              <w:ind w:firstLine="0"/>
              <w:jc w:val="center"/>
              <w:rPr>
                <w:color w:val="auto"/>
                <w:sz w:val="21"/>
                <w:szCs w:val="21"/>
                <w:lang w:val="en-US" w:eastAsia="zh-CN"/>
              </w:rPr>
            </w:pPr>
          </w:p>
        </w:tc>
        <w:tc>
          <w:tcPr>
            <w:tcW w:w="1276" w:type="dxa"/>
            <w:vMerge w:val="continue"/>
            <w:noWrap w:val="0"/>
            <w:vAlign w:val="center"/>
          </w:tcPr>
          <w:p>
            <w:pPr>
              <w:pStyle w:val="20"/>
              <w:spacing w:line="360" w:lineRule="auto"/>
              <w:ind w:firstLine="0"/>
              <w:jc w:val="center"/>
              <w:rPr>
                <w:color w:val="auto"/>
                <w:sz w:val="21"/>
                <w:szCs w:val="21"/>
                <w:lang w:val="en-US" w:eastAsia="zh-CN"/>
              </w:rPr>
            </w:pPr>
          </w:p>
        </w:tc>
        <w:tc>
          <w:tcPr>
            <w:tcW w:w="871" w:type="dxa"/>
            <w:vMerge w:val="continue"/>
            <w:noWrap w:val="0"/>
            <w:vAlign w:val="center"/>
          </w:tcPr>
          <w:p>
            <w:pPr>
              <w:pStyle w:val="20"/>
              <w:spacing w:line="360" w:lineRule="auto"/>
              <w:ind w:firstLine="0"/>
              <w:jc w:val="center"/>
              <w:rPr>
                <w:color w:val="auto"/>
                <w:sz w:val="21"/>
                <w:szCs w:val="21"/>
                <w:lang w:val="en-US" w:eastAsia="zh-CN"/>
              </w:rPr>
            </w:pPr>
          </w:p>
        </w:tc>
        <w:tc>
          <w:tcPr>
            <w:tcW w:w="1218" w:type="dxa"/>
            <w:vMerge w:val="continue"/>
            <w:noWrap w:val="0"/>
            <w:vAlign w:val="center"/>
          </w:tcPr>
          <w:p>
            <w:pPr>
              <w:pStyle w:val="20"/>
              <w:spacing w:line="360" w:lineRule="auto"/>
              <w:ind w:firstLine="0"/>
              <w:jc w:val="center"/>
              <w:rPr>
                <w:color w:val="auto"/>
                <w:sz w:val="21"/>
                <w:szCs w:val="21"/>
                <w:lang w:val="en-US" w:eastAsia="zh-CN"/>
              </w:rPr>
            </w:pPr>
          </w:p>
        </w:tc>
        <w:tc>
          <w:tcPr>
            <w:tcW w:w="777" w:type="dxa"/>
            <w:vMerge w:val="continue"/>
            <w:noWrap w:val="0"/>
            <w:vAlign w:val="center"/>
          </w:tcPr>
          <w:p>
            <w:pPr>
              <w:pStyle w:val="20"/>
              <w:spacing w:line="360" w:lineRule="auto"/>
              <w:ind w:firstLine="0"/>
              <w:jc w:val="center"/>
              <w:rPr>
                <w:color w:val="auto"/>
                <w:sz w:val="21"/>
                <w:szCs w:val="21"/>
                <w:lang w:val="en-US" w:eastAsia="zh-CN"/>
              </w:rPr>
            </w:pPr>
          </w:p>
        </w:tc>
        <w:tc>
          <w:tcPr>
            <w:tcW w:w="945" w:type="dxa"/>
            <w:noWrap w:val="0"/>
            <w:vAlign w:val="center"/>
          </w:tcPr>
          <w:p>
            <w:pPr>
              <w:pStyle w:val="20"/>
              <w:spacing w:line="360" w:lineRule="auto"/>
              <w:ind w:firstLine="0"/>
              <w:jc w:val="center"/>
              <w:rPr>
                <w:color w:val="auto"/>
                <w:sz w:val="21"/>
                <w:szCs w:val="21"/>
                <w:lang w:val="en-US" w:eastAsia="zh-CN"/>
              </w:rPr>
            </w:pPr>
            <w:r>
              <w:rPr>
                <w:color w:val="auto"/>
                <w:sz w:val="21"/>
                <w:szCs w:val="21"/>
                <w:lang w:val="en-US" w:eastAsia="zh-CN"/>
              </w:rPr>
              <w:t>货物</w:t>
            </w:r>
          </w:p>
          <w:p>
            <w:pPr>
              <w:pStyle w:val="20"/>
              <w:spacing w:line="360" w:lineRule="auto"/>
              <w:ind w:firstLine="0"/>
              <w:jc w:val="center"/>
              <w:rPr>
                <w:color w:val="auto"/>
                <w:sz w:val="21"/>
                <w:szCs w:val="21"/>
                <w:lang w:val="en-US" w:eastAsia="zh-CN"/>
              </w:rPr>
            </w:pPr>
            <w:r>
              <w:rPr>
                <w:rFonts w:hint="eastAsia"/>
                <w:color w:val="auto"/>
                <w:sz w:val="21"/>
                <w:szCs w:val="21"/>
                <w:lang w:val="en-US" w:eastAsia="zh-CN"/>
              </w:rPr>
              <w:t>单价</w:t>
            </w:r>
          </w:p>
        </w:tc>
        <w:tc>
          <w:tcPr>
            <w:tcW w:w="840" w:type="dxa"/>
            <w:noWrap w:val="0"/>
            <w:vAlign w:val="center"/>
          </w:tcPr>
          <w:p>
            <w:pPr>
              <w:pStyle w:val="20"/>
              <w:spacing w:line="360" w:lineRule="auto"/>
              <w:ind w:firstLine="0"/>
              <w:jc w:val="center"/>
              <w:rPr>
                <w:rFonts w:hint="eastAsia"/>
                <w:color w:val="auto"/>
                <w:sz w:val="21"/>
                <w:szCs w:val="21"/>
                <w:lang w:val="en-US" w:eastAsia="zh-CN"/>
              </w:rPr>
            </w:pPr>
            <w:r>
              <w:rPr>
                <w:rFonts w:hint="eastAsia"/>
                <w:color w:val="auto"/>
                <w:sz w:val="21"/>
                <w:szCs w:val="21"/>
                <w:lang w:val="en-US" w:eastAsia="zh-CN"/>
              </w:rPr>
              <w:t>货物</w:t>
            </w:r>
          </w:p>
          <w:p>
            <w:pPr>
              <w:pStyle w:val="20"/>
              <w:spacing w:line="360" w:lineRule="auto"/>
              <w:ind w:firstLine="0"/>
              <w:jc w:val="center"/>
              <w:rPr>
                <w:color w:val="auto"/>
                <w:sz w:val="21"/>
                <w:szCs w:val="21"/>
                <w:lang w:val="en-US" w:eastAsia="zh-CN"/>
              </w:rPr>
            </w:pPr>
            <w:r>
              <w:rPr>
                <w:rFonts w:hint="eastAsia"/>
                <w:color w:val="auto"/>
                <w:sz w:val="21"/>
                <w:szCs w:val="21"/>
                <w:lang w:val="en-US" w:eastAsia="zh-CN"/>
              </w:rPr>
              <w:t>总价</w:t>
            </w:r>
          </w:p>
        </w:tc>
        <w:tc>
          <w:tcPr>
            <w:tcW w:w="945" w:type="dxa"/>
            <w:noWrap w:val="0"/>
            <w:vAlign w:val="center"/>
          </w:tcPr>
          <w:p>
            <w:pPr>
              <w:pStyle w:val="20"/>
              <w:spacing w:line="360" w:lineRule="auto"/>
              <w:ind w:firstLine="0"/>
              <w:jc w:val="center"/>
              <w:rPr>
                <w:color w:val="auto"/>
                <w:sz w:val="21"/>
                <w:szCs w:val="21"/>
                <w:lang w:val="en-US" w:eastAsia="zh-CN"/>
              </w:rPr>
            </w:pPr>
            <w:r>
              <w:rPr>
                <w:color w:val="auto"/>
                <w:sz w:val="21"/>
                <w:szCs w:val="21"/>
                <w:lang w:val="en-US" w:eastAsia="zh-CN"/>
              </w:rPr>
              <w:t>安装</w:t>
            </w:r>
            <w:r>
              <w:rPr>
                <w:rFonts w:hint="eastAsia"/>
                <w:color w:val="auto"/>
                <w:sz w:val="21"/>
                <w:szCs w:val="21"/>
                <w:lang w:val="en-US" w:eastAsia="zh-CN"/>
              </w:rPr>
              <w:t>、</w:t>
            </w:r>
            <w:r>
              <w:rPr>
                <w:color w:val="auto"/>
                <w:sz w:val="21"/>
                <w:szCs w:val="21"/>
                <w:lang w:val="en-US" w:eastAsia="zh-CN"/>
              </w:rPr>
              <w:t>调试费</w:t>
            </w:r>
          </w:p>
        </w:tc>
        <w:tc>
          <w:tcPr>
            <w:tcW w:w="945" w:type="dxa"/>
            <w:noWrap w:val="0"/>
            <w:vAlign w:val="center"/>
          </w:tcPr>
          <w:p>
            <w:pPr>
              <w:pStyle w:val="20"/>
              <w:spacing w:line="360" w:lineRule="auto"/>
              <w:ind w:firstLine="0"/>
              <w:jc w:val="center"/>
              <w:rPr>
                <w:rFonts w:hint="eastAsia"/>
                <w:color w:val="auto"/>
                <w:sz w:val="21"/>
                <w:szCs w:val="21"/>
                <w:lang w:val="en-US" w:eastAsia="zh-CN"/>
              </w:rPr>
            </w:pPr>
            <w:r>
              <w:rPr>
                <w:color w:val="auto"/>
                <w:sz w:val="21"/>
                <w:szCs w:val="21"/>
                <w:lang w:val="en-US" w:eastAsia="zh-CN"/>
              </w:rPr>
              <w:t>特殊</w:t>
            </w:r>
          </w:p>
          <w:p>
            <w:pPr>
              <w:pStyle w:val="20"/>
              <w:spacing w:line="360" w:lineRule="auto"/>
              <w:ind w:firstLine="0"/>
              <w:jc w:val="center"/>
              <w:rPr>
                <w:color w:val="auto"/>
                <w:sz w:val="21"/>
                <w:szCs w:val="21"/>
                <w:lang w:val="en-US" w:eastAsia="zh-CN"/>
              </w:rPr>
            </w:pPr>
            <w:r>
              <w:rPr>
                <w:color w:val="auto"/>
                <w:sz w:val="21"/>
                <w:szCs w:val="21"/>
                <w:lang w:val="en-US" w:eastAsia="zh-CN"/>
              </w:rPr>
              <w:t>工具费</w:t>
            </w:r>
          </w:p>
        </w:tc>
        <w:tc>
          <w:tcPr>
            <w:tcW w:w="945" w:type="dxa"/>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质保期内</w:t>
            </w:r>
            <w:r>
              <w:rPr>
                <w:color w:val="auto"/>
                <w:sz w:val="21"/>
                <w:szCs w:val="21"/>
                <w:lang w:val="en-US" w:eastAsia="zh-CN"/>
              </w:rPr>
              <w:t>备品备件费</w:t>
            </w:r>
          </w:p>
        </w:tc>
        <w:tc>
          <w:tcPr>
            <w:tcW w:w="1260" w:type="dxa"/>
            <w:noWrap w:val="0"/>
            <w:vAlign w:val="center"/>
          </w:tcPr>
          <w:p>
            <w:pPr>
              <w:pStyle w:val="20"/>
              <w:spacing w:line="360" w:lineRule="auto"/>
              <w:ind w:firstLine="0"/>
              <w:jc w:val="center"/>
              <w:rPr>
                <w:color w:val="auto"/>
                <w:sz w:val="21"/>
                <w:szCs w:val="21"/>
                <w:lang w:val="en-US" w:eastAsia="zh-CN"/>
              </w:rPr>
            </w:pPr>
            <w:r>
              <w:rPr>
                <w:color w:val="auto"/>
                <w:sz w:val="21"/>
                <w:szCs w:val="21"/>
                <w:lang w:val="en-US" w:eastAsia="zh-CN"/>
              </w:rPr>
              <w:t>技术服务及培训费</w:t>
            </w:r>
          </w:p>
        </w:tc>
        <w:tc>
          <w:tcPr>
            <w:tcW w:w="840" w:type="dxa"/>
            <w:noWrap w:val="0"/>
            <w:vAlign w:val="center"/>
          </w:tcPr>
          <w:p>
            <w:pPr>
              <w:pStyle w:val="20"/>
              <w:spacing w:line="360" w:lineRule="auto"/>
              <w:ind w:firstLine="0"/>
              <w:rPr>
                <w:color w:val="auto"/>
                <w:sz w:val="21"/>
                <w:szCs w:val="21"/>
                <w:lang w:val="en-US" w:eastAsia="zh-CN"/>
              </w:rPr>
            </w:pPr>
            <w:r>
              <w:rPr>
                <w:color w:val="auto"/>
                <w:sz w:val="21"/>
                <w:szCs w:val="21"/>
                <w:lang w:val="en-US" w:eastAsia="zh-CN"/>
              </w:rPr>
              <w:t>运输</w:t>
            </w:r>
            <w:r>
              <w:rPr>
                <w:rFonts w:hint="eastAsia"/>
                <w:color w:val="auto"/>
                <w:sz w:val="21"/>
                <w:szCs w:val="21"/>
                <w:lang w:val="en-US" w:eastAsia="zh-CN"/>
              </w:rPr>
              <w:t>、</w:t>
            </w:r>
            <w:r>
              <w:rPr>
                <w:color w:val="auto"/>
                <w:sz w:val="21"/>
                <w:szCs w:val="21"/>
                <w:lang w:val="en-US" w:eastAsia="zh-CN"/>
              </w:rPr>
              <w:t>保险费</w:t>
            </w:r>
          </w:p>
        </w:tc>
        <w:tc>
          <w:tcPr>
            <w:tcW w:w="735" w:type="dxa"/>
            <w:noWrap w:val="0"/>
            <w:vAlign w:val="center"/>
          </w:tcPr>
          <w:p>
            <w:pPr>
              <w:pStyle w:val="20"/>
              <w:spacing w:line="360" w:lineRule="auto"/>
              <w:ind w:firstLine="0"/>
              <w:rPr>
                <w:color w:val="auto"/>
                <w:sz w:val="21"/>
                <w:szCs w:val="21"/>
                <w:lang w:val="en-US" w:eastAsia="zh-CN"/>
              </w:rPr>
            </w:pPr>
            <w:r>
              <w:rPr>
                <w:rFonts w:hint="eastAsia"/>
                <w:color w:val="auto"/>
                <w:sz w:val="21"/>
                <w:szCs w:val="21"/>
                <w:lang w:val="en-US" w:eastAsia="zh-CN"/>
              </w:rPr>
              <w:t>税金、利润</w:t>
            </w:r>
          </w:p>
        </w:tc>
        <w:tc>
          <w:tcPr>
            <w:tcW w:w="735" w:type="dxa"/>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17" w:type="dxa"/>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1</w:t>
            </w:r>
          </w:p>
        </w:tc>
        <w:tc>
          <w:tcPr>
            <w:tcW w:w="1134" w:type="dxa"/>
            <w:noWrap w:val="0"/>
            <w:vAlign w:val="center"/>
          </w:tcPr>
          <w:p>
            <w:pPr>
              <w:pStyle w:val="20"/>
              <w:spacing w:line="360" w:lineRule="auto"/>
              <w:ind w:firstLine="0"/>
              <w:jc w:val="center"/>
              <w:rPr>
                <w:color w:val="auto"/>
                <w:sz w:val="21"/>
                <w:szCs w:val="21"/>
                <w:lang w:val="en-US" w:eastAsia="zh-CN"/>
              </w:rPr>
            </w:pPr>
            <w:r>
              <w:rPr>
                <w:color w:val="auto"/>
                <w:sz w:val="21"/>
                <w:szCs w:val="21"/>
                <w:lang w:val="en-US" w:eastAsia="zh-CN"/>
              </w:rPr>
              <w:t>1</w:t>
            </w:r>
          </w:p>
        </w:tc>
        <w:tc>
          <w:tcPr>
            <w:tcW w:w="1276" w:type="dxa"/>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2</w:t>
            </w:r>
          </w:p>
        </w:tc>
        <w:tc>
          <w:tcPr>
            <w:tcW w:w="871" w:type="dxa"/>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3</w:t>
            </w:r>
          </w:p>
        </w:tc>
        <w:tc>
          <w:tcPr>
            <w:tcW w:w="1218" w:type="dxa"/>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4</w:t>
            </w:r>
          </w:p>
        </w:tc>
        <w:tc>
          <w:tcPr>
            <w:tcW w:w="777" w:type="dxa"/>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5</w:t>
            </w:r>
          </w:p>
        </w:tc>
        <w:tc>
          <w:tcPr>
            <w:tcW w:w="945" w:type="dxa"/>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6</w:t>
            </w:r>
          </w:p>
        </w:tc>
        <w:tc>
          <w:tcPr>
            <w:tcW w:w="840" w:type="dxa"/>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7</w:t>
            </w:r>
          </w:p>
        </w:tc>
        <w:tc>
          <w:tcPr>
            <w:tcW w:w="945" w:type="dxa"/>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8</w:t>
            </w:r>
          </w:p>
        </w:tc>
        <w:tc>
          <w:tcPr>
            <w:tcW w:w="945" w:type="dxa"/>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9</w:t>
            </w:r>
          </w:p>
        </w:tc>
        <w:tc>
          <w:tcPr>
            <w:tcW w:w="945" w:type="dxa"/>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10</w:t>
            </w:r>
          </w:p>
        </w:tc>
        <w:tc>
          <w:tcPr>
            <w:tcW w:w="1260" w:type="dxa"/>
            <w:noWrap w:val="0"/>
            <w:vAlign w:val="center"/>
          </w:tcPr>
          <w:p>
            <w:pPr>
              <w:pStyle w:val="20"/>
              <w:spacing w:line="360" w:lineRule="auto"/>
              <w:ind w:firstLine="0"/>
              <w:jc w:val="center"/>
              <w:rPr>
                <w:color w:val="auto"/>
                <w:sz w:val="21"/>
                <w:szCs w:val="21"/>
                <w:lang w:val="en-US" w:eastAsia="zh-CN"/>
              </w:rPr>
            </w:pPr>
            <w:r>
              <w:rPr>
                <w:color w:val="auto"/>
                <w:sz w:val="21"/>
                <w:szCs w:val="21"/>
                <w:lang w:val="en-US" w:eastAsia="zh-CN"/>
              </w:rPr>
              <w:t>1</w:t>
            </w:r>
            <w:r>
              <w:rPr>
                <w:rFonts w:hint="eastAsia"/>
                <w:color w:val="auto"/>
                <w:sz w:val="21"/>
                <w:szCs w:val="21"/>
                <w:lang w:val="en-US" w:eastAsia="zh-CN"/>
              </w:rPr>
              <w:t>1</w:t>
            </w:r>
          </w:p>
        </w:tc>
        <w:tc>
          <w:tcPr>
            <w:tcW w:w="840" w:type="dxa"/>
            <w:noWrap w:val="0"/>
            <w:vAlign w:val="center"/>
          </w:tcPr>
          <w:p>
            <w:pPr>
              <w:pStyle w:val="20"/>
              <w:spacing w:line="360" w:lineRule="auto"/>
              <w:ind w:firstLine="0"/>
              <w:jc w:val="center"/>
              <w:rPr>
                <w:color w:val="auto"/>
                <w:sz w:val="21"/>
                <w:szCs w:val="21"/>
                <w:lang w:val="en-US" w:eastAsia="zh-CN"/>
              </w:rPr>
            </w:pPr>
            <w:r>
              <w:rPr>
                <w:color w:val="auto"/>
                <w:sz w:val="21"/>
                <w:szCs w:val="21"/>
                <w:lang w:val="en-US" w:eastAsia="zh-CN"/>
              </w:rPr>
              <w:t>1</w:t>
            </w:r>
            <w:r>
              <w:rPr>
                <w:rFonts w:hint="eastAsia"/>
                <w:color w:val="auto"/>
                <w:sz w:val="21"/>
                <w:szCs w:val="21"/>
                <w:lang w:val="en-US" w:eastAsia="zh-CN"/>
              </w:rPr>
              <w:t>2</w:t>
            </w:r>
          </w:p>
        </w:tc>
        <w:tc>
          <w:tcPr>
            <w:tcW w:w="735" w:type="dxa"/>
            <w:noWrap w:val="0"/>
            <w:vAlign w:val="center"/>
          </w:tcPr>
          <w:p>
            <w:pPr>
              <w:pStyle w:val="20"/>
              <w:spacing w:line="360" w:lineRule="auto"/>
              <w:ind w:firstLine="0"/>
              <w:jc w:val="center"/>
              <w:rPr>
                <w:color w:val="auto"/>
                <w:sz w:val="21"/>
                <w:szCs w:val="21"/>
                <w:lang w:val="en-US" w:eastAsia="zh-CN"/>
              </w:rPr>
            </w:pPr>
            <w:r>
              <w:rPr>
                <w:color w:val="auto"/>
                <w:sz w:val="21"/>
                <w:szCs w:val="21"/>
                <w:lang w:val="en-US" w:eastAsia="zh-CN"/>
              </w:rPr>
              <w:t>1</w:t>
            </w:r>
            <w:r>
              <w:rPr>
                <w:rFonts w:hint="eastAsia"/>
                <w:color w:val="auto"/>
                <w:sz w:val="21"/>
                <w:szCs w:val="21"/>
                <w:lang w:val="en-US" w:eastAsia="zh-CN"/>
              </w:rPr>
              <w:t>3</w:t>
            </w:r>
          </w:p>
        </w:tc>
        <w:tc>
          <w:tcPr>
            <w:tcW w:w="735" w:type="dxa"/>
            <w:noWrap w:val="0"/>
            <w:vAlign w:val="center"/>
          </w:tcPr>
          <w:p>
            <w:pPr>
              <w:pStyle w:val="20"/>
              <w:spacing w:line="360" w:lineRule="auto"/>
              <w:ind w:firstLine="0"/>
              <w:jc w:val="center"/>
              <w:rPr>
                <w:color w:val="auto"/>
                <w:sz w:val="21"/>
                <w:szCs w:val="21"/>
                <w:lang w:val="en-US" w:eastAsia="zh-CN"/>
              </w:rPr>
            </w:pPr>
            <w:r>
              <w:rPr>
                <w:color w:val="auto"/>
                <w:sz w:val="21"/>
                <w:szCs w:val="21"/>
                <w:lang w:val="en-US" w:eastAsia="zh-CN"/>
              </w:rPr>
              <w:t>1</w:t>
            </w:r>
            <w:r>
              <w:rPr>
                <w:rFonts w:hint="eastAsia"/>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17" w:type="dxa"/>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2</w:t>
            </w:r>
          </w:p>
        </w:tc>
        <w:tc>
          <w:tcPr>
            <w:tcW w:w="1134" w:type="dxa"/>
            <w:noWrap w:val="0"/>
            <w:vAlign w:val="center"/>
          </w:tcPr>
          <w:p>
            <w:pPr>
              <w:pStyle w:val="20"/>
              <w:spacing w:line="360" w:lineRule="auto"/>
              <w:ind w:firstLine="0"/>
              <w:jc w:val="center"/>
              <w:rPr>
                <w:color w:val="auto"/>
                <w:sz w:val="21"/>
                <w:szCs w:val="21"/>
                <w:lang w:val="en-US" w:eastAsia="zh-CN"/>
              </w:rPr>
            </w:pPr>
          </w:p>
        </w:tc>
        <w:tc>
          <w:tcPr>
            <w:tcW w:w="1276" w:type="dxa"/>
            <w:noWrap w:val="0"/>
            <w:vAlign w:val="center"/>
          </w:tcPr>
          <w:p>
            <w:pPr>
              <w:pStyle w:val="20"/>
              <w:spacing w:line="360" w:lineRule="auto"/>
              <w:ind w:firstLine="0"/>
              <w:jc w:val="center"/>
              <w:rPr>
                <w:color w:val="auto"/>
                <w:sz w:val="21"/>
                <w:szCs w:val="21"/>
                <w:lang w:val="en-US" w:eastAsia="zh-CN"/>
              </w:rPr>
            </w:pPr>
          </w:p>
        </w:tc>
        <w:tc>
          <w:tcPr>
            <w:tcW w:w="871" w:type="dxa"/>
            <w:noWrap w:val="0"/>
            <w:vAlign w:val="center"/>
          </w:tcPr>
          <w:p>
            <w:pPr>
              <w:pStyle w:val="20"/>
              <w:spacing w:line="360" w:lineRule="auto"/>
              <w:ind w:firstLine="0"/>
              <w:jc w:val="center"/>
              <w:rPr>
                <w:color w:val="auto"/>
                <w:sz w:val="21"/>
                <w:szCs w:val="21"/>
                <w:lang w:val="en-US" w:eastAsia="zh-CN"/>
              </w:rPr>
            </w:pPr>
          </w:p>
        </w:tc>
        <w:tc>
          <w:tcPr>
            <w:tcW w:w="1218" w:type="dxa"/>
            <w:noWrap w:val="0"/>
            <w:vAlign w:val="center"/>
          </w:tcPr>
          <w:p>
            <w:pPr>
              <w:pStyle w:val="20"/>
              <w:spacing w:line="360" w:lineRule="auto"/>
              <w:ind w:firstLine="0"/>
              <w:jc w:val="center"/>
              <w:rPr>
                <w:color w:val="auto"/>
                <w:sz w:val="21"/>
                <w:szCs w:val="21"/>
                <w:lang w:val="en-US" w:eastAsia="zh-CN"/>
              </w:rPr>
            </w:pPr>
          </w:p>
        </w:tc>
        <w:tc>
          <w:tcPr>
            <w:tcW w:w="777" w:type="dxa"/>
            <w:noWrap w:val="0"/>
            <w:vAlign w:val="center"/>
          </w:tcPr>
          <w:p>
            <w:pPr>
              <w:pStyle w:val="20"/>
              <w:spacing w:line="360" w:lineRule="auto"/>
              <w:ind w:firstLine="0"/>
              <w:jc w:val="center"/>
              <w:rPr>
                <w:color w:val="auto"/>
                <w:sz w:val="21"/>
                <w:szCs w:val="21"/>
                <w:lang w:val="en-US" w:eastAsia="zh-CN"/>
              </w:rPr>
            </w:pPr>
          </w:p>
        </w:tc>
        <w:tc>
          <w:tcPr>
            <w:tcW w:w="945" w:type="dxa"/>
            <w:noWrap w:val="0"/>
            <w:vAlign w:val="center"/>
          </w:tcPr>
          <w:p>
            <w:pPr>
              <w:pStyle w:val="20"/>
              <w:spacing w:line="360" w:lineRule="auto"/>
              <w:ind w:firstLine="0"/>
              <w:jc w:val="center"/>
              <w:rPr>
                <w:color w:val="auto"/>
                <w:sz w:val="21"/>
                <w:szCs w:val="21"/>
                <w:lang w:val="en-US" w:eastAsia="zh-CN"/>
              </w:rPr>
            </w:pPr>
          </w:p>
        </w:tc>
        <w:tc>
          <w:tcPr>
            <w:tcW w:w="840" w:type="dxa"/>
            <w:noWrap w:val="0"/>
            <w:vAlign w:val="center"/>
          </w:tcPr>
          <w:p>
            <w:pPr>
              <w:pStyle w:val="20"/>
              <w:spacing w:line="360" w:lineRule="auto"/>
              <w:ind w:firstLine="0"/>
              <w:jc w:val="center"/>
              <w:rPr>
                <w:color w:val="auto"/>
                <w:sz w:val="21"/>
                <w:szCs w:val="21"/>
                <w:lang w:val="en-US" w:eastAsia="zh-CN"/>
              </w:rPr>
            </w:pPr>
          </w:p>
        </w:tc>
        <w:tc>
          <w:tcPr>
            <w:tcW w:w="945" w:type="dxa"/>
            <w:noWrap w:val="0"/>
            <w:vAlign w:val="center"/>
          </w:tcPr>
          <w:p>
            <w:pPr>
              <w:pStyle w:val="20"/>
              <w:spacing w:line="360" w:lineRule="auto"/>
              <w:ind w:firstLine="0"/>
              <w:jc w:val="center"/>
              <w:rPr>
                <w:color w:val="auto"/>
                <w:sz w:val="21"/>
                <w:szCs w:val="21"/>
                <w:lang w:val="en-US" w:eastAsia="zh-CN"/>
              </w:rPr>
            </w:pPr>
          </w:p>
        </w:tc>
        <w:tc>
          <w:tcPr>
            <w:tcW w:w="945" w:type="dxa"/>
            <w:noWrap w:val="0"/>
            <w:vAlign w:val="center"/>
          </w:tcPr>
          <w:p>
            <w:pPr>
              <w:pStyle w:val="20"/>
              <w:spacing w:line="360" w:lineRule="auto"/>
              <w:ind w:firstLine="0"/>
              <w:jc w:val="center"/>
              <w:rPr>
                <w:color w:val="auto"/>
                <w:sz w:val="21"/>
                <w:szCs w:val="21"/>
                <w:lang w:val="en-US" w:eastAsia="zh-CN"/>
              </w:rPr>
            </w:pPr>
          </w:p>
        </w:tc>
        <w:tc>
          <w:tcPr>
            <w:tcW w:w="945" w:type="dxa"/>
            <w:noWrap w:val="0"/>
            <w:vAlign w:val="center"/>
          </w:tcPr>
          <w:p>
            <w:pPr>
              <w:pStyle w:val="20"/>
              <w:spacing w:line="360" w:lineRule="auto"/>
              <w:ind w:firstLine="0"/>
              <w:jc w:val="center"/>
              <w:rPr>
                <w:color w:val="auto"/>
                <w:sz w:val="21"/>
                <w:szCs w:val="21"/>
                <w:lang w:val="en-US" w:eastAsia="zh-CN"/>
              </w:rPr>
            </w:pPr>
          </w:p>
        </w:tc>
        <w:tc>
          <w:tcPr>
            <w:tcW w:w="1260" w:type="dxa"/>
            <w:noWrap w:val="0"/>
            <w:vAlign w:val="center"/>
          </w:tcPr>
          <w:p>
            <w:pPr>
              <w:pStyle w:val="20"/>
              <w:spacing w:line="360" w:lineRule="auto"/>
              <w:ind w:firstLine="0"/>
              <w:jc w:val="center"/>
              <w:rPr>
                <w:color w:val="auto"/>
                <w:sz w:val="21"/>
                <w:szCs w:val="21"/>
                <w:lang w:val="en-US" w:eastAsia="zh-CN"/>
              </w:rPr>
            </w:pPr>
          </w:p>
        </w:tc>
        <w:tc>
          <w:tcPr>
            <w:tcW w:w="840" w:type="dxa"/>
            <w:noWrap w:val="0"/>
            <w:vAlign w:val="center"/>
          </w:tcPr>
          <w:p>
            <w:pPr>
              <w:pStyle w:val="20"/>
              <w:spacing w:line="360" w:lineRule="auto"/>
              <w:ind w:firstLine="0"/>
              <w:jc w:val="center"/>
              <w:rPr>
                <w:color w:val="auto"/>
                <w:sz w:val="21"/>
                <w:szCs w:val="21"/>
                <w:lang w:val="en-US" w:eastAsia="zh-CN"/>
              </w:rPr>
            </w:pPr>
          </w:p>
        </w:tc>
        <w:tc>
          <w:tcPr>
            <w:tcW w:w="735" w:type="dxa"/>
            <w:noWrap w:val="0"/>
            <w:vAlign w:val="center"/>
          </w:tcPr>
          <w:p>
            <w:pPr>
              <w:pStyle w:val="20"/>
              <w:spacing w:line="360" w:lineRule="auto"/>
              <w:ind w:firstLine="0"/>
              <w:jc w:val="center"/>
              <w:rPr>
                <w:color w:val="auto"/>
                <w:sz w:val="21"/>
                <w:szCs w:val="21"/>
                <w:lang w:val="en-US" w:eastAsia="zh-CN"/>
              </w:rPr>
            </w:pPr>
          </w:p>
        </w:tc>
        <w:tc>
          <w:tcPr>
            <w:tcW w:w="735" w:type="dxa"/>
            <w:noWrap w:val="0"/>
            <w:vAlign w:val="center"/>
          </w:tcPr>
          <w:p>
            <w:pPr>
              <w:pStyle w:val="20"/>
              <w:spacing w:line="360" w:lineRule="auto"/>
              <w:ind w:firstLine="0"/>
              <w:jc w:val="center"/>
              <w:rPr>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17" w:type="dxa"/>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3</w:t>
            </w:r>
          </w:p>
        </w:tc>
        <w:tc>
          <w:tcPr>
            <w:tcW w:w="1134" w:type="dxa"/>
            <w:noWrap w:val="0"/>
            <w:vAlign w:val="center"/>
          </w:tcPr>
          <w:p>
            <w:pPr>
              <w:pStyle w:val="20"/>
              <w:spacing w:line="360" w:lineRule="auto"/>
              <w:ind w:firstLine="0"/>
              <w:jc w:val="center"/>
              <w:rPr>
                <w:color w:val="auto"/>
                <w:sz w:val="21"/>
                <w:szCs w:val="21"/>
                <w:lang w:val="en-US" w:eastAsia="zh-CN"/>
              </w:rPr>
            </w:pPr>
          </w:p>
        </w:tc>
        <w:tc>
          <w:tcPr>
            <w:tcW w:w="1276" w:type="dxa"/>
            <w:noWrap w:val="0"/>
            <w:vAlign w:val="center"/>
          </w:tcPr>
          <w:p>
            <w:pPr>
              <w:pStyle w:val="20"/>
              <w:spacing w:line="360" w:lineRule="auto"/>
              <w:ind w:firstLine="0"/>
              <w:jc w:val="center"/>
              <w:rPr>
                <w:color w:val="auto"/>
                <w:sz w:val="21"/>
                <w:szCs w:val="21"/>
                <w:lang w:val="en-US" w:eastAsia="zh-CN"/>
              </w:rPr>
            </w:pPr>
          </w:p>
        </w:tc>
        <w:tc>
          <w:tcPr>
            <w:tcW w:w="871" w:type="dxa"/>
            <w:noWrap w:val="0"/>
            <w:vAlign w:val="center"/>
          </w:tcPr>
          <w:p>
            <w:pPr>
              <w:pStyle w:val="20"/>
              <w:spacing w:line="360" w:lineRule="auto"/>
              <w:ind w:firstLine="0"/>
              <w:jc w:val="center"/>
              <w:rPr>
                <w:color w:val="auto"/>
                <w:sz w:val="21"/>
                <w:szCs w:val="21"/>
                <w:lang w:val="en-US" w:eastAsia="zh-CN"/>
              </w:rPr>
            </w:pPr>
          </w:p>
        </w:tc>
        <w:tc>
          <w:tcPr>
            <w:tcW w:w="1218" w:type="dxa"/>
            <w:noWrap w:val="0"/>
            <w:vAlign w:val="center"/>
          </w:tcPr>
          <w:p>
            <w:pPr>
              <w:pStyle w:val="20"/>
              <w:spacing w:line="360" w:lineRule="auto"/>
              <w:ind w:firstLine="0"/>
              <w:jc w:val="center"/>
              <w:rPr>
                <w:color w:val="auto"/>
                <w:sz w:val="21"/>
                <w:szCs w:val="21"/>
                <w:lang w:val="en-US" w:eastAsia="zh-CN"/>
              </w:rPr>
            </w:pPr>
          </w:p>
        </w:tc>
        <w:tc>
          <w:tcPr>
            <w:tcW w:w="777" w:type="dxa"/>
            <w:noWrap w:val="0"/>
            <w:vAlign w:val="center"/>
          </w:tcPr>
          <w:p>
            <w:pPr>
              <w:pStyle w:val="20"/>
              <w:spacing w:line="360" w:lineRule="auto"/>
              <w:ind w:firstLine="0"/>
              <w:jc w:val="center"/>
              <w:rPr>
                <w:color w:val="auto"/>
                <w:sz w:val="21"/>
                <w:szCs w:val="21"/>
                <w:lang w:val="en-US" w:eastAsia="zh-CN"/>
              </w:rPr>
            </w:pPr>
          </w:p>
        </w:tc>
        <w:tc>
          <w:tcPr>
            <w:tcW w:w="945" w:type="dxa"/>
            <w:noWrap w:val="0"/>
            <w:vAlign w:val="center"/>
          </w:tcPr>
          <w:p>
            <w:pPr>
              <w:pStyle w:val="20"/>
              <w:spacing w:line="360" w:lineRule="auto"/>
              <w:ind w:firstLine="0"/>
              <w:jc w:val="center"/>
              <w:rPr>
                <w:color w:val="auto"/>
                <w:sz w:val="21"/>
                <w:szCs w:val="21"/>
                <w:lang w:val="en-US" w:eastAsia="zh-CN"/>
              </w:rPr>
            </w:pPr>
          </w:p>
        </w:tc>
        <w:tc>
          <w:tcPr>
            <w:tcW w:w="840" w:type="dxa"/>
            <w:noWrap w:val="0"/>
            <w:vAlign w:val="center"/>
          </w:tcPr>
          <w:p>
            <w:pPr>
              <w:pStyle w:val="20"/>
              <w:spacing w:line="360" w:lineRule="auto"/>
              <w:ind w:firstLine="0"/>
              <w:jc w:val="center"/>
              <w:rPr>
                <w:color w:val="auto"/>
                <w:sz w:val="21"/>
                <w:szCs w:val="21"/>
                <w:lang w:val="en-US" w:eastAsia="zh-CN"/>
              </w:rPr>
            </w:pPr>
          </w:p>
        </w:tc>
        <w:tc>
          <w:tcPr>
            <w:tcW w:w="945" w:type="dxa"/>
            <w:noWrap w:val="0"/>
            <w:vAlign w:val="center"/>
          </w:tcPr>
          <w:p>
            <w:pPr>
              <w:pStyle w:val="20"/>
              <w:spacing w:line="360" w:lineRule="auto"/>
              <w:ind w:firstLine="0"/>
              <w:jc w:val="center"/>
              <w:rPr>
                <w:color w:val="auto"/>
                <w:sz w:val="21"/>
                <w:szCs w:val="21"/>
                <w:lang w:val="en-US" w:eastAsia="zh-CN"/>
              </w:rPr>
            </w:pPr>
          </w:p>
        </w:tc>
        <w:tc>
          <w:tcPr>
            <w:tcW w:w="945" w:type="dxa"/>
            <w:noWrap w:val="0"/>
            <w:vAlign w:val="center"/>
          </w:tcPr>
          <w:p>
            <w:pPr>
              <w:pStyle w:val="20"/>
              <w:spacing w:line="360" w:lineRule="auto"/>
              <w:ind w:firstLine="0"/>
              <w:jc w:val="center"/>
              <w:rPr>
                <w:color w:val="auto"/>
                <w:sz w:val="21"/>
                <w:szCs w:val="21"/>
                <w:lang w:val="en-US" w:eastAsia="zh-CN"/>
              </w:rPr>
            </w:pPr>
          </w:p>
        </w:tc>
        <w:tc>
          <w:tcPr>
            <w:tcW w:w="945" w:type="dxa"/>
            <w:noWrap w:val="0"/>
            <w:vAlign w:val="center"/>
          </w:tcPr>
          <w:p>
            <w:pPr>
              <w:pStyle w:val="20"/>
              <w:spacing w:line="360" w:lineRule="auto"/>
              <w:ind w:firstLine="0"/>
              <w:jc w:val="center"/>
              <w:rPr>
                <w:color w:val="auto"/>
                <w:sz w:val="21"/>
                <w:szCs w:val="21"/>
                <w:lang w:val="en-US" w:eastAsia="zh-CN"/>
              </w:rPr>
            </w:pPr>
          </w:p>
        </w:tc>
        <w:tc>
          <w:tcPr>
            <w:tcW w:w="1260" w:type="dxa"/>
            <w:noWrap w:val="0"/>
            <w:vAlign w:val="center"/>
          </w:tcPr>
          <w:p>
            <w:pPr>
              <w:pStyle w:val="20"/>
              <w:spacing w:line="360" w:lineRule="auto"/>
              <w:ind w:firstLine="0"/>
              <w:jc w:val="center"/>
              <w:rPr>
                <w:color w:val="auto"/>
                <w:sz w:val="21"/>
                <w:szCs w:val="21"/>
                <w:lang w:val="en-US" w:eastAsia="zh-CN"/>
              </w:rPr>
            </w:pPr>
          </w:p>
        </w:tc>
        <w:tc>
          <w:tcPr>
            <w:tcW w:w="840" w:type="dxa"/>
            <w:noWrap w:val="0"/>
            <w:vAlign w:val="center"/>
          </w:tcPr>
          <w:p>
            <w:pPr>
              <w:pStyle w:val="20"/>
              <w:spacing w:line="360" w:lineRule="auto"/>
              <w:ind w:firstLine="0"/>
              <w:jc w:val="center"/>
              <w:rPr>
                <w:color w:val="auto"/>
                <w:sz w:val="21"/>
                <w:szCs w:val="21"/>
                <w:lang w:val="en-US" w:eastAsia="zh-CN"/>
              </w:rPr>
            </w:pPr>
          </w:p>
        </w:tc>
        <w:tc>
          <w:tcPr>
            <w:tcW w:w="735" w:type="dxa"/>
            <w:noWrap w:val="0"/>
            <w:vAlign w:val="center"/>
          </w:tcPr>
          <w:p>
            <w:pPr>
              <w:pStyle w:val="20"/>
              <w:spacing w:line="360" w:lineRule="auto"/>
              <w:ind w:firstLine="0"/>
              <w:jc w:val="center"/>
              <w:rPr>
                <w:color w:val="auto"/>
                <w:sz w:val="21"/>
                <w:szCs w:val="21"/>
                <w:lang w:val="en-US" w:eastAsia="zh-CN"/>
              </w:rPr>
            </w:pPr>
          </w:p>
        </w:tc>
        <w:tc>
          <w:tcPr>
            <w:tcW w:w="735" w:type="dxa"/>
            <w:noWrap w:val="0"/>
            <w:vAlign w:val="center"/>
          </w:tcPr>
          <w:p>
            <w:pPr>
              <w:pStyle w:val="20"/>
              <w:spacing w:line="360" w:lineRule="auto"/>
              <w:ind w:firstLine="0"/>
              <w:jc w:val="center"/>
              <w:rPr>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17" w:type="dxa"/>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4</w:t>
            </w:r>
          </w:p>
        </w:tc>
        <w:tc>
          <w:tcPr>
            <w:tcW w:w="1134" w:type="dxa"/>
            <w:noWrap w:val="0"/>
            <w:vAlign w:val="center"/>
          </w:tcPr>
          <w:p>
            <w:pPr>
              <w:pStyle w:val="20"/>
              <w:spacing w:line="360" w:lineRule="auto"/>
              <w:ind w:firstLine="0"/>
              <w:jc w:val="center"/>
              <w:rPr>
                <w:color w:val="auto"/>
                <w:sz w:val="21"/>
                <w:szCs w:val="21"/>
                <w:lang w:val="en-US" w:eastAsia="zh-CN"/>
              </w:rPr>
            </w:pPr>
          </w:p>
        </w:tc>
        <w:tc>
          <w:tcPr>
            <w:tcW w:w="1276" w:type="dxa"/>
            <w:noWrap w:val="0"/>
            <w:vAlign w:val="center"/>
          </w:tcPr>
          <w:p>
            <w:pPr>
              <w:pStyle w:val="20"/>
              <w:spacing w:line="360" w:lineRule="auto"/>
              <w:ind w:firstLine="0"/>
              <w:jc w:val="center"/>
              <w:rPr>
                <w:color w:val="auto"/>
                <w:sz w:val="21"/>
                <w:szCs w:val="21"/>
                <w:lang w:val="en-US" w:eastAsia="zh-CN"/>
              </w:rPr>
            </w:pPr>
          </w:p>
        </w:tc>
        <w:tc>
          <w:tcPr>
            <w:tcW w:w="871" w:type="dxa"/>
            <w:noWrap w:val="0"/>
            <w:vAlign w:val="center"/>
          </w:tcPr>
          <w:p>
            <w:pPr>
              <w:pStyle w:val="20"/>
              <w:spacing w:line="360" w:lineRule="auto"/>
              <w:ind w:firstLine="0"/>
              <w:jc w:val="center"/>
              <w:rPr>
                <w:color w:val="auto"/>
                <w:sz w:val="21"/>
                <w:szCs w:val="21"/>
                <w:lang w:val="en-US" w:eastAsia="zh-CN"/>
              </w:rPr>
            </w:pPr>
          </w:p>
        </w:tc>
        <w:tc>
          <w:tcPr>
            <w:tcW w:w="1218" w:type="dxa"/>
            <w:noWrap w:val="0"/>
            <w:vAlign w:val="center"/>
          </w:tcPr>
          <w:p>
            <w:pPr>
              <w:pStyle w:val="20"/>
              <w:spacing w:line="360" w:lineRule="auto"/>
              <w:ind w:firstLine="0"/>
              <w:jc w:val="center"/>
              <w:rPr>
                <w:color w:val="auto"/>
                <w:sz w:val="21"/>
                <w:szCs w:val="21"/>
                <w:lang w:val="en-US" w:eastAsia="zh-CN"/>
              </w:rPr>
            </w:pPr>
          </w:p>
        </w:tc>
        <w:tc>
          <w:tcPr>
            <w:tcW w:w="777" w:type="dxa"/>
            <w:noWrap w:val="0"/>
            <w:vAlign w:val="center"/>
          </w:tcPr>
          <w:p>
            <w:pPr>
              <w:pStyle w:val="20"/>
              <w:spacing w:line="360" w:lineRule="auto"/>
              <w:ind w:firstLine="0"/>
              <w:jc w:val="center"/>
              <w:rPr>
                <w:color w:val="auto"/>
                <w:sz w:val="21"/>
                <w:szCs w:val="21"/>
                <w:lang w:val="en-US" w:eastAsia="zh-CN"/>
              </w:rPr>
            </w:pPr>
          </w:p>
        </w:tc>
        <w:tc>
          <w:tcPr>
            <w:tcW w:w="945" w:type="dxa"/>
            <w:noWrap w:val="0"/>
            <w:vAlign w:val="center"/>
          </w:tcPr>
          <w:p>
            <w:pPr>
              <w:pStyle w:val="20"/>
              <w:spacing w:line="360" w:lineRule="auto"/>
              <w:ind w:firstLine="0"/>
              <w:jc w:val="center"/>
              <w:rPr>
                <w:color w:val="auto"/>
                <w:sz w:val="21"/>
                <w:szCs w:val="21"/>
                <w:lang w:val="en-US" w:eastAsia="zh-CN"/>
              </w:rPr>
            </w:pPr>
          </w:p>
        </w:tc>
        <w:tc>
          <w:tcPr>
            <w:tcW w:w="840" w:type="dxa"/>
            <w:noWrap w:val="0"/>
            <w:vAlign w:val="center"/>
          </w:tcPr>
          <w:p>
            <w:pPr>
              <w:pStyle w:val="20"/>
              <w:spacing w:line="360" w:lineRule="auto"/>
              <w:ind w:firstLine="0"/>
              <w:jc w:val="center"/>
              <w:rPr>
                <w:color w:val="auto"/>
                <w:sz w:val="21"/>
                <w:szCs w:val="21"/>
                <w:lang w:val="en-US" w:eastAsia="zh-CN"/>
              </w:rPr>
            </w:pPr>
          </w:p>
        </w:tc>
        <w:tc>
          <w:tcPr>
            <w:tcW w:w="945" w:type="dxa"/>
            <w:noWrap w:val="0"/>
            <w:vAlign w:val="center"/>
          </w:tcPr>
          <w:p>
            <w:pPr>
              <w:pStyle w:val="20"/>
              <w:spacing w:line="360" w:lineRule="auto"/>
              <w:ind w:firstLine="0"/>
              <w:jc w:val="center"/>
              <w:rPr>
                <w:color w:val="auto"/>
                <w:sz w:val="21"/>
                <w:szCs w:val="21"/>
                <w:lang w:val="en-US" w:eastAsia="zh-CN"/>
              </w:rPr>
            </w:pPr>
          </w:p>
        </w:tc>
        <w:tc>
          <w:tcPr>
            <w:tcW w:w="945" w:type="dxa"/>
            <w:noWrap w:val="0"/>
            <w:vAlign w:val="center"/>
          </w:tcPr>
          <w:p>
            <w:pPr>
              <w:pStyle w:val="20"/>
              <w:spacing w:line="360" w:lineRule="auto"/>
              <w:ind w:firstLine="0"/>
              <w:jc w:val="center"/>
              <w:rPr>
                <w:color w:val="auto"/>
                <w:sz w:val="21"/>
                <w:szCs w:val="21"/>
                <w:lang w:val="en-US" w:eastAsia="zh-CN"/>
              </w:rPr>
            </w:pPr>
          </w:p>
        </w:tc>
        <w:tc>
          <w:tcPr>
            <w:tcW w:w="945" w:type="dxa"/>
            <w:noWrap w:val="0"/>
            <w:vAlign w:val="center"/>
          </w:tcPr>
          <w:p>
            <w:pPr>
              <w:pStyle w:val="20"/>
              <w:spacing w:line="360" w:lineRule="auto"/>
              <w:ind w:firstLine="0"/>
              <w:jc w:val="center"/>
              <w:rPr>
                <w:color w:val="auto"/>
                <w:sz w:val="21"/>
                <w:szCs w:val="21"/>
                <w:lang w:val="en-US" w:eastAsia="zh-CN"/>
              </w:rPr>
            </w:pPr>
          </w:p>
        </w:tc>
        <w:tc>
          <w:tcPr>
            <w:tcW w:w="1260" w:type="dxa"/>
            <w:noWrap w:val="0"/>
            <w:vAlign w:val="center"/>
          </w:tcPr>
          <w:p>
            <w:pPr>
              <w:pStyle w:val="20"/>
              <w:spacing w:line="360" w:lineRule="auto"/>
              <w:ind w:firstLine="0"/>
              <w:jc w:val="center"/>
              <w:rPr>
                <w:color w:val="auto"/>
                <w:sz w:val="21"/>
                <w:szCs w:val="21"/>
                <w:lang w:val="en-US" w:eastAsia="zh-CN"/>
              </w:rPr>
            </w:pPr>
          </w:p>
        </w:tc>
        <w:tc>
          <w:tcPr>
            <w:tcW w:w="840" w:type="dxa"/>
            <w:noWrap w:val="0"/>
            <w:vAlign w:val="center"/>
          </w:tcPr>
          <w:p>
            <w:pPr>
              <w:pStyle w:val="20"/>
              <w:spacing w:line="360" w:lineRule="auto"/>
              <w:ind w:firstLine="0"/>
              <w:jc w:val="center"/>
              <w:rPr>
                <w:color w:val="auto"/>
                <w:sz w:val="21"/>
                <w:szCs w:val="21"/>
                <w:lang w:val="en-US" w:eastAsia="zh-CN"/>
              </w:rPr>
            </w:pPr>
          </w:p>
        </w:tc>
        <w:tc>
          <w:tcPr>
            <w:tcW w:w="735" w:type="dxa"/>
            <w:noWrap w:val="0"/>
            <w:vAlign w:val="center"/>
          </w:tcPr>
          <w:p>
            <w:pPr>
              <w:pStyle w:val="20"/>
              <w:spacing w:line="360" w:lineRule="auto"/>
              <w:ind w:firstLine="0"/>
              <w:jc w:val="center"/>
              <w:rPr>
                <w:color w:val="auto"/>
                <w:sz w:val="21"/>
                <w:szCs w:val="21"/>
                <w:lang w:val="en-US" w:eastAsia="zh-CN"/>
              </w:rPr>
            </w:pPr>
          </w:p>
        </w:tc>
        <w:tc>
          <w:tcPr>
            <w:tcW w:w="735" w:type="dxa"/>
            <w:noWrap w:val="0"/>
            <w:vAlign w:val="center"/>
          </w:tcPr>
          <w:p>
            <w:pPr>
              <w:pStyle w:val="20"/>
              <w:spacing w:line="360" w:lineRule="auto"/>
              <w:ind w:firstLine="0"/>
              <w:jc w:val="center"/>
              <w:rPr>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17" w:type="dxa"/>
            <w:noWrap w:val="0"/>
            <w:vAlign w:val="center"/>
          </w:tcPr>
          <w:p>
            <w:pPr>
              <w:pStyle w:val="20"/>
              <w:spacing w:line="360" w:lineRule="auto"/>
              <w:ind w:firstLine="0"/>
              <w:jc w:val="center"/>
              <w:rPr>
                <w:color w:val="auto"/>
                <w:sz w:val="21"/>
                <w:szCs w:val="21"/>
                <w:lang w:val="en-US" w:eastAsia="zh-CN"/>
              </w:rPr>
            </w:pPr>
            <w:r>
              <w:rPr>
                <w:rFonts w:hint="eastAsia"/>
                <w:color w:val="auto"/>
                <w:sz w:val="21"/>
                <w:szCs w:val="21"/>
                <w:lang w:val="en-US" w:eastAsia="zh-CN"/>
              </w:rPr>
              <w:t>5</w:t>
            </w:r>
          </w:p>
        </w:tc>
        <w:tc>
          <w:tcPr>
            <w:tcW w:w="1134" w:type="dxa"/>
            <w:noWrap w:val="0"/>
            <w:vAlign w:val="center"/>
          </w:tcPr>
          <w:p>
            <w:pPr>
              <w:pStyle w:val="20"/>
              <w:spacing w:line="360" w:lineRule="auto"/>
              <w:ind w:firstLine="0"/>
              <w:rPr>
                <w:color w:val="auto"/>
                <w:sz w:val="21"/>
                <w:szCs w:val="21"/>
                <w:lang w:val="en-US" w:eastAsia="zh-CN"/>
              </w:rPr>
            </w:pPr>
          </w:p>
        </w:tc>
        <w:tc>
          <w:tcPr>
            <w:tcW w:w="1276" w:type="dxa"/>
            <w:noWrap w:val="0"/>
            <w:vAlign w:val="center"/>
          </w:tcPr>
          <w:p>
            <w:pPr>
              <w:pStyle w:val="20"/>
              <w:spacing w:line="360" w:lineRule="auto"/>
              <w:ind w:firstLine="0"/>
              <w:rPr>
                <w:color w:val="auto"/>
                <w:sz w:val="21"/>
                <w:szCs w:val="21"/>
                <w:lang w:val="en-US" w:eastAsia="zh-CN"/>
              </w:rPr>
            </w:pPr>
          </w:p>
        </w:tc>
        <w:tc>
          <w:tcPr>
            <w:tcW w:w="871" w:type="dxa"/>
            <w:noWrap w:val="0"/>
            <w:vAlign w:val="center"/>
          </w:tcPr>
          <w:p>
            <w:pPr>
              <w:pStyle w:val="20"/>
              <w:spacing w:line="360" w:lineRule="auto"/>
              <w:ind w:firstLine="0"/>
              <w:rPr>
                <w:color w:val="auto"/>
                <w:sz w:val="21"/>
                <w:szCs w:val="21"/>
                <w:lang w:val="en-US" w:eastAsia="zh-CN"/>
              </w:rPr>
            </w:pPr>
          </w:p>
        </w:tc>
        <w:tc>
          <w:tcPr>
            <w:tcW w:w="1218" w:type="dxa"/>
            <w:noWrap w:val="0"/>
            <w:vAlign w:val="center"/>
          </w:tcPr>
          <w:p>
            <w:pPr>
              <w:pStyle w:val="20"/>
              <w:spacing w:line="360" w:lineRule="auto"/>
              <w:ind w:firstLine="0"/>
              <w:rPr>
                <w:color w:val="auto"/>
                <w:sz w:val="21"/>
                <w:szCs w:val="21"/>
                <w:lang w:val="en-US" w:eastAsia="zh-CN"/>
              </w:rPr>
            </w:pPr>
          </w:p>
        </w:tc>
        <w:tc>
          <w:tcPr>
            <w:tcW w:w="777" w:type="dxa"/>
            <w:noWrap w:val="0"/>
            <w:vAlign w:val="center"/>
          </w:tcPr>
          <w:p>
            <w:pPr>
              <w:pStyle w:val="20"/>
              <w:spacing w:line="360" w:lineRule="auto"/>
              <w:ind w:firstLine="0"/>
              <w:rPr>
                <w:color w:val="auto"/>
                <w:sz w:val="21"/>
                <w:szCs w:val="21"/>
                <w:lang w:val="en-US" w:eastAsia="zh-CN"/>
              </w:rPr>
            </w:pPr>
          </w:p>
        </w:tc>
        <w:tc>
          <w:tcPr>
            <w:tcW w:w="945" w:type="dxa"/>
            <w:noWrap w:val="0"/>
            <w:vAlign w:val="center"/>
          </w:tcPr>
          <w:p>
            <w:pPr>
              <w:pStyle w:val="20"/>
              <w:spacing w:line="360" w:lineRule="auto"/>
              <w:ind w:firstLine="0"/>
              <w:rPr>
                <w:color w:val="auto"/>
                <w:sz w:val="21"/>
                <w:szCs w:val="21"/>
                <w:lang w:val="en-US" w:eastAsia="zh-CN"/>
              </w:rPr>
            </w:pPr>
          </w:p>
        </w:tc>
        <w:tc>
          <w:tcPr>
            <w:tcW w:w="840" w:type="dxa"/>
            <w:noWrap w:val="0"/>
            <w:vAlign w:val="center"/>
          </w:tcPr>
          <w:p>
            <w:pPr>
              <w:pStyle w:val="20"/>
              <w:spacing w:line="360" w:lineRule="auto"/>
              <w:ind w:firstLine="0"/>
              <w:rPr>
                <w:color w:val="auto"/>
                <w:sz w:val="21"/>
                <w:szCs w:val="21"/>
                <w:lang w:val="en-US" w:eastAsia="zh-CN"/>
              </w:rPr>
            </w:pPr>
          </w:p>
        </w:tc>
        <w:tc>
          <w:tcPr>
            <w:tcW w:w="945" w:type="dxa"/>
            <w:noWrap w:val="0"/>
            <w:vAlign w:val="center"/>
          </w:tcPr>
          <w:p>
            <w:pPr>
              <w:pStyle w:val="20"/>
              <w:spacing w:line="360" w:lineRule="auto"/>
              <w:ind w:firstLine="0"/>
              <w:rPr>
                <w:color w:val="auto"/>
                <w:sz w:val="21"/>
                <w:szCs w:val="21"/>
                <w:lang w:val="en-US" w:eastAsia="zh-CN"/>
              </w:rPr>
            </w:pPr>
          </w:p>
        </w:tc>
        <w:tc>
          <w:tcPr>
            <w:tcW w:w="945" w:type="dxa"/>
            <w:noWrap w:val="0"/>
            <w:vAlign w:val="center"/>
          </w:tcPr>
          <w:p>
            <w:pPr>
              <w:pStyle w:val="20"/>
              <w:spacing w:line="360" w:lineRule="auto"/>
              <w:ind w:firstLine="0"/>
              <w:rPr>
                <w:color w:val="auto"/>
                <w:sz w:val="21"/>
                <w:szCs w:val="21"/>
                <w:lang w:val="en-US" w:eastAsia="zh-CN"/>
              </w:rPr>
            </w:pPr>
          </w:p>
        </w:tc>
        <w:tc>
          <w:tcPr>
            <w:tcW w:w="945" w:type="dxa"/>
            <w:noWrap w:val="0"/>
            <w:vAlign w:val="center"/>
          </w:tcPr>
          <w:p>
            <w:pPr>
              <w:pStyle w:val="20"/>
              <w:spacing w:line="360" w:lineRule="auto"/>
              <w:ind w:firstLine="0"/>
              <w:rPr>
                <w:color w:val="auto"/>
                <w:sz w:val="21"/>
                <w:szCs w:val="21"/>
                <w:lang w:val="en-US" w:eastAsia="zh-CN"/>
              </w:rPr>
            </w:pPr>
          </w:p>
        </w:tc>
        <w:tc>
          <w:tcPr>
            <w:tcW w:w="1260" w:type="dxa"/>
            <w:noWrap w:val="0"/>
            <w:vAlign w:val="center"/>
          </w:tcPr>
          <w:p>
            <w:pPr>
              <w:pStyle w:val="20"/>
              <w:spacing w:line="360" w:lineRule="auto"/>
              <w:ind w:firstLine="0"/>
              <w:rPr>
                <w:color w:val="auto"/>
                <w:sz w:val="21"/>
                <w:szCs w:val="21"/>
                <w:lang w:val="en-US" w:eastAsia="zh-CN"/>
              </w:rPr>
            </w:pPr>
          </w:p>
        </w:tc>
        <w:tc>
          <w:tcPr>
            <w:tcW w:w="840" w:type="dxa"/>
            <w:noWrap w:val="0"/>
            <w:vAlign w:val="center"/>
          </w:tcPr>
          <w:p>
            <w:pPr>
              <w:pStyle w:val="20"/>
              <w:spacing w:line="360" w:lineRule="auto"/>
              <w:ind w:firstLine="0"/>
              <w:rPr>
                <w:color w:val="auto"/>
                <w:sz w:val="21"/>
                <w:szCs w:val="21"/>
                <w:lang w:val="en-US" w:eastAsia="zh-CN"/>
              </w:rPr>
            </w:pPr>
          </w:p>
        </w:tc>
        <w:tc>
          <w:tcPr>
            <w:tcW w:w="735" w:type="dxa"/>
            <w:noWrap w:val="0"/>
            <w:vAlign w:val="center"/>
          </w:tcPr>
          <w:p>
            <w:pPr>
              <w:pStyle w:val="20"/>
              <w:spacing w:line="360" w:lineRule="auto"/>
              <w:ind w:firstLine="0"/>
              <w:rPr>
                <w:color w:val="auto"/>
                <w:sz w:val="21"/>
                <w:szCs w:val="21"/>
                <w:lang w:val="en-US" w:eastAsia="zh-CN"/>
              </w:rPr>
            </w:pPr>
          </w:p>
        </w:tc>
        <w:tc>
          <w:tcPr>
            <w:tcW w:w="735" w:type="dxa"/>
            <w:noWrap w:val="0"/>
            <w:vAlign w:val="center"/>
          </w:tcPr>
          <w:p>
            <w:pPr>
              <w:pStyle w:val="20"/>
              <w:spacing w:line="360" w:lineRule="auto"/>
              <w:ind w:firstLine="0"/>
              <w:rPr>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17" w:type="dxa"/>
            <w:noWrap w:val="0"/>
            <w:vAlign w:val="center"/>
          </w:tcPr>
          <w:p>
            <w:pPr>
              <w:pStyle w:val="20"/>
              <w:spacing w:line="360" w:lineRule="auto"/>
              <w:ind w:firstLine="0"/>
              <w:rPr>
                <w:rFonts w:hint="eastAsia"/>
                <w:color w:val="auto"/>
                <w:sz w:val="21"/>
                <w:szCs w:val="21"/>
                <w:lang w:val="en-US" w:eastAsia="zh-CN"/>
              </w:rPr>
            </w:pPr>
            <w:r>
              <w:rPr>
                <w:rFonts w:hint="eastAsia"/>
                <w:color w:val="auto"/>
                <w:sz w:val="21"/>
                <w:szCs w:val="21"/>
                <w:lang w:val="en-US" w:eastAsia="zh-CN"/>
              </w:rPr>
              <w:t>----</w:t>
            </w:r>
          </w:p>
        </w:tc>
        <w:tc>
          <w:tcPr>
            <w:tcW w:w="1134" w:type="dxa"/>
            <w:noWrap w:val="0"/>
            <w:vAlign w:val="center"/>
          </w:tcPr>
          <w:p>
            <w:pPr>
              <w:pStyle w:val="20"/>
              <w:spacing w:line="360" w:lineRule="auto"/>
              <w:ind w:firstLine="0"/>
              <w:rPr>
                <w:color w:val="auto"/>
                <w:sz w:val="21"/>
                <w:szCs w:val="21"/>
                <w:lang w:val="en-US" w:eastAsia="zh-CN"/>
              </w:rPr>
            </w:pPr>
          </w:p>
        </w:tc>
        <w:tc>
          <w:tcPr>
            <w:tcW w:w="1276" w:type="dxa"/>
            <w:noWrap w:val="0"/>
            <w:vAlign w:val="center"/>
          </w:tcPr>
          <w:p>
            <w:pPr>
              <w:pStyle w:val="20"/>
              <w:spacing w:line="360" w:lineRule="auto"/>
              <w:ind w:firstLine="0"/>
              <w:rPr>
                <w:color w:val="auto"/>
                <w:sz w:val="21"/>
                <w:szCs w:val="21"/>
                <w:lang w:val="en-US" w:eastAsia="zh-CN"/>
              </w:rPr>
            </w:pPr>
          </w:p>
        </w:tc>
        <w:tc>
          <w:tcPr>
            <w:tcW w:w="871" w:type="dxa"/>
            <w:noWrap w:val="0"/>
            <w:vAlign w:val="center"/>
          </w:tcPr>
          <w:p>
            <w:pPr>
              <w:pStyle w:val="20"/>
              <w:spacing w:line="360" w:lineRule="auto"/>
              <w:ind w:firstLine="0"/>
              <w:rPr>
                <w:color w:val="auto"/>
                <w:sz w:val="21"/>
                <w:szCs w:val="21"/>
                <w:lang w:val="en-US" w:eastAsia="zh-CN"/>
              </w:rPr>
            </w:pPr>
          </w:p>
        </w:tc>
        <w:tc>
          <w:tcPr>
            <w:tcW w:w="1218" w:type="dxa"/>
            <w:noWrap w:val="0"/>
            <w:vAlign w:val="center"/>
          </w:tcPr>
          <w:p>
            <w:pPr>
              <w:pStyle w:val="20"/>
              <w:spacing w:line="360" w:lineRule="auto"/>
              <w:ind w:firstLine="0"/>
              <w:rPr>
                <w:color w:val="auto"/>
                <w:sz w:val="21"/>
                <w:szCs w:val="21"/>
                <w:lang w:val="en-US" w:eastAsia="zh-CN"/>
              </w:rPr>
            </w:pPr>
          </w:p>
        </w:tc>
        <w:tc>
          <w:tcPr>
            <w:tcW w:w="777" w:type="dxa"/>
            <w:noWrap w:val="0"/>
            <w:vAlign w:val="center"/>
          </w:tcPr>
          <w:p>
            <w:pPr>
              <w:pStyle w:val="20"/>
              <w:spacing w:line="360" w:lineRule="auto"/>
              <w:ind w:firstLine="0"/>
              <w:rPr>
                <w:color w:val="auto"/>
                <w:sz w:val="21"/>
                <w:szCs w:val="21"/>
                <w:lang w:val="en-US" w:eastAsia="zh-CN"/>
              </w:rPr>
            </w:pPr>
          </w:p>
        </w:tc>
        <w:tc>
          <w:tcPr>
            <w:tcW w:w="945" w:type="dxa"/>
            <w:noWrap w:val="0"/>
            <w:vAlign w:val="center"/>
          </w:tcPr>
          <w:p>
            <w:pPr>
              <w:pStyle w:val="20"/>
              <w:spacing w:line="360" w:lineRule="auto"/>
              <w:ind w:firstLine="0"/>
              <w:rPr>
                <w:color w:val="auto"/>
                <w:sz w:val="21"/>
                <w:szCs w:val="21"/>
                <w:lang w:val="en-US" w:eastAsia="zh-CN"/>
              </w:rPr>
            </w:pPr>
          </w:p>
        </w:tc>
        <w:tc>
          <w:tcPr>
            <w:tcW w:w="840" w:type="dxa"/>
            <w:noWrap w:val="0"/>
            <w:vAlign w:val="center"/>
          </w:tcPr>
          <w:p>
            <w:pPr>
              <w:pStyle w:val="20"/>
              <w:spacing w:line="360" w:lineRule="auto"/>
              <w:ind w:firstLine="0"/>
              <w:rPr>
                <w:color w:val="auto"/>
                <w:sz w:val="21"/>
                <w:szCs w:val="21"/>
                <w:lang w:val="en-US" w:eastAsia="zh-CN"/>
              </w:rPr>
            </w:pPr>
          </w:p>
        </w:tc>
        <w:tc>
          <w:tcPr>
            <w:tcW w:w="945" w:type="dxa"/>
            <w:noWrap w:val="0"/>
            <w:vAlign w:val="center"/>
          </w:tcPr>
          <w:p>
            <w:pPr>
              <w:pStyle w:val="20"/>
              <w:spacing w:line="360" w:lineRule="auto"/>
              <w:ind w:firstLine="0"/>
              <w:rPr>
                <w:color w:val="auto"/>
                <w:sz w:val="21"/>
                <w:szCs w:val="21"/>
                <w:lang w:val="en-US" w:eastAsia="zh-CN"/>
              </w:rPr>
            </w:pPr>
          </w:p>
        </w:tc>
        <w:tc>
          <w:tcPr>
            <w:tcW w:w="945" w:type="dxa"/>
            <w:noWrap w:val="0"/>
            <w:vAlign w:val="center"/>
          </w:tcPr>
          <w:p>
            <w:pPr>
              <w:pStyle w:val="20"/>
              <w:spacing w:line="360" w:lineRule="auto"/>
              <w:ind w:firstLine="0"/>
              <w:rPr>
                <w:color w:val="auto"/>
                <w:sz w:val="21"/>
                <w:szCs w:val="21"/>
                <w:lang w:val="en-US" w:eastAsia="zh-CN"/>
              </w:rPr>
            </w:pPr>
          </w:p>
        </w:tc>
        <w:tc>
          <w:tcPr>
            <w:tcW w:w="945" w:type="dxa"/>
            <w:noWrap w:val="0"/>
            <w:vAlign w:val="center"/>
          </w:tcPr>
          <w:p>
            <w:pPr>
              <w:pStyle w:val="20"/>
              <w:spacing w:line="360" w:lineRule="auto"/>
              <w:ind w:firstLine="0"/>
              <w:rPr>
                <w:color w:val="auto"/>
                <w:sz w:val="21"/>
                <w:szCs w:val="21"/>
                <w:lang w:val="en-US" w:eastAsia="zh-CN"/>
              </w:rPr>
            </w:pPr>
          </w:p>
        </w:tc>
        <w:tc>
          <w:tcPr>
            <w:tcW w:w="1260" w:type="dxa"/>
            <w:noWrap w:val="0"/>
            <w:vAlign w:val="center"/>
          </w:tcPr>
          <w:p>
            <w:pPr>
              <w:pStyle w:val="20"/>
              <w:spacing w:line="360" w:lineRule="auto"/>
              <w:ind w:firstLine="0"/>
              <w:rPr>
                <w:color w:val="auto"/>
                <w:sz w:val="21"/>
                <w:szCs w:val="21"/>
                <w:lang w:val="en-US" w:eastAsia="zh-CN"/>
              </w:rPr>
            </w:pPr>
          </w:p>
        </w:tc>
        <w:tc>
          <w:tcPr>
            <w:tcW w:w="840" w:type="dxa"/>
            <w:noWrap w:val="0"/>
            <w:vAlign w:val="center"/>
          </w:tcPr>
          <w:p>
            <w:pPr>
              <w:pStyle w:val="20"/>
              <w:spacing w:line="360" w:lineRule="auto"/>
              <w:ind w:firstLine="0"/>
              <w:rPr>
                <w:color w:val="auto"/>
                <w:sz w:val="21"/>
                <w:szCs w:val="21"/>
                <w:lang w:val="en-US" w:eastAsia="zh-CN"/>
              </w:rPr>
            </w:pPr>
          </w:p>
        </w:tc>
        <w:tc>
          <w:tcPr>
            <w:tcW w:w="735" w:type="dxa"/>
            <w:noWrap w:val="0"/>
            <w:vAlign w:val="center"/>
          </w:tcPr>
          <w:p>
            <w:pPr>
              <w:pStyle w:val="20"/>
              <w:spacing w:line="360" w:lineRule="auto"/>
              <w:ind w:firstLine="0"/>
              <w:rPr>
                <w:color w:val="auto"/>
                <w:sz w:val="21"/>
                <w:szCs w:val="21"/>
                <w:lang w:val="en-US" w:eastAsia="zh-CN"/>
              </w:rPr>
            </w:pPr>
          </w:p>
        </w:tc>
        <w:tc>
          <w:tcPr>
            <w:tcW w:w="735" w:type="dxa"/>
            <w:noWrap w:val="0"/>
            <w:vAlign w:val="center"/>
          </w:tcPr>
          <w:p>
            <w:pPr>
              <w:pStyle w:val="20"/>
              <w:spacing w:line="360" w:lineRule="auto"/>
              <w:ind w:firstLine="0"/>
              <w:rPr>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817" w:type="dxa"/>
            <w:noWrap w:val="0"/>
            <w:vAlign w:val="center"/>
          </w:tcPr>
          <w:p>
            <w:pPr>
              <w:pStyle w:val="20"/>
              <w:spacing w:line="360" w:lineRule="auto"/>
              <w:ind w:firstLine="0"/>
              <w:rPr>
                <w:rFonts w:hint="eastAsia"/>
                <w:color w:val="auto"/>
                <w:sz w:val="21"/>
                <w:szCs w:val="21"/>
                <w:lang w:val="en-US" w:eastAsia="zh-CN"/>
              </w:rPr>
            </w:pPr>
            <w:r>
              <w:rPr>
                <w:rFonts w:hint="eastAsia"/>
                <w:color w:val="auto"/>
                <w:sz w:val="21"/>
                <w:szCs w:val="21"/>
                <w:lang w:val="en-US" w:eastAsia="zh-CN"/>
              </w:rPr>
              <w:t>----</w:t>
            </w:r>
          </w:p>
        </w:tc>
        <w:tc>
          <w:tcPr>
            <w:tcW w:w="1134" w:type="dxa"/>
            <w:noWrap w:val="0"/>
            <w:vAlign w:val="center"/>
          </w:tcPr>
          <w:p>
            <w:pPr>
              <w:pStyle w:val="20"/>
              <w:spacing w:line="360" w:lineRule="auto"/>
              <w:ind w:firstLine="0"/>
              <w:rPr>
                <w:color w:val="auto"/>
                <w:sz w:val="21"/>
                <w:szCs w:val="21"/>
                <w:lang w:val="en-US" w:eastAsia="zh-CN"/>
              </w:rPr>
            </w:pPr>
          </w:p>
        </w:tc>
        <w:tc>
          <w:tcPr>
            <w:tcW w:w="1276" w:type="dxa"/>
            <w:noWrap w:val="0"/>
            <w:vAlign w:val="center"/>
          </w:tcPr>
          <w:p>
            <w:pPr>
              <w:pStyle w:val="20"/>
              <w:spacing w:line="360" w:lineRule="auto"/>
              <w:ind w:firstLine="0"/>
              <w:rPr>
                <w:color w:val="auto"/>
                <w:sz w:val="21"/>
                <w:szCs w:val="21"/>
                <w:lang w:val="en-US" w:eastAsia="zh-CN"/>
              </w:rPr>
            </w:pPr>
          </w:p>
        </w:tc>
        <w:tc>
          <w:tcPr>
            <w:tcW w:w="871" w:type="dxa"/>
            <w:noWrap w:val="0"/>
            <w:vAlign w:val="center"/>
          </w:tcPr>
          <w:p>
            <w:pPr>
              <w:pStyle w:val="20"/>
              <w:spacing w:line="360" w:lineRule="auto"/>
              <w:ind w:firstLine="0"/>
              <w:rPr>
                <w:color w:val="auto"/>
                <w:sz w:val="21"/>
                <w:szCs w:val="21"/>
                <w:lang w:val="en-US" w:eastAsia="zh-CN"/>
              </w:rPr>
            </w:pPr>
          </w:p>
        </w:tc>
        <w:tc>
          <w:tcPr>
            <w:tcW w:w="1218" w:type="dxa"/>
            <w:noWrap w:val="0"/>
            <w:vAlign w:val="center"/>
          </w:tcPr>
          <w:p>
            <w:pPr>
              <w:pStyle w:val="20"/>
              <w:spacing w:line="360" w:lineRule="auto"/>
              <w:ind w:firstLine="0"/>
              <w:rPr>
                <w:color w:val="auto"/>
                <w:sz w:val="21"/>
                <w:szCs w:val="21"/>
                <w:lang w:val="en-US" w:eastAsia="zh-CN"/>
              </w:rPr>
            </w:pPr>
          </w:p>
        </w:tc>
        <w:tc>
          <w:tcPr>
            <w:tcW w:w="777" w:type="dxa"/>
            <w:noWrap w:val="0"/>
            <w:vAlign w:val="center"/>
          </w:tcPr>
          <w:p>
            <w:pPr>
              <w:pStyle w:val="20"/>
              <w:spacing w:line="360" w:lineRule="auto"/>
              <w:ind w:firstLine="0"/>
              <w:rPr>
                <w:color w:val="auto"/>
                <w:sz w:val="21"/>
                <w:szCs w:val="21"/>
                <w:lang w:val="en-US" w:eastAsia="zh-CN"/>
              </w:rPr>
            </w:pPr>
          </w:p>
        </w:tc>
        <w:tc>
          <w:tcPr>
            <w:tcW w:w="945" w:type="dxa"/>
            <w:noWrap w:val="0"/>
            <w:vAlign w:val="center"/>
          </w:tcPr>
          <w:p>
            <w:pPr>
              <w:pStyle w:val="20"/>
              <w:spacing w:line="360" w:lineRule="auto"/>
              <w:ind w:firstLine="0"/>
              <w:rPr>
                <w:color w:val="auto"/>
                <w:sz w:val="21"/>
                <w:szCs w:val="21"/>
                <w:lang w:val="en-US" w:eastAsia="zh-CN"/>
              </w:rPr>
            </w:pPr>
          </w:p>
        </w:tc>
        <w:tc>
          <w:tcPr>
            <w:tcW w:w="840" w:type="dxa"/>
            <w:noWrap w:val="0"/>
            <w:vAlign w:val="center"/>
          </w:tcPr>
          <w:p>
            <w:pPr>
              <w:pStyle w:val="20"/>
              <w:spacing w:line="360" w:lineRule="auto"/>
              <w:ind w:firstLine="0"/>
              <w:rPr>
                <w:color w:val="auto"/>
                <w:sz w:val="21"/>
                <w:szCs w:val="21"/>
                <w:lang w:val="en-US" w:eastAsia="zh-CN"/>
              </w:rPr>
            </w:pPr>
          </w:p>
        </w:tc>
        <w:tc>
          <w:tcPr>
            <w:tcW w:w="945" w:type="dxa"/>
            <w:noWrap w:val="0"/>
            <w:vAlign w:val="center"/>
          </w:tcPr>
          <w:p>
            <w:pPr>
              <w:pStyle w:val="20"/>
              <w:spacing w:line="360" w:lineRule="auto"/>
              <w:ind w:firstLine="0"/>
              <w:rPr>
                <w:color w:val="auto"/>
                <w:sz w:val="21"/>
                <w:szCs w:val="21"/>
                <w:lang w:val="en-US" w:eastAsia="zh-CN"/>
              </w:rPr>
            </w:pPr>
          </w:p>
        </w:tc>
        <w:tc>
          <w:tcPr>
            <w:tcW w:w="945" w:type="dxa"/>
            <w:noWrap w:val="0"/>
            <w:vAlign w:val="center"/>
          </w:tcPr>
          <w:p>
            <w:pPr>
              <w:pStyle w:val="20"/>
              <w:spacing w:line="360" w:lineRule="auto"/>
              <w:ind w:firstLine="0"/>
              <w:rPr>
                <w:color w:val="auto"/>
                <w:sz w:val="21"/>
                <w:szCs w:val="21"/>
                <w:lang w:val="en-US" w:eastAsia="zh-CN"/>
              </w:rPr>
            </w:pPr>
          </w:p>
        </w:tc>
        <w:tc>
          <w:tcPr>
            <w:tcW w:w="945" w:type="dxa"/>
            <w:noWrap w:val="0"/>
            <w:vAlign w:val="center"/>
          </w:tcPr>
          <w:p>
            <w:pPr>
              <w:pStyle w:val="20"/>
              <w:spacing w:line="360" w:lineRule="auto"/>
              <w:ind w:firstLine="0"/>
              <w:rPr>
                <w:color w:val="auto"/>
                <w:sz w:val="21"/>
                <w:szCs w:val="21"/>
                <w:lang w:val="en-US" w:eastAsia="zh-CN"/>
              </w:rPr>
            </w:pPr>
          </w:p>
        </w:tc>
        <w:tc>
          <w:tcPr>
            <w:tcW w:w="1260" w:type="dxa"/>
            <w:noWrap w:val="0"/>
            <w:vAlign w:val="center"/>
          </w:tcPr>
          <w:p>
            <w:pPr>
              <w:pStyle w:val="20"/>
              <w:spacing w:line="360" w:lineRule="auto"/>
              <w:ind w:firstLine="0"/>
              <w:rPr>
                <w:color w:val="auto"/>
                <w:sz w:val="21"/>
                <w:szCs w:val="21"/>
                <w:lang w:val="en-US" w:eastAsia="zh-CN"/>
              </w:rPr>
            </w:pPr>
          </w:p>
        </w:tc>
        <w:tc>
          <w:tcPr>
            <w:tcW w:w="840" w:type="dxa"/>
            <w:noWrap w:val="0"/>
            <w:vAlign w:val="center"/>
          </w:tcPr>
          <w:p>
            <w:pPr>
              <w:pStyle w:val="20"/>
              <w:spacing w:line="360" w:lineRule="auto"/>
              <w:ind w:firstLine="0"/>
              <w:rPr>
                <w:color w:val="auto"/>
                <w:sz w:val="21"/>
                <w:szCs w:val="21"/>
                <w:lang w:val="en-US" w:eastAsia="zh-CN"/>
              </w:rPr>
            </w:pPr>
          </w:p>
        </w:tc>
        <w:tc>
          <w:tcPr>
            <w:tcW w:w="735" w:type="dxa"/>
            <w:noWrap w:val="0"/>
            <w:vAlign w:val="center"/>
          </w:tcPr>
          <w:p>
            <w:pPr>
              <w:pStyle w:val="20"/>
              <w:spacing w:line="360" w:lineRule="auto"/>
              <w:ind w:firstLine="0"/>
              <w:rPr>
                <w:color w:val="auto"/>
                <w:sz w:val="21"/>
                <w:szCs w:val="21"/>
                <w:lang w:val="en-US" w:eastAsia="zh-CN"/>
              </w:rPr>
            </w:pPr>
          </w:p>
        </w:tc>
        <w:tc>
          <w:tcPr>
            <w:tcW w:w="735" w:type="dxa"/>
            <w:noWrap w:val="0"/>
            <w:vAlign w:val="center"/>
          </w:tcPr>
          <w:p>
            <w:pPr>
              <w:pStyle w:val="20"/>
              <w:spacing w:line="360" w:lineRule="auto"/>
              <w:ind w:firstLine="0"/>
              <w:rPr>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0" w:hRule="atLeast"/>
        </w:trPr>
        <w:tc>
          <w:tcPr>
            <w:tcW w:w="14283" w:type="dxa"/>
            <w:gridSpan w:val="15"/>
            <w:noWrap w:val="0"/>
            <w:vAlign w:val="center"/>
          </w:tcPr>
          <w:p>
            <w:pPr>
              <w:pStyle w:val="20"/>
              <w:spacing w:line="360" w:lineRule="auto"/>
              <w:ind w:firstLine="0"/>
              <w:rPr>
                <w:color w:val="auto"/>
                <w:sz w:val="21"/>
                <w:szCs w:val="21"/>
                <w:lang w:val="en-US" w:eastAsia="zh-CN"/>
              </w:rPr>
            </w:pPr>
            <w:r>
              <w:rPr>
                <w:color w:val="auto"/>
                <w:sz w:val="21"/>
                <w:szCs w:val="21"/>
                <w:lang w:val="en-US" w:eastAsia="zh-CN"/>
              </w:rPr>
              <w:t>投标总价：</w:t>
            </w:r>
          </w:p>
        </w:tc>
      </w:tr>
    </w:tbl>
    <w:p>
      <w:pPr>
        <w:pStyle w:val="20"/>
        <w:spacing w:line="360" w:lineRule="auto"/>
        <w:ind w:firstLine="0"/>
        <w:rPr>
          <w:rFonts w:hint="eastAsia"/>
          <w:color w:val="auto"/>
          <w:sz w:val="21"/>
          <w:szCs w:val="21"/>
          <w:lang w:eastAsia="zh-CN"/>
        </w:rPr>
      </w:pPr>
      <w:r>
        <w:rPr>
          <w:color w:val="auto"/>
          <w:sz w:val="21"/>
          <w:szCs w:val="21"/>
        </w:rPr>
        <w:t>说明：</w:t>
      </w:r>
    </w:p>
    <w:p>
      <w:pPr>
        <w:pStyle w:val="20"/>
        <w:spacing w:line="360" w:lineRule="auto"/>
        <w:ind w:firstLine="0"/>
        <w:rPr>
          <w:rFonts w:hint="eastAsia"/>
          <w:color w:val="auto"/>
          <w:sz w:val="21"/>
          <w:szCs w:val="21"/>
          <w:lang w:eastAsia="zh-CN"/>
        </w:rPr>
      </w:pPr>
      <w:r>
        <w:rPr>
          <w:color w:val="auto"/>
          <w:sz w:val="21"/>
          <w:szCs w:val="21"/>
        </w:rPr>
        <w:t>1、项7＝项</w:t>
      </w:r>
      <w:r>
        <w:rPr>
          <w:rFonts w:hint="eastAsia"/>
          <w:color w:val="auto"/>
          <w:sz w:val="21"/>
          <w:szCs w:val="21"/>
        </w:rPr>
        <w:t>6</w:t>
      </w:r>
      <w:r>
        <w:rPr>
          <w:color w:val="auto"/>
          <w:sz w:val="21"/>
          <w:szCs w:val="21"/>
        </w:rPr>
        <w:t>×项</w:t>
      </w:r>
      <w:r>
        <w:rPr>
          <w:rFonts w:hint="eastAsia"/>
          <w:color w:val="auto"/>
          <w:sz w:val="21"/>
          <w:szCs w:val="21"/>
        </w:rPr>
        <w:t>3；</w:t>
      </w:r>
      <w:r>
        <w:rPr>
          <w:color w:val="auto"/>
          <w:sz w:val="21"/>
          <w:szCs w:val="21"/>
        </w:rPr>
        <w:t>项</w:t>
      </w:r>
      <w:r>
        <w:rPr>
          <w:rFonts w:hint="eastAsia"/>
          <w:color w:val="auto"/>
          <w:sz w:val="21"/>
          <w:szCs w:val="21"/>
        </w:rPr>
        <w:t>5</w:t>
      </w:r>
      <w:r>
        <w:rPr>
          <w:color w:val="auto"/>
          <w:sz w:val="21"/>
          <w:szCs w:val="21"/>
        </w:rPr>
        <w:t>＝项7+项</w:t>
      </w:r>
      <w:r>
        <w:rPr>
          <w:rFonts w:hint="eastAsia"/>
          <w:color w:val="auto"/>
          <w:sz w:val="21"/>
          <w:szCs w:val="21"/>
        </w:rPr>
        <w:t>8</w:t>
      </w:r>
      <w:r>
        <w:rPr>
          <w:color w:val="auto"/>
          <w:sz w:val="21"/>
          <w:szCs w:val="21"/>
        </w:rPr>
        <w:t>+项</w:t>
      </w:r>
      <w:r>
        <w:rPr>
          <w:rFonts w:hint="eastAsia"/>
          <w:color w:val="auto"/>
          <w:sz w:val="21"/>
          <w:szCs w:val="21"/>
        </w:rPr>
        <w:t>9</w:t>
      </w:r>
      <w:r>
        <w:rPr>
          <w:color w:val="auto"/>
          <w:sz w:val="21"/>
          <w:szCs w:val="21"/>
        </w:rPr>
        <w:t>+项</w:t>
      </w:r>
      <w:r>
        <w:rPr>
          <w:rFonts w:hint="eastAsia"/>
          <w:color w:val="auto"/>
          <w:sz w:val="21"/>
          <w:szCs w:val="21"/>
        </w:rPr>
        <w:t>10</w:t>
      </w:r>
      <w:r>
        <w:rPr>
          <w:color w:val="auto"/>
          <w:sz w:val="21"/>
          <w:szCs w:val="21"/>
        </w:rPr>
        <w:t>+项1</w:t>
      </w:r>
      <w:r>
        <w:rPr>
          <w:rFonts w:hint="eastAsia"/>
          <w:color w:val="auto"/>
          <w:sz w:val="21"/>
          <w:szCs w:val="21"/>
        </w:rPr>
        <w:t>1</w:t>
      </w:r>
      <w:r>
        <w:rPr>
          <w:color w:val="auto"/>
          <w:sz w:val="21"/>
          <w:szCs w:val="21"/>
        </w:rPr>
        <w:t>+项1</w:t>
      </w:r>
      <w:r>
        <w:rPr>
          <w:rFonts w:hint="eastAsia"/>
          <w:color w:val="auto"/>
          <w:sz w:val="21"/>
          <w:szCs w:val="21"/>
        </w:rPr>
        <w:t>2</w:t>
      </w:r>
      <w:r>
        <w:rPr>
          <w:color w:val="auto"/>
          <w:sz w:val="21"/>
          <w:szCs w:val="21"/>
        </w:rPr>
        <w:t xml:space="preserve"> +项1</w:t>
      </w:r>
      <w:r>
        <w:rPr>
          <w:rFonts w:hint="eastAsia"/>
          <w:color w:val="auto"/>
          <w:sz w:val="21"/>
          <w:szCs w:val="21"/>
        </w:rPr>
        <w:t>3</w:t>
      </w:r>
      <w:r>
        <w:rPr>
          <w:color w:val="auto"/>
          <w:sz w:val="21"/>
          <w:szCs w:val="21"/>
        </w:rPr>
        <w:t xml:space="preserve"> +项1</w:t>
      </w:r>
      <w:r>
        <w:rPr>
          <w:rFonts w:hint="eastAsia"/>
          <w:color w:val="auto"/>
          <w:sz w:val="21"/>
          <w:szCs w:val="21"/>
        </w:rPr>
        <w:t>4</w:t>
      </w:r>
      <w:r>
        <w:rPr>
          <w:color w:val="auto"/>
          <w:sz w:val="21"/>
          <w:szCs w:val="21"/>
        </w:rPr>
        <w:t xml:space="preserve"> </w:t>
      </w:r>
    </w:p>
    <w:p>
      <w:pPr>
        <w:snapToGrid w:val="0"/>
        <w:spacing w:before="50" w:after="50" w:line="360" w:lineRule="auto"/>
        <w:jc w:val="left"/>
        <w:rPr>
          <w:rFonts w:hint="eastAsia" w:ascii="宋体" w:hAnsi="宋体"/>
          <w:color w:val="auto"/>
          <w:szCs w:val="21"/>
        </w:rPr>
      </w:pPr>
      <w:r>
        <w:rPr>
          <w:rFonts w:hint="eastAsia"/>
          <w:color w:val="auto"/>
          <w:szCs w:val="21"/>
        </w:rPr>
        <w:t>2、</w:t>
      </w:r>
      <w:r>
        <w:rPr>
          <w:rFonts w:hint="eastAsia" w:ascii="宋体" w:hAnsi="宋体"/>
          <w:color w:val="auto"/>
          <w:szCs w:val="21"/>
        </w:rPr>
        <w:t>投标报价要求需符合投标人须知前附表中的第4条款要求。</w:t>
      </w:r>
    </w:p>
    <w:p>
      <w:pPr>
        <w:pStyle w:val="20"/>
        <w:spacing w:before="120" w:beforeLines="50" w:line="360" w:lineRule="auto"/>
        <w:ind w:firstLine="0"/>
        <w:rPr>
          <w:color w:val="auto"/>
          <w:sz w:val="21"/>
          <w:szCs w:val="21"/>
        </w:rPr>
      </w:pPr>
      <w:r>
        <w:rPr>
          <w:rFonts w:hint="eastAsia"/>
          <w:color w:val="auto"/>
          <w:sz w:val="21"/>
          <w:szCs w:val="21"/>
        </w:rPr>
        <w:t>投标人单位（盖公章）：</w:t>
      </w:r>
    </w:p>
    <w:p>
      <w:pPr>
        <w:pStyle w:val="20"/>
        <w:spacing w:before="120" w:beforeLines="50" w:line="360" w:lineRule="auto"/>
        <w:ind w:firstLine="0"/>
        <w:rPr>
          <w:rFonts w:hint="eastAsia"/>
          <w:color w:val="auto"/>
          <w:sz w:val="21"/>
          <w:szCs w:val="21"/>
          <w:lang w:eastAsia="zh-CN"/>
        </w:rPr>
      </w:pPr>
      <w:r>
        <w:rPr>
          <w:rFonts w:hint="eastAsia"/>
          <w:color w:val="auto"/>
          <w:sz w:val="21"/>
          <w:szCs w:val="21"/>
        </w:rPr>
        <w:t>法定代表人或被授权代表人（签字）：                                                                  日</w:t>
      </w:r>
      <w:r>
        <w:rPr>
          <w:color w:val="auto"/>
          <w:sz w:val="21"/>
          <w:szCs w:val="21"/>
        </w:rPr>
        <w:t xml:space="preserve">      </w:t>
      </w:r>
      <w:r>
        <w:rPr>
          <w:rFonts w:hint="eastAsia"/>
          <w:color w:val="auto"/>
          <w:sz w:val="21"/>
          <w:szCs w:val="21"/>
        </w:rPr>
        <w:t xml:space="preserve">期：  </w:t>
      </w:r>
    </w:p>
    <w:p>
      <w:pPr>
        <w:pStyle w:val="20"/>
        <w:spacing w:before="120" w:beforeLines="50" w:line="360" w:lineRule="auto"/>
        <w:ind w:firstLine="0"/>
        <w:rPr>
          <w:color w:val="auto"/>
          <w:lang w:eastAsia="zh-CN"/>
        </w:rPr>
        <w:sectPr>
          <w:pgSz w:w="16838" w:h="11906" w:orient="landscape"/>
          <w:pgMar w:top="1610" w:right="1440" w:bottom="1440" w:left="1440" w:header="851" w:footer="851" w:gutter="0"/>
          <w:cols w:space="720" w:num="1"/>
          <w:titlePg/>
          <w:docGrid w:linePitch="312" w:charSpace="0"/>
        </w:sectPr>
      </w:pPr>
    </w:p>
    <w:p>
      <w:pPr>
        <w:spacing w:line="360" w:lineRule="auto"/>
        <w:rPr>
          <w:rFonts w:hint="eastAsia" w:ascii="ˎ̥" w:hAnsi="ˎ̥" w:cs="宋体"/>
          <w:color w:val="auto"/>
          <w:kern w:val="0"/>
          <w:szCs w:val="21"/>
        </w:rPr>
      </w:pPr>
      <w:r>
        <w:rPr>
          <w:rFonts w:hint="eastAsia" w:ascii="ˎ̥" w:hAnsi="ˎ̥" w:cs="宋体"/>
          <w:color w:val="auto"/>
          <w:kern w:val="0"/>
          <w:szCs w:val="21"/>
        </w:rPr>
        <w:t>4）                             中小企业</w:t>
      </w:r>
      <w:r>
        <w:rPr>
          <w:rFonts w:ascii="ˎ̥" w:hAnsi="ˎ̥" w:cs="宋体"/>
          <w:color w:val="auto"/>
          <w:kern w:val="0"/>
          <w:szCs w:val="21"/>
        </w:rPr>
        <w:t>声明函</w:t>
      </w:r>
      <w:r>
        <w:rPr>
          <w:rFonts w:hint="eastAsia" w:ascii="ˎ̥" w:hAnsi="ˎ̥" w:cs="宋体"/>
          <w:color w:val="auto"/>
          <w:kern w:val="0"/>
          <w:szCs w:val="21"/>
        </w:rPr>
        <w:t>（</w:t>
      </w:r>
      <w:r>
        <w:rPr>
          <w:rFonts w:hint="eastAsia" w:ascii="宋体" w:hAnsi="宋体"/>
          <w:color w:val="auto"/>
          <w:szCs w:val="21"/>
        </w:rPr>
        <w:t>如符合要求，可提供</w:t>
      </w:r>
      <w:r>
        <w:rPr>
          <w:rFonts w:hint="eastAsia" w:ascii="ˎ̥" w:hAnsi="ˎ̥" w:cs="宋体"/>
          <w:color w:val="auto"/>
          <w:kern w:val="0"/>
          <w:szCs w:val="21"/>
        </w:rPr>
        <w:t>）</w:t>
      </w:r>
    </w:p>
    <w:p>
      <w:pPr>
        <w:widowControl/>
        <w:spacing w:before="100" w:beforeAutospacing="1" w:after="100" w:afterAutospacing="1" w:line="360" w:lineRule="auto"/>
        <w:jc w:val="left"/>
        <w:rPr>
          <w:rFonts w:ascii="ˎ̥" w:hAnsi="ˎ̥" w:cs="宋体"/>
          <w:color w:val="auto"/>
          <w:kern w:val="0"/>
          <w:szCs w:val="21"/>
        </w:rPr>
      </w:pPr>
      <w:r>
        <w:rPr>
          <w:rFonts w:ascii="ˎ̥" w:hAnsi="ˎ̥" w:cs="宋体"/>
          <w:color w:val="auto"/>
          <w:kern w:val="0"/>
          <w:szCs w:val="21"/>
        </w:rPr>
        <w:t> 　　根据</w:t>
      </w:r>
      <w:r>
        <w:rPr>
          <w:rFonts w:hint="eastAsia" w:ascii="ˎ̥" w:hAnsi="ˎ̥" w:cs="宋体"/>
          <w:color w:val="auto"/>
          <w:kern w:val="0"/>
          <w:szCs w:val="21"/>
        </w:rPr>
        <w:t>财政部</w:t>
      </w:r>
      <w:r>
        <w:rPr>
          <w:rFonts w:ascii="ˎ̥" w:hAnsi="ˎ̥" w:cs="宋体"/>
          <w:color w:val="auto"/>
          <w:kern w:val="0"/>
          <w:szCs w:val="21"/>
        </w:rPr>
        <w:t>《政府采购促进中小企业发展暂行办法》（财库[2011]181号）</w:t>
      </w:r>
      <w:r>
        <w:rPr>
          <w:rFonts w:hint="eastAsia" w:ascii="ˎ̥" w:hAnsi="ˎ̥" w:cs="宋体"/>
          <w:color w:val="auto"/>
          <w:kern w:val="0"/>
          <w:szCs w:val="21"/>
        </w:rPr>
        <w:t>和宁波市财政局《关于政府采购促进中小企业发展若干问题的通知》（甬采购办</w:t>
      </w:r>
      <w:r>
        <w:rPr>
          <w:rFonts w:ascii="ˎ̥" w:hAnsi="ˎ̥" w:cs="宋体"/>
          <w:color w:val="auto"/>
          <w:kern w:val="0"/>
          <w:szCs w:val="21"/>
        </w:rPr>
        <w:t>[201</w:t>
      </w:r>
      <w:r>
        <w:rPr>
          <w:rFonts w:hint="eastAsia" w:ascii="ˎ̥" w:hAnsi="ˎ̥" w:cs="宋体"/>
          <w:color w:val="auto"/>
          <w:kern w:val="0"/>
          <w:szCs w:val="21"/>
        </w:rPr>
        <w:t>2</w:t>
      </w:r>
      <w:r>
        <w:rPr>
          <w:rFonts w:ascii="ˎ̥" w:hAnsi="ˎ̥" w:cs="宋体"/>
          <w:color w:val="auto"/>
          <w:kern w:val="0"/>
          <w:szCs w:val="21"/>
        </w:rPr>
        <w:t>]</w:t>
      </w:r>
      <w:r>
        <w:rPr>
          <w:rFonts w:hint="eastAsia" w:ascii="ˎ̥" w:hAnsi="ˎ̥" w:cs="宋体"/>
          <w:color w:val="auto"/>
          <w:kern w:val="0"/>
          <w:szCs w:val="21"/>
        </w:rPr>
        <w:t>1427号）的</w:t>
      </w:r>
      <w:r>
        <w:rPr>
          <w:rFonts w:ascii="ˎ̥" w:hAnsi="ˎ̥" w:cs="宋体"/>
          <w:color w:val="auto"/>
          <w:kern w:val="0"/>
          <w:szCs w:val="21"/>
        </w:rPr>
        <w:t>规定，本</w:t>
      </w:r>
      <w:r>
        <w:rPr>
          <w:rFonts w:hint="eastAsia" w:ascii="ˎ̥" w:hAnsi="ˎ̥" w:cs="宋体"/>
          <w:color w:val="auto"/>
          <w:kern w:val="0"/>
          <w:szCs w:val="21"/>
        </w:rPr>
        <w:t>单位</w:t>
      </w:r>
      <w:r>
        <w:rPr>
          <w:rFonts w:ascii="ˎ̥" w:hAnsi="ˎ̥" w:cs="宋体"/>
          <w:color w:val="auto"/>
          <w:kern w:val="0"/>
          <w:szCs w:val="21"/>
        </w:rPr>
        <w:t>郑重声明：</w:t>
      </w:r>
    </w:p>
    <w:p>
      <w:pPr>
        <w:widowControl/>
        <w:spacing w:before="100" w:beforeAutospacing="1" w:after="100" w:afterAutospacing="1" w:line="360" w:lineRule="auto"/>
        <w:jc w:val="left"/>
        <w:rPr>
          <w:rFonts w:hint="eastAsia" w:ascii="ˎ̥" w:hAnsi="ˎ̥" w:cs="宋体"/>
          <w:color w:val="auto"/>
          <w:kern w:val="0"/>
          <w:szCs w:val="21"/>
        </w:rPr>
      </w:pPr>
      <w:r>
        <w:rPr>
          <w:rFonts w:ascii="ˎ̥" w:hAnsi="ˎ̥" w:cs="宋体"/>
          <w:color w:val="auto"/>
          <w:kern w:val="0"/>
          <w:szCs w:val="21"/>
        </w:rPr>
        <w:t>　　1.</w:t>
      </w:r>
      <w:r>
        <w:rPr>
          <w:rFonts w:hint="eastAsia" w:ascii="ˎ̥" w:hAnsi="ˎ̥" w:cs="宋体"/>
          <w:color w:val="auto"/>
          <w:kern w:val="0"/>
          <w:szCs w:val="21"/>
        </w:rPr>
        <w:t>依据</w:t>
      </w:r>
      <w:r>
        <w:rPr>
          <w:rFonts w:ascii="ˎ̥" w:hAnsi="ˎ̥" w:cs="宋体"/>
          <w:color w:val="auto"/>
          <w:kern w:val="0"/>
          <w:szCs w:val="21"/>
        </w:rPr>
        <w:t>工业和信息化部、国家统计局、国家发展和改革委员会、财政部《关于印发中小企业划型标准规定的通知》（工信部联企业[2011]300号）规定的划分标准，本</w:t>
      </w:r>
      <w:r>
        <w:rPr>
          <w:rFonts w:hint="eastAsia" w:ascii="ˎ̥" w:hAnsi="ˎ̥" w:cs="宋体"/>
          <w:color w:val="auto"/>
          <w:kern w:val="0"/>
          <w:szCs w:val="21"/>
        </w:rPr>
        <w:t>单位</w:t>
      </w:r>
      <w:r>
        <w:rPr>
          <w:rFonts w:ascii="ˎ̥" w:hAnsi="ˎ̥" w:cs="宋体"/>
          <w:color w:val="auto"/>
          <w:kern w:val="0"/>
          <w:szCs w:val="21"/>
        </w:rPr>
        <w:t>为______（</w:t>
      </w:r>
      <w:r>
        <w:rPr>
          <w:rFonts w:hint="eastAsia" w:ascii="ˎ̥" w:hAnsi="ˎ̥" w:cs="宋体"/>
          <w:color w:val="auto"/>
          <w:kern w:val="0"/>
          <w:szCs w:val="21"/>
        </w:rPr>
        <w:t>大型、</w:t>
      </w:r>
      <w:r>
        <w:rPr>
          <w:rFonts w:ascii="ˎ̥" w:hAnsi="ˎ̥" w:cs="宋体"/>
          <w:color w:val="auto"/>
          <w:kern w:val="0"/>
          <w:szCs w:val="21"/>
        </w:rPr>
        <w:t>中型、小型、微型</w:t>
      </w:r>
      <w:r>
        <w:rPr>
          <w:rFonts w:hint="eastAsia" w:ascii="ˎ̥" w:hAnsi="ˎ̥" w:cs="宋体"/>
          <w:color w:val="auto"/>
          <w:kern w:val="0"/>
          <w:szCs w:val="21"/>
        </w:rPr>
        <w:t>、不划型</w:t>
      </w:r>
      <w:r>
        <w:rPr>
          <w:rFonts w:ascii="ˎ̥" w:hAnsi="ˎ̥" w:cs="宋体"/>
          <w:color w:val="auto"/>
          <w:kern w:val="0"/>
          <w:szCs w:val="21"/>
        </w:rPr>
        <w:t>）企业</w:t>
      </w:r>
      <w:r>
        <w:rPr>
          <w:rFonts w:hint="eastAsia" w:ascii="ˎ̥" w:hAnsi="ˎ̥" w:cs="宋体"/>
          <w:color w:val="auto"/>
          <w:kern w:val="0"/>
          <w:szCs w:val="21"/>
        </w:rPr>
        <w:t>，其中所属行业为</w:t>
      </w:r>
      <w:r>
        <w:rPr>
          <w:rFonts w:ascii="ˎ̥" w:hAnsi="ˎ̥" w:cs="宋体"/>
          <w:color w:val="auto"/>
          <w:kern w:val="0"/>
          <w:szCs w:val="21"/>
        </w:rPr>
        <w:t>________________</w:t>
      </w:r>
      <w:r>
        <w:rPr>
          <w:rFonts w:hint="eastAsia" w:ascii="ˎ̥" w:hAnsi="ˎ̥" w:cs="宋体"/>
          <w:color w:val="auto"/>
          <w:kern w:val="0"/>
          <w:szCs w:val="21"/>
        </w:rPr>
        <w:t>、上年末从业人员</w:t>
      </w:r>
      <w:r>
        <w:rPr>
          <w:rFonts w:ascii="ˎ̥" w:hAnsi="ˎ̥" w:cs="宋体"/>
          <w:color w:val="auto"/>
          <w:kern w:val="0"/>
          <w:szCs w:val="21"/>
        </w:rPr>
        <w:t>____</w:t>
      </w:r>
      <w:r>
        <w:rPr>
          <w:rFonts w:hint="eastAsia" w:ascii="ˎ̥" w:hAnsi="ˎ̥" w:cs="宋体"/>
          <w:color w:val="auto"/>
          <w:kern w:val="0"/>
          <w:szCs w:val="21"/>
        </w:rPr>
        <w:t>人、上年营业收入</w:t>
      </w:r>
      <w:r>
        <w:rPr>
          <w:rFonts w:ascii="ˎ̥" w:hAnsi="ˎ̥" w:cs="宋体"/>
          <w:color w:val="auto"/>
          <w:kern w:val="0"/>
          <w:szCs w:val="21"/>
        </w:rPr>
        <w:t>____</w:t>
      </w:r>
      <w:r>
        <w:rPr>
          <w:rFonts w:hint="eastAsia" w:ascii="ˎ̥" w:hAnsi="ˎ̥" w:cs="宋体"/>
          <w:color w:val="auto"/>
          <w:kern w:val="0"/>
          <w:szCs w:val="21"/>
        </w:rPr>
        <w:t>万元、上年资产总额</w:t>
      </w:r>
      <w:r>
        <w:rPr>
          <w:rFonts w:ascii="ˎ̥" w:hAnsi="ˎ̥" w:cs="宋体"/>
          <w:color w:val="auto"/>
          <w:kern w:val="0"/>
          <w:szCs w:val="21"/>
        </w:rPr>
        <w:t>____</w:t>
      </w:r>
      <w:r>
        <w:rPr>
          <w:rFonts w:hint="eastAsia" w:ascii="ˎ̥" w:hAnsi="ˎ̥" w:cs="宋体"/>
          <w:color w:val="auto"/>
          <w:kern w:val="0"/>
          <w:szCs w:val="21"/>
        </w:rPr>
        <w:t>万元。</w:t>
      </w:r>
    </w:p>
    <w:p>
      <w:pPr>
        <w:widowControl/>
        <w:spacing w:before="100" w:beforeAutospacing="1" w:after="100" w:afterAutospacing="1" w:line="360" w:lineRule="auto"/>
        <w:jc w:val="left"/>
        <w:rPr>
          <w:rFonts w:hint="eastAsia" w:ascii="ˎ̥" w:hAnsi="ˎ̥" w:cs="宋体"/>
          <w:color w:val="auto"/>
          <w:kern w:val="0"/>
          <w:szCs w:val="21"/>
        </w:rPr>
      </w:pPr>
      <w:r>
        <w:rPr>
          <w:rFonts w:ascii="ˎ̥" w:hAnsi="ˎ̥" w:cs="宋体"/>
          <w:color w:val="auto"/>
          <w:kern w:val="0"/>
          <w:szCs w:val="21"/>
        </w:rPr>
        <w:t>　　2.本</w:t>
      </w:r>
      <w:r>
        <w:rPr>
          <w:rFonts w:hint="eastAsia" w:ascii="ˎ̥" w:hAnsi="ˎ̥" w:cs="宋体"/>
          <w:color w:val="auto"/>
          <w:kern w:val="0"/>
          <w:szCs w:val="21"/>
        </w:rPr>
        <w:t>单位</w:t>
      </w:r>
      <w:r>
        <w:rPr>
          <w:rFonts w:ascii="ˎ̥" w:hAnsi="ˎ̥" w:cs="宋体"/>
          <w:color w:val="auto"/>
          <w:kern w:val="0"/>
          <w:szCs w:val="21"/>
        </w:rPr>
        <w:t>参加______项目</w:t>
      </w:r>
      <w:r>
        <w:rPr>
          <w:rFonts w:hint="eastAsia" w:ascii="ˎ̥" w:hAnsi="ˎ̥" w:cs="宋体"/>
          <w:color w:val="auto"/>
          <w:kern w:val="0"/>
          <w:szCs w:val="21"/>
        </w:rPr>
        <w:t>（项目编号</w:t>
      </w:r>
      <w:r>
        <w:rPr>
          <w:rFonts w:ascii="ˎ̥" w:hAnsi="ˎ̥" w:cs="宋体"/>
          <w:color w:val="auto"/>
          <w:kern w:val="0"/>
          <w:szCs w:val="21"/>
        </w:rPr>
        <w:t>______</w:t>
      </w:r>
      <w:r>
        <w:rPr>
          <w:rFonts w:hint="eastAsia" w:ascii="ˎ̥" w:hAnsi="ˎ̥" w:cs="宋体"/>
          <w:color w:val="auto"/>
          <w:kern w:val="0"/>
          <w:szCs w:val="21"/>
        </w:rPr>
        <w:t>子包</w:t>
      </w:r>
      <w:r>
        <w:rPr>
          <w:rFonts w:ascii="ˎ̥" w:hAnsi="ˎ̥" w:cs="宋体"/>
          <w:color w:val="auto"/>
          <w:kern w:val="0"/>
          <w:szCs w:val="21"/>
        </w:rPr>
        <w:t>______</w:t>
      </w:r>
      <w:r>
        <w:rPr>
          <w:rFonts w:hint="eastAsia" w:ascii="ˎ̥" w:hAnsi="ˎ̥" w:cs="宋体"/>
          <w:color w:val="auto"/>
          <w:kern w:val="0"/>
          <w:szCs w:val="21"/>
        </w:rPr>
        <w:t>）</w:t>
      </w:r>
      <w:r>
        <w:rPr>
          <w:rFonts w:ascii="ˎ̥" w:hAnsi="ˎ̥" w:cs="宋体"/>
          <w:color w:val="auto"/>
          <w:kern w:val="0"/>
          <w:szCs w:val="21"/>
        </w:rPr>
        <w:t>采购活动</w:t>
      </w:r>
      <w:r>
        <w:rPr>
          <w:rFonts w:hint="eastAsia" w:ascii="ˎ̥" w:hAnsi="ˎ̥" w:cs="宋体"/>
          <w:color w:val="auto"/>
          <w:kern w:val="0"/>
          <w:szCs w:val="21"/>
        </w:rPr>
        <w:t>，项目的市场价格为</w:t>
      </w:r>
      <w:r>
        <w:rPr>
          <w:rFonts w:ascii="ˎ̥" w:hAnsi="ˎ̥" w:cs="宋体"/>
          <w:color w:val="auto"/>
          <w:kern w:val="0"/>
          <w:szCs w:val="21"/>
        </w:rPr>
        <w:t>_____</w:t>
      </w:r>
      <w:r>
        <w:rPr>
          <w:rFonts w:hint="eastAsia" w:ascii="ˎ̥" w:hAnsi="ˎ̥" w:cs="宋体"/>
          <w:color w:val="auto"/>
          <w:kern w:val="0"/>
          <w:szCs w:val="21"/>
        </w:rPr>
        <w:t>万元，本次投标价格为</w:t>
      </w:r>
      <w:r>
        <w:rPr>
          <w:rFonts w:ascii="ˎ̥" w:hAnsi="ˎ̥" w:cs="宋体"/>
          <w:color w:val="auto"/>
          <w:kern w:val="0"/>
          <w:szCs w:val="21"/>
        </w:rPr>
        <w:t>_____</w:t>
      </w:r>
      <w:r>
        <w:rPr>
          <w:rFonts w:hint="eastAsia" w:ascii="ˎ̥" w:hAnsi="ˎ̥" w:cs="宋体"/>
          <w:color w:val="auto"/>
          <w:kern w:val="0"/>
          <w:szCs w:val="21"/>
        </w:rPr>
        <w:t>万元，其中</w:t>
      </w:r>
      <w:r>
        <w:rPr>
          <w:rFonts w:ascii="ˎ̥" w:hAnsi="ˎ̥" w:cs="宋体"/>
          <w:color w:val="auto"/>
          <w:kern w:val="0"/>
          <w:szCs w:val="21"/>
        </w:rPr>
        <w:t>由本</w:t>
      </w:r>
      <w:r>
        <w:rPr>
          <w:rFonts w:hint="eastAsia" w:ascii="ˎ̥" w:hAnsi="ˎ̥" w:cs="宋体"/>
          <w:color w:val="auto"/>
          <w:kern w:val="0"/>
          <w:szCs w:val="21"/>
        </w:rPr>
        <w:t>单位</w:t>
      </w:r>
      <w:r>
        <w:rPr>
          <w:rFonts w:ascii="ˎ̥" w:hAnsi="ˎ̥" w:cs="宋体"/>
          <w:color w:val="auto"/>
          <w:kern w:val="0"/>
          <w:szCs w:val="21"/>
        </w:rPr>
        <w:t>提供服务</w:t>
      </w:r>
      <w:r>
        <w:rPr>
          <w:rFonts w:hint="eastAsia" w:ascii="ˎ̥" w:hAnsi="ˎ̥" w:cs="宋体"/>
          <w:color w:val="auto"/>
          <w:kern w:val="0"/>
          <w:szCs w:val="21"/>
        </w:rPr>
        <w:t>金额为</w:t>
      </w:r>
      <w:r>
        <w:rPr>
          <w:rFonts w:ascii="ˎ̥" w:hAnsi="ˎ̥" w:cs="宋体"/>
          <w:color w:val="auto"/>
          <w:kern w:val="0"/>
          <w:szCs w:val="21"/>
        </w:rPr>
        <w:t>_____</w:t>
      </w:r>
      <w:r>
        <w:rPr>
          <w:rFonts w:hint="eastAsia" w:ascii="ˎ̥" w:hAnsi="ˎ̥" w:cs="宋体"/>
          <w:color w:val="auto"/>
          <w:kern w:val="0"/>
          <w:szCs w:val="21"/>
        </w:rPr>
        <w:t>万元，</w:t>
      </w:r>
      <w:r>
        <w:rPr>
          <w:rFonts w:ascii="ˎ̥" w:hAnsi="ˎ̥" w:cs="宋体"/>
          <w:color w:val="auto"/>
          <w:kern w:val="0"/>
          <w:szCs w:val="21"/>
        </w:rPr>
        <w:t>提供本</w:t>
      </w:r>
      <w:r>
        <w:rPr>
          <w:rFonts w:hint="eastAsia" w:ascii="ˎ̥" w:hAnsi="ˎ̥" w:cs="宋体"/>
          <w:color w:val="auto"/>
          <w:kern w:val="0"/>
          <w:szCs w:val="21"/>
        </w:rPr>
        <w:t>单位</w:t>
      </w:r>
      <w:r>
        <w:rPr>
          <w:rFonts w:ascii="ˎ̥" w:hAnsi="ˎ̥" w:cs="宋体"/>
          <w:color w:val="auto"/>
          <w:kern w:val="0"/>
          <w:szCs w:val="21"/>
        </w:rPr>
        <w:t>制造的货物</w:t>
      </w:r>
      <w:r>
        <w:rPr>
          <w:rFonts w:hint="eastAsia" w:ascii="ˎ̥" w:hAnsi="ˎ̥" w:cs="宋体"/>
          <w:color w:val="auto"/>
          <w:kern w:val="0"/>
          <w:szCs w:val="21"/>
        </w:rPr>
        <w:t>金额为</w:t>
      </w:r>
      <w:r>
        <w:rPr>
          <w:rFonts w:ascii="ˎ̥" w:hAnsi="ˎ̥" w:cs="宋体"/>
          <w:color w:val="auto"/>
          <w:kern w:val="0"/>
          <w:szCs w:val="21"/>
        </w:rPr>
        <w:t>_____</w:t>
      </w:r>
      <w:r>
        <w:rPr>
          <w:rFonts w:hint="eastAsia" w:ascii="ˎ̥" w:hAnsi="ˎ̥" w:cs="宋体"/>
          <w:color w:val="auto"/>
          <w:kern w:val="0"/>
          <w:szCs w:val="21"/>
        </w:rPr>
        <w:t>万元，</w:t>
      </w:r>
      <w:r>
        <w:rPr>
          <w:rFonts w:ascii="ˎ̥" w:hAnsi="ˎ̥" w:cs="宋体"/>
          <w:color w:val="auto"/>
          <w:kern w:val="0"/>
          <w:szCs w:val="21"/>
        </w:rPr>
        <w:t>或者提供其他</w:t>
      </w:r>
      <w:r>
        <w:rPr>
          <w:rFonts w:hint="eastAsia" w:ascii="ˎ̥" w:hAnsi="ˎ̥" w:cs="宋体"/>
          <w:color w:val="auto"/>
          <w:kern w:val="0"/>
          <w:szCs w:val="21"/>
        </w:rPr>
        <w:t>大型</w:t>
      </w:r>
      <w:r>
        <w:rPr>
          <w:rFonts w:ascii="ˎ̥" w:hAnsi="ˎ̥" w:cs="宋体"/>
          <w:color w:val="auto"/>
          <w:kern w:val="0"/>
          <w:szCs w:val="21"/>
        </w:rPr>
        <w:t>企业制造的货物</w:t>
      </w:r>
      <w:r>
        <w:rPr>
          <w:rFonts w:hint="eastAsia" w:ascii="ˎ̥" w:hAnsi="ˎ̥" w:cs="宋体"/>
          <w:color w:val="auto"/>
          <w:kern w:val="0"/>
          <w:szCs w:val="21"/>
        </w:rPr>
        <w:t>金额为</w:t>
      </w:r>
      <w:r>
        <w:rPr>
          <w:rFonts w:ascii="ˎ̥" w:hAnsi="ˎ̥" w:cs="宋体"/>
          <w:color w:val="auto"/>
          <w:kern w:val="0"/>
          <w:szCs w:val="21"/>
        </w:rPr>
        <w:t>_____</w:t>
      </w:r>
      <w:r>
        <w:rPr>
          <w:rFonts w:hint="eastAsia" w:ascii="ˎ̥" w:hAnsi="ˎ̥" w:cs="宋体"/>
          <w:color w:val="auto"/>
          <w:kern w:val="0"/>
          <w:szCs w:val="21"/>
        </w:rPr>
        <w:t>万元、</w:t>
      </w:r>
      <w:r>
        <w:rPr>
          <w:rFonts w:ascii="ˎ̥" w:hAnsi="ˎ̥" w:cs="宋体"/>
          <w:color w:val="auto"/>
          <w:kern w:val="0"/>
          <w:szCs w:val="21"/>
        </w:rPr>
        <w:t>其他中型企业制造的货物</w:t>
      </w:r>
      <w:r>
        <w:rPr>
          <w:rFonts w:hint="eastAsia" w:ascii="ˎ̥" w:hAnsi="ˎ̥" w:cs="宋体"/>
          <w:color w:val="auto"/>
          <w:kern w:val="0"/>
          <w:szCs w:val="21"/>
        </w:rPr>
        <w:t>金额为</w:t>
      </w:r>
      <w:r>
        <w:rPr>
          <w:rFonts w:ascii="ˎ̥" w:hAnsi="ˎ̥" w:cs="宋体"/>
          <w:color w:val="auto"/>
          <w:kern w:val="0"/>
          <w:szCs w:val="21"/>
        </w:rPr>
        <w:t>_____</w:t>
      </w:r>
      <w:r>
        <w:rPr>
          <w:rFonts w:hint="eastAsia" w:ascii="ˎ̥" w:hAnsi="ˎ̥" w:cs="宋体"/>
          <w:color w:val="auto"/>
          <w:kern w:val="0"/>
          <w:szCs w:val="21"/>
        </w:rPr>
        <w:t>万元、</w:t>
      </w:r>
      <w:r>
        <w:rPr>
          <w:rFonts w:ascii="ˎ̥" w:hAnsi="ˎ̥" w:cs="宋体"/>
          <w:color w:val="auto"/>
          <w:kern w:val="0"/>
          <w:szCs w:val="21"/>
        </w:rPr>
        <w:t>其他小型企业制造的货物</w:t>
      </w:r>
      <w:r>
        <w:rPr>
          <w:rFonts w:hint="eastAsia" w:ascii="ˎ̥" w:hAnsi="ˎ̥" w:cs="宋体"/>
          <w:color w:val="auto"/>
          <w:kern w:val="0"/>
          <w:szCs w:val="21"/>
        </w:rPr>
        <w:t>金额为</w:t>
      </w:r>
      <w:r>
        <w:rPr>
          <w:rFonts w:ascii="ˎ̥" w:hAnsi="ˎ̥" w:cs="宋体"/>
          <w:color w:val="auto"/>
          <w:kern w:val="0"/>
          <w:szCs w:val="21"/>
        </w:rPr>
        <w:t>_____</w:t>
      </w:r>
      <w:r>
        <w:rPr>
          <w:rFonts w:hint="eastAsia" w:ascii="ˎ̥" w:hAnsi="ˎ̥" w:cs="宋体"/>
          <w:color w:val="auto"/>
          <w:kern w:val="0"/>
          <w:szCs w:val="21"/>
        </w:rPr>
        <w:t>万元、</w:t>
      </w:r>
      <w:r>
        <w:rPr>
          <w:rFonts w:ascii="ˎ̥" w:hAnsi="ˎ̥" w:cs="宋体"/>
          <w:color w:val="auto"/>
          <w:kern w:val="0"/>
          <w:szCs w:val="21"/>
        </w:rPr>
        <w:t>其他微型企业制造的货物</w:t>
      </w:r>
      <w:r>
        <w:rPr>
          <w:rFonts w:hint="eastAsia" w:ascii="ˎ̥" w:hAnsi="ˎ̥" w:cs="宋体"/>
          <w:color w:val="auto"/>
          <w:kern w:val="0"/>
          <w:szCs w:val="21"/>
        </w:rPr>
        <w:t>金额为</w:t>
      </w:r>
      <w:r>
        <w:rPr>
          <w:rFonts w:ascii="ˎ̥" w:hAnsi="ˎ̥" w:cs="宋体"/>
          <w:color w:val="auto"/>
          <w:kern w:val="0"/>
          <w:szCs w:val="21"/>
        </w:rPr>
        <w:t>_____</w:t>
      </w:r>
      <w:r>
        <w:rPr>
          <w:rFonts w:hint="eastAsia" w:ascii="ˎ̥" w:hAnsi="ˎ̥" w:cs="宋体"/>
          <w:color w:val="auto"/>
          <w:kern w:val="0"/>
          <w:szCs w:val="21"/>
        </w:rPr>
        <w:t>万元。原产地为中国境内货物金额为</w:t>
      </w:r>
      <w:r>
        <w:rPr>
          <w:rFonts w:ascii="ˎ̥" w:hAnsi="ˎ̥" w:cs="宋体"/>
          <w:color w:val="auto"/>
          <w:kern w:val="0"/>
          <w:szCs w:val="21"/>
        </w:rPr>
        <w:t>_____</w:t>
      </w:r>
      <w:r>
        <w:rPr>
          <w:rFonts w:hint="eastAsia" w:ascii="ˎ̥" w:hAnsi="ˎ̥" w:cs="宋体"/>
          <w:color w:val="auto"/>
          <w:kern w:val="0"/>
          <w:szCs w:val="21"/>
        </w:rPr>
        <w:t>万元、原产地为宁波货物金额为</w:t>
      </w:r>
      <w:r>
        <w:rPr>
          <w:rFonts w:ascii="ˎ̥" w:hAnsi="ˎ̥" w:cs="宋体"/>
          <w:color w:val="auto"/>
          <w:kern w:val="0"/>
          <w:szCs w:val="21"/>
        </w:rPr>
        <w:t>_____</w:t>
      </w:r>
      <w:r>
        <w:rPr>
          <w:rFonts w:hint="eastAsia" w:ascii="ˎ̥" w:hAnsi="ˎ̥" w:cs="宋体"/>
          <w:color w:val="auto"/>
          <w:kern w:val="0"/>
          <w:szCs w:val="21"/>
        </w:rPr>
        <w:t>万元</w:t>
      </w:r>
      <w:r>
        <w:rPr>
          <w:rFonts w:ascii="ˎ̥" w:hAnsi="ˎ̥" w:cs="宋体"/>
          <w:color w:val="auto"/>
          <w:kern w:val="0"/>
          <w:szCs w:val="21"/>
        </w:rPr>
        <w:t>。</w:t>
      </w:r>
    </w:p>
    <w:p>
      <w:pPr>
        <w:widowControl/>
        <w:spacing w:before="100" w:beforeAutospacing="1" w:after="100" w:afterAutospacing="1" w:line="360" w:lineRule="auto"/>
        <w:jc w:val="left"/>
        <w:rPr>
          <w:rFonts w:ascii="ˎ̥" w:hAnsi="ˎ̥" w:cs="宋体"/>
          <w:color w:val="auto"/>
          <w:kern w:val="0"/>
          <w:szCs w:val="21"/>
        </w:rPr>
      </w:pPr>
      <w:r>
        <w:rPr>
          <w:rFonts w:ascii="ˎ̥" w:hAnsi="ˎ̥" w:cs="宋体"/>
          <w:color w:val="auto"/>
          <w:kern w:val="0"/>
          <w:szCs w:val="21"/>
        </w:rPr>
        <w:t>　　本</w:t>
      </w:r>
      <w:r>
        <w:rPr>
          <w:rFonts w:hint="eastAsia" w:ascii="ˎ̥" w:hAnsi="ˎ̥" w:cs="宋体"/>
          <w:color w:val="auto"/>
          <w:kern w:val="0"/>
          <w:szCs w:val="21"/>
        </w:rPr>
        <w:t>单位</w:t>
      </w:r>
      <w:r>
        <w:rPr>
          <w:rFonts w:ascii="ˎ̥" w:hAnsi="ˎ̥" w:cs="宋体"/>
          <w:color w:val="auto"/>
          <w:kern w:val="0"/>
          <w:szCs w:val="21"/>
        </w:rPr>
        <w:t>对上述声明的真实性负责。如有虚假，将依法承担相应责任。</w:t>
      </w:r>
    </w:p>
    <w:p>
      <w:pPr>
        <w:widowControl/>
        <w:spacing w:before="100" w:beforeAutospacing="1" w:after="100" w:afterAutospacing="1" w:line="360" w:lineRule="auto"/>
        <w:jc w:val="left"/>
        <w:rPr>
          <w:rFonts w:ascii="ˎ̥" w:hAnsi="ˎ̥" w:cs="宋体"/>
          <w:color w:val="auto"/>
          <w:kern w:val="0"/>
          <w:szCs w:val="21"/>
        </w:rPr>
      </w:pPr>
      <w:r>
        <w:rPr>
          <w:rFonts w:ascii="ˎ̥" w:hAnsi="ˎ̥" w:cs="宋体"/>
          <w:color w:val="auto"/>
          <w:kern w:val="0"/>
          <w:szCs w:val="21"/>
        </w:rPr>
        <w:t> </w:t>
      </w:r>
    </w:p>
    <w:p>
      <w:pPr>
        <w:spacing w:line="400" w:lineRule="exact"/>
        <w:jc w:val="center"/>
        <w:rPr>
          <w:rFonts w:hint="eastAsia" w:ascii="宋体" w:hAnsi="宋体"/>
          <w:color w:val="auto"/>
          <w:szCs w:val="21"/>
        </w:rPr>
      </w:pPr>
      <w:r>
        <w:rPr>
          <w:rFonts w:ascii="ˎ̥" w:hAnsi="ˎ̥" w:cs="宋体"/>
          <w:color w:val="auto"/>
          <w:kern w:val="0"/>
          <w:szCs w:val="21"/>
        </w:rPr>
        <w:t>　　</w:t>
      </w:r>
      <w:r>
        <w:rPr>
          <w:rFonts w:hint="eastAsia" w:ascii="ˎ̥" w:hAnsi="ˎ̥" w:cs="宋体"/>
          <w:color w:val="auto"/>
          <w:kern w:val="0"/>
          <w:szCs w:val="21"/>
        </w:rPr>
        <w:t>投标人</w:t>
      </w:r>
      <w:r>
        <w:rPr>
          <w:rFonts w:ascii="ˎ̥" w:hAnsi="ˎ̥" w:cs="宋体"/>
          <w:color w:val="auto"/>
          <w:kern w:val="0"/>
          <w:szCs w:val="21"/>
        </w:rPr>
        <w:t>名称（盖章）：</w:t>
      </w:r>
      <w:r>
        <w:rPr>
          <w:rFonts w:hint="eastAsia" w:ascii="ˎ̥" w:hAnsi="ˎ̥" w:cs="宋体"/>
          <w:color w:val="auto"/>
          <w:kern w:val="0"/>
          <w:szCs w:val="21"/>
          <w:u w:val="single"/>
        </w:rPr>
        <w:t xml:space="preserve">        </w:t>
      </w:r>
    </w:p>
    <w:p>
      <w:pPr>
        <w:spacing w:line="400" w:lineRule="exact"/>
        <w:jc w:val="center"/>
        <w:rPr>
          <w:rFonts w:hint="eastAsia" w:ascii="宋体" w:hAnsi="宋体"/>
          <w:color w:val="auto"/>
          <w:szCs w:val="21"/>
        </w:rPr>
      </w:pPr>
    </w:p>
    <w:p>
      <w:pPr>
        <w:spacing w:line="400" w:lineRule="exact"/>
        <w:jc w:val="center"/>
        <w:rPr>
          <w:rFonts w:hint="eastAsia" w:ascii="宋体" w:hAnsi="宋体"/>
          <w:color w:val="auto"/>
          <w:szCs w:val="21"/>
        </w:rPr>
      </w:pPr>
    </w:p>
    <w:p>
      <w:pPr>
        <w:spacing w:line="400" w:lineRule="exact"/>
        <w:rPr>
          <w:rFonts w:hint="eastAsia" w:ascii="宋体" w:hAnsi="宋体"/>
          <w:color w:val="auto"/>
          <w:szCs w:val="21"/>
        </w:rPr>
      </w:pPr>
      <w:r>
        <w:rPr>
          <w:rFonts w:hint="eastAsia" w:ascii="宋体" w:hAnsi="宋体"/>
          <w:color w:val="auto"/>
          <w:szCs w:val="21"/>
        </w:rPr>
        <w:t>注意：</w:t>
      </w:r>
    </w:p>
    <w:p>
      <w:pPr>
        <w:spacing w:line="400" w:lineRule="exact"/>
        <w:rPr>
          <w:rFonts w:hint="eastAsia" w:ascii="宋体" w:hAnsi="宋体"/>
          <w:color w:val="auto"/>
          <w:szCs w:val="21"/>
        </w:rPr>
      </w:pPr>
      <w:r>
        <w:rPr>
          <w:rFonts w:hint="eastAsia" w:ascii="宋体" w:hAnsi="宋体"/>
          <w:color w:val="auto"/>
          <w:szCs w:val="21"/>
        </w:rPr>
        <w:t>1、如果相关当事人对中标人有异议的，中标人应当向</w:t>
      </w:r>
      <w:r>
        <w:rPr>
          <w:rFonts w:hint="eastAsia" w:hAnsi="宋体"/>
          <w:bCs/>
          <w:color w:val="auto"/>
          <w:szCs w:val="21"/>
        </w:rPr>
        <w:t>采购人、代理机构、政府采购监督管理部门</w:t>
      </w:r>
      <w:r>
        <w:rPr>
          <w:rFonts w:hint="eastAsia" w:ascii="宋体" w:hAnsi="宋体"/>
          <w:color w:val="auto"/>
          <w:szCs w:val="21"/>
        </w:rPr>
        <w:t>提供由第三方机构审计确认的财务会计报告和社保部门提供的年度社会保障基金缴纳清单，或者相关行业主管部门出具的“小微企业”资格确认证明。</w:t>
      </w:r>
    </w:p>
    <w:p>
      <w:pPr>
        <w:spacing w:line="400" w:lineRule="exact"/>
        <w:rPr>
          <w:rFonts w:hint="eastAsia" w:ascii="宋体" w:hAnsi="宋体"/>
          <w:color w:val="auto"/>
          <w:szCs w:val="21"/>
        </w:rPr>
      </w:pPr>
      <w:r>
        <w:rPr>
          <w:rFonts w:hint="eastAsia" w:ascii="宋体" w:hAnsi="宋体"/>
          <w:color w:val="auto"/>
          <w:szCs w:val="21"/>
        </w:rPr>
        <w:t>2、生产商划型根据</w:t>
      </w:r>
      <w:r>
        <w:rPr>
          <w:rFonts w:ascii="宋体" w:hAnsi="宋体"/>
          <w:color w:val="auto"/>
          <w:szCs w:val="21"/>
        </w:rPr>
        <w:t>工信部联企业[2011]300号</w:t>
      </w:r>
      <w:r>
        <w:rPr>
          <w:rFonts w:hint="eastAsia" w:ascii="宋体" w:hAnsi="宋体"/>
          <w:color w:val="auto"/>
          <w:szCs w:val="21"/>
        </w:rPr>
        <w:t>文件规定。</w:t>
      </w:r>
    </w:p>
    <w:p>
      <w:pPr>
        <w:spacing w:line="400" w:lineRule="exact"/>
        <w:jc w:val="center"/>
        <w:rPr>
          <w:rFonts w:hint="eastAsia" w:ascii="宋体" w:hAnsi="宋体"/>
          <w:color w:val="auto"/>
          <w:szCs w:val="21"/>
        </w:rPr>
      </w:pPr>
    </w:p>
    <w:p>
      <w:pPr>
        <w:spacing w:line="400" w:lineRule="exact"/>
        <w:jc w:val="center"/>
        <w:rPr>
          <w:rFonts w:hint="eastAsia" w:ascii="宋体" w:hAnsi="宋体"/>
          <w:color w:val="auto"/>
          <w:szCs w:val="21"/>
        </w:rPr>
      </w:pPr>
    </w:p>
    <w:p>
      <w:pPr>
        <w:spacing w:line="400" w:lineRule="exact"/>
        <w:jc w:val="center"/>
        <w:rPr>
          <w:rFonts w:hint="eastAsia" w:ascii="宋体" w:hAnsi="宋体"/>
          <w:color w:val="auto"/>
          <w:szCs w:val="21"/>
        </w:rPr>
      </w:pPr>
    </w:p>
    <w:p>
      <w:pPr>
        <w:spacing w:line="400" w:lineRule="exact"/>
        <w:jc w:val="center"/>
        <w:rPr>
          <w:rFonts w:hint="eastAsia" w:ascii="宋体" w:hAnsi="宋体"/>
          <w:color w:val="auto"/>
          <w:szCs w:val="21"/>
        </w:rPr>
      </w:pPr>
    </w:p>
    <w:p>
      <w:pPr>
        <w:spacing w:line="400" w:lineRule="exact"/>
        <w:jc w:val="center"/>
        <w:rPr>
          <w:rFonts w:hint="eastAsia" w:ascii="宋体" w:hAnsi="宋体"/>
          <w:color w:val="auto"/>
          <w:szCs w:val="21"/>
        </w:rPr>
      </w:pPr>
    </w:p>
    <w:p>
      <w:pPr>
        <w:spacing w:line="400" w:lineRule="exact"/>
        <w:jc w:val="center"/>
        <w:rPr>
          <w:rFonts w:hint="eastAsia" w:ascii="宋体" w:hAnsi="宋体"/>
          <w:color w:val="auto"/>
          <w:szCs w:val="21"/>
        </w:rPr>
      </w:pPr>
    </w:p>
    <w:p>
      <w:pPr>
        <w:spacing w:line="400" w:lineRule="exact"/>
        <w:rPr>
          <w:rFonts w:hint="eastAsia" w:ascii="宋体" w:hAnsi="宋体"/>
          <w:color w:val="auto"/>
          <w:szCs w:val="21"/>
        </w:rPr>
      </w:pPr>
    </w:p>
    <w:p>
      <w:pPr>
        <w:spacing w:line="400" w:lineRule="exact"/>
        <w:jc w:val="center"/>
        <w:rPr>
          <w:rFonts w:hint="eastAsia" w:ascii="宋体" w:hAnsi="宋体"/>
          <w:color w:val="auto"/>
          <w:szCs w:val="21"/>
        </w:rPr>
      </w:pPr>
      <w:r>
        <w:rPr>
          <w:rFonts w:hint="eastAsia" w:ascii="宋体" w:hAnsi="宋体"/>
          <w:color w:val="auto"/>
          <w:szCs w:val="21"/>
        </w:rPr>
        <w:t>5）小微企业产品分项报价表</w:t>
      </w:r>
      <w:r>
        <w:rPr>
          <w:rFonts w:hint="eastAsia" w:ascii="ˎ̥" w:hAnsi="ˎ̥" w:cs="宋体"/>
          <w:color w:val="auto"/>
          <w:kern w:val="0"/>
          <w:szCs w:val="21"/>
        </w:rPr>
        <w:t>（</w:t>
      </w:r>
      <w:r>
        <w:rPr>
          <w:rFonts w:hint="eastAsia" w:ascii="宋体" w:hAnsi="宋体"/>
          <w:color w:val="auto"/>
          <w:szCs w:val="21"/>
        </w:rPr>
        <w:t>如符合要求，可提供</w:t>
      </w:r>
      <w:r>
        <w:rPr>
          <w:rFonts w:hint="eastAsia" w:ascii="ˎ̥" w:hAnsi="ˎ̥" w:cs="宋体"/>
          <w:color w:val="auto"/>
          <w:kern w:val="0"/>
          <w:szCs w:val="21"/>
        </w:rPr>
        <w:t>）</w:t>
      </w:r>
    </w:p>
    <w:p>
      <w:pPr>
        <w:spacing w:line="400" w:lineRule="exact"/>
        <w:ind w:firstLine="1869" w:firstLineChars="890"/>
        <w:rPr>
          <w:rFonts w:hint="eastAsia" w:ascii="仿宋_GB2312" w:eastAsia="仿宋_GB2312"/>
          <w:color w:val="auto"/>
          <w:szCs w:val="21"/>
        </w:rPr>
      </w:pPr>
    </w:p>
    <w:p>
      <w:pPr>
        <w:spacing w:line="440" w:lineRule="exact"/>
        <w:rPr>
          <w:rFonts w:hint="eastAsia" w:ascii="宋体" w:hAnsi="宋体"/>
          <w:color w:val="auto"/>
          <w:szCs w:val="21"/>
          <w:u w:val="single"/>
        </w:rPr>
      </w:pPr>
      <w:r>
        <w:rPr>
          <w:rFonts w:hint="eastAsia" w:ascii="宋体" w:hAnsi="宋体"/>
          <w:color w:val="auto"/>
          <w:szCs w:val="21"/>
        </w:rPr>
        <w:t>项目名称：</w:t>
      </w:r>
      <w:r>
        <w:rPr>
          <w:rFonts w:hint="eastAsia" w:ascii="宋体" w:hAnsi="宋体"/>
          <w:color w:val="auto"/>
          <w:szCs w:val="21"/>
          <w:u w:val="single"/>
        </w:rPr>
        <w:t xml:space="preserve">                                   </w:t>
      </w:r>
    </w:p>
    <w:p>
      <w:pPr>
        <w:spacing w:line="440" w:lineRule="exact"/>
        <w:rPr>
          <w:rFonts w:hint="eastAsia" w:ascii="宋体" w:hAnsi="宋体"/>
          <w:color w:val="auto"/>
          <w:szCs w:val="21"/>
        </w:rPr>
      </w:pPr>
      <w:r>
        <w:rPr>
          <w:rFonts w:hint="eastAsia" w:ascii="宋体" w:hAnsi="宋体"/>
          <w:color w:val="auto"/>
          <w:spacing w:val="14"/>
          <w:szCs w:val="21"/>
        </w:rPr>
        <w:t>项目编号</w:t>
      </w:r>
      <w:r>
        <w:rPr>
          <w:rFonts w:hint="eastAsia" w:ascii="宋体" w:hAnsi="宋体"/>
          <w:color w:val="auto"/>
          <w:szCs w:val="21"/>
        </w:rPr>
        <w:t>：</w:t>
      </w:r>
    </w:p>
    <w:p>
      <w:pPr>
        <w:spacing w:line="440" w:lineRule="exact"/>
        <w:rPr>
          <w:rFonts w:hint="eastAsia" w:ascii="宋体" w:hAnsi="宋体"/>
          <w:color w:val="auto"/>
          <w:szCs w:val="21"/>
          <w:u w:val="single"/>
        </w:rPr>
      </w:pPr>
      <w:r>
        <w:rPr>
          <w:rFonts w:hint="eastAsia" w:ascii="宋体" w:hAnsi="宋体"/>
          <w:color w:val="auto"/>
          <w:szCs w:val="21"/>
        </w:rPr>
        <w:t xml:space="preserve">子包号：                                                         </w:t>
      </w:r>
      <w:r>
        <w:rPr>
          <w:rFonts w:hint="eastAsia"/>
          <w:color w:val="auto"/>
          <w:szCs w:val="21"/>
        </w:rPr>
        <w:t>（价格单位：人民币元）</w:t>
      </w:r>
    </w:p>
    <w:tbl>
      <w:tblPr>
        <w:tblStyle w:val="49"/>
        <w:tblpPr w:leftFromText="180" w:rightFromText="180" w:vertAnchor="text" w:horzAnchor="margin" w:tblpY="2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01"/>
        <w:gridCol w:w="1620"/>
        <w:gridCol w:w="1440"/>
        <w:gridCol w:w="1260"/>
        <w:gridCol w:w="720"/>
        <w:gridCol w:w="126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769" w:hRule="atLeast"/>
        </w:trPr>
        <w:tc>
          <w:tcPr>
            <w:tcW w:w="735"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序号</w:t>
            </w:r>
          </w:p>
        </w:tc>
        <w:tc>
          <w:tcPr>
            <w:tcW w:w="1101"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品目名称</w:t>
            </w:r>
          </w:p>
        </w:tc>
        <w:tc>
          <w:tcPr>
            <w:tcW w:w="162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品牌、规格型号</w:t>
            </w:r>
          </w:p>
        </w:tc>
        <w:tc>
          <w:tcPr>
            <w:tcW w:w="144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生产商名称</w:t>
            </w:r>
          </w:p>
        </w:tc>
        <w:tc>
          <w:tcPr>
            <w:tcW w:w="126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小型/微型</w:t>
            </w:r>
          </w:p>
        </w:tc>
        <w:tc>
          <w:tcPr>
            <w:tcW w:w="72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数量</w:t>
            </w:r>
          </w:p>
        </w:tc>
        <w:tc>
          <w:tcPr>
            <w:tcW w:w="126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投标单价</w:t>
            </w:r>
          </w:p>
        </w:tc>
        <w:tc>
          <w:tcPr>
            <w:tcW w:w="108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投标总价</w:t>
            </w:r>
          </w:p>
        </w:tc>
        <w:tc>
          <w:tcPr>
            <w:tcW w:w="90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6" w:hRule="atLeast"/>
        </w:trPr>
        <w:tc>
          <w:tcPr>
            <w:tcW w:w="735" w:type="dxa"/>
            <w:noWrap w:val="0"/>
            <w:vAlign w:val="center"/>
          </w:tcPr>
          <w:p>
            <w:pPr>
              <w:spacing w:line="440" w:lineRule="exact"/>
              <w:jc w:val="center"/>
              <w:rPr>
                <w:rFonts w:hint="eastAsia" w:ascii="宋体" w:hAnsi="宋体"/>
                <w:color w:val="auto"/>
                <w:szCs w:val="21"/>
              </w:rPr>
            </w:pPr>
          </w:p>
        </w:tc>
        <w:tc>
          <w:tcPr>
            <w:tcW w:w="1101" w:type="dxa"/>
            <w:noWrap w:val="0"/>
            <w:vAlign w:val="center"/>
          </w:tcPr>
          <w:p>
            <w:pPr>
              <w:spacing w:line="440" w:lineRule="exact"/>
              <w:jc w:val="center"/>
              <w:rPr>
                <w:rFonts w:hint="eastAsia" w:ascii="宋体" w:hAnsi="宋体"/>
                <w:color w:val="auto"/>
                <w:szCs w:val="21"/>
              </w:rPr>
            </w:pPr>
          </w:p>
        </w:tc>
        <w:tc>
          <w:tcPr>
            <w:tcW w:w="162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720"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900"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6" w:hRule="atLeast"/>
        </w:trPr>
        <w:tc>
          <w:tcPr>
            <w:tcW w:w="735" w:type="dxa"/>
            <w:noWrap w:val="0"/>
            <w:vAlign w:val="center"/>
          </w:tcPr>
          <w:p>
            <w:pPr>
              <w:spacing w:line="440" w:lineRule="exact"/>
              <w:jc w:val="center"/>
              <w:rPr>
                <w:rFonts w:hint="eastAsia" w:ascii="宋体" w:hAnsi="宋体"/>
                <w:color w:val="auto"/>
                <w:szCs w:val="21"/>
              </w:rPr>
            </w:pPr>
          </w:p>
        </w:tc>
        <w:tc>
          <w:tcPr>
            <w:tcW w:w="1101" w:type="dxa"/>
            <w:noWrap w:val="0"/>
            <w:vAlign w:val="center"/>
          </w:tcPr>
          <w:p>
            <w:pPr>
              <w:spacing w:line="440" w:lineRule="exact"/>
              <w:jc w:val="center"/>
              <w:rPr>
                <w:rFonts w:hint="eastAsia" w:ascii="宋体" w:hAnsi="宋体"/>
                <w:color w:val="auto"/>
                <w:szCs w:val="21"/>
              </w:rPr>
            </w:pPr>
          </w:p>
        </w:tc>
        <w:tc>
          <w:tcPr>
            <w:tcW w:w="162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720"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900"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6" w:hRule="atLeast"/>
        </w:trPr>
        <w:tc>
          <w:tcPr>
            <w:tcW w:w="735" w:type="dxa"/>
            <w:noWrap w:val="0"/>
            <w:vAlign w:val="center"/>
          </w:tcPr>
          <w:p>
            <w:pPr>
              <w:spacing w:line="440" w:lineRule="exact"/>
              <w:jc w:val="center"/>
              <w:rPr>
                <w:rFonts w:hint="eastAsia" w:ascii="宋体" w:hAnsi="宋体"/>
                <w:color w:val="auto"/>
                <w:szCs w:val="21"/>
              </w:rPr>
            </w:pPr>
          </w:p>
        </w:tc>
        <w:tc>
          <w:tcPr>
            <w:tcW w:w="1101" w:type="dxa"/>
            <w:noWrap w:val="0"/>
            <w:vAlign w:val="center"/>
          </w:tcPr>
          <w:p>
            <w:pPr>
              <w:spacing w:line="440" w:lineRule="exact"/>
              <w:jc w:val="center"/>
              <w:rPr>
                <w:rFonts w:hint="eastAsia" w:ascii="宋体" w:hAnsi="宋体"/>
                <w:color w:val="auto"/>
                <w:szCs w:val="21"/>
              </w:rPr>
            </w:pPr>
          </w:p>
        </w:tc>
        <w:tc>
          <w:tcPr>
            <w:tcW w:w="162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720"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900"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6" w:hRule="atLeast"/>
        </w:trPr>
        <w:tc>
          <w:tcPr>
            <w:tcW w:w="735" w:type="dxa"/>
            <w:noWrap w:val="0"/>
            <w:vAlign w:val="center"/>
          </w:tcPr>
          <w:p>
            <w:pPr>
              <w:spacing w:line="440" w:lineRule="exact"/>
              <w:jc w:val="center"/>
              <w:rPr>
                <w:rFonts w:hint="eastAsia" w:ascii="宋体" w:hAnsi="宋体"/>
                <w:color w:val="auto"/>
                <w:szCs w:val="21"/>
              </w:rPr>
            </w:pPr>
          </w:p>
        </w:tc>
        <w:tc>
          <w:tcPr>
            <w:tcW w:w="1101" w:type="dxa"/>
            <w:noWrap w:val="0"/>
            <w:vAlign w:val="center"/>
          </w:tcPr>
          <w:p>
            <w:pPr>
              <w:spacing w:line="440" w:lineRule="exact"/>
              <w:jc w:val="center"/>
              <w:rPr>
                <w:rFonts w:hint="eastAsia" w:ascii="宋体" w:hAnsi="宋体"/>
                <w:color w:val="auto"/>
                <w:szCs w:val="21"/>
              </w:rPr>
            </w:pPr>
          </w:p>
        </w:tc>
        <w:tc>
          <w:tcPr>
            <w:tcW w:w="162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720"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900"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6" w:hRule="atLeast"/>
        </w:trPr>
        <w:tc>
          <w:tcPr>
            <w:tcW w:w="735" w:type="dxa"/>
            <w:noWrap w:val="0"/>
            <w:vAlign w:val="center"/>
          </w:tcPr>
          <w:p>
            <w:pPr>
              <w:spacing w:line="440" w:lineRule="exact"/>
              <w:jc w:val="center"/>
              <w:rPr>
                <w:rFonts w:hint="eastAsia" w:ascii="宋体" w:hAnsi="宋体"/>
                <w:color w:val="auto"/>
                <w:szCs w:val="21"/>
              </w:rPr>
            </w:pPr>
          </w:p>
        </w:tc>
        <w:tc>
          <w:tcPr>
            <w:tcW w:w="1101" w:type="dxa"/>
            <w:noWrap w:val="0"/>
            <w:vAlign w:val="center"/>
          </w:tcPr>
          <w:p>
            <w:pPr>
              <w:spacing w:line="440" w:lineRule="exact"/>
              <w:jc w:val="center"/>
              <w:rPr>
                <w:rFonts w:hint="eastAsia" w:ascii="宋体" w:hAnsi="宋体"/>
                <w:color w:val="auto"/>
                <w:szCs w:val="21"/>
              </w:rPr>
            </w:pPr>
          </w:p>
        </w:tc>
        <w:tc>
          <w:tcPr>
            <w:tcW w:w="162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720"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900"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6" w:hRule="atLeast"/>
        </w:trPr>
        <w:tc>
          <w:tcPr>
            <w:tcW w:w="735" w:type="dxa"/>
            <w:noWrap w:val="0"/>
            <w:vAlign w:val="center"/>
          </w:tcPr>
          <w:p>
            <w:pPr>
              <w:spacing w:line="440" w:lineRule="exact"/>
              <w:jc w:val="center"/>
              <w:rPr>
                <w:rFonts w:hint="eastAsia" w:ascii="宋体" w:hAnsi="宋体"/>
                <w:color w:val="auto"/>
                <w:szCs w:val="21"/>
              </w:rPr>
            </w:pPr>
          </w:p>
        </w:tc>
        <w:tc>
          <w:tcPr>
            <w:tcW w:w="1101" w:type="dxa"/>
            <w:noWrap w:val="0"/>
            <w:vAlign w:val="center"/>
          </w:tcPr>
          <w:p>
            <w:pPr>
              <w:spacing w:line="440" w:lineRule="exact"/>
              <w:jc w:val="center"/>
              <w:rPr>
                <w:rFonts w:hint="eastAsia" w:ascii="宋体" w:hAnsi="宋体"/>
                <w:color w:val="auto"/>
                <w:szCs w:val="21"/>
              </w:rPr>
            </w:pPr>
          </w:p>
        </w:tc>
        <w:tc>
          <w:tcPr>
            <w:tcW w:w="162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720"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900"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36" w:hRule="atLeast"/>
        </w:trPr>
        <w:tc>
          <w:tcPr>
            <w:tcW w:w="735"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合计</w:t>
            </w:r>
          </w:p>
        </w:tc>
        <w:tc>
          <w:tcPr>
            <w:tcW w:w="1101"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162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144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126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72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126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1080" w:type="dxa"/>
            <w:noWrap w:val="0"/>
            <w:vAlign w:val="center"/>
          </w:tcPr>
          <w:p>
            <w:pPr>
              <w:spacing w:line="440" w:lineRule="exact"/>
              <w:jc w:val="center"/>
              <w:rPr>
                <w:rFonts w:hint="eastAsia" w:ascii="宋体" w:hAnsi="宋体"/>
                <w:color w:val="auto"/>
                <w:szCs w:val="21"/>
              </w:rPr>
            </w:pPr>
          </w:p>
        </w:tc>
        <w:tc>
          <w:tcPr>
            <w:tcW w:w="900" w:type="dxa"/>
            <w:noWrap w:val="0"/>
            <w:vAlign w:val="center"/>
          </w:tcPr>
          <w:p>
            <w:pPr>
              <w:spacing w:line="440" w:lineRule="exact"/>
              <w:jc w:val="center"/>
              <w:rPr>
                <w:rFonts w:hint="eastAsia" w:ascii="宋体" w:hAnsi="宋体"/>
                <w:color w:val="auto"/>
                <w:szCs w:val="21"/>
              </w:rPr>
            </w:pPr>
          </w:p>
        </w:tc>
      </w:tr>
    </w:tbl>
    <w:p>
      <w:pPr>
        <w:spacing w:line="440" w:lineRule="exact"/>
        <w:rPr>
          <w:rFonts w:hint="eastAsia" w:ascii="宋体" w:hAnsi="宋体"/>
          <w:color w:val="auto"/>
          <w:szCs w:val="21"/>
        </w:rPr>
      </w:pPr>
      <w:r>
        <w:rPr>
          <w:rFonts w:hint="eastAsia" w:ascii="宋体" w:hAnsi="宋体"/>
          <w:color w:val="auto"/>
          <w:szCs w:val="21"/>
        </w:rPr>
        <w:t xml:space="preserve">特别提醒：  </w:t>
      </w:r>
    </w:p>
    <w:p>
      <w:pPr>
        <w:spacing w:line="440" w:lineRule="exact"/>
        <w:rPr>
          <w:rFonts w:hint="eastAsia" w:ascii="宋体" w:hAnsi="宋体"/>
          <w:color w:val="auto"/>
          <w:szCs w:val="21"/>
        </w:rPr>
      </w:pPr>
      <w:r>
        <w:rPr>
          <w:rFonts w:hint="eastAsia" w:ascii="宋体" w:hAnsi="宋体"/>
          <w:color w:val="auto"/>
          <w:szCs w:val="21"/>
        </w:rPr>
        <w:t xml:space="preserve">    1、本表专用于小微企业产品的评审价格扣除，若中标的，中标价格按投标价格执行。若有虚假，取消中标资格，并依法承担法律责任。</w:t>
      </w:r>
    </w:p>
    <w:p>
      <w:pPr>
        <w:spacing w:line="440" w:lineRule="exact"/>
        <w:rPr>
          <w:rFonts w:hint="eastAsia" w:ascii="宋体" w:hAnsi="宋体"/>
          <w:color w:val="auto"/>
          <w:szCs w:val="21"/>
        </w:rPr>
      </w:pPr>
      <w:r>
        <w:rPr>
          <w:rFonts w:hint="eastAsia" w:ascii="宋体" w:hAnsi="宋体"/>
          <w:color w:val="auto"/>
          <w:szCs w:val="21"/>
        </w:rPr>
        <w:t xml:space="preserve">    2、如果相关当事人对中标人有异议的，本表将申请公开，中标人应当向</w:t>
      </w:r>
      <w:r>
        <w:rPr>
          <w:rFonts w:hint="eastAsia" w:hAnsi="宋体"/>
          <w:bCs/>
          <w:color w:val="auto"/>
          <w:szCs w:val="21"/>
        </w:rPr>
        <w:t>采购人、代理机构</w:t>
      </w:r>
      <w:r>
        <w:rPr>
          <w:rFonts w:hint="eastAsia" w:ascii="宋体" w:hAnsi="宋体"/>
          <w:color w:val="auto"/>
          <w:szCs w:val="21"/>
        </w:rPr>
        <w:t>提供由第三方机构审计确认的财务会计报告和社保部门提供的年度社会保障基金缴纳清单，或者相关行业主管部门出具的“小微企业”资格确认证明。</w:t>
      </w:r>
    </w:p>
    <w:p>
      <w:pPr>
        <w:spacing w:line="440" w:lineRule="exact"/>
        <w:rPr>
          <w:rFonts w:hint="eastAsia" w:ascii="宋体" w:hAnsi="宋体"/>
          <w:color w:val="auto"/>
          <w:szCs w:val="21"/>
        </w:rPr>
      </w:pPr>
      <w:r>
        <w:rPr>
          <w:rFonts w:hint="eastAsia" w:ascii="宋体" w:hAnsi="宋体"/>
          <w:color w:val="auto"/>
          <w:szCs w:val="21"/>
        </w:rPr>
        <w:t xml:space="preserve">    3、生产商划型根据</w:t>
      </w:r>
      <w:r>
        <w:rPr>
          <w:rFonts w:ascii="宋体" w:hAnsi="宋体"/>
          <w:color w:val="auto"/>
          <w:szCs w:val="21"/>
        </w:rPr>
        <w:t>工信部联企业[2011]300号</w:t>
      </w:r>
      <w:r>
        <w:rPr>
          <w:rFonts w:hint="eastAsia" w:ascii="宋体" w:hAnsi="宋体"/>
          <w:color w:val="auto"/>
          <w:szCs w:val="21"/>
        </w:rPr>
        <w:t>文件规定。</w:t>
      </w:r>
    </w:p>
    <w:p>
      <w:pPr>
        <w:spacing w:line="440" w:lineRule="exact"/>
        <w:rPr>
          <w:rFonts w:hint="eastAsia" w:ascii="宋体" w:hAnsi="宋体"/>
          <w:color w:val="auto"/>
          <w:szCs w:val="21"/>
        </w:rPr>
      </w:pPr>
    </w:p>
    <w:p>
      <w:pPr>
        <w:spacing w:line="600" w:lineRule="exact"/>
        <w:rPr>
          <w:rFonts w:hint="eastAsia" w:ascii="宋体" w:hAnsi="宋体"/>
          <w:color w:val="auto"/>
          <w:szCs w:val="21"/>
        </w:rPr>
      </w:pPr>
      <w:r>
        <w:rPr>
          <w:rFonts w:hint="eastAsia"/>
          <w:color w:val="auto"/>
          <w:szCs w:val="21"/>
        </w:rPr>
        <w:t>投标人名称：＿＿＿＿＿＿＿＿＿＿＿＿（公章）</w:t>
      </w:r>
    </w:p>
    <w:p>
      <w:pPr>
        <w:spacing w:line="600" w:lineRule="exact"/>
        <w:rPr>
          <w:rFonts w:hint="eastAsia"/>
          <w:color w:val="auto"/>
          <w:szCs w:val="21"/>
        </w:rPr>
      </w:pPr>
      <w:r>
        <w:rPr>
          <w:rFonts w:hint="eastAsia"/>
          <w:color w:val="auto"/>
          <w:szCs w:val="21"/>
        </w:rPr>
        <w:t>投标人法人或授权代表签字：＿＿＿＿＿＿＿＿＿职务：＿＿＿＿＿＿＿＿</w:t>
      </w:r>
    </w:p>
    <w:p>
      <w:pPr>
        <w:spacing w:line="600" w:lineRule="exact"/>
        <w:rPr>
          <w:rFonts w:hint="eastAsia"/>
          <w:color w:val="auto"/>
          <w:szCs w:val="21"/>
        </w:rPr>
      </w:pPr>
      <w:r>
        <w:rPr>
          <w:rFonts w:hint="eastAsia"/>
          <w:color w:val="auto"/>
          <w:szCs w:val="21"/>
        </w:rPr>
        <w:t>日期：＿＿＿＿＿＿＿</w:t>
      </w:r>
    </w:p>
    <w:p>
      <w:pPr>
        <w:spacing w:line="400" w:lineRule="exact"/>
        <w:jc w:val="center"/>
        <w:rPr>
          <w:rFonts w:hint="eastAsia" w:ascii="宋体" w:hAnsi="宋体"/>
          <w:color w:val="auto"/>
          <w:szCs w:val="21"/>
        </w:rPr>
      </w:pPr>
    </w:p>
    <w:p>
      <w:pPr>
        <w:spacing w:line="400" w:lineRule="exact"/>
        <w:jc w:val="left"/>
        <w:rPr>
          <w:rFonts w:hint="eastAsia" w:ascii="宋体" w:hAnsi="宋体"/>
          <w:color w:val="auto"/>
          <w:szCs w:val="21"/>
        </w:rPr>
      </w:pPr>
    </w:p>
    <w:p>
      <w:pPr>
        <w:spacing w:line="400" w:lineRule="exact"/>
        <w:jc w:val="center"/>
        <w:rPr>
          <w:rFonts w:hint="eastAsia" w:ascii="宋体" w:hAnsi="宋体"/>
          <w:color w:val="auto"/>
          <w:szCs w:val="21"/>
        </w:rPr>
      </w:pPr>
      <w:r>
        <w:rPr>
          <w:rFonts w:hint="eastAsia" w:ascii="宋体" w:hAnsi="宋体"/>
          <w:color w:val="auto"/>
          <w:szCs w:val="21"/>
        </w:rPr>
        <w:t>6）列入距投标截止时间最近一期节能产品政府采购清单的产品分项报价表</w:t>
      </w:r>
      <w:r>
        <w:rPr>
          <w:rFonts w:hint="eastAsia" w:ascii="ˎ̥" w:hAnsi="ˎ̥" w:cs="宋体"/>
          <w:color w:val="auto"/>
          <w:kern w:val="0"/>
          <w:szCs w:val="21"/>
        </w:rPr>
        <w:t>（</w:t>
      </w:r>
      <w:r>
        <w:rPr>
          <w:rFonts w:hint="eastAsia" w:ascii="宋体" w:hAnsi="宋体"/>
          <w:color w:val="auto"/>
          <w:szCs w:val="21"/>
        </w:rPr>
        <w:t>如符合要求，可提供</w:t>
      </w:r>
      <w:r>
        <w:rPr>
          <w:rFonts w:hint="eastAsia" w:ascii="ˎ̥" w:hAnsi="ˎ̥" w:cs="宋体"/>
          <w:color w:val="auto"/>
          <w:kern w:val="0"/>
          <w:szCs w:val="21"/>
        </w:rPr>
        <w:t>）</w:t>
      </w:r>
    </w:p>
    <w:p>
      <w:pPr>
        <w:spacing w:line="400" w:lineRule="exact"/>
        <w:jc w:val="center"/>
        <w:rPr>
          <w:rFonts w:hint="eastAsia" w:ascii="宋体" w:hAnsi="宋体"/>
          <w:color w:val="auto"/>
          <w:szCs w:val="21"/>
        </w:rPr>
      </w:pPr>
    </w:p>
    <w:p>
      <w:pPr>
        <w:spacing w:line="460" w:lineRule="exact"/>
        <w:rPr>
          <w:rFonts w:hint="eastAsia" w:ascii="宋体" w:hAnsi="宋体"/>
          <w:color w:val="auto"/>
          <w:szCs w:val="21"/>
        </w:rPr>
      </w:pPr>
      <w:r>
        <w:rPr>
          <w:rFonts w:hint="eastAsia" w:ascii="宋体" w:hAnsi="宋体"/>
          <w:color w:val="auto"/>
          <w:szCs w:val="21"/>
        </w:rPr>
        <w:t xml:space="preserve">项目名称：                                </w:t>
      </w:r>
      <w:r>
        <w:rPr>
          <w:rFonts w:hint="eastAsia" w:ascii="宋体" w:hAnsi="宋体"/>
          <w:color w:val="auto"/>
          <w:spacing w:val="14"/>
          <w:szCs w:val="21"/>
        </w:rPr>
        <w:t>项目编号</w:t>
      </w:r>
      <w:r>
        <w:rPr>
          <w:rFonts w:hint="eastAsia" w:ascii="宋体" w:hAnsi="宋体"/>
          <w:color w:val="auto"/>
          <w:szCs w:val="21"/>
        </w:rPr>
        <w:t xml:space="preserve">：                  子包号：                              </w:t>
      </w:r>
    </w:p>
    <w:p>
      <w:pPr>
        <w:spacing w:line="460" w:lineRule="exact"/>
        <w:ind w:right="420"/>
        <w:jc w:val="right"/>
        <w:rPr>
          <w:rFonts w:hint="eastAsia" w:ascii="宋体" w:hAnsi="宋体"/>
          <w:color w:val="auto"/>
          <w:szCs w:val="21"/>
        </w:rPr>
      </w:pPr>
      <w:r>
        <w:rPr>
          <w:rFonts w:hint="eastAsia"/>
          <w:color w:val="auto"/>
          <w:szCs w:val="21"/>
        </w:rPr>
        <w:t>（价格单位：人民币元）</w:t>
      </w:r>
    </w:p>
    <w:tbl>
      <w:tblPr>
        <w:tblStyle w:val="4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1440"/>
        <w:gridCol w:w="1806"/>
        <w:gridCol w:w="816"/>
        <w:gridCol w:w="978"/>
        <w:gridCol w:w="1080"/>
        <w:gridCol w:w="1236"/>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988" w:hRule="atLeast"/>
        </w:trPr>
        <w:tc>
          <w:tcPr>
            <w:tcW w:w="72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序号</w:t>
            </w:r>
          </w:p>
        </w:tc>
        <w:tc>
          <w:tcPr>
            <w:tcW w:w="108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产品名称</w:t>
            </w:r>
          </w:p>
        </w:tc>
        <w:tc>
          <w:tcPr>
            <w:tcW w:w="144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品牌</w:t>
            </w:r>
          </w:p>
          <w:p>
            <w:pPr>
              <w:spacing w:line="440" w:lineRule="exact"/>
              <w:jc w:val="center"/>
              <w:rPr>
                <w:rFonts w:hint="eastAsia" w:ascii="宋体" w:hAnsi="宋体"/>
                <w:color w:val="auto"/>
                <w:szCs w:val="21"/>
              </w:rPr>
            </w:pPr>
            <w:r>
              <w:rPr>
                <w:rFonts w:hint="eastAsia" w:ascii="宋体" w:hAnsi="宋体"/>
                <w:color w:val="auto"/>
                <w:szCs w:val="21"/>
              </w:rPr>
              <w:t>规格型号</w:t>
            </w:r>
          </w:p>
        </w:tc>
        <w:tc>
          <w:tcPr>
            <w:tcW w:w="1806"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生产商名称</w:t>
            </w:r>
          </w:p>
        </w:tc>
        <w:tc>
          <w:tcPr>
            <w:tcW w:w="816"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数量</w:t>
            </w:r>
          </w:p>
        </w:tc>
        <w:tc>
          <w:tcPr>
            <w:tcW w:w="978"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投标</w:t>
            </w:r>
          </w:p>
          <w:p>
            <w:pPr>
              <w:spacing w:line="440" w:lineRule="exact"/>
              <w:jc w:val="center"/>
              <w:rPr>
                <w:rFonts w:hint="eastAsia" w:ascii="宋体" w:hAnsi="宋体"/>
                <w:color w:val="auto"/>
                <w:szCs w:val="21"/>
              </w:rPr>
            </w:pPr>
            <w:r>
              <w:rPr>
                <w:rFonts w:hint="eastAsia" w:ascii="宋体" w:hAnsi="宋体"/>
                <w:color w:val="auto"/>
                <w:szCs w:val="21"/>
              </w:rPr>
              <w:t>单价</w:t>
            </w:r>
          </w:p>
        </w:tc>
        <w:tc>
          <w:tcPr>
            <w:tcW w:w="108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投标总价</w:t>
            </w:r>
          </w:p>
        </w:tc>
        <w:tc>
          <w:tcPr>
            <w:tcW w:w="1236"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节能产品</w:t>
            </w:r>
          </w:p>
          <w:p>
            <w:pPr>
              <w:spacing w:line="440" w:lineRule="exact"/>
              <w:jc w:val="center"/>
              <w:rPr>
                <w:rFonts w:hint="eastAsia" w:ascii="宋体" w:hAnsi="宋体"/>
                <w:color w:val="auto"/>
                <w:szCs w:val="21"/>
              </w:rPr>
            </w:pPr>
            <w:r>
              <w:rPr>
                <w:rFonts w:hint="eastAsia" w:ascii="宋体" w:hAnsi="宋体"/>
                <w:color w:val="auto"/>
                <w:szCs w:val="21"/>
              </w:rPr>
              <w:t>证书编号</w:t>
            </w:r>
          </w:p>
        </w:tc>
        <w:tc>
          <w:tcPr>
            <w:tcW w:w="924"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对应</w:t>
            </w:r>
          </w:p>
          <w:p>
            <w:pPr>
              <w:spacing w:line="440" w:lineRule="exact"/>
              <w:jc w:val="center"/>
              <w:rPr>
                <w:rFonts w:hint="eastAsia" w:ascii="宋体" w:hAnsi="宋体"/>
                <w:color w:val="auto"/>
                <w:szCs w:val="21"/>
              </w:rPr>
            </w:pPr>
            <w:r>
              <w:rPr>
                <w:rFonts w:hint="eastAsia" w:ascii="宋体" w:hAnsi="宋体"/>
                <w:color w:val="auto"/>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6" w:hRule="atLeast"/>
        </w:trPr>
        <w:tc>
          <w:tcPr>
            <w:tcW w:w="72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1806" w:type="dxa"/>
            <w:noWrap w:val="0"/>
            <w:vAlign w:val="center"/>
          </w:tcPr>
          <w:p>
            <w:pPr>
              <w:spacing w:line="440" w:lineRule="exact"/>
              <w:jc w:val="center"/>
              <w:rPr>
                <w:rFonts w:hint="eastAsia" w:ascii="宋体" w:hAnsi="宋体"/>
                <w:color w:val="auto"/>
                <w:szCs w:val="21"/>
              </w:rPr>
            </w:pPr>
          </w:p>
        </w:tc>
        <w:tc>
          <w:tcPr>
            <w:tcW w:w="816" w:type="dxa"/>
            <w:noWrap w:val="0"/>
            <w:vAlign w:val="center"/>
          </w:tcPr>
          <w:p>
            <w:pPr>
              <w:spacing w:line="440" w:lineRule="exact"/>
              <w:jc w:val="center"/>
              <w:rPr>
                <w:rFonts w:hint="eastAsia" w:ascii="宋体" w:hAnsi="宋体"/>
                <w:color w:val="auto"/>
                <w:szCs w:val="21"/>
              </w:rPr>
            </w:pPr>
          </w:p>
        </w:tc>
        <w:tc>
          <w:tcPr>
            <w:tcW w:w="978"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236" w:type="dxa"/>
            <w:noWrap w:val="0"/>
            <w:vAlign w:val="center"/>
          </w:tcPr>
          <w:p>
            <w:pPr>
              <w:spacing w:line="440" w:lineRule="exact"/>
              <w:jc w:val="center"/>
              <w:rPr>
                <w:rFonts w:hint="eastAsia" w:ascii="宋体" w:hAnsi="宋体"/>
                <w:color w:val="auto"/>
                <w:szCs w:val="21"/>
              </w:rPr>
            </w:pPr>
          </w:p>
        </w:tc>
        <w:tc>
          <w:tcPr>
            <w:tcW w:w="924"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6" w:hRule="atLeast"/>
        </w:trPr>
        <w:tc>
          <w:tcPr>
            <w:tcW w:w="72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1806" w:type="dxa"/>
            <w:noWrap w:val="0"/>
            <w:vAlign w:val="center"/>
          </w:tcPr>
          <w:p>
            <w:pPr>
              <w:spacing w:line="440" w:lineRule="exact"/>
              <w:jc w:val="center"/>
              <w:rPr>
                <w:rFonts w:hint="eastAsia" w:ascii="宋体" w:hAnsi="宋体"/>
                <w:color w:val="auto"/>
                <w:szCs w:val="21"/>
              </w:rPr>
            </w:pPr>
          </w:p>
        </w:tc>
        <w:tc>
          <w:tcPr>
            <w:tcW w:w="816" w:type="dxa"/>
            <w:noWrap w:val="0"/>
            <w:vAlign w:val="center"/>
          </w:tcPr>
          <w:p>
            <w:pPr>
              <w:spacing w:line="440" w:lineRule="exact"/>
              <w:jc w:val="center"/>
              <w:rPr>
                <w:rFonts w:hint="eastAsia" w:ascii="宋体" w:hAnsi="宋体"/>
                <w:color w:val="auto"/>
                <w:szCs w:val="21"/>
              </w:rPr>
            </w:pPr>
          </w:p>
        </w:tc>
        <w:tc>
          <w:tcPr>
            <w:tcW w:w="978"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236" w:type="dxa"/>
            <w:noWrap w:val="0"/>
            <w:vAlign w:val="center"/>
          </w:tcPr>
          <w:p>
            <w:pPr>
              <w:spacing w:line="440" w:lineRule="exact"/>
              <w:jc w:val="center"/>
              <w:rPr>
                <w:rFonts w:hint="eastAsia" w:ascii="宋体" w:hAnsi="宋体"/>
                <w:color w:val="auto"/>
                <w:szCs w:val="21"/>
              </w:rPr>
            </w:pPr>
          </w:p>
        </w:tc>
        <w:tc>
          <w:tcPr>
            <w:tcW w:w="924"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6" w:hRule="atLeast"/>
        </w:trPr>
        <w:tc>
          <w:tcPr>
            <w:tcW w:w="72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1806" w:type="dxa"/>
            <w:noWrap w:val="0"/>
            <w:vAlign w:val="center"/>
          </w:tcPr>
          <w:p>
            <w:pPr>
              <w:spacing w:line="440" w:lineRule="exact"/>
              <w:jc w:val="center"/>
              <w:rPr>
                <w:rFonts w:hint="eastAsia" w:ascii="宋体" w:hAnsi="宋体"/>
                <w:color w:val="auto"/>
                <w:szCs w:val="21"/>
              </w:rPr>
            </w:pPr>
          </w:p>
        </w:tc>
        <w:tc>
          <w:tcPr>
            <w:tcW w:w="816" w:type="dxa"/>
            <w:noWrap w:val="0"/>
            <w:vAlign w:val="center"/>
          </w:tcPr>
          <w:p>
            <w:pPr>
              <w:spacing w:line="440" w:lineRule="exact"/>
              <w:jc w:val="center"/>
              <w:rPr>
                <w:rFonts w:hint="eastAsia" w:ascii="宋体" w:hAnsi="宋体"/>
                <w:color w:val="auto"/>
                <w:szCs w:val="21"/>
              </w:rPr>
            </w:pPr>
          </w:p>
        </w:tc>
        <w:tc>
          <w:tcPr>
            <w:tcW w:w="978"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236" w:type="dxa"/>
            <w:noWrap w:val="0"/>
            <w:vAlign w:val="center"/>
          </w:tcPr>
          <w:p>
            <w:pPr>
              <w:spacing w:line="440" w:lineRule="exact"/>
              <w:jc w:val="center"/>
              <w:rPr>
                <w:rFonts w:hint="eastAsia" w:ascii="宋体" w:hAnsi="宋体"/>
                <w:color w:val="auto"/>
                <w:szCs w:val="21"/>
              </w:rPr>
            </w:pPr>
          </w:p>
        </w:tc>
        <w:tc>
          <w:tcPr>
            <w:tcW w:w="924"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6" w:hRule="atLeast"/>
        </w:trPr>
        <w:tc>
          <w:tcPr>
            <w:tcW w:w="72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1806" w:type="dxa"/>
            <w:noWrap w:val="0"/>
            <w:vAlign w:val="center"/>
          </w:tcPr>
          <w:p>
            <w:pPr>
              <w:spacing w:line="440" w:lineRule="exact"/>
              <w:jc w:val="center"/>
              <w:rPr>
                <w:rFonts w:hint="eastAsia" w:ascii="宋体" w:hAnsi="宋体"/>
                <w:color w:val="auto"/>
                <w:szCs w:val="21"/>
              </w:rPr>
            </w:pPr>
          </w:p>
        </w:tc>
        <w:tc>
          <w:tcPr>
            <w:tcW w:w="816" w:type="dxa"/>
            <w:noWrap w:val="0"/>
            <w:vAlign w:val="center"/>
          </w:tcPr>
          <w:p>
            <w:pPr>
              <w:spacing w:line="440" w:lineRule="exact"/>
              <w:jc w:val="center"/>
              <w:rPr>
                <w:rFonts w:hint="eastAsia" w:ascii="宋体" w:hAnsi="宋体"/>
                <w:color w:val="auto"/>
                <w:szCs w:val="21"/>
              </w:rPr>
            </w:pPr>
          </w:p>
        </w:tc>
        <w:tc>
          <w:tcPr>
            <w:tcW w:w="978"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236" w:type="dxa"/>
            <w:noWrap w:val="0"/>
            <w:vAlign w:val="center"/>
          </w:tcPr>
          <w:p>
            <w:pPr>
              <w:spacing w:line="440" w:lineRule="exact"/>
              <w:jc w:val="center"/>
              <w:rPr>
                <w:rFonts w:hint="eastAsia" w:ascii="宋体" w:hAnsi="宋体"/>
                <w:color w:val="auto"/>
                <w:szCs w:val="21"/>
              </w:rPr>
            </w:pPr>
          </w:p>
        </w:tc>
        <w:tc>
          <w:tcPr>
            <w:tcW w:w="924"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6" w:hRule="atLeast"/>
        </w:trPr>
        <w:tc>
          <w:tcPr>
            <w:tcW w:w="72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1806" w:type="dxa"/>
            <w:noWrap w:val="0"/>
            <w:vAlign w:val="center"/>
          </w:tcPr>
          <w:p>
            <w:pPr>
              <w:spacing w:line="440" w:lineRule="exact"/>
              <w:jc w:val="center"/>
              <w:rPr>
                <w:rFonts w:hint="eastAsia" w:ascii="宋体" w:hAnsi="宋体"/>
                <w:color w:val="auto"/>
                <w:szCs w:val="21"/>
              </w:rPr>
            </w:pPr>
          </w:p>
        </w:tc>
        <w:tc>
          <w:tcPr>
            <w:tcW w:w="816" w:type="dxa"/>
            <w:noWrap w:val="0"/>
            <w:vAlign w:val="center"/>
          </w:tcPr>
          <w:p>
            <w:pPr>
              <w:spacing w:line="440" w:lineRule="exact"/>
              <w:jc w:val="center"/>
              <w:rPr>
                <w:rFonts w:hint="eastAsia" w:ascii="宋体" w:hAnsi="宋体"/>
                <w:color w:val="auto"/>
                <w:szCs w:val="21"/>
              </w:rPr>
            </w:pPr>
          </w:p>
        </w:tc>
        <w:tc>
          <w:tcPr>
            <w:tcW w:w="978"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236" w:type="dxa"/>
            <w:noWrap w:val="0"/>
            <w:vAlign w:val="center"/>
          </w:tcPr>
          <w:p>
            <w:pPr>
              <w:spacing w:line="440" w:lineRule="exact"/>
              <w:jc w:val="center"/>
              <w:rPr>
                <w:rFonts w:hint="eastAsia" w:ascii="宋体" w:hAnsi="宋体"/>
                <w:color w:val="auto"/>
                <w:szCs w:val="21"/>
              </w:rPr>
            </w:pPr>
          </w:p>
        </w:tc>
        <w:tc>
          <w:tcPr>
            <w:tcW w:w="924"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6" w:hRule="atLeast"/>
        </w:trPr>
        <w:tc>
          <w:tcPr>
            <w:tcW w:w="72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1806" w:type="dxa"/>
            <w:noWrap w:val="0"/>
            <w:vAlign w:val="center"/>
          </w:tcPr>
          <w:p>
            <w:pPr>
              <w:spacing w:line="440" w:lineRule="exact"/>
              <w:jc w:val="center"/>
              <w:rPr>
                <w:rFonts w:hint="eastAsia" w:ascii="宋体" w:hAnsi="宋体"/>
                <w:color w:val="auto"/>
                <w:szCs w:val="21"/>
              </w:rPr>
            </w:pPr>
          </w:p>
        </w:tc>
        <w:tc>
          <w:tcPr>
            <w:tcW w:w="816" w:type="dxa"/>
            <w:noWrap w:val="0"/>
            <w:vAlign w:val="center"/>
          </w:tcPr>
          <w:p>
            <w:pPr>
              <w:spacing w:line="440" w:lineRule="exact"/>
              <w:jc w:val="center"/>
              <w:rPr>
                <w:rFonts w:hint="eastAsia" w:ascii="宋体" w:hAnsi="宋体"/>
                <w:color w:val="auto"/>
                <w:szCs w:val="21"/>
              </w:rPr>
            </w:pPr>
          </w:p>
        </w:tc>
        <w:tc>
          <w:tcPr>
            <w:tcW w:w="978"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236" w:type="dxa"/>
            <w:noWrap w:val="0"/>
            <w:vAlign w:val="center"/>
          </w:tcPr>
          <w:p>
            <w:pPr>
              <w:spacing w:line="440" w:lineRule="exact"/>
              <w:jc w:val="center"/>
              <w:rPr>
                <w:rFonts w:hint="eastAsia" w:ascii="宋体" w:hAnsi="宋体"/>
                <w:color w:val="auto"/>
                <w:szCs w:val="21"/>
              </w:rPr>
            </w:pPr>
          </w:p>
        </w:tc>
        <w:tc>
          <w:tcPr>
            <w:tcW w:w="924"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696" w:hRule="atLeast"/>
        </w:trPr>
        <w:tc>
          <w:tcPr>
            <w:tcW w:w="72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合计</w:t>
            </w:r>
          </w:p>
        </w:tc>
        <w:tc>
          <w:tcPr>
            <w:tcW w:w="108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144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1806"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816"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978"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1080" w:type="dxa"/>
            <w:noWrap w:val="0"/>
            <w:vAlign w:val="center"/>
          </w:tcPr>
          <w:p>
            <w:pPr>
              <w:spacing w:line="440" w:lineRule="exact"/>
              <w:jc w:val="center"/>
              <w:rPr>
                <w:rFonts w:hint="eastAsia" w:ascii="宋体" w:hAnsi="宋体"/>
                <w:color w:val="auto"/>
                <w:szCs w:val="21"/>
              </w:rPr>
            </w:pPr>
          </w:p>
        </w:tc>
        <w:tc>
          <w:tcPr>
            <w:tcW w:w="1236"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924"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r>
    </w:tbl>
    <w:p>
      <w:pPr>
        <w:spacing w:line="440" w:lineRule="exact"/>
        <w:rPr>
          <w:rFonts w:hint="eastAsia" w:ascii="宋体" w:hAnsi="宋体"/>
          <w:color w:val="auto"/>
          <w:szCs w:val="21"/>
        </w:rPr>
      </w:pPr>
      <w:r>
        <w:rPr>
          <w:rFonts w:hint="eastAsia" w:ascii="宋体" w:hAnsi="宋体"/>
          <w:color w:val="auto"/>
          <w:szCs w:val="21"/>
        </w:rPr>
        <w:t>特别提醒：</w:t>
      </w:r>
    </w:p>
    <w:p>
      <w:pPr>
        <w:spacing w:line="440" w:lineRule="exact"/>
        <w:rPr>
          <w:rFonts w:hint="eastAsia" w:ascii="宋体" w:hAnsi="宋体"/>
          <w:color w:val="auto"/>
          <w:szCs w:val="21"/>
        </w:rPr>
      </w:pPr>
      <w:r>
        <w:rPr>
          <w:rFonts w:hint="eastAsia" w:ascii="宋体" w:hAnsi="宋体"/>
          <w:color w:val="auto"/>
          <w:szCs w:val="21"/>
        </w:rPr>
        <w:t xml:space="preserve">    1、本表专用于政府采购政策评审，如果相关当事人对中标人有异议的，本表将申请公开，若有虚假，取消中标资格，并依法承担法律责任。</w:t>
      </w:r>
    </w:p>
    <w:p>
      <w:pPr>
        <w:spacing w:line="440" w:lineRule="exact"/>
        <w:rPr>
          <w:rFonts w:hint="eastAsia" w:ascii="宋体" w:hAnsi="宋体"/>
          <w:color w:val="auto"/>
          <w:szCs w:val="21"/>
        </w:rPr>
      </w:pPr>
      <w:r>
        <w:rPr>
          <w:rFonts w:hint="eastAsia" w:ascii="宋体" w:hAnsi="宋体"/>
          <w:color w:val="auto"/>
          <w:szCs w:val="21"/>
        </w:rPr>
        <w:t xml:space="preserve">    2、节能产品是指列入中国政府采购网</w:t>
      </w:r>
      <w:r>
        <w:rPr>
          <w:rFonts w:ascii="宋体" w:hAnsi="宋体"/>
          <w:color w:val="auto"/>
          <w:szCs w:val="21"/>
        </w:rPr>
        <w:fldChar w:fldCharType="begin"/>
      </w:r>
      <w:r>
        <w:rPr>
          <w:rFonts w:ascii="宋体" w:hAnsi="宋体"/>
          <w:color w:val="auto"/>
          <w:szCs w:val="21"/>
        </w:rPr>
        <w:instrText xml:space="preserve"> HYPERLINK "http://</w:instrText>
      </w:r>
      <w:r>
        <w:rPr>
          <w:rFonts w:hint="eastAsia" w:ascii="宋体" w:hAnsi="宋体"/>
          <w:color w:val="auto"/>
          <w:szCs w:val="21"/>
        </w:rPr>
        <w:instrText xml:space="preserve">www.ccgp.gov.cn</w:instrText>
      </w:r>
      <w:r>
        <w:rPr>
          <w:rFonts w:ascii="宋体" w:hAnsi="宋体"/>
          <w:color w:val="auto"/>
          <w:szCs w:val="21"/>
        </w:rPr>
        <w:instrText xml:space="preserve">" </w:instrText>
      </w:r>
      <w:r>
        <w:rPr>
          <w:rFonts w:ascii="宋体" w:hAnsi="宋体"/>
          <w:color w:val="auto"/>
          <w:szCs w:val="21"/>
        </w:rPr>
        <w:fldChar w:fldCharType="separate"/>
      </w:r>
      <w:r>
        <w:rPr>
          <w:rStyle w:val="55"/>
          <w:rFonts w:hint="eastAsia" w:ascii="宋体" w:hAnsi="宋体"/>
          <w:color w:val="auto"/>
          <w:szCs w:val="21"/>
        </w:rPr>
        <w:t>www.ccgp.gov.cn</w:t>
      </w:r>
      <w:r>
        <w:rPr>
          <w:rFonts w:ascii="宋体" w:hAnsi="宋体"/>
          <w:color w:val="auto"/>
          <w:szCs w:val="21"/>
        </w:rPr>
        <w:fldChar w:fldCharType="end"/>
      </w:r>
      <w:r>
        <w:rPr>
          <w:rFonts w:hint="eastAsia" w:ascii="宋体" w:hAnsi="宋体"/>
          <w:color w:val="auto"/>
          <w:szCs w:val="21"/>
        </w:rPr>
        <w:t xml:space="preserve"> “节能环保产品查询系统” 距投标截止时间最近一期中的产品，投标文件中需附网络截图复印件加盖投标人公章。</w:t>
      </w:r>
    </w:p>
    <w:p>
      <w:pPr>
        <w:jc w:val="center"/>
        <w:rPr>
          <w:rFonts w:hint="eastAsia"/>
          <w:color w:val="auto"/>
          <w:szCs w:val="21"/>
        </w:rPr>
      </w:pPr>
    </w:p>
    <w:p>
      <w:pPr>
        <w:rPr>
          <w:rFonts w:hint="eastAsia"/>
          <w:color w:val="auto"/>
          <w:szCs w:val="21"/>
        </w:rPr>
      </w:pPr>
    </w:p>
    <w:p>
      <w:pPr>
        <w:spacing w:line="600" w:lineRule="exact"/>
        <w:rPr>
          <w:rFonts w:hint="eastAsia" w:ascii="宋体" w:hAnsi="宋体"/>
          <w:color w:val="auto"/>
          <w:szCs w:val="21"/>
        </w:rPr>
      </w:pPr>
      <w:r>
        <w:rPr>
          <w:rFonts w:hint="eastAsia"/>
          <w:color w:val="auto"/>
          <w:szCs w:val="21"/>
        </w:rPr>
        <w:t>投标人名称：</w:t>
      </w:r>
      <w:r>
        <w:rPr>
          <w:rFonts w:hint="eastAsia"/>
          <w:color w:val="auto"/>
          <w:szCs w:val="21"/>
          <w:u w:val="single"/>
        </w:rPr>
        <w:t>＿＿＿＿＿＿＿＿＿＿＿＿</w:t>
      </w:r>
      <w:r>
        <w:rPr>
          <w:rFonts w:hint="eastAsia"/>
          <w:color w:val="auto"/>
          <w:szCs w:val="21"/>
        </w:rPr>
        <w:t>（公章）</w:t>
      </w:r>
    </w:p>
    <w:p>
      <w:pPr>
        <w:spacing w:line="600" w:lineRule="exact"/>
        <w:rPr>
          <w:rFonts w:hint="eastAsia"/>
          <w:color w:val="auto"/>
          <w:szCs w:val="21"/>
        </w:rPr>
      </w:pPr>
      <w:r>
        <w:rPr>
          <w:rFonts w:hint="eastAsia"/>
          <w:color w:val="auto"/>
          <w:szCs w:val="21"/>
        </w:rPr>
        <w:t>投标方法人或授权代表签字：</w:t>
      </w:r>
      <w:r>
        <w:rPr>
          <w:rFonts w:hint="eastAsia"/>
          <w:color w:val="auto"/>
          <w:szCs w:val="21"/>
          <w:u w:val="single"/>
        </w:rPr>
        <w:t>＿＿＿＿＿＿＿＿＿</w:t>
      </w:r>
      <w:r>
        <w:rPr>
          <w:rFonts w:hint="eastAsia"/>
          <w:color w:val="auto"/>
          <w:szCs w:val="21"/>
        </w:rPr>
        <w:t>职务：</w:t>
      </w:r>
      <w:r>
        <w:rPr>
          <w:rFonts w:hint="eastAsia"/>
          <w:color w:val="auto"/>
          <w:szCs w:val="21"/>
          <w:u w:val="single"/>
        </w:rPr>
        <w:t>＿＿＿＿＿＿＿＿</w:t>
      </w:r>
    </w:p>
    <w:p>
      <w:pPr>
        <w:spacing w:line="600" w:lineRule="exact"/>
        <w:rPr>
          <w:rFonts w:hint="eastAsia"/>
          <w:color w:val="auto"/>
          <w:szCs w:val="21"/>
        </w:rPr>
      </w:pPr>
      <w:r>
        <w:rPr>
          <w:rFonts w:hint="eastAsia"/>
          <w:color w:val="auto"/>
          <w:szCs w:val="21"/>
        </w:rPr>
        <w:t>日期：＿＿＿＿＿＿＿</w:t>
      </w:r>
    </w:p>
    <w:p>
      <w:pPr>
        <w:spacing w:line="600" w:lineRule="exact"/>
        <w:rPr>
          <w:color w:val="auto"/>
          <w:szCs w:val="21"/>
        </w:rPr>
      </w:pPr>
    </w:p>
    <w:p>
      <w:pPr>
        <w:spacing w:line="440" w:lineRule="exact"/>
        <w:rPr>
          <w:rFonts w:hint="eastAsia"/>
          <w:color w:val="auto"/>
          <w:szCs w:val="21"/>
        </w:rPr>
      </w:pPr>
    </w:p>
    <w:p>
      <w:pPr>
        <w:spacing w:line="440" w:lineRule="exact"/>
        <w:rPr>
          <w:rFonts w:hint="eastAsia"/>
          <w:color w:val="auto"/>
          <w:szCs w:val="21"/>
        </w:rPr>
      </w:pPr>
    </w:p>
    <w:p>
      <w:pPr>
        <w:spacing w:line="440" w:lineRule="exact"/>
        <w:jc w:val="center"/>
        <w:rPr>
          <w:rFonts w:hint="eastAsia" w:ascii="宋体" w:hAnsi="宋体"/>
          <w:color w:val="auto"/>
          <w:szCs w:val="21"/>
        </w:rPr>
      </w:pPr>
      <w:r>
        <w:rPr>
          <w:rFonts w:hint="eastAsia" w:ascii="宋体" w:hAnsi="宋体"/>
          <w:color w:val="auto"/>
          <w:szCs w:val="21"/>
        </w:rPr>
        <w:t>7）列入距投标截止时间最近一期环境标志产品政府采购清单的产品分项报价表</w:t>
      </w:r>
    </w:p>
    <w:p>
      <w:pPr>
        <w:spacing w:line="440" w:lineRule="exact"/>
        <w:jc w:val="center"/>
        <w:rPr>
          <w:rFonts w:hint="eastAsia" w:ascii="宋体" w:hAnsi="宋体"/>
          <w:color w:val="auto"/>
          <w:szCs w:val="21"/>
        </w:rPr>
      </w:pPr>
      <w:r>
        <w:rPr>
          <w:rFonts w:hint="eastAsia" w:ascii="ˎ̥" w:hAnsi="ˎ̥" w:cs="宋体"/>
          <w:color w:val="auto"/>
          <w:kern w:val="0"/>
          <w:szCs w:val="21"/>
        </w:rPr>
        <w:t>（</w:t>
      </w:r>
      <w:r>
        <w:rPr>
          <w:rFonts w:hint="eastAsia" w:ascii="宋体" w:hAnsi="宋体"/>
          <w:color w:val="auto"/>
          <w:szCs w:val="21"/>
        </w:rPr>
        <w:t>如符合要求，可提供</w:t>
      </w:r>
      <w:r>
        <w:rPr>
          <w:rFonts w:hint="eastAsia" w:ascii="ˎ̥" w:hAnsi="ˎ̥" w:cs="宋体"/>
          <w:color w:val="auto"/>
          <w:kern w:val="0"/>
          <w:szCs w:val="21"/>
        </w:rPr>
        <w:t>）</w:t>
      </w:r>
    </w:p>
    <w:p>
      <w:pPr>
        <w:spacing w:line="440" w:lineRule="exact"/>
        <w:rPr>
          <w:rFonts w:hint="eastAsia" w:ascii="宋体" w:hAnsi="宋体"/>
          <w:color w:val="auto"/>
          <w:szCs w:val="21"/>
        </w:rPr>
      </w:pPr>
    </w:p>
    <w:p>
      <w:pPr>
        <w:spacing w:line="440" w:lineRule="exact"/>
        <w:rPr>
          <w:rFonts w:hint="eastAsia" w:ascii="宋体" w:hAnsi="宋体"/>
          <w:color w:val="auto"/>
          <w:szCs w:val="21"/>
          <w:u w:val="single"/>
        </w:rPr>
      </w:pPr>
      <w:r>
        <w:rPr>
          <w:rFonts w:hint="eastAsia" w:ascii="宋体" w:hAnsi="宋体"/>
          <w:color w:val="auto"/>
          <w:szCs w:val="21"/>
        </w:rPr>
        <w:t xml:space="preserve">项目名称：                               </w:t>
      </w:r>
      <w:r>
        <w:rPr>
          <w:rFonts w:hint="eastAsia" w:ascii="宋体" w:hAnsi="宋体"/>
          <w:color w:val="auto"/>
          <w:spacing w:val="14"/>
          <w:szCs w:val="21"/>
        </w:rPr>
        <w:t>项目编号</w:t>
      </w:r>
      <w:r>
        <w:rPr>
          <w:rFonts w:hint="eastAsia" w:ascii="宋体" w:hAnsi="宋体"/>
          <w:color w:val="auto"/>
          <w:szCs w:val="21"/>
        </w:rPr>
        <w:t>：              子包号：</w:t>
      </w:r>
      <w:r>
        <w:rPr>
          <w:rFonts w:hint="eastAsia" w:ascii="宋体" w:hAnsi="宋体"/>
          <w:color w:val="auto"/>
          <w:szCs w:val="21"/>
          <w:u w:val="single"/>
        </w:rPr>
        <w:t xml:space="preserve">                 </w:t>
      </w:r>
    </w:p>
    <w:p>
      <w:pPr>
        <w:spacing w:line="440" w:lineRule="exact"/>
        <w:ind w:right="420"/>
        <w:jc w:val="right"/>
        <w:rPr>
          <w:rFonts w:hint="eastAsia" w:ascii="宋体" w:hAnsi="宋体"/>
          <w:color w:val="auto"/>
          <w:szCs w:val="21"/>
        </w:rPr>
      </w:pPr>
      <w:r>
        <w:rPr>
          <w:rFonts w:hint="eastAsia"/>
          <w:color w:val="auto"/>
          <w:szCs w:val="21"/>
        </w:rPr>
        <w:t>（价格单位：人民币元）</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73"/>
        <w:gridCol w:w="1260"/>
        <w:gridCol w:w="1620"/>
        <w:gridCol w:w="720"/>
        <w:gridCol w:w="1080"/>
        <w:gridCol w:w="1080"/>
        <w:gridCol w:w="1440"/>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1102" w:hRule="atLeast"/>
        </w:trPr>
        <w:tc>
          <w:tcPr>
            <w:tcW w:w="735"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序号</w:t>
            </w:r>
          </w:p>
        </w:tc>
        <w:tc>
          <w:tcPr>
            <w:tcW w:w="1173"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产品名称</w:t>
            </w:r>
          </w:p>
        </w:tc>
        <w:tc>
          <w:tcPr>
            <w:tcW w:w="126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品牌</w:t>
            </w:r>
          </w:p>
          <w:p>
            <w:pPr>
              <w:spacing w:line="440" w:lineRule="exact"/>
              <w:jc w:val="center"/>
              <w:rPr>
                <w:rFonts w:hint="eastAsia" w:ascii="宋体" w:hAnsi="宋体"/>
                <w:color w:val="auto"/>
                <w:szCs w:val="21"/>
              </w:rPr>
            </w:pPr>
            <w:r>
              <w:rPr>
                <w:rFonts w:hint="eastAsia" w:ascii="宋体" w:hAnsi="宋体"/>
                <w:color w:val="auto"/>
                <w:szCs w:val="21"/>
              </w:rPr>
              <w:t>规格型号</w:t>
            </w:r>
          </w:p>
        </w:tc>
        <w:tc>
          <w:tcPr>
            <w:tcW w:w="162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生产商名称</w:t>
            </w:r>
          </w:p>
        </w:tc>
        <w:tc>
          <w:tcPr>
            <w:tcW w:w="72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数量</w:t>
            </w:r>
          </w:p>
        </w:tc>
        <w:tc>
          <w:tcPr>
            <w:tcW w:w="108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投标</w:t>
            </w:r>
          </w:p>
          <w:p>
            <w:pPr>
              <w:spacing w:line="440" w:lineRule="exact"/>
              <w:jc w:val="center"/>
              <w:rPr>
                <w:rFonts w:hint="eastAsia" w:ascii="宋体" w:hAnsi="宋体"/>
                <w:color w:val="auto"/>
                <w:szCs w:val="21"/>
              </w:rPr>
            </w:pPr>
            <w:r>
              <w:rPr>
                <w:rFonts w:hint="eastAsia" w:ascii="宋体" w:hAnsi="宋体"/>
                <w:color w:val="auto"/>
                <w:szCs w:val="21"/>
              </w:rPr>
              <w:t>单价</w:t>
            </w:r>
          </w:p>
        </w:tc>
        <w:tc>
          <w:tcPr>
            <w:tcW w:w="108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投标总价</w:t>
            </w:r>
          </w:p>
        </w:tc>
        <w:tc>
          <w:tcPr>
            <w:tcW w:w="144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环保产品</w:t>
            </w:r>
          </w:p>
          <w:p>
            <w:pPr>
              <w:spacing w:line="440" w:lineRule="exact"/>
              <w:jc w:val="center"/>
              <w:rPr>
                <w:rFonts w:hint="eastAsia" w:ascii="宋体" w:hAnsi="宋体"/>
                <w:color w:val="auto"/>
                <w:szCs w:val="21"/>
              </w:rPr>
            </w:pPr>
            <w:r>
              <w:rPr>
                <w:rFonts w:hint="eastAsia" w:ascii="宋体" w:hAnsi="宋体"/>
                <w:color w:val="auto"/>
                <w:szCs w:val="21"/>
              </w:rPr>
              <w:t>证书编号</w:t>
            </w:r>
          </w:p>
        </w:tc>
        <w:tc>
          <w:tcPr>
            <w:tcW w:w="816"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对应</w:t>
            </w:r>
          </w:p>
          <w:p>
            <w:pPr>
              <w:spacing w:line="440" w:lineRule="exact"/>
              <w:jc w:val="center"/>
              <w:rPr>
                <w:rFonts w:hint="eastAsia" w:ascii="宋体" w:hAnsi="宋体"/>
                <w:color w:val="auto"/>
                <w:szCs w:val="21"/>
              </w:rPr>
            </w:pPr>
            <w:r>
              <w:rPr>
                <w:rFonts w:hint="eastAsia" w:ascii="宋体" w:hAnsi="宋体"/>
                <w:color w:val="auto"/>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6" w:hRule="atLeast"/>
        </w:trPr>
        <w:tc>
          <w:tcPr>
            <w:tcW w:w="735" w:type="dxa"/>
            <w:noWrap w:val="0"/>
            <w:vAlign w:val="center"/>
          </w:tcPr>
          <w:p>
            <w:pPr>
              <w:spacing w:line="440" w:lineRule="exact"/>
              <w:jc w:val="center"/>
              <w:rPr>
                <w:rFonts w:hint="eastAsia" w:ascii="宋体" w:hAnsi="宋体"/>
                <w:color w:val="auto"/>
                <w:szCs w:val="21"/>
              </w:rPr>
            </w:pPr>
          </w:p>
        </w:tc>
        <w:tc>
          <w:tcPr>
            <w:tcW w:w="1173"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1620" w:type="dxa"/>
            <w:noWrap w:val="0"/>
            <w:vAlign w:val="center"/>
          </w:tcPr>
          <w:p>
            <w:pPr>
              <w:spacing w:line="440" w:lineRule="exact"/>
              <w:jc w:val="center"/>
              <w:rPr>
                <w:rFonts w:hint="eastAsia" w:ascii="宋体" w:hAnsi="宋体"/>
                <w:color w:val="auto"/>
                <w:szCs w:val="21"/>
              </w:rPr>
            </w:pPr>
          </w:p>
        </w:tc>
        <w:tc>
          <w:tcPr>
            <w:tcW w:w="72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816"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6" w:hRule="atLeast"/>
        </w:trPr>
        <w:tc>
          <w:tcPr>
            <w:tcW w:w="735" w:type="dxa"/>
            <w:noWrap w:val="0"/>
            <w:vAlign w:val="center"/>
          </w:tcPr>
          <w:p>
            <w:pPr>
              <w:spacing w:line="440" w:lineRule="exact"/>
              <w:jc w:val="center"/>
              <w:rPr>
                <w:rFonts w:hint="eastAsia" w:ascii="宋体" w:hAnsi="宋体"/>
                <w:color w:val="auto"/>
                <w:szCs w:val="21"/>
              </w:rPr>
            </w:pPr>
          </w:p>
        </w:tc>
        <w:tc>
          <w:tcPr>
            <w:tcW w:w="1173"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1620" w:type="dxa"/>
            <w:noWrap w:val="0"/>
            <w:vAlign w:val="center"/>
          </w:tcPr>
          <w:p>
            <w:pPr>
              <w:spacing w:line="440" w:lineRule="exact"/>
              <w:jc w:val="center"/>
              <w:rPr>
                <w:rFonts w:hint="eastAsia" w:ascii="宋体" w:hAnsi="宋体"/>
                <w:color w:val="auto"/>
                <w:szCs w:val="21"/>
              </w:rPr>
            </w:pPr>
          </w:p>
        </w:tc>
        <w:tc>
          <w:tcPr>
            <w:tcW w:w="72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816"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6" w:hRule="atLeast"/>
        </w:trPr>
        <w:tc>
          <w:tcPr>
            <w:tcW w:w="735" w:type="dxa"/>
            <w:noWrap w:val="0"/>
            <w:vAlign w:val="center"/>
          </w:tcPr>
          <w:p>
            <w:pPr>
              <w:spacing w:line="440" w:lineRule="exact"/>
              <w:jc w:val="center"/>
              <w:rPr>
                <w:rFonts w:hint="eastAsia" w:ascii="宋体" w:hAnsi="宋体"/>
                <w:color w:val="auto"/>
                <w:szCs w:val="21"/>
              </w:rPr>
            </w:pPr>
          </w:p>
        </w:tc>
        <w:tc>
          <w:tcPr>
            <w:tcW w:w="1173"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1620" w:type="dxa"/>
            <w:noWrap w:val="0"/>
            <w:vAlign w:val="center"/>
          </w:tcPr>
          <w:p>
            <w:pPr>
              <w:spacing w:line="440" w:lineRule="exact"/>
              <w:jc w:val="center"/>
              <w:rPr>
                <w:rFonts w:hint="eastAsia" w:ascii="宋体" w:hAnsi="宋体"/>
                <w:color w:val="auto"/>
                <w:szCs w:val="21"/>
              </w:rPr>
            </w:pPr>
          </w:p>
        </w:tc>
        <w:tc>
          <w:tcPr>
            <w:tcW w:w="72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816"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6" w:hRule="atLeast"/>
        </w:trPr>
        <w:tc>
          <w:tcPr>
            <w:tcW w:w="735" w:type="dxa"/>
            <w:noWrap w:val="0"/>
            <w:vAlign w:val="center"/>
          </w:tcPr>
          <w:p>
            <w:pPr>
              <w:spacing w:line="440" w:lineRule="exact"/>
              <w:jc w:val="center"/>
              <w:rPr>
                <w:rFonts w:hint="eastAsia" w:ascii="宋体" w:hAnsi="宋体"/>
                <w:color w:val="auto"/>
                <w:szCs w:val="21"/>
              </w:rPr>
            </w:pPr>
          </w:p>
        </w:tc>
        <w:tc>
          <w:tcPr>
            <w:tcW w:w="1173"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1620" w:type="dxa"/>
            <w:noWrap w:val="0"/>
            <w:vAlign w:val="center"/>
          </w:tcPr>
          <w:p>
            <w:pPr>
              <w:spacing w:line="440" w:lineRule="exact"/>
              <w:jc w:val="center"/>
              <w:rPr>
                <w:rFonts w:hint="eastAsia" w:ascii="宋体" w:hAnsi="宋体"/>
                <w:color w:val="auto"/>
                <w:szCs w:val="21"/>
              </w:rPr>
            </w:pPr>
          </w:p>
        </w:tc>
        <w:tc>
          <w:tcPr>
            <w:tcW w:w="72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816"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6" w:hRule="atLeast"/>
        </w:trPr>
        <w:tc>
          <w:tcPr>
            <w:tcW w:w="735" w:type="dxa"/>
            <w:noWrap w:val="0"/>
            <w:vAlign w:val="center"/>
          </w:tcPr>
          <w:p>
            <w:pPr>
              <w:spacing w:line="440" w:lineRule="exact"/>
              <w:jc w:val="center"/>
              <w:rPr>
                <w:rFonts w:hint="eastAsia" w:ascii="宋体" w:hAnsi="宋体"/>
                <w:color w:val="auto"/>
                <w:szCs w:val="21"/>
              </w:rPr>
            </w:pPr>
          </w:p>
        </w:tc>
        <w:tc>
          <w:tcPr>
            <w:tcW w:w="1173"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1620" w:type="dxa"/>
            <w:noWrap w:val="0"/>
            <w:vAlign w:val="center"/>
          </w:tcPr>
          <w:p>
            <w:pPr>
              <w:spacing w:line="440" w:lineRule="exact"/>
              <w:jc w:val="center"/>
              <w:rPr>
                <w:rFonts w:hint="eastAsia" w:ascii="宋体" w:hAnsi="宋体"/>
                <w:color w:val="auto"/>
                <w:szCs w:val="21"/>
              </w:rPr>
            </w:pPr>
          </w:p>
        </w:tc>
        <w:tc>
          <w:tcPr>
            <w:tcW w:w="72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816"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6" w:hRule="atLeast"/>
        </w:trPr>
        <w:tc>
          <w:tcPr>
            <w:tcW w:w="735" w:type="dxa"/>
            <w:noWrap w:val="0"/>
            <w:vAlign w:val="center"/>
          </w:tcPr>
          <w:p>
            <w:pPr>
              <w:spacing w:line="440" w:lineRule="exact"/>
              <w:jc w:val="center"/>
              <w:rPr>
                <w:rFonts w:hint="eastAsia" w:ascii="宋体" w:hAnsi="宋体"/>
                <w:color w:val="auto"/>
                <w:szCs w:val="21"/>
              </w:rPr>
            </w:pPr>
          </w:p>
        </w:tc>
        <w:tc>
          <w:tcPr>
            <w:tcW w:w="1173" w:type="dxa"/>
            <w:noWrap w:val="0"/>
            <w:vAlign w:val="center"/>
          </w:tcPr>
          <w:p>
            <w:pPr>
              <w:spacing w:line="440" w:lineRule="exact"/>
              <w:jc w:val="center"/>
              <w:rPr>
                <w:rFonts w:hint="eastAsia" w:ascii="宋体" w:hAnsi="宋体"/>
                <w:color w:val="auto"/>
                <w:szCs w:val="21"/>
              </w:rPr>
            </w:pPr>
          </w:p>
        </w:tc>
        <w:tc>
          <w:tcPr>
            <w:tcW w:w="1260" w:type="dxa"/>
            <w:noWrap w:val="0"/>
            <w:vAlign w:val="center"/>
          </w:tcPr>
          <w:p>
            <w:pPr>
              <w:spacing w:line="440" w:lineRule="exact"/>
              <w:jc w:val="center"/>
              <w:rPr>
                <w:rFonts w:hint="eastAsia" w:ascii="宋体" w:hAnsi="宋体"/>
                <w:color w:val="auto"/>
                <w:szCs w:val="21"/>
              </w:rPr>
            </w:pPr>
          </w:p>
        </w:tc>
        <w:tc>
          <w:tcPr>
            <w:tcW w:w="1620" w:type="dxa"/>
            <w:noWrap w:val="0"/>
            <w:vAlign w:val="center"/>
          </w:tcPr>
          <w:p>
            <w:pPr>
              <w:spacing w:line="440" w:lineRule="exact"/>
              <w:jc w:val="center"/>
              <w:rPr>
                <w:rFonts w:hint="eastAsia" w:ascii="宋体" w:hAnsi="宋体"/>
                <w:color w:val="auto"/>
                <w:szCs w:val="21"/>
              </w:rPr>
            </w:pPr>
          </w:p>
        </w:tc>
        <w:tc>
          <w:tcPr>
            <w:tcW w:w="72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08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p>
        </w:tc>
        <w:tc>
          <w:tcPr>
            <w:tcW w:w="816" w:type="dxa"/>
            <w:noWrap w:val="0"/>
            <w:vAlign w:val="center"/>
          </w:tcPr>
          <w:p>
            <w:pPr>
              <w:spacing w:line="440" w:lineRule="exact"/>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56" w:hRule="atLeast"/>
        </w:trPr>
        <w:tc>
          <w:tcPr>
            <w:tcW w:w="735"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合计</w:t>
            </w:r>
          </w:p>
        </w:tc>
        <w:tc>
          <w:tcPr>
            <w:tcW w:w="1173"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126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162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72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108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1080" w:type="dxa"/>
            <w:noWrap w:val="0"/>
            <w:vAlign w:val="center"/>
          </w:tcPr>
          <w:p>
            <w:pPr>
              <w:spacing w:line="440" w:lineRule="exact"/>
              <w:jc w:val="center"/>
              <w:rPr>
                <w:rFonts w:hint="eastAsia" w:ascii="宋体" w:hAnsi="宋体"/>
                <w:color w:val="auto"/>
                <w:szCs w:val="21"/>
              </w:rPr>
            </w:pPr>
          </w:p>
        </w:tc>
        <w:tc>
          <w:tcPr>
            <w:tcW w:w="1440"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c>
          <w:tcPr>
            <w:tcW w:w="816" w:type="dxa"/>
            <w:noWrap w:val="0"/>
            <w:vAlign w:val="center"/>
          </w:tcPr>
          <w:p>
            <w:pPr>
              <w:spacing w:line="440" w:lineRule="exact"/>
              <w:jc w:val="center"/>
              <w:rPr>
                <w:rFonts w:hint="eastAsia" w:ascii="宋体" w:hAnsi="宋体"/>
                <w:color w:val="auto"/>
                <w:szCs w:val="21"/>
              </w:rPr>
            </w:pPr>
            <w:r>
              <w:rPr>
                <w:rFonts w:hint="eastAsia" w:ascii="宋体" w:hAnsi="宋体"/>
                <w:color w:val="auto"/>
                <w:szCs w:val="21"/>
              </w:rPr>
              <w:t>/</w:t>
            </w:r>
          </w:p>
        </w:tc>
      </w:tr>
    </w:tbl>
    <w:p>
      <w:pPr>
        <w:spacing w:line="440" w:lineRule="exact"/>
        <w:rPr>
          <w:rFonts w:hint="eastAsia" w:ascii="宋体" w:hAnsi="宋体"/>
          <w:color w:val="auto"/>
          <w:szCs w:val="21"/>
        </w:rPr>
      </w:pPr>
      <w:r>
        <w:rPr>
          <w:rFonts w:hint="eastAsia" w:ascii="宋体" w:hAnsi="宋体"/>
          <w:color w:val="auto"/>
          <w:szCs w:val="21"/>
        </w:rPr>
        <w:t>特别提醒：</w:t>
      </w:r>
    </w:p>
    <w:p>
      <w:pPr>
        <w:spacing w:line="440" w:lineRule="exact"/>
        <w:rPr>
          <w:rFonts w:hint="eastAsia" w:ascii="宋体" w:hAnsi="宋体"/>
          <w:color w:val="auto"/>
          <w:szCs w:val="21"/>
        </w:rPr>
      </w:pPr>
      <w:r>
        <w:rPr>
          <w:rFonts w:hint="eastAsia" w:ascii="宋体" w:hAnsi="宋体"/>
          <w:color w:val="auto"/>
          <w:szCs w:val="21"/>
        </w:rPr>
        <w:t xml:space="preserve">    1、本表专用于政府采购政策评审，如果相关当事人对中标人有异议的，本表将申请公开，若有虚假，取消中标资格，并依法承担法律责任。</w:t>
      </w:r>
    </w:p>
    <w:p>
      <w:pPr>
        <w:spacing w:line="440" w:lineRule="exact"/>
        <w:rPr>
          <w:rFonts w:hint="eastAsia" w:ascii="宋体" w:hAnsi="宋体"/>
          <w:color w:val="auto"/>
          <w:szCs w:val="21"/>
        </w:rPr>
      </w:pPr>
      <w:r>
        <w:rPr>
          <w:rFonts w:hint="eastAsia" w:ascii="宋体" w:hAnsi="宋体"/>
          <w:color w:val="auto"/>
          <w:szCs w:val="21"/>
        </w:rPr>
        <w:t xml:space="preserve">    2、环境标志产品是指列入中国政府采购网</w:t>
      </w:r>
      <w:r>
        <w:rPr>
          <w:rFonts w:ascii="宋体" w:hAnsi="宋体"/>
          <w:color w:val="auto"/>
          <w:szCs w:val="21"/>
        </w:rPr>
        <w:fldChar w:fldCharType="begin"/>
      </w:r>
      <w:r>
        <w:rPr>
          <w:rFonts w:ascii="宋体" w:hAnsi="宋体"/>
          <w:color w:val="auto"/>
          <w:szCs w:val="21"/>
        </w:rPr>
        <w:instrText xml:space="preserve"> HYPERLINK "http://</w:instrText>
      </w:r>
      <w:r>
        <w:rPr>
          <w:rFonts w:hint="eastAsia" w:ascii="宋体" w:hAnsi="宋体"/>
          <w:color w:val="auto"/>
          <w:szCs w:val="21"/>
        </w:rPr>
        <w:instrText xml:space="preserve">www.ccgp.gov.cn</w:instrText>
      </w:r>
      <w:r>
        <w:rPr>
          <w:rFonts w:ascii="宋体" w:hAnsi="宋体"/>
          <w:color w:val="auto"/>
          <w:szCs w:val="21"/>
        </w:rPr>
        <w:instrText xml:space="preserve">" </w:instrText>
      </w:r>
      <w:r>
        <w:rPr>
          <w:rFonts w:ascii="宋体" w:hAnsi="宋体"/>
          <w:color w:val="auto"/>
          <w:szCs w:val="21"/>
        </w:rPr>
        <w:fldChar w:fldCharType="separate"/>
      </w:r>
      <w:r>
        <w:rPr>
          <w:rStyle w:val="55"/>
          <w:rFonts w:hint="eastAsia" w:ascii="宋体" w:hAnsi="宋体"/>
          <w:color w:val="auto"/>
          <w:szCs w:val="21"/>
        </w:rPr>
        <w:t>www.ccgp.gov.cn</w:t>
      </w:r>
      <w:r>
        <w:rPr>
          <w:rFonts w:ascii="宋体" w:hAnsi="宋体"/>
          <w:color w:val="auto"/>
          <w:szCs w:val="21"/>
        </w:rPr>
        <w:fldChar w:fldCharType="end"/>
      </w:r>
      <w:r>
        <w:rPr>
          <w:rFonts w:hint="eastAsia" w:ascii="宋体" w:hAnsi="宋体"/>
          <w:color w:val="auto"/>
          <w:szCs w:val="21"/>
        </w:rPr>
        <w:t xml:space="preserve"> “节能环保产品查询系统” 距投标截止时间最近一期中的产品，投标文件中附网络截图复印件并加盖投标人公章。</w:t>
      </w:r>
    </w:p>
    <w:p>
      <w:pPr>
        <w:spacing w:line="600" w:lineRule="exact"/>
        <w:rPr>
          <w:rFonts w:hint="eastAsia"/>
          <w:color w:val="auto"/>
          <w:szCs w:val="21"/>
        </w:rPr>
      </w:pPr>
      <w:r>
        <w:rPr>
          <w:rFonts w:hint="eastAsia"/>
          <w:color w:val="auto"/>
          <w:szCs w:val="21"/>
        </w:rPr>
        <w:t>投标人名称：</w:t>
      </w:r>
      <w:r>
        <w:rPr>
          <w:rFonts w:hint="eastAsia"/>
          <w:color w:val="auto"/>
          <w:szCs w:val="21"/>
          <w:u w:val="single"/>
        </w:rPr>
        <w:t>＿＿＿＿＿＿＿＿＿＿＿＿</w:t>
      </w:r>
      <w:r>
        <w:rPr>
          <w:rFonts w:hint="eastAsia"/>
          <w:color w:val="auto"/>
          <w:szCs w:val="21"/>
        </w:rPr>
        <w:t>（公章）</w:t>
      </w:r>
    </w:p>
    <w:p>
      <w:pPr>
        <w:spacing w:line="600" w:lineRule="exact"/>
        <w:rPr>
          <w:rFonts w:hint="eastAsia"/>
          <w:color w:val="auto"/>
          <w:szCs w:val="21"/>
        </w:rPr>
      </w:pPr>
      <w:r>
        <w:rPr>
          <w:rFonts w:hint="eastAsia"/>
          <w:color w:val="auto"/>
          <w:szCs w:val="21"/>
        </w:rPr>
        <w:t>投标方法人或授权代表签字：</w:t>
      </w:r>
      <w:r>
        <w:rPr>
          <w:rFonts w:hint="eastAsia"/>
          <w:color w:val="auto"/>
          <w:szCs w:val="21"/>
          <w:u w:val="single"/>
        </w:rPr>
        <w:t>＿＿＿＿＿＿＿＿＿</w:t>
      </w:r>
      <w:r>
        <w:rPr>
          <w:rFonts w:hint="eastAsia"/>
          <w:color w:val="auto"/>
          <w:szCs w:val="21"/>
        </w:rPr>
        <w:t>职务：</w:t>
      </w:r>
      <w:r>
        <w:rPr>
          <w:rFonts w:hint="eastAsia"/>
          <w:color w:val="auto"/>
          <w:szCs w:val="21"/>
          <w:u w:val="single"/>
        </w:rPr>
        <w:t>＿＿＿＿＿＿＿＿</w:t>
      </w:r>
    </w:p>
    <w:p>
      <w:pPr>
        <w:spacing w:line="600" w:lineRule="exact"/>
        <w:rPr>
          <w:rFonts w:hint="eastAsia"/>
          <w:color w:val="auto"/>
          <w:szCs w:val="21"/>
        </w:rPr>
      </w:pPr>
      <w:r>
        <w:rPr>
          <w:rFonts w:hint="eastAsia"/>
          <w:color w:val="auto"/>
          <w:szCs w:val="21"/>
        </w:rPr>
        <w:t>日期：＿＿＿＿＿＿＿</w:t>
      </w:r>
    </w:p>
    <w:p>
      <w:pPr>
        <w:snapToGrid w:val="0"/>
        <w:spacing w:before="50" w:after="120" w:afterLines="50" w:line="360" w:lineRule="auto"/>
        <w:jc w:val="left"/>
        <w:rPr>
          <w:rFonts w:hint="eastAsia" w:hAnsi="宋体"/>
          <w:color w:val="auto"/>
          <w:szCs w:val="21"/>
        </w:rPr>
      </w:pPr>
    </w:p>
    <w:p>
      <w:pPr>
        <w:snapToGrid w:val="0"/>
        <w:spacing w:before="50" w:after="120" w:afterLines="50" w:line="360" w:lineRule="auto"/>
        <w:jc w:val="left"/>
        <w:rPr>
          <w:rFonts w:hint="eastAsia" w:hAnsi="宋体"/>
          <w:color w:val="auto"/>
          <w:szCs w:val="21"/>
        </w:rPr>
      </w:pPr>
    </w:p>
    <w:p>
      <w:pPr>
        <w:snapToGrid w:val="0"/>
        <w:spacing w:before="50" w:after="120" w:afterLines="50" w:line="360" w:lineRule="auto"/>
        <w:jc w:val="left"/>
        <w:rPr>
          <w:rFonts w:hint="eastAsia" w:hAnsi="宋体"/>
          <w:color w:val="auto"/>
          <w:szCs w:val="21"/>
        </w:rPr>
      </w:pPr>
    </w:p>
    <w:p>
      <w:pPr>
        <w:snapToGrid w:val="0"/>
        <w:spacing w:before="50" w:after="120" w:afterLines="50" w:line="360" w:lineRule="auto"/>
        <w:jc w:val="left"/>
        <w:rPr>
          <w:rFonts w:hint="eastAsia" w:hAnsi="宋体"/>
          <w:color w:val="auto"/>
          <w:szCs w:val="21"/>
        </w:rPr>
      </w:pPr>
      <w:bookmarkStart w:id="10" w:name="OLE_LINK13"/>
      <w:bookmarkStart w:id="11" w:name="OLE_LINK14"/>
      <w:r>
        <w:rPr>
          <w:rFonts w:hint="eastAsia" w:hAnsi="宋体"/>
          <w:color w:val="auto"/>
          <w:szCs w:val="21"/>
        </w:rPr>
        <w:t>8）                       残疾人福利性单位声明函</w:t>
      </w:r>
      <w:bookmarkEnd w:id="10"/>
      <w:bookmarkEnd w:id="11"/>
      <w:r>
        <w:rPr>
          <w:rFonts w:hint="eastAsia" w:ascii="ˎ̥" w:hAnsi="ˎ̥" w:cs="宋体"/>
          <w:color w:val="auto"/>
          <w:kern w:val="0"/>
          <w:szCs w:val="21"/>
        </w:rPr>
        <w:t>（</w:t>
      </w:r>
      <w:r>
        <w:rPr>
          <w:rFonts w:hint="eastAsia" w:ascii="宋体" w:hAnsi="宋体"/>
          <w:color w:val="auto"/>
          <w:szCs w:val="21"/>
        </w:rPr>
        <w:t>如符合要求，可提供</w:t>
      </w:r>
      <w:r>
        <w:rPr>
          <w:rFonts w:hint="eastAsia" w:ascii="ˎ̥" w:hAnsi="ˎ̥" w:cs="宋体"/>
          <w:color w:val="auto"/>
          <w:kern w:val="0"/>
          <w:szCs w:val="21"/>
        </w:rPr>
        <w:t>）</w:t>
      </w:r>
    </w:p>
    <w:p>
      <w:pPr>
        <w:snapToGrid w:val="0"/>
        <w:spacing w:before="50" w:after="120" w:afterLines="50" w:line="360" w:lineRule="auto"/>
        <w:ind w:firstLine="315" w:firstLineChars="150"/>
        <w:jc w:val="left"/>
        <w:rPr>
          <w:rFonts w:hint="eastAsia" w:hAnsi="宋体"/>
          <w:color w:val="auto"/>
          <w:szCs w:val="21"/>
        </w:rPr>
      </w:pPr>
      <w:r>
        <w:rPr>
          <w:rFonts w:hint="eastAsia" w:hAnsi="宋体"/>
          <w:color w:val="auto"/>
          <w:szCs w:val="21"/>
        </w:rPr>
        <w:t>本单位郑重声明，根据《财政部 民政部 中国残疾人联合会关于促进残疾人就业政府采购政策的通知》（财库〔2017〕 141</w:t>
      </w:r>
      <w:bookmarkStart w:id="12" w:name="_GoBack"/>
      <w:bookmarkEnd w:id="12"/>
      <w:r>
        <w:rPr>
          <w:rFonts w:hint="eastAsia" w:hAnsi="宋体"/>
          <w:color w:val="auto"/>
          <w:szCs w:val="21"/>
        </w:rPr>
        <w:t>号）的规定，本单位为符合条件的残疾人福利性单位，且本单位参加______单位的______项目采购活动提供本单位制造的货物，本单位提供服务，或者提供其他残疾人福利性单位制造的货物（不包括使用非残疾人福利性单位注册商标的货物）。</w:t>
      </w:r>
    </w:p>
    <w:p>
      <w:pPr>
        <w:snapToGrid w:val="0"/>
        <w:spacing w:before="50" w:after="120" w:afterLines="50" w:line="360" w:lineRule="auto"/>
        <w:jc w:val="left"/>
        <w:rPr>
          <w:rFonts w:hint="eastAsia" w:hAnsi="宋体"/>
          <w:color w:val="auto"/>
          <w:szCs w:val="21"/>
        </w:rPr>
      </w:pPr>
      <w:r>
        <w:rPr>
          <w:rFonts w:hint="eastAsia" w:hAnsi="宋体"/>
          <w:color w:val="auto"/>
          <w:szCs w:val="21"/>
        </w:rPr>
        <w:t>本单位对上述声明的真实性负责。如有虚假，将依法承担相应责任。</w:t>
      </w:r>
    </w:p>
    <w:p>
      <w:pPr>
        <w:snapToGrid w:val="0"/>
        <w:spacing w:before="50" w:after="120" w:afterLines="50" w:line="360" w:lineRule="auto"/>
        <w:jc w:val="left"/>
        <w:rPr>
          <w:rFonts w:hint="eastAsia" w:hAnsi="宋体"/>
          <w:color w:val="auto"/>
          <w:szCs w:val="21"/>
        </w:rPr>
      </w:pPr>
    </w:p>
    <w:p>
      <w:pPr>
        <w:snapToGrid w:val="0"/>
        <w:spacing w:before="50" w:after="120" w:afterLines="50" w:line="360" w:lineRule="auto"/>
        <w:jc w:val="left"/>
        <w:rPr>
          <w:rFonts w:hint="eastAsia" w:hAnsi="宋体"/>
          <w:color w:val="auto"/>
          <w:szCs w:val="21"/>
        </w:rPr>
      </w:pPr>
    </w:p>
    <w:p>
      <w:pPr>
        <w:snapToGrid w:val="0"/>
        <w:spacing w:before="50" w:after="120" w:afterLines="50" w:line="360" w:lineRule="auto"/>
        <w:jc w:val="left"/>
        <w:rPr>
          <w:rFonts w:hint="eastAsia" w:hAnsi="宋体"/>
          <w:color w:val="auto"/>
          <w:szCs w:val="21"/>
        </w:rPr>
      </w:pPr>
      <w:r>
        <w:rPr>
          <w:rFonts w:hint="eastAsia" w:hAnsi="宋体"/>
          <w:color w:val="auto"/>
          <w:szCs w:val="21"/>
        </w:rPr>
        <w:t>投标人名称（盖章）：</w:t>
      </w:r>
    </w:p>
    <w:p>
      <w:pPr>
        <w:snapToGrid w:val="0"/>
        <w:spacing w:before="50" w:after="120" w:afterLines="50" w:line="360" w:lineRule="auto"/>
        <w:jc w:val="left"/>
        <w:rPr>
          <w:rFonts w:hint="eastAsia" w:hAnsi="宋体"/>
          <w:color w:val="auto"/>
          <w:szCs w:val="21"/>
        </w:rPr>
      </w:pPr>
      <w:r>
        <w:rPr>
          <w:rFonts w:hint="eastAsia" w:hAnsi="宋体"/>
          <w:color w:val="auto"/>
          <w:szCs w:val="21"/>
        </w:rPr>
        <w:t>日  期：</w:t>
      </w:r>
    </w:p>
    <w:p>
      <w:pPr>
        <w:snapToGrid w:val="0"/>
        <w:spacing w:before="50" w:after="120" w:afterLines="50" w:line="360" w:lineRule="auto"/>
        <w:jc w:val="left"/>
        <w:rPr>
          <w:rFonts w:hint="eastAsia" w:hAnsi="宋体"/>
          <w:color w:val="auto"/>
          <w:szCs w:val="21"/>
        </w:rPr>
      </w:pPr>
      <w:r>
        <w:rPr>
          <w:rFonts w:hint="eastAsia" w:hAnsi="宋体"/>
          <w:color w:val="auto"/>
          <w:szCs w:val="21"/>
        </w:rPr>
        <w:t>9）</w:t>
      </w:r>
      <w:r>
        <w:rPr>
          <w:rFonts w:ascii="ˎ̥" w:hAnsi="ˎ̥" w:cs="宋体"/>
          <w:color w:val="auto"/>
          <w:kern w:val="0"/>
          <w:szCs w:val="21"/>
        </w:rPr>
        <w:t>由省级以上监狱管理局、戒毒管理局（含新疆生产建设兵团）出具的属于监狱企业的证明文件</w:t>
      </w:r>
      <w:r>
        <w:rPr>
          <w:rFonts w:hint="eastAsia" w:ascii="ˎ̥" w:hAnsi="ˎ̥" w:cs="宋体"/>
          <w:color w:val="auto"/>
          <w:kern w:val="0"/>
          <w:szCs w:val="21"/>
        </w:rPr>
        <w:t>，加盖投标人公章。（</w:t>
      </w:r>
      <w:r>
        <w:rPr>
          <w:rFonts w:hint="eastAsia" w:ascii="宋体" w:hAnsi="宋体"/>
          <w:color w:val="auto"/>
          <w:szCs w:val="21"/>
        </w:rPr>
        <w:t>如符合要求，可提供</w:t>
      </w:r>
      <w:r>
        <w:rPr>
          <w:rFonts w:hint="eastAsia" w:ascii="ˎ̥" w:hAnsi="ˎ̥" w:cs="宋体"/>
          <w:color w:val="auto"/>
          <w:kern w:val="0"/>
          <w:szCs w:val="21"/>
        </w:rPr>
        <w:t>）</w:t>
      </w:r>
    </w:p>
    <w:p>
      <w:pPr>
        <w:snapToGrid w:val="0"/>
        <w:spacing w:before="50" w:after="120" w:afterLines="50" w:line="360" w:lineRule="auto"/>
        <w:jc w:val="left"/>
        <w:rPr>
          <w:rFonts w:ascii="宋体" w:hAnsi="宋体"/>
          <w:color w:val="auto"/>
          <w:szCs w:val="21"/>
        </w:rPr>
        <w:sectPr>
          <w:pgSz w:w="11906" w:h="16838"/>
          <w:pgMar w:top="1440" w:right="1440" w:bottom="1440" w:left="1610" w:header="851" w:footer="851" w:gutter="0"/>
          <w:cols w:space="720" w:num="1"/>
          <w:titlePg/>
          <w:docGrid w:linePitch="312" w:charSpace="0"/>
        </w:sectPr>
      </w:pPr>
      <w:r>
        <w:rPr>
          <w:rFonts w:hint="eastAsia" w:hAnsi="宋体"/>
          <w:color w:val="auto"/>
          <w:szCs w:val="21"/>
        </w:rPr>
        <w:t>10）</w:t>
      </w:r>
      <w:r>
        <w:rPr>
          <w:rFonts w:hAnsi="宋体"/>
          <w:color w:val="auto"/>
          <w:szCs w:val="21"/>
        </w:rPr>
        <w:t>投标人针对报价需要说明的其他文件和说明</w:t>
      </w:r>
      <w:r>
        <w:rPr>
          <w:rFonts w:hint="eastAsia" w:hAnsi="宋体"/>
          <w:color w:val="auto"/>
          <w:szCs w:val="21"/>
        </w:rPr>
        <w:t>。</w:t>
      </w:r>
    </w:p>
    <w:p>
      <w:pPr>
        <w:snapToGrid w:val="0"/>
        <w:spacing w:before="50" w:after="120" w:afterLines="50"/>
        <w:jc w:val="left"/>
        <w:rPr>
          <w:rFonts w:hint="eastAsia" w:ascii="宋体" w:hAnsi="宋体"/>
          <w:b/>
          <w:color w:val="auto"/>
          <w:szCs w:val="21"/>
        </w:rPr>
      </w:pPr>
      <w:r>
        <w:rPr>
          <w:rFonts w:hint="eastAsia" w:ascii="宋体" w:hAnsi="宋体"/>
          <w:b/>
          <w:color w:val="auto"/>
          <w:szCs w:val="21"/>
        </w:rPr>
        <w:t>二、资信、商务、技术文件</w:t>
      </w:r>
    </w:p>
    <w:p>
      <w:pPr>
        <w:rPr>
          <w:rFonts w:hint="eastAsia"/>
          <w:b/>
          <w:color w:val="auto"/>
        </w:rPr>
      </w:pPr>
      <w:r>
        <w:rPr>
          <w:rFonts w:hint="eastAsia"/>
          <w:b/>
          <w:color w:val="auto"/>
        </w:rPr>
        <w:t>资信、商务部分</w:t>
      </w:r>
    </w:p>
    <w:p>
      <w:pPr>
        <w:snapToGrid w:val="0"/>
        <w:spacing w:line="360" w:lineRule="auto"/>
        <w:jc w:val="left"/>
        <w:rPr>
          <w:rFonts w:ascii="宋体" w:hAnsi="宋体"/>
          <w:color w:val="auto"/>
          <w:szCs w:val="21"/>
        </w:rPr>
      </w:pPr>
      <w:r>
        <w:rPr>
          <w:rFonts w:hint="eastAsia" w:ascii="宋体" w:hAnsi="宋体"/>
          <w:color w:val="auto"/>
          <w:szCs w:val="21"/>
        </w:rPr>
        <w:t>1</w:t>
      </w:r>
      <w:r>
        <w:rPr>
          <w:rFonts w:ascii="宋体" w:hAnsi="宋体"/>
          <w:color w:val="auto"/>
          <w:szCs w:val="21"/>
        </w:rPr>
        <w:t>）投标保证金缴纳凭证（</w:t>
      </w:r>
      <w:r>
        <w:rPr>
          <w:rFonts w:hint="eastAsia" w:ascii="宋体" w:hAnsi="宋体"/>
          <w:color w:val="auto"/>
          <w:szCs w:val="21"/>
        </w:rPr>
        <w:t>格式自拟，投标文件中附满足投标邀请第七条规定的</w:t>
      </w:r>
      <w:r>
        <w:rPr>
          <w:rFonts w:ascii="宋体" w:hAnsi="宋体"/>
          <w:color w:val="auto"/>
          <w:szCs w:val="21"/>
        </w:rPr>
        <w:t>投标保证金缴纳凭证</w:t>
      </w:r>
      <w:r>
        <w:rPr>
          <w:rFonts w:hint="eastAsia" w:ascii="宋体" w:hAnsi="宋体"/>
          <w:color w:val="auto"/>
          <w:szCs w:val="21"/>
        </w:rPr>
        <w:t>资料复印件</w:t>
      </w:r>
      <w:r>
        <w:rPr>
          <w:rFonts w:ascii="宋体" w:hAnsi="宋体"/>
          <w:color w:val="auto"/>
          <w:szCs w:val="21"/>
        </w:rPr>
        <w:t>）；</w:t>
      </w:r>
    </w:p>
    <w:p>
      <w:pPr>
        <w:snapToGrid w:val="0"/>
        <w:spacing w:before="120" w:beforeLines="50" w:line="360" w:lineRule="auto"/>
        <w:jc w:val="left"/>
        <w:rPr>
          <w:rFonts w:ascii="宋体" w:hAnsi="宋体"/>
          <w:color w:val="auto"/>
          <w:szCs w:val="21"/>
        </w:rPr>
      </w:pPr>
      <w:r>
        <w:rPr>
          <w:rFonts w:hint="eastAsia" w:ascii="宋体" w:hAnsi="宋体"/>
          <w:color w:val="auto"/>
          <w:szCs w:val="21"/>
        </w:rPr>
        <w:t>2）投标声明书：</w:t>
      </w:r>
    </w:p>
    <w:p>
      <w:pPr>
        <w:snapToGrid w:val="0"/>
        <w:spacing w:before="120" w:beforeLines="50" w:after="50" w:line="360" w:lineRule="auto"/>
        <w:jc w:val="center"/>
        <w:rPr>
          <w:rFonts w:hint="eastAsia" w:ascii="宋体" w:hAnsi="宋体"/>
          <w:color w:val="auto"/>
          <w:szCs w:val="21"/>
        </w:rPr>
      </w:pPr>
      <w:r>
        <w:rPr>
          <w:rFonts w:hint="eastAsia" w:ascii="宋体" w:hAnsi="宋体"/>
          <w:color w:val="auto"/>
          <w:szCs w:val="21"/>
        </w:rPr>
        <w:t>投标声明书</w:t>
      </w:r>
    </w:p>
    <w:p>
      <w:pPr>
        <w:snapToGrid w:val="0"/>
        <w:spacing w:before="120" w:beforeLines="50" w:after="50" w:line="360" w:lineRule="auto"/>
        <w:rPr>
          <w:rFonts w:ascii="宋体" w:hAnsi="宋体"/>
          <w:color w:val="auto"/>
          <w:szCs w:val="21"/>
        </w:rPr>
      </w:pPr>
      <w:r>
        <w:rPr>
          <w:rFonts w:hint="eastAsia" w:ascii="宋体" w:hAnsi="宋体"/>
          <w:color w:val="auto"/>
          <w:szCs w:val="21"/>
        </w:rPr>
        <w:t>致：</w:t>
      </w:r>
      <w:r>
        <w:rPr>
          <w:rFonts w:ascii="宋体" w:hAnsi="宋体"/>
          <w:color w:val="auto"/>
          <w:szCs w:val="21"/>
          <w:u w:val="single"/>
        </w:rPr>
        <w:t xml:space="preserve"> ___     __</w:t>
      </w:r>
      <w:r>
        <w:rPr>
          <w:rFonts w:hint="eastAsia" w:ascii="宋体" w:hAnsi="宋体"/>
          <w:color w:val="auto"/>
          <w:szCs w:val="21"/>
        </w:rPr>
        <w:t>（</w:t>
      </w:r>
      <w:r>
        <w:rPr>
          <w:rFonts w:hint="eastAsia" w:hAnsi="宋体"/>
          <w:bCs/>
          <w:color w:val="auto"/>
          <w:szCs w:val="21"/>
        </w:rPr>
        <w:t>采购人、代理机构</w:t>
      </w:r>
      <w:r>
        <w:rPr>
          <w:rFonts w:hint="eastAsia" w:ascii="宋体" w:hAnsi="宋体"/>
          <w:color w:val="auto"/>
          <w:szCs w:val="21"/>
        </w:rPr>
        <w:t>名称）：</w:t>
      </w:r>
    </w:p>
    <w:p>
      <w:pPr>
        <w:snapToGrid w:val="0"/>
        <w:spacing w:before="120" w:beforeLines="50" w:after="50" w:line="360" w:lineRule="auto"/>
        <w:ind w:firstLine="630" w:firstLineChars="300"/>
        <w:rPr>
          <w:rFonts w:ascii="宋体" w:hAnsi="宋体"/>
          <w:color w:val="auto"/>
          <w:szCs w:val="21"/>
        </w:rPr>
      </w:pPr>
      <w:r>
        <w:rPr>
          <w:rFonts w:ascii="宋体" w:hAnsi="宋体"/>
          <w:color w:val="auto"/>
          <w:szCs w:val="21"/>
          <w:u w:val="single"/>
        </w:rPr>
        <w:t>_______     __</w:t>
      </w:r>
      <w:r>
        <w:rPr>
          <w:rFonts w:hint="eastAsia" w:ascii="宋体" w:hAnsi="宋体"/>
          <w:color w:val="auto"/>
          <w:szCs w:val="21"/>
        </w:rPr>
        <w:t>（投标人名称）系中华人民共和国合法企业，经营地址</w:t>
      </w:r>
      <w:r>
        <w:rPr>
          <w:rFonts w:ascii="宋体" w:hAnsi="宋体"/>
          <w:color w:val="auto"/>
          <w:szCs w:val="21"/>
        </w:rPr>
        <w:t xml:space="preserve"> </w:t>
      </w:r>
      <w:r>
        <w:rPr>
          <w:rFonts w:ascii="宋体" w:hAnsi="宋体"/>
          <w:color w:val="auto"/>
          <w:szCs w:val="21"/>
          <w:u w:val="single"/>
        </w:rPr>
        <w:t xml:space="preserve">                              </w:t>
      </w:r>
      <w:r>
        <w:rPr>
          <w:rFonts w:hint="eastAsia" w:ascii="宋体" w:hAnsi="宋体"/>
          <w:color w:val="auto"/>
          <w:szCs w:val="21"/>
        </w:rPr>
        <w:t>。</w:t>
      </w:r>
    </w:p>
    <w:p>
      <w:pPr>
        <w:snapToGrid w:val="0"/>
        <w:spacing w:before="120" w:beforeLines="50" w:after="50" w:line="360" w:lineRule="auto"/>
        <w:ind w:firstLine="645"/>
        <w:rPr>
          <w:rFonts w:ascii="宋体" w:hAnsi="宋体"/>
          <w:color w:val="auto"/>
          <w:szCs w:val="21"/>
        </w:rPr>
      </w:pPr>
      <w:r>
        <w:rPr>
          <w:rFonts w:hint="eastAsia" w:ascii="宋体" w:hAnsi="宋体"/>
          <w:color w:val="auto"/>
          <w:szCs w:val="21"/>
        </w:rPr>
        <w:t>我</w:t>
      </w:r>
      <w:r>
        <w:rPr>
          <w:rFonts w:ascii="宋体" w:hAnsi="宋体"/>
          <w:color w:val="auto"/>
          <w:szCs w:val="21"/>
          <w:u w:val="single"/>
        </w:rPr>
        <w:t>__    __</w:t>
      </w:r>
      <w:r>
        <w:rPr>
          <w:rFonts w:hint="eastAsia" w:ascii="宋体" w:hAnsi="宋体"/>
          <w:color w:val="auto"/>
          <w:szCs w:val="21"/>
        </w:rPr>
        <w:t>（姓名）系</w:t>
      </w:r>
      <w:r>
        <w:rPr>
          <w:rFonts w:ascii="宋体" w:hAnsi="宋体"/>
          <w:color w:val="auto"/>
          <w:szCs w:val="21"/>
          <w:u w:val="single"/>
        </w:rPr>
        <w:t>_</w:t>
      </w:r>
      <w:r>
        <w:rPr>
          <w:rFonts w:hint="eastAsia" w:ascii="宋体" w:hAnsi="宋体"/>
          <w:color w:val="auto"/>
          <w:szCs w:val="21"/>
          <w:u w:val="single"/>
        </w:rPr>
        <w:t>（投标人名称）</w:t>
      </w:r>
      <w:r>
        <w:rPr>
          <w:rFonts w:hint="eastAsia" w:ascii="宋体" w:hAnsi="宋体"/>
          <w:color w:val="auto"/>
          <w:szCs w:val="21"/>
        </w:rPr>
        <w:t>的法定代表人，我方愿意参加贵方组织的</w:t>
      </w:r>
      <w:r>
        <w:rPr>
          <w:rFonts w:ascii="宋体" w:hAnsi="宋体"/>
          <w:color w:val="auto"/>
          <w:szCs w:val="21"/>
          <w:u w:val="single"/>
        </w:rPr>
        <w:t>______              _     __</w:t>
      </w:r>
      <w:r>
        <w:rPr>
          <w:rFonts w:hint="eastAsia" w:ascii="宋体" w:hAnsi="宋体"/>
          <w:color w:val="auto"/>
          <w:szCs w:val="21"/>
        </w:rPr>
        <w:t>项目的投标，为便于贵方公正、择优地确定中标人，我方就本次投标有关事项郑重声明如下：</w:t>
      </w:r>
    </w:p>
    <w:p>
      <w:pPr>
        <w:pStyle w:val="25"/>
        <w:snapToGrid w:val="0"/>
        <w:spacing w:before="120" w:after="120" w:line="360" w:lineRule="auto"/>
        <w:ind w:left="2" w:leftChars="1" w:firstLine="210" w:firstLineChars="100"/>
        <w:rPr>
          <w:rFonts w:hint="eastAsia" w:hAnsi="宋体" w:cs="宋体"/>
          <w:color w:val="auto"/>
          <w:sz w:val="21"/>
        </w:rPr>
      </w:pPr>
      <w:r>
        <w:rPr>
          <w:rFonts w:hAnsi="宋体" w:cs="宋体"/>
          <w:color w:val="auto"/>
          <w:sz w:val="21"/>
        </w:rPr>
        <w:t>1</w:t>
      </w:r>
      <w:r>
        <w:rPr>
          <w:rFonts w:hint="eastAsia" w:hAnsi="宋体" w:cs="宋体"/>
          <w:color w:val="auto"/>
          <w:sz w:val="21"/>
        </w:rPr>
        <w:t>.</w:t>
      </w:r>
      <w:r>
        <w:rPr>
          <w:rFonts w:hAnsi="宋体" w:cs="宋体"/>
          <w:color w:val="auto"/>
          <w:sz w:val="21"/>
        </w:rPr>
        <w:t>我方向贵方提交的所有投标文件、资料都是准确的和真实的</w:t>
      </w:r>
      <w:r>
        <w:rPr>
          <w:rFonts w:hint="eastAsia" w:hAnsi="宋体" w:cs="宋体"/>
          <w:color w:val="auto"/>
          <w:sz w:val="21"/>
        </w:rPr>
        <w:t>，未</w:t>
      </w:r>
      <w:r>
        <w:rPr>
          <w:rFonts w:hAnsi="宋体" w:cs="宋体"/>
          <w:color w:val="auto"/>
          <w:sz w:val="21"/>
        </w:rPr>
        <w:t>提供任何虚假材料。</w:t>
      </w:r>
    </w:p>
    <w:p>
      <w:pPr>
        <w:pStyle w:val="25"/>
        <w:snapToGrid w:val="0"/>
        <w:spacing w:before="120" w:after="120" w:line="360" w:lineRule="auto"/>
        <w:ind w:left="2" w:leftChars="1" w:firstLine="210" w:firstLineChars="100"/>
        <w:rPr>
          <w:rFonts w:hAnsi="宋体" w:cs="宋体"/>
          <w:color w:val="auto"/>
          <w:sz w:val="21"/>
        </w:rPr>
      </w:pPr>
      <w:r>
        <w:rPr>
          <w:rFonts w:hAnsi="宋体" w:cs="宋体"/>
          <w:color w:val="auto"/>
          <w:sz w:val="21"/>
        </w:rPr>
        <w:t>2</w:t>
      </w:r>
      <w:r>
        <w:rPr>
          <w:rFonts w:hint="eastAsia" w:hAnsi="宋体" w:cs="宋体"/>
          <w:color w:val="auto"/>
          <w:sz w:val="21"/>
        </w:rPr>
        <w:t>.</w:t>
      </w:r>
      <w:r>
        <w:rPr>
          <w:rFonts w:hAnsi="宋体" w:cs="宋体"/>
          <w:color w:val="auto"/>
          <w:sz w:val="21"/>
        </w:rPr>
        <w:t>我方不是采购人的附属机构；与采购人聘请的为此项目提供咨询</w:t>
      </w:r>
      <w:r>
        <w:rPr>
          <w:rFonts w:hint="eastAsia" w:hAnsi="宋体" w:cs="宋体"/>
          <w:color w:val="auto"/>
          <w:sz w:val="21"/>
        </w:rPr>
        <w:t>、采购代理</w:t>
      </w:r>
      <w:r>
        <w:rPr>
          <w:rFonts w:hAnsi="宋体" w:cs="宋体"/>
          <w:color w:val="auto"/>
          <w:sz w:val="21"/>
        </w:rPr>
        <w:t>服务的公司及其附属机构没有任何</w:t>
      </w:r>
      <w:r>
        <w:rPr>
          <w:rFonts w:hint="eastAsia" w:hAnsi="宋体" w:cs="宋体"/>
          <w:color w:val="auto"/>
          <w:sz w:val="21"/>
        </w:rPr>
        <w:t>关联</w:t>
      </w:r>
      <w:r>
        <w:rPr>
          <w:rFonts w:hAnsi="宋体" w:cs="宋体"/>
          <w:color w:val="auto"/>
          <w:sz w:val="21"/>
        </w:rPr>
        <w:t>。</w:t>
      </w:r>
    </w:p>
    <w:p>
      <w:pPr>
        <w:snapToGrid w:val="0"/>
        <w:spacing w:line="360" w:lineRule="auto"/>
        <w:ind w:firstLine="210" w:firstLineChars="100"/>
        <w:rPr>
          <w:rFonts w:hint="eastAsia" w:ascii="宋体" w:hAnsi="宋体" w:cs="Arial"/>
          <w:color w:val="auto"/>
          <w:szCs w:val="21"/>
        </w:rPr>
      </w:pPr>
      <w:r>
        <w:rPr>
          <w:rFonts w:hint="eastAsia" w:hAnsi="宋体"/>
          <w:color w:val="auto"/>
          <w:szCs w:val="21"/>
        </w:rPr>
        <w:t>3.我方</w:t>
      </w:r>
      <w:r>
        <w:rPr>
          <w:rFonts w:hint="eastAsia" w:hAnsi="宋体"/>
          <w:b/>
          <w:color w:val="auto"/>
          <w:szCs w:val="21"/>
        </w:rPr>
        <w:t>承诺</w:t>
      </w:r>
      <w:r>
        <w:rPr>
          <w:rFonts w:ascii="宋体" w:hAnsi="宋体" w:cs="Arial"/>
          <w:b/>
          <w:color w:val="auto"/>
          <w:szCs w:val="21"/>
        </w:rPr>
        <w:t>符合</w:t>
      </w:r>
      <w:r>
        <w:rPr>
          <w:rFonts w:hint="eastAsia" w:ascii="宋体" w:hAnsi="宋体" w:cs="Arial"/>
          <w:color w:val="auto"/>
          <w:szCs w:val="21"/>
        </w:rPr>
        <w:t>本项目</w:t>
      </w:r>
      <w:r>
        <w:rPr>
          <w:rFonts w:hint="eastAsia" w:ascii="宋体" w:hAnsi="宋体" w:cs="Arial"/>
          <w:b/>
          <w:bCs/>
          <w:color w:val="auto"/>
          <w:szCs w:val="21"/>
        </w:rPr>
        <w:t>合格投标人的资格要求</w:t>
      </w:r>
      <w:r>
        <w:rPr>
          <w:rFonts w:hint="eastAsia" w:ascii="宋体" w:hAnsi="宋体" w:cs="Arial"/>
          <w:color w:val="auto"/>
          <w:szCs w:val="21"/>
        </w:rPr>
        <w:t xml:space="preserve">： </w:t>
      </w:r>
    </w:p>
    <w:p>
      <w:pPr>
        <w:spacing w:line="360" w:lineRule="auto"/>
        <w:rPr>
          <w:rFonts w:ascii="宋体" w:hAnsi="宋体" w:cs="宋体"/>
          <w:color w:val="auto"/>
          <w:szCs w:val="21"/>
        </w:rPr>
      </w:pPr>
      <w:r>
        <w:rPr>
          <w:rFonts w:hint="eastAsia" w:ascii="宋体" w:hAnsi="宋体"/>
          <w:color w:val="auto"/>
          <w:szCs w:val="21"/>
        </w:rPr>
        <w:t>(</w:t>
      </w:r>
      <w:r>
        <w:rPr>
          <w:rFonts w:hint="eastAsia" w:ascii="宋体" w:hAnsi="宋体" w:cs="Arial"/>
          <w:color w:val="auto"/>
          <w:szCs w:val="21"/>
        </w:rPr>
        <w:t>一</w:t>
      </w:r>
      <w:r>
        <w:rPr>
          <w:rFonts w:hint="eastAsia" w:ascii="宋体" w:hAnsi="宋体"/>
          <w:color w:val="auto"/>
          <w:szCs w:val="21"/>
        </w:rPr>
        <w:t>)</w:t>
      </w:r>
      <w:r>
        <w:rPr>
          <w:rFonts w:ascii="宋体" w:hAnsi="宋体" w:cs="Arial"/>
          <w:color w:val="auto"/>
          <w:szCs w:val="21"/>
        </w:rPr>
        <w:t>符合</w:t>
      </w:r>
      <w:r>
        <w:rPr>
          <w:rFonts w:hint="eastAsia" w:ascii="宋体" w:hAnsi="宋体" w:cs="Arial"/>
          <w:color w:val="auto"/>
          <w:szCs w:val="21"/>
        </w:rPr>
        <w:t>《中华人民共和国</w:t>
      </w:r>
      <w:r>
        <w:rPr>
          <w:rFonts w:ascii="宋体" w:hAnsi="宋体" w:cs="Arial"/>
          <w:color w:val="auto"/>
          <w:szCs w:val="21"/>
        </w:rPr>
        <w:t>政府采购法</w:t>
      </w:r>
      <w:r>
        <w:rPr>
          <w:rFonts w:hint="eastAsia" w:ascii="宋体" w:hAnsi="宋体" w:cs="Arial"/>
          <w:color w:val="auto"/>
          <w:szCs w:val="21"/>
        </w:rPr>
        <w:t>》</w:t>
      </w:r>
      <w:r>
        <w:rPr>
          <w:rFonts w:ascii="宋体" w:hAnsi="宋体" w:cs="Arial"/>
          <w:color w:val="auto"/>
          <w:szCs w:val="21"/>
        </w:rPr>
        <w:t>第二十二条</w:t>
      </w:r>
      <w:r>
        <w:rPr>
          <w:rFonts w:hint="eastAsia" w:ascii="宋体" w:hAnsi="宋体" w:cs="Arial"/>
          <w:color w:val="auto"/>
          <w:szCs w:val="21"/>
        </w:rPr>
        <w:t>第一款</w:t>
      </w:r>
      <w:r>
        <w:rPr>
          <w:rFonts w:ascii="宋体" w:hAnsi="宋体" w:cs="Arial"/>
          <w:color w:val="auto"/>
          <w:szCs w:val="21"/>
        </w:rPr>
        <w:t>规定的</w:t>
      </w:r>
      <w:r>
        <w:rPr>
          <w:rFonts w:hint="eastAsia" w:ascii="宋体" w:hAnsi="宋体" w:cs="Arial"/>
          <w:color w:val="auto"/>
          <w:szCs w:val="21"/>
        </w:rPr>
        <w:t>下列</w:t>
      </w:r>
      <w:r>
        <w:rPr>
          <w:rFonts w:ascii="宋体" w:hAnsi="宋体" w:cs="Arial"/>
          <w:color w:val="auto"/>
          <w:szCs w:val="21"/>
        </w:rPr>
        <w:t>投标人资格条件</w:t>
      </w:r>
      <w:r>
        <w:rPr>
          <w:rFonts w:hint="eastAsia" w:ascii="宋体" w:hAnsi="宋体" w:cs="宋体"/>
          <w:color w:val="auto"/>
          <w:szCs w:val="21"/>
        </w:rPr>
        <w:t>，</w:t>
      </w:r>
      <w:r>
        <w:rPr>
          <w:rFonts w:hint="eastAsia" w:ascii="宋体" w:hAnsi="宋体" w:cs="宋体"/>
          <w:color w:val="auto"/>
          <w:kern w:val="0"/>
          <w:szCs w:val="21"/>
        </w:rPr>
        <w:t>且</w:t>
      </w:r>
      <w:r>
        <w:rPr>
          <w:rFonts w:hint="eastAsia" w:ascii="宋体" w:hAnsi="宋体" w:cs="宋体"/>
          <w:color w:val="auto"/>
        </w:rPr>
        <w:t>未被列入“信用中国”网站(</w:t>
      </w:r>
      <w:r>
        <w:rPr>
          <w:color w:val="auto"/>
        </w:rPr>
        <w:fldChar w:fldCharType="begin"/>
      </w:r>
      <w:r>
        <w:rPr>
          <w:color w:val="auto"/>
        </w:rPr>
        <w:instrText xml:space="preserve">HYPERLINK "http://www.creditchina.gov.cn"</w:instrText>
      </w:r>
      <w:r>
        <w:rPr>
          <w:color w:val="auto"/>
        </w:rPr>
        <w:fldChar w:fldCharType="separate"/>
      </w:r>
      <w:r>
        <w:rPr>
          <w:rStyle w:val="55"/>
          <w:rFonts w:hint="eastAsia" w:ascii="宋体" w:hAnsi="宋体" w:cs="宋体"/>
          <w:color w:val="auto"/>
        </w:rPr>
        <w:t>www.creditchina.gov.cn</w:t>
      </w:r>
      <w:r>
        <w:rPr>
          <w:color w:val="auto"/>
        </w:rPr>
        <w:fldChar w:fldCharType="end"/>
      </w:r>
      <w:r>
        <w:rPr>
          <w:rFonts w:hint="eastAsia" w:ascii="宋体" w:hAnsi="宋体" w:cs="宋体"/>
          <w:color w:val="auto"/>
        </w:rPr>
        <w:t>)中的“失信被执行人或重大税收违法案件当事人名单或政府采购严重违法失信名单”，不处于中国政府采购网(www.ccgp.gov.cn)“</w:t>
      </w:r>
      <w:r>
        <w:rPr>
          <w:rFonts w:hint="eastAsia" w:ascii="微软雅黑" w:hAnsi="微软雅黑" w:eastAsia="微软雅黑"/>
          <w:color w:val="auto"/>
          <w:sz w:val="19"/>
          <w:szCs w:val="19"/>
        </w:rPr>
        <w:t> </w:t>
      </w:r>
      <w:r>
        <w:rPr>
          <w:color w:val="auto"/>
        </w:rPr>
        <w:fldChar w:fldCharType="begin"/>
      </w:r>
      <w:r>
        <w:rPr>
          <w:color w:val="auto"/>
        </w:rPr>
        <w:instrText xml:space="preserve">HYPERLINK "http://www.ccgp.gov.cn/search/cr/" \o "政府采购严重违法失信行为记录名单"</w:instrText>
      </w:r>
      <w:r>
        <w:rPr>
          <w:color w:val="auto"/>
        </w:rPr>
        <w:fldChar w:fldCharType="separate"/>
      </w:r>
      <w:r>
        <w:rPr>
          <w:rStyle w:val="55"/>
          <w:color w:val="auto"/>
        </w:rPr>
        <w:t>政府采购严重违法失信行为记录名单</w:t>
      </w:r>
      <w:r>
        <w:rPr>
          <w:color w:val="auto"/>
        </w:rPr>
        <w:fldChar w:fldCharType="end"/>
      </w:r>
      <w:r>
        <w:rPr>
          <w:rFonts w:hint="eastAsia" w:ascii="宋体" w:hAnsi="宋体" w:cs="宋体"/>
          <w:color w:val="auto"/>
        </w:rPr>
        <w:t>”处罚结果确定为禁止参加政府采购活动期间。</w:t>
      </w:r>
    </w:p>
    <w:p>
      <w:pPr>
        <w:widowControl/>
        <w:kinsoku w:val="0"/>
        <w:spacing w:line="360" w:lineRule="auto"/>
        <w:jc w:val="left"/>
        <w:rPr>
          <w:rFonts w:ascii="宋体" w:hAnsi="宋体" w:cs="宋体"/>
          <w:color w:val="auto"/>
          <w:kern w:val="0"/>
          <w:szCs w:val="21"/>
        </w:rPr>
      </w:pPr>
      <w:r>
        <w:rPr>
          <w:rFonts w:hint="eastAsia" w:ascii="宋体" w:hAnsi="宋体" w:cs="宋体"/>
          <w:color w:val="auto"/>
          <w:kern w:val="0"/>
          <w:szCs w:val="21"/>
        </w:rPr>
        <w:t>①</w:t>
      </w:r>
      <w:r>
        <w:rPr>
          <w:rFonts w:ascii="宋体" w:hAnsi="宋体" w:cs="宋体"/>
          <w:color w:val="auto"/>
          <w:kern w:val="0"/>
          <w:szCs w:val="21"/>
        </w:rPr>
        <w:t>具有独立承担民事责任的能力；</w:t>
      </w:r>
    </w:p>
    <w:p>
      <w:pPr>
        <w:widowControl/>
        <w:kinsoku w:val="0"/>
        <w:spacing w:line="360" w:lineRule="auto"/>
        <w:jc w:val="left"/>
        <w:rPr>
          <w:rFonts w:ascii="宋体" w:hAnsi="宋体" w:cs="宋体"/>
          <w:color w:val="auto"/>
          <w:kern w:val="0"/>
          <w:szCs w:val="21"/>
        </w:rPr>
      </w:pPr>
      <w:r>
        <w:rPr>
          <w:rFonts w:hint="eastAsia" w:ascii="宋体" w:hAnsi="宋体" w:cs="宋体"/>
          <w:color w:val="auto"/>
          <w:kern w:val="0"/>
          <w:szCs w:val="21"/>
        </w:rPr>
        <w:t>②</w:t>
      </w:r>
      <w:r>
        <w:rPr>
          <w:rFonts w:ascii="宋体" w:hAnsi="宋体" w:cs="宋体"/>
          <w:color w:val="auto"/>
          <w:kern w:val="0"/>
          <w:szCs w:val="21"/>
        </w:rPr>
        <w:t>具有良好的商业信誉和健全的财务会计制度；</w:t>
      </w:r>
    </w:p>
    <w:p>
      <w:pPr>
        <w:widowControl/>
        <w:kinsoku w:val="0"/>
        <w:spacing w:line="360" w:lineRule="auto"/>
        <w:jc w:val="left"/>
        <w:rPr>
          <w:rFonts w:ascii="宋体" w:hAnsi="宋体" w:cs="宋体"/>
          <w:color w:val="auto"/>
          <w:kern w:val="0"/>
          <w:szCs w:val="21"/>
        </w:rPr>
      </w:pPr>
      <w:r>
        <w:rPr>
          <w:rFonts w:hint="eastAsia" w:ascii="宋体" w:hAnsi="宋体" w:cs="宋体"/>
          <w:color w:val="auto"/>
          <w:kern w:val="0"/>
          <w:szCs w:val="21"/>
        </w:rPr>
        <w:t>③</w:t>
      </w:r>
      <w:r>
        <w:rPr>
          <w:rFonts w:ascii="宋体" w:hAnsi="宋体" w:cs="宋体"/>
          <w:color w:val="auto"/>
          <w:kern w:val="0"/>
          <w:szCs w:val="21"/>
        </w:rPr>
        <w:t>具有履行合同所必需的设备和专业技术能力；</w:t>
      </w:r>
    </w:p>
    <w:p>
      <w:pPr>
        <w:widowControl/>
        <w:kinsoku w:val="0"/>
        <w:spacing w:line="360" w:lineRule="auto"/>
        <w:jc w:val="left"/>
        <w:rPr>
          <w:rFonts w:ascii="宋体" w:hAnsi="宋体" w:cs="宋体"/>
          <w:color w:val="auto"/>
          <w:kern w:val="0"/>
          <w:szCs w:val="21"/>
        </w:rPr>
      </w:pPr>
      <w:r>
        <w:rPr>
          <w:rFonts w:hint="eastAsia" w:ascii="宋体" w:hAnsi="宋体" w:cs="宋体"/>
          <w:color w:val="auto"/>
          <w:kern w:val="0"/>
          <w:szCs w:val="21"/>
        </w:rPr>
        <w:t>④</w:t>
      </w:r>
      <w:r>
        <w:rPr>
          <w:rFonts w:ascii="宋体" w:hAnsi="宋体" w:cs="宋体"/>
          <w:color w:val="auto"/>
          <w:kern w:val="0"/>
          <w:szCs w:val="21"/>
        </w:rPr>
        <w:t>有依法缴纳税收和社会保障资金的良好记录；</w:t>
      </w:r>
    </w:p>
    <w:p>
      <w:pPr>
        <w:widowControl/>
        <w:kinsoku w:val="0"/>
        <w:spacing w:line="360" w:lineRule="auto"/>
        <w:jc w:val="left"/>
        <w:rPr>
          <w:rFonts w:hint="eastAsia" w:ascii="宋体" w:hAnsi="宋体" w:cs="宋体"/>
          <w:color w:val="auto"/>
          <w:kern w:val="0"/>
          <w:szCs w:val="21"/>
        </w:rPr>
      </w:pPr>
      <w:r>
        <w:rPr>
          <w:rFonts w:hint="eastAsia" w:ascii="宋体" w:hAnsi="宋体" w:cs="宋体"/>
          <w:color w:val="auto"/>
          <w:kern w:val="0"/>
          <w:szCs w:val="21"/>
        </w:rPr>
        <w:t>⑤</w:t>
      </w:r>
      <w:r>
        <w:rPr>
          <w:rFonts w:ascii="宋体" w:hAnsi="宋体" w:cs="宋体"/>
          <w:color w:val="auto"/>
          <w:kern w:val="0"/>
          <w:szCs w:val="21"/>
        </w:rPr>
        <w:t>参加</w:t>
      </w:r>
      <w:r>
        <w:rPr>
          <w:rFonts w:hint="eastAsia" w:ascii="宋体" w:hAnsi="宋体" w:cs="宋体"/>
          <w:color w:val="auto"/>
          <w:kern w:val="0"/>
          <w:szCs w:val="21"/>
        </w:rPr>
        <w:t>本</w:t>
      </w:r>
      <w:r>
        <w:rPr>
          <w:rFonts w:ascii="宋体" w:hAnsi="宋体" w:cs="宋体"/>
          <w:color w:val="auto"/>
          <w:kern w:val="0"/>
          <w:szCs w:val="21"/>
        </w:rPr>
        <w:t>政府采购活动前三年内，在经营活动中没有重大违法记录。</w:t>
      </w:r>
    </w:p>
    <w:p>
      <w:pPr>
        <w:widowControl/>
        <w:kinsoku w:val="0"/>
        <w:spacing w:line="360" w:lineRule="auto"/>
        <w:ind w:firstLine="315" w:firstLineChars="150"/>
        <w:jc w:val="left"/>
        <w:rPr>
          <w:rFonts w:ascii="宋体" w:hAnsi="宋体" w:cs="宋体"/>
          <w:color w:val="auto"/>
          <w:kern w:val="0"/>
          <w:szCs w:val="21"/>
        </w:rPr>
      </w:pPr>
      <w:r>
        <w:rPr>
          <w:rFonts w:ascii="宋体" w:hAnsi="宋体" w:cs="宋体"/>
          <w:color w:val="auto"/>
          <w:kern w:val="0"/>
          <w:szCs w:val="21"/>
        </w:rPr>
        <w:t>重大违法记录</w:t>
      </w:r>
      <w:r>
        <w:rPr>
          <w:rFonts w:hint="eastAsia" w:ascii="宋体" w:hAnsi="宋体" w:cs="宋体"/>
          <w:color w:val="auto"/>
          <w:kern w:val="0"/>
          <w:szCs w:val="21"/>
        </w:rPr>
        <w:t>是指供应商因违法经营受到刑事处罚或者责令停产停业、吊销许可证或者执照、较大数额罚款等行政处罚的记录。</w:t>
      </w:r>
    </w:p>
    <w:p>
      <w:pPr>
        <w:widowControl/>
        <w:kinsoku w:val="0"/>
        <w:spacing w:line="360" w:lineRule="auto"/>
        <w:jc w:val="left"/>
        <w:rPr>
          <w:rFonts w:ascii="宋体" w:hAnsi="宋体" w:cs="宋体"/>
          <w:color w:val="auto"/>
          <w:kern w:val="0"/>
          <w:szCs w:val="21"/>
        </w:rPr>
      </w:pPr>
      <w:r>
        <w:rPr>
          <w:rFonts w:ascii="宋体" w:hAnsi="宋体" w:cs="宋体"/>
          <w:color w:val="auto"/>
          <w:kern w:val="0"/>
          <w:szCs w:val="21"/>
        </w:rPr>
        <w:t>（二）特定条件：</w:t>
      </w:r>
    </w:p>
    <w:p>
      <w:pPr>
        <w:spacing w:line="440" w:lineRule="exact"/>
        <w:rPr>
          <w:rFonts w:hint="eastAsia" w:ascii="宋体" w:hAnsi="宋体" w:cs="宋体"/>
          <w:color w:val="auto"/>
        </w:rPr>
      </w:pPr>
      <w:r>
        <w:rPr>
          <w:rFonts w:hint="eastAsia" w:ascii="宋体" w:hAnsi="宋体" w:cs="宋体"/>
          <w:color w:val="auto"/>
        </w:rPr>
        <w:t>①</w:t>
      </w:r>
      <w:r>
        <w:rPr>
          <w:rFonts w:hint="eastAsia" w:ascii="宋体" w:hAnsi="宋体"/>
          <w:b/>
          <w:color w:val="auto"/>
          <w:szCs w:val="21"/>
        </w:rPr>
        <w:t>单位负责人为同一人或者存在直接控股、管理关系的不同供应商，不得参加本项目的政府采购活动。为本采购项目提供整体设计、规范编制或者项目管理、监理、检测等服务的供应商，不得再参加本采购项目的投标。</w:t>
      </w:r>
    </w:p>
    <w:p>
      <w:pPr>
        <w:kinsoku w:val="0"/>
        <w:snapToGrid w:val="0"/>
        <w:spacing w:line="360" w:lineRule="auto"/>
        <w:rPr>
          <w:rFonts w:hint="eastAsia" w:ascii="宋体" w:hAnsi="宋体"/>
          <w:color w:val="auto"/>
          <w:szCs w:val="21"/>
        </w:rPr>
      </w:pPr>
      <w:r>
        <w:rPr>
          <w:rFonts w:hint="eastAsia" w:ascii="宋体" w:hAnsi="宋体"/>
          <w:color w:val="auto"/>
          <w:szCs w:val="21"/>
        </w:rPr>
        <w:t>②</w:t>
      </w:r>
      <w:r>
        <w:rPr>
          <w:rFonts w:ascii="宋体" w:hAnsi="宋体"/>
          <w:color w:val="auto"/>
          <w:szCs w:val="21"/>
        </w:rPr>
        <w:t>本项目不接受联合体投标</w:t>
      </w:r>
      <w:r>
        <w:rPr>
          <w:rFonts w:hint="eastAsia" w:ascii="宋体" w:hAnsi="宋体"/>
          <w:color w:val="auto"/>
          <w:szCs w:val="21"/>
        </w:rPr>
        <w:t>。</w:t>
      </w:r>
    </w:p>
    <w:p>
      <w:pPr>
        <w:spacing w:line="360" w:lineRule="auto"/>
        <w:rPr>
          <w:rFonts w:hint="eastAsia" w:ascii="宋体" w:hAnsi="宋体" w:cs="Arial"/>
          <w:color w:val="auto"/>
          <w:szCs w:val="21"/>
        </w:rPr>
      </w:pPr>
      <w:r>
        <w:rPr>
          <w:rFonts w:hint="eastAsia" w:ascii="宋体" w:hAnsi="宋体" w:cs="宋体"/>
          <w:color w:val="auto"/>
          <w:szCs w:val="21"/>
        </w:rPr>
        <w:t xml:space="preserve">    </w:t>
      </w:r>
      <w:r>
        <w:rPr>
          <w:rFonts w:hint="eastAsia" w:ascii="宋体" w:hAnsi="宋体" w:cs="宋体"/>
          <w:b/>
          <w:color w:val="auto"/>
          <w:szCs w:val="21"/>
        </w:rPr>
        <w:t xml:space="preserve"> 我方承诺：</w:t>
      </w:r>
      <w:r>
        <w:rPr>
          <w:rFonts w:hint="eastAsia" w:ascii="宋体" w:hAnsi="宋体" w:cs="宋体"/>
          <w:color w:val="auto"/>
          <w:szCs w:val="21"/>
        </w:rPr>
        <w:t>如出现我方未符合</w:t>
      </w:r>
      <w:r>
        <w:rPr>
          <w:rFonts w:hint="eastAsia" w:ascii="宋体" w:hAnsi="宋体" w:cs="Arial"/>
          <w:color w:val="auto"/>
          <w:szCs w:val="21"/>
        </w:rPr>
        <w:t>本项目合格投标人的资格要求的我方愿意接受按虚假投标进行的相应处罚，承担相应的后果。</w:t>
      </w:r>
    </w:p>
    <w:p>
      <w:pPr>
        <w:pStyle w:val="25"/>
        <w:snapToGrid w:val="0"/>
        <w:spacing w:before="120" w:after="120" w:line="360" w:lineRule="auto"/>
        <w:ind w:left="2" w:leftChars="1" w:firstLine="315" w:firstLineChars="150"/>
        <w:rPr>
          <w:rFonts w:hint="eastAsia" w:hAnsi="宋体"/>
          <w:color w:val="auto"/>
          <w:sz w:val="21"/>
          <w:szCs w:val="21"/>
          <w:lang w:val="en-US" w:eastAsia="zh-CN"/>
        </w:rPr>
      </w:pPr>
      <w:r>
        <w:rPr>
          <w:rFonts w:hint="eastAsia" w:hAnsi="宋体"/>
          <w:color w:val="auto"/>
          <w:sz w:val="21"/>
          <w:szCs w:val="21"/>
          <w:lang w:val="en-US" w:eastAsia="zh-CN"/>
        </w:rPr>
        <w:t>4.我方承诺：我方投标不影响采购公正性，我方未发生合并、分立、破产等重大变化情形。我方无以他人名义投标或者以其他方式弄虚作假的行为。</w:t>
      </w:r>
    </w:p>
    <w:p>
      <w:pPr>
        <w:pStyle w:val="25"/>
        <w:snapToGrid w:val="0"/>
        <w:spacing w:before="120" w:after="120" w:line="360" w:lineRule="auto"/>
        <w:ind w:left="2" w:leftChars="1" w:firstLine="315" w:firstLineChars="150"/>
        <w:rPr>
          <w:rFonts w:hint="eastAsia" w:hAnsi="宋体"/>
          <w:color w:val="auto"/>
          <w:sz w:val="21"/>
          <w:szCs w:val="21"/>
          <w:lang w:val="en-US" w:eastAsia="zh-CN"/>
        </w:rPr>
      </w:pPr>
      <w:r>
        <w:rPr>
          <w:rFonts w:hint="eastAsia" w:hAnsi="宋体"/>
          <w:color w:val="auto"/>
          <w:sz w:val="21"/>
          <w:szCs w:val="21"/>
          <w:lang w:val="en-US" w:eastAsia="zh-CN"/>
        </w:rPr>
        <w:t>5.我方声明：</w:t>
      </w:r>
      <w:r>
        <w:rPr>
          <w:rFonts w:hAnsi="宋体"/>
          <w:color w:val="auto"/>
          <w:sz w:val="21"/>
          <w:szCs w:val="21"/>
          <w:lang w:val="en-US" w:eastAsia="zh-CN"/>
        </w:rPr>
        <w:t>参加</w:t>
      </w:r>
      <w:r>
        <w:rPr>
          <w:rFonts w:hint="eastAsia" w:hAnsi="宋体"/>
          <w:color w:val="auto"/>
          <w:sz w:val="21"/>
          <w:szCs w:val="21"/>
          <w:lang w:val="en-US" w:eastAsia="zh-CN"/>
        </w:rPr>
        <w:t>本</w:t>
      </w:r>
      <w:r>
        <w:rPr>
          <w:rFonts w:hAnsi="宋体"/>
          <w:color w:val="auto"/>
          <w:sz w:val="21"/>
          <w:szCs w:val="21"/>
          <w:lang w:val="en-US" w:eastAsia="zh-CN"/>
        </w:rPr>
        <w:t>政府采购活动前三年内，在经营活动中没有重大违法记录。重大违法记录</w:t>
      </w:r>
      <w:r>
        <w:rPr>
          <w:rFonts w:hint="eastAsia" w:hAnsi="宋体"/>
          <w:color w:val="auto"/>
          <w:sz w:val="21"/>
          <w:szCs w:val="21"/>
          <w:lang w:val="en-US" w:eastAsia="zh-CN"/>
        </w:rPr>
        <w:t>是指供应商因违法经营受到刑事处罚或者责令停产停业、吊销许可证或者执照、较大数额罚款等行政处罚的记录。我方未联合体投标。</w:t>
      </w:r>
    </w:p>
    <w:p>
      <w:pPr>
        <w:snapToGrid w:val="0"/>
        <w:spacing w:line="360" w:lineRule="auto"/>
        <w:ind w:firstLine="315" w:firstLineChars="150"/>
        <w:rPr>
          <w:rFonts w:ascii="宋体" w:hAnsi="宋体"/>
          <w:color w:val="auto"/>
          <w:szCs w:val="21"/>
        </w:rPr>
      </w:pPr>
      <w:r>
        <w:rPr>
          <w:rFonts w:hint="eastAsia" w:ascii="宋体" w:hAnsi="宋体"/>
          <w:color w:val="auto"/>
          <w:szCs w:val="21"/>
        </w:rPr>
        <w:t>6.以上事项如有虚假或隐瞒，我方愿意承担一切后果，接受相关部门的处罚，并不再寻求任何旨在减轻或免除法律责任的辩解。</w:t>
      </w:r>
    </w:p>
    <w:p>
      <w:pPr>
        <w:snapToGrid w:val="0"/>
        <w:spacing w:before="120" w:beforeLines="50" w:line="360" w:lineRule="auto"/>
        <w:ind w:firstLine="200"/>
        <w:rPr>
          <w:rFonts w:ascii="宋体" w:hAnsi="宋体"/>
          <w:color w:val="auto"/>
          <w:szCs w:val="21"/>
        </w:rPr>
      </w:pPr>
      <w:r>
        <w:rPr>
          <w:rFonts w:hint="eastAsia" w:ascii="宋体" w:hAnsi="宋体"/>
          <w:color w:val="auto"/>
          <w:szCs w:val="21"/>
        </w:rPr>
        <w:t>法定代表人或授权代表签字：</w:t>
      </w:r>
      <w:r>
        <w:rPr>
          <w:rFonts w:ascii="宋体" w:hAnsi="宋体"/>
          <w:color w:val="auto"/>
          <w:szCs w:val="21"/>
        </w:rPr>
        <w:t xml:space="preserve">             </w:t>
      </w:r>
    </w:p>
    <w:p>
      <w:pPr>
        <w:snapToGrid w:val="0"/>
        <w:spacing w:before="120" w:beforeLines="50" w:after="50" w:line="360" w:lineRule="auto"/>
        <w:ind w:firstLine="210" w:firstLineChars="100"/>
        <w:rPr>
          <w:rFonts w:hint="eastAsia" w:ascii="宋体" w:hAnsi="宋体"/>
          <w:color w:val="auto"/>
          <w:szCs w:val="21"/>
        </w:rPr>
      </w:pPr>
      <w:r>
        <w:rPr>
          <w:rFonts w:hint="eastAsia" w:ascii="宋体" w:hAnsi="宋体"/>
          <w:color w:val="auto"/>
          <w:szCs w:val="21"/>
        </w:rPr>
        <w:t>投标人公章：</w:t>
      </w:r>
      <w:r>
        <w:rPr>
          <w:rFonts w:ascii="宋体" w:hAnsi="宋体"/>
          <w:color w:val="auto"/>
          <w:szCs w:val="21"/>
        </w:rPr>
        <w:t xml:space="preserve">                                     </w:t>
      </w:r>
    </w:p>
    <w:p>
      <w:pPr>
        <w:snapToGrid w:val="0"/>
        <w:spacing w:before="120" w:beforeLines="50" w:after="50" w:line="360" w:lineRule="auto"/>
        <w:ind w:firstLine="210" w:firstLineChars="100"/>
        <w:jc w:val="right"/>
        <w:rPr>
          <w:rFonts w:ascii="宋体" w:hAnsi="宋体"/>
          <w:color w:val="auto"/>
          <w:szCs w:val="21"/>
        </w:rPr>
      </w:pPr>
      <w:r>
        <w:rPr>
          <w:rFonts w:ascii="宋体" w:hAnsi="宋体"/>
          <w:color w:val="auto"/>
          <w:szCs w:val="21"/>
        </w:rPr>
        <w:t>年    月    日</w:t>
      </w:r>
    </w:p>
    <w:p>
      <w:pPr>
        <w:snapToGrid w:val="0"/>
        <w:spacing w:before="120" w:beforeLines="50" w:after="50" w:line="360" w:lineRule="auto"/>
        <w:ind w:firstLine="210" w:firstLineChars="100"/>
        <w:jc w:val="right"/>
        <w:rPr>
          <w:rFonts w:ascii="宋体" w:hAnsi="宋体"/>
          <w:color w:val="auto"/>
          <w:szCs w:val="21"/>
        </w:rPr>
      </w:pPr>
    </w:p>
    <w:p>
      <w:pPr>
        <w:snapToGrid w:val="0"/>
        <w:spacing w:before="120" w:beforeLines="50" w:after="50" w:line="360" w:lineRule="auto"/>
        <w:rPr>
          <w:rFonts w:hint="eastAsia" w:hAnsi="宋体"/>
          <w:color w:val="auto"/>
          <w:szCs w:val="21"/>
        </w:rPr>
      </w:pPr>
      <w:r>
        <w:rPr>
          <w:rFonts w:ascii="宋体" w:hAnsi="宋体"/>
          <w:color w:val="auto"/>
          <w:szCs w:val="21"/>
        </w:rPr>
        <w:br w:type="page"/>
      </w:r>
      <w:r>
        <w:rPr>
          <w:rFonts w:hint="eastAsia" w:ascii="宋体" w:hAnsi="宋体"/>
          <w:color w:val="auto"/>
          <w:szCs w:val="21"/>
        </w:rPr>
        <w:t>3）</w:t>
      </w:r>
      <w:r>
        <w:rPr>
          <w:rFonts w:hint="eastAsia" w:hAnsi="宋体"/>
          <w:color w:val="auto"/>
          <w:szCs w:val="21"/>
        </w:rPr>
        <w:t>法定代表人身份证正反面复印件加盖投标人公章，</w:t>
      </w:r>
      <w:r>
        <w:rPr>
          <w:rFonts w:hAnsi="宋体"/>
          <w:color w:val="auto"/>
          <w:szCs w:val="21"/>
        </w:rPr>
        <w:t>如投标人代表不是法定代表人，</w:t>
      </w:r>
      <w:r>
        <w:rPr>
          <w:rFonts w:hint="eastAsia" w:hAnsi="宋体"/>
          <w:color w:val="auto"/>
          <w:szCs w:val="21"/>
        </w:rPr>
        <w:t>投标文件中还</w:t>
      </w:r>
      <w:r>
        <w:rPr>
          <w:rFonts w:hAnsi="宋体"/>
          <w:color w:val="auto"/>
          <w:szCs w:val="21"/>
        </w:rPr>
        <w:t>须有法定代表人出具的授权委托书（</w:t>
      </w:r>
      <w:r>
        <w:rPr>
          <w:rFonts w:hint="eastAsia" w:hAnsi="宋体"/>
          <w:color w:val="auto"/>
          <w:szCs w:val="21"/>
        </w:rPr>
        <w:t>投标文件</w:t>
      </w:r>
      <w:r>
        <w:rPr>
          <w:rFonts w:hAnsi="宋体"/>
          <w:color w:val="auto"/>
          <w:szCs w:val="21"/>
        </w:rPr>
        <w:t>正本用原件，</w:t>
      </w:r>
      <w:r>
        <w:rPr>
          <w:rFonts w:hint="eastAsia" w:hAnsi="宋体"/>
          <w:color w:val="auto"/>
          <w:szCs w:val="21"/>
        </w:rPr>
        <w:t>提供</w:t>
      </w:r>
      <w:r>
        <w:rPr>
          <w:rFonts w:hAnsi="宋体"/>
          <w:color w:val="auto"/>
          <w:szCs w:val="21"/>
        </w:rPr>
        <w:t>格式）</w:t>
      </w:r>
      <w:r>
        <w:rPr>
          <w:rFonts w:hint="eastAsia" w:hAnsi="宋体"/>
          <w:color w:val="auto"/>
          <w:szCs w:val="21"/>
        </w:rPr>
        <w:t>及法定代表人授权代表身份证正反面复印件加盖投标人公章、投标人的法定代表人授权代表近一个月的社保证明复印件加盖投标人公章；</w:t>
      </w:r>
    </w:p>
    <w:p>
      <w:pPr>
        <w:snapToGrid w:val="0"/>
        <w:spacing w:before="120" w:beforeLines="50" w:after="50" w:line="360" w:lineRule="auto"/>
        <w:rPr>
          <w:rFonts w:hint="eastAsia" w:hAnsi="宋体"/>
          <w:color w:val="auto"/>
          <w:szCs w:val="21"/>
        </w:rPr>
      </w:pPr>
    </w:p>
    <w:p>
      <w:pPr>
        <w:snapToGrid w:val="0"/>
        <w:spacing w:before="120" w:beforeLines="50" w:after="50" w:line="360" w:lineRule="auto"/>
        <w:rPr>
          <w:rFonts w:hint="eastAsia" w:hAnsi="宋体"/>
          <w:color w:val="auto"/>
          <w:szCs w:val="21"/>
        </w:rPr>
      </w:pPr>
      <w:r>
        <w:rPr>
          <w:rFonts w:hint="eastAsia" w:hAnsi="宋体"/>
          <w:color w:val="auto"/>
          <w:szCs w:val="21"/>
        </w:rPr>
        <w:t>法定代表人身份证正反面复印件加盖投标人公章；</w:t>
      </w:r>
    </w:p>
    <w:p>
      <w:pPr>
        <w:snapToGrid w:val="0"/>
        <w:spacing w:before="120" w:beforeLines="50" w:after="50" w:line="360" w:lineRule="auto"/>
        <w:rPr>
          <w:rFonts w:hint="eastAsia" w:hAnsi="宋体"/>
          <w:color w:val="auto"/>
          <w:szCs w:val="21"/>
        </w:rPr>
      </w:pPr>
    </w:p>
    <w:p>
      <w:pPr>
        <w:snapToGrid w:val="0"/>
        <w:spacing w:before="120" w:beforeLines="50" w:after="50" w:line="360" w:lineRule="auto"/>
        <w:rPr>
          <w:rFonts w:hint="eastAsia" w:hAnsi="宋体"/>
          <w:color w:val="auto"/>
          <w:szCs w:val="21"/>
        </w:rPr>
      </w:pPr>
    </w:p>
    <w:p>
      <w:pPr>
        <w:snapToGrid w:val="0"/>
        <w:spacing w:before="120" w:beforeLines="50" w:after="50" w:line="360" w:lineRule="auto"/>
        <w:rPr>
          <w:rFonts w:hint="eastAsia" w:hAnsi="宋体"/>
          <w:color w:val="auto"/>
          <w:szCs w:val="21"/>
        </w:rPr>
      </w:pPr>
    </w:p>
    <w:p>
      <w:pPr>
        <w:snapToGrid w:val="0"/>
        <w:spacing w:before="120" w:beforeLines="50" w:after="50" w:line="360" w:lineRule="auto"/>
        <w:rPr>
          <w:rFonts w:hint="eastAsia" w:hAnsi="宋体"/>
          <w:color w:val="auto"/>
          <w:szCs w:val="21"/>
        </w:rPr>
      </w:pPr>
    </w:p>
    <w:p>
      <w:pPr>
        <w:snapToGrid w:val="0"/>
        <w:spacing w:before="120" w:beforeLines="50" w:after="50" w:line="360" w:lineRule="auto"/>
        <w:rPr>
          <w:rFonts w:hint="eastAsia" w:hAnsi="宋体"/>
          <w:color w:val="auto"/>
          <w:szCs w:val="21"/>
        </w:rPr>
      </w:pPr>
      <w:r>
        <w:rPr>
          <w:rFonts w:hint="eastAsia" w:hAnsi="宋体"/>
          <w:color w:val="auto"/>
          <w:szCs w:val="21"/>
        </w:rPr>
        <w:t>法定代表人授权代表身份证正反面复印件加盖投标人公章；</w:t>
      </w:r>
    </w:p>
    <w:p>
      <w:pPr>
        <w:snapToGrid w:val="0"/>
        <w:spacing w:before="120" w:beforeLines="50" w:after="50" w:line="360" w:lineRule="auto"/>
        <w:rPr>
          <w:rFonts w:hint="eastAsia" w:hAnsi="宋体"/>
          <w:color w:val="auto"/>
          <w:szCs w:val="21"/>
        </w:rPr>
      </w:pPr>
    </w:p>
    <w:p>
      <w:pPr>
        <w:snapToGrid w:val="0"/>
        <w:spacing w:before="120" w:beforeLines="50" w:after="50" w:line="360" w:lineRule="auto"/>
        <w:rPr>
          <w:rFonts w:hint="eastAsia" w:hAnsi="宋体"/>
          <w:color w:val="auto"/>
          <w:szCs w:val="21"/>
        </w:rPr>
      </w:pPr>
    </w:p>
    <w:p>
      <w:pPr>
        <w:snapToGrid w:val="0"/>
        <w:spacing w:before="120" w:beforeLines="50" w:after="50" w:line="360" w:lineRule="auto"/>
        <w:rPr>
          <w:rFonts w:hint="eastAsia" w:hAnsi="宋体"/>
          <w:color w:val="auto"/>
          <w:szCs w:val="21"/>
        </w:rPr>
      </w:pPr>
    </w:p>
    <w:p>
      <w:pPr>
        <w:snapToGrid w:val="0"/>
        <w:spacing w:before="120" w:beforeLines="50" w:after="50" w:line="360" w:lineRule="auto"/>
        <w:rPr>
          <w:rFonts w:hint="eastAsia" w:hAnsi="宋体"/>
          <w:color w:val="auto"/>
          <w:szCs w:val="21"/>
        </w:rPr>
      </w:pPr>
    </w:p>
    <w:p>
      <w:pPr>
        <w:snapToGrid w:val="0"/>
        <w:spacing w:before="120" w:beforeLines="50" w:after="50" w:line="360" w:lineRule="auto"/>
        <w:rPr>
          <w:rFonts w:hint="eastAsia" w:hAnsi="宋体"/>
          <w:color w:val="auto"/>
          <w:szCs w:val="21"/>
        </w:rPr>
      </w:pPr>
      <w:r>
        <w:rPr>
          <w:rFonts w:hint="eastAsia" w:hAnsi="宋体"/>
          <w:color w:val="auto"/>
          <w:szCs w:val="21"/>
        </w:rPr>
        <w:t>投标人的法定代表人授权代表近一个月的社保证明复印件加盖投标人公章</w:t>
      </w:r>
    </w:p>
    <w:p>
      <w:pPr>
        <w:snapToGrid w:val="0"/>
        <w:spacing w:before="120" w:beforeLines="50" w:after="50" w:line="360" w:lineRule="auto"/>
        <w:rPr>
          <w:rFonts w:hint="eastAsia" w:ascii="宋体" w:hAnsi="宋体"/>
          <w:b/>
          <w:color w:val="auto"/>
          <w:szCs w:val="21"/>
        </w:rPr>
      </w:pPr>
    </w:p>
    <w:p>
      <w:pPr>
        <w:snapToGrid w:val="0"/>
        <w:spacing w:before="120" w:beforeLines="50" w:after="50" w:line="360" w:lineRule="auto"/>
        <w:rPr>
          <w:rFonts w:hint="eastAsia" w:ascii="宋体" w:hAnsi="宋体"/>
          <w:b/>
          <w:color w:val="auto"/>
          <w:szCs w:val="21"/>
        </w:rPr>
      </w:pPr>
    </w:p>
    <w:p>
      <w:pPr>
        <w:snapToGrid w:val="0"/>
        <w:spacing w:before="120" w:beforeLines="50" w:after="50" w:line="360" w:lineRule="auto"/>
        <w:rPr>
          <w:rFonts w:hint="eastAsia" w:ascii="宋体" w:hAnsi="宋体"/>
          <w:b/>
          <w:color w:val="auto"/>
          <w:szCs w:val="21"/>
        </w:rPr>
      </w:pPr>
    </w:p>
    <w:p>
      <w:pPr>
        <w:snapToGrid w:val="0"/>
        <w:spacing w:before="120" w:beforeLines="50" w:after="50" w:line="360" w:lineRule="auto"/>
        <w:rPr>
          <w:rFonts w:hint="eastAsia" w:ascii="宋体" w:hAnsi="宋体"/>
          <w:b/>
          <w:color w:val="auto"/>
          <w:szCs w:val="21"/>
        </w:rPr>
      </w:pPr>
    </w:p>
    <w:p>
      <w:pPr>
        <w:snapToGrid w:val="0"/>
        <w:spacing w:before="120" w:beforeLines="50" w:after="50" w:line="360" w:lineRule="auto"/>
        <w:rPr>
          <w:rFonts w:hint="eastAsia" w:ascii="宋体" w:hAnsi="宋体"/>
          <w:b/>
          <w:color w:val="auto"/>
          <w:szCs w:val="21"/>
        </w:rPr>
      </w:pPr>
    </w:p>
    <w:p>
      <w:pPr>
        <w:snapToGrid w:val="0"/>
        <w:spacing w:before="120" w:beforeLines="50" w:after="50" w:line="360" w:lineRule="auto"/>
        <w:rPr>
          <w:rFonts w:hint="eastAsia" w:ascii="宋体" w:hAnsi="宋体"/>
          <w:b/>
          <w:color w:val="auto"/>
          <w:szCs w:val="21"/>
        </w:rPr>
      </w:pPr>
    </w:p>
    <w:p>
      <w:pPr>
        <w:snapToGrid w:val="0"/>
        <w:spacing w:before="120" w:beforeLines="50" w:after="50" w:line="360" w:lineRule="auto"/>
        <w:rPr>
          <w:rFonts w:hint="eastAsia" w:ascii="宋体" w:hAnsi="宋体"/>
          <w:b/>
          <w:color w:val="auto"/>
          <w:szCs w:val="21"/>
        </w:rPr>
      </w:pPr>
    </w:p>
    <w:p>
      <w:pPr>
        <w:snapToGrid w:val="0"/>
        <w:spacing w:before="120" w:beforeLines="50" w:after="50" w:line="360" w:lineRule="auto"/>
        <w:rPr>
          <w:rFonts w:hint="eastAsia" w:ascii="宋体" w:hAnsi="宋体"/>
          <w:b/>
          <w:color w:val="auto"/>
          <w:szCs w:val="21"/>
        </w:rPr>
      </w:pPr>
    </w:p>
    <w:p>
      <w:pPr>
        <w:snapToGrid w:val="0"/>
        <w:spacing w:before="120" w:beforeLines="50" w:after="50" w:line="360" w:lineRule="auto"/>
        <w:rPr>
          <w:rFonts w:hint="eastAsia" w:ascii="宋体" w:hAnsi="宋体"/>
          <w:b/>
          <w:color w:val="auto"/>
          <w:szCs w:val="21"/>
        </w:rPr>
      </w:pPr>
    </w:p>
    <w:p>
      <w:pPr>
        <w:snapToGrid w:val="0"/>
        <w:spacing w:before="120" w:beforeLines="50" w:after="50" w:line="360" w:lineRule="auto"/>
        <w:rPr>
          <w:rFonts w:hint="eastAsia" w:ascii="宋体" w:hAnsi="宋体"/>
          <w:b/>
          <w:color w:val="auto"/>
          <w:szCs w:val="21"/>
        </w:rPr>
      </w:pPr>
    </w:p>
    <w:p>
      <w:pPr>
        <w:snapToGrid w:val="0"/>
        <w:spacing w:before="120" w:beforeLines="50" w:after="50" w:line="360" w:lineRule="auto"/>
        <w:rPr>
          <w:rFonts w:hint="eastAsia" w:ascii="宋体" w:hAnsi="宋体"/>
          <w:b/>
          <w:color w:val="auto"/>
          <w:szCs w:val="21"/>
        </w:rPr>
      </w:pPr>
    </w:p>
    <w:p>
      <w:pPr>
        <w:snapToGrid w:val="0"/>
        <w:spacing w:before="120" w:beforeLines="50" w:after="50" w:line="360" w:lineRule="auto"/>
        <w:rPr>
          <w:rFonts w:hint="eastAsia" w:ascii="宋体" w:hAnsi="宋体"/>
          <w:b/>
          <w:color w:val="auto"/>
          <w:szCs w:val="21"/>
        </w:rPr>
      </w:pPr>
    </w:p>
    <w:p>
      <w:pPr>
        <w:snapToGrid w:val="0"/>
        <w:spacing w:before="120" w:beforeLines="50" w:after="50" w:line="360" w:lineRule="auto"/>
        <w:jc w:val="center"/>
        <w:rPr>
          <w:rFonts w:ascii="宋体" w:hAnsi="宋体"/>
          <w:b/>
          <w:color w:val="auto"/>
          <w:szCs w:val="21"/>
        </w:rPr>
      </w:pPr>
      <w:r>
        <w:rPr>
          <w:rFonts w:hint="eastAsia" w:ascii="宋体" w:hAnsi="宋体"/>
          <w:b/>
          <w:color w:val="auto"/>
          <w:szCs w:val="21"/>
        </w:rPr>
        <w:t>法定代表人授权委托书</w:t>
      </w:r>
    </w:p>
    <w:p>
      <w:pPr>
        <w:snapToGrid w:val="0"/>
        <w:spacing w:before="120" w:beforeLines="50" w:after="50" w:line="360" w:lineRule="auto"/>
        <w:rPr>
          <w:rFonts w:hint="eastAsia" w:ascii="宋体" w:hAnsi="宋体"/>
          <w:bCs/>
          <w:color w:val="auto"/>
          <w:szCs w:val="21"/>
        </w:rPr>
      </w:pPr>
    </w:p>
    <w:p>
      <w:pPr>
        <w:snapToGrid w:val="0"/>
        <w:spacing w:before="120" w:beforeLines="50" w:after="50" w:line="360" w:lineRule="auto"/>
        <w:rPr>
          <w:rFonts w:ascii="宋体" w:hAnsi="宋体"/>
          <w:b/>
          <w:bCs/>
          <w:color w:val="auto"/>
          <w:szCs w:val="21"/>
        </w:rPr>
      </w:pPr>
      <w:r>
        <w:rPr>
          <w:rFonts w:hint="eastAsia" w:ascii="宋体" w:hAnsi="宋体"/>
          <w:bCs/>
          <w:color w:val="auto"/>
          <w:szCs w:val="21"/>
        </w:rPr>
        <w:t>致：</w:t>
      </w:r>
      <w:r>
        <w:rPr>
          <w:rFonts w:ascii="宋体" w:hAnsi="宋体"/>
          <w:color w:val="auto"/>
          <w:szCs w:val="21"/>
          <w:u w:val="single"/>
        </w:rPr>
        <w:t>_______     __</w:t>
      </w:r>
      <w:r>
        <w:rPr>
          <w:rFonts w:hint="eastAsia" w:ascii="宋体" w:hAnsi="宋体"/>
          <w:color w:val="auto"/>
          <w:szCs w:val="21"/>
        </w:rPr>
        <w:t>（采购人、代理机构名称）</w:t>
      </w:r>
      <w:r>
        <w:rPr>
          <w:rFonts w:ascii="宋体" w:hAnsi="宋体"/>
          <w:b/>
          <w:bCs/>
          <w:color w:val="auto"/>
          <w:szCs w:val="21"/>
        </w:rPr>
        <w:t xml:space="preserve"> </w:t>
      </w:r>
      <w:r>
        <w:rPr>
          <w:rFonts w:hint="eastAsia" w:ascii="宋体" w:hAnsi="宋体"/>
          <w:color w:val="auto"/>
          <w:szCs w:val="21"/>
        </w:rPr>
        <w:t>：</w:t>
      </w:r>
    </w:p>
    <w:p>
      <w:pPr>
        <w:snapToGrid w:val="0"/>
        <w:spacing w:before="120" w:beforeLines="50" w:after="50" w:line="360" w:lineRule="auto"/>
        <w:ind w:firstLine="630" w:firstLineChars="300"/>
        <w:rPr>
          <w:rFonts w:ascii="宋体" w:hAnsi="宋体"/>
          <w:color w:val="auto"/>
          <w:szCs w:val="21"/>
        </w:rPr>
      </w:pPr>
      <w:r>
        <w:rPr>
          <w:rFonts w:hint="eastAsia" w:ascii="宋体" w:hAnsi="宋体"/>
          <w:color w:val="auto"/>
          <w:szCs w:val="21"/>
        </w:rPr>
        <w:t>我</w:t>
      </w:r>
      <w:r>
        <w:rPr>
          <w:rFonts w:ascii="宋体" w:hAnsi="宋体"/>
          <w:color w:val="auto"/>
          <w:szCs w:val="21"/>
          <w:u w:val="single"/>
        </w:rPr>
        <w:t>_______     __</w:t>
      </w:r>
      <w:r>
        <w:rPr>
          <w:rFonts w:hint="eastAsia" w:ascii="宋体" w:hAnsi="宋体"/>
          <w:color w:val="auto"/>
          <w:szCs w:val="21"/>
        </w:rPr>
        <w:t>（姓名）系</w:t>
      </w:r>
      <w:r>
        <w:rPr>
          <w:rFonts w:ascii="宋体" w:hAnsi="宋体"/>
          <w:color w:val="auto"/>
          <w:szCs w:val="21"/>
          <w:u w:val="single"/>
        </w:rPr>
        <w:t>_</w:t>
      </w:r>
      <w:r>
        <w:rPr>
          <w:rFonts w:hint="eastAsia" w:ascii="宋体" w:hAnsi="宋体"/>
          <w:color w:val="auto"/>
          <w:szCs w:val="21"/>
          <w:u w:val="single"/>
        </w:rPr>
        <w:t>（投标人名称）</w:t>
      </w:r>
      <w:r>
        <w:rPr>
          <w:rFonts w:hint="eastAsia" w:ascii="宋体" w:hAnsi="宋体"/>
          <w:color w:val="auto"/>
          <w:szCs w:val="21"/>
        </w:rPr>
        <w:t>的法定代表人，现授权委托本单位在职职工</w:t>
      </w:r>
      <w:r>
        <w:rPr>
          <w:rFonts w:ascii="宋体" w:hAnsi="宋体"/>
          <w:color w:val="auto"/>
          <w:szCs w:val="21"/>
        </w:rPr>
        <w:t xml:space="preserve">               </w:t>
      </w:r>
      <w:r>
        <w:rPr>
          <w:rFonts w:hint="eastAsia" w:ascii="宋体" w:hAnsi="宋体"/>
          <w:color w:val="auto"/>
          <w:szCs w:val="21"/>
          <w:u w:val="single"/>
        </w:rPr>
        <w:t>（姓名）</w:t>
      </w:r>
      <w:r>
        <w:rPr>
          <w:rFonts w:hint="eastAsia" w:ascii="宋体" w:hAnsi="宋体"/>
          <w:color w:val="auto"/>
          <w:szCs w:val="21"/>
        </w:rPr>
        <w:t>以我方的名义参加</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rPr>
        <w:t>项目的投标活动，并代表我方全权办理针对上述项目的投标，开标，评标过程中的澄清及承诺，合同签订等具体事务，签署相关文件。</w:t>
      </w:r>
    </w:p>
    <w:p>
      <w:pPr>
        <w:snapToGrid w:val="0"/>
        <w:spacing w:before="120" w:beforeLines="50" w:after="50" w:line="360" w:lineRule="auto"/>
        <w:rPr>
          <w:rFonts w:ascii="宋体" w:hAnsi="宋体"/>
          <w:color w:val="auto"/>
          <w:szCs w:val="21"/>
        </w:rPr>
      </w:pPr>
      <w:r>
        <w:rPr>
          <w:rFonts w:ascii="宋体" w:hAnsi="宋体"/>
          <w:color w:val="auto"/>
          <w:szCs w:val="21"/>
        </w:rPr>
        <w:t xml:space="preserve">    </w:t>
      </w:r>
      <w:r>
        <w:rPr>
          <w:rFonts w:hint="eastAsia" w:ascii="宋体" w:hAnsi="宋体"/>
          <w:color w:val="auto"/>
          <w:szCs w:val="21"/>
        </w:rPr>
        <w:t>我方对被授权人的签名事项负全部责任。</w:t>
      </w:r>
    </w:p>
    <w:p>
      <w:pPr>
        <w:snapToGrid w:val="0"/>
        <w:spacing w:before="120" w:beforeLines="50" w:after="50" w:line="360" w:lineRule="auto"/>
        <w:ind w:firstLine="480"/>
        <w:rPr>
          <w:rFonts w:ascii="宋体" w:hAnsi="宋体"/>
          <w:color w:val="auto"/>
          <w:szCs w:val="21"/>
        </w:rPr>
      </w:pPr>
      <w:r>
        <w:rPr>
          <w:rFonts w:hint="eastAsia" w:ascii="宋体" w:hAnsi="宋体"/>
          <w:color w:val="auto"/>
          <w:szCs w:val="21"/>
        </w:rPr>
        <w:t>在撤销授权的书面通知以前，本授权书一直有效。被授权人在投标有效期内签署的所有文件不因授权的撤销而失效。</w:t>
      </w:r>
    </w:p>
    <w:p>
      <w:pPr>
        <w:snapToGrid w:val="0"/>
        <w:spacing w:before="120" w:beforeLines="50" w:after="50" w:line="360" w:lineRule="auto"/>
        <w:ind w:firstLine="480"/>
        <w:rPr>
          <w:rFonts w:ascii="宋体" w:hAnsi="宋体"/>
          <w:color w:val="auto"/>
          <w:szCs w:val="21"/>
        </w:rPr>
      </w:pPr>
      <w:r>
        <w:rPr>
          <w:rFonts w:hint="eastAsia" w:ascii="宋体" w:hAnsi="宋体"/>
          <w:color w:val="auto"/>
          <w:szCs w:val="21"/>
        </w:rPr>
        <w:t>被授权人无转委托权，特此委托。</w:t>
      </w:r>
    </w:p>
    <w:p>
      <w:pPr>
        <w:snapToGrid w:val="0"/>
        <w:spacing w:before="120" w:beforeLines="50" w:after="50" w:line="360" w:lineRule="auto"/>
        <w:rPr>
          <w:rFonts w:ascii="宋体" w:hAnsi="宋体"/>
          <w:color w:val="auto"/>
          <w:szCs w:val="21"/>
        </w:rPr>
      </w:pPr>
    </w:p>
    <w:p>
      <w:pPr>
        <w:snapToGrid w:val="0"/>
        <w:spacing w:before="120" w:beforeLines="50" w:after="50" w:line="360" w:lineRule="auto"/>
        <w:rPr>
          <w:rFonts w:ascii="宋体" w:hAnsi="宋体"/>
          <w:color w:val="auto"/>
          <w:szCs w:val="21"/>
        </w:rPr>
      </w:pPr>
      <w:r>
        <w:rPr>
          <w:rFonts w:hint="eastAsia" w:ascii="宋体" w:hAnsi="宋体"/>
          <w:color w:val="auto"/>
          <w:szCs w:val="21"/>
        </w:rPr>
        <w:t>被授权人签名：</w:t>
      </w:r>
      <w:r>
        <w:rPr>
          <w:rFonts w:ascii="宋体" w:hAnsi="宋体"/>
          <w:color w:val="auto"/>
          <w:szCs w:val="21"/>
        </w:rPr>
        <w:t xml:space="preserve">                           </w:t>
      </w:r>
      <w:r>
        <w:rPr>
          <w:rFonts w:hint="eastAsia" w:ascii="宋体" w:hAnsi="宋体"/>
          <w:color w:val="auto"/>
          <w:szCs w:val="21"/>
        </w:rPr>
        <w:t>法定代表人签名：</w:t>
      </w:r>
      <w:r>
        <w:rPr>
          <w:rFonts w:ascii="宋体" w:hAnsi="宋体"/>
          <w:color w:val="auto"/>
          <w:szCs w:val="21"/>
        </w:rPr>
        <w:t xml:space="preserve">          </w:t>
      </w:r>
    </w:p>
    <w:p>
      <w:pPr>
        <w:snapToGrid w:val="0"/>
        <w:spacing w:before="120" w:beforeLines="50" w:after="50" w:line="360" w:lineRule="auto"/>
        <w:ind w:firstLine="840" w:firstLineChars="400"/>
        <w:rPr>
          <w:rFonts w:ascii="宋体" w:hAnsi="宋体"/>
          <w:color w:val="auto"/>
          <w:szCs w:val="21"/>
        </w:rPr>
      </w:pPr>
      <w:r>
        <w:rPr>
          <w:rFonts w:hint="eastAsia" w:ascii="宋体" w:hAnsi="宋体"/>
          <w:color w:val="auto"/>
          <w:szCs w:val="21"/>
        </w:rPr>
        <w:t>职务：</w:t>
      </w:r>
      <w:r>
        <w:rPr>
          <w:rFonts w:ascii="宋体" w:hAnsi="宋体"/>
          <w:color w:val="auto"/>
          <w:szCs w:val="21"/>
        </w:rPr>
        <w:t xml:space="preserve">                                     </w:t>
      </w:r>
      <w:r>
        <w:rPr>
          <w:rFonts w:hint="eastAsia" w:ascii="宋体" w:hAnsi="宋体"/>
          <w:color w:val="auto"/>
          <w:szCs w:val="21"/>
        </w:rPr>
        <w:t>职务：</w:t>
      </w:r>
      <w:r>
        <w:rPr>
          <w:rFonts w:ascii="宋体" w:hAnsi="宋体"/>
          <w:color w:val="auto"/>
          <w:szCs w:val="21"/>
        </w:rPr>
        <w:t xml:space="preserve">           </w:t>
      </w:r>
    </w:p>
    <w:p>
      <w:pPr>
        <w:snapToGrid w:val="0"/>
        <w:spacing w:before="120" w:beforeLines="50" w:after="50" w:line="360" w:lineRule="auto"/>
        <w:rPr>
          <w:rFonts w:ascii="宋体" w:hAnsi="宋体"/>
          <w:color w:val="auto"/>
          <w:szCs w:val="21"/>
        </w:rPr>
      </w:pPr>
      <w:r>
        <w:rPr>
          <w:rFonts w:hint="eastAsia" w:ascii="宋体" w:hAnsi="宋体"/>
          <w:color w:val="auto"/>
          <w:szCs w:val="21"/>
        </w:rPr>
        <w:t>被授权人身份证号码：</w:t>
      </w:r>
      <w:r>
        <w:rPr>
          <w:rFonts w:ascii="宋体" w:hAnsi="宋体"/>
          <w:color w:val="auto"/>
          <w:szCs w:val="21"/>
        </w:rPr>
        <w:t xml:space="preserve">                              </w:t>
      </w:r>
    </w:p>
    <w:p>
      <w:pPr>
        <w:snapToGrid w:val="0"/>
        <w:spacing w:before="120" w:beforeLines="50" w:after="50" w:line="360" w:lineRule="auto"/>
        <w:rPr>
          <w:rFonts w:ascii="宋体" w:hAnsi="宋体"/>
          <w:color w:val="auto"/>
          <w:szCs w:val="21"/>
        </w:rPr>
      </w:pPr>
      <w:r>
        <w:rPr>
          <w:rFonts w:ascii="宋体" w:hAnsi="宋体"/>
          <w:color w:val="auto"/>
          <w:szCs w:val="21"/>
        </w:rPr>
        <w:t xml:space="preserve">                                     </w:t>
      </w:r>
      <w:r>
        <w:rPr>
          <w:rFonts w:hint="eastAsia" w:ascii="宋体" w:hAnsi="宋体"/>
          <w:color w:val="auto"/>
          <w:szCs w:val="21"/>
        </w:rPr>
        <w:t>投标人公章：</w:t>
      </w:r>
    </w:p>
    <w:p>
      <w:pPr>
        <w:snapToGrid w:val="0"/>
        <w:spacing w:before="120" w:beforeLines="50" w:after="50" w:line="360" w:lineRule="auto"/>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napToGrid w:val="0"/>
        <w:spacing w:line="360" w:lineRule="auto"/>
        <w:jc w:val="left"/>
        <w:rPr>
          <w:rFonts w:hint="eastAsia" w:hAnsi="宋体"/>
          <w:b/>
          <w:color w:val="auto"/>
          <w:szCs w:val="21"/>
        </w:rPr>
      </w:pPr>
      <w:r>
        <w:rPr>
          <w:rFonts w:hint="eastAsia" w:hAnsi="宋体"/>
          <w:color w:val="auto"/>
          <w:szCs w:val="21"/>
        </w:rPr>
        <w:t>4）</w:t>
      </w:r>
      <w:r>
        <w:rPr>
          <w:rFonts w:hint="eastAsia" w:hAnsi="宋体"/>
          <w:b/>
          <w:color w:val="auto"/>
          <w:szCs w:val="21"/>
        </w:rPr>
        <w:t>合格投标人的资格要求中相应的证明材料（开标时携带证明资料原件备查，第</w:t>
      </w:r>
      <w:r>
        <w:rPr>
          <w:rFonts w:hint="eastAsia" w:ascii="宋体" w:hAnsi="宋体" w:cs="宋体"/>
          <w:b/>
          <w:color w:val="auto"/>
          <w:szCs w:val="21"/>
        </w:rPr>
        <w:t>（1）款中的资料除外</w:t>
      </w:r>
      <w:r>
        <w:rPr>
          <w:rFonts w:hint="eastAsia" w:hAnsi="宋体"/>
          <w:b/>
          <w:color w:val="auto"/>
          <w:szCs w:val="21"/>
        </w:rPr>
        <w:t>）：</w:t>
      </w:r>
    </w:p>
    <w:p>
      <w:pPr>
        <w:spacing w:line="360" w:lineRule="auto"/>
        <w:rPr>
          <w:rFonts w:hint="eastAsia" w:ascii="宋体" w:hAnsi="宋体" w:cs="宋体"/>
          <w:b/>
          <w:color w:val="auto"/>
          <w:szCs w:val="21"/>
        </w:rPr>
      </w:pPr>
      <w:r>
        <w:rPr>
          <w:rFonts w:hint="eastAsia" w:ascii="宋体" w:hAnsi="宋体" w:cs="宋体"/>
          <w:b/>
          <w:color w:val="auto"/>
          <w:szCs w:val="21"/>
        </w:rPr>
        <w:t>（1）</w:t>
      </w:r>
      <w:r>
        <w:rPr>
          <w:rFonts w:hint="eastAsia" w:ascii="宋体" w:hAnsi="宋体" w:cs="宋体"/>
          <w:b/>
          <w:color w:val="auto"/>
        </w:rPr>
        <w:t>投标人未被列入“信用中国”网站(</w:t>
      </w:r>
      <w:r>
        <w:rPr>
          <w:rFonts w:ascii="宋体" w:hAnsi="宋体" w:cs="宋体"/>
          <w:b/>
          <w:color w:val="auto"/>
        </w:rPr>
        <w:fldChar w:fldCharType="begin"/>
      </w:r>
      <w:r>
        <w:rPr>
          <w:rFonts w:ascii="宋体" w:hAnsi="宋体" w:cs="宋体"/>
          <w:b/>
          <w:color w:val="auto"/>
        </w:rPr>
        <w:instrText xml:space="preserve">HYPERLINK "http://www.creditchina.gov.cn"</w:instrText>
      </w:r>
      <w:r>
        <w:rPr>
          <w:rFonts w:ascii="宋体" w:hAnsi="宋体" w:cs="宋体"/>
          <w:b/>
          <w:color w:val="auto"/>
        </w:rPr>
        <w:fldChar w:fldCharType="separate"/>
      </w:r>
      <w:r>
        <w:rPr>
          <w:rFonts w:hint="eastAsia" w:ascii="宋体"/>
          <w:b/>
          <w:color w:val="auto"/>
        </w:rPr>
        <w:t>www.creditchina.gov.cn</w:t>
      </w:r>
      <w:r>
        <w:rPr>
          <w:rFonts w:ascii="宋体" w:hAnsi="宋体" w:cs="宋体"/>
          <w:b/>
          <w:color w:val="auto"/>
        </w:rPr>
        <w:fldChar w:fldCharType="end"/>
      </w:r>
      <w:r>
        <w:rPr>
          <w:rFonts w:hint="eastAsia" w:ascii="宋体" w:hAnsi="宋体" w:cs="宋体"/>
          <w:b/>
          <w:color w:val="auto"/>
        </w:rPr>
        <w:t>)中的“失信被执行人或重大税收违法案件当事人名单或政府采购严重违法失信名单”，不处于中国政府采购网(www.ccgp.gov.cn)“</w:t>
      </w:r>
      <w:r>
        <w:rPr>
          <w:rFonts w:ascii="宋体" w:hAnsi="宋体" w:cs="宋体"/>
          <w:b/>
          <w:color w:val="auto"/>
        </w:rPr>
        <w:fldChar w:fldCharType="begin"/>
      </w:r>
      <w:r>
        <w:rPr>
          <w:rFonts w:ascii="宋体" w:hAnsi="宋体" w:cs="宋体"/>
          <w:b/>
          <w:color w:val="auto"/>
        </w:rPr>
        <w:instrText xml:space="preserve">HYPERLINK "http://www.ccgp.gov.cn/search/cr/" \o "政府采购严重违法失信行为记录名单"</w:instrText>
      </w:r>
      <w:r>
        <w:rPr>
          <w:rFonts w:ascii="宋体" w:hAnsi="宋体" w:cs="宋体"/>
          <w:b/>
          <w:color w:val="auto"/>
        </w:rPr>
        <w:fldChar w:fldCharType="separate"/>
      </w:r>
      <w:r>
        <w:rPr>
          <w:rFonts w:ascii="宋体" w:hAnsi="宋体" w:cs="宋体"/>
          <w:b/>
          <w:color w:val="auto"/>
        </w:rPr>
        <w:t>政府采购严重违法失信行为记录名单</w:t>
      </w:r>
      <w:r>
        <w:rPr>
          <w:rFonts w:ascii="宋体" w:hAnsi="宋体" w:cs="宋体"/>
          <w:b/>
          <w:color w:val="auto"/>
        </w:rPr>
        <w:fldChar w:fldCharType="end"/>
      </w:r>
      <w:r>
        <w:rPr>
          <w:rFonts w:hint="eastAsia" w:ascii="宋体" w:hAnsi="宋体" w:cs="宋体"/>
          <w:b/>
          <w:color w:val="auto"/>
        </w:rPr>
        <w:t>”处罚结果确定为禁止参加政府采购活动期间。</w:t>
      </w:r>
      <w:r>
        <w:rPr>
          <w:rFonts w:hint="eastAsia" w:ascii="宋体" w:hAnsi="宋体"/>
          <w:b/>
          <w:color w:val="auto"/>
          <w:szCs w:val="21"/>
        </w:rPr>
        <w:t>（格式自拟，投标文件中附投标人在</w:t>
      </w:r>
      <w:r>
        <w:rPr>
          <w:rFonts w:hint="eastAsia" w:ascii="宋体" w:hAnsi="宋体" w:cs="宋体"/>
          <w:b/>
          <w:color w:val="auto"/>
        </w:rPr>
        <w:t xml:space="preserve"> “信用中国”网站(</w:t>
      </w:r>
      <w:r>
        <w:rPr>
          <w:rFonts w:ascii="宋体" w:hAnsi="宋体" w:cs="宋体"/>
          <w:b/>
          <w:color w:val="auto"/>
        </w:rPr>
        <w:fldChar w:fldCharType="begin"/>
      </w:r>
      <w:r>
        <w:rPr>
          <w:rFonts w:ascii="宋体" w:hAnsi="宋体" w:cs="宋体"/>
          <w:b/>
          <w:color w:val="auto"/>
        </w:rPr>
        <w:instrText xml:space="preserve"> HYPERLINK "http://</w:instrText>
      </w:r>
      <w:r>
        <w:rPr>
          <w:rFonts w:hint="eastAsia" w:ascii="宋体" w:hAnsi="宋体" w:cs="宋体"/>
          <w:b/>
          <w:color w:val="auto"/>
        </w:rPr>
        <w:instrText xml:space="preserve">www.creditchina.gov.cn</w:instrText>
      </w:r>
      <w:r>
        <w:rPr>
          <w:rFonts w:ascii="宋体" w:hAnsi="宋体" w:cs="宋体"/>
          <w:b/>
          <w:color w:val="auto"/>
        </w:rPr>
        <w:instrText xml:space="preserve">" </w:instrText>
      </w:r>
      <w:r>
        <w:rPr>
          <w:rFonts w:ascii="宋体" w:hAnsi="宋体" w:cs="宋体"/>
          <w:b/>
          <w:color w:val="auto"/>
        </w:rPr>
        <w:fldChar w:fldCharType="separate"/>
      </w:r>
      <w:r>
        <w:rPr>
          <w:rStyle w:val="55"/>
          <w:rFonts w:hint="eastAsia" w:hAnsi="宋体" w:cs="宋体"/>
          <w:b/>
          <w:color w:val="auto"/>
        </w:rPr>
        <w:t>www.creditchina.gov.cn</w:t>
      </w:r>
      <w:r>
        <w:rPr>
          <w:rFonts w:ascii="宋体" w:hAnsi="宋体" w:cs="宋体"/>
          <w:b/>
          <w:color w:val="auto"/>
        </w:rPr>
        <w:fldChar w:fldCharType="end"/>
      </w:r>
      <w:r>
        <w:rPr>
          <w:rFonts w:hint="eastAsia" w:ascii="宋体" w:hAnsi="宋体" w:cs="宋体"/>
          <w:b/>
          <w:color w:val="auto"/>
        </w:rPr>
        <w:t>)、中国政府采购网(www.ccgp.gov.cn)</w:t>
      </w:r>
      <w:r>
        <w:rPr>
          <w:rFonts w:hint="eastAsia" w:ascii="宋体" w:hAnsi="宋体"/>
          <w:b/>
          <w:color w:val="auto"/>
          <w:szCs w:val="21"/>
        </w:rPr>
        <w:t>中查询结果的截图复印件。</w:t>
      </w:r>
      <w:r>
        <w:rPr>
          <w:rFonts w:hint="eastAsia" w:ascii="宋体" w:hAnsi="宋体" w:cs="宋体"/>
          <w:b/>
          <w:color w:val="auto"/>
        </w:rPr>
        <w:t>“</w:t>
      </w:r>
      <w:r>
        <w:rPr>
          <w:rFonts w:hint="eastAsia" w:ascii="微软雅黑" w:hAnsi="微软雅黑" w:eastAsia="微软雅黑"/>
          <w:b/>
          <w:color w:val="auto"/>
          <w:sz w:val="19"/>
          <w:szCs w:val="19"/>
        </w:rPr>
        <w:t> </w:t>
      </w:r>
      <w:r>
        <w:rPr>
          <w:rFonts w:ascii="微软雅黑" w:hAnsi="微软雅黑" w:eastAsia="微软雅黑"/>
          <w:b/>
          <w:color w:val="auto"/>
          <w:sz w:val="19"/>
          <w:szCs w:val="19"/>
        </w:rPr>
        <w:fldChar w:fldCharType="begin"/>
      </w:r>
      <w:r>
        <w:rPr>
          <w:rFonts w:ascii="微软雅黑" w:hAnsi="微软雅黑" w:eastAsia="微软雅黑"/>
          <w:b/>
          <w:color w:val="auto"/>
          <w:sz w:val="19"/>
          <w:szCs w:val="19"/>
        </w:rPr>
        <w:instrText xml:space="preserve"> HYPERLINK "http://www.ccgp.gov.cn/search/cr/" \o "政府采购严重违法失信行为记录名单" </w:instrText>
      </w:r>
      <w:r>
        <w:rPr>
          <w:rFonts w:ascii="微软雅黑" w:hAnsi="微软雅黑" w:eastAsia="微软雅黑"/>
          <w:b/>
          <w:color w:val="auto"/>
          <w:sz w:val="19"/>
          <w:szCs w:val="19"/>
        </w:rPr>
        <w:fldChar w:fldCharType="separate"/>
      </w:r>
      <w:r>
        <w:rPr>
          <w:rStyle w:val="55"/>
          <w:b/>
          <w:color w:val="auto"/>
        </w:rPr>
        <w:t>政府采购严重违法失信行为记录名单</w:t>
      </w:r>
      <w:r>
        <w:rPr>
          <w:rFonts w:ascii="微软雅黑" w:hAnsi="微软雅黑" w:eastAsia="微软雅黑"/>
          <w:b/>
          <w:color w:val="auto"/>
          <w:sz w:val="19"/>
          <w:szCs w:val="19"/>
        </w:rPr>
        <w:fldChar w:fldCharType="end"/>
      </w:r>
      <w:r>
        <w:rPr>
          <w:rFonts w:hint="eastAsia" w:ascii="宋体" w:hAnsi="宋体" w:cs="宋体"/>
          <w:b/>
          <w:color w:val="auto"/>
        </w:rPr>
        <w:t>”处罚结果确定为禁止参加政府采购活动</w:t>
      </w:r>
      <w:r>
        <w:rPr>
          <w:rFonts w:hint="eastAsia" w:ascii="宋体" w:hAnsi="宋体"/>
          <w:b/>
          <w:color w:val="auto"/>
          <w:szCs w:val="21"/>
        </w:rPr>
        <w:t>期限届满的需另行提供相关证明</w:t>
      </w:r>
      <w:r>
        <w:rPr>
          <w:rFonts w:hint="eastAsia" w:ascii="宋体" w:hAnsi="宋体" w:cs="宋体"/>
          <w:b/>
          <w:color w:val="auto"/>
          <w:szCs w:val="21"/>
        </w:rPr>
        <w:t>资料，加盖投标人公章。）</w:t>
      </w:r>
    </w:p>
    <w:p>
      <w:pPr>
        <w:snapToGrid w:val="0"/>
        <w:spacing w:line="360" w:lineRule="auto"/>
        <w:jc w:val="left"/>
        <w:rPr>
          <w:rFonts w:ascii="宋体" w:hAnsi="宋体" w:cs="宋体"/>
          <w:b/>
          <w:color w:val="auto"/>
          <w:szCs w:val="21"/>
        </w:rPr>
      </w:pPr>
      <w:r>
        <w:rPr>
          <w:rFonts w:hint="eastAsia" w:ascii="宋体" w:hAnsi="宋体" w:cs="宋体"/>
          <w:b/>
          <w:color w:val="auto"/>
          <w:szCs w:val="21"/>
        </w:rPr>
        <w:t>（2）具有独立承担民事责任的能力；【格式自拟，投标文件中附法人或者其他组织的营业执照等证明文件（包括有效的企业法人营业执照或事业法人登记证或其他组织（个体工商户）的营业执照或者民办非企业单位登记证书）复印件并加盖投标人公章，如为自然人的需附身份证明复印件并签字。】</w:t>
      </w:r>
    </w:p>
    <w:p>
      <w:pPr>
        <w:spacing w:line="360" w:lineRule="auto"/>
        <w:rPr>
          <w:rFonts w:ascii="宋体" w:hAnsi="宋体" w:cs="宋体"/>
          <w:b/>
          <w:color w:val="auto"/>
          <w:szCs w:val="21"/>
        </w:rPr>
      </w:pPr>
      <w:r>
        <w:rPr>
          <w:rFonts w:hint="eastAsia" w:ascii="宋体" w:hAnsi="宋体" w:cs="宋体"/>
          <w:b/>
          <w:color w:val="auto"/>
          <w:szCs w:val="21"/>
        </w:rPr>
        <w:t>（3）具有良好的商业信誉和健全的财务会计制度、具有依法缴纳税收和社会保障资金良好记录；【格式自拟，投标文件中附财务状况报告（包括</w:t>
      </w:r>
      <w:r>
        <w:rPr>
          <w:rFonts w:hint="eastAsia"/>
          <w:color w:val="auto"/>
        </w:rPr>
        <w:t>2018年财务状况报告</w:t>
      </w:r>
      <w:r>
        <w:rPr>
          <w:rFonts w:hint="eastAsia"/>
          <w:b/>
          <w:color w:val="auto"/>
        </w:rPr>
        <w:t>或</w:t>
      </w:r>
      <w:r>
        <w:rPr>
          <w:rFonts w:hint="eastAsia" w:ascii="宋体" w:hAnsi="宋体" w:cs="宋体"/>
          <w:b/>
          <w:color w:val="auto"/>
          <w:szCs w:val="21"/>
        </w:rPr>
        <w:t>者</w:t>
      </w:r>
      <w:r>
        <w:rPr>
          <w:rFonts w:hint="eastAsia"/>
          <w:b/>
          <w:color w:val="auto"/>
        </w:rPr>
        <w:t>投标人成立不足一年的须提供银行出具的资信证明材料）</w:t>
      </w:r>
      <w:r>
        <w:rPr>
          <w:rFonts w:hint="eastAsia" w:ascii="宋体" w:hAnsi="宋体" w:cs="宋体"/>
          <w:b/>
          <w:color w:val="auto"/>
          <w:szCs w:val="21"/>
        </w:rPr>
        <w:t>复印件、依法缴纳税收和社会保障资金的相关材料复印件，加盖投标人公章，</w:t>
      </w:r>
      <w:r>
        <w:rPr>
          <w:rFonts w:hint="eastAsia"/>
          <w:b/>
          <w:color w:val="auto"/>
        </w:rPr>
        <w:t>如依法免税的，应提供其依法免税的证明文件复印件加盖</w:t>
      </w:r>
      <w:r>
        <w:rPr>
          <w:rFonts w:hint="eastAsia" w:ascii="宋体" w:hAnsi="宋体" w:cs="宋体"/>
          <w:b/>
          <w:color w:val="auto"/>
          <w:szCs w:val="21"/>
        </w:rPr>
        <w:t>投标人公章</w:t>
      </w:r>
      <w:r>
        <w:rPr>
          <w:rFonts w:hint="eastAsia"/>
          <w:b/>
          <w:color w:val="auto"/>
        </w:rPr>
        <w:t>，如依法不需要缴纳社会保障资金的，应提供其依法不需要缴纳社会保障资金的证明文件复印件加盖</w:t>
      </w:r>
      <w:r>
        <w:rPr>
          <w:rFonts w:hint="eastAsia" w:ascii="宋体" w:hAnsi="宋体" w:cs="宋体"/>
          <w:b/>
          <w:color w:val="auto"/>
          <w:szCs w:val="21"/>
        </w:rPr>
        <w:t>投标人公章</w:t>
      </w:r>
      <w:r>
        <w:rPr>
          <w:rFonts w:hint="eastAsia"/>
          <w:b/>
          <w:color w:val="auto"/>
        </w:rPr>
        <w:t>。</w:t>
      </w:r>
      <w:r>
        <w:rPr>
          <w:rFonts w:hint="eastAsia" w:ascii="宋体" w:hAnsi="宋体" w:cs="宋体"/>
          <w:b/>
          <w:color w:val="auto"/>
          <w:szCs w:val="21"/>
        </w:rPr>
        <w:t>】</w:t>
      </w:r>
    </w:p>
    <w:p>
      <w:pPr>
        <w:spacing w:line="360" w:lineRule="auto"/>
        <w:rPr>
          <w:rFonts w:ascii="宋体" w:hAnsi="宋体" w:cs="宋体"/>
          <w:b/>
          <w:color w:val="auto"/>
          <w:szCs w:val="21"/>
        </w:rPr>
      </w:pPr>
      <w:r>
        <w:rPr>
          <w:rFonts w:hint="eastAsia" w:ascii="宋体" w:hAnsi="宋体" w:cs="宋体"/>
          <w:b/>
          <w:color w:val="auto"/>
          <w:szCs w:val="21"/>
        </w:rPr>
        <w:t>（4）具有履行合同所必需的设备和专业技术能力；(格式自拟，投标文件中附具备履行合同所必需的设备和专业技术能力的证明材料复印件并加盖投标人公章。)</w:t>
      </w:r>
    </w:p>
    <w:p>
      <w:pPr>
        <w:spacing w:line="360" w:lineRule="auto"/>
        <w:rPr>
          <w:rFonts w:hint="eastAsia" w:ascii="宋体" w:hAnsi="宋体" w:cs="宋体"/>
          <w:b/>
          <w:color w:val="auto"/>
          <w:szCs w:val="21"/>
        </w:rPr>
      </w:pPr>
      <w:r>
        <w:rPr>
          <w:rFonts w:hint="eastAsia" w:ascii="宋体" w:hAnsi="宋体" w:cs="宋体"/>
          <w:b/>
          <w:color w:val="auto"/>
          <w:szCs w:val="21"/>
        </w:rPr>
        <w:t>（5）参加本政府采购活动前三年内，</w:t>
      </w:r>
      <w:r>
        <w:rPr>
          <w:rFonts w:ascii="宋体" w:hAnsi="宋体" w:cs="宋体"/>
          <w:b/>
          <w:color w:val="auto"/>
          <w:kern w:val="0"/>
          <w:szCs w:val="21"/>
        </w:rPr>
        <w:t>在经营活动中没有重大违法记录</w:t>
      </w:r>
      <w:r>
        <w:rPr>
          <w:rFonts w:hint="eastAsia" w:ascii="宋体" w:hAnsi="宋体" w:cs="宋体"/>
          <w:b/>
          <w:color w:val="auto"/>
          <w:szCs w:val="21"/>
        </w:rPr>
        <w:t>。（按第六章投标文件格式中的投标声明书作相应声明。）</w:t>
      </w:r>
    </w:p>
    <w:p>
      <w:pPr>
        <w:spacing w:line="360" w:lineRule="auto"/>
        <w:rPr>
          <w:rFonts w:hint="eastAsia" w:ascii="宋体" w:hAnsi="宋体"/>
          <w:b/>
          <w:color w:val="auto"/>
          <w:szCs w:val="21"/>
        </w:rPr>
      </w:pPr>
      <w:r>
        <w:rPr>
          <w:rFonts w:hint="eastAsia" w:ascii="宋体" w:hAnsi="宋体" w:cs="宋体"/>
          <w:color w:val="auto"/>
        </w:rPr>
        <w:t>（6）</w:t>
      </w:r>
      <w:r>
        <w:rPr>
          <w:rFonts w:hint="eastAsia" w:ascii="宋体" w:hAnsi="宋体"/>
          <w:b/>
          <w:color w:val="auto"/>
          <w:szCs w:val="21"/>
        </w:rPr>
        <w:t>单位负责人为同一人或者存在直接控股、管理关系的不同供应商，不得参加本项目的政府采购活动。为本采购项目提供整体设计、规范编制或者项目管理、监理、检测等服务的供应商，不得</w:t>
      </w:r>
      <w:r>
        <w:rPr>
          <w:rFonts w:hint="eastAsia" w:ascii="宋体" w:hAnsi="宋体" w:cs="宋体"/>
          <w:b/>
          <w:color w:val="auto"/>
          <w:szCs w:val="21"/>
        </w:rPr>
        <w:t>再参加本采购项目的投标。</w:t>
      </w:r>
    </w:p>
    <w:p>
      <w:pPr>
        <w:snapToGrid w:val="0"/>
        <w:spacing w:before="120" w:beforeLines="50" w:after="50" w:line="360" w:lineRule="auto"/>
        <w:jc w:val="center"/>
        <w:rPr>
          <w:rFonts w:ascii="宋体" w:hAnsi="宋体"/>
          <w:b/>
          <w:color w:val="auto"/>
          <w:szCs w:val="21"/>
        </w:rPr>
      </w:pPr>
      <w:r>
        <w:rPr>
          <w:rFonts w:hint="eastAsia" w:ascii="宋体" w:hAnsi="宋体"/>
          <w:b/>
          <w:color w:val="auto"/>
          <w:szCs w:val="21"/>
        </w:rPr>
        <w:t>承 诺 书</w:t>
      </w:r>
    </w:p>
    <w:p>
      <w:pPr>
        <w:snapToGrid w:val="0"/>
        <w:spacing w:before="120" w:beforeLines="50" w:after="50" w:line="360" w:lineRule="auto"/>
        <w:rPr>
          <w:rFonts w:ascii="宋体" w:hAnsi="宋体"/>
          <w:b/>
          <w:color w:val="auto"/>
          <w:szCs w:val="21"/>
        </w:rPr>
      </w:pPr>
      <w:r>
        <w:rPr>
          <w:rFonts w:hint="eastAsia" w:ascii="宋体" w:hAnsi="宋体"/>
          <w:b/>
          <w:color w:val="auto"/>
          <w:szCs w:val="21"/>
        </w:rPr>
        <w:t>致：（</w:t>
      </w:r>
      <w:r>
        <w:rPr>
          <w:rFonts w:hint="eastAsia" w:hAnsi="宋体"/>
          <w:b/>
          <w:bCs/>
          <w:color w:val="auto"/>
          <w:szCs w:val="21"/>
        </w:rPr>
        <w:t>采购人、</w:t>
      </w:r>
      <w:r>
        <w:rPr>
          <w:rFonts w:hAnsi="宋体"/>
          <w:b/>
          <w:bCs/>
          <w:color w:val="auto"/>
          <w:szCs w:val="21"/>
        </w:rPr>
        <w:t>政府采购监督管理部门</w:t>
      </w:r>
      <w:r>
        <w:rPr>
          <w:rFonts w:hint="eastAsia" w:hAnsi="宋体"/>
          <w:b/>
          <w:bCs/>
          <w:color w:val="auto"/>
          <w:szCs w:val="21"/>
        </w:rPr>
        <w:t>、政府采购有关部门）：</w:t>
      </w:r>
    </w:p>
    <w:p>
      <w:pPr>
        <w:snapToGrid w:val="0"/>
        <w:spacing w:before="120" w:beforeLines="50" w:after="50" w:line="360" w:lineRule="auto"/>
        <w:ind w:firstLine="645"/>
        <w:rPr>
          <w:rFonts w:ascii="宋体" w:hAnsi="宋体"/>
          <w:b/>
          <w:color w:val="auto"/>
          <w:szCs w:val="21"/>
        </w:rPr>
      </w:pPr>
      <w:r>
        <w:rPr>
          <w:rFonts w:hint="eastAsia" w:ascii="宋体" w:hAnsi="宋体"/>
          <w:b/>
          <w:color w:val="auto"/>
          <w:szCs w:val="21"/>
        </w:rPr>
        <w:t>我单位就</w:t>
      </w:r>
      <w:r>
        <w:rPr>
          <w:rFonts w:ascii="宋体" w:hAnsi="宋体"/>
          <w:b/>
          <w:color w:val="auto"/>
          <w:szCs w:val="21"/>
          <w:u w:val="single"/>
        </w:rPr>
        <w:t>______              _     __</w:t>
      </w:r>
      <w:r>
        <w:rPr>
          <w:rFonts w:hint="eastAsia" w:ascii="宋体" w:hAnsi="宋体"/>
          <w:b/>
          <w:color w:val="auto"/>
          <w:szCs w:val="21"/>
        </w:rPr>
        <w:t>项目投标作如下承诺：</w:t>
      </w:r>
    </w:p>
    <w:p>
      <w:pPr>
        <w:snapToGrid w:val="0"/>
        <w:spacing w:line="360" w:lineRule="auto"/>
        <w:ind w:firstLine="420" w:firstLineChars="199"/>
        <w:rPr>
          <w:rFonts w:ascii="宋体" w:hAnsi="宋体"/>
          <w:b/>
          <w:color w:val="auto"/>
          <w:szCs w:val="21"/>
        </w:rPr>
      </w:pPr>
      <w:r>
        <w:rPr>
          <w:rFonts w:ascii="宋体" w:hAnsi="宋体"/>
          <w:b/>
          <w:color w:val="auto"/>
          <w:szCs w:val="21"/>
        </w:rPr>
        <w:t>1</w:t>
      </w:r>
      <w:r>
        <w:rPr>
          <w:rFonts w:hint="eastAsia" w:ascii="宋体" w:hAnsi="宋体"/>
          <w:b/>
          <w:color w:val="auto"/>
          <w:szCs w:val="21"/>
        </w:rPr>
        <w:t>.我单位明确清楚参加本项目的投标人与其它参加本项目的投标人不得存在单位负责人为同一人或者存在直接控股、管理关系。</w:t>
      </w:r>
    </w:p>
    <w:p>
      <w:pPr>
        <w:snapToGrid w:val="0"/>
        <w:spacing w:line="360" w:lineRule="auto"/>
        <w:ind w:firstLine="420" w:firstLineChars="199"/>
        <w:rPr>
          <w:rFonts w:ascii="宋体" w:hAnsi="宋体"/>
          <w:color w:val="auto"/>
          <w:szCs w:val="21"/>
        </w:rPr>
      </w:pPr>
      <w:r>
        <w:rPr>
          <w:rFonts w:hint="eastAsia" w:ascii="宋体" w:hAnsi="宋体"/>
          <w:b/>
          <w:color w:val="auto"/>
          <w:szCs w:val="21"/>
        </w:rPr>
        <w:t>2. 我单位明确清楚参加本项目的投标人与其它参加本项目的投标人不得存在以下情形：</w:t>
      </w:r>
    </w:p>
    <w:p>
      <w:pPr>
        <w:snapToGrid w:val="0"/>
        <w:spacing w:line="360" w:lineRule="auto"/>
        <w:rPr>
          <w:rFonts w:ascii="宋体" w:hAnsi="宋体"/>
          <w:b/>
          <w:color w:val="auto"/>
          <w:szCs w:val="21"/>
        </w:rPr>
      </w:pPr>
      <w:r>
        <w:rPr>
          <w:rFonts w:hint="eastAsia" w:ascii="宋体" w:hAnsi="宋体"/>
          <w:b/>
          <w:color w:val="auto"/>
          <w:szCs w:val="21"/>
        </w:rPr>
        <w:t>（一）串通投标；</w:t>
      </w:r>
    </w:p>
    <w:p>
      <w:pPr>
        <w:snapToGrid w:val="0"/>
        <w:spacing w:line="360" w:lineRule="auto"/>
        <w:rPr>
          <w:rFonts w:ascii="宋体" w:hAnsi="宋体"/>
          <w:b/>
          <w:color w:val="auto"/>
          <w:szCs w:val="21"/>
        </w:rPr>
      </w:pPr>
      <w:r>
        <w:rPr>
          <w:rFonts w:hint="eastAsia" w:ascii="宋体" w:hAnsi="宋体"/>
          <w:b/>
          <w:color w:val="auto"/>
          <w:szCs w:val="21"/>
        </w:rPr>
        <w:t>（二）投标文件由同一单位或者个人编制；</w:t>
      </w:r>
    </w:p>
    <w:p>
      <w:pPr>
        <w:snapToGrid w:val="0"/>
        <w:spacing w:line="360" w:lineRule="auto"/>
        <w:rPr>
          <w:rFonts w:ascii="宋体" w:hAnsi="宋体"/>
          <w:b/>
          <w:color w:val="auto"/>
          <w:szCs w:val="21"/>
        </w:rPr>
      </w:pPr>
      <w:r>
        <w:rPr>
          <w:rFonts w:hint="eastAsia" w:ascii="宋体" w:hAnsi="宋体"/>
          <w:b/>
          <w:color w:val="auto"/>
          <w:szCs w:val="21"/>
        </w:rPr>
        <w:t>（三）委托同一单位或者个人办理投标事宜；</w:t>
      </w:r>
    </w:p>
    <w:p>
      <w:pPr>
        <w:snapToGrid w:val="0"/>
        <w:spacing w:line="360" w:lineRule="auto"/>
        <w:rPr>
          <w:rFonts w:ascii="宋体" w:hAnsi="宋体"/>
          <w:b/>
          <w:color w:val="auto"/>
          <w:szCs w:val="21"/>
        </w:rPr>
      </w:pPr>
      <w:r>
        <w:rPr>
          <w:rFonts w:hint="eastAsia" w:ascii="宋体" w:hAnsi="宋体"/>
          <w:b/>
          <w:color w:val="auto"/>
          <w:szCs w:val="21"/>
        </w:rPr>
        <w:t>（四）投标文件载明的项目管理成员或者联系人员为同一人；</w:t>
      </w:r>
    </w:p>
    <w:p>
      <w:pPr>
        <w:snapToGrid w:val="0"/>
        <w:spacing w:line="360" w:lineRule="auto"/>
        <w:rPr>
          <w:rFonts w:ascii="宋体" w:hAnsi="宋体"/>
          <w:b/>
          <w:color w:val="auto"/>
          <w:szCs w:val="21"/>
        </w:rPr>
      </w:pPr>
      <w:r>
        <w:rPr>
          <w:rFonts w:hint="eastAsia" w:ascii="宋体" w:hAnsi="宋体"/>
          <w:b/>
          <w:color w:val="auto"/>
          <w:szCs w:val="21"/>
        </w:rPr>
        <w:t>（五）投标文件异常一致或者投标报价呈规律性差异；</w:t>
      </w:r>
    </w:p>
    <w:p>
      <w:pPr>
        <w:snapToGrid w:val="0"/>
        <w:spacing w:line="360" w:lineRule="auto"/>
        <w:rPr>
          <w:rFonts w:ascii="宋体" w:hAnsi="宋体"/>
          <w:b/>
          <w:color w:val="auto"/>
          <w:szCs w:val="21"/>
        </w:rPr>
      </w:pPr>
      <w:r>
        <w:rPr>
          <w:rFonts w:hint="eastAsia" w:ascii="宋体" w:hAnsi="宋体"/>
          <w:b/>
          <w:color w:val="auto"/>
          <w:szCs w:val="21"/>
        </w:rPr>
        <w:t>（六）投标文件相互混装；</w:t>
      </w:r>
    </w:p>
    <w:p>
      <w:pPr>
        <w:snapToGrid w:val="0"/>
        <w:spacing w:line="360" w:lineRule="auto"/>
        <w:rPr>
          <w:rFonts w:ascii="宋体" w:hAnsi="宋体"/>
          <w:b/>
          <w:color w:val="auto"/>
          <w:szCs w:val="21"/>
        </w:rPr>
      </w:pPr>
      <w:r>
        <w:rPr>
          <w:rFonts w:hint="eastAsia" w:ascii="宋体" w:hAnsi="宋体"/>
          <w:b/>
          <w:color w:val="auto"/>
          <w:szCs w:val="21"/>
        </w:rPr>
        <w:t>（七）投标保证金从同一单位或者个人的账户转出。</w:t>
      </w:r>
    </w:p>
    <w:p>
      <w:pPr>
        <w:pStyle w:val="276"/>
        <w:snapToGrid w:val="0"/>
        <w:spacing w:line="410" w:lineRule="exact"/>
        <w:rPr>
          <w:rFonts w:hAnsi="宋体"/>
          <w:b/>
          <w:color w:val="auto"/>
        </w:rPr>
      </w:pPr>
      <w:r>
        <w:rPr>
          <w:rFonts w:hint="eastAsia" w:hAnsi="宋体"/>
          <w:b/>
          <w:color w:val="auto"/>
        </w:rPr>
        <w:t>（八）法定代表人或负责人或实际控制人是同一人或夫妻关系或直系血亲关系或存在三代以内旁系血亲关系或存在近姻亲关系；</w:t>
      </w:r>
    </w:p>
    <w:p>
      <w:pPr>
        <w:pStyle w:val="276"/>
        <w:snapToGrid w:val="0"/>
        <w:spacing w:line="410" w:lineRule="exact"/>
        <w:rPr>
          <w:rFonts w:hAnsi="宋体"/>
          <w:b/>
          <w:color w:val="auto"/>
        </w:rPr>
      </w:pPr>
      <w:r>
        <w:rPr>
          <w:rFonts w:hint="eastAsia" w:hAnsi="宋体"/>
          <w:b/>
          <w:color w:val="auto"/>
        </w:rPr>
        <w:t>（九）法定代表人或负责人或实际控制人存在股份控制或实际控制关系；</w:t>
      </w:r>
    </w:p>
    <w:p>
      <w:pPr>
        <w:pStyle w:val="276"/>
        <w:snapToGrid w:val="0"/>
        <w:spacing w:line="410" w:lineRule="exact"/>
        <w:outlineLvl w:val="0"/>
        <w:rPr>
          <w:rFonts w:hAnsi="宋体"/>
          <w:color w:val="auto"/>
        </w:rPr>
      </w:pPr>
      <w:r>
        <w:rPr>
          <w:rFonts w:hint="eastAsia" w:hAnsi="宋体"/>
          <w:b/>
          <w:color w:val="auto"/>
        </w:rPr>
        <w:t>（十）共同直接或间接投资设立子公司、联营企业和合营企业情况；</w:t>
      </w:r>
    </w:p>
    <w:p>
      <w:pPr>
        <w:pStyle w:val="276"/>
        <w:snapToGrid w:val="0"/>
        <w:spacing w:line="410" w:lineRule="exact"/>
        <w:rPr>
          <w:rFonts w:hAnsi="宋体"/>
          <w:color w:val="auto"/>
        </w:rPr>
      </w:pPr>
      <w:r>
        <w:rPr>
          <w:rFonts w:hint="eastAsia" w:hAnsi="宋体"/>
          <w:b/>
          <w:color w:val="auto"/>
        </w:rPr>
        <w:t>（十一）管理关系、重要业务或重要财务往来关系（如融资）等其他实质性控制关系；</w:t>
      </w:r>
    </w:p>
    <w:p>
      <w:pPr>
        <w:pStyle w:val="276"/>
        <w:tabs>
          <w:tab w:val="left" w:pos="426"/>
        </w:tabs>
        <w:snapToGrid w:val="0"/>
        <w:spacing w:line="410" w:lineRule="exact"/>
        <w:rPr>
          <w:rFonts w:hAnsi="宋体"/>
          <w:b/>
          <w:color w:val="auto"/>
        </w:rPr>
      </w:pPr>
      <w:r>
        <w:rPr>
          <w:rFonts w:hint="eastAsia" w:hAnsi="宋体"/>
          <w:b/>
          <w:color w:val="auto"/>
        </w:rPr>
        <w:t>（十二）其他利害关系情况；</w:t>
      </w:r>
    </w:p>
    <w:p>
      <w:pPr>
        <w:pStyle w:val="230"/>
        <w:widowControl/>
        <w:snapToGrid w:val="0"/>
        <w:spacing w:line="410" w:lineRule="exact"/>
        <w:ind w:firstLine="422" w:firstLineChars="200"/>
        <w:rPr>
          <w:b/>
          <w:color w:val="auto"/>
        </w:rPr>
      </w:pPr>
      <w:r>
        <w:rPr>
          <w:rFonts w:hint="eastAsia"/>
          <w:b/>
          <w:color w:val="auto"/>
        </w:rPr>
        <w:t>3. 我单位明确清楚参加本项目的投标人不得为本项目提供整体设计、规范编制或者项目管理、监理、检测等服务。</w:t>
      </w:r>
    </w:p>
    <w:p>
      <w:pPr>
        <w:spacing w:line="360" w:lineRule="auto"/>
        <w:rPr>
          <w:rFonts w:ascii="宋体" w:hAnsi="宋体" w:cs="宋体"/>
          <w:b/>
          <w:color w:val="auto"/>
          <w:szCs w:val="21"/>
        </w:rPr>
      </w:pPr>
      <w:r>
        <w:rPr>
          <w:rFonts w:hint="eastAsia" w:ascii="宋体" w:hAnsi="宋体" w:cs="宋体"/>
          <w:b/>
          <w:color w:val="auto"/>
          <w:szCs w:val="21"/>
        </w:rPr>
        <w:t xml:space="preserve">    我单位承诺：我单位如在本项目投标中出现上述违法、违规情形的，我单位愿意承担一切后果，接受相关部门的处罚，并不再寻求任何旨在减轻或免除法律责任的辩解。</w:t>
      </w:r>
    </w:p>
    <w:p>
      <w:pPr>
        <w:pStyle w:val="20"/>
        <w:spacing w:line="360" w:lineRule="auto"/>
        <w:ind w:firstLine="5754" w:firstLineChars="2849"/>
        <w:rPr>
          <w:rFonts w:ascii="Verdana" w:hAnsi="Verdana" w:cs="宋体"/>
          <w:color w:val="auto"/>
          <w:kern w:val="0"/>
          <w:sz w:val="21"/>
          <w:szCs w:val="21"/>
        </w:rPr>
      </w:pPr>
    </w:p>
    <w:p>
      <w:pPr>
        <w:autoSpaceDE w:val="0"/>
        <w:autoSpaceDN w:val="0"/>
        <w:adjustRightInd w:val="0"/>
        <w:spacing w:line="360" w:lineRule="auto"/>
        <w:jc w:val="left"/>
        <w:rPr>
          <w:rFonts w:ascii="宋体" w:hAnsi="宋体"/>
          <w:color w:val="auto"/>
          <w:lang w:val="zh-CN"/>
        </w:rPr>
      </w:pPr>
      <w:r>
        <w:rPr>
          <w:rFonts w:hint="eastAsia" w:ascii="宋体" w:hAnsi="宋体"/>
          <w:color w:val="auto"/>
          <w:lang w:val="zh-CN"/>
        </w:rPr>
        <w:t xml:space="preserve">法定代表人（签字）： </w:t>
      </w:r>
    </w:p>
    <w:p>
      <w:pPr>
        <w:autoSpaceDE w:val="0"/>
        <w:autoSpaceDN w:val="0"/>
        <w:adjustRightInd w:val="0"/>
        <w:spacing w:line="360" w:lineRule="auto"/>
        <w:jc w:val="left"/>
        <w:rPr>
          <w:rFonts w:ascii="宋体" w:hAnsi="宋体"/>
          <w:color w:val="auto"/>
          <w:lang w:val="zh-CN"/>
        </w:rPr>
      </w:pPr>
      <w:r>
        <w:rPr>
          <w:rFonts w:hint="eastAsia" w:ascii="宋体" w:hAnsi="宋体"/>
          <w:color w:val="auto"/>
          <w:lang w:val="zh-CN"/>
        </w:rPr>
        <w:t>单位盖章：</w:t>
      </w:r>
    </w:p>
    <w:p>
      <w:pPr>
        <w:spacing w:line="360" w:lineRule="auto"/>
        <w:jc w:val="right"/>
        <w:rPr>
          <w:rFonts w:hint="eastAsia" w:ascii="宋体" w:hAnsi="宋体"/>
          <w:color w:val="auto"/>
          <w:sz w:val="24"/>
        </w:rPr>
      </w:pPr>
      <w:r>
        <w:rPr>
          <w:rFonts w:hint="eastAsia" w:ascii="宋体" w:hAnsi="宋体"/>
          <w:color w:val="auto"/>
          <w:lang w:val="zh-CN"/>
        </w:rPr>
        <w:t>年  月   日</w:t>
      </w:r>
    </w:p>
    <w:p>
      <w:pPr>
        <w:kinsoku w:val="0"/>
        <w:snapToGrid w:val="0"/>
        <w:spacing w:line="360" w:lineRule="auto"/>
        <w:rPr>
          <w:rFonts w:hint="eastAsia" w:ascii="宋体" w:hAnsi="宋体" w:cs="宋体"/>
          <w:b/>
          <w:color w:val="auto"/>
          <w:szCs w:val="21"/>
        </w:rPr>
      </w:pPr>
      <w:r>
        <w:rPr>
          <w:rFonts w:hint="eastAsia" w:ascii="宋体" w:hAnsi="宋体"/>
          <w:b/>
          <w:color w:val="auto"/>
          <w:szCs w:val="21"/>
        </w:rPr>
        <w:t>（7）</w:t>
      </w:r>
      <w:r>
        <w:rPr>
          <w:rFonts w:ascii="宋体" w:hAnsi="宋体" w:cs="宋体"/>
          <w:b/>
          <w:color w:val="auto"/>
          <w:szCs w:val="21"/>
        </w:rPr>
        <w:t>本项目不接受联合体投标</w:t>
      </w:r>
      <w:r>
        <w:rPr>
          <w:rFonts w:hint="eastAsia" w:ascii="宋体" w:hAnsi="宋体" w:cs="宋体"/>
          <w:b/>
          <w:color w:val="auto"/>
          <w:szCs w:val="21"/>
        </w:rPr>
        <w:t>。（按投标声明书作相应声明。）</w:t>
      </w:r>
    </w:p>
    <w:p>
      <w:pPr>
        <w:snapToGrid w:val="0"/>
        <w:spacing w:line="360" w:lineRule="auto"/>
        <w:jc w:val="left"/>
        <w:rPr>
          <w:rFonts w:ascii="宋体" w:hAnsi="宋体"/>
          <w:color w:val="auto"/>
          <w:szCs w:val="21"/>
        </w:rPr>
      </w:pPr>
      <w:r>
        <w:rPr>
          <w:rFonts w:hint="eastAsia" w:ascii="宋体" w:hAnsi="宋体"/>
          <w:color w:val="auto"/>
          <w:szCs w:val="21"/>
        </w:rPr>
        <w:t>5</w:t>
      </w:r>
      <w:r>
        <w:rPr>
          <w:rFonts w:ascii="宋体" w:hAnsi="宋体"/>
          <w:color w:val="auto"/>
          <w:szCs w:val="21"/>
        </w:rPr>
        <w:t>）</w:t>
      </w:r>
      <w:r>
        <w:rPr>
          <w:rFonts w:hint="eastAsia" w:ascii="宋体" w:hAnsi="宋体"/>
          <w:color w:val="auto"/>
          <w:szCs w:val="21"/>
        </w:rPr>
        <w:t>采购文件评分标准表中要求提供的资信及商务资料（格式自拟，按评分标准表中的要求提供）；</w:t>
      </w:r>
    </w:p>
    <w:p>
      <w:pPr>
        <w:snapToGrid w:val="0"/>
        <w:spacing w:before="50" w:after="120" w:afterLines="50" w:line="360" w:lineRule="auto"/>
        <w:jc w:val="left"/>
        <w:rPr>
          <w:rFonts w:hint="eastAsia" w:ascii="宋体" w:hAnsi="宋体"/>
          <w:color w:val="auto"/>
          <w:szCs w:val="21"/>
        </w:rPr>
      </w:pPr>
      <w:r>
        <w:rPr>
          <w:rFonts w:hint="eastAsia" w:ascii="宋体" w:hAnsi="宋体"/>
          <w:color w:val="auto"/>
          <w:szCs w:val="21"/>
        </w:rPr>
        <w:t>6</w:t>
      </w:r>
      <w:r>
        <w:rPr>
          <w:rFonts w:ascii="宋体" w:hAnsi="宋体"/>
          <w:color w:val="auto"/>
          <w:szCs w:val="21"/>
        </w:rPr>
        <w:t>）</w:t>
      </w:r>
      <w:r>
        <w:rPr>
          <w:rFonts w:hint="eastAsia" w:ascii="宋体" w:hAnsi="宋体"/>
          <w:color w:val="auto"/>
          <w:szCs w:val="21"/>
        </w:rPr>
        <w:t>投标人情况介绍</w:t>
      </w:r>
    </w:p>
    <w:p>
      <w:pPr>
        <w:snapToGrid w:val="0"/>
        <w:spacing w:before="50" w:after="120" w:afterLines="50" w:line="360" w:lineRule="auto"/>
        <w:jc w:val="center"/>
        <w:rPr>
          <w:rFonts w:hint="eastAsia" w:ascii="宋体" w:hAnsi="宋体"/>
          <w:color w:val="auto"/>
          <w:szCs w:val="21"/>
        </w:rPr>
      </w:pPr>
      <w:r>
        <w:rPr>
          <w:rFonts w:hint="eastAsia" w:ascii="宋体" w:hAnsi="宋体"/>
          <w:color w:val="auto"/>
          <w:szCs w:val="21"/>
        </w:rPr>
        <w:t>①投标人基本情况表</w:t>
      </w:r>
    </w:p>
    <w:tbl>
      <w:tblPr>
        <w:tblStyle w:val="49"/>
        <w:tblW w:w="0" w:type="auto"/>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2590"/>
        <w:gridCol w:w="1421"/>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6" w:hRule="atLeast"/>
        </w:trPr>
        <w:tc>
          <w:tcPr>
            <w:tcW w:w="1954" w:type="dxa"/>
            <w:noWrap w:val="0"/>
            <w:vAlign w:val="center"/>
          </w:tcPr>
          <w:p>
            <w:pPr>
              <w:pStyle w:val="20"/>
              <w:spacing w:line="360" w:lineRule="auto"/>
              <w:jc w:val="center"/>
              <w:rPr>
                <w:rFonts w:hint="eastAsia" w:hAnsi="宋体"/>
                <w:color w:val="auto"/>
                <w:sz w:val="21"/>
                <w:szCs w:val="21"/>
                <w:lang w:val="en-US" w:eastAsia="zh-CN"/>
              </w:rPr>
            </w:pPr>
            <w:r>
              <w:rPr>
                <w:rFonts w:hint="eastAsia" w:hAnsi="宋体"/>
                <w:color w:val="auto"/>
                <w:sz w:val="21"/>
                <w:szCs w:val="21"/>
                <w:lang w:val="en-US" w:eastAsia="zh-CN"/>
              </w:rPr>
              <w:t>单位名称</w:t>
            </w:r>
          </w:p>
        </w:tc>
        <w:tc>
          <w:tcPr>
            <w:tcW w:w="2590" w:type="dxa"/>
            <w:noWrap w:val="0"/>
            <w:vAlign w:val="center"/>
          </w:tcPr>
          <w:p>
            <w:pPr>
              <w:pStyle w:val="20"/>
              <w:spacing w:line="360" w:lineRule="auto"/>
              <w:jc w:val="center"/>
              <w:rPr>
                <w:rFonts w:hint="eastAsia" w:hAnsi="宋体"/>
                <w:color w:val="auto"/>
                <w:sz w:val="21"/>
                <w:szCs w:val="21"/>
                <w:lang w:val="en-US" w:eastAsia="zh-CN"/>
              </w:rPr>
            </w:pPr>
          </w:p>
        </w:tc>
        <w:tc>
          <w:tcPr>
            <w:tcW w:w="1421" w:type="dxa"/>
            <w:noWrap w:val="0"/>
            <w:vAlign w:val="center"/>
          </w:tcPr>
          <w:p>
            <w:pPr>
              <w:pStyle w:val="20"/>
              <w:spacing w:line="360" w:lineRule="auto"/>
              <w:ind w:firstLine="0"/>
              <w:jc w:val="center"/>
              <w:rPr>
                <w:rFonts w:hint="eastAsia" w:hAnsi="宋体"/>
                <w:color w:val="auto"/>
                <w:sz w:val="21"/>
                <w:szCs w:val="21"/>
                <w:lang w:val="en-US" w:eastAsia="zh-CN"/>
              </w:rPr>
            </w:pPr>
            <w:r>
              <w:rPr>
                <w:rFonts w:hint="eastAsia" w:hAnsi="宋体"/>
                <w:color w:val="auto"/>
                <w:sz w:val="21"/>
                <w:szCs w:val="21"/>
                <w:lang w:val="en-US" w:eastAsia="zh-CN"/>
              </w:rPr>
              <w:t>所属行业</w:t>
            </w:r>
          </w:p>
        </w:tc>
        <w:tc>
          <w:tcPr>
            <w:tcW w:w="2843" w:type="dxa"/>
            <w:noWrap w:val="0"/>
            <w:vAlign w:val="top"/>
          </w:tcPr>
          <w:p>
            <w:pPr>
              <w:pStyle w:val="20"/>
              <w:spacing w:line="360" w:lineRule="auto"/>
              <w:jc w:val="center"/>
              <w:rPr>
                <w:rFonts w:hint="eastAsia" w:hAnsi="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6" w:hRule="atLeast"/>
        </w:trPr>
        <w:tc>
          <w:tcPr>
            <w:tcW w:w="1954" w:type="dxa"/>
            <w:noWrap w:val="0"/>
            <w:vAlign w:val="center"/>
          </w:tcPr>
          <w:p>
            <w:pPr>
              <w:pStyle w:val="20"/>
              <w:spacing w:line="360" w:lineRule="auto"/>
              <w:jc w:val="center"/>
              <w:rPr>
                <w:rFonts w:hint="eastAsia" w:hAnsi="宋体"/>
                <w:color w:val="auto"/>
                <w:sz w:val="21"/>
                <w:szCs w:val="21"/>
                <w:lang w:val="en-US" w:eastAsia="zh-CN"/>
              </w:rPr>
            </w:pPr>
            <w:r>
              <w:rPr>
                <w:rFonts w:hint="eastAsia" w:hAnsi="宋体"/>
                <w:color w:val="auto"/>
                <w:sz w:val="21"/>
                <w:szCs w:val="21"/>
                <w:lang w:val="en-US" w:eastAsia="zh-CN"/>
              </w:rPr>
              <w:t>电话</w:t>
            </w:r>
          </w:p>
        </w:tc>
        <w:tc>
          <w:tcPr>
            <w:tcW w:w="2590" w:type="dxa"/>
            <w:noWrap w:val="0"/>
            <w:vAlign w:val="center"/>
          </w:tcPr>
          <w:p>
            <w:pPr>
              <w:pStyle w:val="20"/>
              <w:spacing w:line="360" w:lineRule="auto"/>
              <w:jc w:val="center"/>
              <w:rPr>
                <w:rFonts w:hint="eastAsia" w:hAnsi="宋体"/>
                <w:color w:val="auto"/>
                <w:sz w:val="21"/>
                <w:szCs w:val="21"/>
                <w:lang w:val="en-US" w:eastAsia="zh-CN"/>
              </w:rPr>
            </w:pPr>
          </w:p>
        </w:tc>
        <w:tc>
          <w:tcPr>
            <w:tcW w:w="1421" w:type="dxa"/>
            <w:noWrap w:val="0"/>
            <w:vAlign w:val="center"/>
          </w:tcPr>
          <w:p>
            <w:pPr>
              <w:pStyle w:val="20"/>
              <w:spacing w:line="360" w:lineRule="auto"/>
              <w:ind w:firstLine="0"/>
              <w:jc w:val="center"/>
              <w:rPr>
                <w:rFonts w:hint="eastAsia" w:hAnsi="宋体"/>
                <w:color w:val="auto"/>
                <w:sz w:val="21"/>
                <w:szCs w:val="21"/>
                <w:lang w:val="en-US" w:eastAsia="zh-CN"/>
              </w:rPr>
            </w:pPr>
            <w:r>
              <w:rPr>
                <w:rFonts w:hint="eastAsia" w:hAnsi="宋体"/>
                <w:color w:val="auto"/>
                <w:sz w:val="21"/>
                <w:szCs w:val="21"/>
                <w:lang w:val="en-US" w:eastAsia="zh-CN"/>
              </w:rPr>
              <w:t>传真</w:t>
            </w:r>
          </w:p>
        </w:tc>
        <w:tc>
          <w:tcPr>
            <w:tcW w:w="2843" w:type="dxa"/>
            <w:noWrap w:val="0"/>
            <w:vAlign w:val="top"/>
          </w:tcPr>
          <w:p>
            <w:pPr>
              <w:pStyle w:val="20"/>
              <w:spacing w:line="360" w:lineRule="auto"/>
              <w:jc w:val="center"/>
              <w:rPr>
                <w:rFonts w:hint="eastAsia" w:hAnsi="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6" w:hRule="atLeast"/>
        </w:trPr>
        <w:tc>
          <w:tcPr>
            <w:tcW w:w="1954" w:type="dxa"/>
            <w:noWrap w:val="0"/>
            <w:vAlign w:val="center"/>
          </w:tcPr>
          <w:p>
            <w:pPr>
              <w:pStyle w:val="20"/>
              <w:spacing w:line="360" w:lineRule="auto"/>
              <w:jc w:val="center"/>
              <w:rPr>
                <w:rFonts w:hint="eastAsia" w:hAnsi="宋体"/>
                <w:color w:val="auto"/>
                <w:sz w:val="21"/>
                <w:szCs w:val="21"/>
                <w:lang w:val="en-US" w:eastAsia="zh-CN"/>
              </w:rPr>
            </w:pPr>
            <w:r>
              <w:rPr>
                <w:rFonts w:hint="eastAsia" w:hAnsi="宋体"/>
                <w:color w:val="auto"/>
                <w:sz w:val="21"/>
                <w:szCs w:val="21"/>
                <w:lang w:val="en-US" w:eastAsia="zh-CN"/>
              </w:rPr>
              <w:t>地址</w:t>
            </w:r>
          </w:p>
        </w:tc>
        <w:tc>
          <w:tcPr>
            <w:tcW w:w="6854" w:type="dxa"/>
            <w:gridSpan w:val="3"/>
            <w:noWrap w:val="0"/>
            <w:vAlign w:val="center"/>
          </w:tcPr>
          <w:p>
            <w:pPr>
              <w:pStyle w:val="20"/>
              <w:spacing w:line="360" w:lineRule="auto"/>
              <w:jc w:val="center"/>
              <w:rPr>
                <w:rFonts w:hint="eastAsia" w:hAnsi="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6" w:hRule="atLeast"/>
        </w:trPr>
        <w:tc>
          <w:tcPr>
            <w:tcW w:w="1954" w:type="dxa"/>
            <w:noWrap w:val="0"/>
            <w:vAlign w:val="center"/>
          </w:tcPr>
          <w:p>
            <w:pPr>
              <w:pStyle w:val="20"/>
              <w:spacing w:line="360" w:lineRule="auto"/>
              <w:jc w:val="center"/>
              <w:rPr>
                <w:rFonts w:hint="eastAsia" w:hAnsi="宋体"/>
                <w:color w:val="auto"/>
                <w:sz w:val="21"/>
                <w:szCs w:val="21"/>
                <w:lang w:val="en-US" w:eastAsia="zh-CN"/>
              </w:rPr>
            </w:pPr>
            <w:r>
              <w:rPr>
                <w:rFonts w:hint="eastAsia" w:hAnsi="宋体"/>
                <w:color w:val="auto"/>
                <w:sz w:val="21"/>
                <w:szCs w:val="21"/>
                <w:lang w:val="en-US" w:eastAsia="zh-CN"/>
              </w:rPr>
              <w:t>法定代表人</w:t>
            </w:r>
          </w:p>
        </w:tc>
        <w:tc>
          <w:tcPr>
            <w:tcW w:w="2590" w:type="dxa"/>
            <w:noWrap w:val="0"/>
            <w:vAlign w:val="top"/>
          </w:tcPr>
          <w:p>
            <w:pPr>
              <w:pStyle w:val="20"/>
              <w:spacing w:line="360" w:lineRule="auto"/>
              <w:jc w:val="center"/>
              <w:rPr>
                <w:rFonts w:hint="eastAsia" w:hAnsi="宋体"/>
                <w:color w:val="auto"/>
                <w:sz w:val="21"/>
                <w:szCs w:val="21"/>
                <w:lang w:val="en-US" w:eastAsia="zh-CN"/>
              </w:rPr>
            </w:pPr>
          </w:p>
        </w:tc>
        <w:tc>
          <w:tcPr>
            <w:tcW w:w="1421" w:type="dxa"/>
            <w:noWrap w:val="0"/>
            <w:vAlign w:val="top"/>
          </w:tcPr>
          <w:p>
            <w:pPr>
              <w:pStyle w:val="20"/>
              <w:spacing w:line="360" w:lineRule="auto"/>
              <w:ind w:firstLine="0"/>
              <w:jc w:val="center"/>
              <w:rPr>
                <w:rFonts w:hint="eastAsia" w:hAnsi="宋体"/>
                <w:color w:val="auto"/>
                <w:sz w:val="21"/>
                <w:szCs w:val="21"/>
                <w:lang w:val="en-US" w:eastAsia="zh-CN"/>
              </w:rPr>
            </w:pPr>
            <w:r>
              <w:rPr>
                <w:rFonts w:hint="eastAsia" w:hAnsi="宋体"/>
                <w:color w:val="auto"/>
                <w:sz w:val="21"/>
                <w:szCs w:val="21"/>
                <w:lang w:val="en-US" w:eastAsia="zh-CN"/>
              </w:rPr>
              <w:t>被授权代表</w:t>
            </w:r>
          </w:p>
        </w:tc>
        <w:tc>
          <w:tcPr>
            <w:tcW w:w="2843" w:type="dxa"/>
            <w:noWrap w:val="0"/>
            <w:vAlign w:val="top"/>
          </w:tcPr>
          <w:p>
            <w:pPr>
              <w:pStyle w:val="20"/>
              <w:spacing w:line="360" w:lineRule="auto"/>
              <w:jc w:val="center"/>
              <w:rPr>
                <w:rFonts w:hint="eastAsia" w:hAnsi="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6" w:hRule="atLeast"/>
        </w:trPr>
        <w:tc>
          <w:tcPr>
            <w:tcW w:w="1954" w:type="dxa"/>
            <w:noWrap w:val="0"/>
            <w:vAlign w:val="center"/>
          </w:tcPr>
          <w:p>
            <w:pPr>
              <w:pStyle w:val="20"/>
              <w:spacing w:line="360" w:lineRule="auto"/>
              <w:jc w:val="center"/>
              <w:rPr>
                <w:rFonts w:hint="eastAsia" w:hAnsi="宋体"/>
                <w:color w:val="auto"/>
                <w:sz w:val="21"/>
                <w:szCs w:val="21"/>
                <w:lang w:val="en-US" w:eastAsia="zh-CN"/>
              </w:rPr>
            </w:pPr>
            <w:r>
              <w:rPr>
                <w:rFonts w:hint="eastAsia" w:hAnsi="宋体"/>
                <w:color w:val="auto"/>
                <w:sz w:val="21"/>
                <w:szCs w:val="21"/>
                <w:lang w:val="en-US" w:eastAsia="zh-CN"/>
              </w:rPr>
              <w:t>注册资金</w:t>
            </w:r>
          </w:p>
        </w:tc>
        <w:tc>
          <w:tcPr>
            <w:tcW w:w="2590" w:type="dxa"/>
            <w:noWrap w:val="0"/>
            <w:vAlign w:val="center"/>
          </w:tcPr>
          <w:p>
            <w:pPr>
              <w:pStyle w:val="20"/>
              <w:spacing w:line="360" w:lineRule="auto"/>
              <w:jc w:val="center"/>
              <w:rPr>
                <w:rFonts w:hint="eastAsia" w:hAnsi="宋体"/>
                <w:color w:val="auto"/>
                <w:sz w:val="21"/>
                <w:szCs w:val="21"/>
                <w:lang w:val="en-US" w:eastAsia="zh-CN"/>
              </w:rPr>
            </w:pPr>
            <w:r>
              <w:rPr>
                <w:rFonts w:hint="eastAsia" w:hAnsi="宋体"/>
                <w:color w:val="auto"/>
                <w:sz w:val="21"/>
                <w:szCs w:val="21"/>
                <w:lang w:val="en-US" w:eastAsia="zh-CN"/>
              </w:rPr>
              <w:t>万元</w:t>
            </w:r>
          </w:p>
        </w:tc>
        <w:tc>
          <w:tcPr>
            <w:tcW w:w="1421" w:type="dxa"/>
            <w:noWrap w:val="0"/>
            <w:vAlign w:val="top"/>
          </w:tcPr>
          <w:p>
            <w:pPr>
              <w:pStyle w:val="20"/>
              <w:spacing w:line="360" w:lineRule="auto"/>
              <w:ind w:firstLine="0"/>
              <w:jc w:val="center"/>
              <w:rPr>
                <w:rFonts w:hint="eastAsia" w:hAnsi="宋体"/>
                <w:color w:val="auto"/>
                <w:sz w:val="21"/>
                <w:szCs w:val="21"/>
                <w:lang w:val="en-US" w:eastAsia="zh-CN"/>
              </w:rPr>
            </w:pPr>
            <w:r>
              <w:rPr>
                <w:rFonts w:hint="eastAsia" w:hAnsi="宋体"/>
                <w:color w:val="auto"/>
                <w:sz w:val="21"/>
                <w:szCs w:val="21"/>
                <w:lang w:val="en-US" w:eastAsia="zh-CN"/>
              </w:rPr>
              <w:t>职工总数</w:t>
            </w:r>
          </w:p>
        </w:tc>
        <w:tc>
          <w:tcPr>
            <w:tcW w:w="2843" w:type="dxa"/>
            <w:noWrap w:val="0"/>
            <w:vAlign w:val="top"/>
          </w:tcPr>
          <w:p>
            <w:pPr>
              <w:pStyle w:val="20"/>
              <w:spacing w:line="360" w:lineRule="auto"/>
              <w:jc w:val="center"/>
              <w:rPr>
                <w:rFonts w:hint="eastAsia" w:hAnsi="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6" w:hRule="atLeast"/>
        </w:trPr>
        <w:tc>
          <w:tcPr>
            <w:tcW w:w="1954" w:type="dxa"/>
            <w:noWrap w:val="0"/>
            <w:vAlign w:val="center"/>
          </w:tcPr>
          <w:p>
            <w:pPr>
              <w:pStyle w:val="20"/>
              <w:spacing w:line="360" w:lineRule="auto"/>
              <w:jc w:val="center"/>
              <w:rPr>
                <w:rFonts w:hint="eastAsia" w:hAnsi="宋体"/>
                <w:color w:val="auto"/>
                <w:sz w:val="21"/>
                <w:szCs w:val="21"/>
                <w:lang w:val="en-US" w:eastAsia="zh-CN"/>
              </w:rPr>
            </w:pPr>
            <w:r>
              <w:rPr>
                <w:rFonts w:hint="eastAsia" w:hAnsi="宋体"/>
                <w:color w:val="auto"/>
                <w:sz w:val="21"/>
                <w:szCs w:val="21"/>
                <w:lang w:val="en-US" w:eastAsia="zh-CN"/>
              </w:rPr>
              <w:t>项目负责人情况</w:t>
            </w:r>
          </w:p>
        </w:tc>
        <w:tc>
          <w:tcPr>
            <w:tcW w:w="2590" w:type="dxa"/>
            <w:noWrap w:val="0"/>
            <w:vAlign w:val="center"/>
          </w:tcPr>
          <w:p>
            <w:pPr>
              <w:pStyle w:val="20"/>
              <w:spacing w:line="360" w:lineRule="auto"/>
              <w:jc w:val="center"/>
              <w:rPr>
                <w:rFonts w:hint="eastAsia" w:hAnsi="宋体"/>
                <w:color w:val="auto"/>
                <w:sz w:val="21"/>
                <w:szCs w:val="21"/>
                <w:lang w:val="en-US" w:eastAsia="zh-CN"/>
              </w:rPr>
            </w:pPr>
          </w:p>
        </w:tc>
        <w:tc>
          <w:tcPr>
            <w:tcW w:w="1421" w:type="dxa"/>
            <w:noWrap w:val="0"/>
            <w:vAlign w:val="top"/>
          </w:tcPr>
          <w:p>
            <w:pPr>
              <w:pStyle w:val="20"/>
              <w:spacing w:line="360" w:lineRule="auto"/>
              <w:ind w:firstLine="0"/>
              <w:jc w:val="center"/>
              <w:rPr>
                <w:rFonts w:hint="eastAsia" w:hAnsi="宋体"/>
                <w:color w:val="auto"/>
                <w:sz w:val="21"/>
                <w:szCs w:val="21"/>
                <w:lang w:val="en-US" w:eastAsia="zh-CN"/>
              </w:rPr>
            </w:pPr>
            <w:r>
              <w:rPr>
                <w:rFonts w:hint="eastAsia" w:hAnsi="宋体"/>
                <w:color w:val="auto"/>
                <w:sz w:val="21"/>
                <w:szCs w:val="21"/>
                <w:lang w:val="en-US" w:eastAsia="zh-CN"/>
              </w:rPr>
              <w:t>技术人员</w:t>
            </w:r>
          </w:p>
        </w:tc>
        <w:tc>
          <w:tcPr>
            <w:tcW w:w="2843" w:type="dxa"/>
            <w:noWrap w:val="0"/>
            <w:vAlign w:val="top"/>
          </w:tcPr>
          <w:p>
            <w:pPr>
              <w:pStyle w:val="20"/>
              <w:spacing w:line="360" w:lineRule="auto"/>
              <w:jc w:val="center"/>
              <w:rPr>
                <w:rFonts w:hint="eastAsia" w:hAnsi="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6" w:hRule="atLeast"/>
        </w:trPr>
        <w:tc>
          <w:tcPr>
            <w:tcW w:w="1954" w:type="dxa"/>
            <w:noWrap w:val="0"/>
            <w:vAlign w:val="center"/>
          </w:tcPr>
          <w:p>
            <w:pPr>
              <w:pStyle w:val="20"/>
              <w:spacing w:line="360" w:lineRule="auto"/>
              <w:jc w:val="center"/>
              <w:rPr>
                <w:rFonts w:hint="eastAsia" w:hAnsi="宋体"/>
                <w:color w:val="auto"/>
                <w:sz w:val="21"/>
                <w:szCs w:val="21"/>
                <w:lang w:val="en-US" w:eastAsia="zh-CN"/>
              </w:rPr>
            </w:pPr>
            <w:r>
              <w:rPr>
                <w:rFonts w:hint="eastAsia" w:hAnsi="宋体"/>
                <w:color w:val="auto"/>
                <w:sz w:val="21"/>
                <w:szCs w:val="21"/>
                <w:lang w:val="en-US" w:eastAsia="zh-CN"/>
              </w:rPr>
              <w:t>单位股东情况</w:t>
            </w:r>
          </w:p>
        </w:tc>
        <w:tc>
          <w:tcPr>
            <w:tcW w:w="6854" w:type="dxa"/>
            <w:gridSpan w:val="3"/>
            <w:noWrap w:val="0"/>
            <w:vAlign w:val="center"/>
          </w:tcPr>
          <w:p>
            <w:pPr>
              <w:pStyle w:val="20"/>
              <w:spacing w:line="360" w:lineRule="auto"/>
              <w:jc w:val="center"/>
              <w:rPr>
                <w:rFonts w:hint="eastAsia" w:hAnsi="宋体"/>
                <w:color w:val="auto"/>
                <w:sz w:val="21"/>
                <w:szCs w:val="21"/>
                <w:lang w:val="en-US" w:eastAsia="zh-CN"/>
              </w:rPr>
            </w:pPr>
          </w:p>
        </w:tc>
      </w:tr>
    </w:tbl>
    <w:p>
      <w:pPr>
        <w:snapToGrid w:val="0"/>
        <w:spacing w:before="120" w:beforeLines="50" w:line="360" w:lineRule="auto"/>
        <w:ind w:firstLine="200"/>
        <w:rPr>
          <w:rFonts w:ascii="宋体" w:hAnsi="宋体"/>
          <w:color w:val="auto"/>
          <w:szCs w:val="21"/>
          <w:u w:val="single"/>
        </w:rPr>
      </w:pPr>
      <w:r>
        <w:rPr>
          <w:rFonts w:hint="eastAsia" w:ascii="宋体" w:hAnsi="宋体"/>
          <w:color w:val="auto"/>
          <w:szCs w:val="21"/>
        </w:rPr>
        <w:t>法定代表人或授权代表签字：</w:t>
      </w:r>
      <w:r>
        <w:rPr>
          <w:rFonts w:ascii="宋体" w:hAnsi="宋体"/>
          <w:color w:val="auto"/>
          <w:szCs w:val="21"/>
          <w:u w:val="single"/>
        </w:rPr>
        <w:t xml:space="preserve">             </w:t>
      </w:r>
    </w:p>
    <w:p>
      <w:pPr>
        <w:snapToGrid w:val="0"/>
        <w:spacing w:before="120" w:beforeLines="50" w:after="50" w:line="360" w:lineRule="auto"/>
        <w:ind w:firstLine="210" w:firstLineChars="100"/>
        <w:rPr>
          <w:rFonts w:hint="eastAsia" w:ascii="宋体" w:hAnsi="宋体"/>
          <w:color w:val="auto"/>
          <w:szCs w:val="21"/>
        </w:rPr>
      </w:pPr>
      <w:r>
        <w:rPr>
          <w:rFonts w:hint="eastAsia" w:ascii="宋体" w:hAnsi="宋体"/>
          <w:color w:val="auto"/>
          <w:szCs w:val="21"/>
        </w:rPr>
        <w:t>投标人公章：</w:t>
      </w:r>
      <w:r>
        <w:rPr>
          <w:rFonts w:ascii="宋体" w:hAnsi="宋体"/>
          <w:color w:val="auto"/>
          <w:szCs w:val="21"/>
          <w:u w:val="single"/>
        </w:rPr>
        <w:t xml:space="preserve">               </w:t>
      </w:r>
      <w:r>
        <w:rPr>
          <w:rFonts w:ascii="宋体" w:hAnsi="宋体"/>
          <w:color w:val="auto"/>
          <w:szCs w:val="21"/>
        </w:rPr>
        <w:t xml:space="preserve">                      </w:t>
      </w:r>
    </w:p>
    <w:p>
      <w:pPr>
        <w:snapToGrid w:val="0"/>
        <w:spacing w:before="120" w:beforeLines="50" w:after="50" w:line="360" w:lineRule="auto"/>
        <w:ind w:firstLine="210" w:firstLineChars="100"/>
        <w:jc w:val="right"/>
        <w:rPr>
          <w:rFonts w:hint="eastAsia" w:ascii="宋体" w:hAnsi="宋体"/>
          <w:color w:val="auto"/>
          <w:szCs w:val="21"/>
        </w:rPr>
      </w:pPr>
      <w:r>
        <w:rPr>
          <w:rFonts w:ascii="宋体" w:hAnsi="宋体"/>
          <w:color w:val="auto"/>
          <w:szCs w:val="21"/>
        </w:rPr>
        <w:t>年    月    日</w:t>
      </w:r>
    </w:p>
    <w:p>
      <w:pPr>
        <w:spacing w:line="580" w:lineRule="exact"/>
        <w:rPr>
          <w:rFonts w:hint="eastAsia" w:ascii="宋体"/>
          <w:color w:val="auto"/>
          <w:szCs w:val="21"/>
        </w:rPr>
      </w:pPr>
      <w:r>
        <w:rPr>
          <w:rFonts w:hint="eastAsia" w:ascii="宋体"/>
          <w:color w:val="auto"/>
          <w:szCs w:val="21"/>
        </w:rPr>
        <w:t xml:space="preserve">  </w:t>
      </w:r>
    </w:p>
    <w:p>
      <w:pPr>
        <w:spacing w:line="580" w:lineRule="exact"/>
        <w:rPr>
          <w:rFonts w:hint="eastAsia" w:ascii="宋体"/>
          <w:color w:val="auto"/>
          <w:szCs w:val="21"/>
        </w:rPr>
      </w:pPr>
    </w:p>
    <w:p>
      <w:pPr>
        <w:spacing w:line="580" w:lineRule="exact"/>
        <w:rPr>
          <w:rFonts w:hint="eastAsia" w:ascii="宋体"/>
          <w:color w:val="auto"/>
          <w:szCs w:val="21"/>
        </w:rPr>
      </w:pPr>
    </w:p>
    <w:p>
      <w:pPr>
        <w:spacing w:line="580" w:lineRule="exact"/>
        <w:rPr>
          <w:rFonts w:hint="eastAsia" w:ascii="宋体"/>
          <w:color w:val="auto"/>
          <w:szCs w:val="21"/>
        </w:rPr>
      </w:pPr>
    </w:p>
    <w:p>
      <w:pPr>
        <w:spacing w:line="580" w:lineRule="exact"/>
        <w:rPr>
          <w:rFonts w:hint="eastAsia" w:ascii="宋体"/>
          <w:color w:val="auto"/>
          <w:szCs w:val="21"/>
        </w:rPr>
      </w:pPr>
    </w:p>
    <w:p>
      <w:pPr>
        <w:spacing w:line="580" w:lineRule="exact"/>
        <w:ind w:firstLine="2835" w:firstLineChars="1350"/>
        <w:rPr>
          <w:rFonts w:ascii="宋体"/>
          <w:color w:val="auto"/>
          <w:szCs w:val="21"/>
        </w:rPr>
      </w:pPr>
      <w:r>
        <w:rPr>
          <w:rFonts w:hint="eastAsia" w:ascii="宋体" w:hAnsi="宋体"/>
          <w:color w:val="auto"/>
          <w:szCs w:val="21"/>
        </w:rPr>
        <w:t>②</w:t>
      </w:r>
      <w:r>
        <w:rPr>
          <w:rFonts w:ascii="宋体"/>
          <w:color w:val="auto"/>
          <w:szCs w:val="21"/>
        </w:rPr>
        <w:t>政府采购供应商基础信息登记表</w:t>
      </w:r>
    </w:p>
    <w:tbl>
      <w:tblPr>
        <w:tblStyle w:val="49"/>
        <w:tblW w:w="0" w:type="auto"/>
        <w:tblCellSpacing w:w="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55"/>
        <w:gridCol w:w="34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567" w:hRule="atLeast"/>
          <w:tblCellSpacing w:w="0" w:type="dxa"/>
        </w:trPr>
        <w:tc>
          <w:tcPr>
            <w:tcW w:w="5055" w:type="dxa"/>
            <w:noWrap w:val="0"/>
            <w:vAlign w:val="center"/>
          </w:tcPr>
          <w:p>
            <w:pPr>
              <w:jc w:val="center"/>
              <w:rPr>
                <w:rFonts w:ascii="宋体" w:hAnsi="宋体"/>
                <w:bCs/>
                <w:color w:val="auto"/>
                <w:szCs w:val="21"/>
              </w:rPr>
            </w:pPr>
            <w:r>
              <w:rPr>
                <w:rFonts w:ascii="宋体" w:hAnsi="宋体"/>
                <w:bCs/>
                <w:color w:val="auto"/>
                <w:szCs w:val="21"/>
              </w:rPr>
              <w:t>投标项目编号</w:t>
            </w:r>
          </w:p>
        </w:tc>
        <w:tc>
          <w:tcPr>
            <w:tcW w:w="3465" w:type="dxa"/>
            <w:noWrap w:val="0"/>
            <w:vAlign w:val="center"/>
          </w:tcPr>
          <w:p>
            <w:pPr>
              <w:jc w:val="center"/>
              <w:rPr>
                <w:rFonts w:ascii="宋体" w:hAnsi="宋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567" w:hRule="atLeast"/>
          <w:tblCellSpacing w:w="0" w:type="dxa"/>
        </w:trPr>
        <w:tc>
          <w:tcPr>
            <w:tcW w:w="5055" w:type="dxa"/>
            <w:noWrap w:val="0"/>
            <w:vAlign w:val="center"/>
          </w:tcPr>
          <w:p>
            <w:pPr>
              <w:jc w:val="center"/>
              <w:rPr>
                <w:rFonts w:ascii="宋体" w:hAnsi="宋体"/>
                <w:bCs/>
                <w:color w:val="auto"/>
                <w:szCs w:val="21"/>
              </w:rPr>
            </w:pPr>
            <w:r>
              <w:rPr>
                <w:rFonts w:ascii="宋体" w:hAnsi="宋体"/>
                <w:bCs/>
                <w:color w:val="auto"/>
                <w:szCs w:val="21"/>
              </w:rPr>
              <w:t>投标项目名称</w:t>
            </w:r>
          </w:p>
        </w:tc>
        <w:tc>
          <w:tcPr>
            <w:tcW w:w="3465" w:type="dxa"/>
            <w:noWrap w:val="0"/>
            <w:vAlign w:val="center"/>
          </w:tcPr>
          <w:p>
            <w:pPr>
              <w:jc w:val="center"/>
              <w:rPr>
                <w:rFonts w:ascii="宋体" w:hAnsi="宋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567" w:hRule="atLeast"/>
          <w:tblCellSpacing w:w="0" w:type="dxa"/>
        </w:trPr>
        <w:tc>
          <w:tcPr>
            <w:tcW w:w="5055" w:type="dxa"/>
            <w:noWrap w:val="0"/>
            <w:vAlign w:val="center"/>
          </w:tcPr>
          <w:p>
            <w:pPr>
              <w:jc w:val="center"/>
              <w:rPr>
                <w:rFonts w:ascii="宋体" w:hAnsi="宋体"/>
                <w:bCs/>
                <w:color w:val="auto"/>
                <w:szCs w:val="21"/>
              </w:rPr>
            </w:pPr>
            <w:r>
              <w:rPr>
                <w:rFonts w:ascii="宋体" w:hAnsi="宋体"/>
                <w:bCs/>
                <w:color w:val="auto"/>
                <w:szCs w:val="21"/>
              </w:rPr>
              <w:t>投标子包号</w:t>
            </w:r>
          </w:p>
        </w:tc>
        <w:tc>
          <w:tcPr>
            <w:tcW w:w="3465" w:type="dxa"/>
            <w:noWrap w:val="0"/>
            <w:vAlign w:val="center"/>
          </w:tcPr>
          <w:p>
            <w:pPr>
              <w:jc w:val="center"/>
              <w:rPr>
                <w:rFonts w:ascii="宋体" w:hAnsi="宋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567" w:hRule="atLeast"/>
          <w:tblCellSpacing w:w="0" w:type="dxa"/>
        </w:trPr>
        <w:tc>
          <w:tcPr>
            <w:tcW w:w="5055" w:type="dxa"/>
            <w:noWrap w:val="0"/>
            <w:vAlign w:val="center"/>
          </w:tcPr>
          <w:p>
            <w:pPr>
              <w:jc w:val="center"/>
              <w:rPr>
                <w:rFonts w:ascii="宋体" w:hAnsi="宋体"/>
                <w:bCs/>
                <w:color w:val="auto"/>
                <w:szCs w:val="21"/>
              </w:rPr>
            </w:pPr>
            <w:r>
              <w:rPr>
                <w:rFonts w:ascii="宋体" w:hAnsi="宋体"/>
                <w:bCs/>
                <w:color w:val="auto"/>
                <w:szCs w:val="21"/>
              </w:rPr>
              <w:t>投标单位名称</w:t>
            </w:r>
          </w:p>
        </w:tc>
        <w:tc>
          <w:tcPr>
            <w:tcW w:w="3465" w:type="dxa"/>
            <w:noWrap w:val="0"/>
            <w:vAlign w:val="center"/>
          </w:tcPr>
          <w:p>
            <w:pPr>
              <w:jc w:val="center"/>
              <w:rPr>
                <w:rFonts w:ascii="宋体" w:hAnsi="宋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567" w:hRule="atLeast"/>
          <w:tblCellSpacing w:w="0" w:type="dxa"/>
        </w:trPr>
        <w:tc>
          <w:tcPr>
            <w:tcW w:w="5055" w:type="dxa"/>
            <w:noWrap w:val="0"/>
            <w:vAlign w:val="center"/>
          </w:tcPr>
          <w:p>
            <w:pPr>
              <w:jc w:val="center"/>
              <w:rPr>
                <w:rFonts w:ascii="宋体" w:hAnsi="宋体"/>
                <w:bCs/>
                <w:color w:val="auto"/>
                <w:szCs w:val="21"/>
              </w:rPr>
            </w:pPr>
            <w:r>
              <w:rPr>
                <w:rFonts w:ascii="宋体" w:hAnsi="宋体"/>
                <w:bCs/>
                <w:color w:val="auto"/>
                <w:szCs w:val="21"/>
              </w:rPr>
              <w:t>是否国内企业</w:t>
            </w:r>
          </w:p>
        </w:tc>
        <w:tc>
          <w:tcPr>
            <w:tcW w:w="3465" w:type="dxa"/>
            <w:noWrap w:val="0"/>
            <w:vAlign w:val="center"/>
          </w:tcPr>
          <w:p>
            <w:pPr>
              <w:jc w:val="center"/>
              <w:rPr>
                <w:rFonts w:ascii="宋体" w:hAnsi="宋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567" w:hRule="atLeast"/>
          <w:tblCellSpacing w:w="0" w:type="dxa"/>
        </w:trPr>
        <w:tc>
          <w:tcPr>
            <w:tcW w:w="5055" w:type="dxa"/>
            <w:noWrap w:val="0"/>
            <w:vAlign w:val="center"/>
          </w:tcPr>
          <w:p>
            <w:pPr>
              <w:jc w:val="center"/>
              <w:rPr>
                <w:rFonts w:ascii="宋体" w:hAnsi="宋体"/>
                <w:bCs/>
                <w:color w:val="auto"/>
                <w:szCs w:val="21"/>
              </w:rPr>
            </w:pPr>
            <w:r>
              <w:rPr>
                <w:rFonts w:ascii="宋体" w:hAnsi="宋体"/>
                <w:bCs/>
                <w:color w:val="auto"/>
                <w:szCs w:val="21"/>
              </w:rPr>
              <w:t>是否宁波企业</w:t>
            </w:r>
          </w:p>
        </w:tc>
        <w:tc>
          <w:tcPr>
            <w:tcW w:w="3465" w:type="dxa"/>
            <w:noWrap w:val="0"/>
            <w:vAlign w:val="center"/>
          </w:tcPr>
          <w:p>
            <w:pPr>
              <w:jc w:val="center"/>
              <w:rPr>
                <w:rFonts w:ascii="宋体" w:hAnsi="宋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567" w:hRule="atLeast"/>
          <w:tblCellSpacing w:w="0" w:type="dxa"/>
        </w:trPr>
        <w:tc>
          <w:tcPr>
            <w:tcW w:w="5055" w:type="dxa"/>
            <w:noWrap w:val="0"/>
            <w:vAlign w:val="center"/>
          </w:tcPr>
          <w:p>
            <w:pPr>
              <w:jc w:val="center"/>
              <w:rPr>
                <w:rFonts w:ascii="宋体" w:hAnsi="宋体"/>
                <w:bCs/>
                <w:color w:val="auto"/>
                <w:szCs w:val="21"/>
              </w:rPr>
            </w:pPr>
            <w:r>
              <w:rPr>
                <w:rFonts w:ascii="宋体" w:hAnsi="宋体"/>
                <w:bCs/>
                <w:color w:val="auto"/>
                <w:szCs w:val="21"/>
              </w:rPr>
              <w:t>企业划分标准类型（大型、中型、小型、微型）</w:t>
            </w:r>
          </w:p>
        </w:tc>
        <w:tc>
          <w:tcPr>
            <w:tcW w:w="3465" w:type="dxa"/>
            <w:noWrap w:val="0"/>
            <w:vAlign w:val="center"/>
          </w:tcPr>
          <w:p>
            <w:pPr>
              <w:jc w:val="center"/>
              <w:rPr>
                <w:rFonts w:ascii="宋体" w:hAnsi="宋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567" w:hRule="atLeast"/>
          <w:tblCellSpacing w:w="0" w:type="dxa"/>
        </w:trPr>
        <w:tc>
          <w:tcPr>
            <w:tcW w:w="5055" w:type="dxa"/>
            <w:noWrap w:val="0"/>
            <w:vAlign w:val="center"/>
          </w:tcPr>
          <w:p>
            <w:pPr>
              <w:jc w:val="center"/>
              <w:rPr>
                <w:rFonts w:ascii="宋体" w:hAnsi="宋体"/>
                <w:bCs/>
                <w:color w:val="auto"/>
                <w:szCs w:val="21"/>
              </w:rPr>
            </w:pPr>
            <w:r>
              <w:rPr>
                <w:rFonts w:ascii="宋体" w:hAnsi="宋体"/>
                <w:bCs/>
                <w:color w:val="auto"/>
                <w:szCs w:val="21"/>
              </w:rPr>
              <w:t>提供的货物是否</w:t>
            </w:r>
            <w:r>
              <w:rPr>
                <w:rFonts w:hint="eastAsia" w:ascii="宋体" w:hAnsi="宋体"/>
                <w:bCs/>
                <w:color w:val="auto"/>
                <w:szCs w:val="21"/>
              </w:rPr>
              <w:t>全部</w:t>
            </w:r>
            <w:r>
              <w:rPr>
                <w:rFonts w:ascii="宋体" w:hAnsi="宋体"/>
                <w:bCs/>
                <w:color w:val="auto"/>
                <w:szCs w:val="21"/>
              </w:rPr>
              <w:t>本企业制造</w:t>
            </w:r>
          </w:p>
        </w:tc>
        <w:tc>
          <w:tcPr>
            <w:tcW w:w="3465" w:type="dxa"/>
            <w:noWrap w:val="0"/>
            <w:vAlign w:val="center"/>
          </w:tcPr>
          <w:p>
            <w:pPr>
              <w:jc w:val="center"/>
              <w:rPr>
                <w:rFonts w:ascii="宋体" w:hAnsi="宋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567" w:hRule="atLeast"/>
          <w:tblCellSpacing w:w="0" w:type="dxa"/>
        </w:trPr>
        <w:tc>
          <w:tcPr>
            <w:tcW w:w="5055" w:type="dxa"/>
            <w:noWrap w:val="0"/>
            <w:vAlign w:val="center"/>
          </w:tcPr>
          <w:p>
            <w:pPr>
              <w:jc w:val="center"/>
              <w:rPr>
                <w:rFonts w:ascii="宋体" w:hAnsi="宋体"/>
                <w:bCs/>
                <w:color w:val="auto"/>
                <w:szCs w:val="21"/>
              </w:rPr>
            </w:pPr>
            <w:r>
              <w:rPr>
                <w:rFonts w:ascii="宋体" w:hAnsi="宋体"/>
                <w:bCs/>
                <w:color w:val="auto"/>
                <w:szCs w:val="21"/>
              </w:rPr>
              <w:t>货物原产地是否是中国境内</w:t>
            </w:r>
          </w:p>
        </w:tc>
        <w:tc>
          <w:tcPr>
            <w:tcW w:w="3465" w:type="dxa"/>
            <w:noWrap w:val="0"/>
            <w:vAlign w:val="center"/>
          </w:tcPr>
          <w:p>
            <w:pPr>
              <w:jc w:val="center"/>
              <w:rPr>
                <w:rFonts w:ascii="宋体" w:hAnsi="宋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567" w:hRule="atLeast"/>
          <w:tblCellSpacing w:w="0" w:type="dxa"/>
        </w:trPr>
        <w:tc>
          <w:tcPr>
            <w:tcW w:w="5055" w:type="dxa"/>
            <w:noWrap w:val="0"/>
            <w:vAlign w:val="center"/>
          </w:tcPr>
          <w:p>
            <w:pPr>
              <w:jc w:val="center"/>
              <w:rPr>
                <w:rFonts w:ascii="宋体" w:hAnsi="宋体"/>
                <w:bCs/>
                <w:color w:val="auto"/>
                <w:szCs w:val="21"/>
              </w:rPr>
            </w:pPr>
            <w:r>
              <w:rPr>
                <w:rFonts w:ascii="宋体" w:hAnsi="宋体"/>
                <w:bCs/>
                <w:color w:val="auto"/>
                <w:szCs w:val="21"/>
              </w:rPr>
              <w:t>货物原产地是否是宁波</w:t>
            </w:r>
          </w:p>
        </w:tc>
        <w:tc>
          <w:tcPr>
            <w:tcW w:w="3465" w:type="dxa"/>
            <w:noWrap w:val="0"/>
            <w:vAlign w:val="center"/>
          </w:tcPr>
          <w:p>
            <w:pPr>
              <w:jc w:val="center"/>
              <w:rPr>
                <w:rFonts w:ascii="宋体" w:hAnsi="宋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567" w:hRule="atLeast"/>
          <w:tblCellSpacing w:w="0" w:type="dxa"/>
        </w:trPr>
        <w:tc>
          <w:tcPr>
            <w:tcW w:w="5055" w:type="dxa"/>
            <w:noWrap w:val="0"/>
            <w:vAlign w:val="center"/>
          </w:tcPr>
          <w:p>
            <w:pPr>
              <w:jc w:val="center"/>
              <w:rPr>
                <w:rFonts w:ascii="宋体" w:hAnsi="宋体"/>
                <w:bCs/>
                <w:color w:val="auto"/>
                <w:szCs w:val="21"/>
              </w:rPr>
            </w:pPr>
            <w:r>
              <w:rPr>
                <w:rFonts w:ascii="宋体" w:hAnsi="宋体"/>
                <w:bCs/>
                <w:color w:val="auto"/>
                <w:szCs w:val="21"/>
              </w:rPr>
              <w:t>提供的货物是否是节能清单产品</w:t>
            </w:r>
          </w:p>
        </w:tc>
        <w:tc>
          <w:tcPr>
            <w:tcW w:w="3465" w:type="dxa"/>
            <w:noWrap w:val="0"/>
            <w:vAlign w:val="center"/>
          </w:tcPr>
          <w:p>
            <w:pPr>
              <w:jc w:val="center"/>
              <w:rPr>
                <w:rFonts w:ascii="宋体" w:hAnsi="宋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567" w:hRule="atLeast"/>
          <w:tblCellSpacing w:w="0" w:type="dxa"/>
        </w:trPr>
        <w:tc>
          <w:tcPr>
            <w:tcW w:w="5055" w:type="dxa"/>
            <w:noWrap w:val="0"/>
            <w:vAlign w:val="center"/>
          </w:tcPr>
          <w:p>
            <w:pPr>
              <w:jc w:val="center"/>
              <w:rPr>
                <w:rFonts w:ascii="宋体" w:hAnsi="宋体"/>
                <w:bCs/>
                <w:color w:val="auto"/>
                <w:szCs w:val="21"/>
              </w:rPr>
            </w:pPr>
            <w:r>
              <w:rPr>
                <w:rFonts w:ascii="宋体" w:hAnsi="宋体"/>
                <w:bCs/>
                <w:color w:val="auto"/>
                <w:szCs w:val="21"/>
              </w:rPr>
              <w:t>提供的货物是否是环境标志清单产品</w:t>
            </w:r>
          </w:p>
        </w:tc>
        <w:tc>
          <w:tcPr>
            <w:tcW w:w="3465" w:type="dxa"/>
            <w:noWrap w:val="0"/>
            <w:vAlign w:val="center"/>
          </w:tcPr>
          <w:p>
            <w:pPr>
              <w:jc w:val="center"/>
              <w:rPr>
                <w:rFonts w:ascii="宋体" w:hAnsi="宋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wAfter w:w="0" w:type="dxa"/>
          <w:trHeight w:val="567" w:hRule="atLeast"/>
          <w:tblCellSpacing w:w="0" w:type="dxa"/>
        </w:trPr>
        <w:tc>
          <w:tcPr>
            <w:tcW w:w="5055" w:type="dxa"/>
            <w:noWrap w:val="0"/>
            <w:vAlign w:val="center"/>
          </w:tcPr>
          <w:p>
            <w:pPr>
              <w:jc w:val="center"/>
              <w:rPr>
                <w:rFonts w:ascii="宋体" w:hAnsi="宋体"/>
                <w:bCs/>
                <w:color w:val="auto"/>
                <w:szCs w:val="21"/>
              </w:rPr>
            </w:pPr>
            <w:r>
              <w:rPr>
                <w:rFonts w:ascii="宋体" w:hAnsi="宋体"/>
                <w:bCs/>
                <w:color w:val="auto"/>
                <w:szCs w:val="21"/>
              </w:rPr>
              <w:t>承担的工程或服务是否本企业提供</w:t>
            </w:r>
          </w:p>
        </w:tc>
        <w:tc>
          <w:tcPr>
            <w:tcW w:w="3465" w:type="dxa"/>
            <w:noWrap w:val="0"/>
            <w:vAlign w:val="center"/>
          </w:tcPr>
          <w:p>
            <w:pPr>
              <w:jc w:val="center"/>
              <w:rPr>
                <w:rFonts w:ascii="宋体" w:hAnsi="宋体"/>
                <w:bCs/>
                <w:color w:val="auto"/>
                <w:szCs w:val="21"/>
              </w:rPr>
            </w:pPr>
          </w:p>
        </w:tc>
      </w:tr>
    </w:tbl>
    <w:p>
      <w:pPr>
        <w:pStyle w:val="44"/>
        <w:rPr>
          <w:rFonts w:hint="eastAsia" w:ascii="ˎ̥" w:hAnsi="ˎ̥"/>
          <w:color w:val="auto"/>
          <w:sz w:val="21"/>
          <w:szCs w:val="21"/>
        </w:rPr>
      </w:pPr>
    </w:p>
    <w:p>
      <w:pPr>
        <w:pStyle w:val="20"/>
        <w:spacing w:before="120" w:beforeLines="50" w:line="360" w:lineRule="exact"/>
        <w:ind w:firstLine="0"/>
        <w:rPr>
          <w:color w:val="auto"/>
          <w:sz w:val="21"/>
          <w:szCs w:val="21"/>
          <w:lang w:eastAsia="zh-CN"/>
        </w:rPr>
      </w:pPr>
      <w:r>
        <w:rPr>
          <w:rFonts w:hint="eastAsia"/>
          <w:color w:val="auto"/>
          <w:sz w:val="21"/>
          <w:szCs w:val="21"/>
          <w:lang w:eastAsia="zh-CN"/>
        </w:rPr>
        <w:t>投标人单位（盖公章）：</w:t>
      </w:r>
    </w:p>
    <w:p>
      <w:pPr>
        <w:pStyle w:val="20"/>
        <w:spacing w:before="120" w:beforeLines="50" w:line="360" w:lineRule="exact"/>
        <w:ind w:firstLine="0"/>
        <w:rPr>
          <w:color w:val="auto"/>
          <w:sz w:val="21"/>
          <w:szCs w:val="21"/>
          <w:lang w:eastAsia="zh-CN"/>
        </w:rPr>
      </w:pPr>
      <w:r>
        <w:rPr>
          <w:rFonts w:hint="eastAsia"/>
          <w:color w:val="auto"/>
          <w:sz w:val="21"/>
          <w:szCs w:val="21"/>
          <w:lang w:eastAsia="zh-CN"/>
        </w:rPr>
        <w:t>被授权代表人（签字）：</w:t>
      </w:r>
    </w:p>
    <w:p>
      <w:pPr>
        <w:spacing w:line="600" w:lineRule="exact"/>
        <w:rPr>
          <w:rFonts w:hint="eastAsia"/>
          <w:color w:val="auto"/>
          <w:szCs w:val="21"/>
        </w:rPr>
      </w:pPr>
      <w:r>
        <w:rPr>
          <w:rFonts w:hint="eastAsia"/>
          <w:color w:val="auto"/>
          <w:szCs w:val="21"/>
        </w:rPr>
        <w:t>日</w:t>
      </w:r>
      <w:r>
        <w:rPr>
          <w:color w:val="auto"/>
          <w:szCs w:val="21"/>
        </w:rPr>
        <w:t xml:space="preserve">      </w:t>
      </w:r>
      <w:r>
        <w:rPr>
          <w:rFonts w:hint="eastAsia"/>
          <w:color w:val="auto"/>
          <w:szCs w:val="21"/>
        </w:rPr>
        <w:t>期：</w:t>
      </w:r>
    </w:p>
    <w:p>
      <w:pPr>
        <w:snapToGrid w:val="0"/>
        <w:spacing w:before="120" w:beforeLines="50" w:after="50" w:line="360" w:lineRule="auto"/>
        <w:ind w:firstLine="210" w:firstLineChars="100"/>
        <w:jc w:val="right"/>
        <w:rPr>
          <w:rFonts w:ascii="宋体" w:hAnsi="宋体"/>
          <w:color w:val="auto"/>
          <w:szCs w:val="21"/>
        </w:rPr>
      </w:pPr>
    </w:p>
    <w:p>
      <w:pPr>
        <w:snapToGrid w:val="0"/>
        <w:spacing w:before="50" w:after="120" w:afterLines="50" w:line="360" w:lineRule="auto"/>
        <w:jc w:val="left"/>
        <w:rPr>
          <w:rFonts w:hint="eastAsia" w:ascii="宋体" w:hAnsi="宋体"/>
          <w:color w:val="auto"/>
          <w:szCs w:val="21"/>
        </w:rPr>
      </w:pPr>
    </w:p>
    <w:p>
      <w:pPr>
        <w:snapToGrid w:val="0"/>
        <w:spacing w:before="50" w:after="120" w:afterLines="50" w:line="360" w:lineRule="auto"/>
        <w:rPr>
          <w:rFonts w:hint="eastAsia" w:ascii="宋体" w:hAnsi="宋体"/>
          <w:color w:val="auto"/>
          <w:szCs w:val="21"/>
        </w:rPr>
      </w:pPr>
    </w:p>
    <w:p>
      <w:pPr>
        <w:snapToGrid w:val="0"/>
        <w:spacing w:before="50" w:after="120" w:afterLines="50" w:line="360" w:lineRule="auto"/>
        <w:rPr>
          <w:rFonts w:hint="eastAsia" w:ascii="宋体" w:hAnsi="宋体"/>
          <w:color w:val="auto"/>
          <w:szCs w:val="21"/>
        </w:rPr>
      </w:pPr>
    </w:p>
    <w:p>
      <w:pPr>
        <w:snapToGrid w:val="0"/>
        <w:spacing w:before="50" w:after="120" w:afterLines="50" w:line="360" w:lineRule="auto"/>
        <w:rPr>
          <w:rFonts w:hint="eastAsia" w:ascii="宋体" w:hAnsi="宋体"/>
          <w:color w:val="auto"/>
          <w:szCs w:val="21"/>
        </w:rPr>
      </w:pPr>
    </w:p>
    <w:p>
      <w:pPr>
        <w:snapToGrid w:val="0"/>
        <w:spacing w:before="50" w:after="120" w:afterLines="50" w:line="360" w:lineRule="auto"/>
        <w:rPr>
          <w:rFonts w:hint="eastAsia" w:ascii="宋体" w:hAnsi="宋体"/>
          <w:color w:val="auto"/>
          <w:szCs w:val="21"/>
        </w:rPr>
      </w:pPr>
    </w:p>
    <w:p>
      <w:pPr>
        <w:snapToGrid w:val="0"/>
        <w:spacing w:before="50" w:after="120" w:afterLines="50" w:line="360" w:lineRule="auto"/>
        <w:jc w:val="left"/>
        <w:rPr>
          <w:rFonts w:hint="eastAsia" w:ascii="宋体" w:hAnsi="宋体"/>
          <w:color w:val="auto"/>
          <w:szCs w:val="21"/>
        </w:rPr>
      </w:pPr>
      <w:r>
        <w:rPr>
          <w:rFonts w:hint="eastAsia" w:ascii="宋体" w:hAnsi="宋体"/>
          <w:color w:val="auto"/>
          <w:szCs w:val="21"/>
        </w:rPr>
        <w:t>7）商务响应表（采购文件的商务条款详见第二章采购需求中的五、商务要求表内容。）</w:t>
      </w:r>
    </w:p>
    <w:p>
      <w:pPr>
        <w:tabs>
          <w:tab w:val="left" w:pos="3165"/>
        </w:tabs>
        <w:spacing w:line="360" w:lineRule="auto"/>
        <w:jc w:val="center"/>
        <w:rPr>
          <w:rFonts w:hint="eastAsia" w:ascii="宋体" w:hAnsi="宋体"/>
          <w:color w:val="auto"/>
          <w:szCs w:val="21"/>
        </w:rPr>
      </w:pPr>
      <w:r>
        <w:rPr>
          <w:rFonts w:hint="eastAsia" w:ascii="宋体" w:hAnsi="宋体"/>
          <w:color w:val="auto"/>
          <w:szCs w:val="21"/>
        </w:rPr>
        <w:t>商务响应表</w:t>
      </w:r>
    </w:p>
    <w:p>
      <w:pPr>
        <w:tabs>
          <w:tab w:val="left" w:pos="3165"/>
        </w:tabs>
        <w:spacing w:line="360" w:lineRule="auto"/>
        <w:rPr>
          <w:rFonts w:hint="eastAsia" w:ascii="宋体" w:hAnsi="宋体"/>
          <w:bCs/>
          <w:color w:val="auto"/>
          <w:szCs w:val="21"/>
        </w:rPr>
      </w:pPr>
      <w:r>
        <w:rPr>
          <w:rFonts w:hint="eastAsia" w:ascii="宋体" w:hAnsi="宋体"/>
          <w:color w:val="auto"/>
          <w:szCs w:val="21"/>
        </w:rPr>
        <w:t xml:space="preserve">项目名称：                   </w:t>
      </w:r>
      <w:r>
        <w:rPr>
          <w:rFonts w:hint="eastAsia" w:ascii="宋体" w:hAnsi="宋体"/>
          <w:color w:val="auto"/>
        </w:rPr>
        <w:t xml:space="preserve">  </w:t>
      </w:r>
      <w:r>
        <w:rPr>
          <w:rFonts w:hint="eastAsia" w:ascii="宋体" w:hAnsi="宋体"/>
          <w:color w:val="auto"/>
          <w:szCs w:val="21"/>
        </w:rPr>
        <w:t>项目编号：</w:t>
      </w:r>
      <w:r>
        <w:rPr>
          <w:rFonts w:hint="eastAsia" w:ascii="宋体" w:hAnsi="宋体"/>
          <w:color w:val="auto"/>
        </w:rPr>
        <w:t xml:space="preserve">                           子包号：   </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438"/>
        <w:gridCol w:w="229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trPr>
        <w:tc>
          <w:tcPr>
            <w:tcW w:w="1026" w:type="dxa"/>
            <w:noWrap w:val="0"/>
            <w:vAlign w:val="center"/>
          </w:tcPr>
          <w:p>
            <w:pPr>
              <w:spacing w:line="360" w:lineRule="auto"/>
              <w:jc w:val="center"/>
              <w:rPr>
                <w:rFonts w:hint="eastAsia" w:ascii="宋体" w:hAnsi="宋体"/>
                <w:color w:val="auto"/>
                <w:szCs w:val="21"/>
              </w:rPr>
            </w:pPr>
            <w:r>
              <w:rPr>
                <w:rFonts w:hint="eastAsia" w:ascii="宋体" w:hAnsi="宋体"/>
                <w:color w:val="auto"/>
                <w:szCs w:val="21"/>
              </w:rPr>
              <w:t>序号</w:t>
            </w:r>
          </w:p>
        </w:tc>
        <w:tc>
          <w:tcPr>
            <w:tcW w:w="4438" w:type="dxa"/>
            <w:noWrap w:val="0"/>
            <w:vAlign w:val="center"/>
          </w:tcPr>
          <w:p>
            <w:pPr>
              <w:spacing w:line="360" w:lineRule="auto"/>
              <w:jc w:val="center"/>
              <w:rPr>
                <w:rFonts w:hint="eastAsia" w:ascii="宋体" w:hAnsi="宋体"/>
                <w:color w:val="auto"/>
                <w:szCs w:val="21"/>
              </w:rPr>
            </w:pPr>
            <w:r>
              <w:rPr>
                <w:rFonts w:hint="eastAsia" w:ascii="宋体" w:hAnsi="宋体"/>
                <w:color w:val="auto"/>
                <w:szCs w:val="21"/>
              </w:rPr>
              <w:t>采购文件的商务条款</w:t>
            </w:r>
          </w:p>
        </w:tc>
        <w:tc>
          <w:tcPr>
            <w:tcW w:w="2298" w:type="dxa"/>
            <w:noWrap w:val="0"/>
            <w:vAlign w:val="center"/>
          </w:tcPr>
          <w:p>
            <w:pPr>
              <w:spacing w:line="360" w:lineRule="auto"/>
              <w:jc w:val="center"/>
              <w:rPr>
                <w:rFonts w:hint="eastAsia" w:ascii="宋体" w:hAnsi="宋体"/>
                <w:color w:val="auto"/>
                <w:szCs w:val="21"/>
              </w:rPr>
            </w:pPr>
            <w:r>
              <w:rPr>
                <w:rFonts w:hint="eastAsia" w:ascii="宋体" w:hAnsi="宋体"/>
                <w:color w:val="auto"/>
                <w:szCs w:val="21"/>
              </w:rPr>
              <w:t>投标文件的响应情况</w:t>
            </w:r>
          </w:p>
        </w:tc>
        <w:tc>
          <w:tcPr>
            <w:tcW w:w="1185" w:type="dxa"/>
            <w:noWrap w:val="0"/>
            <w:vAlign w:val="center"/>
          </w:tcPr>
          <w:p>
            <w:pPr>
              <w:spacing w:line="360" w:lineRule="auto"/>
              <w:jc w:val="center"/>
              <w:rPr>
                <w:rFonts w:hint="eastAsia" w:ascii="宋体" w:hAnsi="宋体"/>
                <w:color w:val="auto"/>
                <w:szCs w:val="21"/>
              </w:rPr>
            </w:pPr>
            <w:r>
              <w:rPr>
                <w:rFonts w:hint="eastAsia" w:ascii="宋体" w:hAnsi="宋体"/>
                <w:color w:val="auto"/>
                <w:szCs w:val="21"/>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trPr>
        <w:tc>
          <w:tcPr>
            <w:tcW w:w="1026" w:type="dxa"/>
            <w:noWrap w:val="0"/>
            <w:vAlign w:val="center"/>
          </w:tcPr>
          <w:p>
            <w:pPr>
              <w:spacing w:line="360" w:lineRule="auto"/>
              <w:jc w:val="center"/>
              <w:rPr>
                <w:rFonts w:hint="eastAsia"/>
                <w:color w:val="auto"/>
              </w:rPr>
            </w:pPr>
          </w:p>
        </w:tc>
        <w:tc>
          <w:tcPr>
            <w:tcW w:w="4438" w:type="dxa"/>
            <w:noWrap w:val="0"/>
            <w:vAlign w:val="center"/>
          </w:tcPr>
          <w:p>
            <w:pPr>
              <w:spacing w:before="120" w:beforeLines="50" w:line="360" w:lineRule="auto"/>
              <w:rPr>
                <w:rFonts w:hint="eastAsia" w:hAnsi="宋体"/>
                <w:b/>
                <w:bCs/>
                <w:color w:val="auto"/>
                <w:szCs w:val="21"/>
              </w:rPr>
            </w:pPr>
          </w:p>
        </w:tc>
        <w:tc>
          <w:tcPr>
            <w:tcW w:w="2298" w:type="dxa"/>
            <w:noWrap w:val="0"/>
            <w:vAlign w:val="center"/>
          </w:tcPr>
          <w:p>
            <w:pPr>
              <w:spacing w:line="360" w:lineRule="auto"/>
              <w:jc w:val="center"/>
              <w:rPr>
                <w:rFonts w:hint="eastAsia" w:ascii="宋体" w:hAnsi="宋体"/>
                <w:color w:val="auto"/>
                <w:sz w:val="24"/>
              </w:rPr>
            </w:pPr>
          </w:p>
        </w:tc>
        <w:tc>
          <w:tcPr>
            <w:tcW w:w="1185" w:type="dxa"/>
            <w:noWrap w:val="0"/>
            <w:vAlign w:val="center"/>
          </w:tcPr>
          <w:p>
            <w:pPr>
              <w:spacing w:line="360" w:lineRule="auto"/>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trPr>
        <w:tc>
          <w:tcPr>
            <w:tcW w:w="1026" w:type="dxa"/>
            <w:noWrap w:val="0"/>
            <w:vAlign w:val="center"/>
          </w:tcPr>
          <w:p>
            <w:pPr>
              <w:spacing w:line="360" w:lineRule="auto"/>
              <w:jc w:val="center"/>
              <w:rPr>
                <w:rFonts w:hint="eastAsia"/>
                <w:color w:val="auto"/>
              </w:rPr>
            </w:pPr>
          </w:p>
        </w:tc>
        <w:tc>
          <w:tcPr>
            <w:tcW w:w="4438" w:type="dxa"/>
            <w:noWrap w:val="0"/>
            <w:vAlign w:val="center"/>
          </w:tcPr>
          <w:p>
            <w:pPr>
              <w:spacing w:line="360" w:lineRule="auto"/>
              <w:rPr>
                <w:rFonts w:hint="eastAsia"/>
                <w:color w:val="auto"/>
              </w:rPr>
            </w:pPr>
          </w:p>
        </w:tc>
        <w:tc>
          <w:tcPr>
            <w:tcW w:w="2298" w:type="dxa"/>
            <w:noWrap w:val="0"/>
            <w:vAlign w:val="center"/>
          </w:tcPr>
          <w:p>
            <w:pPr>
              <w:spacing w:line="360" w:lineRule="auto"/>
              <w:jc w:val="center"/>
              <w:rPr>
                <w:rFonts w:hint="eastAsia" w:ascii="宋体" w:hAnsi="宋体"/>
                <w:color w:val="auto"/>
                <w:sz w:val="24"/>
              </w:rPr>
            </w:pPr>
          </w:p>
        </w:tc>
        <w:tc>
          <w:tcPr>
            <w:tcW w:w="1185" w:type="dxa"/>
            <w:noWrap w:val="0"/>
            <w:vAlign w:val="center"/>
          </w:tcPr>
          <w:p>
            <w:pPr>
              <w:spacing w:line="360" w:lineRule="auto"/>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trPr>
        <w:tc>
          <w:tcPr>
            <w:tcW w:w="1026" w:type="dxa"/>
            <w:noWrap w:val="0"/>
            <w:vAlign w:val="center"/>
          </w:tcPr>
          <w:p>
            <w:pPr>
              <w:spacing w:line="360" w:lineRule="auto"/>
              <w:jc w:val="center"/>
              <w:rPr>
                <w:rFonts w:hint="eastAsia"/>
                <w:color w:val="auto"/>
              </w:rPr>
            </w:pPr>
          </w:p>
        </w:tc>
        <w:tc>
          <w:tcPr>
            <w:tcW w:w="4438" w:type="dxa"/>
            <w:noWrap w:val="0"/>
            <w:vAlign w:val="center"/>
          </w:tcPr>
          <w:p>
            <w:pPr>
              <w:spacing w:line="360" w:lineRule="auto"/>
              <w:rPr>
                <w:color w:val="auto"/>
              </w:rPr>
            </w:pPr>
          </w:p>
        </w:tc>
        <w:tc>
          <w:tcPr>
            <w:tcW w:w="2298" w:type="dxa"/>
            <w:noWrap w:val="0"/>
            <w:vAlign w:val="center"/>
          </w:tcPr>
          <w:p>
            <w:pPr>
              <w:spacing w:line="360" w:lineRule="auto"/>
              <w:jc w:val="center"/>
              <w:rPr>
                <w:rFonts w:hint="eastAsia" w:ascii="宋体" w:hAnsi="宋体"/>
                <w:color w:val="auto"/>
                <w:sz w:val="24"/>
              </w:rPr>
            </w:pPr>
          </w:p>
        </w:tc>
        <w:tc>
          <w:tcPr>
            <w:tcW w:w="1185" w:type="dxa"/>
            <w:noWrap w:val="0"/>
            <w:vAlign w:val="center"/>
          </w:tcPr>
          <w:p>
            <w:pPr>
              <w:spacing w:line="360" w:lineRule="auto"/>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0" w:hRule="atLeast"/>
        </w:trPr>
        <w:tc>
          <w:tcPr>
            <w:tcW w:w="1026" w:type="dxa"/>
            <w:noWrap w:val="0"/>
            <w:vAlign w:val="center"/>
          </w:tcPr>
          <w:p>
            <w:pPr>
              <w:spacing w:line="360" w:lineRule="auto"/>
              <w:jc w:val="center"/>
              <w:rPr>
                <w:color w:val="auto"/>
              </w:rPr>
            </w:pPr>
          </w:p>
        </w:tc>
        <w:tc>
          <w:tcPr>
            <w:tcW w:w="4438" w:type="dxa"/>
            <w:noWrap w:val="0"/>
            <w:vAlign w:val="center"/>
          </w:tcPr>
          <w:p>
            <w:pPr>
              <w:spacing w:line="360" w:lineRule="auto"/>
              <w:rPr>
                <w:color w:val="auto"/>
              </w:rPr>
            </w:pPr>
          </w:p>
        </w:tc>
        <w:tc>
          <w:tcPr>
            <w:tcW w:w="2298" w:type="dxa"/>
            <w:noWrap w:val="0"/>
            <w:vAlign w:val="center"/>
          </w:tcPr>
          <w:p>
            <w:pPr>
              <w:spacing w:line="360" w:lineRule="auto"/>
              <w:jc w:val="center"/>
              <w:rPr>
                <w:rFonts w:hint="eastAsia" w:ascii="宋体" w:hAnsi="宋体"/>
                <w:color w:val="auto"/>
                <w:sz w:val="24"/>
              </w:rPr>
            </w:pPr>
          </w:p>
        </w:tc>
        <w:tc>
          <w:tcPr>
            <w:tcW w:w="1185" w:type="dxa"/>
            <w:noWrap w:val="0"/>
            <w:vAlign w:val="center"/>
          </w:tcPr>
          <w:p>
            <w:pPr>
              <w:spacing w:line="360" w:lineRule="auto"/>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5" w:hRule="atLeast"/>
        </w:trPr>
        <w:tc>
          <w:tcPr>
            <w:tcW w:w="1026" w:type="dxa"/>
            <w:noWrap w:val="0"/>
            <w:vAlign w:val="center"/>
          </w:tcPr>
          <w:p>
            <w:pPr>
              <w:spacing w:line="360" w:lineRule="auto"/>
              <w:jc w:val="center"/>
              <w:rPr>
                <w:color w:val="auto"/>
              </w:rPr>
            </w:pPr>
          </w:p>
        </w:tc>
        <w:tc>
          <w:tcPr>
            <w:tcW w:w="4438" w:type="dxa"/>
            <w:noWrap w:val="0"/>
            <w:vAlign w:val="center"/>
          </w:tcPr>
          <w:p>
            <w:pPr>
              <w:spacing w:line="360" w:lineRule="auto"/>
              <w:rPr>
                <w:rFonts w:hint="eastAsia" w:ascii="宋体" w:hAnsi="宋体"/>
                <w:color w:val="auto"/>
                <w:szCs w:val="21"/>
              </w:rPr>
            </w:pPr>
          </w:p>
        </w:tc>
        <w:tc>
          <w:tcPr>
            <w:tcW w:w="2298" w:type="dxa"/>
            <w:noWrap w:val="0"/>
            <w:vAlign w:val="center"/>
          </w:tcPr>
          <w:p>
            <w:pPr>
              <w:spacing w:line="360" w:lineRule="auto"/>
              <w:jc w:val="center"/>
              <w:rPr>
                <w:rFonts w:hint="eastAsia" w:ascii="宋体" w:hAnsi="宋体"/>
                <w:color w:val="auto"/>
                <w:sz w:val="24"/>
              </w:rPr>
            </w:pPr>
          </w:p>
        </w:tc>
        <w:tc>
          <w:tcPr>
            <w:tcW w:w="1185" w:type="dxa"/>
            <w:noWrap w:val="0"/>
            <w:vAlign w:val="center"/>
          </w:tcPr>
          <w:p>
            <w:pPr>
              <w:spacing w:line="360" w:lineRule="auto"/>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1026" w:type="dxa"/>
            <w:noWrap w:val="0"/>
            <w:vAlign w:val="center"/>
          </w:tcPr>
          <w:p>
            <w:pPr>
              <w:spacing w:line="360" w:lineRule="auto"/>
              <w:jc w:val="center"/>
              <w:rPr>
                <w:color w:val="auto"/>
              </w:rPr>
            </w:pPr>
          </w:p>
        </w:tc>
        <w:tc>
          <w:tcPr>
            <w:tcW w:w="4438" w:type="dxa"/>
            <w:noWrap w:val="0"/>
            <w:vAlign w:val="center"/>
          </w:tcPr>
          <w:p>
            <w:pPr>
              <w:spacing w:line="360" w:lineRule="auto"/>
              <w:rPr>
                <w:rFonts w:hint="eastAsia"/>
                <w:color w:val="auto"/>
              </w:rPr>
            </w:pPr>
          </w:p>
        </w:tc>
        <w:tc>
          <w:tcPr>
            <w:tcW w:w="2298" w:type="dxa"/>
            <w:noWrap w:val="0"/>
            <w:vAlign w:val="center"/>
          </w:tcPr>
          <w:p>
            <w:pPr>
              <w:spacing w:line="360" w:lineRule="auto"/>
              <w:jc w:val="center"/>
              <w:rPr>
                <w:rFonts w:hint="eastAsia" w:ascii="宋体" w:hAnsi="宋体"/>
                <w:color w:val="auto"/>
                <w:sz w:val="24"/>
              </w:rPr>
            </w:pPr>
          </w:p>
        </w:tc>
        <w:tc>
          <w:tcPr>
            <w:tcW w:w="1185" w:type="dxa"/>
            <w:noWrap w:val="0"/>
            <w:vAlign w:val="center"/>
          </w:tcPr>
          <w:p>
            <w:pPr>
              <w:spacing w:line="360" w:lineRule="auto"/>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1026" w:type="dxa"/>
            <w:noWrap w:val="0"/>
            <w:vAlign w:val="center"/>
          </w:tcPr>
          <w:p>
            <w:pPr>
              <w:spacing w:line="360" w:lineRule="auto"/>
              <w:rPr>
                <w:rFonts w:hint="eastAsia"/>
                <w:color w:val="auto"/>
              </w:rPr>
            </w:pPr>
          </w:p>
        </w:tc>
        <w:tc>
          <w:tcPr>
            <w:tcW w:w="4438" w:type="dxa"/>
            <w:noWrap w:val="0"/>
            <w:vAlign w:val="center"/>
          </w:tcPr>
          <w:p>
            <w:pPr>
              <w:spacing w:line="360" w:lineRule="auto"/>
              <w:rPr>
                <w:color w:val="auto"/>
              </w:rPr>
            </w:pPr>
          </w:p>
        </w:tc>
        <w:tc>
          <w:tcPr>
            <w:tcW w:w="2298" w:type="dxa"/>
            <w:noWrap w:val="0"/>
            <w:vAlign w:val="center"/>
          </w:tcPr>
          <w:p>
            <w:pPr>
              <w:spacing w:line="360" w:lineRule="auto"/>
              <w:jc w:val="center"/>
              <w:rPr>
                <w:rFonts w:hint="eastAsia" w:ascii="宋体" w:hAnsi="宋体"/>
                <w:color w:val="auto"/>
                <w:sz w:val="24"/>
              </w:rPr>
            </w:pPr>
          </w:p>
        </w:tc>
        <w:tc>
          <w:tcPr>
            <w:tcW w:w="1185" w:type="dxa"/>
            <w:noWrap w:val="0"/>
            <w:vAlign w:val="center"/>
          </w:tcPr>
          <w:p>
            <w:pPr>
              <w:spacing w:line="360" w:lineRule="auto"/>
              <w:jc w:val="center"/>
              <w:rPr>
                <w:rFonts w:hint="eastAsia" w:ascii="宋体" w:hAnsi="宋体"/>
                <w:color w:val="auto"/>
                <w:sz w:val="24"/>
              </w:rPr>
            </w:pPr>
          </w:p>
        </w:tc>
      </w:tr>
    </w:tbl>
    <w:p>
      <w:pPr>
        <w:autoSpaceDE w:val="0"/>
        <w:autoSpaceDN w:val="0"/>
        <w:adjustRightInd w:val="0"/>
        <w:spacing w:line="360" w:lineRule="auto"/>
        <w:rPr>
          <w:rFonts w:hint="eastAsia" w:ascii="宋体" w:hAnsi="宋体"/>
          <w:color w:val="auto"/>
          <w:lang w:val="zh-CN"/>
        </w:rPr>
      </w:pPr>
    </w:p>
    <w:p>
      <w:pPr>
        <w:autoSpaceDE w:val="0"/>
        <w:autoSpaceDN w:val="0"/>
        <w:adjustRightInd w:val="0"/>
        <w:spacing w:line="360" w:lineRule="auto"/>
        <w:rPr>
          <w:rFonts w:hint="eastAsia" w:ascii="宋体" w:hAnsi="宋体"/>
          <w:color w:val="auto"/>
          <w:lang w:val="zh-CN"/>
        </w:rPr>
      </w:pPr>
      <w:r>
        <w:rPr>
          <w:rFonts w:hint="eastAsia" w:ascii="宋体" w:hAnsi="宋体"/>
          <w:color w:val="auto"/>
          <w:lang w:val="zh-CN"/>
        </w:rPr>
        <w:t>投标人（公章）：</w:t>
      </w:r>
    </w:p>
    <w:p>
      <w:pPr>
        <w:autoSpaceDE w:val="0"/>
        <w:autoSpaceDN w:val="0"/>
        <w:adjustRightInd w:val="0"/>
        <w:spacing w:line="360" w:lineRule="auto"/>
        <w:jc w:val="left"/>
        <w:rPr>
          <w:rFonts w:hint="eastAsia" w:ascii="宋体" w:hAnsi="宋体"/>
          <w:color w:val="auto"/>
          <w:lang w:val="zh-CN"/>
        </w:rPr>
      </w:pPr>
      <w:r>
        <w:rPr>
          <w:rFonts w:hint="eastAsia" w:ascii="宋体" w:hAnsi="宋体"/>
          <w:color w:val="auto"/>
          <w:lang w:val="zh-CN"/>
        </w:rPr>
        <w:t xml:space="preserve">法定代表或授权代表（签字）： </w:t>
      </w:r>
    </w:p>
    <w:p>
      <w:pPr>
        <w:spacing w:line="360" w:lineRule="auto"/>
        <w:jc w:val="right"/>
        <w:rPr>
          <w:rFonts w:hint="eastAsia" w:ascii="宋体" w:hAnsi="宋体"/>
          <w:color w:val="auto"/>
          <w:sz w:val="24"/>
        </w:rPr>
      </w:pPr>
      <w:r>
        <w:rPr>
          <w:rFonts w:hint="eastAsia" w:ascii="宋体" w:hAnsi="宋体"/>
          <w:color w:val="auto"/>
          <w:lang w:val="zh-CN"/>
        </w:rPr>
        <w:t>年  月   日</w:t>
      </w:r>
    </w:p>
    <w:p>
      <w:pPr>
        <w:widowControl/>
        <w:spacing w:before="100" w:beforeAutospacing="1" w:after="100" w:afterAutospacing="1" w:line="360" w:lineRule="auto"/>
        <w:jc w:val="left"/>
        <w:rPr>
          <w:rFonts w:hint="eastAsia" w:ascii="ˎ̥" w:hAnsi="ˎ̥" w:cs="宋体"/>
          <w:color w:val="auto"/>
          <w:kern w:val="0"/>
          <w:szCs w:val="21"/>
          <w:u w:val="single"/>
        </w:rPr>
      </w:pPr>
    </w:p>
    <w:p>
      <w:pPr>
        <w:widowControl/>
        <w:spacing w:before="100" w:beforeAutospacing="1" w:after="100" w:afterAutospacing="1" w:line="360" w:lineRule="auto"/>
        <w:jc w:val="left"/>
        <w:rPr>
          <w:rFonts w:hint="eastAsia" w:ascii="ˎ̥" w:hAnsi="ˎ̥" w:cs="宋体"/>
          <w:color w:val="auto"/>
          <w:kern w:val="0"/>
          <w:szCs w:val="21"/>
        </w:rPr>
      </w:pPr>
      <w:r>
        <w:rPr>
          <w:rFonts w:hint="eastAsia" w:ascii="ˎ̥" w:hAnsi="ˎ̥" w:cs="宋体"/>
          <w:color w:val="auto"/>
          <w:kern w:val="0"/>
          <w:szCs w:val="21"/>
        </w:rPr>
        <w:t>8）</w:t>
      </w:r>
      <w:r>
        <w:rPr>
          <w:rFonts w:hint="eastAsia" w:ascii="宋体" w:hAnsi="宋体"/>
          <w:color w:val="auto"/>
          <w:szCs w:val="21"/>
        </w:rPr>
        <w:t>投标人认为需要提供的与本项目有关的其他资信及商务资料（如有可提供，格式自拟）</w:t>
      </w:r>
    </w:p>
    <w:p>
      <w:pPr>
        <w:snapToGrid w:val="0"/>
        <w:spacing w:line="360" w:lineRule="auto"/>
        <w:jc w:val="left"/>
        <w:rPr>
          <w:rFonts w:hint="eastAsia" w:ascii="宋体" w:hAnsi="宋体"/>
          <w:bCs/>
          <w:color w:val="auto"/>
          <w:szCs w:val="21"/>
        </w:rPr>
      </w:pPr>
      <w:r>
        <w:rPr>
          <w:rFonts w:ascii="宋体" w:hAnsi="宋体"/>
          <w:color w:val="auto"/>
          <w:szCs w:val="21"/>
        </w:rPr>
        <w:br w:type="page"/>
      </w:r>
      <w:r>
        <w:rPr>
          <w:rFonts w:hint="eastAsia" w:ascii="宋体" w:hAnsi="宋体"/>
          <w:bCs/>
          <w:color w:val="auto"/>
          <w:szCs w:val="21"/>
        </w:rPr>
        <w:t>2.</w:t>
      </w:r>
      <w:r>
        <w:rPr>
          <w:rFonts w:ascii="宋体" w:hAnsi="宋体"/>
          <w:bCs/>
          <w:color w:val="auto"/>
          <w:szCs w:val="21"/>
        </w:rPr>
        <w:t>技术文件</w:t>
      </w:r>
      <w:r>
        <w:rPr>
          <w:rFonts w:hint="eastAsia" w:ascii="宋体" w:hAnsi="宋体"/>
          <w:bCs/>
          <w:color w:val="auto"/>
          <w:szCs w:val="21"/>
        </w:rPr>
        <w:t>：（提供部分格式，未提供格式的由投标人自行编制）</w:t>
      </w:r>
    </w:p>
    <w:p>
      <w:pPr>
        <w:snapToGrid w:val="0"/>
        <w:spacing w:before="50" w:after="120" w:afterLines="50" w:line="360" w:lineRule="auto"/>
        <w:jc w:val="left"/>
        <w:rPr>
          <w:rFonts w:hint="eastAsia" w:ascii="宋体" w:hAnsi="宋体"/>
          <w:color w:val="auto"/>
          <w:szCs w:val="21"/>
        </w:rPr>
      </w:pPr>
      <w:r>
        <w:rPr>
          <w:rFonts w:hint="eastAsia" w:ascii="宋体" w:hAnsi="宋体"/>
          <w:color w:val="auto"/>
          <w:szCs w:val="21"/>
        </w:rPr>
        <w:t>1）对采购文件第二章采购需求中的“二、采购清单及技术参数”内容的响应格式见下表，按其要求需提供的相关资料格式自拟。</w:t>
      </w:r>
    </w:p>
    <w:p>
      <w:pPr>
        <w:snapToGrid w:val="0"/>
        <w:spacing w:before="50" w:after="120" w:afterLines="50" w:line="360" w:lineRule="auto"/>
        <w:jc w:val="left"/>
        <w:rPr>
          <w:rFonts w:ascii="宋体" w:hAnsi="宋体"/>
          <w:color w:val="auto"/>
          <w:szCs w:val="21"/>
        </w:rPr>
      </w:pPr>
      <w:r>
        <w:rPr>
          <w:rFonts w:hint="eastAsia" w:ascii="宋体" w:hAnsi="宋体"/>
          <w:color w:val="auto"/>
          <w:szCs w:val="21"/>
        </w:rPr>
        <w:t xml:space="preserve">项目名称：                   </w:t>
      </w:r>
      <w:r>
        <w:rPr>
          <w:rFonts w:hint="eastAsia" w:ascii="宋体" w:hAnsi="宋体"/>
          <w:color w:val="auto"/>
        </w:rPr>
        <w:t xml:space="preserve">  </w:t>
      </w:r>
      <w:r>
        <w:rPr>
          <w:rFonts w:hint="eastAsia" w:ascii="宋体" w:hAnsi="宋体"/>
          <w:color w:val="auto"/>
          <w:szCs w:val="21"/>
        </w:rPr>
        <w:t>项目编号：</w:t>
      </w:r>
      <w:r>
        <w:rPr>
          <w:rFonts w:hint="eastAsia" w:ascii="宋体" w:hAnsi="宋体"/>
          <w:color w:val="auto"/>
        </w:rPr>
        <w:t xml:space="preserve">                           子包号：   </w:t>
      </w:r>
    </w:p>
    <w:tbl>
      <w:tblPr>
        <w:tblStyle w:val="4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9"/>
        <w:gridCol w:w="3827"/>
        <w:gridCol w:w="2907"/>
        <w:gridCol w:w="16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94"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before="295" w:beforeLines="0" w:after="295" w:afterLines="0" w:line="360" w:lineRule="auto"/>
              <w:jc w:val="center"/>
              <w:outlineLvl w:val="0"/>
              <w:rPr>
                <w:rFonts w:hAnsi="宋体"/>
                <w:color w:val="auto"/>
                <w:sz w:val="21"/>
                <w:szCs w:val="21"/>
                <w:lang w:val="en-US" w:eastAsia="zh-CN"/>
              </w:rPr>
            </w:pPr>
            <w:r>
              <w:rPr>
                <w:rFonts w:hint="eastAsia" w:hAnsi="宋体"/>
                <w:color w:val="auto"/>
                <w:sz w:val="21"/>
                <w:szCs w:val="21"/>
                <w:lang w:val="en-US" w:eastAsia="zh-CN"/>
              </w:rPr>
              <w:t>序号</w:t>
            </w:r>
          </w:p>
        </w:tc>
        <w:tc>
          <w:tcPr>
            <w:tcW w:w="3827"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before="120" w:after="120" w:line="360" w:lineRule="auto"/>
              <w:jc w:val="center"/>
              <w:outlineLvl w:val="0"/>
              <w:rPr>
                <w:rFonts w:hAnsi="宋体"/>
                <w:color w:val="auto"/>
                <w:sz w:val="21"/>
                <w:szCs w:val="21"/>
                <w:lang w:val="en-US" w:eastAsia="zh-CN"/>
              </w:rPr>
            </w:pPr>
            <w:r>
              <w:rPr>
                <w:rFonts w:hint="eastAsia" w:hAnsi="宋体"/>
                <w:color w:val="auto"/>
                <w:sz w:val="21"/>
                <w:szCs w:val="21"/>
                <w:lang w:val="en-US" w:eastAsia="zh-CN"/>
              </w:rPr>
              <w:t>采购清单及技术参数内容</w:t>
            </w:r>
          </w:p>
        </w:tc>
        <w:tc>
          <w:tcPr>
            <w:tcW w:w="2907"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before="295" w:beforeLines="0" w:after="295" w:afterLines="0" w:line="360" w:lineRule="auto"/>
              <w:jc w:val="center"/>
              <w:outlineLvl w:val="0"/>
              <w:rPr>
                <w:rFonts w:hAnsi="宋体"/>
                <w:color w:val="auto"/>
                <w:sz w:val="21"/>
                <w:szCs w:val="21"/>
                <w:lang w:val="en-US" w:eastAsia="zh-CN"/>
              </w:rPr>
            </w:pPr>
            <w:r>
              <w:rPr>
                <w:rFonts w:hAnsi="宋体"/>
                <w:color w:val="auto"/>
                <w:sz w:val="21"/>
                <w:szCs w:val="21"/>
                <w:lang w:val="en-US" w:eastAsia="zh-CN"/>
              </w:rPr>
              <w:t>投标文件响应</w:t>
            </w:r>
          </w:p>
        </w:tc>
        <w:tc>
          <w:tcPr>
            <w:tcW w:w="1629"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before="295" w:beforeLines="0" w:after="295" w:afterLines="0" w:line="360" w:lineRule="auto"/>
              <w:jc w:val="center"/>
              <w:outlineLvl w:val="0"/>
              <w:rPr>
                <w:rFonts w:hAnsi="宋体"/>
                <w:color w:val="auto"/>
                <w:sz w:val="21"/>
                <w:szCs w:val="21"/>
                <w:lang w:val="en-US" w:eastAsia="zh-CN"/>
              </w:rPr>
            </w:pPr>
            <w:r>
              <w:rPr>
                <w:rFonts w:hAnsi="宋体"/>
                <w:color w:val="auto"/>
                <w:sz w:val="21"/>
                <w:szCs w:val="21"/>
                <w:lang w:val="en-US" w:eastAsia="zh-C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88" w:hRule="atLeast"/>
        </w:trPr>
        <w:tc>
          <w:tcPr>
            <w:tcW w:w="959"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r>
              <w:rPr>
                <w:rFonts w:hint="eastAsia" w:hAnsi="宋体"/>
                <w:color w:val="auto"/>
                <w:sz w:val="21"/>
                <w:szCs w:val="21"/>
                <w:lang w:val="en-US" w:eastAsia="zh-CN"/>
              </w:rPr>
              <w:t>1</w:t>
            </w:r>
          </w:p>
        </w:tc>
        <w:tc>
          <w:tcPr>
            <w:tcW w:w="382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p>
        </w:tc>
        <w:tc>
          <w:tcPr>
            <w:tcW w:w="290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p>
        </w:tc>
        <w:tc>
          <w:tcPr>
            <w:tcW w:w="1629"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before="120" w:after="120" w:line="360" w:lineRule="auto"/>
              <w:outlineLvl w:val="0"/>
              <w:rPr>
                <w:rFonts w:hAnsi="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88" w:hRule="atLeast"/>
        </w:trPr>
        <w:tc>
          <w:tcPr>
            <w:tcW w:w="959"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r>
              <w:rPr>
                <w:rFonts w:hint="eastAsia" w:hAnsi="宋体"/>
                <w:color w:val="auto"/>
                <w:sz w:val="21"/>
                <w:szCs w:val="21"/>
                <w:lang w:val="en-US" w:eastAsia="zh-CN"/>
              </w:rPr>
              <w:t>2</w:t>
            </w:r>
          </w:p>
        </w:tc>
        <w:tc>
          <w:tcPr>
            <w:tcW w:w="382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p>
        </w:tc>
        <w:tc>
          <w:tcPr>
            <w:tcW w:w="290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p>
        </w:tc>
        <w:tc>
          <w:tcPr>
            <w:tcW w:w="16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88" w:hRule="atLeast"/>
        </w:trPr>
        <w:tc>
          <w:tcPr>
            <w:tcW w:w="959"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r>
              <w:rPr>
                <w:rFonts w:hint="eastAsia" w:hAnsi="宋体"/>
                <w:color w:val="auto"/>
                <w:sz w:val="21"/>
                <w:szCs w:val="21"/>
                <w:lang w:val="en-US" w:eastAsia="zh-CN"/>
              </w:rPr>
              <w:t>3</w:t>
            </w:r>
          </w:p>
        </w:tc>
        <w:tc>
          <w:tcPr>
            <w:tcW w:w="382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outlineLvl w:val="0"/>
              <w:rPr>
                <w:rFonts w:hAnsi="宋体"/>
                <w:color w:val="auto"/>
                <w:sz w:val="21"/>
                <w:szCs w:val="21"/>
                <w:lang w:val="en-US" w:eastAsia="zh-CN"/>
              </w:rPr>
            </w:pPr>
          </w:p>
        </w:tc>
        <w:tc>
          <w:tcPr>
            <w:tcW w:w="290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p>
        </w:tc>
        <w:tc>
          <w:tcPr>
            <w:tcW w:w="16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88" w:hRule="atLeast"/>
        </w:trPr>
        <w:tc>
          <w:tcPr>
            <w:tcW w:w="959"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r>
              <w:rPr>
                <w:rFonts w:hint="eastAsia" w:hAnsi="宋体"/>
                <w:color w:val="auto"/>
                <w:sz w:val="21"/>
                <w:szCs w:val="21"/>
                <w:lang w:val="en-US" w:eastAsia="zh-CN"/>
              </w:rPr>
              <w:t>4</w:t>
            </w:r>
          </w:p>
        </w:tc>
        <w:tc>
          <w:tcPr>
            <w:tcW w:w="382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p>
        </w:tc>
        <w:tc>
          <w:tcPr>
            <w:tcW w:w="290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p>
        </w:tc>
        <w:tc>
          <w:tcPr>
            <w:tcW w:w="16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88" w:hRule="atLeast"/>
        </w:trPr>
        <w:tc>
          <w:tcPr>
            <w:tcW w:w="959"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r>
              <w:rPr>
                <w:rFonts w:hint="eastAsia" w:hAnsi="宋体"/>
                <w:color w:val="auto"/>
                <w:sz w:val="21"/>
                <w:szCs w:val="21"/>
                <w:lang w:val="en-US" w:eastAsia="zh-CN"/>
              </w:rPr>
              <w:t>5</w:t>
            </w:r>
          </w:p>
        </w:tc>
        <w:tc>
          <w:tcPr>
            <w:tcW w:w="382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p>
        </w:tc>
        <w:tc>
          <w:tcPr>
            <w:tcW w:w="290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p>
        </w:tc>
        <w:tc>
          <w:tcPr>
            <w:tcW w:w="16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88" w:hRule="atLeast"/>
        </w:trPr>
        <w:tc>
          <w:tcPr>
            <w:tcW w:w="959"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r>
              <w:rPr>
                <w:rFonts w:hint="eastAsia" w:hAnsi="宋体"/>
                <w:color w:val="auto"/>
                <w:sz w:val="21"/>
                <w:szCs w:val="21"/>
                <w:lang w:val="en-US" w:eastAsia="zh-CN"/>
              </w:rPr>
              <w:t>6</w:t>
            </w:r>
          </w:p>
        </w:tc>
        <w:tc>
          <w:tcPr>
            <w:tcW w:w="382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p>
        </w:tc>
        <w:tc>
          <w:tcPr>
            <w:tcW w:w="290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p>
        </w:tc>
        <w:tc>
          <w:tcPr>
            <w:tcW w:w="16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88" w:hRule="atLeast"/>
        </w:trPr>
        <w:tc>
          <w:tcPr>
            <w:tcW w:w="959"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r>
              <w:rPr>
                <w:rFonts w:hint="eastAsia" w:hAnsi="宋体"/>
                <w:color w:val="auto"/>
                <w:sz w:val="21"/>
                <w:szCs w:val="21"/>
                <w:lang w:val="en-US" w:eastAsia="zh-CN"/>
              </w:rPr>
              <w:t>7</w:t>
            </w:r>
          </w:p>
        </w:tc>
        <w:tc>
          <w:tcPr>
            <w:tcW w:w="382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p>
        </w:tc>
        <w:tc>
          <w:tcPr>
            <w:tcW w:w="290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p>
        </w:tc>
        <w:tc>
          <w:tcPr>
            <w:tcW w:w="16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634" w:hRule="atLeast"/>
        </w:trPr>
        <w:tc>
          <w:tcPr>
            <w:tcW w:w="959"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r>
              <w:rPr>
                <w:rFonts w:hint="eastAsia" w:hAnsi="宋体"/>
                <w:color w:val="auto"/>
                <w:sz w:val="21"/>
                <w:szCs w:val="21"/>
                <w:lang w:val="en-US" w:eastAsia="zh-CN"/>
              </w:rPr>
              <w:t>8</w:t>
            </w:r>
          </w:p>
        </w:tc>
        <w:tc>
          <w:tcPr>
            <w:tcW w:w="382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p>
        </w:tc>
        <w:tc>
          <w:tcPr>
            <w:tcW w:w="290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p>
        </w:tc>
        <w:tc>
          <w:tcPr>
            <w:tcW w:w="16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88" w:hRule="atLeast"/>
        </w:trPr>
        <w:tc>
          <w:tcPr>
            <w:tcW w:w="959"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int="eastAsia" w:hAnsi="宋体"/>
                <w:color w:val="auto"/>
                <w:sz w:val="21"/>
                <w:szCs w:val="21"/>
                <w:lang w:val="en-US" w:eastAsia="zh-CN"/>
              </w:rPr>
            </w:pPr>
            <w:r>
              <w:rPr>
                <w:rFonts w:hint="eastAsia" w:hAnsi="宋体"/>
                <w:color w:val="auto"/>
                <w:sz w:val="21"/>
                <w:szCs w:val="21"/>
                <w:lang w:val="en-US" w:eastAsia="zh-CN"/>
              </w:rPr>
              <w:t>.....</w:t>
            </w:r>
          </w:p>
        </w:tc>
        <w:tc>
          <w:tcPr>
            <w:tcW w:w="382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r>
              <w:rPr>
                <w:rFonts w:hint="eastAsia" w:hAnsi="宋体"/>
                <w:color w:val="auto"/>
                <w:sz w:val="21"/>
                <w:szCs w:val="21"/>
                <w:lang w:val="en-US" w:eastAsia="zh-CN"/>
              </w:rPr>
              <w:t>..........</w:t>
            </w:r>
          </w:p>
        </w:tc>
        <w:tc>
          <w:tcPr>
            <w:tcW w:w="2907" w:type="dxa"/>
            <w:tcBorders>
              <w:top w:val="single" w:color="auto" w:sz="4" w:space="0"/>
              <w:left w:val="single" w:color="auto" w:sz="4" w:space="0"/>
              <w:bottom w:val="single" w:color="auto" w:sz="4" w:space="0"/>
              <w:right w:val="single" w:color="auto" w:sz="4" w:space="0"/>
            </w:tcBorders>
            <w:noWrap w:val="0"/>
            <w:vAlign w:val="top"/>
          </w:tcPr>
          <w:p>
            <w:pPr>
              <w:pStyle w:val="25"/>
              <w:snapToGrid w:val="0"/>
              <w:spacing w:before="295" w:beforeLines="0" w:after="295" w:afterLines="0" w:line="360" w:lineRule="auto"/>
              <w:jc w:val="center"/>
              <w:outlineLvl w:val="0"/>
              <w:rPr>
                <w:rFonts w:hAnsi="宋体"/>
                <w:color w:val="auto"/>
                <w:sz w:val="21"/>
                <w:szCs w:val="21"/>
                <w:lang w:val="en-US" w:eastAsia="zh-CN"/>
              </w:rPr>
            </w:pPr>
          </w:p>
        </w:tc>
        <w:tc>
          <w:tcPr>
            <w:tcW w:w="16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r>
    </w:tbl>
    <w:p>
      <w:pPr>
        <w:pStyle w:val="18"/>
        <w:spacing w:line="360" w:lineRule="auto"/>
        <w:rPr>
          <w:rFonts w:ascii="宋体" w:eastAsia="宋体"/>
          <w:b w:val="0"/>
          <w:color w:val="auto"/>
          <w:spacing w:val="20"/>
          <w:sz w:val="21"/>
          <w:szCs w:val="21"/>
        </w:rPr>
      </w:pPr>
      <w:r>
        <w:rPr>
          <w:rFonts w:hint="eastAsia" w:ascii="宋体" w:eastAsia="宋体"/>
          <w:b w:val="0"/>
          <w:color w:val="auto"/>
          <w:sz w:val="21"/>
          <w:szCs w:val="21"/>
        </w:rPr>
        <w:t>注：投标人应根据所投产品的技术参数对照采购文件第二章采购需求中“二、采购清单及技术参数”内容要求在“偏离情况”栏注明“正偏离”、“负偏离”或“无偏离”。</w:t>
      </w:r>
    </w:p>
    <w:p>
      <w:pPr>
        <w:snapToGrid w:val="0"/>
        <w:spacing w:before="50" w:after="50" w:line="360" w:lineRule="auto"/>
        <w:rPr>
          <w:rFonts w:ascii="宋体" w:hAnsi="宋体"/>
          <w:color w:val="auto"/>
          <w:spacing w:val="20"/>
          <w:szCs w:val="21"/>
          <w:u w:val="single"/>
        </w:rPr>
      </w:pPr>
      <w:r>
        <w:rPr>
          <w:rFonts w:hint="eastAsia" w:ascii="宋体" w:hAnsi="宋体"/>
          <w:color w:val="auto"/>
          <w:spacing w:val="20"/>
          <w:szCs w:val="21"/>
        </w:rPr>
        <w:t>授权代表签名：</w:t>
      </w:r>
      <w:r>
        <w:rPr>
          <w:rFonts w:ascii="宋体" w:hAnsi="宋体"/>
          <w:color w:val="auto"/>
          <w:spacing w:val="20"/>
          <w:szCs w:val="21"/>
          <w:u w:val="single"/>
        </w:rPr>
        <w:t xml:space="preserve">        </w:t>
      </w:r>
    </w:p>
    <w:p>
      <w:pPr>
        <w:snapToGrid w:val="0"/>
        <w:spacing w:before="50" w:after="50" w:line="360" w:lineRule="auto"/>
        <w:rPr>
          <w:rFonts w:ascii="宋体" w:hAnsi="宋体"/>
          <w:color w:val="auto"/>
          <w:szCs w:val="21"/>
        </w:rPr>
      </w:pPr>
      <w:r>
        <w:rPr>
          <w:rFonts w:hint="eastAsia" w:ascii="宋体" w:hAnsi="宋体"/>
          <w:color w:val="auto"/>
          <w:spacing w:val="20"/>
          <w:szCs w:val="21"/>
        </w:rPr>
        <w:t>投标人盖章：</w:t>
      </w:r>
      <w:r>
        <w:rPr>
          <w:rFonts w:ascii="宋体" w:hAnsi="宋体"/>
          <w:color w:val="auto"/>
          <w:spacing w:val="20"/>
          <w:szCs w:val="21"/>
        </w:rPr>
        <w:t xml:space="preserve">                          </w:t>
      </w:r>
      <w:r>
        <w:rPr>
          <w:rFonts w:hint="eastAsia" w:ascii="宋体" w:hAnsi="宋体"/>
          <w:color w:val="auto"/>
          <w:spacing w:val="20"/>
          <w:szCs w:val="21"/>
        </w:rPr>
        <w:t>日 期：</w:t>
      </w:r>
      <w:r>
        <w:rPr>
          <w:rFonts w:ascii="宋体" w:hAnsi="宋体"/>
          <w:color w:val="auto"/>
          <w:spacing w:val="20"/>
          <w:szCs w:val="21"/>
          <w:u w:val="single"/>
        </w:rPr>
        <w:t xml:space="preserve">            </w:t>
      </w:r>
    </w:p>
    <w:p>
      <w:pPr>
        <w:snapToGrid w:val="0"/>
        <w:spacing w:before="50" w:after="120" w:afterLines="50" w:line="360" w:lineRule="auto"/>
        <w:jc w:val="left"/>
        <w:rPr>
          <w:rFonts w:hint="eastAsia" w:ascii="宋体" w:hAnsi="宋体"/>
          <w:color w:val="auto"/>
          <w:szCs w:val="21"/>
        </w:rPr>
      </w:pPr>
      <w:r>
        <w:rPr>
          <w:rFonts w:hint="eastAsia" w:ascii="宋体" w:hAnsi="宋体"/>
          <w:color w:val="auto"/>
          <w:szCs w:val="21"/>
        </w:rPr>
        <w:t>②根据采购文件第四章评标办法及评分标准中的内容、要求提供的技术文件：</w:t>
      </w:r>
    </w:p>
    <w:p>
      <w:pPr>
        <w:tabs>
          <w:tab w:val="left" w:pos="420"/>
        </w:tabs>
        <w:adjustRightInd w:val="0"/>
        <w:snapToGrid w:val="0"/>
        <w:spacing w:line="360" w:lineRule="auto"/>
        <w:rPr>
          <w:rFonts w:hint="eastAsia" w:ascii="宋体" w:hAnsi="宋体"/>
          <w:color w:val="auto"/>
          <w:szCs w:val="21"/>
        </w:rPr>
      </w:pPr>
      <w:r>
        <w:rPr>
          <w:rFonts w:hint="eastAsia" w:ascii="宋体" w:hAnsi="宋体"/>
          <w:color w:val="auto"/>
          <w:szCs w:val="21"/>
        </w:rPr>
        <w:t>1）按按演示要求进行演示；</w:t>
      </w:r>
    </w:p>
    <w:p>
      <w:pPr>
        <w:tabs>
          <w:tab w:val="left" w:pos="420"/>
        </w:tabs>
        <w:adjustRightInd w:val="0"/>
        <w:snapToGrid w:val="0"/>
        <w:spacing w:line="360" w:lineRule="auto"/>
        <w:rPr>
          <w:rFonts w:hint="eastAsia" w:ascii="宋体" w:hAnsi="宋体"/>
          <w:color w:val="auto"/>
          <w:szCs w:val="21"/>
        </w:rPr>
      </w:pPr>
      <w:r>
        <w:rPr>
          <w:rFonts w:hint="eastAsia" w:ascii="宋体" w:hAnsi="宋体"/>
          <w:color w:val="auto"/>
          <w:szCs w:val="21"/>
        </w:rPr>
        <w:t>2）所投设备先进性的描述及相关证明资料；</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p>
      <w:pPr>
        <w:tabs>
          <w:tab w:val="left" w:pos="420"/>
        </w:tabs>
        <w:adjustRightInd w:val="0"/>
        <w:snapToGrid w:val="0"/>
        <w:spacing w:line="360" w:lineRule="auto"/>
        <w:rPr>
          <w:rFonts w:hint="eastAsia" w:ascii="宋体" w:hAnsi="宋体"/>
          <w:color w:val="auto"/>
          <w:szCs w:val="21"/>
        </w:rPr>
      </w:pPr>
      <w:r>
        <w:rPr>
          <w:rFonts w:hint="eastAsia" w:ascii="宋体" w:hAnsi="宋体"/>
          <w:color w:val="auto"/>
          <w:szCs w:val="21"/>
        </w:rPr>
        <w:t>3）所投设备稳定性的描述及相关证明资料；</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p>
      <w:pPr>
        <w:tabs>
          <w:tab w:val="left" w:pos="420"/>
        </w:tabs>
        <w:adjustRightInd w:val="0"/>
        <w:snapToGrid w:val="0"/>
        <w:spacing w:line="360" w:lineRule="auto"/>
        <w:rPr>
          <w:rFonts w:ascii="宋体" w:hAnsi="宋体"/>
          <w:color w:val="auto"/>
          <w:szCs w:val="21"/>
        </w:rPr>
      </w:pPr>
      <w:r>
        <w:rPr>
          <w:rFonts w:hint="eastAsia" w:ascii="宋体" w:hAnsi="宋体"/>
          <w:color w:val="auto"/>
          <w:szCs w:val="21"/>
        </w:rPr>
        <w:t>4）所投产品认可度的描述及证明资料；</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p>
      <w:pPr>
        <w:tabs>
          <w:tab w:val="left" w:pos="315"/>
        </w:tabs>
        <w:adjustRightInd w:val="0"/>
        <w:snapToGrid w:val="0"/>
        <w:spacing w:line="360" w:lineRule="auto"/>
        <w:jc w:val="left"/>
        <w:rPr>
          <w:rFonts w:ascii="宋体" w:hAnsi="宋体"/>
          <w:color w:val="auto"/>
          <w:szCs w:val="21"/>
        </w:rPr>
      </w:pPr>
      <w:r>
        <w:rPr>
          <w:rFonts w:hint="eastAsia" w:ascii="宋体" w:hAnsi="宋体"/>
          <w:color w:val="auto"/>
          <w:szCs w:val="21"/>
        </w:rPr>
        <w:t>5）针对本项目的实施方案，包括施工计划、质量管控、测试及验收方案等；</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p>
      <w:pPr>
        <w:tabs>
          <w:tab w:val="left" w:pos="315"/>
        </w:tabs>
        <w:adjustRightInd w:val="0"/>
        <w:snapToGrid w:val="0"/>
        <w:spacing w:line="360" w:lineRule="auto"/>
        <w:jc w:val="left"/>
        <w:rPr>
          <w:rFonts w:ascii="宋体" w:hAnsi="宋体"/>
          <w:color w:val="auto"/>
          <w:szCs w:val="21"/>
        </w:rPr>
      </w:pPr>
      <w:r>
        <w:rPr>
          <w:rFonts w:hint="eastAsia" w:ascii="宋体" w:hAnsi="宋体"/>
          <w:color w:val="auto"/>
          <w:szCs w:val="21"/>
        </w:rPr>
        <w:t>6）针对本项目的质保期承诺；</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p>
      <w:pPr>
        <w:tabs>
          <w:tab w:val="left" w:pos="315"/>
        </w:tabs>
        <w:adjustRightInd w:val="0"/>
        <w:snapToGrid w:val="0"/>
        <w:spacing w:line="360" w:lineRule="auto"/>
        <w:jc w:val="left"/>
        <w:rPr>
          <w:rFonts w:ascii="宋体" w:hAnsi="宋体"/>
          <w:color w:val="auto"/>
          <w:szCs w:val="21"/>
        </w:rPr>
      </w:pPr>
      <w:r>
        <w:rPr>
          <w:rFonts w:hint="eastAsia" w:ascii="宋体" w:hAnsi="宋体"/>
          <w:color w:val="auto"/>
          <w:szCs w:val="21"/>
        </w:rPr>
        <w:t>7）针对本项目服务响应能力的描述及相关证明资料；</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p>
      <w:pPr>
        <w:tabs>
          <w:tab w:val="left" w:pos="315"/>
        </w:tabs>
        <w:adjustRightInd w:val="0"/>
        <w:snapToGrid w:val="0"/>
        <w:spacing w:line="360" w:lineRule="auto"/>
        <w:jc w:val="left"/>
        <w:rPr>
          <w:rFonts w:ascii="宋体" w:hAnsi="宋体"/>
          <w:color w:val="auto"/>
          <w:szCs w:val="21"/>
        </w:rPr>
      </w:pPr>
      <w:r>
        <w:rPr>
          <w:rFonts w:hint="eastAsia" w:ascii="宋体" w:hAnsi="宋体"/>
          <w:color w:val="auto"/>
          <w:szCs w:val="21"/>
        </w:rPr>
        <w:t>8）售后服务承诺、培训方案及培训承诺；</w:t>
      </w:r>
      <w:r>
        <w:rPr>
          <w:rFonts w:ascii="宋体" w:hAnsi="宋体"/>
          <w:color w:val="auto"/>
          <w:szCs w:val="21"/>
        </w:rPr>
        <w:t>（格式</w:t>
      </w:r>
      <w:r>
        <w:rPr>
          <w:rFonts w:hint="eastAsia" w:ascii="宋体" w:hAnsi="宋体"/>
          <w:color w:val="auto"/>
          <w:szCs w:val="21"/>
        </w:rPr>
        <w:t>自拟</w:t>
      </w:r>
      <w:r>
        <w:rPr>
          <w:rFonts w:ascii="宋体" w:hAnsi="宋体"/>
          <w:color w:val="auto"/>
          <w:szCs w:val="21"/>
        </w:rPr>
        <w:t>）</w:t>
      </w:r>
    </w:p>
    <w:p>
      <w:pPr>
        <w:snapToGrid w:val="0"/>
        <w:spacing w:line="360" w:lineRule="auto"/>
        <w:jc w:val="left"/>
        <w:rPr>
          <w:rFonts w:hint="eastAsia"/>
          <w:color w:val="auto"/>
        </w:rPr>
      </w:pPr>
      <w:r>
        <w:rPr>
          <w:rFonts w:hint="eastAsia" w:ascii="宋体" w:hAnsi="宋体"/>
          <w:color w:val="auto"/>
          <w:szCs w:val="21"/>
        </w:rPr>
        <w:t>③</w:t>
      </w:r>
      <w:r>
        <w:rPr>
          <w:rFonts w:ascii="宋体" w:hAnsi="宋体"/>
          <w:color w:val="auto"/>
          <w:szCs w:val="21"/>
        </w:rPr>
        <w:t>投标人认为需要提供的其它技术资料</w:t>
      </w:r>
      <w:r>
        <w:rPr>
          <w:rFonts w:hint="eastAsia" w:ascii="宋体" w:hAnsi="宋体"/>
          <w:color w:val="auto"/>
          <w:szCs w:val="21"/>
        </w:rPr>
        <w:t>。</w:t>
      </w:r>
      <w:r>
        <w:rPr>
          <w:rFonts w:hint="eastAsia"/>
          <w:color w:val="auto"/>
          <w:szCs w:val="21"/>
        </w:rPr>
        <w:t>（格式自拟）</w:t>
      </w:r>
    </w:p>
    <w:p>
      <w:pPr>
        <w:snapToGrid w:val="0"/>
        <w:spacing w:line="360" w:lineRule="auto"/>
        <w:jc w:val="left"/>
        <w:rPr>
          <w:rFonts w:hint="eastAsia" w:ascii="宋体" w:hAnsi="宋体"/>
          <w:color w:val="auto"/>
          <w:szCs w:val="21"/>
        </w:rPr>
      </w:pPr>
      <w:r>
        <w:rPr>
          <w:rFonts w:hint="eastAsia" w:ascii="宋体" w:hAnsi="宋体"/>
          <w:color w:val="auto"/>
          <w:szCs w:val="21"/>
        </w:rPr>
        <w:t>④响应地方政策的承诺文件。（格式见第六章投标文件格式内容）</w:t>
      </w:r>
    </w:p>
    <w:p>
      <w:pPr>
        <w:pStyle w:val="25"/>
        <w:snapToGrid w:val="0"/>
        <w:spacing w:before="295" w:beforeLines="0" w:after="295" w:afterLines="0" w:line="360" w:lineRule="auto"/>
        <w:rPr>
          <w:rFonts w:hint="eastAsia"/>
          <w:color w:val="auto"/>
          <w:sz w:val="21"/>
          <w:szCs w:val="21"/>
        </w:rPr>
      </w:pPr>
      <w:r>
        <w:rPr>
          <w:rFonts w:hint="eastAsia"/>
          <w:color w:val="auto"/>
          <w:sz w:val="21"/>
          <w:szCs w:val="21"/>
        </w:rPr>
        <w:t>附件一</w:t>
      </w:r>
    </w:p>
    <w:p>
      <w:pPr>
        <w:pStyle w:val="44"/>
        <w:spacing w:line="360" w:lineRule="auto"/>
        <w:jc w:val="center"/>
        <w:rPr>
          <w:color w:val="auto"/>
          <w:sz w:val="21"/>
          <w:szCs w:val="21"/>
        </w:rPr>
      </w:pPr>
      <w:r>
        <w:rPr>
          <w:rFonts w:hint="eastAsia"/>
          <w:bCs/>
          <w:color w:val="auto"/>
          <w:kern w:val="2"/>
          <w:sz w:val="21"/>
          <w:szCs w:val="21"/>
        </w:rPr>
        <w:t>加强政府采购售后服务、质量管理须知</w:t>
      </w:r>
    </w:p>
    <w:p>
      <w:pPr>
        <w:pStyle w:val="44"/>
        <w:adjustRightInd w:val="0"/>
        <w:snapToGrid w:val="0"/>
        <w:spacing w:before="0" w:beforeAutospacing="0" w:after="0" w:afterAutospacing="0" w:line="360" w:lineRule="auto"/>
        <w:ind w:firstLine="420" w:firstLineChars="200"/>
        <w:rPr>
          <w:rFonts w:hint="eastAsia" w:ascii="Verdana" w:hAnsi="Verdana"/>
          <w:color w:val="auto"/>
          <w:sz w:val="21"/>
          <w:szCs w:val="21"/>
        </w:rPr>
      </w:pPr>
      <w:r>
        <w:rPr>
          <w:rFonts w:hint="eastAsia" w:ascii="Verdana" w:hAnsi="Verdana"/>
          <w:color w:val="auto"/>
          <w:sz w:val="21"/>
          <w:szCs w:val="21"/>
        </w:rPr>
        <w:t>采购文件就有关政府采购合同履行、质量及服务事项告知如下：</w:t>
      </w:r>
    </w:p>
    <w:p>
      <w:pPr>
        <w:pStyle w:val="44"/>
        <w:adjustRightInd w:val="0"/>
        <w:snapToGrid w:val="0"/>
        <w:spacing w:before="0" w:beforeAutospacing="0" w:after="0" w:afterAutospacing="0" w:line="360" w:lineRule="auto"/>
        <w:ind w:firstLine="420" w:firstLineChars="200"/>
        <w:rPr>
          <w:rFonts w:hint="eastAsia" w:ascii="Verdana" w:hAnsi="Verdana"/>
          <w:color w:val="auto"/>
          <w:sz w:val="21"/>
          <w:szCs w:val="21"/>
        </w:rPr>
      </w:pPr>
      <w:r>
        <w:rPr>
          <w:rFonts w:hint="eastAsia" w:ascii="Verdana" w:hAnsi="Verdana"/>
          <w:color w:val="auto"/>
          <w:sz w:val="21"/>
          <w:szCs w:val="21"/>
        </w:rPr>
        <w:t>一、 政府采购售后服务联系须知</w:t>
      </w:r>
      <w:r>
        <w:rPr>
          <w:rFonts w:hint="eastAsia" w:ascii="Verdana" w:hAnsi="Verdana"/>
          <w:color w:val="auto"/>
          <w:sz w:val="21"/>
          <w:szCs w:val="21"/>
        </w:rPr>
        <w:br w:type="textWrapping"/>
      </w:r>
      <w:r>
        <w:rPr>
          <w:rFonts w:hint="eastAsia" w:ascii="Verdana" w:hAnsi="Verdana"/>
          <w:color w:val="auto"/>
          <w:sz w:val="21"/>
          <w:szCs w:val="21"/>
        </w:rPr>
        <w:t xml:space="preserve">    《鄞州区政府采购售后服务联系单》由鄞州区财政局采购办按统一格式制作，中标或成交供应商向招标机构领取、填写并粘贴在设备醒目位置（不适合粘贴的除外），工程和服务项目由采购单位和供应商协商解决，保证采购单位在遇到售后服务问题时能及时便利与供应商联系。</w:t>
      </w:r>
    </w:p>
    <w:p>
      <w:pPr>
        <w:pStyle w:val="44"/>
        <w:adjustRightInd w:val="0"/>
        <w:snapToGrid w:val="0"/>
        <w:spacing w:before="0" w:beforeAutospacing="0" w:after="0" w:afterAutospacing="0" w:line="360" w:lineRule="auto"/>
        <w:ind w:firstLine="420" w:firstLineChars="200"/>
        <w:rPr>
          <w:rFonts w:hint="eastAsia" w:ascii="Verdana" w:hAnsi="Verdana"/>
          <w:color w:val="auto"/>
          <w:sz w:val="21"/>
          <w:szCs w:val="21"/>
        </w:rPr>
      </w:pPr>
      <w:r>
        <w:rPr>
          <w:rFonts w:hint="eastAsia" w:ascii="Verdana" w:hAnsi="Verdana"/>
          <w:color w:val="auto"/>
          <w:sz w:val="21"/>
          <w:szCs w:val="21"/>
        </w:rPr>
        <w:t xml:space="preserve">二、政府采购质量跟踪和检查须知   </w:t>
      </w:r>
    </w:p>
    <w:p>
      <w:pPr>
        <w:pStyle w:val="44"/>
        <w:adjustRightInd w:val="0"/>
        <w:snapToGrid w:val="0"/>
        <w:spacing w:before="0" w:beforeAutospacing="0" w:after="0" w:afterAutospacing="0" w:line="360" w:lineRule="auto"/>
        <w:ind w:firstLine="420" w:firstLineChars="200"/>
        <w:rPr>
          <w:rFonts w:hint="eastAsia" w:ascii="Verdana" w:hAnsi="Verdana"/>
          <w:color w:val="auto"/>
          <w:sz w:val="21"/>
          <w:szCs w:val="21"/>
        </w:rPr>
      </w:pPr>
      <w:r>
        <w:rPr>
          <w:rFonts w:hint="eastAsia" w:ascii="Verdana" w:hAnsi="Verdana"/>
          <w:color w:val="auto"/>
          <w:sz w:val="21"/>
          <w:szCs w:val="21"/>
        </w:rPr>
        <w:t>鄞州区财政局采购办将根据不定期检查的情况或采购单位填写的《鄞州区政府采购质量、服务存在问题反馈表》的反馈情况，聘请质量监督部门、政府采购专家和有关单位鉴定供货（服务）质量，检查是否符合和满足采购文件的要求和配置，有否存在以次充好、弄虚作假、售后服务工作不到位、不负责任或故意推诿、拖延等情节。供应商应自觉接受并积极配合政府采购产品质量监督检查，如实反映情况。</w:t>
      </w:r>
      <w:r>
        <w:rPr>
          <w:rFonts w:hint="eastAsia" w:ascii="Verdana" w:hAnsi="Verdana"/>
          <w:color w:val="auto"/>
          <w:sz w:val="21"/>
          <w:szCs w:val="21"/>
        </w:rPr>
        <w:br w:type="textWrapping"/>
      </w:r>
      <w:r>
        <w:rPr>
          <w:rFonts w:hint="eastAsia" w:ascii="Verdana" w:hAnsi="Verdana"/>
          <w:color w:val="auto"/>
          <w:sz w:val="21"/>
          <w:szCs w:val="21"/>
        </w:rPr>
        <w:t xml:space="preserve">    三、供应商监督管理须知</w:t>
      </w:r>
      <w:r>
        <w:rPr>
          <w:rFonts w:hint="eastAsia" w:ascii="Verdana" w:hAnsi="Verdana"/>
          <w:color w:val="auto"/>
          <w:sz w:val="21"/>
          <w:szCs w:val="21"/>
        </w:rPr>
        <w:br w:type="textWrapping"/>
      </w:r>
      <w:r>
        <w:rPr>
          <w:rFonts w:hint="eastAsia" w:ascii="Verdana" w:hAnsi="Verdana"/>
          <w:color w:val="auto"/>
          <w:sz w:val="21"/>
          <w:szCs w:val="21"/>
        </w:rPr>
        <w:t xml:space="preserve">   1.对不按规定在政府采购货物上粘贴售后服务联系单（不适合粘贴的除外）的供应商，第一次发现的由监管部门予以书面警告并责令改正；第二次发现的作为该供应商下次参加投标时的评分依据之一；</w:t>
      </w:r>
    </w:p>
    <w:p>
      <w:pPr>
        <w:pStyle w:val="44"/>
        <w:spacing w:before="0" w:beforeAutospacing="0" w:after="0" w:afterAutospacing="0" w:line="360" w:lineRule="auto"/>
        <w:ind w:firstLine="420" w:firstLineChars="200"/>
        <w:rPr>
          <w:rFonts w:hint="eastAsia"/>
          <w:color w:val="auto"/>
          <w:sz w:val="21"/>
          <w:szCs w:val="21"/>
        </w:rPr>
      </w:pPr>
      <w:r>
        <w:rPr>
          <w:rFonts w:hint="eastAsia" w:ascii="Verdana" w:hAnsi="Verdana"/>
          <w:color w:val="auto"/>
          <w:sz w:val="21"/>
          <w:szCs w:val="21"/>
        </w:rPr>
        <w:t>2.对不按采购文件、投标承诺及政府采购合同要求供货，偷工减料或降低供货质量的供应商，一经查实，即列入不良行为记录名单，第一次发现且合同额在人民币150万元以下的在一年内禁止参加鄞州区政府采购活动；第一次发现且合同额在人民币150万元（含）以上的在两年内禁止参加鄞州区政府采购活动；第二次发现且合同额在人民币150万元以下的在两年内禁止参加鄞州区政府采购活动；第二次发现且合同额在人民币150万元（含）以上的在三年内禁止参加鄞州区政府采购活动。拒不改正的除由采购单位按有关法规要求供应商按采购文件、投标承诺及政府采购合同要求供货外，将无限期禁止参加鄞州区政府采购活动。</w:t>
      </w:r>
    </w:p>
    <w:p>
      <w:pPr>
        <w:pStyle w:val="44"/>
        <w:spacing w:before="0" w:beforeAutospacing="0" w:after="0" w:afterAutospacing="0" w:line="360" w:lineRule="auto"/>
        <w:ind w:firstLine="420" w:firstLineChars="200"/>
        <w:rPr>
          <w:rFonts w:hint="eastAsia"/>
          <w:color w:val="auto"/>
          <w:sz w:val="21"/>
          <w:szCs w:val="21"/>
        </w:rPr>
      </w:pPr>
      <w:r>
        <w:rPr>
          <w:rFonts w:hint="eastAsia" w:ascii="Verdana" w:hAnsi="Verdana"/>
          <w:color w:val="auto"/>
          <w:sz w:val="21"/>
          <w:szCs w:val="21"/>
        </w:rPr>
        <w:t>3.对不按采购文件、投标承诺及政府采购合同要求向采购单位提供完整的售后服务，对采购单位的工作造成影响的供应商，经查实，第一次发现的由监管部门予以书面警告并责令改正，并作为该供应商下次参加投标时的评分依据之一；第二次发现的即由监管部门列入不良行为记录名单，两年内禁止参加鄞州区政府采购活动。拒不改正的除由采购单位按有关法规要求供应商按采购文件、投标承诺及政府采购合同要求提供完整的售后服务外，将无限期禁止参加鄞州区政府采购活动。</w:t>
      </w:r>
    </w:p>
    <w:p>
      <w:pPr>
        <w:pStyle w:val="44"/>
        <w:spacing w:before="0" w:beforeAutospacing="0" w:after="0" w:afterAutospacing="0" w:line="360" w:lineRule="auto"/>
        <w:ind w:firstLine="420" w:firstLineChars="200"/>
        <w:rPr>
          <w:rFonts w:hint="eastAsia" w:ascii="Verdana" w:hAnsi="Verdana"/>
          <w:color w:val="auto"/>
          <w:sz w:val="21"/>
          <w:szCs w:val="21"/>
        </w:rPr>
      </w:pPr>
      <w:r>
        <w:rPr>
          <w:rFonts w:hint="eastAsia" w:ascii="Verdana" w:hAnsi="Verdana"/>
          <w:color w:val="auto"/>
          <w:sz w:val="21"/>
          <w:szCs w:val="21"/>
        </w:rPr>
        <w:t>4.对不按采购文件、投标承诺及政府采购合同要求供货造成人身、财产损害的，应当承担民事赔偿责任；构成犯罪的，移送司法部门依法追究其刑事责任。</w:t>
      </w:r>
      <w:r>
        <w:rPr>
          <w:rFonts w:hint="eastAsia" w:ascii="Verdana" w:hAnsi="Verdana"/>
          <w:color w:val="auto"/>
          <w:sz w:val="21"/>
          <w:szCs w:val="21"/>
        </w:rPr>
        <w:br w:type="textWrapping"/>
      </w:r>
    </w:p>
    <w:p>
      <w:pPr>
        <w:pStyle w:val="44"/>
        <w:spacing w:before="0" w:beforeAutospacing="0" w:after="0" w:afterAutospacing="0" w:line="360" w:lineRule="auto"/>
        <w:ind w:firstLine="420" w:firstLineChars="200"/>
        <w:rPr>
          <w:rFonts w:hint="eastAsia" w:ascii="Verdana" w:hAnsi="Verdana"/>
          <w:color w:val="auto"/>
          <w:sz w:val="21"/>
          <w:szCs w:val="21"/>
        </w:rPr>
      </w:pPr>
      <w:r>
        <w:rPr>
          <w:rFonts w:hint="eastAsia" w:ascii="Verdana" w:hAnsi="Verdana"/>
          <w:color w:val="auto"/>
          <w:sz w:val="21"/>
          <w:szCs w:val="21"/>
        </w:rPr>
        <w:br w:type="textWrapping"/>
      </w:r>
      <w:r>
        <w:rPr>
          <w:rFonts w:hint="eastAsia" w:ascii="Verdana" w:hAnsi="Verdana"/>
          <w:color w:val="auto"/>
          <w:sz w:val="21"/>
          <w:szCs w:val="21"/>
        </w:rPr>
        <w:t>附件二</w:t>
      </w:r>
    </w:p>
    <w:p>
      <w:pPr>
        <w:pStyle w:val="44"/>
        <w:spacing w:line="360" w:lineRule="auto"/>
        <w:jc w:val="center"/>
        <w:rPr>
          <w:rFonts w:hint="eastAsia" w:ascii="Verdana" w:hAnsi="Verdana"/>
          <w:color w:val="auto"/>
          <w:sz w:val="21"/>
          <w:szCs w:val="21"/>
        </w:rPr>
      </w:pPr>
      <w:r>
        <w:rPr>
          <w:rFonts w:hint="eastAsia"/>
          <w:bCs/>
          <w:color w:val="auto"/>
          <w:kern w:val="2"/>
          <w:sz w:val="21"/>
          <w:szCs w:val="21"/>
        </w:rPr>
        <w:t>特 别 告 知 函</w:t>
      </w:r>
    </w:p>
    <w:p>
      <w:pPr>
        <w:pStyle w:val="44"/>
        <w:adjustRightInd w:val="0"/>
        <w:snapToGrid w:val="0"/>
        <w:spacing w:before="0" w:beforeAutospacing="0" w:after="0" w:afterAutospacing="0" w:line="360" w:lineRule="auto"/>
        <w:ind w:firstLine="420" w:firstLineChars="200"/>
        <w:rPr>
          <w:rFonts w:hint="eastAsia" w:ascii="Verdana" w:hAnsi="Verdana"/>
          <w:color w:val="auto"/>
          <w:sz w:val="21"/>
          <w:szCs w:val="21"/>
        </w:rPr>
      </w:pPr>
      <w:r>
        <w:rPr>
          <w:rFonts w:hint="eastAsia" w:ascii="Verdana" w:hAnsi="Verdana"/>
          <w:color w:val="auto"/>
          <w:sz w:val="21"/>
          <w:szCs w:val="21"/>
        </w:rPr>
        <w:t>各投标商：</w:t>
      </w:r>
    </w:p>
    <w:p>
      <w:pPr>
        <w:pStyle w:val="44"/>
        <w:adjustRightInd w:val="0"/>
        <w:snapToGrid w:val="0"/>
        <w:spacing w:before="0" w:beforeAutospacing="0" w:after="0" w:afterAutospacing="0" w:line="360" w:lineRule="auto"/>
        <w:ind w:left="359" w:leftChars="171" w:firstLine="525" w:firstLineChars="250"/>
        <w:rPr>
          <w:rFonts w:hint="eastAsia" w:ascii="Verdana" w:hAnsi="Verdana"/>
          <w:color w:val="auto"/>
          <w:sz w:val="21"/>
          <w:szCs w:val="21"/>
        </w:rPr>
      </w:pPr>
      <w:r>
        <w:rPr>
          <w:rFonts w:hint="eastAsia" w:ascii="Verdana" w:hAnsi="Verdana"/>
          <w:color w:val="auto"/>
          <w:sz w:val="21"/>
          <w:szCs w:val="21"/>
        </w:rPr>
        <w:t>根据《关于进一步加强政府采购检测验收工作的意见》（鄞财［2009］1号）文件精神和国家、省有关部门等相关规定，我区自2009年6月开始对单项预算10万元以上货物类采购项目统一由区质量技术监督检测中心进行验收（标准额以下的货物类采购个别项目也视情况实行），来进一步规范加强政府采购的供货验收文件。</w:t>
      </w:r>
    </w:p>
    <w:p>
      <w:pPr>
        <w:pStyle w:val="44"/>
        <w:adjustRightInd w:val="0"/>
        <w:snapToGrid w:val="0"/>
        <w:spacing w:before="0" w:beforeAutospacing="0" w:after="0" w:afterAutospacing="0" w:line="360" w:lineRule="auto"/>
        <w:ind w:left="359" w:leftChars="171" w:firstLine="105" w:firstLineChars="50"/>
        <w:rPr>
          <w:rFonts w:hint="eastAsia" w:ascii="Verdana" w:hAnsi="Verdana"/>
          <w:color w:val="auto"/>
          <w:sz w:val="21"/>
          <w:szCs w:val="21"/>
        </w:rPr>
      </w:pPr>
      <w:r>
        <w:rPr>
          <w:rFonts w:hint="eastAsia" w:ascii="Verdana" w:hAnsi="Verdana"/>
          <w:color w:val="auto"/>
          <w:sz w:val="21"/>
          <w:szCs w:val="21"/>
        </w:rPr>
        <w:t xml:space="preserve">   对验收中发现不按采购文件、投标承诺及政府采购合同要求供货的供应商，将给予列入不良行为记录名单和1至3年内禁止参加鄞州区政府采购活动的处罚，拒不改正的除按有关法规处理外，将无限期禁止其参加鄞州区政府采购活动，同时将处罚结果上网进行公示。</w:t>
      </w:r>
    </w:p>
    <w:p>
      <w:pPr>
        <w:pStyle w:val="44"/>
        <w:adjustRightInd w:val="0"/>
        <w:snapToGrid w:val="0"/>
        <w:spacing w:before="0" w:beforeAutospacing="0" w:after="0" w:afterAutospacing="0" w:line="360" w:lineRule="auto"/>
        <w:ind w:left="359" w:leftChars="171" w:firstLine="420" w:firstLineChars="200"/>
        <w:rPr>
          <w:rFonts w:hint="eastAsia" w:ascii="Verdana" w:hAnsi="Verdana"/>
          <w:color w:val="auto"/>
          <w:sz w:val="21"/>
          <w:szCs w:val="21"/>
        </w:rPr>
      </w:pPr>
      <w:r>
        <w:rPr>
          <w:rFonts w:hint="eastAsia"/>
          <w:color w:val="auto"/>
          <w:sz w:val="21"/>
          <w:szCs w:val="21"/>
        </w:rPr>
        <w:t>因此希望各投标商必严格按采购文件要求计算投标价格并保证供货质量，否则将被严肃处理，得不偿失。特此告知。</w:t>
      </w:r>
    </w:p>
    <w:p>
      <w:pPr>
        <w:spacing w:line="360" w:lineRule="auto"/>
        <w:rPr>
          <w:rFonts w:hint="eastAsia"/>
          <w:color w:val="auto"/>
          <w:szCs w:val="21"/>
        </w:rPr>
      </w:pPr>
    </w:p>
    <w:p>
      <w:pPr>
        <w:spacing w:line="360" w:lineRule="auto"/>
        <w:ind w:right="320"/>
        <w:jc w:val="right"/>
        <w:rPr>
          <w:rFonts w:hint="eastAsia" w:ascii="Verdana" w:hAnsi="Verdana"/>
          <w:color w:val="auto"/>
          <w:kern w:val="0"/>
          <w:szCs w:val="21"/>
        </w:rPr>
      </w:pPr>
      <w:r>
        <w:rPr>
          <w:rFonts w:hint="eastAsia" w:ascii="Verdana" w:hAnsi="Verdana"/>
          <w:color w:val="auto"/>
          <w:kern w:val="0"/>
          <w:szCs w:val="21"/>
        </w:rPr>
        <w:t>鄞州区政府采购管理办公室</w:t>
      </w:r>
    </w:p>
    <w:p>
      <w:pPr>
        <w:spacing w:line="360" w:lineRule="auto"/>
        <w:ind w:firstLine="4353" w:firstLineChars="2073"/>
        <w:rPr>
          <w:rFonts w:hint="eastAsia" w:ascii="宋体" w:hAnsi="宋体"/>
          <w:color w:val="auto"/>
          <w:szCs w:val="21"/>
        </w:rPr>
      </w:pPr>
    </w:p>
    <w:p>
      <w:pPr>
        <w:spacing w:line="360" w:lineRule="auto"/>
        <w:ind w:firstLine="4353" w:firstLineChars="2073"/>
        <w:rPr>
          <w:rFonts w:hint="eastAsia" w:ascii="宋体" w:hAnsi="宋体"/>
          <w:color w:val="auto"/>
          <w:szCs w:val="21"/>
        </w:rPr>
      </w:pPr>
    </w:p>
    <w:p>
      <w:pPr>
        <w:spacing w:line="360" w:lineRule="auto"/>
        <w:ind w:firstLine="4353" w:firstLineChars="2073"/>
        <w:rPr>
          <w:rFonts w:hint="eastAsia" w:ascii="宋体" w:hAnsi="宋体"/>
          <w:color w:val="auto"/>
          <w:szCs w:val="21"/>
        </w:rPr>
      </w:pPr>
    </w:p>
    <w:p>
      <w:pPr>
        <w:spacing w:line="360" w:lineRule="auto"/>
        <w:ind w:firstLine="4353" w:firstLineChars="2073"/>
        <w:rPr>
          <w:rFonts w:hint="eastAsia" w:ascii="宋体" w:hAnsi="宋体"/>
          <w:color w:val="auto"/>
          <w:szCs w:val="21"/>
        </w:rPr>
      </w:pPr>
    </w:p>
    <w:p>
      <w:pPr>
        <w:spacing w:line="360" w:lineRule="auto"/>
        <w:ind w:firstLine="4353" w:firstLineChars="2073"/>
        <w:rPr>
          <w:rFonts w:hint="eastAsia" w:ascii="宋体" w:hAnsi="宋体"/>
          <w:color w:val="auto"/>
          <w:szCs w:val="21"/>
        </w:rPr>
      </w:pPr>
    </w:p>
    <w:p>
      <w:pPr>
        <w:spacing w:line="360" w:lineRule="auto"/>
        <w:ind w:firstLine="4353" w:firstLineChars="2073"/>
        <w:rPr>
          <w:rFonts w:hint="eastAsia" w:ascii="宋体" w:hAnsi="宋体"/>
          <w:color w:val="auto"/>
          <w:szCs w:val="21"/>
        </w:rPr>
      </w:pPr>
    </w:p>
    <w:p>
      <w:pPr>
        <w:spacing w:line="360" w:lineRule="auto"/>
        <w:ind w:firstLine="4353" w:firstLineChars="2073"/>
        <w:rPr>
          <w:rFonts w:hint="eastAsia" w:ascii="宋体" w:hAnsi="宋体"/>
          <w:color w:val="auto"/>
          <w:szCs w:val="21"/>
        </w:rPr>
      </w:pPr>
    </w:p>
    <w:p>
      <w:pPr>
        <w:spacing w:line="360" w:lineRule="auto"/>
        <w:rPr>
          <w:rFonts w:hint="eastAsia" w:ascii="宋体" w:hAnsi="宋体"/>
          <w:color w:val="auto"/>
          <w:szCs w:val="21"/>
        </w:rPr>
      </w:pPr>
      <w:r>
        <w:rPr>
          <w:rFonts w:hint="eastAsia" w:ascii="宋体" w:hAnsi="宋体"/>
          <w:color w:val="auto"/>
          <w:szCs w:val="21"/>
        </w:rPr>
        <w:t>附件三</w:t>
      </w:r>
    </w:p>
    <w:p>
      <w:pPr>
        <w:spacing w:line="360" w:lineRule="auto"/>
        <w:rPr>
          <w:rFonts w:hint="eastAsia" w:ascii="宋体" w:hAnsi="宋体"/>
          <w:color w:val="auto"/>
          <w:szCs w:val="21"/>
        </w:rPr>
      </w:pPr>
      <w:r>
        <w:rPr>
          <w:rFonts w:hint="eastAsia" w:ascii="宋体" w:hAnsi="宋体"/>
          <w:color w:val="auto"/>
          <w:szCs w:val="21"/>
        </w:rPr>
        <w:t xml:space="preserve">                               </w:t>
      </w:r>
      <w:r>
        <w:rPr>
          <w:rFonts w:hint="eastAsia" w:ascii="宋体"/>
          <w:bCs/>
          <w:color w:val="auto"/>
          <w:szCs w:val="21"/>
        </w:rPr>
        <w:t>投标供应商声明</w:t>
      </w:r>
    </w:p>
    <w:p>
      <w:pPr>
        <w:spacing w:line="360" w:lineRule="auto"/>
        <w:rPr>
          <w:rFonts w:hint="eastAsia"/>
          <w:color w:val="auto"/>
          <w:szCs w:val="21"/>
        </w:rPr>
      </w:pPr>
    </w:p>
    <w:p>
      <w:pPr>
        <w:spacing w:line="360" w:lineRule="auto"/>
        <w:ind w:firstLine="420" w:firstLineChars="200"/>
        <w:rPr>
          <w:rFonts w:hint="eastAsia" w:ascii="Verdana" w:hAnsi="Verdana" w:cs="宋体"/>
          <w:color w:val="auto"/>
          <w:kern w:val="0"/>
          <w:szCs w:val="21"/>
        </w:rPr>
      </w:pPr>
      <w:r>
        <w:rPr>
          <w:rFonts w:hint="eastAsia" w:ascii="Verdana" w:hAnsi="Verdana" w:cs="宋体"/>
          <w:color w:val="auto"/>
          <w:kern w:val="0"/>
          <w:szCs w:val="21"/>
        </w:rPr>
        <w:t>已完全明确采购文件中《</w:t>
      </w:r>
      <w:r>
        <w:rPr>
          <w:rFonts w:hint="eastAsia" w:cs="宋体"/>
          <w:bCs/>
          <w:color w:val="auto"/>
          <w:kern w:val="0"/>
          <w:szCs w:val="21"/>
        </w:rPr>
        <w:t>加强政府采购售后服务、质量管理须知》和《特别告知函》</w:t>
      </w:r>
      <w:r>
        <w:rPr>
          <w:rFonts w:hint="eastAsia" w:ascii="Verdana" w:hAnsi="Verdana" w:cs="宋体"/>
          <w:color w:val="auto"/>
          <w:kern w:val="0"/>
          <w:szCs w:val="21"/>
        </w:rPr>
        <w:t>告知的全部内容，保证按采购文件、投标承诺及政府采购合同要求履行；并在本投标人违反采购文件、投标承诺及政府采购合同时愿意按告知内容接受处罚。</w:t>
      </w:r>
    </w:p>
    <w:p>
      <w:pPr>
        <w:spacing w:line="360" w:lineRule="auto"/>
        <w:ind w:firstLine="420" w:firstLineChars="200"/>
        <w:rPr>
          <w:rFonts w:hint="eastAsia" w:ascii="Verdana" w:hAnsi="Verdana" w:cs="宋体"/>
          <w:color w:val="auto"/>
          <w:kern w:val="0"/>
          <w:szCs w:val="21"/>
        </w:rPr>
      </w:pPr>
    </w:p>
    <w:p>
      <w:pPr>
        <w:spacing w:line="360" w:lineRule="auto"/>
        <w:ind w:firstLine="420" w:firstLineChars="200"/>
        <w:rPr>
          <w:rFonts w:hint="eastAsia" w:ascii="Verdana" w:hAnsi="Verdana" w:cs="宋体"/>
          <w:color w:val="auto"/>
          <w:kern w:val="0"/>
          <w:szCs w:val="21"/>
        </w:rPr>
      </w:pPr>
    </w:p>
    <w:p>
      <w:pPr>
        <w:spacing w:line="360" w:lineRule="auto"/>
        <w:ind w:firstLine="420" w:firstLineChars="200"/>
        <w:rPr>
          <w:rFonts w:hint="eastAsia" w:ascii="Verdana" w:hAnsi="Verdana" w:cs="宋体"/>
          <w:color w:val="auto"/>
          <w:kern w:val="0"/>
          <w:szCs w:val="21"/>
        </w:rPr>
      </w:pPr>
      <w:r>
        <w:rPr>
          <w:rFonts w:hint="eastAsia" w:ascii="Verdana" w:hAnsi="Verdana" w:cs="宋体"/>
          <w:color w:val="auto"/>
          <w:kern w:val="0"/>
          <w:szCs w:val="21"/>
        </w:rPr>
        <w:t xml:space="preserve">                                        投标供应商(盖章)</w:t>
      </w:r>
    </w:p>
    <w:p>
      <w:pPr>
        <w:spacing w:line="360" w:lineRule="auto"/>
        <w:ind w:firstLine="420" w:firstLineChars="200"/>
        <w:rPr>
          <w:rFonts w:hint="eastAsia" w:ascii="Verdana" w:hAnsi="Verdana" w:cs="宋体"/>
          <w:color w:val="auto"/>
          <w:kern w:val="0"/>
          <w:szCs w:val="21"/>
        </w:rPr>
      </w:pPr>
    </w:p>
    <w:p>
      <w:pPr>
        <w:spacing w:line="360" w:lineRule="auto"/>
        <w:ind w:firstLine="420" w:firstLineChars="200"/>
        <w:rPr>
          <w:rFonts w:hint="eastAsia" w:ascii="Verdana" w:hAnsi="Verdana" w:cs="宋体"/>
          <w:color w:val="auto"/>
          <w:kern w:val="0"/>
          <w:szCs w:val="21"/>
        </w:rPr>
      </w:pPr>
      <w:r>
        <w:rPr>
          <w:rFonts w:hint="eastAsia" w:ascii="Verdana" w:hAnsi="Verdana" w:cs="宋体"/>
          <w:color w:val="auto"/>
          <w:kern w:val="0"/>
          <w:szCs w:val="21"/>
        </w:rPr>
        <w:t xml:space="preserve">                                法定代表人或被授权人签字：</w:t>
      </w:r>
    </w:p>
    <w:p>
      <w:pPr>
        <w:spacing w:line="360" w:lineRule="auto"/>
        <w:ind w:firstLine="4935" w:firstLineChars="2350"/>
        <w:rPr>
          <w:rFonts w:hint="eastAsia" w:ascii="Verdana" w:hAnsi="Verdana" w:cs="宋体"/>
          <w:color w:val="auto"/>
          <w:kern w:val="0"/>
          <w:szCs w:val="21"/>
        </w:rPr>
      </w:pPr>
    </w:p>
    <w:p>
      <w:pPr>
        <w:pStyle w:val="20"/>
        <w:spacing w:line="360" w:lineRule="auto"/>
        <w:ind w:firstLine="5754" w:firstLineChars="2849"/>
        <w:rPr>
          <w:rFonts w:hint="eastAsia" w:ascii="Verdana" w:hAnsi="Verdana" w:cs="宋体"/>
          <w:color w:val="auto"/>
          <w:kern w:val="0"/>
          <w:sz w:val="21"/>
          <w:szCs w:val="21"/>
        </w:rPr>
      </w:pPr>
      <w:r>
        <w:rPr>
          <w:rFonts w:hint="eastAsia" w:ascii="Verdana" w:hAnsi="Verdana" w:cs="宋体"/>
          <w:color w:val="auto"/>
          <w:kern w:val="0"/>
          <w:sz w:val="21"/>
          <w:szCs w:val="21"/>
        </w:rPr>
        <w:t>年    月    日</w:t>
      </w:r>
    </w:p>
    <w:p>
      <w:pPr>
        <w:spacing w:line="580" w:lineRule="exact"/>
        <w:rPr>
          <w:rFonts w:hint="eastAsia" w:ascii="宋体"/>
          <w:color w:val="auto"/>
          <w:szCs w:val="21"/>
        </w:rPr>
      </w:pPr>
    </w:p>
    <w:p>
      <w:pPr>
        <w:spacing w:line="580" w:lineRule="exact"/>
        <w:rPr>
          <w:rFonts w:hint="eastAsia" w:ascii="宋体"/>
          <w:color w:val="auto"/>
          <w:szCs w:val="21"/>
        </w:rPr>
      </w:pPr>
    </w:p>
    <w:p>
      <w:pPr>
        <w:spacing w:line="580" w:lineRule="exact"/>
        <w:rPr>
          <w:rFonts w:hint="eastAsia" w:ascii="宋体"/>
          <w:color w:val="auto"/>
          <w:szCs w:val="21"/>
        </w:rPr>
      </w:pPr>
    </w:p>
    <w:p>
      <w:pPr>
        <w:spacing w:line="580" w:lineRule="exact"/>
        <w:rPr>
          <w:rFonts w:hint="eastAsia" w:ascii="宋体"/>
          <w:color w:val="auto"/>
          <w:szCs w:val="21"/>
        </w:rPr>
      </w:pPr>
    </w:p>
    <w:p>
      <w:pPr>
        <w:spacing w:line="580" w:lineRule="exact"/>
        <w:rPr>
          <w:rFonts w:hint="eastAsia" w:ascii="宋体"/>
          <w:color w:val="auto"/>
          <w:szCs w:val="21"/>
        </w:rPr>
      </w:pPr>
    </w:p>
    <w:p>
      <w:pPr>
        <w:spacing w:line="580" w:lineRule="exact"/>
        <w:rPr>
          <w:rFonts w:hint="eastAsia" w:ascii="宋体"/>
          <w:color w:val="auto"/>
          <w:szCs w:val="21"/>
        </w:rPr>
      </w:pPr>
    </w:p>
    <w:p>
      <w:pPr>
        <w:spacing w:line="580" w:lineRule="exact"/>
        <w:rPr>
          <w:rFonts w:hint="eastAsia" w:ascii="宋体"/>
          <w:color w:val="auto"/>
          <w:szCs w:val="21"/>
        </w:rPr>
      </w:pPr>
    </w:p>
    <w:p>
      <w:pPr>
        <w:spacing w:line="580" w:lineRule="exact"/>
        <w:rPr>
          <w:rFonts w:hint="eastAsia" w:ascii="宋体"/>
          <w:color w:val="auto"/>
          <w:szCs w:val="21"/>
        </w:rPr>
      </w:pPr>
    </w:p>
    <w:p>
      <w:pPr>
        <w:spacing w:line="580" w:lineRule="exact"/>
        <w:rPr>
          <w:rFonts w:hint="eastAsia" w:ascii="宋体"/>
          <w:color w:val="auto"/>
          <w:szCs w:val="21"/>
        </w:rPr>
      </w:pPr>
    </w:p>
    <w:p>
      <w:pPr>
        <w:spacing w:line="580" w:lineRule="exact"/>
        <w:rPr>
          <w:rFonts w:hint="eastAsia" w:ascii="宋体"/>
          <w:color w:val="auto"/>
          <w:szCs w:val="21"/>
        </w:rPr>
      </w:pPr>
    </w:p>
    <w:p>
      <w:pPr>
        <w:spacing w:line="580" w:lineRule="exact"/>
        <w:rPr>
          <w:rFonts w:hint="eastAsia" w:ascii="宋体"/>
          <w:color w:val="auto"/>
          <w:szCs w:val="21"/>
        </w:rPr>
      </w:pPr>
    </w:p>
    <w:p>
      <w:pPr>
        <w:spacing w:line="580" w:lineRule="exact"/>
        <w:rPr>
          <w:rFonts w:hint="eastAsia" w:ascii="宋体"/>
          <w:color w:val="auto"/>
          <w:szCs w:val="21"/>
        </w:rPr>
      </w:pPr>
    </w:p>
    <w:p>
      <w:pPr>
        <w:spacing w:line="580" w:lineRule="exact"/>
        <w:rPr>
          <w:rFonts w:hint="eastAsia" w:ascii="宋体"/>
          <w:color w:val="auto"/>
          <w:szCs w:val="21"/>
        </w:rPr>
      </w:pPr>
    </w:p>
    <w:p>
      <w:pPr>
        <w:spacing w:line="580" w:lineRule="exact"/>
        <w:rPr>
          <w:rFonts w:hint="eastAsia" w:ascii="宋体"/>
          <w:color w:val="auto"/>
          <w:szCs w:val="21"/>
        </w:rPr>
      </w:pPr>
    </w:p>
    <w:p>
      <w:pPr>
        <w:spacing w:line="600" w:lineRule="exact"/>
        <w:rPr>
          <w:rFonts w:hint="eastAsia" w:ascii="宋体" w:hAnsi="Courier New"/>
          <w:color w:val="auto"/>
          <w:spacing w:val="-4"/>
          <w:szCs w:val="21"/>
        </w:rPr>
      </w:pPr>
    </w:p>
    <w:p>
      <w:pPr>
        <w:spacing w:line="600" w:lineRule="exact"/>
        <w:rPr>
          <w:rFonts w:hint="eastAsia" w:ascii="宋体" w:hAnsi="Courier New"/>
          <w:color w:val="auto"/>
          <w:spacing w:val="-4"/>
          <w:szCs w:val="21"/>
        </w:rPr>
      </w:pPr>
      <w:r>
        <w:rPr>
          <w:rFonts w:hint="eastAsia" w:ascii="宋体" w:hAnsi="Courier New"/>
          <w:color w:val="auto"/>
          <w:spacing w:val="-4"/>
          <w:szCs w:val="21"/>
        </w:rPr>
        <w:t>供参考格式：以下格式供投标人作参考，投标人根据采购文件要求（如需）进行编制。</w:t>
      </w:r>
    </w:p>
    <w:p>
      <w:pPr>
        <w:numPr>
          <w:ilvl w:val="1"/>
          <w:numId w:val="5"/>
        </w:numPr>
        <w:snapToGrid w:val="0"/>
        <w:spacing w:before="50" w:line="360" w:lineRule="auto"/>
        <w:jc w:val="center"/>
        <w:rPr>
          <w:rFonts w:hint="eastAsia" w:ascii="宋体" w:hAnsi="宋体"/>
          <w:color w:val="auto"/>
          <w:szCs w:val="21"/>
        </w:rPr>
      </w:pPr>
      <w:r>
        <w:rPr>
          <w:rFonts w:hint="eastAsia" w:ascii="宋体" w:hAnsi="宋体"/>
          <w:color w:val="auto"/>
          <w:szCs w:val="21"/>
        </w:rPr>
        <w:t>设备制造商针对本项目的授权书格式：</w:t>
      </w:r>
    </w:p>
    <w:p>
      <w:pPr>
        <w:pStyle w:val="20"/>
        <w:spacing w:line="360" w:lineRule="auto"/>
        <w:ind w:firstLine="0"/>
        <w:jc w:val="center"/>
        <w:rPr>
          <w:rFonts w:hint="eastAsia"/>
          <w:color w:val="auto"/>
          <w:sz w:val="21"/>
          <w:szCs w:val="21"/>
        </w:rPr>
      </w:pPr>
      <w:r>
        <w:rPr>
          <w:rFonts w:hint="eastAsia"/>
          <w:color w:val="auto"/>
          <w:sz w:val="21"/>
          <w:szCs w:val="21"/>
        </w:rPr>
        <w:t>制造商出具的授权函</w:t>
      </w:r>
    </w:p>
    <w:p>
      <w:pPr>
        <w:pStyle w:val="20"/>
        <w:spacing w:line="360" w:lineRule="auto"/>
        <w:ind w:firstLine="0"/>
        <w:jc w:val="center"/>
        <w:rPr>
          <w:rFonts w:hint="eastAsia"/>
          <w:color w:val="auto"/>
          <w:sz w:val="21"/>
          <w:szCs w:val="21"/>
        </w:rPr>
      </w:pPr>
      <w:r>
        <w:rPr>
          <w:rFonts w:hint="eastAsia"/>
          <w:color w:val="auto"/>
          <w:sz w:val="21"/>
          <w:szCs w:val="21"/>
        </w:rPr>
        <w:t>（</w:t>
      </w:r>
      <w:r>
        <w:rPr>
          <w:rFonts w:hint="eastAsia"/>
          <w:color w:val="auto"/>
          <w:sz w:val="21"/>
          <w:szCs w:val="21"/>
          <w:lang w:eastAsia="zh-CN"/>
        </w:rPr>
        <w:t>供参考格式</w:t>
      </w:r>
      <w:r>
        <w:rPr>
          <w:rFonts w:hint="eastAsia"/>
          <w:color w:val="auto"/>
          <w:sz w:val="21"/>
          <w:szCs w:val="21"/>
        </w:rPr>
        <w:t>）</w:t>
      </w:r>
    </w:p>
    <w:p>
      <w:pPr>
        <w:pStyle w:val="20"/>
        <w:spacing w:before="120" w:beforeLines="50" w:line="360" w:lineRule="auto"/>
        <w:ind w:firstLine="0"/>
        <w:rPr>
          <w:rFonts w:hint="eastAsia"/>
          <w:color w:val="auto"/>
          <w:sz w:val="21"/>
          <w:szCs w:val="21"/>
        </w:rPr>
      </w:pPr>
      <w:r>
        <w:rPr>
          <w:color w:val="auto"/>
          <w:sz w:val="21"/>
          <w:szCs w:val="21"/>
        </w:rPr>
        <w:t>致：</w:t>
      </w:r>
      <w:r>
        <w:rPr>
          <w:rFonts w:hint="eastAsia"/>
          <w:color w:val="auto"/>
          <w:sz w:val="21"/>
          <w:szCs w:val="21"/>
        </w:rPr>
        <w:t xml:space="preserve">（采购人、代理机构名称）         </w:t>
      </w:r>
    </w:p>
    <w:p>
      <w:pPr>
        <w:pStyle w:val="20"/>
        <w:spacing w:before="120" w:beforeLines="50" w:line="360" w:lineRule="auto"/>
        <w:rPr>
          <w:color w:val="auto"/>
          <w:sz w:val="21"/>
          <w:szCs w:val="21"/>
        </w:rPr>
      </w:pPr>
      <w:r>
        <w:rPr>
          <w:color w:val="auto"/>
          <w:sz w:val="21"/>
          <w:szCs w:val="21"/>
        </w:rPr>
        <w:t>我们（制造商名称）</w:t>
      </w:r>
      <w:r>
        <w:rPr>
          <w:rFonts w:hint="eastAsia"/>
          <w:color w:val="auto"/>
          <w:sz w:val="21"/>
          <w:szCs w:val="21"/>
        </w:rPr>
        <w:t xml:space="preserve">  </w:t>
      </w:r>
      <w:r>
        <w:rPr>
          <w:color w:val="auto"/>
          <w:sz w:val="21"/>
          <w:szCs w:val="21"/>
        </w:rPr>
        <w:t>是按中华人民共和国法律成立的一家制造商，主要营业地点设在（制造商地址）</w:t>
      </w:r>
      <w:r>
        <w:rPr>
          <w:rFonts w:hint="eastAsia"/>
          <w:color w:val="auto"/>
          <w:sz w:val="21"/>
          <w:szCs w:val="21"/>
        </w:rPr>
        <w:t xml:space="preserve">  </w:t>
      </w:r>
      <w:r>
        <w:rPr>
          <w:color w:val="auto"/>
          <w:sz w:val="21"/>
          <w:szCs w:val="21"/>
        </w:rPr>
        <w:t>。兹指派按中华人民共和国法律正式成立的，主要营业地点设在（投标人地址）</w:t>
      </w:r>
      <w:r>
        <w:rPr>
          <w:rFonts w:hint="eastAsia"/>
          <w:color w:val="auto"/>
          <w:sz w:val="21"/>
          <w:szCs w:val="21"/>
        </w:rPr>
        <w:t xml:space="preserve">  </w:t>
      </w:r>
      <w:r>
        <w:rPr>
          <w:color w:val="auto"/>
          <w:sz w:val="21"/>
          <w:szCs w:val="21"/>
        </w:rPr>
        <w:t>的（投标人名称）</w:t>
      </w:r>
      <w:r>
        <w:rPr>
          <w:rFonts w:hint="eastAsia"/>
          <w:color w:val="auto"/>
          <w:sz w:val="21"/>
          <w:szCs w:val="21"/>
        </w:rPr>
        <w:t xml:space="preserve">  </w:t>
      </w:r>
      <w:r>
        <w:rPr>
          <w:color w:val="auto"/>
          <w:sz w:val="21"/>
          <w:szCs w:val="21"/>
        </w:rPr>
        <w:t>作为我方真正的和合法的代理人进行下列有效的活动：</w:t>
      </w:r>
    </w:p>
    <w:p>
      <w:pPr>
        <w:pStyle w:val="20"/>
        <w:widowControl/>
        <w:numPr>
          <w:ilvl w:val="0"/>
          <w:numId w:val="8"/>
        </w:numPr>
        <w:spacing w:before="120" w:beforeLines="50" w:line="360" w:lineRule="auto"/>
        <w:rPr>
          <w:color w:val="auto"/>
          <w:sz w:val="21"/>
          <w:szCs w:val="21"/>
        </w:rPr>
      </w:pPr>
      <w:r>
        <w:rPr>
          <w:color w:val="auto"/>
          <w:sz w:val="21"/>
          <w:szCs w:val="21"/>
        </w:rPr>
        <w:t>代表我方办理贵方</w:t>
      </w:r>
      <w:r>
        <w:rPr>
          <w:color w:val="auto"/>
          <w:sz w:val="21"/>
          <w:szCs w:val="21"/>
          <w:u w:val="single"/>
        </w:rPr>
        <w:t>招标编号招标项目</w:t>
      </w:r>
      <w:r>
        <w:rPr>
          <w:color w:val="auto"/>
          <w:sz w:val="21"/>
          <w:szCs w:val="21"/>
        </w:rPr>
        <w:t>要求提供的由我方制造的货物的有关事宜，并对我方具有约束力。</w:t>
      </w:r>
    </w:p>
    <w:p>
      <w:pPr>
        <w:pStyle w:val="20"/>
        <w:widowControl/>
        <w:numPr>
          <w:ilvl w:val="0"/>
          <w:numId w:val="8"/>
        </w:numPr>
        <w:spacing w:before="120" w:beforeLines="50" w:line="360" w:lineRule="auto"/>
        <w:rPr>
          <w:color w:val="auto"/>
          <w:sz w:val="21"/>
          <w:szCs w:val="21"/>
        </w:rPr>
      </w:pPr>
      <w:r>
        <w:rPr>
          <w:color w:val="auto"/>
          <w:sz w:val="21"/>
          <w:szCs w:val="21"/>
        </w:rPr>
        <w:t>作为制造商，我方保证以</w:t>
      </w:r>
      <w:r>
        <w:rPr>
          <w:rFonts w:hint="eastAsia"/>
          <w:color w:val="auto"/>
          <w:sz w:val="21"/>
          <w:szCs w:val="21"/>
          <w:lang w:eastAsia="zh-CN"/>
        </w:rPr>
        <w:t>采购</w:t>
      </w:r>
      <w:r>
        <w:rPr>
          <w:color w:val="auto"/>
          <w:sz w:val="21"/>
          <w:szCs w:val="21"/>
        </w:rPr>
        <w:t>合同来约束自己，并对该投标共同和分别承担采购文件中所规定的义务。</w:t>
      </w:r>
    </w:p>
    <w:p>
      <w:pPr>
        <w:pStyle w:val="20"/>
        <w:widowControl/>
        <w:numPr>
          <w:ilvl w:val="0"/>
          <w:numId w:val="8"/>
        </w:numPr>
        <w:spacing w:before="120" w:beforeLines="50" w:line="360" w:lineRule="auto"/>
        <w:rPr>
          <w:color w:val="auto"/>
          <w:sz w:val="21"/>
          <w:szCs w:val="21"/>
        </w:rPr>
      </w:pPr>
      <w:r>
        <w:rPr>
          <w:color w:val="auto"/>
          <w:sz w:val="21"/>
          <w:szCs w:val="21"/>
        </w:rPr>
        <w:t>我方兹授予（投标人名称）</w:t>
      </w:r>
      <w:r>
        <w:rPr>
          <w:rFonts w:hint="eastAsia"/>
          <w:color w:val="auto"/>
          <w:sz w:val="21"/>
          <w:szCs w:val="21"/>
        </w:rPr>
        <w:t xml:space="preserve">  </w:t>
      </w:r>
      <w:r>
        <w:rPr>
          <w:color w:val="auto"/>
          <w:sz w:val="21"/>
          <w:szCs w:val="21"/>
        </w:rPr>
        <w:t>全权办理和履行</w:t>
      </w:r>
      <w:r>
        <w:rPr>
          <w:color w:val="auto"/>
          <w:sz w:val="21"/>
          <w:szCs w:val="21"/>
          <w:u w:val="single"/>
        </w:rPr>
        <w:t>招标编号招标项目</w:t>
      </w:r>
      <w:r>
        <w:rPr>
          <w:rFonts w:hint="eastAsia"/>
          <w:color w:val="auto"/>
          <w:sz w:val="21"/>
          <w:szCs w:val="21"/>
          <w:u w:val="single"/>
          <w:lang w:eastAsia="zh-CN"/>
        </w:rPr>
        <w:t>需由我方办理的相关</w:t>
      </w:r>
      <w:r>
        <w:rPr>
          <w:color w:val="auto"/>
          <w:sz w:val="21"/>
          <w:szCs w:val="21"/>
        </w:rPr>
        <w:t>事宜，兹确认</w:t>
      </w:r>
      <w:r>
        <w:rPr>
          <w:color w:val="auto"/>
          <w:sz w:val="21"/>
          <w:szCs w:val="21"/>
          <w:u w:val="single"/>
        </w:rPr>
        <w:t>（投标人名称）</w:t>
      </w:r>
      <w:r>
        <w:rPr>
          <w:rFonts w:hint="eastAsia"/>
          <w:color w:val="auto"/>
          <w:sz w:val="21"/>
          <w:szCs w:val="21"/>
          <w:u w:val="single"/>
        </w:rPr>
        <w:t xml:space="preserve"> </w:t>
      </w:r>
      <w:r>
        <w:rPr>
          <w:rFonts w:hint="eastAsia"/>
          <w:color w:val="auto"/>
          <w:sz w:val="21"/>
          <w:szCs w:val="21"/>
        </w:rPr>
        <w:t xml:space="preserve"> </w:t>
      </w:r>
      <w:r>
        <w:rPr>
          <w:color w:val="auto"/>
          <w:sz w:val="21"/>
          <w:szCs w:val="21"/>
        </w:rPr>
        <w:t>或其正式</w:t>
      </w:r>
      <w:r>
        <w:rPr>
          <w:color w:val="auto"/>
          <w:sz w:val="21"/>
          <w:szCs w:val="21"/>
          <w:u w:val="single"/>
        </w:rPr>
        <w:t>被授权代表</w:t>
      </w:r>
      <w:r>
        <w:rPr>
          <w:color w:val="auto"/>
          <w:sz w:val="21"/>
          <w:szCs w:val="21"/>
        </w:rPr>
        <w:t>依此合法地办理一切事宜。</w:t>
      </w:r>
    </w:p>
    <w:p>
      <w:pPr>
        <w:pStyle w:val="20"/>
        <w:spacing w:line="360" w:lineRule="auto"/>
        <w:ind w:firstLine="0"/>
        <w:rPr>
          <w:rFonts w:hint="eastAsia"/>
          <w:color w:val="auto"/>
          <w:sz w:val="21"/>
          <w:szCs w:val="21"/>
        </w:rPr>
      </w:pPr>
    </w:p>
    <w:p>
      <w:pPr>
        <w:pStyle w:val="36"/>
        <w:snapToGrid w:val="0"/>
        <w:spacing w:line="360" w:lineRule="auto"/>
        <w:ind w:left="315" w:leftChars="150" w:firstLine="0" w:firstLineChars="0"/>
        <w:rPr>
          <w:rFonts w:ascii="宋体" w:hAnsi="宋体"/>
          <w:color w:val="auto"/>
          <w:sz w:val="21"/>
          <w:szCs w:val="21"/>
        </w:rPr>
      </w:pPr>
      <w:r>
        <w:rPr>
          <w:rFonts w:hint="eastAsia" w:ascii="宋体"/>
          <w:color w:val="auto"/>
          <w:sz w:val="21"/>
          <w:szCs w:val="21"/>
        </w:rPr>
        <w:t xml:space="preserve"> </w:t>
      </w:r>
      <w:r>
        <w:rPr>
          <w:rFonts w:hint="eastAsia" w:ascii="宋体" w:hAnsi="宋体"/>
          <w:color w:val="auto"/>
          <w:sz w:val="21"/>
          <w:szCs w:val="21"/>
        </w:rPr>
        <w:t>法定代表人签字：</w:t>
      </w:r>
      <w:r>
        <w:rPr>
          <w:rFonts w:ascii="宋体" w:hAnsi="宋体"/>
          <w:color w:val="auto"/>
          <w:sz w:val="21"/>
          <w:szCs w:val="21"/>
        </w:rPr>
        <w:t xml:space="preserve">             </w:t>
      </w:r>
    </w:p>
    <w:p>
      <w:pPr>
        <w:snapToGrid w:val="0"/>
        <w:spacing w:before="50" w:line="360" w:lineRule="auto"/>
        <w:ind w:firstLine="420" w:firstLineChars="200"/>
        <w:jc w:val="left"/>
        <w:rPr>
          <w:rFonts w:ascii="宋体" w:hAnsi="宋体"/>
          <w:color w:val="auto"/>
          <w:szCs w:val="21"/>
        </w:rPr>
      </w:pPr>
      <w:r>
        <w:rPr>
          <w:rFonts w:hint="eastAsia" w:ascii="宋体" w:hAnsi="宋体"/>
          <w:color w:val="auto"/>
          <w:szCs w:val="21"/>
        </w:rPr>
        <w:t>单位公章：</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pStyle w:val="20"/>
        <w:spacing w:after="120" w:line="360" w:lineRule="auto"/>
        <w:ind w:firstLine="0"/>
        <w:rPr>
          <w:rFonts w:hint="eastAsia"/>
          <w:color w:val="auto"/>
          <w:sz w:val="28"/>
        </w:rPr>
      </w:pPr>
    </w:p>
    <w:p>
      <w:pPr>
        <w:pStyle w:val="20"/>
        <w:spacing w:line="360" w:lineRule="auto"/>
        <w:ind w:firstLine="0"/>
        <w:jc w:val="center"/>
        <w:rPr>
          <w:rFonts w:hint="eastAsia"/>
          <w:color w:val="auto"/>
          <w:sz w:val="28"/>
        </w:rPr>
      </w:pPr>
    </w:p>
    <w:p>
      <w:pPr>
        <w:pStyle w:val="20"/>
        <w:spacing w:line="360" w:lineRule="auto"/>
        <w:ind w:firstLine="0"/>
        <w:jc w:val="center"/>
        <w:rPr>
          <w:rFonts w:hint="eastAsia"/>
          <w:color w:val="auto"/>
          <w:sz w:val="28"/>
        </w:rPr>
      </w:pPr>
    </w:p>
    <w:p>
      <w:pPr>
        <w:pStyle w:val="20"/>
        <w:spacing w:line="360" w:lineRule="auto"/>
        <w:ind w:firstLine="0"/>
        <w:rPr>
          <w:rFonts w:hint="eastAsia"/>
          <w:color w:val="auto"/>
        </w:rPr>
      </w:pPr>
    </w:p>
    <w:p>
      <w:pPr>
        <w:pStyle w:val="20"/>
        <w:spacing w:line="360" w:lineRule="auto"/>
        <w:ind w:firstLine="0"/>
        <w:jc w:val="center"/>
        <w:rPr>
          <w:rFonts w:hint="eastAsia"/>
          <w:color w:val="auto"/>
          <w:sz w:val="28"/>
        </w:rPr>
      </w:pPr>
    </w:p>
    <w:p>
      <w:pPr>
        <w:pStyle w:val="20"/>
        <w:spacing w:line="360" w:lineRule="auto"/>
        <w:ind w:left="982" w:hanging="562"/>
        <w:jc w:val="center"/>
        <w:rPr>
          <w:rFonts w:hint="eastAsia"/>
          <w:color w:val="auto"/>
          <w:sz w:val="28"/>
        </w:rPr>
      </w:pPr>
    </w:p>
    <w:p>
      <w:pPr>
        <w:snapToGrid w:val="0"/>
        <w:spacing w:before="50" w:line="360" w:lineRule="auto"/>
        <w:jc w:val="left"/>
        <w:rPr>
          <w:rFonts w:hint="eastAsia" w:ascii="宋体"/>
          <w:color w:val="auto"/>
          <w:sz w:val="28"/>
        </w:rPr>
      </w:pPr>
    </w:p>
    <w:p>
      <w:pPr>
        <w:snapToGrid w:val="0"/>
        <w:spacing w:before="50" w:line="360" w:lineRule="auto"/>
        <w:jc w:val="left"/>
        <w:rPr>
          <w:rFonts w:hint="eastAsia" w:ascii="宋体"/>
          <w:color w:val="auto"/>
          <w:sz w:val="28"/>
        </w:rPr>
      </w:pPr>
    </w:p>
    <w:p>
      <w:pPr>
        <w:snapToGrid w:val="0"/>
        <w:spacing w:before="50" w:line="360" w:lineRule="auto"/>
        <w:jc w:val="left"/>
        <w:rPr>
          <w:rFonts w:hint="eastAsia" w:ascii="宋体"/>
          <w:color w:val="auto"/>
          <w:sz w:val="28"/>
        </w:rPr>
      </w:pPr>
    </w:p>
    <w:p>
      <w:pPr>
        <w:snapToGrid w:val="0"/>
        <w:spacing w:before="50" w:line="360" w:lineRule="auto"/>
        <w:jc w:val="left"/>
        <w:rPr>
          <w:rFonts w:hint="eastAsia" w:ascii="宋体"/>
          <w:color w:val="auto"/>
          <w:sz w:val="28"/>
        </w:rPr>
      </w:pPr>
    </w:p>
    <w:p>
      <w:pPr>
        <w:snapToGrid w:val="0"/>
        <w:spacing w:before="50" w:line="360" w:lineRule="auto"/>
        <w:jc w:val="left"/>
        <w:rPr>
          <w:rFonts w:hint="eastAsia" w:ascii="宋体"/>
          <w:color w:val="auto"/>
          <w:sz w:val="28"/>
        </w:rPr>
      </w:pPr>
    </w:p>
    <w:p>
      <w:pPr>
        <w:snapToGrid w:val="0"/>
        <w:spacing w:before="50" w:line="360" w:lineRule="auto"/>
        <w:jc w:val="left"/>
        <w:rPr>
          <w:rFonts w:hint="eastAsia" w:ascii="宋体" w:hAnsi="宋体"/>
          <w:color w:val="auto"/>
          <w:szCs w:val="21"/>
        </w:rPr>
      </w:pPr>
    </w:p>
    <w:p>
      <w:pPr>
        <w:snapToGrid w:val="0"/>
        <w:spacing w:before="50" w:line="360" w:lineRule="auto"/>
        <w:rPr>
          <w:rFonts w:ascii="宋体" w:hAnsi="宋体"/>
          <w:color w:val="auto"/>
          <w:szCs w:val="21"/>
        </w:rPr>
      </w:pPr>
      <w:r>
        <w:rPr>
          <w:rFonts w:hint="eastAsia" w:ascii="宋体" w:hAnsi="宋体"/>
          <w:color w:val="auto"/>
          <w:szCs w:val="21"/>
        </w:rPr>
        <w:t>二、制造商售后服务承诺书</w:t>
      </w:r>
    </w:p>
    <w:p>
      <w:pPr>
        <w:snapToGrid w:val="0"/>
        <w:spacing w:before="50" w:line="360" w:lineRule="auto"/>
        <w:jc w:val="center"/>
        <w:rPr>
          <w:rFonts w:ascii="宋体" w:hAnsi="宋体"/>
          <w:color w:val="auto"/>
          <w:szCs w:val="21"/>
        </w:rPr>
      </w:pPr>
      <w:r>
        <w:rPr>
          <w:rFonts w:hint="eastAsia" w:ascii="宋体" w:hAnsi="宋体"/>
          <w:color w:val="auto"/>
          <w:szCs w:val="21"/>
        </w:rPr>
        <w:t>制造商售后服务承诺书</w:t>
      </w:r>
    </w:p>
    <w:p>
      <w:pPr>
        <w:snapToGrid w:val="0"/>
        <w:spacing w:before="50" w:line="360" w:lineRule="auto"/>
        <w:jc w:val="center"/>
        <w:rPr>
          <w:rFonts w:ascii="宋体" w:hAnsi="宋体"/>
          <w:color w:val="auto"/>
          <w:szCs w:val="21"/>
        </w:rPr>
      </w:pPr>
      <w:r>
        <w:rPr>
          <w:rFonts w:hint="eastAsia" w:ascii="宋体" w:hAnsi="宋体"/>
          <w:color w:val="auto"/>
          <w:szCs w:val="21"/>
        </w:rPr>
        <w:t>（供参考格式）</w:t>
      </w:r>
    </w:p>
    <w:p>
      <w:pPr>
        <w:snapToGrid w:val="0"/>
        <w:spacing w:before="50" w:line="360" w:lineRule="auto"/>
        <w:rPr>
          <w:rFonts w:ascii="宋体" w:hAnsi="宋体"/>
          <w:color w:val="auto"/>
          <w:szCs w:val="21"/>
        </w:rPr>
      </w:pPr>
      <w:r>
        <w:rPr>
          <w:rFonts w:hint="eastAsia" w:ascii="宋体" w:hAnsi="宋体"/>
          <w:color w:val="auto"/>
          <w:szCs w:val="21"/>
        </w:rPr>
        <w:t>致：</w:t>
      </w:r>
      <w:r>
        <w:rPr>
          <w:rFonts w:ascii="宋体" w:hAnsi="宋体"/>
          <w:color w:val="auto"/>
          <w:szCs w:val="21"/>
          <w:u w:val="single"/>
        </w:rPr>
        <w:t xml:space="preserve">                        </w:t>
      </w:r>
      <w:r>
        <w:rPr>
          <w:rFonts w:hint="eastAsia" w:ascii="宋体" w:hAnsi="宋体"/>
          <w:color w:val="auto"/>
          <w:szCs w:val="21"/>
        </w:rPr>
        <w:t>（</w:t>
      </w:r>
      <w:r>
        <w:rPr>
          <w:rFonts w:hint="eastAsia" w:hAnsi="宋体"/>
          <w:bCs/>
          <w:color w:val="auto"/>
          <w:szCs w:val="21"/>
        </w:rPr>
        <w:t>采购人、代理机构</w:t>
      </w:r>
      <w:r>
        <w:rPr>
          <w:rFonts w:hint="eastAsia" w:ascii="宋体" w:hAnsi="宋体"/>
          <w:color w:val="auto"/>
          <w:szCs w:val="21"/>
        </w:rPr>
        <w:t>名称）：</w:t>
      </w:r>
    </w:p>
    <w:p>
      <w:pPr>
        <w:snapToGrid w:val="0"/>
        <w:spacing w:before="50" w:line="360" w:lineRule="auto"/>
        <w:ind w:firstLine="480"/>
        <w:jc w:val="left"/>
        <w:rPr>
          <w:rFonts w:ascii="宋体" w:hAnsi="宋体"/>
          <w:color w:val="auto"/>
          <w:szCs w:val="21"/>
        </w:rPr>
      </w:pPr>
      <w:r>
        <w:rPr>
          <w:rFonts w:hint="eastAsia" w:ascii="宋体" w:hAnsi="宋体"/>
          <w:color w:val="auto"/>
          <w:szCs w:val="21"/>
        </w:rPr>
        <w:t>我们</w:t>
      </w:r>
      <w:r>
        <w:rPr>
          <w:rFonts w:ascii="宋体" w:hAnsi="宋体"/>
          <w:color w:val="auto"/>
          <w:szCs w:val="21"/>
          <w:u w:val="single"/>
        </w:rPr>
        <w:t xml:space="preserve">                    </w:t>
      </w:r>
      <w:r>
        <w:rPr>
          <w:rFonts w:hint="eastAsia" w:ascii="宋体" w:hAnsi="宋体"/>
          <w:color w:val="auto"/>
          <w:szCs w:val="21"/>
        </w:rPr>
        <w:t>（制造商或者进口机电产品的国内总代理商名称）是按</w:t>
      </w:r>
      <w:r>
        <w:rPr>
          <w:rFonts w:ascii="宋体" w:hAnsi="宋体"/>
          <w:color w:val="auto"/>
          <w:szCs w:val="21"/>
          <w:u w:val="single"/>
        </w:rPr>
        <w:t xml:space="preserve">              </w:t>
      </w:r>
      <w:r>
        <w:rPr>
          <w:rFonts w:hint="eastAsia" w:ascii="宋体" w:hAnsi="宋体"/>
          <w:color w:val="auto"/>
          <w:szCs w:val="21"/>
          <w:u w:val="single"/>
        </w:rPr>
        <w:t>（国家名称）</w:t>
      </w:r>
      <w:r>
        <w:rPr>
          <w:rFonts w:hint="eastAsia" w:ascii="宋体" w:hAnsi="宋体"/>
          <w:color w:val="auto"/>
          <w:szCs w:val="21"/>
        </w:rPr>
        <w:t>法律成立的一家公司，主要营业地址设在</w:t>
      </w:r>
      <w:r>
        <w:rPr>
          <w:rFonts w:ascii="宋体" w:hAnsi="宋体"/>
          <w:color w:val="auto"/>
          <w:szCs w:val="21"/>
          <w:u w:val="single"/>
        </w:rPr>
        <w:t xml:space="preserve">                            </w:t>
      </w:r>
      <w:r>
        <w:rPr>
          <w:rFonts w:hint="eastAsia" w:ascii="宋体" w:hAnsi="宋体"/>
          <w:color w:val="auto"/>
          <w:szCs w:val="21"/>
        </w:rPr>
        <w:t>。兹指派按</w:t>
      </w:r>
      <w:r>
        <w:rPr>
          <w:rFonts w:ascii="宋体" w:hAnsi="宋体"/>
          <w:color w:val="auto"/>
          <w:szCs w:val="21"/>
          <w:u w:val="single"/>
        </w:rPr>
        <w:t xml:space="preserve">              </w:t>
      </w:r>
      <w:r>
        <w:rPr>
          <w:rFonts w:hint="eastAsia" w:ascii="宋体" w:hAnsi="宋体"/>
          <w:color w:val="auto"/>
          <w:szCs w:val="21"/>
        </w:rPr>
        <w:t>（国家名称）法律成立的、主要营业地址在</w:t>
      </w:r>
      <w:r>
        <w:rPr>
          <w:rFonts w:ascii="宋体" w:hAnsi="宋体"/>
          <w:color w:val="auto"/>
          <w:szCs w:val="21"/>
          <w:u w:val="single"/>
        </w:rPr>
        <w:t xml:space="preserve">              </w:t>
      </w:r>
      <w:r>
        <w:rPr>
          <w:rFonts w:hint="eastAsia" w:ascii="宋体" w:hAnsi="宋体"/>
          <w:color w:val="auto"/>
          <w:szCs w:val="21"/>
        </w:rPr>
        <w:t>的</w:t>
      </w:r>
      <w:r>
        <w:rPr>
          <w:rFonts w:ascii="宋体" w:hAnsi="宋体"/>
          <w:color w:val="auto"/>
          <w:szCs w:val="21"/>
          <w:u w:val="single"/>
        </w:rPr>
        <w:t xml:space="preserve">                 </w:t>
      </w:r>
      <w:r>
        <w:rPr>
          <w:rFonts w:hint="eastAsia" w:ascii="宋体" w:hAnsi="宋体"/>
          <w:color w:val="auto"/>
          <w:szCs w:val="21"/>
          <w:u w:val="single"/>
        </w:rPr>
        <w:t>（投标人名称）</w:t>
      </w:r>
      <w:r>
        <w:rPr>
          <w:rFonts w:hint="eastAsia" w:ascii="宋体" w:hAnsi="宋体"/>
          <w:color w:val="auto"/>
          <w:szCs w:val="21"/>
        </w:rPr>
        <w:t>作为我方真正的和合法的代理人进行下列有效活动：</w:t>
      </w:r>
    </w:p>
    <w:p>
      <w:pPr>
        <w:snapToGrid w:val="0"/>
        <w:spacing w:before="50" w:line="360" w:lineRule="auto"/>
        <w:ind w:firstLine="480"/>
        <w:jc w:val="left"/>
        <w:rPr>
          <w:rFonts w:ascii="宋体" w:hAnsi="宋体"/>
          <w:color w:val="auto"/>
          <w:szCs w:val="21"/>
        </w:rPr>
      </w:pPr>
      <w:r>
        <w:rPr>
          <w:rFonts w:ascii="宋体" w:hAnsi="宋体"/>
          <w:color w:val="auto"/>
          <w:szCs w:val="21"/>
        </w:rPr>
        <w:t>1</w:t>
      </w:r>
      <w:r>
        <w:rPr>
          <w:rFonts w:hint="eastAsia" w:ascii="宋体" w:hAnsi="宋体"/>
          <w:color w:val="auto"/>
          <w:szCs w:val="21"/>
        </w:rPr>
        <w:t>.</w:t>
      </w:r>
      <w:r>
        <w:rPr>
          <w:rFonts w:ascii="宋体" w:hAnsi="宋体"/>
          <w:color w:val="auto"/>
          <w:szCs w:val="21"/>
        </w:rPr>
        <w:t>代</w:t>
      </w:r>
      <w:r>
        <w:rPr>
          <w:rFonts w:hint="eastAsia" w:ascii="宋体" w:hAnsi="宋体"/>
          <w:color w:val="auto"/>
          <w:szCs w:val="21"/>
        </w:rPr>
        <w:t>表我方办理贵方关于</w:t>
      </w:r>
      <w:r>
        <w:rPr>
          <w:rFonts w:ascii="宋体" w:hAnsi="宋体"/>
          <w:color w:val="auto"/>
          <w:szCs w:val="21"/>
          <w:u w:val="single"/>
        </w:rPr>
        <w:t xml:space="preserve">                  </w:t>
      </w:r>
      <w:r>
        <w:rPr>
          <w:rFonts w:hint="eastAsia" w:ascii="宋体" w:hAnsi="宋体"/>
          <w:color w:val="auto"/>
          <w:szCs w:val="21"/>
        </w:rPr>
        <w:t>项目（项目编号：</w:t>
      </w:r>
      <w:r>
        <w:rPr>
          <w:rFonts w:ascii="宋体" w:hAnsi="宋体"/>
          <w:color w:val="auto"/>
          <w:szCs w:val="21"/>
          <w:u w:val="single"/>
        </w:rPr>
        <w:t xml:space="preserve">          </w:t>
      </w:r>
      <w:r>
        <w:rPr>
          <w:rFonts w:hint="eastAsia" w:ascii="宋体" w:hAnsi="宋体"/>
          <w:color w:val="auto"/>
          <w:szCs w:val="21"/>
        </w:rPr>
        <w:t>）要求采购的由我方制造</w:t>
      </w:r>
      <w:r>
        <w:rPr>
          <w:rFonts w:ascii="宋体" w:hAnsi="宋体"/>
          <w:color w:val="auto"/>
          <w:szCs w:val="21"/>
        </w:rPr>
        <w:t>/或进口的货物的有关事宜，并对我方具有约束力。</w:t>
      </w:r>
    </w:p>
    <w:p>
      <w:pPr>
        <w:pStyle w:val="19"/>
        <w:snapToGrid w:val="0"/>
        <w:spacing w:after="0" w:line="360" w:lineRule="auto"/>
        <w:ind w:firstLine="420" w:firstLineChars="200"/>
        <w:rPr>
          <w:rFonts w:ascii="宋体" w:hAnsi="宋体"/>
          <w:color w:val="auto"/>
          <w:sz w:val="21"/>
          <w:szCs w:val="21"/>
        </w:rPr>
      </w:pPr>
      <w:r>
        <w:rPr>
          <w:rFonts w:ascii="宋体" w:hAnsi="宋体"/>
          <w:color w:val="auto"/>
          <w:sz w:val="21"/>
          <w:szCs w:val="21"/>
        </w:rPr>
        <w:t>2</w:t>
      </w:r>
      <w:r>
        <w:rPr>
          <w:rFonts w:hint="eastAsia" w:ascii="宋体" w:hAnsi="宋体"/>
          <w:color w:val="auto"/>
          <w:sz w:val="21"/>
          <w:szCs w:val="21"/>
        </w:rPr>
        <w:t>.</w:t>
      </w:r>
      <w:r>
        <w:rPr>
          <w:rFonts w:ascii="宋体" w:hAnsi="宋体"/>
          <w:color w:val="auto"/>
          <w:sz w:val="21"/>
          <w:szCs w:val="21"/>
        </w:rPr>
        <w:t>作为原厂商，我方保证为本项目的组织实施、售后服务提供纯正的、专业化的技术支持</w:t>
      </w:r>
      <w:r>
        <w:rPr>
          <w:rFonts w:hint="eastAsia" w:ascii="宋体" w:hAnsi="宋体"/>
          <w:color w:val="auto"/>
          <w:sz w:val="21"/>
          <w:szCs w:val="21"/>
        </w:rPr>
        <w:t>。</w:t>
      </w:r>
    </w:p>
    <w:p>
      <w:pPr>
        <w:snapToGrid w:val="0"/>
        <w:spacing w:before="120" w:beforeLines="50" w:line="360" w:lineRule="auto"/>
        <w:ind w:firstLine="420" w:firstLineChars="200"/>
        <w:rPr>
          <w:rFonts w:hint="eastAsia" w:ascii="宋体" w:hAnsi="宋体"/>
          <w:color w:val="auto"/>
          <w:szCs w:val="21"/>
        </w:rPr>
      </w:pPr>
      <w:r>
        <w:rPr>
          <w:rFonts w:ascii="宋体" w:hAnsi="宋体"/>
          <w:color w:val="auto"/>
          <w:szCs w:val="21"/>
        </w:rPr>
        <w:t>3</w:t>
      </w:r>
      <w:r>
        <w:rPr>
          <w:rFonts w:hint="eastAsia" w:ascii="宋体" w:hAnsi="宋体"/>
          <w:color w:val="auto"/>
          <w:szCs w:val="21"/>
        </w:rPr>
        <w:t>.我方此次向贵方提供的产品名称为：</w:t>
      </w:r>
      <w:r>
        <w:rPr>
          <w:rFonts w:ascii="宋体" w:hAnsi="宋体"/>
          <w:color w:val="auto"/>
          <w:szCs w:val="21"/>
          <w:u w:val="single"/>
        </w:rPr>
        <w:t xml:space="preserve">                              </w:t>
      </w:r>
      <w:r>
        <w:rPr>
          <w:rFonts w:hint="eastAsia" w:ascii="宋体" w:hAnsi="宋体"/>
          <w:color w:val="auto"/>
          <w:szCs w:val="21"/>
        </w:rPr>
        <w:t>；规格型号：</w:t>
      </w:r>
      <w:r>
        <w:rPr>
          <w:rFonts w:ascii="宋体" w:hAnsi="宋体"/>
          <w:color w:val="auto"/>
          <w:szCs w:val="21"/>
          <w:u w:val="single"/>
        </w:rPr>
        <w:t xml:space="preserve">                           </w:t>
      </w:r>
      <w:r>
        <w:rPr>
          <w:rFonts w:hint="eastAsia" w:ascii="宋体" w:hAnsi="宋体"/>
          <w:color w:val="auto"/>
          <w:szCs w:val="21"/>
        </w:rPr>
        <w:t>；我方保证：该产品既非试验产品也非积压产品，而是于</w:t>
      </w:r>
    </w:p>
    <w:p>
      <w:pPr>
        <w:snapToGrid w:val="0"/>
        <w:spacing w:before="120" w:beforeLines="50" w:line="360" w:lineRule="auto"/>
        <w:rPr>
          <w:rFonts w:ascii="宋体" w:hAnsi="宋体"/>
          <w:color w:val="auto"/>
          <w:szCs w:val="21"/>
        </w:rPr>
      </w:pPr>
      <w:r>
        <w:rPr>
          <w:rFonts w:ascii="宋体" w:hAnsi="宋体"/>
          <w:color w:val="auto"/>
          <w:szCs w:val="21"/>
          <w:u w:val="single"/>
        </w:rPr>
        <w:t xml:space="preserve">   </w:t>
      </w:r>
      <w:r>
        <w:rPr>
          <w:rFonts w:hint="eastAsia" w:ascii="宋体" w:hAnsi="宋体"/>
          <w:color w:val="auto"/>
          <w:szCs w:val="21"/>
        </w:rPr>
        <w:t>年生产的成熟产品，且生产（完工）日期不早于</w:t>
      </w:r>
      <w:r>
        <w:rPr>
          <w:rFonts w:ascii="宋体" w:hAnsi="宋体"/>
          <w:color w:val="auto"/>
          <w:szCs w:val="21"/>
          <w:u w:val="single"/>
        </w:rPr>
        <w:t xml:space="preserve">     </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月；在可以预见的</w:t>
      </w:r>
      <w:r>
        <w:rPr>
          <w:rFonts w:ascii="宋体" w:hAnsi="宋体"/>
          <w:color w:val="auto"/>
          <w:szCs w:val="21"/>
          <w:u w:val="single"/>
        </w:rPr>
        <w:t xml:space="preserve">       </w:t>
      </w:r>
      <w:r>
        <w:rPr>
          <w:rFonts w:hint="eastAsia" w:ascii="宋体" w:hAnsi="宋体"/>
          <w:color w:val="auto"/>
          <w:szCs w:val="21"/>
        </w:rPr>
        <w:t>（天）内，我方没有对该型号产品进行升级、停产、淘汰的计划。</w:t>
      </w:r>
      <w:r>
        <w:rPr>
          <w:rFonts w:ascii="宋体" w:hAnsi="宋体"/>
          <w:color w:val="auto"/>
          <w:szCs w:val="21"/>
        </w:rPr>
        <w:t xml:space="preserve">    </w:t>
      </w:r>
    </w:p>
    <w:p>
      <w:pPr>
        <w:snapToGrid w:val="0"/>
        <w:spacing w:before="50" w:line="360" w:lineRule="auto"/>
        <w:ind w:firstLine="480"/>
        <w:jc w:val="left"/>
        <w:rPr>
          <w:rFonts w:ascii="宋体" w:hAnsi="宋体"/>
          <w:color w:val="auto"/>
          <w:szCs w:val="21"/>
        </w:rPr>
      </w:pPr>
      <w:r>
        <w:rPr>
          <w:rFonts w:ascii="宋体" w:hAnsi="宋体"/>
          <w:color w:val="auto"/>
          <w:szCs w:val="21"/>
        </w:rPr>
        <w:t>4</w:t>
      </w:r>
      <w:r>
        <w:rPr>
          <w:rFonts w:hint="eastAsia" w:ascii="宋体" w:hAnsi="宋体"/>
          <w:color w:val="auto"/>
          <w:szCs w:val="21"/>
        </w:rPr>
        <w:t>.</w:t>
      </w:r>
      <w:r>
        <w:rPr>
          <w:rFonts w:ascii="宋体" w:hAnsi="宋体"/>
          <w:color w:val="auto"/>
          <w:szCs w:val="21"/>
        </w:rPr>
        <w:t>我方该型号产品的市场销售情况良好，最近实施（完工）的同类项目有：</w:t>
      </w:r>
    </w:p>
    <w:tbl>
      <w:tblPr>
        <w:tblStyle w:val="4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900"/>
        <w:gridCol w:w="720"/>
        <w:gridCol w:w="1440"/>
        <w:gridCol w:w="1260"/>
        <w:gridCol w:w="9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556" w:hRule="atLeast"/>
        </w:trPr>
        <w:tc>
          <w:tcPr>
            <w:tcW w:w="154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line="360" w:lineRule="auto"/>
              <w:jc w:val="center"/>
              <w:rPr>
                <w:rFonts w:ascii="宋体" w:hAnsi="宋体"/>
                <w:color w:val="auto"/>
                <w:szCs w:val="21"/>
              </w:rPr>
            </w:pPr>
            <w:r>
              <w:rPr>
                <w:rFonts w:hint="eastAsia" w:ascii="宋体" w:hAnsi="宋体"/>
                <w:color w:val="auto"/>
                <w:szCs w:val="21"/>
              </w:rPr>
              <w:t>采购单位</w:t>
            </w:r>
          </w:p>
          <w:p>
            <w:pPr>
              <w:snapToGrid w:val="0"/>
              <w:spacing w:before="50" w:line="360" w:lineRule="auto"/>
              <w:jc w:val="center"/>
              <w:rPr>
                <w:rFonts w:ascii="宋体" w:hAnsi="宋体"/>
                <w:color w:val="auto"/>
                <w:szCs w:val="21"/>
              </w:rPr>
            </w:pPr>
            <w:r>
              <w:rPr>
                <w:rFonts w:hint="eastAsia" w:ascii="宋体" w:hAnsi="宋体"/>
                <w:color w:val="auto"/>
                <w:szCs w:val="21"/>
              </w:rPr>
              <w:t>名称</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line="360" w:lineRule="auto"/>
              <w:jc w:val="center"/>
              <w:rPr>
                <w:rFonts w:ascii="宋体" w:hAnsi="宋体"/>
                <w:color w:val="auto"/>
                <w:szCs w:val="21"/>
              </w:rPr>
            </w:pPr>
            <w:r>
              <w:rPr>
                <w:rFonts w:hint="eastAsia" w:ascii="宋体" w:hAnsi="宋体"/>
                <w:color w:val="auto"/>
                <w:szCs w:val="21"/>
              </w:rPr>
              <w:t>采购</w:t>
            </w:r>
          </w:p>
          <w:p>
            <w:pPr>
              <w:snapToGrid w:val="0"/>
              <w:spacing w:before="50" w:line="360" w:lineRule="auto"/>
              <w:jc w:val="center"/>
              <w:rPr>
                <w:rFonts w:ascii="宋体" w:hAnsi="宋体"/>
                <w:color w:val="auto"/>
                <w:szCs w:val="21"/>
              </w:rPr>
            </w:pPr>
            <w:r>
              <w:rPr>
                <w:rFonts w:hint="eastAsia" w:ascii="宋体" w:hAnsi="宋体"/>
                <w:color w:val="auto"/>
                <w:szCs w:val="21"/>
              </w:rPr>
              <w:t>数量</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line="360" w:lineRule="auto"/>
              <w:jc w:val="center"/>
              <w:rPr>
                <w:rFonts w:ascii="宋体" w:hAnsi="宋体"/>
                <w:color w:val="auto"/>
                <w:szCs w:val="21"/>
              </w:rPr>
            </w:pPr>
            <w:r>
              <w:rPr>
                <w:rFonts w:hint="eastAsia" w:ascii="宋体" w:hAnsi="宋体"/>
                <w:color w:val="auto"/>
                <w:szCs w:val="21"/>
              </w:rPr>
              <w:t>单价</w:t>
            </w:r>
          </w:p>
          <w:p>
            <w:pPr>
              <w:snapToGrid w:val="0"/>
              <w:spacing w:before="50" w:line="360" w:lineRule="auto"/>
              <w:jc w:val="center"/>
              <w:rPr>
                <w:rFonts w:ascii="宋体" w:hAnsi="宋体"/>
                <w:color w:val="auto"/>
                <w:szCs w:val="21"/>
              </w:rPr>
            </w:pP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line="360" w:lineRule="auto"/>
              <w:jc w:val="center"/>
              <w:rPr>
                <w:rFonts w:ascii="宋体" w:hAnsi="宋体"/>
                <w:color w:val="auto"/>
                <w:szCs w:val="21"/>
              </w:rPr>
            </w:pPr>
            <w:r>
              <w:rPr>
                <w:rFonts w:hint="eastAsia" w:ascii="宋体" w:hAnsi="宋体"/>
                <w:color w:val="auto"/>
                <w:szCs w:val="21"/>
              </w:rPr>
              <w:t>合同金额</w:t>
            </w:r>
          </w:p>
          <w:p>
            <w:pPr>
              <w:snapToGrid w:val="0"/>
              <w:spacing w:before="50" w:line="360" w:lineRule="auto"/>
              <w:jc w:val="center"/>
              <w:rPr>
                <w:rFonts w:ascii="宋体" w:hAnsi="宋体"/>
                <w:color w:val="auto"/>
                <w:szCs w:val="21"/>
              </w:rPr>
            </w:pPr>
            <w:r>
              <w:rPr>
                <w:rFonts w:hint="eastAsia" w:ascii="宋体" w:hAnsi="宋体"/>
                <w:color w:val="auto"/>
                <w:szCs w:val="21"/>
              </w:rPr>
              <w:t>（万元）</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line="360" w:lineRule="auto"/>
              <w:jc w:val="center"/>
              <w:rPr>
                <w:rFonts w:ascii="宋体" w:hAnsi="宋体"/>
                <w:color w:val="auto"/>
                <w:szCs w:val="21"/>
              </w:rPr>
            </w:pPr>
            <w:r>
              <w:rPr>
                <w:rFonts w:hint="eastAsia" w:ascii="宋体" w:hAnsi="宋体"/>
                <w:color w:val="auto"/>
                <w:szCs w:val="21"/>
              </w:rPr>
              <w:t>合同签订</w:t>
            </w:r>
          </w:p>
          <w:p>
            <w:pPr>
              <w:snapToGrid w:val="0"/>
              <w:spacing w:before="50" w:line="360" w:lineRule="auto"/>
              <w:jc w:val="center"/>
              <w:rPr>
                <w:rFonts w:ascii="宋体" w:hAnsi="宋体"/>
                <w:color w:val="auto"/>
                <w:szCs w:val="21"/>
              </w:rPr>
            </w:pPr>
            <w:r>
              <w:rPr>
                <w:rFonts w:hint="eastAsia" w:ascii="宋体" w:hAnsi="宋体"/>
                <w:color w:val="auto"/>
                <w:szCs w:val="21"/>
              </w:rPr>
              <w:t>日期</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line="360" w:lineRule="auto"/>
              <w:jc w:val="center"/>
              <w:rPr>
                <w:rFonts w:ascii="宋体" w:hAnsi="宋体"/>
                <w:color w:val="auto"/>
                <w:szCs w:val="21"/>
              </w:rPr>
            </w:pPr>
            <w:r>
              <w:rPr>
                <w:rFonts w:hint="eastAsia" w:ascii="宋体" w:hAnsi="宋体"/>
                <w:color w:val="auto"/>
                <w:szCs w:val="21"/>
              </w:rPr>
              <w:t>验收</w:t>
            </w:r>
          </w:p>
          <w:p>
            <w:pPr>
              <w:snapToGrid w:val="0"/>
              <w:spacing w:before="50" w:line="360" w:lineRule="auto"/>
              <w:jc w:val="center"/>
              <w:rPr>
                <w:rFonts w:ascii="宋体" w:hAnsi="宋体"/>
                <w:color w:val="auto"/>
                <w:szCs w:val="21"/>
              </w:rPr>
            </w:pPr>
            <w:r>
              <w:rPr>
                <w:rFonts w:hint="eastAsia" w:ascii="宋体" w:hAnsi="宋体"/>
                <w:color w:val="auto"/>
                <w:szCs w:val="21"/>
              </w:rPr>
              <w:t>日期</w:t>
            </w: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line="360" w:lineRule="auto"/>
              <w:jc w:val="center"/>
              <w:rPr>
                <w:rFonts w:ascii="宋体" w:hAnsi="宋体"/>
                <w:color w:val="auto"/>
                <w:szCs w:val="21"/>
              </w:rPr>
            </w:pPr>
            <w:r>
              <w:rPr>
                <w:rFonts w:hint="eastAsia" w:ascii="宋体" w:hAnsi="宋体"/>
                <w:color w:val="auto"/>
                <w:szCs w:val="21"/>
              </w:rPr>
              <w:t>联系人及</w:t>
            </w:r>
          </w:p>
          <w:p>
            <w:pPr>
              <w:snapToGrid w:val="0"/>
              <w:spacing w:before="50" w:line="360" w:lineRule="auto"/>
              <w:jc w:val="center"/>
              <w:rPr>
                <w:rFonts w:ascii="宋体" w:hAnsi="宋体"/>
                <w:color w:val="auto"/>
                <w:szCs w:val="21"/>
              </w:rPr>
            </w:pPr>
            <w:r>
              <w:rPr>
                <w:rFonts w:hint="eastAsia" w:ascii="宋体" w:hAnsi="宋体"/>
                <w:color w:val="auto"/>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409" w:hRule="atLeast"/>
        </w:trPr>
        <w:tc>
          <w:tcPr>
            <w:tcW w:w="15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line="360" w:lineRule="auto"/>
              <w:jc w:val="left"/>
              <w:rPr>
                <w:rFonts w:ascii="宋体" w:hAnsi="宋体"/>
                <w:color w:val="auto"/>
                <w:szCs w:val="21"/>
              </w:rPr>
            </w:pPr>
          </w:p>
        </w:tc>
      </w:tr>
    </w:tbl>
    <w:p>
      <w:pPr>
        <w:snapToGrid w:val="0"/>
        <w:spacing w:before="50" w:line="360" w:lineRule="auto"/>
        <w:ind w:firstLine="420" w:firstLineChars="200"/>
        <w:jc w:val="left"/>
        <w:rPr>
          <w:rFonts w:ascii="宋体" w:hAnsi="宋体"/>
          <w:color w:val="auto"/>
          <w:szCs w:val="21"/>
        </w:rPr>
      </w:pPr>
      <w:r>
        <w:rPr>
          <w:rFonts w:ascii="宋体" w:hAnsi="宋体"/>
          <w:color w:val="auto"/>
          <w:szCs w:val="21"/>
        </w:rPr>
        <w:t>5</w:t>
      </w:r>
      <w:r>
        <w:rPr>
          <w:rFonts w:hint="eastAsia" w:ascii="宋体" w:hAnsi="宋体"/>
          <w:color w:val="auto"/>
          <w:szCs w:val="21"/>
        </w:rPr>
        <w:t>.</w:t>
      </w:r>
      <w:r>
        <w:rPr>
          <w:rFonts w:ascii="宋体" w:hAnsi="宋体"/>
          <w:color w:val="auto"/>
          <w:szCs w:val="21"/>
        </w:rPr>
        <w:t>我方诚意提请贵方关注：有关该型号产品的</w:t>
      </w:r>
      <w:r>
        <w:rPr>
          <w:rFonts w:hint="eastAsia" w:ascii="宋体" w:hAnsi="宋体"/>
          <w:color w:val="auto"/>
          <w:szCs w:val="21"/>
        </w:rPr>
        <w:t>生产、供货、售后服务以及性能等方面的重大决策和事项有：</w:t>
      </w:r>
    </w:p>
    <w:p>
      <w:pPr>
        <w:snapToGrid w:val="0"/>
        <w:spacing w:before="120" w:beforeLines="50" w:line="360" w:lineRule="auto"/>
        <w:ind w:firstLine="420" w:firstLineChars="200"/>
        <w:rPr>
          <w:rFonts w:ascii="宋体" w:hAnsi="宋体"/>
          <w:color w:val="auto"/>
          <w:szCs w:val="21"/>
          <w:u w:val="single"/>
        </w:rPr>
      </w:pPr>
      <w:r>
        <w:rPr>
          <w:rFonts w:hint="eastAsia" w:ascii="宋体" w:hAnsi="宋体"/>
          <w:color w:val="auto"/>
          <w:szCs w:val="21"/>
          <w:u w:val="single"/>
        </w:rPr>
        <w:t>　　　　　　　　　　　　　　　　　　　　　　　　　　　</w:t>
      </w:r>
    </w:p>
    <w:p>
      <w:pPr>
        <w:snapToGrid w:val="0"/>
        <w:spacing w:before="50" w:line="360" w:lineRule="auto"/>
        <w:ind w:firstLine="420" w:firstLineChars="200"/>
        <w:jc w:val="left"/>
        <w:rPr>
          <w:rFonts w:ascii="宋体" w:hAnsi="宋体"/>
          <w:color w:val="auto"/>
          <w:szCs w:val="21"/>
        </w:rPr>
      </w:pPr>
      <w:r>
        <w:rPr>
          <w:rFonts w:hint="eastAsia" w:ascii="宋体" w:hAnsi="宋体"/>
          <w:color w:val="auto"/>
          <w:szCs w:val="21"/>
        </w:rPr>
        <w:t>6.我方同意按照贵方要求提供与投标有关的一切数据或资料。</w:t>
      </w:r>
    </w:p>
    <w:p>
      <w:pPr>
        <w:snapToGrid w:val="0"/>
        <w:spacing w:before="50" w:line="360" w:lineRule="auto"/>
        <w:ind w:left="480"/>
        <w:jc w:val="left"/>
        <w:rPr>
          <w:rFonts w:ascii="宋体" w:hAnsi="宋体"/>
          <w:color w:val="auto"/>
          <w:szCs w:val="21"/>
        </w:rPr>
      </w:pPr>
    </w:p>
    <w:p>
      <w:pPr>
        <w:pStyle w:val="36"/>
        <w:snapToGrid w:val="0"/>
        <w:spacing w:line="360" w:lineRule="auto"/>
        <w:ind w:left="315" w:leftChars="150" w:firstLine="0" w:firstLineChars="0"/>
        <w:rPr>
          <w:rFonts w:ascii="宋体" w:hAnsi="宋体"/>
          <w:color w:val="auto"/>
          <w:sz w:val="21"/>
          <w:szCs w:val="21"/>
        </w:rPr>
      </w:pPr>
      <w:r>
        <w:rPr>
          <w:rFonts w:hint="eastAsia" w:ascii="宋体" w:hAnsi="宋体"/>
          <w:color w:val="auto"/>
          <w:sz w:val="21"/>
          <w:szCs w:val="21"/>
        </w:rPr>
        <w:t>法定代表人签字：</w:t>
      </w:r>
      <w:r>
        <w:rPr>
          <w:rFonts w:ascii="宋体" w:hAnsi="宋体"/>
          <w:color w:val="auto"/>
          <w:sz w:val="21"/>
          <w:szCs w:val="21"/>
        </w:rPr>
        <w:t xml:space="preserve">             </w:t>
      </w:r>
    </w:p>
    <w:p>
      <w:pPr>
        <w:snapToGrid w:val="0"/>
        <w:spacing w:before="50" w:line="360" w:lineRule="auto"/>
        <w:ind w:firstLine="420" w:firstLineChars="200"/>
        <w:jc w:val="left"/>
        <w:rPr>
          <w:rFonts w:ascii="宋体" w:hAnsi="宋体"/>
          <w:color w:val="auto"/>
          <w:szCs w:val="21"/>
        </w:rPr>
      </w:pPr>
      <w:r>
        <w:rPr>
          <w:rFonts w:hint="eastAsia" w:ascii="宋体" w:hAnsi="宋体"/>
          <w:color w:val="auto"/>
          <w:szCs w:val="21"/>
        </w:rPr>
        <w:t>单位公章：</w:t>
      </w:r>
      <w:r>
        <w:rPr>
          <w:rFonts w:ascii="宋体" w:hAnsi="宋体"/>
          <w:color w:val="auto"/>
          <w:szCs w:val="21"/>
          <w:u w:val="single"/>
        </w:rPr>
        <w:t xml:space="preserve">               </w:t>
      </w: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widowControl/>
        <w:spacing w:line="360" w:lineRule="auto"/>
        <w:jc w:val="left"/>
        <w:rPr>
          <w:rFonts w:ascii="宋体" w:hAnsi="宋体"/>
          <w:color w:val="auto"/>
          <w:szCs w:val="21"/>
        </w:rPr>
        <w:sectPr>
          <w:pgSz w:w="11906" w:h="16838"/>
          <w:pgMar w:top="1440" w:right="1440" w:bottom="1440" w:left="1610" w:header="851" w:footer="851" w:gutter="0"/>
          <w:cols w:space="720" w:num="1"/>
          <w:docGrid w:linePitch="312" w:charSpace="0"/>
        </w:sectPr>
      </w:pPr>
    </w:p>
    <w:p>
      <w:pPr>
        <w:snapToGrid w:val="0"/>
        <w:spacing w:before="50" w:after="120" w:afterLines="50" w:line="360" w:lineRule="auto"/>
        <w:jc w:val="left"/>
        <w:rPr>
          <w:rFonts w:ascii="宋体" w:hAnsi="宋体"/>
          <w:color w:val="auto"/>
          <w:szCs w:val="21"/>
        </w:rPr>
      </w:pPr>
      <w:r>
        <w:rPr>
          <w:rFonts w:hint="eastAsia" w:ascii="宋体" w:hAnsi="宋体"/>
          <w:color w:val="auto"/>
          <w:szCs w:val="21"/>
        </w:rPr>
        <w:t>三、投标人距采购人最近或者能为本项目提供最优服务的网点情况表（供参考格式）</w:t>
      </w:r>
    </w:p>
    <w:tbl>
      <w:tblPr>
        <w:tblStyle w:val="4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1622"/>
        <w:gridCol w:w="191"/>
        <w:gridCol w:w="1439"/>
        <w:gridCol w:w="888"/>
        <w:gridCol w:w="1435"/>
        <w:gridCol w:w="7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Pr>
        <w:tc>
          <w:tcPr>
            <w:tcW w:w="7301"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center"/>
              <w:rPr>
                <w:rFonts w:ascii="宋体" w:hAnsi="宋体"/>
                <w:color w:val="auto"/>
                <w:szCs w:val="21"/>
              </w:rPr>
            </w:pPr>
            <w:r>
              <w:rPr>
                <w:rFonts w:hint="eastAsia" w:ascii="宋体" w:hAnsi="宋体"/>
                <w:color w:val="auto"/>
                <w:szCs w:val="21"/>
              </w:rPr>
              <w:t>服务网点信息</w:t>
            </w:r>
          </w:p>
        </w:tc>
        <w:tc>
          <w:tcPr>
            <w:tcW w:w="74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color w:val="auto"/>
                <w:szCs w:val="21"/>
              </w:rPr>
            </w:pPr>
            <w:r>
              <w:rPr>
                <w:rFonts w:hint="eastAsia" w:ascii="宋体" w:hAnsi="宋体"/>
                <w:color w:val="auto"/>
                <w:szCs w:val="21"/>
              </w:rPr>
              <w:t>服务网点名称</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c>
          <w:tcPr>
            <w:tcW w:w="74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r>
              <w:rPr>
                <w:rFonts w:hint="eastAsia" w:ascii="宋体" w:hAnsi="宋体"/>
                <w:color w:val="auto"/>
                <w:szCs w:val="21"/>
              </w:rPr>
              <w:t>地址</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r>
              <w:rPr>
                <w:rFonts w:hint="eastAsia" w:ascii="宋体" w:hAnsi="宋体"/>
                <w:color w:val="auto"/>
                <w:szCs w:val="21"/>
              </w:rPr>
              <w:t>注册资本金</w:t>
            </w:r>
          </w:p>
        </w:tc>
        <w:tc>
          <w:tcPr>
            <w:tcW w:w="16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c>
          <w:tcPr>
            <w:tcW w:w="251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r>
              <w:rPr>
                <w:rFonts w:hint="eastAsia" w:ascii="宋体" w:hAnsi="宋体"/>
                <w:color w:val="auto"/>
                <w:szCs w:val="21"/>
              </w:rPr>
              <w:t>其中：投标人出资比例</w:t>
            </w:r>
          </w:p>
        </w:tc>
        <w:tc>
          <w:tcPr>
            <w:tcW w:w="14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c>
          <w:tcPr>
            <w:tcW w:w="74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r>
              <w:rPr>
                <w:rFonts w:hint="eastAsia" w:ascii="宋体" w:hAnsi="宋体"/>
                <w:color w:val="auto"/>
                <w:szCs w:val="21"/>
              </w:rPr>
              <w:t>员工总人数</w:t>
            </w:r>
          </w:p>
        </w:tc>
        <w:tc>
          <w:tcPr>
            <w:tcW w:w="162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c>
          <w:tcPr>
            <w:tcW w:w="251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ind w:left="60"/>
              <w:jc w:val="left"/>
              <w:rPr>
                <w:rFonts w:ascii="宋体" w:hAnsi="宋体"/>
                <w:color w:val="auto"/>
                <w:szCs w:val="21"/>
              </w:rPr>
            </w:pPr>
            <w:r>
              <w:rPr>
                <w:rFonts w:hint="eastAsia" w:ascii="宋体" w:hAnsi="宋体"/>
                <w:color w:val="auto"/>
                <w:szCs w:val="21"/>
              </w:rPr>
              <w:t>其中：技术人员数</w:t>
            </w:r>
          </w:p>
        </w:tc>
        <w:tc>
          <w:tcPr>
            <w:tcW w:w="14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c>
          <w:tcPr>
            <w:tcW w:w="74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r>
              <w:rPr>
                <w:rFonts w:hint="eastAsia" w:ascii="宋体" w:hAnsi="宋体"/>
                <w:color w:val="auto"/>
                <w:szCs w:val="21"/>
              </w:rPr>
              <w:t>经营期限</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c>
          <w:tcPr>
            <w:tcW w:w="74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r>
              <w:rPr>
                <w:rFonts w:hint="eastAsia" w:ascii="宋体" w:hAnsi="宋体"/>
                <w:color w:val="auto"/>
                <w:szCs w:val="21"/>
              </w:rPr>
              <w:t>售后服务协议</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c>
          <w:tcPr>
            <w:tcW w:w="74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r>
              <w:rPr>
                <w:rFonts w:hint="eastAsia" w:ascii="宋体" w:hAnsi="宋体"/>
                <w:color w:val="auto"/>
                <w:szCs w:val="21"/>
              </w:rPr>
              <w:t>售后服务内容</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c>
          <w:tcPr>
            <w:tcW w:w="74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r>
              <w:rPr>
                <w:rFonts w:hint="eastAsia" w:ascii="宋体" w:hAnsi="宋体"/>
                <w:color w:val="auto"/>
                <w:szCs w:val="21"/>
              </w:rPr>
              <w:t>工作业绩</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c>
          <w:tcPr>
            <w:tcW w:w="74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r>
              <w:rPr>
                <w:rFonts w:hint="eastAsia" w:ascii="宋体" w:hAnsi="宋体"/>
                <w:color w:val="auto"/>
                <w:szCs w:val="21"/>
              </w:rPr>
              <w:t>服务承诺</w:t>
            </w:r>
          </w:p>
        </w:tc>
        <w:tc>
          <w:tcPr>
            <w:tcW w:w="5575"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c>
          <w:tcPr>
            <w:tcW w:w="74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r>
              <w:rPr>
                <w:rFonts w:hint="eastAsia" w:ascii="宋体" w:hAnsi="宋体"/>
                <w:color w:val="auto"/>
                <w:szCs w:val="21"/>
              </w:rPr>
              <w:t>业务咨询电话</w:t>
            </w:r>
          </w:p>
        </w:tc>
        <w:tc>
          <w:tcPr>
            <w:tcW w:w="1813"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360" w:lineRule="auto"/>
              <w:jc w:val="left"/>
              <w:rPr>
                <w:rFonts w:ascii="宋体" w:hAnsi="宋体"/>
                <w:color w:val="auto"/>
                <w:szCs w:val="21"/>
              </w:rPr>
            </w:pPr>
          </w:p>
        </w:tc>
        <w:tc>
          <w:tcPr>
            <w:tcW w:w="1439"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360" w:lineRule="auto"/>
              <w:ind w:firstLine="210" w:firstLineChars="100"/>
              <w:jc w:val="left"/>
              <w:rPr>
                <w:rFonts w:ascii="宋体" w:hAnsi="宋体"/>
                <w:color w:val="auto"/>
                <w:szCs w:val="21"/>
              </w:rPr>
            </w:pPr>
            <w:r>
              <w:rPr>
                <w:rFonts w:hint="eastAsia" w:ascii="宋体" w:hAnsi="宋体"/>
                <w:color w:val="auto"/>
                <w:szCs w:val="21"/>
              </w:rPr>
              <w:t>传</w:t>
            </w:r>
            <w:r>
              <w:rPr>
                <w:rFonts w:ascii="宋体" w:hAnsi="宋体"/>
                <w:color w:val="auto"/>
                <w:szCs w:val="21"/>
              </w:rPr>
              <w:t xml:space="preserve"> 真</w:t>
            </w:r>
          </w:p>
        </w:tc>
        <w:tc>
          <w:tcPr>
            <w:tcW w:w="2323" w:type="dxa"/>
            <w:gridSpan w:val="2"/>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360" w:lineRule="auto"/>
              <w:jc w:val="left"/>
              <w:rPr>
                <w:rFonts w:ascii="宋体" w:hAnsi="宋体"/>
                <w:color w:val="auto"/>
                <w:szCs w:val="21"/>
              </w:rPr>
            </w:pPr>
          </w:p>
        </w:tc>
        <w:tc>
          <w:tcPr>
            <w:tcW w:w="745" w:type="dxa"/>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72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r>
              <w:rPr>
                <w:rFonts w:hint="eastAsia" w:ascii="宋体" w:hAnsi="宋体"/>
                <w:color w:val="auto"/>
                <w:szCs w:val="21"/>
              </w:rPr>
              <w:t>负责人</w:t>
            </w:r>
          </w:p>
        </w:tc>
        <w:tc>
          <w:tcPr>
            <w:tcW w:w="1813"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360" w:lineRule="auto"/>
              <w:jc w:val="left"/>
              <w:rPr>
                <w:rFonts w:ascii="宋体" w:hAnsi="宋体"/>
                <w:color w:val="auto"/>
                <w:szCs w:val="21"/>
              </w:rPr>
            </w:pPr>
          </w:p>
        </w:tc>
        <w:tc>
          <w:tcPr>
            <w:tcW w:w="1439"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360" w:lineRule="auto"/>
              <w:jc w:val="left"/>
              <w:rPr>
                <w:rFonts w:ascii="宋体" w:hAnsi="宋体"/>
                <w:color w:val="auto"/>
                <w:szCs w:val="21"/>
              </w:rPr>
            </w:pPr>
            <w:r>
              <w:rPr>
                <w:rFonts w:hint="eastAsia" w:ascii="宋体" w:hAnsi="宋体"/>
                <w:color w:val="auto"/>
                <w:szCs w:val="21"/>
              </w:rPr>
              <w:t>联系电话</w:t>
            </w:r>
          </w:p>
        </w:tc>
        <w:tc>
          <w:tcPr>
            <w:tcW w:w="2323" w:type="dxa"/>
            <w:gridSpan w:val="2"/>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c>
          <w:tcPr>
            <w:tcW w:w="74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360" w:lineRule="auto"/>
              <w:jc w:val="left"/>
              <w:rPr>
                <w:rFonts w:ascii="宋体" w:hAnsi="宋体"/>
                <w:color w:val="auto"/>
                <w:szCs w:val="21"/>
              </w:rPr>
            </w:pPr>
          </w:p>
        </w:tc>
      </w:tr>
    </w:tbl>
    <w:p>
      <w:pPr>
        <w:pStyle w:val="15"/>
        <w:snapToGrid w:val="0"/>
        <w:spacing w:line="360" w:lineRule="auto"/>
        <w:rPr>
          <w:rFonts w:ascii="宋体" w:hAnsi="宋体" w:eastAsia="宋体"/>
          <w:color w:val="auto"/>
          <w:sz w:val="21"/>
          <w:szCs w:val="21"/>
          <w:u w:val="single"/>
        </w:rPr>
      </w:pPr>
      <w:r>
        <w:rPr>
          <w:rFonts w:hint="eastAsia" w:ascii="宋体" w:hAnsi="宋体" w:eastAsia="宋体"/>
          <w:color w:val="auto"/>
          <w:sz w:val="21"/>
          <w:szCs w:val="21"/>
        </w:rPr>
        <w:t>法定代表人或授权代表签字：</w:t>
      </w:r>
      <w:r>
        <w:rPr>
          <w:rFonts w:hint="eastAsia" w:ascii="宋体" w:hAnsi="宋体" w:eastAsia="宋体"/>
          <w:color w:val="auto"/>
          <w:sz w:val="21"/>
          <w:szCs w:val="21"/>
          <w:u w:val="single"/>
        </w:rPr>
        <w:t>　　　　　</w:t>
      </w:r>
    </w:p>
    <w:p>
      <w:pPr>
        <w:pStyle w:val="19"/>
        <w:snapToGrid w:val="0"/>
        <w:spacing w:line="360" w:lineRule="auto"/>
        <w:rPr>
          <w:rFonts w:hint="eastAsia" w:ascii="宋体" w:hAnsi="宋体"/>
          <w:color w:val="auto"/>
          <w:sz w:val="21"/>
          <w:szCs w:val="21"/>
        </w:rPr>
      </w:pPr>
      <w:r>
        <w:rPr>
          <w:rFonts w:hint="eastAsia" w:ascii="宋体" w:hAnsi="宋体"/>
          <w:color w:val="auto"/>
          <w:sz w:val="21"/>
          <w:szCs w:val="21"/>
        </w:rPr>
        <w:t>投标人公章：</w:t>
      </w:r>
      <w:r>
        <w:rPr>
          <w:rFonts w:ascii="宋体" w:hAnsi="宋体"/>
          <w:color w:val="auto"/>
          <w:sz w:val="21"/>
          <w:szCs w:val="21"/>
          <w:u w:val="single"/>
        </w:rPr>
        <w:t xml:space="preserve">               </w:t>
      </w:r>
      <w:r>
        <w:rPr>
          <w:rFonts w:ascii="宋体" w:hAnsi="宋体"/>
          <w:color w:val="auto"/>
          <w:sz w:val="21"/>
          <w:szCs w:val="21"/>
        </w:rPr>
        <w:t xml:space="preserve">                </w:t>
      </w:r>
      <w:r>
        <w:rPr>
          <w:rFonts w:hint="eastAsia" w:ascii="宋体" w:hAnsi="宋体"/>
          <w:color w:val="auto"/>
          <w:sz w:val="21"/>
          <w:szCs w:val="21"/>
        </w:rPr>
        <w:t>　 年</w:t>
      </w:r>
      <w:r>
        <w:rPr>
          <w:rFonts w:ascii="宋体" w:hAnsi="宋体"/>
          <w:color w:val="auto"/>
          <w:sz w:val="21"/>
          <w:szCs w:val="21"/>
        </w:rPr>
        <w:t xml:space="preserve"> </w:t>
      </w:r>
      <w:r>
        <w:rPr>
          <w:rFonts w:hint="eastAsia" w:ascii="宋体" w:hAnsi="宋体"/>
          <w:color w:val="auto"/>
          <w:sz w:val="21"/>
          <w:szCs w:val="21"/>
        </w:rPr>
        <w:t xml:space="preserve">    月     日</w:t>
      </w:r>
    </w:p>
    <w:p>
      <w:pPr>
        <w:pStyle w:val="19"/>
        <w:snapToGrid w:val="0"/>
        <w:spacing w:line="360" w:lineRule="auto"/>
        <w:rPr>
          <w:rFonts w:hint="eastAsia" w:ascii="宋体" w:hAnsi="宋体"/>
          <w:color w:val="auto"/>
          <w:sz w:val="21"/>
          <w:szCs w:val="21"/>
        </w:rPr>
      </w:pPr>
    </w:p>
    <w:p>
      <w:pPr>
        <w:pStyle w:val="19"/>
        <w:snapToGrid w:val="0"/>
        <w:spacing w:line="360" w:lineRule="auto"/>
        <w:rPr>
          <w:rFonts w:hint="eastAsia" w:ascii="宋体" w:hAnsi="宋体"/>
          <w:color w:val="auto"/>
          <w:sz w:val="21"/>
          <w:szCs w:val="21"/>
        </w:rPr>
      </w:pPr>
    </w:p>
    <w:p>
      <w:pPr>
        <w:pStyle w:val="19"/>
        <w:snapToGrid w:val="0"/>
        <w:spacing w:line="360" w:lineRule="auto"/>
        <w:rPr>
          <w:rFonts w:hint="eastAsia" w:ascii="宋体" w:hAnsi="宋体"/>
          <w:color w:val="auto"/>
          <w:sz w:val="21"/>
          <w:szCs w:val="21"/>
        </w:rPr>
      </w:pPr>
    </w:p>
    <w:p>
      <w:pPr>
        <w:pStyle w:val="19"/>
        <w:snapToGrid w:val="0"/>
        <w:spacing w:line="360" w:lineRule="auto"/>
        <w:rPr>
          <w:rFonts w:hint="eastAsia" w:ascii="宋体" w:hAnsi="宋体"/>
          <w:color w:val="auto"/>
          <w:sz w:val="21"/>
          <w:szCs w:val="21"/>
        </w:rPr>
      </w:pPr>
    </w:p>
    <w:p>
      <w:pPr>
        <w:pStyle w:val="19"/>
        <w:snapToGrid w:val="0"/>
        <w:spacing w:line="360" w:lineRule="auto"/>
        <w:rPr>
          <w:rFonts w:hint="eastAsia" w:ascii="宋体" w:hAnsi="宋体"/>
          <w:color w:val="auto"/>
          <w:sz w:val="21"/>
          <w:szCs w:val="21"/>
        </w:rPr>
      </w:pPr>
    </w:p>
    <w:p>
      <w:pPr>
        <w:pStyle w:val="19"/>
        <w:snapToGrid w:val="0"/>
        <w:spacing w:line="360" w:lineRule="auto"/>
        <w:rPr>
          <w:rFonts w:hint="eastAsia" w:ascii="宋体" w:hAnsi="宋体"/>
          <w:color w:val="auto"/>
          <w:sz w:val="21"/>
          <w:szCs w:val="21"/>
        </w:rPr>
      </w:pPr>
    </w:p>
    <w:p>
      <w:pPr>
        <w:pStyle w:val="19"/>
        <w:snapToGrid w:val="0"/>
        <w:spacing w:line="360" w:lineRule="auto"/>
        <w:rPr>
          <w:rFonts w:hint="eastAsia" w:ascii="宋体" w:hAnsi="宋体"/>
          <w:color w:val="auto"/>
          <w:sz w:val="21"/>
          <w:szCs w:val="21"/>
        </w:rPr>
      </w:pPr>
    </w:p>
    <w:p>
      <w:pPr>
        <w:pStyle w:val="19"/>
        <w:snapToGrid w:val="0"/>
        <w:spacing w:line="360" w:lineRule="auto"/>
        <w:rPr>
          <w:rFonts w:hint="eastAsia" w:ascii="宋体" w:hAnsi="宋体"/>
          <w:color w:val="auto"/>
          <w:sz w:val="21"/>
          <w:szCs w:val="21"/>
        </w:rPr>
      </w:pPr>
    </w:p>
    <w:p>
      <w:pPr>
        <w:pStyle w:val="19"/>
        <w:snapToGrid w:val="0"/>
        <w:spacing w:line="360" w:lineRule="auto"/>
        <w:rPr>
          <w:rFonts w:hint="eastAsia" w:ascii="宋体" w:hAnsi="宋体"/>
          <w:color w:val="auto"/>
          <w:sz w:val="21"/>
          <w:szCs w:val="21"/>
        </w:rPr>
      </w:pPr>
    </w:p>
    <w:p>
      <w:pPr>
        <w:pStyle w:val="19"/>
        <w:snapToGrid w:val="0"/>
        <w:spacing w:line="360" w:lineRule="auto"/>
        <w:rPr>
          <w:rFonts w:hint="eastAsia" w:ascii="宋体" w:hAnsi="宋体"/>
          <w:color w:val="auto"/>
          <w:sz w:val="21"/>
          <w:szCs w:val="21"/>
        </w:rPr>
      </w:pPr>
    </w:p>
    <w:p>
      <w:pPr>
        <w:snapToGrid w:val="0"/>
        <w:spacing w:before="50" w:after="120" w:afterLines="50" w:line="360" w:lineRule="auto"/>
        <w:jc w:val="left"/>
        <w:rPr>
          <w:rFonts w:hint="eastAsia" w:ascii="宋体" w:hAnsi="宋体"/>
          <w:color w:val="auto"/>
          <w:szCs w:val="21"/>
        </w:rPr>
      </w:pPr>
      <w:r>
        <w:rPr>
          <w:rFonts w:hint="eastAsia" w:ascii="宋体" w:hAnsi="宋体"/>
          <w:color w:val="auto"/>
          <w:szCs w:val="21"/>
        </w:rPr>
        <w:t>四.质保期后备品备件清单及价格表（供参考格式）：</w:t>
      </w:r>
    </w:p>
    <w:p>
      <w:pPr>
        <w:snapToGrid w:val="0"/>
        <w:spacing w:before="50" w:after="120" w:afterLines="50" w:line="360" w:lineRule="auto"/>
        <w:jc w:val="left"/>
        <w:rPr>
          <w:rFonts w:ascii="宋体" w:hAnsi="宋体"/>
          <w:color w:val="auto"/>
          <w:szCs w:val="21"/>
        </w:rPr>
      </w:pPr>
      <w:r>
        <w:rPr>
          <w:rFonts w:hint="eastAsia" w:ascii="宋体" w:hAnsi="宋体"/>
          <w:color w:val="auto"/>
          <w:szCs w:val="21"/>
        </w:rPr>
        <w:t>项目名称：                   项目编号：</w:t>
      </w:r>
      <w:r>
        <w:rPr>
          <w:rFonts w:hint="eastAsia" w:ascii="宋体" w:hAnsi="宋体"/>
          <w:color w:val="auto"/>
        </w:rPr>
        <w:t xml:space="preserve">                           子包号：   </w:t>
      </w:r>
    </w:p>
    <w:tbl>
      <w:tblPr>
        <w:tblStyle w:val="4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1143"/>
        <w:gridCol w:w="21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r>
              <w:rPr>
                <w:rFonts w:hint="eastAsia" w:ascii="宋体" w:hAnsi="宋体"/>
                <w:color w:val="auto"/>
                <w:szCs w:val="21"/>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r>
              <w:rPr>
                <w:rFonts w:hint="eastAsia" w:ascii="宋体" w:hAnsi="宋体"/>
                <w:color w:val="auto"/>
                <w:szCs w:val="21"/>
              </w:rPr>
              <w:t>备品备件名称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r>
              <w:rPr>
                <w:rFonts w:hint="eastAsia" w:ascii="宋体" w:hAnsi="宋体"/>
                <w:color w:val="auto"/>
                <w:szCs w:val="21"/>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r>
              <w:rPr>
                <w:rFonts w:hint="eastAsia" w:ascii="宋体" w:hAnsi="宋体"/>
                <w:color w:val="auto"/>
                <w:szCs w:val="21"/>
              </w:rPr>
              <w:t>规格型号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r>
              <w:rPr>
                <w:rFonts w:hint="eastAsia" w:ascii="宋体" w:hAnsi="宋体"/>
                <w:color w:val="auto"/>
                <w:szCs w:val="21"/>
              </w:rPr>
              <w:t>单位及数量</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r>
              <w:rPr>
                <w:rFonts w:hint="eastAsia" w:ascii="宋体" w:hAnsi="宋体"/>
                <w:color w:val="auto"/>
                <w:szCs w:val="21"/>
              </w:rPr>
              <w:t>产地</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r>
              <w:rPr>
                <w:rFonts w:hint="eastAsia" w:ascii="宋体" w:hAnsi="宋体"/>
                <w:color w:val="auto"/>
                <w:szCs w:val="21"/>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p>
            <w:pPr>
              <w:snapToGrid w:val="0"/>
              <w:spacing w:before="50" w:after="50" w:line="360" w:lineRule="auto"/>
              <w:jc w:val="center"/>
              <w:rPr>
                <w:rFonts w:ascii="宋体" w:hAnsi="宋体"/>
                <w:color w:val="auto"/>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216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216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216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2164" w:type="dxa"/>
            <w:tcBorders>
              <w:top w:val="single" w:color="auto" w:sz="4" w:space="0"/>
              <w:left w:val="single" w:color="auto" w:sz="4" w:space="0"/>
              <w:bottom w:val="nil"/>
              <w:right w:val="single" w:color="auto" w:sz="4" w:space="0"/>
            </w:tcBorders>
            <w:noWrap w:val="0"/>
            <w:vAlign w:val="center"/>
          </w:tcPr>
          <w:p>
            <w:pPr>
              <w:snapToGrid w:val="0"/>
              <w:spacing w:before="50" w:after="50"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ind w:left="480" w:hanging="480"/>
              <w:jc w:val="center"/>
              <w:rPr>
                <w:rFonts w:ascii="宋体" w:hAnsi="宋体"/>
                <w:color w:val="auto"/>
                <w:szCs w:val="21"/>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c>
          <w:tcPr>
            <w:tcW w:w="216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ascii="宋体" w:hAnsi="宋体"/>
                <w:color w:val="auto"/>
                <w:szCs w:val="21"/>
              </w:rPr>
            </w:pPr>
          </w:p>
        </w:tc>
      </w:tr>
    </w:tbl>
    <w:p>
      <w:pPr>
        <w:snapToGrid w:val="0"/>
        <w:spacing w:before="50" w:after="50" w:line="360" w:lineRule="auto"/>
        <w:rPr>
          <w:rFonts w:ascii="宋体" w:hAnsi="宋体"/>
          <w:color w:val="auto"/>
          <w:spacing w:val="20"/>
          <w:szCs w:val="21"/>
          <w:u w:val="single"/>
        </w:rPr>
      </w:pPr>
      <w:r>
        <w:rPr>
          <w:rFonts w:hint="eastAsia" w:ascii="宋体" w:hAnsi="宋体"/>
          <w:color w:val="auto"/>
          <w:spacing w:val="20"/>
          <w:szCs w:val="21"/>
        </w:rPr>
        <w:t>授权代表签名：</w:t>
      </w:r>
      <w:r>
        <w:rPr>
          <w:rFonts w:ascii="宋体" w:hAnsi="宋体"/>
          <w:color w:val="auto"/>
          <w:spacing w:val="20"/>
          <w:szCs w:val="21"/>
          <w:u w:val="single"/>
        </w:rPr>
        <w:t xml:space="preserve">        </w:t>
      </w:r>
    </w:p>
    <w:p>
      <w:pPr>
        <w:snapToGrid w:val="0"/>
        <w:spacing w:before="50" w:after="50" w:line="360" w:lineRule="auto"/>
        <w:rPr>
          <w:rFonts w:ascii="宋体" w:hAnsi="宋体"/>
          <w:color w:val="auto"/>
          <w:szCs w:val="21"/>
        </w:rPr>
      </w:pPr>
      <w:r>
        <w:rPr>
          <w:rFonts w:hint="eastAsia" w:ascii="宋体" w:hAnsi="宋体"/>
          <w:color w:val="auto"/>
          <w:spacing w:val="20"/>
          <w:szCs w:val="21"/>
        </w:rPr>
        <w:t>投标人盖章：</w:t>
      </w:r>
      <w:r>
        <w:rPr>
          <w:rFonts w:ascii="宋体" w:hAnsi="宋体"/>
          <w:color w:val="auto"/>
          <w:spacing w:val="20"/>
          <w:szCs w:val="21"/>
          <w:u w:val="single"/>
        </w:rPr>
        <w:t xml:space="preserve">            </w:t>
      </w:r>
      <w:r>
        <w:rPr>
          <w:rFonts w:ascii="宋体" w:hAnsi="宋体"/>
          <w:color w:val="auto"/>
          <w:spacing w:val="20"/>
          <w:szCs w:val="21"/>
        </w:rPr>
        <w:t xml:space="preserve">              </w:t>
      </w:r>
      <w:r>
        <w:rPr>
          <w:rFonts w:hint="eastAsia" w:ascii="宋体" w:hAnsi="宋体"/>
          <w:color w:val="auto"/>
          <w:spacing w:val="20"/>
          <w:szCs w:val="21"/>
        </w:rPr>
        <w:t>日</w:t>
      </w:r>
      <w:r>
        <w:rPr>
          <w:rFonts w:ascii="宋体" w:hAnsi="宋体"/>
          <w:color w:val="auto"/>
          <w:spacing w:val="20"/>
          <w:szCs w:val="21"/>
        </w:rPr>
        <w:t xml:space="preserve">  </w:t>
      </w:r>
      <w:r>
        <w:rPr>
          <w:rFonts w:hint="eastAsia" w:ascii="宋体" w:hAnsi="宋体"/>
          <w:color w:val="auto"/>
          <w:spacing w:val="20"/>
          <w:szCs w:val="21"/>
        </w:rPr>
        <w:t>期：</w:t>
      </w:r>
      <w:r>
        <w:rPr>
          <w:rFonts w:ascii="宋体" w:hAnsi="宋体"/>
          <w:color w:val="auto"/>
          <w:spacing w:val="20"/>
          <w:szCs w:val="21"/>
          <w:u w:val="single"/>
        </w:rPr>
        <w:t xml:space="preserve">          </w:t>
      </w:r>
    </w:p>
    <w:p>
      <w:pPr>
        <w:snapToGrid w:val="0"/>
        <w:spacing w:before="50" w:after="120" w:afterLines="50" w:line="360" w:lineRule="auto"/>
        <w:jc w:val="left"/>
        <w:rPr>
          <w:rFonts w:ascii="宋体" w:hAnsi="宋体"/>
          <w:color w:val="auto"/>
          <w:szCs w:val="21"/>
        </w:rPr>
      </w:pPr>
    </w:p>
    <w:p>
      <w:pPr>
        <w:snapToGrid w:val="0"/>
        <w:spacing w:before="50" w:after="120" w:afterLines="50" w:line="360" w:lineRule="auto"/>
        <w:jc w:val="left"/>
        <w:rPr>
          <w:rFonts w:ascii="宋体" w:hAnsi="宋体"/>
          <w:color w:val="auto"/>
          <w:szCs w:val="21"/>
        </w:rPr>
      </w:pPr>
    </w:p>
    <w:p>
      <w:pPr>
        <w:snapToGrid w:val="0"/>
        <w:spacing w:before="50" w:after="120" w:afterLines="50" w:line="360" w:lineRule="auto"/>
        <w:jc w:val="left"/>
        <w:rPr>
          <w:rFonts w:ascii="宋体" w:hAnsi="宋体"/>
          <w:color w:val="auto"/>
          <w:szCs w:val="21"/>
        </w:rPr>
      </w:pPr>
    </w:p>
    <w:p>
      <w:pPr>
        <w:spacing w:line="600" w:lineRule="exact"/>
        <w:rPr>
          <w:rFonts w:hint="eastAsia"/>
          <w:color w:val="auto"/>
        </w:rPr>
      </w:pPr>
    </w:p>
    <w:p>
      <w:pPr>
        <w:spacing w:line="360" w:lineRule="auto"/>
        <w:rPr>
          <w:rFonts w:hint="eastAsia" w:ascii="宋体" w:hAnsi="宋体"/>
          <w:color w:val="auto"/>
          <w:szCs w:val="21"/>
        </w:rPr>
      </w:pPr>
    </w:p>
    <w:sectPr>
      <w:headerReference r:id="rId26" w:type="default"/>
      <w:footerReference r:id="rId27" w:type="default"/>
      <w:footerReference r:id="rId28" w:type="even"/>
      <w:pgSz w:w="11906" w:h="16838"/>
      <w:pgMar w:top="1440" w:right="1440" w:bottom="1440" w:left="161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
    <w:altName w:val="Malgun Gothic"/>
    <w:panose1 w:val="00000000000000000000"/>
    <w:charset w:val="81"/>
    <w:family w:val="auto"/>
    <w:pitch w:val="default"/>
    <w:sig w:usb0="00000000" w:usb1="00000000" w:usb2="00000010" w:usb3="00000000" w:csb0="0008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華康辦公用具篇">
    <w:altName w:val="MS Gothic"/>
    <w:panose1 w:val="05050102010706020507"/>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汉鼎简细圆">
    <w:altName w:val="宋体"/>
    <w:panose1 w:val="00000000000000000000"/>
    <w:charset w:val="86"/>
    <w:family w:val="modern"/>
    <w:pitch w:val="default"/>
    <w:sig w:usb0="00000001" w:usb1="080E0000" w:usb2="00000010" w:usb3="00000000" w:csb0="00040000" w:csb1="00000000"/>
  </w:font>
  <w:font w:name="Courier">
    <w:altName w:val="Courier New"/>
    <w:panose1 w:val="02070409020205020404"/>
    <w:charset w:val="00"/>
    <w:family w:val="modern"/>
    <w:pitch w:val="default"/>
    <w:sig w:usb0="00000003" w:usb1="00000000" w:usb2="00000000" w:usb3="00000000" w:csb0="00000001" w:csb1="00000000"/>
  </w:font>
  <w:font w:name="Helvetica">
    <w:altName w:val="Arial"/>
    <w:panose1 w:val="020B0504020202020204"/>
    <w:charset w:val="00"/>
    <w:family w:val="swiss"/>
    <w:pitch w:val="default"/>
    <w:sig w:usb0="00000003"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3"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Malgun Gothic">
    <w:panose1 w:val="020B0503020000020004"/>
    <w:charset w:val="81"/>
    <w:family w:val="auto"/>
    <w:pitch w:val="default"/>
    <w:sig w:usb0="9000002F" w:usb1="29D77CFB" w:usb2="00000012" w:usb3="00000000" w:csb0="0008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49</w:t>
                          </w:r>
                          <w:r>
                            <w:rPr>
                              <w:rFonts w:hint="eastAsia"/>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FjvMgMsBAACcAwAADgAAAGRycy9lMm9Eb2MueG1srVPNjtMwEL4j8Q6W 79RphVZV1HQFqhYhIUBaeADXsRtL/pPHbdIXgDfgxIU7z9XnYOwk3WW57IGLM54ZfzPfN5PN7WAN OckI2ruGLhcVJdIJ32p3aOjXL3ev1pRA4q7lxjvZ0LMEert9+WLTh1qufOdNKyNBEAd1HxrapRRq xkB00nJY+CAdBpWPlie8xgNrI+8R3Rq2qqob1vvYhuiFBEDvbgzSCTE+B9ArpYXceXG00qURNUrD E1KCTgeg29KtUlKkT0qBTMQ0FJmmcmIRtPf5ZNsNrw+Rh06LqQX+nBaecLJcOyx6hdrxxMkx6n+g rBbRg1dpIbxlI5GiCLJYVk+0ue94kIULSg3hKjr8P1jx8fQ5Et029IYSxy0O/PLj++Xn78uvb2RZ vV5mhfoANSbeB0xNw1s/4N7MfkBnJj6oaPMXKRGMo77nq75ySETkR+vVel1hSGBsviA+e3geIqR3 0luSjYZGHGDRlZ8+QBpT55Rczfk7bUwZonF/ORAze1jufewxW2nYDxOhvW/PyKfH2TfU4apTYt47 lDavyWzE2djPxjFEfejKHuV6EN4cEzZRessVRtipMA6tsJsWLG/F43vJeviptn8A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BY7zIDLAQAAnAMAAA4AAAAAAAAAAQAgAAAAHgEAAGRycy9lMm9E b2MueG1sUEsFBgAAAAAGAAYAWQEAAFsFAAAAAA== ">
              <v:fill on="f" focussize="0,0"/>
              <v:stroke on="f"/>
              <v:imagedata o:title=""/>
              <o:lock v:ext="edit" aspectratio="f"/>
              <v:textbox inset="0mm,0mm,0mm,0mm" style="mso-fit-shape-to-text:t;">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49</w:t>
                    </w:r>
                    <w:r>
                      <w:rPr>
                        <w:rFonts w:hint="eastAsia"/>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szCs w:val="24"/>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101</w:t>
                          </w:r>
                          <w:r>
                            <w:rPr>
                              <w:rFonts w:hint="eastAsia"/>
                            </w:rPr>
                            <w:fldChar w:fldCharType="end"/>
                          </w:r>
                        </w:p>
                      </w:txbxContent>
                    </wps:txbx>
                    <wps:bodyPr wrap="none" lIns="0" tIns="0" rIns="0" bIns="0" upright="0">
                      <a:spAutoFit/>
                    </wps:bodyPr>
                  </wps:wsp>
                </a:graphicData>
              </a:graphic>
            </wp:anchor>
          </w:drawing>
        </mc:Choice>
        <mc:Fallback>
          <w:pict>
            <v:shape id="文本框 104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3rzxAMoBAACcAwAADgAAAGRycy9lMm9Eb2MueG1srVPNjtMwEL4j8Q6W 79RphaCKmq5A1SIkBEjLPoDr2I0l/8njNukLwBtw4sKd5+pzMHaSLiyXPXBxxjPjb+b7ZrK5Gawh JxlBe9fQ5aKiRDrhW+0ODb3/cvtiTQkk7lpuvJMNPUugN9vnzzZ9qOXKd960MhIEcVD3oaFdSqFm DEQnLYeFD9JhUPloecJrPLA28h7RrWGrqnrFeh/bEL2QAOjdjUE6IcanAHqltJA7L45WujSiRml4 QkrQ6QB0W7pVSor0SSmQiZiGItNUTiyC9j6fbLvh9SHy0GkxtcCf0sIjTpZrh0WvUDueODlG/Q+U 1SJ68CothLdsJFIUQRbL6pE2dx0PsnBBqSFcRYf/Bys+nj5HotuGvqbEcYsDv3z/dvnx6/LzK1lW L1dZoT5AjYl3AVPT8NYPuDezH9CZiQ8q2vxFSgTjqO/5qq8cEhH50Xq1XlcYEhibL4jPHp6HCOmd 9JZko6ERB1h05acPkMbUOSVXc/5WG1OGaNxfDsTMHpZ7H3vMVhr2w0Ro79sz8ulx9g11uOqUmPcO pc1rMhtxNvazcQxRH7qyR7kehDfHhE2U3nKFEXYqjEMr7KYFy1vx571kPfxU299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3rzxAMoBAACcAwAADgAAAAAAAAABACAAAAAeAQAAZHJzL2Uyb0Rv Yy54bWxQSwUGAAAAAAYABgBZAQAAWgUAAAAA ">
              <v:fill on="f" focussize="0,0"/>
              <v:stroke on="f"/>
              <v:imagedata o:title=""/>
              <o:lock v:ext="edit" aspectratio="f"/>
              <v:textbox inset="0mm,0mm,0mm,0mm" style="mso-fit-shape-to-text:t;">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101</w:t>
                    </w:r>
                    <w:r>
                      <w:rPr>
                        <w:rFonts w:hint="eastAsia"/>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6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83</w:t>
                          </w:r>
                          <w:r>
                            <w:rPr>
                              <w:rFonts w:hint="eastAsia"/>
                            </w:rPr>
                            <w:fldChar w:fldCharType="end"/>
                          </w:r>
                        </w:p>
                      </w:txbxContent>
                    </wps:txbx>
                    <wps:bodyPr wrap="none" lIns="0" tIns="0" rIns="0" bIns="0" upright="0">
                      <a:spAutoFit/>
                    </wps:bodyPr>
                  </wps:wsp>
                </a:graphicData>
              </a:graphic>
            </wp:anchor>
          </w:drawing>
        </mc:Choice>
        <mc:Fallback>
          <w:pict>
            <v:shape id="文本框 1043"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s1osgsoBAACcAwAADgAAAGRycy9lMm9Eb2MueG1srVPNjtMwEL4j8Q6W 79RpQaiKmq5A1SIkBEjLPoDr2I0l/8njNukLwBtw4sKd5+pzMHaSLiyXPXBxxjPjb+b7ZrK5Gawh JxlBe9fQ5aKiRDrhW+0ODb3/cvtiTQkk7lpuvJMNPUugN9vnzzZ9qOXKd960MhIEcVD3oaFdSqFm DEQnLYeFD9JhUPloecJrPLA28h7RrWGrqnrNeh/bEL2QAOjdjUE6IcanAHqltJA7L45WujSiRml4 QkrQ6QB0W7pVSor0SSmQiZiGItNUTiyC9j6fbLvh9SHy0GkxtcCf0sIjTpZrh0WvUDueODlG/Q+U 1SJ68CothLdsJFIUQRbL6pE2dx0PsnBBqSFcRYf/Bys+nj5HotuG4tgdtzjwy/dvlx+/Lj+/kmX1 6mVWqA9QY+JdwNQ0vPUD7s3sB3Rm4oOKNn+REsE46nu+6iuHRER+tF6t1xWGBMbmC+Kzh+chQnon vSXZaGjEARZd+ekDpDF1TsnVnL/VxpQhGveXAzGzh+Xexx6zlYb9MBHa+/aMfHqcfUMdrjol5r1D afOazEacjf1sHEPUh67sUa4H4c0xYROlt1xhhJ0K49AKu2nB8lb8eS9ZDz/V9jd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s1osgsoBAACcAwAADgAAAAAAAAABACAAAAAeAQAAZHJzL2Uyb0Rv Yy54bWxQSwUGAAAAAAYABgBZAQAAWgUAAAAA ">
              <v:fill on="f" focussize="0,0"/>
              <v:stroke on="f"/>
              <v:imagedata o:title=""/>
              <o:lock v:ext="edit" aspectratio="f"/>
              <v:textbox inset="0mm,0mm,0mm,0mm" style="mso-fit-shape-to-text:t;">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83</w:t>
                    </w:r>
                    <w:r>
                      <w:rPr>
                        <w:rFonts w:hint="eastAsia"/>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firstLine="360"/>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103</w:t>
                          </w:r>
                          <w:r>
                            <w:rPr>
                              <w:rFonts w:hint="eastAsia"/>
                            </w:rPr>
                            <w:fldChar w:fldCharType="end"/>
                          </w:r>
                        </w:p>
                      </w:txbxContent>
                    </wps:txbx>
                    <wps:bodyPr wrap="none" lIns="0" tIns="0" rIns="0" bIns="0" upright="0">
                      <a:spAutoFit/>
                    </wps:bodyPr>
                  </wps:wsp>
                </a:graphicData>
              </a:graphic>
            </wp:anchor>
          </w:drawing>
        </mc:Choice>
        <mc:Fallback>
          <w:pict>
            <v:shape id="文本框 1044"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f8lcb8sBAACcAwAADgAAAGRycy9lMm9Eb2MueG1srVPNjtMwEL4j8Q6W 79RptUIlaroCVYuQECAtPIDr2I0l/8njNukLwBtw4sKd5+pzMHaSLiyXPXBxxjPjb+b7ZrK5Hawh JxlBe9fQ5aKiRDrhW+0ODf3y+e7FmhJI3LXceCcbepZAb7fPn236UMuV77xpZSQI4qDuQ0O7lELN GIhOWg4LH6TDoPLR8oTXeGBt5D2iW8NWVfWS9T62IXohAdC7G4N0QoxPAfRKaSF3XhytdGlEjdLw hJSg0wHotnSrlBTpo1IgEzENRaapnFgE7X0+2XbD60PkodNiaoE/pYVHnCzXDoteoXY8cXKM+h8o q0X04FVaCG/ZSKQogiyW1SNt7jseZOGCUkO4ig7/D1Z8OH2KRLcNfUWJ4xYHfvn+7fLj1+XnV7Ks bm6yQn2AGhPvA6am4Y0fcG9mP6AzEx9UtPmLlAjGUd/zVV85JCLyo/Vqva4wJDA2XxCfPTwPEdJb 6S3JRkMjDrDoyk/vIY2pc0qu5vydNqYM0bi/HIiZPSz3PvaYrTTsh4nQ3rdn5NPj7BvqcNUpMe8c SpvXZDbibOxn4xiiPnRlj3I9CK+PCZsoveUKI+xUGIdW2E0Llrfiz3vJeviptr8B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H/JXG/LAQAAnAMAAA4AAAAAAAAAAQAgAAAAHgEAAGRycy9lMm9E b2MueG1sUEsFBgAAAAAGAAYAWQEAAFsFAAAAAA== ">
              <v:fill on="f" focussize="0,0"/>
              <v:stroke on="f"/>
              <v:imagedata o:title=""/>
              <o:lock v:ext="edit" aspectratio="f"/>
              <v:textbox inset="0mm,0mm,0mm,0mm" style="mso-fit-shape-to-text:t;">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103</w:t>
                    </w:r>
                    <w:r>
                      <w:rPr>
                        <w:rFonts w:hint="eastAsia"/>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53"/>
      </w:rPr>
    </w:pPr>
    <w:r>
      <w:fldChar w:fldCharType="begin"/>
    </w:r>
    <w:r>
      <w:rPr>
        <w:rStyle w:val="53"/>
      </w:rPr>
      <w:instrText xml:space="preserve">PAGE  </w:instrText>
    </w:r>
    <w:r>
      <w:fldChar w:fldCharType="separate"/>
    </w:r>
    <w:r>
      <w:fldChar w:fldCharType="end"/>
    </w:r>
  </w:p>
  <w:p>
    <w:pPr>
      <w:pStyle w:val="3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17</w:t>
                          </w:r>
                          <w:r>
                            <w:rPr>
                              <w:rFonts w:hint="eastAsia"/>
                              <w:sz w:val="18"/>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neBz6csBAACcAwAADgAAAGRycy9lMm9Eb2MueG1srVPNjtMwEL4j8Q6W 79RpkVAVNV3tqlqEhABp4QFcx24s+U8et0lfAN6AExfuPFefg7GTdGG57IGLM54ZfzPfN5PNzWAN OckI2ruGLhcVJdIJ32p3aOiXz/ev1pRA4q7lxjvZ0LMEerN9+WLTh1qufOdNKyNBEAd1HxrapRRq xkB00nJY+CAdBpWPlie8xgNrI+8R3Rq2qqo3rPexDdELCYDe3RikE2J8DqBXSgu58+JopUsjapSG J6QEnQ5At6VbpaRIH5UCmYhpKDJN5cQiaO/zybYbXh8iD50WUwv8OS084WS5dlj0CrXjiZNj1P9A WS2iB6/SQnjLRiJFEWSxrJ5o89DxIAsXlBrCVXT4f7Diw+lTJLrFTaDEcYsDv3z/dvnx6/LzK1lW r5dZoT5AjYkPAVPTcOeHnD35AZ2Z+KCizV+kRDCO+p6v+sohEZEfrVfrdYUhgbH5gjjs8XmIkN5K b0k2GhpxgEVXfnoPaUydU3I15++1MejntXF/ORAze1jufewxW2nYD1Pje9+ekU+Ps2+ow1WnxLxz KG1ek9mIs7GfjWOI+tCVPcr1INweEzZRessVRtipMA6tsJsWLG/Fn/eS9fhTbX8D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J3gc+nLAQAAnAMAAA4AAAAAAAAAAQAgAAAAHgEAAGRycy9lMm9E b2MueG1sUEsFBgAAAAAGAAYAWQEAAFsFAAAAAA== ">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17</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3</w:t>
                          </w:r>
                          <w:r>
                            <w:rPr>
                              <w:rFonts w:hint="eastAsia"/>
                            </w:rPr>
                            <w:fldChar w:fldCharType="end"/>
                          </w:r>
                        </w:p>
                      </w:txbxContent>
                    </wps:txbx>
                    <wps:bodyPr wrap="none" lIns="0" tIns="0" rIns="0" bIns="0" upright="0">
                      <a:spAutoFit/>
                    </wps:bodyPr>
                  </wps:wsp>
                </a:graphicData>
              </a:graphic>
            </wp:anchor>
          </w:drawing>
        </mc:Choice>
        <mc:Fallback>
          <w:pict>
            <v:shape id="文本框 103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h6Gxn8oBAACcAwAADgAAAGRycy9lMm9Eb2MueG1srVPNjtMwEL4j8Q6W 79RpkaCKmq5A1SIkBEjLPoDr2I0l/8njNukLwBtw4sKd5+pzMHaSLiyXPXBxxjPjb+b7ZrK5Gawh JxlBe9fQ5aKiRDrhW+0ODb3/cvtiTQkk7lpuvJMNPUugN9vnzzZ9qOXKd960MhIEcVD3oaFdSqFm DEQnLYeFD9JhUPloecJrPLA28h7RrWGrqnrFeh/bEL2QAOjdjUE6IcanAHqltJA7L45WujSiRml4 QkrQ6QB0W7pVSor0SSmQiZiGItNUTiyC9j6fbLvh9SHy0GkxtcCf0sIjTpZrh0WvUDueODlG/Q+U 1SJ68CothLdsJFIUQRbL6pE2dx0PsnBBqSFcRYf/Bys+nj5HotuGrihx3OLAL9+/XX78uvz8SpbV y9dZoT5AjYl3AVPT8NYPuDezH9CZiQ8q2vxFSgTjqO/5qq8cEhH50Xq1XlcYEhibL4jPHp6HCOmd 9JZko6ERB1h05acPkMbUOSVXc/5WG1OGaNxfDsTMHpZ7H3vMVhr2w0Ro79sz8ulx9g11uOqUmPcO pc1rMhtxNvazcQxRH7qyR7kehDfHhE2U3nKFEXYqjEMr7KYFy1vx571kPfxU299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h6Gxn8oBAACcAwAADgAAAAAAAAABACAAAAAeAQAAZHJzL2Uyb0Rv Yy54bWxQSwUGAAAAAAYABgBZAQAAWgUAAAAA ">
              <v:fill on="f" focussize="0,0"/>
              <v:stroke on="f"/>
              <v:imagedata o:title=""/>
              <o:lock v:ext="edit" aspectratio="f"/>
              <v:textbox inset="0mm,0mm,0mm,0mm" style="mso-fit-shape-to-text:t;">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3</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QxpbqMsBAACcAwAADgAAAGRycy9lMm9Eb2MueG1srVNLbtswEN0XyB0I 7mPKDlAIguWghZEiQNAWSHsAmqIsAvyBQ1vyBdobdNVN9z2Xz9EhJTlpusmiG2o4M3wz781ofTsY TY4ygHK2pstFQYm0wjXK7mv69cvddUkJRG4brp2VNT1JoLebqzfr3ldy5TqnGxkIglioel/TLkZf MQaik4bDwnlpMdi6YHjEa9izJvAe0Y1mq6J4y3oXGh+ckADo3Y5BOiGG1wC6tlVCbp04GGnjiBqk 5hEpQac80E3utm2liJ/aFmQkuqbINOYTi6C9SyfbrHm1D9x3Skwt8Ne08IKT4cpi0QvUlkdODkH9 A2WUCA5cGxfCGTYSyYogi2XxQpvHjnuZuaDU4C+iw/+DFR+PnwNRTU1vKLHc4MDPP76ff/4+//pG lsVNmRTqPVSY+OgxNQ7v3YB7M/sBnYn40AaTvkiJYBz1PV30lUMkIj0qV2VZYEhgbL4gPnt67gPE D9IZkoyaBhxg1pUfHyCOqXNKqmbdndI6D1HbvxyImTws9T72mKw47IaJ0M41J+TT4+xranHVKdH3 FqVNazIbYTZ2s3HwQe27vEepHvh3h4hN5N5ShRF2KoxDy+ymBUtb8fyes55+qs0f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EMaW6jLAQAAnAMAAA4AAAAAAAAAAQAgAAAAHgEAAGRycy9lMm9E b2MueG1sUEsFBgAAAAAGAAYAWQEAAFsFAAAAAA== ">
              <v:fill on="f" focussize="0,0"/>
              <v:stroke on="f"/>
              <v:imagedata o:title=""/>
              <o:lock v:ext="edit" aspectratio="f"/>
              <v:textbox inset="0mm,0mm,0mm,0mm" style="mso-fit-shape-to-text:t;">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48</w:t>
                          </w:r>
                          <w:r>
                            <w:rPr>
                              <w:rFonts w:hint="eastAsia"/>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samTRMoBAACcAwAADgAAAGRycy9lMm9Eb2MueG1srVNNrtMwEN4jcQfL e+q0IFSipk+g6iEkBEgPDuA6dmPJf/K4TXoBuAErNuw5V8/B2En64LF5CzbOeGb8zXzfTDY3gzXk JCNo7xq6XFSUSCd8q92hoV8+3z5bUwKJu5Yb72RDzxLozfbpk00farnynTetjARBHNR9aGiXUqgZ A9FJy2Hhg3QYVD5anvAaD6yNvEd0a9iqql6y3sc2RC8kAHp3Y5BOiPExgF4pLeTOi6OVLo2oURqe kBJ0OgDdlm6VkiJ9VApkIqahyDSVE4ugvc8n2254fYg8dFpMLfDHtPCAk+XaYdEr1I4nTo5R/wNl tYgevEoL4S0biRRFkMWyeqDNXceDLFxQaghX0eH/wYoPp0+R6LahLyhx3OLAL9+/XX78uvz8SpbV 81dZoT5AjYl3AVPT8MYPuDezH9CZiQ8q2vxFSgTjqO/5qq8cEhH50Xq1XlcYEhibL4jP7p+HCOmt 9JZko6ERB1h05af3kMbUOSVXc/5WG1OGaNxfDsTMHpZ7H3vMVhr2w0Ro79sz8ulx9g11uOqUmHcO pc1rMhtxNvazcQxRH7qyR7kehNfHhE2U3nKFEXYqjEMr7KYFy1vx571k3f9U299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AyBAAAW0NvbnRlbnRf VHlwZXNdLnhtbFBLAQIUAAoAAAAAAIdO4kAAAAAAAAAAAAAAAAAGAAAAAAAAAAAAEAAAABQDAABf cmVscy9QSwECFAAUAAAACACHTuJAihRmPNEAAACUAQAACwAAAAAAAAABACAAAAA4AwAAX3JlbHMv LnJlbHNQSwECFAAKAAAAAACHTuJAAAAAAAAAAAAAAAAABAAAAAAAAAAAABAAAAAAAAAAZHJzL1BL AQIUABQAAAAIAIdO4kDOqXm5zwAAAAUBAAAPAAAAAAAAAAEAIAAAACIAAABkcnMvZG93bnJldi54 bWxQSwECFAAUAAAACACHTuJAsamTRMoBAACcAwAADgAAAAAAAAABACAAAAAeAQAAZHJzL2Uyb0Rv Yy54bWxQSwUGAAAAAAYABgBZAQAAWgUAAAAA ">
              <v:fill on="f" focussize="0,0"/>
              <v:stroke on="f"/>
              <v:imagedata o:title=""/>
              <o:lock v:ext="edit" aspectratio="f"/>
              <v:textbox inset="0mm,0mm,0mm,0mm" style="mso-fit-shape-to-text:t;">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48</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szCs w:val="24"/>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70</w:t>
                          </w:r>
                          <w:r>
                            <w:rPr>
                              <w:rFonts w:hint="eastAsia"/>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C6G2tssBAACcAwAADgAAAGRycy9lMm9Eb2MueG1srVNLjtswDN0X6B0E 7SdygmkRGHEGLYIpChRtgekcQJHlWIB+EJXYuUB7g6666b7nyjlKyXYyn80sZiNTJPXI90ivbnqj yUEGUM5WdD4rKJFWuFrZXUXvf9xeLSmByG3NtbOyokcJ9Gb99s2q86VcuNbpWgaCIBbKzle0jdGX jIFopeEwc15aDDYuGB7xGnasDrxDdKPZoijes86F2gcnJAB6N0OQjojhJYCuaZSQGyf2Rto4oAap eURK0CoPdJ27bRop4remARmJrigyjfnEImhv08nWK17uAvetEmML/CUtPOFkuLJY9Ay14ZGTfVDP oIwSwYFr4kw4wwYiWRFkMS+eaHPXci8zF5Qa/Fl0eD1Y8fXwPRBVV/QdJZYbHPjp96/Tn3+nvz/J vLjOCnUeSky885ga+4+ux71JyiU/oDMR75tg0hcpEYyjvsezvrKPRKRHy8VyWWBIYGy6IA67PPcB 4ifpDElGRQMOMOvKD18gDqlTSqpm3a3SOg9R20cOxEwedukxWbHf9mPjW1cfkU+Hs6+oxVWnRH+2 KG1ak8kIk7GdjL0PatfmPUr1wH/YR2wi95YqDLBjYRxaZjcuWNqKh/ecdfmp1v8B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AuhtrbLAQAAnAMAAA4AAAAAAAAAAQAgAAAAHgEAAGRycy9lMm9E b2MueG1sUEsFBgAAAAAGAAYAWQEAAFsFAAAAAA== ">
              <v:fill on="f" focussize="0,0"/>
              <v:stroke on="f"/>
              <v:imagedata o:title=""/>
              <o:lock v:ext="edit" aspectratio="f"/>
              <v:textbox inset="0mm,0mm,0mm,0mm" style="mso-fit-shape-to-text:t;">
                <w:txbxContent>
                  <w:p>
                    <w:pPr>
                      <w:pStyle w:val="31"/>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rPr>
                      <w:t>70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ABC3E9"/>
    <w:multiLevelType w:val="singleLevel"/>
    <w:tmpl w:val="CFABC3E9"/>
    <w:lvl w:ilvl="0" w:tentative="0">
      <w:start w:val="1"/>
      <w:numFmt w:val="decimal"/>
      <w:lvlText w:val="(%1)"/>
      <w:lvlJc w:val="left"/>
      <w:pPr>
        <w:ind w:left="425" w:hanging="425"/>
      </w:pPr>
      <w:rPr>
        <w:rFonts w:hint="default"/>
      </w:rPr>
    </w:lvl>
  </w:abstractNum>
  <w:abstractNum w:abstractNumId="1">
    <w:nsid w:val="00000004"/>
    <w:multiLevelType w:val="multilevel"/>
    <w:tmpl w:val="00000004"/>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2">
    <w:nsid w:val="00000005"/>
    <w:multiLevelType w:val="multilevel"/>
    <w:tmpl w:val="00000005"/>
    <w:lvl w:ilvl="0" w:tentative="0">
      <w:start w:val="1"/>
      <w:numFmt w:val="decimal"/>
      <w:pStyle w:val="13"/>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3">
    <w:nsid w:val="00000010"/>
    <w:multiLevelType w:val="multilevel"/>
    <w:tmpl w:val="00000010"/>
    <w:lvl w:ilvl="0" w:tentative="0">
      <w:start w:val="1"/>
      <w:numFmt w:val="chineseCountingThousand"/>
      <w:lvlText w:val="第%1章 "/>
      <w:lvlJc w:val="left"/>
      <w:pPr>
        <w:tabs>
          <w:tab w:val="left" w:pos="420"/>
        </w:tabs>
        <w:ind w:left="420" w:hanging="420"/>
      </w:pPr>
      <w:rPr>
        <w:rFonts w:hint="eastAsia"/>
      </w:rPr>
    </w:lvl>
    <w:lvl w:ilvl="1" w:tentative="0">
      <w:start w:val="1"/>
      <w:numFmt w:val="chineseCountingThousand"/>
      <w:lvlText w:val="第%2节"/>
      <w:lvlJc w:val="left"/>
      <w:pPr>
        <w:tabs>
          <w:tab w:val="left" w:pos="2315"/>
        </w:tabs>
        <w:ind w:left="2315" w:hanging="575"/>
      </w:pPr>
      <w:rPr>
        <w:rFonts w:hint="eastAsia"/>
      </w:rPr>
    </w:lvl>
    <w:lvl w:ilvl="2" w:tentative="0">
      <w:start w:val="1"/>
      <w:numFmt w:val="chineseCounting"/>
      <w:lvlText w:val="%3、"/>
      <w:lvlJc w:val="left"/>
      <w:pPr>
        <w:tabs>
          <w:tab w:val="left" w:pos="1020"/>
        </w:tabs>
        <w:ind w:left="1020" w:hanging="720"/>
      </w:pPr>
      <w:rPr>
        <w:rFonts w:hint="eastAsia" w:ascii="宋体" w:hAnsi="宋体" w:eastAsia="宋体"/>
      </w:rPr>
    </w:lvl>
    <w:lvl w:ilvl="3" w:tentative="0">
      <w:start w:val="1"/>
      <w:numFmt w:val="decimal"/>
      <w:lvlText w:val="%4"/>
      <w:lvlJc w:val="left"/>
      <w:pPr>
        <w:tabs>
          <w:tab w:val="left" w:pos="2604"/>
        </w:tabs>
        <w:ind w:left="2604" w:hanging="864"/>
      </w:pPr>
      <w:rPr>
        <w:rFonts w:hint="eastAsia" w:ascii="宋体" w:hAnsi="宋体" w:eastAsia="宋体"/>
      </w:rPr>
    </w:lvl>
    <w:lvl w:ilvl="4" w:tentative="0">
      <w:start w:val="1"/>
      <w:numFmt w:val="decimal"/>
      <w:pStyle w:val="244"/>
      <w:lvlText w:val="%3.%4.%5"/>
      <w:lvlJc w:val="left"/>
      <w:pPr>
        <w:tabs>
          <w:tab w:val="left" w:pos="1008"/>
        </w:tabs>
        <w:ind w:left="1008" w:hanging="1008"/>
      </w:pPr>
      <w:rPr>
        <w:rFonts w:hint="eastAsia"/>
      </w:rPr>
    </w:lvl>
    <w:lvl w:ilvl="5" w:tentative="0">
      <w:start w:val="1"/>
      <w:numFmt w:val="decimal"/>
      <w:lvlText w:val="%1.%2.%3.%4.%5.%6."/>
      <w:lvlJc w:val="left"/>
      <w:pPr>
        <w:tabs>
          <w:tab w:val="left" w:pos="1151"/>
        </w:tabs>
        <w:ind w:left="1151" w:hanging="1151"/>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3"/>
        </w:tabs>
        <w:ind w:left="1583" w:hanging="1583"/>
      </w:pPr>
      <w:rPr>
        <w:rFonts w:hint="eastAsia"/>
      </w:rPr>
    </w:lvl>
  </w:abstractNum>
  <w:abstractNum w:abstractNumId="4">
    <w:nsid w:val="00000018"/>
    <w:multiLevelType w:val="singleLevel"/>
    <w:tmpl w:val="00000018"/>
    <w:lvl w:ilvl="0" w:tentative="0">
      <w:start w:val="1"/>
      <w:numFmt w:val="decimal"/>
      <w:pStyle w:val="21"/>
      <w:lvlText w:val="%1."/>
      <w:lvlJc w:val="left"/>
      <w:pPr>
        <w:tabs>
          <w:tab w:val="left" w:pos="1200"/>
        </w:tabs>
        <w:ind w:left="1200" w:hanging="360"/>
      </w:pPr>
    </w:lvl>
  </w:abstractNum>
  <w:abstractNum w:abstractNumId="5">
    <w:nsid w:val="25DBF4D0"/>
    <w:multiLevelType w:val="singleLevel"/>
    <w:tmpl w:val="25DBF4D0"/>
    <w:lvl w:ilvl="0" w:tentative="0">
      <w:start w:val="1"/>
      <w:numFmt w:val="decimal"/>
      <w:lvlText w:val="(%1)"/>
      <w:lvlJc w:val="left"/>
      <w:pPr>
        <w:ind w:left="425" w:hanging="425"/>
      </w:pPr>
      <w:rPr>
        <w:rFonts w:hint="default"/>
      </w:rPr>
    </w:lvl>
  </w:abstractNum>
  <w:abstractNum w:abstractNumId="6">
    <w:nsid w:val="657D3FBC"/>
    <w:multiLevelType w:val="multilevel"/>
    <w:tmpl w:val="657D3FBC"/>
    <w:lvl w:ilvl="0" w:tentative="0">
      <w:start w:val="1"/>
      <w:numFmt w:val="upperLetter"/>
      <w:pStyle w:val="313"/>
      <w:suff w:val="nothing"/>
      <w:lvlText w:val="附　录　%1"/>
      <w:lvlJc w:val="left"/>
      <w:pPr>
        <w:ind w:left="0" w:firstLine="0"/>
      </w:pPr>
      <w:rPr>
        <w:rFonts w:hint="eastAsia" w:ascii="黑体" w:hAnsi="Times New Roman" w:eastAsia="黑体"/>
        <w:b w:val="0"/>
        <w:i w:val="0"/>
        <w:sz w:val="21"/>
      </w:rPr>
    </w:lvl>
    <w:lvl w:ilvl="1" w:tentative="0">
      <w:start w:val="1"/>
      <w:numFmt w:val="decimal"/>
      <w:pStyle w:val="223"/>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pStyle w:val="222"/>
      <w:suff w:val="nothing"/>
      <w:lvlText w:val="%1.%2.%3　"/>
      <w:lvlJc w:val="left"/>
      <w:pPr>
        <w:ind w:left="0" w:firstLine="0"/>
      </w:pPr>
      <w:rPr>
        <w:rFonts w:hint="eastAsia" w:ascii="黑体" w:hAnsi="Times New Roman" w:eastAsia="黑体"/>
        <w:b w:val="0"/>
        <w:i w:val="0"/>
        <w:sz w:val="21"/>
      </w:rPr>
    </w:lvl>
    <w:lvl w:ilvl="3" w:tentative="0">
      <w:start w:val="1"/>
      <w:numFmt w:val="decimal"/>
      <w:pStyle w:val="231"/>
      <w:suff w:val="nothing"/>
      <w:lvlText w:val="%1.%2.%3.%4　"/>
      <w:lvlJc w:val="left"/>
      <w:pPr>
        <w:ind w:left="0" w:firstLine="0"/>
      </w:pPr>
      <w:rPr>
        <w:rFonts w:hint="eastAsia" w:ascii="黑体" w:hAnsi="Times New Roman" w:eastAsia="黑体"/>
        <w:b w:val="0"/>
        <w:i w:val="0"/>
        <w:sz w:val="21"/>
      </w:rPr>
    </w:lvl>
    <w:lvl w:ilvl="4" w:tentative="0">
      <w:start w:val="1"/>
      <w:numFmt w:val="decimal"/>
      <w:pStyle w:val="240"/>
      <w:suff w:val="nothing"/>
      <w:lvlText w:val="%1.%2.%3.%4.%5　"/>
      <w:lvlJc w:val="left"/>
      <w:pPr>
        <w:ind w:left="0" w:firstLine="0"/>
      </w:pPr>
      <w:rPr>
        <w:rFonts w:hint="eastAsia" w:ascii="黑体" w:hAnsi="Times New Roman" w:eastAsia="黑体"/>
        <w:b w:val="0"/>
        <w:i w:val="0"/>
        <w:sz w:val="21"/>
      </w:rPr>
    </w:lvl>
    <w:lvl w:ilvl="5" w:tentative="0">
      <w:start w:val="1"/>
      <w:numFmt w:val="decimal"/>
      <w:pStyle w:val="239"/>
      <w:suff w:val="nothing"/>
      <w:lvlText w:val="%1.%2.%3.%4.%5.%6　"/>
      <w:lvlJc w:val="left"/>
      <w:pPr>
        <w:ind w:left="0" w:firstLine="0"/>
      </w:pPr>
      <w:rPr>
        <w:rFonts w:hint="eastAsia" w:ascii="黑体" w:hAnsi="Times New Roman" w:eastAsia="黑体"/>
        <w:b w:val="0"/>
        <w:i w:val="0"/>
        <w:sz w:val="21"/>
      </w:rPr>
    </w:lvl>
    <w:lvl w:ilvl="6" w:tentative="0">
      <w:start w:val="1"/>
      <w:numFmt w:val="decimal"/>
      <w:pStyle w:val="35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766D792A"/>
    <w:multiLevelType w:val="singleLevel"/>
    <w:tmpl w:val="766D792A"/>
    <w:lvl w:ilvl="0" w:tentative="0">
      <w:start w:val="1"/>
      <w:numFmt w:val="decimal"/>
      <w:lvlText w:val="(%1)"/>
      <w:lvlJc w:val="left"/>
      <w:pPr>
        <w:tabs>
          <w:tab w:val="left" w:pos="700"/>
        </w:tabs>
        <w:ind w:left="0" w:firstLine="340"/>
      </w:pPr>
      <w:rPr>
        <w:rFonts w:hint="eastAsia"/>
      </w:rPr>
    </w:lvl>
  </w:abstractNum>
  <w:num w:numId="1">
    <w:abstractNumId w:val="2"/>
  </w:num>
  <w:num w:numId="2">
    <w:abstractNumId w:val="4"/>
  </w:num>
  <w:num w:numId="3">
    <w:abstractNumId w:val="6"/>
  </w:num>
  <w:num w:numId="4">
    <w:abstractNumId w:val="3"/>
  </w:num>
  <w:num w:numId="5">
    <w:abstractNumId w:val="1"/>
    <w:lvlOverride w:ilvl="0">
      <w:startOverride w:val="1"/>
    </w:lvlOverride>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C"/>
    <w:rsid w:val="0000370B"/>
    <w:rsid w:val="00006B02"/>
    <w:rsid w:val="00006BAE"/>
    <w:rsid w:val="00011D72"/>
    <w:rsid w:val="00011F7A"/>
    <w:rsid w:val="00013380"/>
    <w:rsid w:val="00013F51"/>
    <w:rsid w:val="00014D99"/>
    <w:rsid w:val="000176E0"/>
    <w:rsid w:val="0001771C"/>
    <w:rsid w:val="00022DCC"/>
    <w:rsid w:val="00022F0F"/>
    <w:rsid w:val="00024427"/>
    <w:rsid w:val="000307C9"/>
    <w:rsid w:val="000307CE"/>
    <w:rsid w:val="000314FC"/>
    <w:rsid w:val="00031855"/>
    <w:rsid w:val="0003499A"/>
    <w:rsid w:val="00036939"/>
    <w:rsid w:val="0004164E"/>
    <w:rsid w:val="00041C1E"/>
    <w:rsid w:val="00042C04"/>
    <w:rsid w:val="000438D5"/>
    <w:rsid w:val="00043C73"/>
    <w:rsid w:val="00044D58"/>
    <w:rsid w:val="00050CEE"/>
    <w:rsid w:val="00051BA5"/>
    <w:rsid w:val="000548F5"/>
    <w:rsid w:val="00057389"/>
    <w:rsid w:val="00057A17"/>
    <w:rsid w:val="00060910"/>
    <w:rsid w:val="00065CAC"/>
    <w:rsid w:val="00070629"/>
    <w:rsid w:val="00075235"/>
    <w:rsid w:val="0007680A"/>
    <w:rsid w:val="000775BA"/>
    <w:rsid w:val="000804EE"/>
    <w:rsid w:val="00080961"/>
    <w:rsid w:val="00085200"/>
    <w:rsid w:val="000870E8"/>
    <w:rsid w:val="00087120"/>
    <w:rsid w:val="00094643"/>
    <w:rsid w:val="000A5272"/>
    <w:rsid w:val="000A671B"/>
    <w:rsid w:val="000B0296"/>
    <w:rsid w:val="000C1A65"/>
    <w:rsid w:val="000C1AD7"/>
    <w:rsid w:val="000C1E29"/>
    <w:rsid w:val="000C235C"/>
    <w:rsid w:val="000C278D"/>
    <w:rsid w:val="000D0209"/>
    <w:rsid w:val="000D028B"/>
    <w:rsid w:val="000D45E2"/>
    <w:rsid w:val="000E0326"/>
    <w:rsid w:val="000E2F73"/>
    <w:rsid w:val="000E64CA"/>
    <w:rsid w:val="000F15D1"/>
    <w:rsid w:val="000F2C52"/>
    <w:rsid w:val="000F30E2"/>
    <w:rsid w:val="000F578B"/>
    <w:rsid w:val="00102D65"/>
    <w:rsid w:val="00105A33"/>
    <w:rsid w:val="00110791"/>
    <w:rsid w:val="001128AB"/>
    <w:rsid w:val="0011300C"/>
    <w:rsid w:val="00114E7F"/>
    <w:rsid w:val="00116E5A"/>
    <w:rsid w:val="0011775E"/>
    <w:rsid w:val="00121FEC"/>
    <w:rsid w:val="001245B7"/>
    <w:rsid w:val="00126A5F"/>
    <w:rsid w:val="001270AB"/>
    <w:rsid w:val="00130722"/>
    <w:rsid w:val="00130F65"/>
    <w:rsid w:val="0013605B"/>
    <w:rsid w:val="0013643B"/>
    <w:rsid w:val="00142C10"/>
    <w:rsid w:val="00144536"/>
    <w:rsid w:val="00144852"/>
    <w:rsid w:val="0014692C"/>
    <w:rsid w:val="00150AA9"/>
    <w:rsid w:val="0015215C"/>
    <w:rsid w:val="00155A03"/>
    <w:rsid w:val="00160923"/>
    <w:rsid w:val="00160AEC"/>
    <w:rsid w:val="0016140F"/>
    <w:rsid w:val="00161CFF"/>
    <w:rsid w:val="00164AAE"/>
    <w:rsid w:val="00166D16"/>
    <w:rsid w:val="0016706D"/>
    <w:rsid w:val="00170071"/>
    <w:rsid w:val="0017019D"/>
    <w:rsid w:val="001742BC"/>
    <w:rsid w:val="00174A1E"/>
    <w:rsid w:val="00175E78"/>
    <w:rsid w:val="0018093E"/>
    <w:rsid w:val="00180DBB"/>
    <w:rsid w:val="001813C0"/>
    <w:rsid w:val="001833FD"/>
    <w:rsid w:val="0018357C"/>
    <w:rsid w:val="00184C2E"/>
    <w:rsid w:val="00186415"/>
    <w:rsid w:val="00186925"/>
    <w:rsid w:val="00192F44"/>
    <w:rsid w:val="0019358A"/>
    <w:rsid w:val="00195540"/>
    <w:rsid w:val="001A3E50"/>
    <w:rsid w:val="001A53D2"/>
    <w:rsid w:val="001B14DF"/>
    <w:rsid w:val="001B34DA"/>
    <w:rsid w:val="001B511D"/>
    <w:rsid w:val="001C000D"/>
    <w:rsid w:val="001C0DDC"/>
    <w:rsid w:val="001C1BCA"/>
    <w:rsid w:val="001C23CC"/>
    <w:rsid w:val="001C247C"/>
    <w:rsid w:val="001C3FDB"/>
    <w:rsid w:val="001D0CC5"/>
    <w:rsid w:val="001D178A"/>
    <w:rsid w:val="001D1C9C"/>
    <w:rsid w:val="001D1F74"/>
    <w:rsid w:val="001D20E8"/>
    <w:rsid w:val="001D62AA"/>
    <w:rsid w:val="001D643E"/>
    <w:rsid w:val="001E52FC"/>
    <w:rsid w:val="001E683F"/>
    <w:rsid w:val="001E6A7E"/>
    <w:rsid w:val="001E6FDE"/>
    <w:rsid w:val="001E7312"/>
    <w:rsid w:val="001F3C76"/>
    <w:rsid w:val="001F6D3D"/>
    <w:rsid w:val="001F7C12"/>
    <w:rsid w:val="002004DD"/>
    <w:rsid w:val="00203CAF"/>
    <w:rsid w:val="00210C37"/>
    <w:rsid w:val="00214DEB"/>
    <w:rsid w:val="002158FA"/>
    <w:rsid w:val="0021739D"/>
    <w:rsid w:val="00220FA3"/>
    <w:rsid w:val="0022214C"/>
    <w:rsid w:val="00224FC2"/>
    <w:rsid w:val="00232F20"/>
    <w:rsid w:val="0023319B"/>
    <w:rsid w:val="0023322D"/>
    <w:rsid w:val="0024264F"/>
    <w:rsid w:val="00243882"/>
    <w:rsid w:val="00244E82"/>
    <w:rsid w:val="002502E1"/>
    <w:rsid w:val="00251EF9"/>
    <w:rsid w:val="002523BB"/>
    <w:rsid w:val="00255339"/>
    <w:rsid w:val="00256B61"/>
    <w:rsid w:val="00260B73"/>
    <w:rsid w:val="00261486"/>
    <w:rsid w:val="00262134"/>
    <w:rsid w:val="00262670"/>
    <w:rsid w:val="002630AF"/>
    <w:rsid w:val="002631E2"/>
    <w:rsid w:val="00263565"/>
    <w:rsid w:val="00263AA3"/>
    <w:rsid w:val="0026470F"/>
    <w:rsid w:val="00264AAE"/>
    <w:rsid w:val="00272539"/>
    <w:rsid w:val="002760C6"/>
    <w:rsid w:val="00276EE5"/>
    <w:rsid w:val="002815EB"/>
    <w:rsid w:val="00283D08"/>
    <w:rsid w:val="00286CCA"/>
    <w:rsid w:val="0028756C"/>
    <w:rsid w:val="00293F03"/>
    <w:rsid w:val="002A1305"/>
    <w:rsid w:val="002B28BF"/>
    <w:rsid w:val="002B2D74"/>
    <w:rsid w:val="002B2F30"/>
    <w:rsid w:val="002B59BC"/>
    <w:rsid w:val="002C1CE1"/>
    <w:rsid w:val="002C3967"/>
    <w:rsid w:val="002C4B16"/>
    <w:rsid w:val="002D3703"/>
    <w:rsid w:val="002D3D15"/>
    <w:rsid w:val="002D3D6F"/>
    <w:rsid w:val="002D3E02"/>
    <w:rsid w:val="002D6B36"/>
    <w:rsid w:val="002E0048"/>
    <w:rsid w:val="002E0583"/>
    <w:rsid w:val="002E0AF6"/>
    <w:rsid w:val="002E337B"/>
    <w:rsid w:val="002E39F0"/>
    <w:rsid w:val="002E60BE"/>
    <w:rsid w:val="002E612E"/>
    <w:rsid w:val="002E72DA"/>
    <w:rsid w:val="002F1779"/>
    <w:rsid w:val="002F1D0E"/>
    <w:rsid w:val="002F216E"/>
    <w:rsid w:val="002F37A2"/>
    <w:rsid w:val="002F48B9"/>
    <w:rsid w:val="002F4FED"/>
    <w:rsid w:val="002F6648"/>
    <w:rsid w:val="002F7938"/>
    <w:rsid w:val="003008F1"/>
    <w:rsid w:val="00301F10"/>
    <w:rsid w:val="00304909"/>
    <w:rsid w:val="00305C2D"/>
    <w:rsid w:val="00305D98"/>
    <w:rsid w:val="00306134"/>
    <w:rsid w:val="003066B9"/>
    <w:rsid w:val="0030686A"/>
    <w:rsid w:val="00306E7A"/>
    <w:rsid w:val="00314AF6"/>
    <w:rsid w:val="00316D7C"/>
    <w:rsid w:val="00320204"/>
    <w:rsid w:val="00323289"/>
    <w:rsid w:val="00323FCF"/>
    <w:rsid w:val="00324811"/>
    <w:rsid w:val="00326B54"/>
    <w:rsid w:val="003272D2"/>
    <w:rsid w:val="00327A9C"/>
    <w:rsid w:val="00330839"/>
    <w:rsid w:val="00331553"/>
    <w:rsid w:val="003336B5"/>
    <w:rsid w:val="00333CD0"/>
    <w:rsid w:val="00334454"/>
    <w:rsid w:val="003361EC"/>
    <w:rsid w:val="003363BE"/>
    <w:rsid w:val="00340E9A"/>
    <w:rsid w:val="00347723"/>
    <w:rsid w:val="00351E1F"/>
    <w:rsid w:val="003550F9"/>
    <w:rsid w:val="00365AC8"/>
    <w:rsid w:val="003708F5"/>
    <w:rsid w:val="00370F37"/>
    <w:rsid w:val="003739CD"/>
    <w:rsid w:val="003749CE"/>
    <w:rsid w:val="00374DC2"/>
    <w:rsid w:val="0037607E"/>
    <w:rsid w:val="0038400D"/>
    <w:rsid w:val="0038746F"/>
    <w:rsid w:val="0039053F"/>
    <w:rsid w:val="00390616"/>
    <w:rsid w:val="00396F17"/>
    <w:rsid w:val="00397F2C"/>
    <w:rsid w:val="003A1C5C"/>
    <w:rsid w:val="003A1FCC"/>
    <w:rsid w:val="003A21B1"/>
    <w:rsid w:val="003A2328"/>
    <w:rsid w:val="003B09E1"/>
    <w:rsid w:val="003B1E44"/>
    <w:rsid w:val="003B3E20"/>
    <w:rsid w:val="003B49D4"/>
    <w:rsid w:val="003B7AD6"/>
    <w:rsid w:val="003B7FAB"/>
    <w:rsid w:val="003C060A"/>
    <w:rsid w:val="003C0BD5"/>
    <w:rsid w:val="003D1370"/>
    <w:rsid w:val="003D2808"/>
    <w:rsid w:val="003D29B3"/>
    <w:rsid w:val="003D45B7"/>
    <w:rsid w:val="003D5003"/>
    <w:rsid w:val="003D51A4"/>
    <w:rsid w:val="003D7B98"/>
    <w:rsid w:val="003E0161"/>
    <w:rsid w:val="003E02D9"/>
    <w:rsid w:val="003E302F"/>
    <w:rsid w:val="003E4851"/>
    <w:rsid w:val="003E6511"/>
    <w:rsid w:val="003E7192"/>
    <w:rsid w:val="003F1F93"/>
    <w:rsid w:val="003F6A7C"/>
    <w:rsid w:val="00400AB5"/>
    <w:rsid w:val="00405D52"/>
    <w:rsid w:val="00410CAC"/>
    <w:rsid w:val="0041170A"/>
    <w:rsid w:val="00412712"/>
    <w:rsid w:val="00416522"/>
    <w:rsid w:val="00422860"/>
    <w:rsid w:val="004266EF"/>
    <w:rsid w:val="00432FDF"/>
    <w:rsid w:val="00434C32"/>
    <w:rsid w:val="00441199"/>
    <w:rsid w:val="0044231F"/>
    <w:rsid w:val="00444981"/>
    <w:rsid w:val="004460A4"/>
    <w:rsid w:val="004465C0"/>
    <w:rsid w:val="00450948"/>
    <w:rsid w:val="00451DEE"/>
    <w:rsid w:val="004554C9"/>
    <w:rsid w:val="00456BF1"/>
    <w:rsid w:val="00457732"/>
    <w:rsid w:val="0046078B"/>
    <w:rsid w:val="00461640"/>
    <w:rsid w:val="004665F4"/>
    <w:rsid w:val="00466618"/>
    <w:rsid w:val="00467A25"/>
    <w:rsid w:val="0047444E"/>
    <w:rsid w:val="004817F1"/>
    <w:rsid w:val="00482425"/>
    <w:rsid w:val="004827A6"/>
    <w:rsid w:val="00483C9A"/>
    <w:rsid w:val="00484A2B"/>
    <w:rsid w:val="00485C64"/>
    <w:rsid w:val="00486E74"/>
    <w:rsid w:val="00494B01"/>
    <w:rsid w:val="0049514B"/>
    <w:rsid w:val="004968DD"/>
    <w:rsid w:val="004A05A9"/>
    <w:rsid w:val="004A4972"/>
    <w:rsid w:val="004A61FA"/>
    <w:rsid w:val="004B491A"/>
    <w:rsid w:val="004B4DDE"/>
    <w:rsid w:val="004B7163"/>
    <w:rsid w:val="004B7688"/>
    <w:rsid w:val="004B79E7"/>
    <w:rsid w:val="004C1E61"/>
    <w:rsid w:val="004C2755"/>
    <w:rsid w:val="004C616F"/>
    <w:rsid w:val="004D0925"/>
    <w:rsid w:val="004D1DFB"/>
    <w:rsid w:val="004D7711"/>
    <w:rsid w:val="004E370D"/>
    <w:rsid w:val="004E4411"/>
    <w:rsid w:val="004E5B78"/>
    <w:rsid w:val="004E6D4F"/>
    <w:rsid w:val="004E726B"/>
    <w:rsid w:val="004E74A1"/>
    <w:rsid w:val="004F0528"/>
    <w:rsid w:val="004F0ABE"/>
    <w:rsid w:val="004F3813"/>
    <w:rsid w:val="004F6E27"/>
    <w:rsid w:val="0050372D"/>
    <w:rsid w:val="005044A0"/>
    <w:rsid w:val="0050564A"/>
    <w:rsid w:val="005119E3"/>
    <w:rsid w:val="00516EB7"/>
    <w:rsid w:val="005267F7"/>
    <w:rsid w:val="005313CA"/>
    <w:rsid w:val="00532586"/>
    <w:rsid w:val="00533008"/>
    <w:rsid w:val="00533258"/>
    <w:rsid w:val="00533E7D"/>
    <w:rsid w:val="0054002B"/>
    <w:rsid w:val="0054559B"/>
    <w:rsid w:val="00546270"/>
    <w:rsid w:val="005505CD"/>
    <w:rsid w:val="00550DF9"/>
    <w:rsid w:val="00553329"/>
    <w:rsid w:val="00555132"/>
    <w:rsid w:val="00555B4C"/>
    <w:rsid w:val="005564CA"/>
    <w:rsid w:val="00560A65"/>
    <w:rsid w:val="00562769"/>
    <w:rsid w:val="005627A7"/>
    <w:rsid w:val="00565EA4"/>
    <w:rsid w:val="00571E21"/>
    <w:rsid w:val="0057270B"/>
    <w:rsid w:val="00572EBF"/>
    <w:rsid w:val="00574961"/>
    <w:rsid w:val="005753EB"/>
    <w:rsid w:val="005755DE"/>
    <w:rsid w:val="00577143"/>
    <w:rsid w:val="005855DC"/>
    <w:rsid w:val="00587872"/>
    <w:rsid w:val="005914D5"/>
    <w:rsid w:val="005915C9"/>
    <w:rsid w:val="00591640"/>
    <w:rsid w:val="00591E70"/>
    <w:rsid w:val="005A01B9"/>
    <w:rsid w:val="005A18A1"/>
    <w:rsid w:val="005A2339"/>
    <w:rsid w:val="005A4203"/>
    <w:rsid w:val="005A50DA"/>
    <w:rsid w:val="005A55AD"/>
    <w:rsid w:val="005A62C2"/>
    <w:rsid w:val="005A6D4F"/>
    <w:rsid w:val="005A7799"/>
    <w:rsid w:val="005B440A"/>
    <w:rsid w:val="005B5694"/>
    <w:rsid w:val="005B579D"/>
    <w:rsid w:val="005B5AB6"/>
    <w:rsid w:val="005B6788"/>
    <w:rsid w:val="005B6D63"/>
    <w:rsid w:val="005B71D7"/>
    <w:rsid w:val="005B7BBA"/>
    <w:rsid w:val="005C0609"/>
    <w:rsid w:val="005C0DAF"/>
    <w:rsid w:val="005C13E6"/>
    <w:rsid w:val="005C1CBC"/>
    <w:rsid w:val="005C2583"/>
    <w:rsid w:val="005C48AC"/>
    <w:rsid w:val="005C7B9A"/>
    <w:rsid w:val="005D1013"/>
    <w:rsid w:val="005D2C7B"/>
    <w:rsid w:val="005D7B8B"/>
    <w:rsid w:val="005E1BCD"/>
    <w:rsid w:val="005E3BF7"/>
    <w:rsid w:val="005E6D37"/>
    <w:rsid w:val="005F118D"/>
    <w:rsid w:val="005F3B3B"/>
    <w:rsid w:val="005F4280"/>
    <w:rsid w:val="00600146"/>
    <w:rsid w:val="006035D3"/>
    <w:rsid w:val="00605F74"/>
    <w:rsid w:val="00612EB8"/>
    <w:rsid w:val="006151DB"/>
    <w:rsid w:val="006248E7"/>
    <w:rsid w:val="006306CE"/>
    <w:rsid w:val="00632628"/>
    <w:rsid w:val="00632C78"/>
    <w:rsid w:val="006337B3"/>
    <w:rsid w:val="00635940"/>
    <w:rsid w:val="00635991"/>
    <w:rsid w:val="00640DED"/>
    <w:rsid w:val="0064126E"/>
    <w:rsid w:val="00641732"/>
    <w:rsid w:val="006503E2"/>
    <w:rsid w:val="00650FF9"/>
    <w:rsid w:val="006514D4"/>
    <w:rsid w:val="00652FBC"/>
    <w:rsid w:val="00656C25"/>
    <w:rsid w:val="00657AB7"/>
    <w:rsid w:val="00660B0E"/>
    <w:rsid w:val="0066222B"/>
    <w:rsid w:val="00663407"/>
    <w:rsid w:val="0066456E"/>
    <w:rsid w:val="00671C54"/>
    <w:rsid w:val="0067222E"/>
    <w:rsid w:val="0067258A"/>
    <w:rsid w:val="006732B2"/>
    <w:rsid w:val="00673E3D"/>
    <w:rsid w:val="00683F18"/>
    <w:rsid w:val="00685CCF"/>
    <w:rsid w:val="00687C4C"/>
    <w:rsid w:val="00690856"/>
    <w:rsid w:val="00692ADC"/>
    <w:rsid w:val="00693F7D"/>
    <w:rsid w:val="006972D0"/>
    <w:rsid w:val="006973AE"/>
    <w:rsid w:val="00697D3E"/>
    <w:rsid w:val="006A1292"/>
    <w:rsid w:val="006A17D1"/>
    <w:rsid w:val="006A2697"/>
    <w:rsid w:val="006A279E"/>
    <w:rsid w:val="006A3EF0"/>
    <w:rsid w:val="006A44FD"/>
    <w:rsid w:val="006A48BC"/>
    <w:rsid w:val="006A4C0E"/>
    <w:rsid w:val="006A6B9C"/>
    <w:rsid w:val="006A6D48"/>
    <w:rsid w:val="006A6E27"/>
    <w:rsid w:val="006B050D"/>
    <w:rsid w:val="006B1AE5"/>
    <w:rsid w:val="006B1C6F"/>
    <w:rsid w:val="006B23DB"/>
    <w:rsid w:val="006B2A25"/>
    <w:rsid w:val="006B2B0C"/>
    <w:rsid w:val="006B504F"/>
    <w:rsid w:val="006B5384"/>
    <w:rsid w:val="006C0031"/>
    <w:rsid w:val="006C1980"/>
    <w:rsid w:val="006C2261"/>
    <w:rsid w:val="006C291C"/>
    <w:rsid w:val="006C2A2B"/>
    <w:rsid w:val="006C2CA0"/>
    <w:rsid w:val="006C2EA1"/>
    <w:rsid w:val="006C7E06"/>
    <w:rsid w:val="006D0C1B"/>
    <w:rsid w:val="006D51D3"/>
    <w:rsid w:val="006D54C1"/>
    <w:rsid w:val="006D5FFA"/>
    <w:rsid w:val="006D66EC"/>
    <w:rsid w:val="006E18AC"/>
    <w:rsid w:val="006E4219"/>
    <w:rsid w:val="006E6667"/>
    <w:rsid w:val="006E7ECC"/>
    <w:rsid w:val="006F716F"/>
    <w:rsid w:val="006F761B"/>
    <w:rsid w:val="006F7E0F"/>
    <w:rsid w:val="0070405E"/>
    <w:rsid w:val="00706280"/>
    <w:rsid w:val="0071020A"/>
    <w:rsid w:val="007131B4"/>
    <w:rsid w:val="007204B0"/>
    <w:rsid w:val="007267EA"/>
    <w:rsid w:val="0072749A"/>
    <w:rsid w:val="00730C47"/>
    <w:rsid w:val="00731EA7"/>
    <w:rsid w:val="00731F8E"/>
    <w:rsid w:val="00732875"/>
    <w:rsid w:val="0073326A"/>
    <w:rsid w:val="00734AAC"/>
    <w:rsid w:val="007356A1"/>
    <w:rsid w:val="007416F5"/>
    <w:rsid w:val="00742522"/>
    <w:rsid w:val="00744C0F"/>
    <w:rsid w:val="00746FE4"/>
    <w:rsid w:val="00747016"/>
    <w:rsid w:val="0074787A"/>
    <w:rsid w:val="0075130C"/>
    <w:rsid w:val="00751506"/>
    <w:rsid w:val="00751B22"/>
    <w:rsid w:val="007525C6"/>
    <w:rsid w:val="00754975"/>
    <w:rsid w:val="00754D4B"/>
    <w:rsid w:val="007555A5"/>
    <w:rsid w:val="0076412F"/>
    <w:rsid w:val="007719B4"/>
    <w:rsid w:val="00771EF4"/>
    <w:rsid w:val="00772B2F"/>
    <w:rsid w:val="00772BF5"/>
    <w:rsid w:val="0077388E"/>
    <w:rsid w:val="0077549C"/>
    <w:rsid w:val="00777923"/>
    <w:rsid w:val="00781368"/>
    <w:rsid w:val="00781A04"/>
    <w:rsid w:val="00785F14"/>
    <w:rsid w:val="007869CA"/>
    <w:rsid w:val="0079298C"/>
    <w:rsid w:val="007A0A51"/>
    <w:rsid w:val="007A1346"/>
    <w:rsid w:val="007A524A"/>
    <w:rsid w:val="007A64AB"/>
    <w:rsid w:val="007B0ADE"/>
    <w:rsid w:val="007B1C02"/>
    <w:rsid w:val="007B3E09"/>
    <w:rsid w:val="007B6539"/>
    <w:rsid w:val="007B68D9"/>
    <w:rsid w:val="007B7A71"/>
    <w:rsid w:val="007C1AD4"/>
    <w:rsid w:val="007C60B5"/>
    <w:rsid w:val="007C676E"/>
    <w:rsid w:val="007C75AE"/>
    <w:rsid w:val="007D4370"/>
    <w:rsid w:val="007D67E8"/>
    <w:rsid w:val="007D6893"/>
    <w:rsid w:val="007E54AA"/>
    <w:rsid w:val="007E5F86"/>
    <w:rsid w:val="007F00DF"/>
    <w:rsid w:val="007F0CDE"/>
    <w:rsid w:val="007F3C03"/>
    <w:rsid w:val="007F67CF"/>
    <w:rsid w:val="007F79B6"/>
    <w:rsid w:val="008031E0"/>
    <w:rsid w:val="008058D5"/>
    <w:rsid w:val="0081062F"/>
    <w:rsid w:val="00812EFC"/>
    <w:rsid w:val="008152AA"/>
    <w:rsid w:val="00815735"/>
    <w:rsid w:val="008255F6"/>
    <w:rsid w:val="008261B9"/>
    <w:rsid w:val="008308D6"/>
    <w:rsid w:val="00831683"/>
    <w:rsid w:val="00841402"/>
    <w:rsid w:val="00841C8A"/>
    <w:rsid w:val="00845CEA"/>
    <w:rsid w:val="00846202"/>
    <w:rsid w:val="00852E42"/>
    <w:rsid w:val="00855380"/>
    <w:rsid w:val="00861685"/>
    <w:rsid w:val="0086207D"/>
    <w:rsid w:val="0086214A"/>
    <w:rsid w:val="00862F39"/>
    <w:rsid w:val="0086301B"/>
    <w:rsid w:val="00863BF8"/>
    <w:rsid w:val="00867D28"/>
    <w:rsid w:val="00873B42"/>
    <w:rsid w:val="00874F12"/>
    <w:rsid w:val="00876BBC"/>
    <w:rsid w:val="008803C3"/>
    <w:rsid w:val="00882867"/>
    <w:rsid w:val="0088318C"/>
    <w:rsid w:val="00884453"/>
    <w:rsid w:val="00890110"/>
    <w:rsid w:val="00892B41"/>
    <w:rsid w:val="00892C24"/>
    <w:rsid w:val="00892CC6"/>
    <w:rsid w:val="00893897"/>
    <w:rsid w:val="00894A18"/>
    <w:rsid w:val="008964CA"/>
    <w:rsid w:val="008A0571"/>
    <w:rsid w:val="008A1FCF"/>
    <w:rsid w:val="008A2646"/>
    <w:rsid w:val="008A41B0"/>
    <w:rsid w:val="008A4D4F"/>
    <w:rsid w:val="008A5371"/>
    <w:rsid w:val="008A5650"/>
    <w:rsid w:val="008A5E94"/>
    <w:rsid w:val="008A6561"/>
    <w:rsid w:val="008B0197"/>
    <w:rsid w:val="008B1E4C"/>
    <w:rsid w:val="008B514B"/>
    <w:rsid w:val="008B5D24"/>
    <w:rsid w:val="008B5ECA"/>
    <w:rsid w:val="008C0412"/>
    <w:rsid w:val="008C08F2"/>
    <w:rsid w:val="008C46B8"/>
    <w:rsid w:val="008D16A0"/>
    <w:rsid w:val="008D1D74"/>
    <w:rsid w:val="008D3500"/>
    <w:rsid w:val="008E6450"/>
    <w:rsid w:val="008E7C1F"/>
    <w:rsid w:val="008F0810"/>
    <w:rsid w:val="008F11F1"/>
    <w:rsid w:val="008F34E4"/>
    <w:rsid w:val="008F37CC"/>
    <w:rsid w:val="008F56D5"/>
    <w:rsid w:val="008F76B0"/>
    <w:rsid w:val="00904E5F"/>
    <w:rsid w:val="009053A1"/>
    <w:rsid w:val="0090685B"/>
    <w:rsid w:val="0091073A"/>
    <w:rsid w:val="00911117"/>
    <w:rsid w:val="009138D3"/>
    <w:rsid w:val="00914E1F"/>
    <w:rsid w:val="00915130"/>
    <w:rsid w:val="009153EB"/>
    <w:rsid w:val="00920300"/>
    <w:rsid w:val="009216F6"/>
    <w:rsid w:val="009218BD"/>
    <w:rsid w:val="00921B78"/>
    <w:rsid w:val="00923042"/>
    <w:rsid w:val="0092589B"/>
    <w:rsid w:val="0092729B"/>
    <w:rsid w:val="00931E15"/>
    <w:rsid w:val="009335FA"/>
    <w:rsid w:val="00933ED9"/>
    <w:rsid w:val="00935849"/>
    <w:rsid w:val="00935B28"/>
    <w:rsid w:val="00943A9D"/>
    <w:rsid w:val="00943BEF"/>
    <w:rsid w:val="00946499"/>
    <w:rsid w:val="00952A71"/>
    <w:rsid w:val="00956235"/>
    <w:rsid w:val="0096151A"/>
    <w:rsid w:val="00961C19"/>
    <w:rsid w:val="00962797"/>
    <w:rsid w:val="00962ADB"/>
    <w:rsid w:val="00963206"/>
    <w:rsid w:val="00964643"/>
    <w:rsid w:val="009671BA"/>
    <w:rsid w:val="0097016D"/>
    <w:rsid w:val="00971078"/>
    <w:rsid w:val="00971219"/>
    <w:rsid w:val="0097358F"/>
    <w:rsid w:val="00974D4B"/>
    <w:rsid w:val="009819D8"/>
    <w:rsid w:val="00986162"/>
    <w:rsid w:val="00987861"/>
    <w:rsid w:val="00991971"/>
    <w:rsid w:val="00993C84"/>
    <w:rsid w:val="00993F95"/>
    <w:rsid w:val="00994F13"/>
    <w:rsid w:val="009952E6"/>
    <w:rsid w:val="00995FDE"/>
    <w:rsid w:val="0099630C"/>
    <w:rsid w:val="00997E54"/>
    <w:rsid w:val="00997FFE"/>
    <w:rsid w:val="009A147C"/>
    <w:rsid w:val="009A4A05"/>
    <w:rsid w:val="009A6122"/>
    <w:rsid w:val="009B0374"/>
    <w:rsid w:val="009B0EC1"/>
    <w:rsid w:val="009B1096"/>
    <w:rsid w:val="009B508B"/>
    <w:rsid w:val="009B50C0"/>
    <w:rsid w:val="009B7E06"/>
    <w:rsid w:val="009D1158"/>
    <w:rsid w:val="009D11B6"/>
    <w:rsid w:val="009D1D13"/>
    <w:rsid w:val="009D22D9"/>
    <w:rsid w:val="009D5AFD"/>
    <w:rsid w:val="009D686A"/>
    <w:rsid w:val="009E06E2"/>
    <w:rsid w:val="009E2215"/>
    <w:rsid w:val="009E2D32"/>
    <w:rsid w:val="009E355D"/>
    <w:rsid w:val="009E6E0A"/>
    <w:rsid w:val="009F007B"/>
    <w:rsid w:val="009F20BD"/>
    <w:rsid w:val="009F2804"/>
    <w:rsid w:val="009F420C"/>
    <w:rsid w:val="00A01DDF"/>
    <w:rsid w:val="00A039F4"/>
    <w:rsid w:val="00A03A10"/>
    <w:rsid w:val="00A046B0"/>
    <w:rsid w:val="00A10171"/>
    <w:rsid w:val="00A1085D"/>
    <w:rsid w:val="00A11D20"/>
    <w:rsid w:val="00A23F0B"/>
    <w:rsid w:val="00A245F0"/>
    <w:rsid w:val="00A2494A"/>
    <w:rsid w:val="00A24DE1"/>
    <w:rsid w:val="00A250A2"/>
    <w:rsid w:val="00A25381"/>
    <w:rsid w:val="00A32863"/>
    <w:rsid w:val="00A32F3B"/>
    <w:rsid w:val="00A342C7"/>
    <w:rsid w:val="00A35335"/>
    <w:rsid w:val="00A42AB3"/>
    <w:rsid w:val="00A42F6D"/>
    <w:rsid w:val="00A4572D"/>
    <w:rsid w:val="00A45F77"/>
    <w:rsid w:val="00A46EC4"/>
    <w:rsid w:val="00A46F36"/>
    <w:rsid w:val="00A6071F"/>
    <w:rsid w:val="00A611AB"/>
    <w:rsid w:val="00A616FA"/>
    <w:rsid w:val="00A622D5"/>
    <w:rsid w:val="00A64730"/>
    <w:rsid w:val="00A664B0"/>
    <w:rsid w:val="00A666F6"/>
    <w:rsid w:val="00A74323"/>
    <w:rsid w:val="00A74BBF"/>
    <w:rsid w:val="00A76CEE"/>
    <w:rsid w:val="00A822C1"/>
    <w:rsid w:val="00A83687"/>
    <w:rsid w:val="00A85E66"/>
    <w:rsid w:val="00A860B8"/>
    <w:rsid w:val="00A86F1F"/>
    <w:rsid w:val="00A91204"/>
    <w:rsid w:val="00A91D3B"/>
    <w:rsid w:val="00A93210"/>
    <w:rsid w:val="00A93D37"/>
    <w:rsid w:val="00A942F8"/>
    <w:rsid w:val="00A95ECA"/>
    <w:rsid w:val="00A97355"/>
    <w:rsid w:val="00AA0158"/>
    <w:rsid w:val="00AA09C9"/>
    <w:rsid w:val="00AA0F94"/>
    <w:rsid w:val="00AA2A40"/>
    <w:rsid w:val="00AA2B21"/>
    <w:rsid w:val="00AA2D3E"/>
    <w:rsid w:val="00AA5B24"/>
    <w:rsid w:val="00AA7869"/>
    <w:rsid w:val="00AB396F"/>
    <w:rsid w:val="00AB78B5"/>
    <w:rsid w:val="00AC0CD9"/>
    <w:rsid w:val="00AC0F38"/>
    <w:rsid w:val="00AC5080"/>
    <w:rsid w:val="00AC61A1"/>
    <w:rsid w:val="00AC7E80"/>
    <w:rsid w:val="00AD0C63"/>
    <w:rsid w:val="00AD21FB"/>
    <w:rsid w:val="00AD2412"/>
    <w:rsid w:val="00AD4AF0"/>
    <w:rsid w:val="00AD5C0F"/>
    <w:rsid w:val="00AE35BD"/>
    <w:rsid w:val="00AE51DA"/>
    <w:rsid w:val="00AE69E5"/>
    <w:rsid w:val="00AE6D30"/>
    <w:rsid w:val="00AF23D3"/>
    <w:rsid w:val="00AF43C7"/>
    <w:rsid w:val="00AF522A"/>
    <w:rsid w:val="00AF75AB"/>
    <w:rsid w:val="00AF7C7E"/>
    <w:rsid w:val="00B03B3B"/>
    <w:rsid w:val="00B03C60"/>
    <w:rsid w:val="00B05B24"/>
    <w:rsid w:val="00B14D73"/>
    <w:rsid w:val="00B201A9"/>
    <w:rsid w:val="00B206B9"/>
    <w:rsid w:val="00B207BE"/>
    <w:rsid w:val="00B21209"/>
    <w:rsid w:val="00B24F3C"/>
    <w:rsid w:val="00B25B01"/>
    <w:rsid w:val="00B26DE1"/>
    <w:rsid w:val="00B303B7"/>
    <w:rsid w:val="00B32E70"/>
    <w:rsid w:val="00B451D1"/>
    <w:rsid w:val="00B4657F"/>
    <w:rsid w:val="00B46654"/>
    <w:rsid w:val="00B47027"/>
    <w:rsid w:val="00B47592"/>
    <w:rsid w:val="00B47ADA"/>
    <w:rsid w:val="00B53605"/>
    <w:rsid w:val="00B55743"/>
    <w:rsid w:val="00B57FCA"/>
    <w:rsid w:val="00B609A5"/>
    <w:rsid w:val="00B617EF"/>
    <w:rsid w:val="00B74E26"/>
    <w:rsid w:val="00B75453"/>
    <w:rsid w:val="00B76B3F"/>
    <w:rsid w:val="00B7746F"/>
    <w:rsid w:val="00B8292F"/>
    <w:rsid w:val="00B8777B"/>
    <w:rsid w:val="00B87DDA"/>
    <w:rsid w:val="00B95653"/>
    <w:rsid w:val="00B970CE"/>
    <w:rsid w:val="00BA3E2F"/>
    <w:rsid w:val="00BA5271"/>
    <w:rsid w:val="00BA52E5"/>
    <w:rsid w:val="00BA7305"/>
    <w:rsid w:val="00BA76B2"/>
    <w:rsid w:val="00BB1890"/>
    <w:rsid w:val="00BB223C"/>
    <w:rsid w:val="00BB2603"/>
    <w:rsid w:val="00BB429D"/>
    <w:rsid w:val="00BB4A06"/>
    <w:rsid w:val="00BB561C"/>
    <w:rsid w:val="00BB6DAB"/>
    <w:rsid w:val="00BB746E"/>
    <w:rsid w:val="00BB7C90"/>
    <w:rsid w:val="00BC21D5"/>
    <w:rsid w:val="00BC60E6"/>
    <w:rsid w:val="00BD29B7"/>
    <w:rsid w:val="00BD615F"/>
    <w:rsid w:val="00BD6FBE"/>
    <w:rsid w:val="00BE2AB5"/>
    <w:rsid w:val="00BE2FA3"/>
    <w:rsid w:val="00BE5FBE"/>
    <w:rsid w:val="00BE62F0"/>
    <w:rsid w:val="00BF062E"/>
    <w:rsid w:val="00BF080B"/>
    <w:rsid w:val="00BF42A9"/>
    <w:rsid w:val="00BF55FF"/>
    <w:rsid w:val="00C00755"/>
    <w:rsid w:val="00C00759"/>
    <w:rsid w:val="00C00E91"/>
    <w:rsid w:val="00C0109A"/>
    <w:rsid w:val="00C016FC"/>
    <w:rsid w:val="00C028CE"/>
    <w:rsid w:val="00C04187"/>
    <w:rsid w:val="00C048B3"/>
    <w:rsid w:val="00C059D7"/>
    <w:rsid w:val="00C06F50"/>
    <w:rsid w:val="00C10A55"/>
    <w:rsid w:val="00C11451"/>
    <w:rsid w:val="00C11924"/>
    <w:rsid w:val="00C12A57"/>
    <w:rsid w:val="00C134A5"/>
    <w:rsid w:val="00C174E0"/>
    <w:rsid w:val="00C20346"/>
    <w:rsid w:val="00C2059C"/>
    <w:rsid w:val="00C21103"/>
    <w:rsid w:val="00C263FE"/>
    <w:rsid w:val="00C30977"/>
    <w:rsid w:val="00C30B74"/>
    <w:rsid w:val="00C312D0"/>
    <w:rsid w:val="00C3248D"/>
    <w:rsid w:val="00C34F49"/>
    <w:rsid w:val="00C37041"/>
    <w:rsid w:val="00C42EA1"/>
    <w:rsid w:val="00C439A8"/>
    <w:rsid w:val="00C45371"/>
    <w:rsid w:val="00C46716"/>
    <w:rsid w:val="00C47628"/>
    <w:rsid w:val="00C545BE"/>
    <w:rsid w:val="00C572E2"/>
    <w:rsid w:val="00C57609"/>
    <w:rsid w:val="00C57920"/>
    <w:rsid w:val="00C63070"/>
    <w:rsid w:val="00C634D9"/>
    <w:rsid w:val="00C648C1"/>
    <w:rsid w:val="00C6605F"/>
    <w:rsid w:val="00C7180B"/>
    <w:rsid w:val="00C75230"/>
    <w:rsid w:val="00C7714C"/>
    <w:rsid w:val="00C85CA9"/>
    <w:rsid w:val="00C861BF"/>
    <w:rsid w:val="00C8716C"/>
    <w:rsid w:val="00C9040B"/>
    <w:rsid w:val="00C913EF"/>
    <w:rsid w:val="00C91C9F"/>
    <w:rsid w:val="00C95A3B"/>
    <w:rsid w:val="00C96C18"/>
    <w:rsid w:val="00C97976"/>
    <w:rsid w:val="00CA2B00"/>
    <w:rsid w:val="00CA346D"/>
    <w:rsid w:val="00CB00F6"/>
    <w:rsid w:val="00CB1D02"/>
    <w:rsid w:val="00CB410F"/>
    <w:rsid w:val="00CB4B82"/>
    <w:rsid w:val="00CB5112"/>
    <w:rsid w:val="00CB606C"/>
    <w:rsid w:val="00CC5607"/>
    <w:rsid w:val="00CC6AC5"/>
    <w:rsid w:val="00CD0785"/>
    <w:rsid w:val="00CD2077"/>
    <w:rsid w:val="00CD22EE"/>
    <w:rsid w:val="00CD4416"/>
    <w:rsid w:val="00CD4C95"/>
    <w:rsid w:val="00CD553D"/>
    <w:rsid w:val="00CD6BB7"/>
    <w:rsid w:val="00CE1151"/>
    <w:rsid w:val="00CE1152"/>
    <w:rsid w:val="00CE2A8F"/>
    <w:rsid w:val="00CE7E57"/>
    <w:rsid w:val="00CF21A5"/>
    <w:rsid w:val="00CF48F2"/>
    <w:rsid w:val="00CF49B5"/>
    <w:rsid w:val="00D120D0"/>
    <w:rsid w:val="00D129D4"/>
    <w:rsid w:val="00D207E1"/>
    <w:rsid w:val="00D22BFC"/>
    <w:rsid w:val="00D23432"/>
    <w:rsid w:val="00D248DC"/>
    <w:rsid w:val="00D277EF"/>
    <w:rsid w:val="00D27AA6"/>
    <w:rsid w:val="00D309A0"/>
    <w:rsid w:val="00D31149"/>
    <w:rsid w:val="00D33008"/>
    <w:rsid w:val="00D37A4B"/>
    <w:rsid w:val="00D4169C"/>
    <w:rsid w:val="00D41BA7"/>
    <w:rsid w:val="00D42403"/>
    <w:rsid w:val="00D46CC9"/>
    <w:rsid w:val="00D51BB0"/>
    <w:rsid w:val="00D51D2A"/>
    <w:rsid w:val="00D527F0"/>
    <w:rsid w:val="00D54E49"/>
    <w:rsid w:val="00D57DF5"/>
    <w:rsid w:val="00D60137"/>
    <w:rsid w:val="00D6095F"/>
    <w:rsid w:val="00D6281B"/>
    <w:rsid w:val="00D738CD"/>
    <w:rsid w:val="00D82A3B"/>
    <w:rsid w:val="00D8462D"/>
    <w:rsid w:val="00D85E9F"/>
    <w:rsid w:val="00D879CA"/>
    <w:rsid w:val="00D93FCA"/>
    <w:rsid w:val="00D9787F"/>
    <w:rsid w:val="00DA0518"/>
    <w:rsid w:val="00DA2B46"/>
    <w:rsid w:val="00DA39CD"/>
    <w:rsid w:val="00DA4CD8"/>
    <w:rsid w:val="00DA4F44"/>
    <w:rsid w:val="00DA6D84"/>
    <w:rsid w:val="00DA7135"/>
    <w:rsid w:val="00DB1D20"/>
    <w:rsid w:val="00DB75F2"/>
    <w:rsid w:val="00DC07C3"/>
    <w:rsid w:val="00DD19C6"/>
    <w:rsid w:val="00DD1BB3"/>
    <w:rsid w:val="00DD4955"/>
    <w:rsid w:val="00DD4D94"/>
    <w:rsid w:val="00DD5054"/>
    <w:rsid w:val="00DE13F8"/>
    <w:rsid w:val="00DE70DB"/>
    <w:rsid w:val="00DE7643"/>
    <w:rsid w:val="00DE7D21"/>
    <w:rsid w:val="00DF25B5"/>
    <w:rsid w:val="00DF519C"/>
    <w:rsid w:val="00DF70A0"/>
    <w:rsid w:val="00DF7E7B"/>
    <w:rsid w:val="00E0628F"/>
    <w:rsid w:val="00E0734F"/>
    <w:rsid w:val="00E1357C"/>
    <w:rsid w:val="00E156A6"/>
    <w:rsid w:val="00E24D11"/>
    <w:rsid w:val="00E302DD"/>
    <w:rsid w:val="00E316B9"/>
    <w:rsid w:val="00E3209B"/>
    <w:rsid w:val="00E33675"/>
    <w:rsid w:val="00E3411A"/>
    <w:rsid w:val="00E3673A"/>
    <w:rsid w:val="00E44A48"/>
    <w:rsid w:val="00E459A2"/>
    <w:rsid w:val="00E468FC"/>
    <w:rsid w:val="00E56F31"/>
    <w:rsid w:val="00E63E46"/>
    <w:rsid w:val="00E66036"/>
    <w:rsid w:val="00E675AC"/>
    <w:rsid w:val="00E67ED6"/>
    <w:rsid w:val="00E76729"/>
    <w:rsid w:val="00E77DFE"/>
    <w:rsid w:val="00E82110"/>
    <w:rsid w:val="00E84142"/>
    <w:rsid w:val="00E85304"/>
    <w:rsid w:val="00E86C89"/>
    <w:rsid w:val="00E90A88"/>
    <w:rsid w:val="00E94CF5"/>
    <w:rsid w:val="00E955E2"/>
    <w:rsid w:val="00E95843"/>
    <w:rsid w:val="00E96A43"/>
    <w:rsid w:val="00EA20FF"/>
    <w:rsid w:val="00EA388D"/>
    <w:rsid w:val="00EA4A8F"/>
    <w:rsid w:val="00EA643B"/>
    <w:rsid w:val="00EA691A"/>
    <w:rsid w:val="00EB10C4"/>
    <w:rsid w:val="00EB2D8B"/>
    <w:rsid w:val="00EB3B76"/>
    <w:rsid w:val="00EB498C"/>
    <w:rsid w:val="00EB518A"/>
    <w:rsid w:val="00EB673C"/>
    <w:rsid w:val="00EC3A2E"/>
    <w:rsid w:val="00ED15FB"/>
    <w:rsid w:val="00ED1AA8"/>
    <w:rsid w:val="00ED4475"/>
    <w:rsid w:val="00ED4576"/>
    <w:rsid w:val="00ED788C"/>
    <w:rsid w:val="00ED7E49"/>
    <w:rsid w:val="00EE048F"/>
    <w:rsid w:val="00EE1EAD"/>
    <w:rsid w:val="00EE5486"/>
    <w:rsid w:val="00EE6615"/>
    <w:rsid w:val="00EF2F4B"/>
    <w:rsid w:val="00EF445C"/>
    <w:rsid w:val="00EF52B9"/>
    <w:rsid w:val="00EF5ED9"/>
    <w:rsid w:val="00EF6889"/>
    <w:rsid w:val="00EF6998"/>
    <w:rsid w:val="00F013CF"/>
    <w:rsid w:val="00F03458"/>
    <w:rsid w:val="00F03C84"/>
    <w:rsid w:val="00F04FC9"/>
    <w:rsid w:val="00F07EF2"/>
    <w:rsid w:val="00F1038E"/>
    <w:rsid w:val="00F114D2"/>
    <w:rsid w:val="00F12C9A"/>
    <w:rsid w:val="00F13999"/>
    <w:rsid w:val="00F1423F"/>
    <w:rsid w:val="00F2007B"/>
    <w:rsid w:val="00F22F1C"/>
    <w:rsid w:val="00F24160"/>
    <w:rsid w:val="00F25B7D"/>
    <w:rsid w:val="00F30AE2"/>
    <w:rsid w:val="00F3473F"/>
    <w:rsid w:val="00F41E46"/>
    <w:rsid w:val="00F43202"/>
    <w:rsid w:val="00F51173"/>
    <w:rsid w:val="00F54330"/>
    <w:rsid w:val="00F60420"/>
    <w:rsid w:val="00F61344"/>
    <w:rsid w:val="00F73E25"/>
    <w:rsid w:val="00F77B3D"/>
    <w:rsid w:val="00F817C7"/>
    <w:rsid w:val="00F8343F"/>
    <w:rsid w:val="00F83CA1"/>
    <w:rsid w:val="00F84F87"/>
    <w:rsid w:val="00F87A49"/>
    <w:rsid w:val="00F91E8B"/>
    <w:rsid w:val="00F934AB"/>
    <w:rsid w:val="00F9652F"/>
    <w:rsid w:val="00F97ADA"/>
    <w:rsid w:val="00FA2477"/>
    <w:rsid w:val="00FA5389"/>
    <w:rsid w:val="00FA6C89"/>
    <w:rsid w:val="00FA7A10"/>
    <w:rsid w:val="00FB25B9"/>
    <w:rsid w:val="00FB6634"/>
    <w:rsid w:val="00FC053B"/>
    <w:rsid w:val="00FC09DF"/>
    <w:rsid w:val="00FC2CB3"/>
    <w:rsid w:val="00FC36EC"/>
    <w:rsid w:val="00FC3BD7"/>
    <w:rsid w:val="00FC646C"/>
    <w:rsid w:val="00FC69A6"/>
    <w:rsid w:val="00FC7460"/>
    <w:rsid w:val="00FD18BE"/>
    <w:rsid w:val="00FD20AB"/>
    <w:rsid w:val="00FD43D1"/>
    <w:rsid w:val="00FE2310"/>
    <w:rsid w:val="00FE4BE4"/>
    <w:rsid w:val="00FE5287"/>
    <w:rsid w:val="00FE54FF"/>
    <w:rsid w:val="00FE5623"/>
    <w:rsid w:val="00FF0062"/>
    <w:rsid w:val="00FF0C05"/>
    <w:rsid w:val="00FF2702"/>
    <w:rsid w:val="00FF4B11"/>
    <w:rsid w:val="00FF5704"/>
    <w:rsid w:val="00FF5803"/>
    <w:rsid w:val="00FF59F4"/>
    <w:rsid w:val="00FF66D6"/>
    <w:rsid w:val="01C65158"/>
    <w:rsid w:val="077456DF"/>
    <w:rsid w:val="0B8953E2"/>
    <w:rsid w:val="1238084F"/>
    <w:rsid w:val="13681DA9"/>
    <w:rsid w:val="14D7579A"/>
    <w:rsid w:val="15D368F7"/>
    <w:rsid w:val="15F754B1"/>
    <w:rsid w:val="18183B04"/>
    <w:rsid w:val="1BC02799"/>
    <w:rsid w:val="22987998"/>
    <w:rsid w:val="23626EBA"/>
    <w:rsid w:val="2C6E200C"/>
    <w:rsid w:val="306845B1"/>
    <w:rsid w:val="31A0145A"/>
    <w:rsid w:val="33E51EDC"/>
    <w:rsid w:val="365E3A2C"/>
    <w:rsid w:val="38E65616"/>
    <w:rsid w:val="39F47194"/>
    <w:rsid w:val="3A437581"/>
    <w:rsid w:val="45275DD7"/>
    <w:rsid w:val="46150A7B"/>
    <w:rsid w:val="480D0D6E"/>
    <w:rsid w:val="497868AC"/>
    <w:rsid w:val="4BF1709A"/>
    <w:rsid w:val="4D221644"/>
    <w:rsid w:val="54DE0CB6"/>
    <w:rsid w:val="567449F7"/>
    <w:rsid w:val="58540AC1"/>
    <w:rsid w:val="63715AB6"/>
    <w:rsid w:val="66C13863"/>
    <w:rsid w:val="67DF3A44"/>
    <w:rsid w:val="6C44364E"/>
    <w:rsid w:val="6D8D4FC2"/>
    <w:rsid w:val="6FCC45C3"/>
    <w:rsid w:val="716D400F"/>
    <w:rsid w:val="72A86E64"/>
    <w:rsid w:val="75B4456C"/>
    <w:rsid w:val="78B34AA7"/>
    <w:rsid w:val="7BA05D82"/>
    <w:rsid w:val="7C364C10"/>
    <w:rsid w:val="7F200B12"/>
    <w:rsid w:val="7FCF52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nhideWhenUsed="0"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qFormat="1" w:unhideWhenUsed="0" w:uiPriority="0"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unhideWhenUsed="0" w:uiPriority="0" w:semiHidden="0" w:name=""/>
    <w:lsdException w:unhideWhenUsed="0" w:uiPriority="0" w:semiHidden="0" w:nam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name="HTML Preformatted"/>
    <w:lsdException w:uiPriority="99" w:name="HTML Sample"/>
    <w:lsdException w:uiPriority="99" w:name="HTML Typewriter"/>
    <w:lsdException w:uiPriority="99" w:name="HTML Variable"/>
    <w:lsdException w:uiPriority="99" w:semiHidden="0"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8"/>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121"/>
    <w:qFormat/>
    <w:uiPriority w:val="0"/>
    <w:pPr>
      <w:keepNext/>
      <w:keepLines/>
      <w:tabs>
        <w:tab w:val="left" w:pos="1740"/>
      </w:tabs>
      <w:spacing w:before="260" w:line="413" w:lineRule="auto"/>
      <w:ind w:left="1740"/>
      <w:outlineLvl w:val="2"/>
    </w:pPr>
    <w:rPr>
      <w:b/>
      <w:bCs/>
      <w:sz w:val="32"/>
      <w:szCs w:val="32"/>
    </w:rPr>
  </w:style>
  <w:style w:type="paragraph" w:styleId="5">
    <w:name w:val="heading 4"/>
    <w:basedOn w:val="1"/>
    <w:next w:val="1"/>
    <w:link w:val="133"/>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135"/>
    <w:qFormat/>
    <w:uiPriority w:val="0"/>
    <w:pPr>
      <w:keepNext/>
      <w:keepLines/>
      <w:tabs>
        <w:tab w:val="left" w:pos="2580"/>
      </w:tabs>
      <w:spacing w:before="280" w:line="372" w:lineRule="auto"/>
      <w:outlineLvl w:val="4"/>
    </w:pPr>
    <w:rPr>
      <w:b/>
      <w:bCs/>
      <w:sz w:val="28"/>
      <w:szCs w:val="28"/>
    </w:rPr>
  </w:style>
  <w:style w:type="paragraph" w:styleId="7">
    <w:name w:val="heading 6"/>
    <w:basedOn w:val="1"/>
    <w:next w:val="1"/>
    <w:link w:val="137"/>
    <w:qFormat/>
    <w:uiPriority w:val="0"/>
    <w:pPr>
      <w:keepNext/>
      <w:keepLines/>
      <w:tabs>
        <w:tab w:val="left" w:pos="3000"/>
      </w:tabs>
      <w:spacing w:before="240" w:line="317" w:lineRule="auto"/>
      <w:ind w:left="3000" w:hanging="420" w:firstLineChars="200"/>
      <w:outlineLvl w:val="5"/>
    </w:pPr>
    <w:rPr>
      <w:rFonts w:ascii="Arial" w:hAnsi="Arial" w:eastAsia="黑体"/>
      <w:b/>
      <w:bCs/>
      <w:sz w:val="24"/>
    </w:rPr>
  </w:style>
  <w:style w:type="paragraph" w:styleId="8">
    <w:name w:val="heading 7"/>
    <w:basedOn w:val="1"/>
    <w:next w:val="9"/>
    <w:link w:val="77"/>
    <w:qFormat/>
    <w:uiPriority w:val="0"/>
    <w:pPr>
      <w:keepNext/>
      <w:keepLines/>
      <w:tabs>
        <w:tab w:val="left" w:pos="3420"/>
      </w:tabs>
      <w:adjustRightInd w:val="0"/>
      <w:spacing w:before="120" w:line="360" w:lineRule="atLeast"/>
      <w:ind w:left="3420"/>
      <w:textAlignment w:val="baseline"/>
      <w:outlineLvl w:val="6"/>
    </w:pPr>
    <w:rPr>
      <w:b/>
      <w:bCs/>
      <w:sz w:val="24"/>
    </w:rPr>
  </w:style>
  <w:style w:type="paragraph" w:styleId="10">
    <w:name w:val="heading 8"/>
    <w:basedOn w:val="1"/>
    <w:next w:val="1"/>
    <w:link w:val="61"/>
    <w:qFormat/>
    <w:uiPriority w:val="0"/>
    <w:pPr>
      <w:keepNext/>
      <w:keepLines/>
      <w:tabs>
        <w:tab w:val="left" w:pos="3840"/>
      </w:tabs>
      <w:adjustRightInd w:val="0"/>
      <w:spacing w:before="240" w:line="320" w:lineRule="atLeast"/>
      <w:ind w:left="3840"/>
      <w:textAlignment w:val="baseline"/>
      <w:outlineLvl w:val="7"/>
    </w:pPr>
    <w:rPr>
      <w:rFonts w:ascii="Arial" w:hAnsi="Arial" w:eastAsia="黑体"/>
      <w:sz w:val="24"/>
    </w:rPr>
  </w:style>
  <w:style w:type="paragraph" w:styleId="11">
    <w:name w:val="heading 9"/>
    <w:basedOn w:val="1"/>
    <w:next w:val="1"/>
    <w:link w:val="134"/>
    <w:qFormat/>
    <w:uiPriority w:val="0"/>
    <w:pPr>
      <w:keepNext/>
      <w:keepLines/>
      <w:tabs>
        <w:tab w:val="left" w:pos="4260"/>
      </w:tabs>
      <w:spacing w:before="240" w:line="317" w:lineRule="auto"/>
      <w:ind w:left="4260" w:hanging="420" w:firstLineChars="200"/>
      <w:outlineLvl w:val="8"/>
    </w:pPr>
    <w:rPr>
      <w:rFonts w:ascii="Arial" w:hAnsi="Arial" w:eastAsia="黑体"/>
      <w:szCs w:val="21"/>
    </w:rPr>
  </w:style>
  <w:style w:type="character" w:default="1" w:styleId="51">
    <w:name w:val="Default Paragraph Font"/>
    <w:uiPriority w:val="0"/>
  </w:style>
  <w:style w:type="table" w:default="1" w:styleId="49">
    <w:name w:val="Normal Table"/>
    <w:unhideWhenUsed/>
    <w:uiPriority w:val="99"/>
    <w:tblPr>
      <w:tblStyle w:val="49"/>
      <w:tblCellMar>
        <w:top w:w="0" w:type="dxa"/>
        <w:left w:w="108" w:type="dxa"/>
        <w:bottom w:w="0" w:type="dxa"/>
        <w:right w:w="108" w:type="dxa"/>
      </w:tblCellMar>
    </w:tblPr>
  </w:style>
  <w:style w:type="paragraph" w:customStyle="1" w:styleId="9">
    <w:name w:val="文档正文"/>
    <w:basedOn w:val="1"/>
    <w:uiPriority w:val="0"/>
    <w:pPr>
      <w:adjustRightInd w:val="0"/>
      <w:spacing w:before="60" w:line="360" w:lineRule="atLeast"/>
      <w:ind w:firstLine="482"/>
      <w:textAlignment w:val="baseline"/>
    </w:pPr>
    <w:rPr>
      <w:sz w:val="24"/>
    </w:rPr>
  </w:style>
  <w:style w:type="paragraph" w:styleId="12">
    <w:name w:val="toc 7"/>
    <w:basedOn w:val="1"/>
    <w:next w:val="1"/>
    <w:uiPriority w:val="39"/>
    <w:pPr>
      <w:ind w:left="1260"/>
      <w:jc w:val="left"/>
    </w:pPr>
    <w:rPr>
      <w:rFonts w:ascii="Calibri" w:hAnsi="Calibri" w:cs="Calibri"/>
      <w:sz w:val="18"/>
      <w:szCs w:val="18"/>
    </w:rPr>
  </w:style>
  <w:style w:type="paragraph" w:styleId="13">
    <w:name w:val="List Number"/>
    <w:basedOn w:val="1"/>
    <w:uiPriority w:val="0"/>
    <w:pPr>
      <w:widowControl/>
      <w:numPr>
        <w:ilvl w:val="0"/>
        <w:numId w:val="1"/>
      </w:numPr>
      <w:tabs>
        <w:tab w:val="left" w:pos="454"/>
        <w:tab w:val="left" w:pos="720"/>
        <w:tab w:val="clear" w:pos="900"/>
      </w:tabs>
      <w:spacing w:after="156" w:afterLines="50"/>
      <w:ind w:left="454" w:hanging="284"/>
      <w:jc w:val="left"/>
    </w:pPr>
    <w:rPr>
      <w:kern w:val="0"/>
      <w:sz w:val="24"/>
      <w:szCs w:val="20"/>
    </w:rPr>
  </w:style>
  <w:style w:type="paragraph" w:styleId="14">
    <w:name w:val="Normal Indent"/>
    <w:basedOn w:val="1"/>
    <w:link w:val="101"/>
    <w:qFormat/>
    <w:uiPriority w:val="0"/>
    <w:pPr>
      <w:ind w:firstLine="420"/>
    </w:pPr>
    <w:rPr>
      <w:szCs w:val="20"/>
    </w:rPr>
  </w:style>
  <w:style w:type="paragraph" w:styleId="15">
    <w:name w:val="caption"/>
    <w:basedOn w:val="1"/>
    <w:next w:val="1"/>
    <w:qFormat/>
    <w:uiPriority w:val="0"/>
    <w:pPr>
      <w:spacing w:before="152" w:beforeLines="0" w:after="160" w:afterLines="0"/>
    </w:pPr>
    <w:rPr>
      <w:rFonts w:ascii="Arial" w:hAnsi="Arial" w:eastAsia="黑体" w:cs="Arial"/>
      <w:sz w:val="20"/>
      <w:szCs w:val="20"/>
    </w:rPr>
  </w:style>
  <w:style w:type="paragraph" w:styleId="16">
    <w:name w:val="Document Map"/>
    <w:basedOn w:val="1"/>
    <w:link w:val="138"/>
    <w:qFormat/>
    <w:uiPriority w:val="0"/>
    <w:pPr>
      <w:shd w:val="clear" w:color="auto" w:fill="000080"/>
      <w:spacing w:afterLines="100" w:line="360" w:lineRule="auto"/>
      <w:ind w:firstLine="200" w:firstLineChars="200"/>
    </w:pPr>
    <w:rPr>
      <w:sz w:val="24"/>
    </w:rPr>
  </w:style>
  <w:style w:type="paragraph" w:styleId="17">
    <w:name w:val="annotation text"/>
    <w:basedOn w:val="1"/>
    <w:link w:val="79"/>
    <w:qFormat/>
    <w:uiPriority w:val="99"/>
    <w:pPr>
      <w:spacing w:afterLines="100" w:line="360" w:lineRule="auto"/>
      <w:ind w:firstLine="200" w:firstLineChars="200"/>
      <w:jc w:val="left"/>
    </w:pPr>
    <w:rPr>
      <w:sz w:val="24"/>
    </w:rPr>
  </w:style>
  <w:style w:type="paragraph" w:styleId="18">
    <w:name w:val="Body Text 3"/>
    <w:basedOn w:val="1"/>
    <w:link w:val="152"/>
    <w:uiPriority w:val="0"/>
    <w:pPr>
      <w:snapToGrid w:val="0"/>
      <w:spacing w:before="50" w:beforeLines="0" w:after="50" w:afterLines="0"/>
    </w:pPr>
    <w:rPr>
      <w:rFonts w:hAnsi="宋体" w:eastAsia="仿宋_GB2312"/>
      <w:b/>
      <w:bCs/>
      <w:sz w:val="24"/>
      <w:szCs w:val="20"/>
    </w:rPr>
  </w:style>
  <w:style w:type="paragraph" w:styleId="19">
    <w:name w:val="Body Text"/>
    <w:basedOn w:val="1"/>
    <w:link w:val="96"/>
    <w:uiPriority w:val="0"/>
    <w:pPr>
      <w:spacing w:after="120" w:afterLines="0"/>
    </w:pPr>
    <w:rPr>
      <w:sz w:val="28"/>
    </w:rPr>
  </w:style>
  <w:style w:type="paragraph" w:styleId="20">
    <w:name w:val="Body Text Indent"/>
    <w:basedOn w:val="1"/>
    <w:link w:val="59"/>
    <w:qFormat/>
    <w:uiPriority w:val="0"/>
    <w:pPr>
      <w:spacing w:line="200" w:lineRule="exact"/>
      <w:ind w:firstLine="301"/>
    </w:pPr>
    <w:rPr>
      <w:rFonts w:ascii="宋体" w:hAnsi="Courier New"/>
      <w:spacing w:val="-4"/>
      <w:sz w:val="18"/>
      <w:szCs w:val="20"/>
    </w:rPr>
  </w:style>
  <w:style w:type="paragraph" w:styleId="21">
    <w:name w:val="List Number 3"/>
    <w:basedOn w:val="1"/>
    <w:uiPriority w:val="0"/>
    <w:pPr>
      <w:numPr>
        <w:ilvl w:val="0"/>
        <w:numId w:val="2"/>
      </w:numPr>
    </w:pPr>
  </w:style>
  <w:style w:type="paragraph" w:styleId="22">
    <w:name w:val="List 2"/>
    <w:basedOn w:val="1"/>
    <w:uiPriority w:val="0"/>
    <w:pPr>
      <w:ind w:left="100" w:leftChars="200" w:hanging="200" w:hangingChars="200"/>
    </w:pPr>
    <w:rPr>
      <w:sz w:val="28"/>
    </w:rPr>
  </w:style>
  <w:style w:type="paragraph" w:styleId="23">
    <w:name w:val="toc 5"/>
    <w:basedOn w:val="1"/>
    <w:next w:val="1"/>
    <w:qFormat/>
    <w:uiPriority w:val="39"/>
    <w:pPr>
      <w:ind w:left="840"/>
      <w:jc w:val="left"/>
    </w:pPr>
    <w:rPr>
      <w:rFonts w:ascii="Calibri" w:hAnsi="Calibri" w:cs="Calibri"/>
      <w:sz w:val="18"/>
      <w:szCs w:val="18"/>
    </w:rPr>
  </w:style>
  <w:style w:type="paragraph" w:styleId="24">
    <w:name w:val="toc 3"/>
    <w:basedOn w:val="1"/>
    <w:next w:val="1"/>
    <w:uiPriority w:val="39"/>
    <w:pPr>
      <w:spacing w:line="360" w:lineRule="auto"/>
      <w:ind w:left="480" w:firstLine="200" w:firstLineChars="200"/>
      <w:jc w:val="left"/>
    </w:pPr>
    <w:rPr>
      <w:i/>
      <w:iCs/>
      <w:sz w:val="20"/>
      <w:szCs w:val="20"/>
    </w:rPr>
  </w:style>
  <w:style w:type="paragraph" w:styleId="25">
    <w:name w:val="Plain Text"/>
    <w:basedOn w:val="1"/>
    <w:link w:val="124"/>
    <w:qFormat/>
    <w:uiPriority w:val="99"/>
    <w:pPr>
      <w:spacing w:before="156" w:beforeLines="50" w:after="156" w:afterLines="50" w:line="400" w:lineRule="exact"/>
    </w:pPr>
    <w:rPr>
      <w:rFonts w:ascii="宋体" w:hAnsi="Courier New"/>
      <w:sz w:val="24"/>
    </w:rPr>
  </w:style>
  <w:style w:type="paragraph" w:styleId="26">
    <w:name w:val="toc 8"/>
    <w:basedOn w:val="1"/>
    <w:next w:val="1"/>
    <w:qFormat/>
    <w:uiPriority w:val="39"/>
    <w:pPr>
      <w:ind w:left="1470"/>
      <w:jc w:val="left"/>
    </w:pPr>
    <w:rPr>
      <w:rFonts w:ascii="Calibri" w:hAnsi="Calibri" w:cs="Calibri"/>
      <w:sz w:val="18"/>
      <w:szCs w:val="18"/>
    </w:rPr>
  </w:style>
  <w:style w:type="paragraph" w:styleId="27">
    <w:name w:val="Date"/>
    <w:basedOn w:val="1"/>
    <w:next w:val="1"/>
    <w:link w:val="78"/>
    <w:qFormat/>
    <w:uiPriority w:val="0"/>
    <w:pPr>
      <w:ind w:leftChars="2500"/>
    </w:pPr>
    <w:rPr>
      <w:rFonts w:eastAsia="楷体_GB2312"/>
      <w:sz w:val="32"/>
      <w:szCs w:val="20"/>
    </w:rPr>
  </w:style>
  <w:style w:type="paragraph" w:styleId="28">
    <w:name w:val="Body Text Indent 2"/>
    <w:basedOn w:val="1"/>
    <w:link w:val="166"/>
    <w:uiPriority w:val="0"/>
    <w:pPr>
      <w:snapToGrid w:val="0"/>
      <w:ind w:firstLine="542" w:firstLineChars="225"/>
    </w:pPr>
    <w:rPr>
      <w:rFonts w:ascii="仿宋_GB2312" w:hAnsi="宋体" w:cs="Arial"/>
      <w:b/>
      <w:bCs/>
      <w:color w:val="000000"/>
      <w:sz w:val="24"/>
    </w:rPr>
  </w:style>
  <w:style w:type="paragraph" w:styleId="29">
    <w:name w:val="endnote text"/>
    <w:basedOn w:val="1"/>
    <w:link w:val="159"/>
    <w:uiPriority w:val="0"/>
    <w:pPr>
      <w:snapToGrid w:val="0"/>
      <w:jc w:val="left"/>
    </w:pPr>
  </w:style>
  <w:style w:type="paragraph" w:styleId="30">
    <w:name w:val="Balloon Text"/>
    <w:basedOn w:val="1"/>
    <w:link w:val="150"/>
    <w:unhideWhenUsed/>
    <w:qFormat/>
    <w:uiPriority w:val="0"/>
    <w:rPr>
      <w:sz w:val="16"/>
      <w:szCs w:val="16"/>
    </w:rPr>
  </w:style>
  <w:style w:type="paragraph" w:styleId="31">
    <w:name w:val="footer"/>
    <w:basedOn w:val="1"/>
    <w:link w:val="113"/>
    <w:qFormat/>
    <w:uiPriority w:val="99"/>
    <w:pPr>
      <w:tabs>
        <w:tab w:val="center" w:pos="4153"/>
        <w:tab w:val="right" w:pos="8306"/>
      </w:tabs>
      <w:snapToGrid w:val="0"/>
      <w:jc w:val="left"/>
    </w:pPr>
    <w:rPr>
      <w:rFonts w:eastAsia="黑体"/>
      <w:snapToGrid w:val="0"/>
      <w:kern w:val="0"/>
      <w:sz w:val="18"/>
      <w:szCs w:val="18"/>
    </w:rPr>
  </w:style>
  <w:style w:type="paragraph" w:styleId="32">
    <w:name w:val="header"/>
    <w:basedOn w:val="1"/>
    <w:link w:val="106"/>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3">
    <w:name w:val="toc 1"/>
    <w:basedOn w:val="1"/>
    <w:next w:val="1"/>
    <w:qFormat/>
    <w:uiPriority w:val="39"/>
  </w:style>
  <w:style w:type="paragraph" w:styleId="34">
    <w:name w:val="toc 4"/>
    <w:basedOn w:val="1"/>
    <w:next w:val="1"/>
    <w:qFormat/>
    <w:uiPriority w:val="39"/>
    <w:pPr>
      <w:ind w:left="630"/>
      <w:jc w:val="left"/>
    </w:pPr>
    <w:rPr>
      <w:rFonts w:ascii="Calibri" w:hAnsi="Calibri" w:cs="Calibri"/>
      <w:sz w:val="18"/>
      <w:szCs w:val="18"/>
    </w:rPr>
  </w:style>
  <w:style w:type="paragraph" w:styleId="35">
    <w:name w:val="Subtitle"/>
    <w:basedOn w:val="1"/>
    <w:next w:val="1"/>
    <w:link w:val="171"/>
    <w:qFormat/>
    <w:uiPriority w:val="11"/>
    <w:pPr>
      <w:spacing w:before="240" w:after="60" w:line="312" w:lineRule="auto"/>
      <w:jc w:val="center"/>
      <w:outlineLvl w:val="1"/>
    </w:pPr>
    <w:rPr>
      <w:rFonts w:ascii="Cambria" w:hAnsi="Cambria"/>
      <w:b/>
      <w:bCs/>
      <w:kern w:val="28"/>
      <w:sz w:val="32"/>
      <w:szCs w:val="32"/>
    </w:rPr>
  </w:style>
  <w:style w:type="paragraph" w:styleId="36">
    <w:name w:val="List"/>
    <w:basedOn w:val="1"/>
    <w:uiPriority w:val="0"/>
    <w:pPr>
      <w:ind w:left="200" w:hanging="200" w:hangingChars="200"/>
    </w:pPr>
    <w:rPr>
      <w:sz w:val="28"/>
    </w:rPr>
  </w:style>
  <w:style w:type="paragraph" w:styleId="37">
    <w:name w:val="footnote text"/>
    <w:basedOn w:val="1"/>
    <w:link w:val="107"/>
    <w:uiPriority w:val="0"/>
    <w:pPr>
      <w:adjustRightInd w:val="0"/>
      <w:snapToGrid w:val="0"/>
      <w:spacing w:before="60" w:line="360" w:lineRule="atLeast"/>
      <w:ind w:firstLine="482"/>
      <w:jc w:val="left"/>
      <w:textAlignment w:val="baseline"/>
    </w:pPr>
    <w:rPr>
      <w:kern w:val="0"/>
      <w:sz w:val="18"/>
    </w:rPr>
  </w:style>
  <w:style w:type="paragraph" w:styleId="38">
    <w:name w:val="toc 6"/>
    <w:basedOn w:val="1"/>
    <w:next w:val="1"/>
    <w:qFormat/>
    <w:uiPriority w:val="39"/>
    <w:pPr>
      <w:ind w:left="1050"/>
      <w:jc w:val="left"/>
    </w:pPr>
    <w:rPr>
      <w:rFonts w:ascii="Calibri" w:hAnsi="Calibri" w:cs="Calibri"/>
      <w:sz w:val="18"/>
      <w:szCs w:val="18"/>
    </w:rPr>
  </w:style>
  <w:style w:type="paragraph" w:styleId="39">
    <w:name w:val="Body Text Indent 3"/>
    <w:basedOn w:val="1"/>
    <w:link w:val="167"/>
    <w:uiPriority w:val="0"/>
    <w:pPr>
      <w:snapToGrid w:val="0"/>
      <w:ind w:firstLine="480" w:firstLineChars="200"/>
      <w:jc w:val="left"/>
    </w:pPr>
    <w:rPr>
      <w:rFonts w:ascii="仿宋_GB2312" w:hAnsi="宋体" w:eastAsia="仿宋_GB2312"/>
      <w:color w:val="000000"/>
      <w:sz w:val="24"/>
    </w:rPr>
  </w:style>
  <w:style w:type="paragraph" w:styleId="40">
    <w:name w:val="toc 2"/>
    <w:basedOn w:val="1"/>
    <w:next w:val="1"/>
    <w:unhideWhenUsed/>
    <w:qFormat/>
    <w:uiPriority w:val="39"/>
    <w:pPr>
      <w:ind w:left="420" w:leftChars="200"/>
    </w:pPr>
  </w:style>
  <w:style w:type="paragraph" w:styleId="41">
    <w:name w:val="toc 9"/>
    <w:basedOn w:val="1"/>
    <w:next w:val="1"/>
    <w:qFormat/>
    <w:uiPriority w:val="39"/>
    <w:pPr>
      <w:ind w:left="1680"/>
      <w:jc w:val="left"/>
    </w:pPr>
    <w:rPr>
      <w:rFonts w:ascii="Calibri" w:hAnsi="Calibri" w:cs="Calibri"/>
      <w:sz w:val="18"/>
      <w:szCs w:val="18"/>
    </w:rPr>
  </w:style>
  <w:style w:type="paragraph" w:styleId="42">
    <w:name w:val="Body Text 2"/>
    <w:basedOn w:val="1"/>
    <w:link w:val="119"/>
    <w:qFormat/>
    <w:uiPriority w:val="99"/>
    <w:pPr>
      <w:widowControl/>
      <w:snapToGrid w:val="0"/>
      <w:spacing w:before="50" w:beforeLines="0" w:after="156" w:afterLines="50" w:line="400" w:lineRule="exact"/>
      <w:jc w:val="left"/>
    </w:pPr>
    <w:rPr>
      <w:rFonts w:ascii="宋体" w:hAnsi="宋体"/>
      <w:color w:val="000000"/>
      <w:sz w:val="24"/>
    </w:rPr>
  </w:style>
  <w:style w:type="paragraph" w:styleId="43">
    <w:name w:val="HTML Preformatted"/>
    <w:basedOn w:val="1"/>
    <w:link w:val="93"/>
    <w:semiHidden/>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4">
    <w:name w:val="Normal (Web)"/>
    <w:basedOn w:val="1"/>
    <w:link w:val="65"/>
    <w:qFormat/>
    <w:uiPriority w:val="0"/>
    <w:pPr>
      <w:widowControl/>
      <w:spacing w:before="100" w:beforeAutospacing="1" w:after="100" w:afterAutospacing="1"/>
      <w:jc w:val="left"/>
    </w:pPr>
    <w:rPr>
      <w:kern w:val="0"/>
      <w:sz w:val="24"/>
    </w:rPr>
  </w:style>
  <w:style w:type="paragraph" w:styleId="45">
    <w:name w:val="Title"/>
    <w:basedOn w:val="1"/>
    <w:next w:val="1"/>
    <w:link w:val="108"/>
    <w:qFormat/>
    <w:uiPriority w:val="0"/>
    <w:pPr>
      <w:spacing w:before="240" w:after="60"/>
      <w:jc w:val="center"/>
      <w:outlineLvl w:val="0"/>
    </w:pPr>
    <w:rPr>
      <w:rFonts w:ascii="Cambria" w:hAnsi="Cambria"/>
      <w:b/>
      <w:bCs/>
      <w:sz w:val="32"/>
      <w:szCs w:val="32"/>
    </w:rPr>
  </w:style>
  <w:style w:type="paragraph" w:styleId="46">
    <w:name w:val="annotation subject"/>
    <w:basedOn w:val="17"/>
    <w:next w:val="17"/>
    <w:link w:val="156"/>
    <w:uiPriority w:val="99"/>
    <w:rPr>
      <w:b/>
      <w:bCs/>
    </w:rPr>
  </w:style>
  <w:style w:type="paragraph" w:styleId="47">
    <w:name w:val="Body Text First Indent"/>
    <w:basedOn w:val="19"/>
    <w:link w:val="95"/>
    <w:unhideWhenUsed/>
    <w:qFormat/>
    <w:uiPriority w:val="99"/>
    <w:pPr>
      <w:ind w:firstLine="420" w:firstLineChars="100"/>
    </w:pPr>
    <w:rPr>
      <w:sz w:val="21"/>
    </w:rPr>
  </w:style>
  <w:style w:type="paragraph" w:styleId="48">
    <w:name w:val="Body Text First Indent 2"/>
    <w:basedOn w:val="20"/>
    <w:link w:val="58"/>
    <w:qFormat/>
    <w:uiPriority w:val="99"/>
    <w:pPr>
      <w:spacing w:after="120" w:line="360" w:lineRule="auto"/>
      <w:ind w:left="420" w:leftChars="200" w:firstLine="420" w:firstLineChars="200"/>
    </w:pPr>
    <w:rPr>
      <w:rFonts w:ascii="Times New Roman" w:hAnsi="Times New Roman"/>
      <w:spacing w:val="0"/>
      <w:sz w:val="24"/>
      <w:szCs w:val="24"/>
      <w:lang w:val="en-US" w:eastAsia="zh-CN"/>
    </w:rPr>
  </w:style>
  <w:style w:type="table" w:styleId="50">
    <w:name w:val="Table Grid"/>
    <w:basedOn w:val="49"/>
    <w:qFormat/>
    <w:uiPriority w:val="39"/>
    <w:tblPr>
      <w:tblStyle w:val="4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2">
    <w:name w:val="Strong"/>
    <w:qFormat/>
    <w:uiPriority w:val="22"/>
    <w:rPr>
      <w:b/>
      <w:bCs/>
    </w:rPr>
  </w:style>
  <w:style w:type="character" w:styleId="53">
    <w:name w:val="page number"/>
    <w:basedOn w:val="51"/>
    <w:uiPriority w:val="0"/>
  </w:style>
  <w:style w:type="character" w:styleId="54">
    <w:name w:val="FollowedHyperlink"/>
    <w:basedOn w:val="51"/>
    <w:uiPriority w:val="99"/>
    <w:rPr>
      <w:color w:val="800080"/>
      <w:u w:val="single"/>
    </w:rPr>
  </w:style>
  <w:style w:type="character" w:styleId="55">
    <w:name w:val="Hyperlink"/>
    <w:basedOn w:val="51"/>
    <w:qFormat/>
    <w:uiPriority w:val="0"/>
    <w:rPr>
      <w:color w:val="0000FF"/>
      <w:u w:val="single"/>
    </w:rPr>
  </w:style>
  <w:style w:type="character" w:styleId="56">
    <w:name w:val="annotation reference"/>
    <w:qFormat/>
    <w:uiPriority w:val="99"/>
    <w:rPr>
      <w:sz w:val="21"/>
      <w:szCs w:val="21"/>
    </w:rPr>
  </w:style>
  <w:style w:type="character" w:customStyle="1" w:styleId="57">
    <w:name w:val="_表格文字 Char"/>
    <w:uiPriority w:val="0"/>
    <w:rPr>
      <w:rFonts w:eastAsia="宋体"/>
      <w:kern w:val="2"/>
      <w:sz w:val="21"/>
      <w:szCs w:val="24"/>
      <w:lang w:val="en-US" w:eastAsia="zh-CN" w:bidi="ar-SA"/>
    </w:rPr>
  </w:style>
  <w:style w:type="character" w:customStyle="1" w:styleId="58">
    <w:name w:val="正文首行缩进 2 Char"/>
    <w:basedOn w:val="59"/>
    <w:link w:val="48"/>
    <w:semiHidden/>
    <w:uiPriority w:val="0"/>
    <w:rPr>
      <w:sz w:val="24"/>
      <w:szCs w:val="24"/>
    </w:rPr>
  </w:style>
  <w:style w:type="character" w:customStyle="1" w:styleId="59">
    <w:name w:val="正文文本缩进 Char"/>
    <w:link w:val="20"/>
    <w:qFormat/>
    <w:uiPriority w:val="0"/>
    <w:rPr>
      <w:rFonts w:ascii="宋体" w:hAnsi="Courier New"/>
      <w:spacing w:val="-4"/>
      <w:kern w:val="2"/>
      <w:sz w:val="18"/>
    </w:rPr>
  </w:style>
  <w:style w:type="character" w:customStyle="1" w:styleId="60">
    <w:name w:val="标题 Char"/>
    <w:basedOn w:val="51"/>
    <w:qFormat/>
    <w:uiPriority w:val="0"/>
    <w:rPr>
      <w:rFonts w:ascii="Cambria" w:hAnsi="Cambria" w:cs="Times New Roman"/>
      <w:b/>
      <w:bCs/>
      <w:kern w:val="2"/>
      <w:sz w:val="32"/>
      <w:szCs w:val="32"/>
    </w:rPr>
  </w:style>
  <w:style w:type="character" w:customStyle="1" w:styleId="61">
    <w:name w:val="标题 8 Char"/>
    <w:basedOn w:val="51"/>
    <w:link w:val="10"/>
    <w:qFormat/>
    <w:uiPriority w:val="0"/>
    <w:rPr>
      <w:rFonts w:ascii="Arial" w:hAnsi="Arial" w:eastAsia="黑体"/>
      <w:kern w:val="2"/>
      <w:sz w:val="24"/>
      <w:szCs w:val="24"/>
    </w:rPr>
  </w:style>
  <w:style w:type="character" w:customStyle="1" w:styleId="62">
    <w:name w:val="orange"/>
    <w:basedOn w:val="51"/>
    <w:uiPriority w:val="0"/>
  </w:style>
  <w:style w:type="character" w:customStyle="1" w:styleId="63">
    <w:name w:val="Char Char11"/>
    <w:uiPriority w:val="0"/>
    <w:rPr>
      <w:rFonts w:ascii="Arial" w:hAnsi="Arial" w:eastAsia="黑体"/>
      <w:sz w:val="24"/>
      <w:szCs w:val="24"/>
      <w:lang w:val="en-US" w:eastAsia="zh-CN" w:bidi="ar-SA"/>
    </w:rPr>
  </w:style>
  <w:style w:type="character" w:customStyle="1" w:styleId="64">
    <w:name w:val="m_391"/>
    <w:uiPriority w:val="0"/>
  </w:style>
  <w:style w:type="character" w:customStyle="1" w:styleId="65">
    <w:name w:val="普通(网站) Char"/>
    <w:basedOn w:val="51"/>
    <w:link w:val="44"/>
    <w:locked/>
    <w:uiPriority w:val="99"/>
    <w:rPr>
      <w:sz w:val="24"/>
      <w:szCs w:val="24"/>
    </w:rPr>
  </w:style>
  <w:style w:type="character" w:customStyle="1" w:styleId="66">
    <w:name w:val="列出段落 Char"/>
    <w:link w:val="67"/>
    <w:qFormat/>
    <w:uiPriority w:val="34"/>
    <w:rPr>
      <w:rFonts w:ascii="Calibri" w:hAnsi="Calibri"/>
      <w:kern w:val="2"/>
      <w:sz w:val="21"/>
      <w:szCs w:val="22"/>
    </w:rPr>
  </w:style>
  <w:style w:type="paragraph" w:styleId="67">
    <w:name w:val="List Paragraph"/>
    <w:basedOn w:val="1"/>
    <w:link w:val="66"/>
    <w:qFormat/>
    <w:uiPriority w:val="34"/>
    <w:pPr>
      <w:ind w:left="420" w:firstLine="420" w:firstLineChars="200"/>
    </w:pPr>
    <w:rPr>
      <w:rFonts w:ascii="Calibri" w:hAnsi="Calibri"/>
      <w:szCs w:val="22"/>
    </w:rPr>
  </w:style>
  <w:style w:type="character" w:customStyle="1" w:styleId="68">
    <w:name w:val="f14b1"/>
    <w:uiPriority w:val="0"/>
    <w:rPr>
      <w:rFonts w:hint="default" w:ascii="??" w:hAnsi="??"/>
      <w:b/>
      <w:bCs/>
      <w:color w:val="333333"/>
      <w:sz w:val="21"/>
      <w:szCs w:val="21"/>
    </w:rPr>
  </w:style>
  <w:style w:type="character" w:customStyle="1" w:styleId="69">
    <w:name w:val="_表格标题 Char"/>
    <w:uiPriority w:val="0"/>
    <w:rPr>
      <w:rFonts w:eastAsia="宋体"/>
      <w:b/>
      <w:kern w:val="2"/>
      <w:sz w:val="24"/>
      <w:szCs w:val="24"/>
      <w:lang w:val="en-US" w:eastAsia="zh-CN" w:bidi="ar-SA"/>
    </w:rPr>
  </w:style>
  <w:style w:type="character" w:customStyle="1" w:styleId="70">
    <w:name w:val="Char Char4"/>
    <w:uiPriority w:val="0"/>
    <w:rPr>
      <w:rFonts w:eastAsia="宋体"/>
      <w:kern w:val="2"/>
      <w:sz w:val="24"/>
      <w:lang w:val="en-US" w:eastAsia="zh-CN" w:bidi="ar-SA"/>
    </w:rPr>
  </w:style>
  <w:style w:type="character" w:customStyle="1" w:styleId="71">
    <w:name w:val="项目目录-内容 Char"/>
    <w:link w:val="72"/>
    <w:qFormat/>
    <w:uiPriority w:val="99"/>
    <w:rPr>
      <w:rFonts w:ascii="仿宋" w:hAnsi="仿宋"/>
      <w:sz w:val="24"/>
      <w:szCs w:val="28"/>
      <w:lang w:val="zh-CN"/>
    </w:rPr>
  </w:style>
  <w:style w:type="paragraph" w:customStyle="1" w:styleId="72">
    <w:name w:val="项目目录-内容"/>
    <w:basedOn w:val="1"/>
    <w:link w:val="71"/>
    <w:qFormat/>
    <w:uiPriority w:val="99"/>
    <w:pPr>
      <w:spacing w:line="360" w:lineRule="auto"/>
      <w:ind w:firstLine="200" w:firstLineChars="200"/>
    </w:pPr>
    <w:rPr>
      <w:rFonts w:ascii="仿宋" w:hAnsi="仿宋"/>
      <w:kern w:val="0"/>
      <w:sz w:val="24"/>
      <w:szCs w:val="28"/>
      <w:lang w:val="zh-CN"/>
    </w:rPr>
  </w:style>
  <w:style w:type="character" w:customStyle="1" w:styleId="73">
    <w:name w:val="文档正文 Char"/>
    <w:uiPriority w:val="0"/>
    <w:rPr>
      <w:rFonts w:eastAsia="宋体"/>
      <w:sz w:val="24"/>
      <w:lang w:val="en-US" w:eastAsia="zh-CN" w:bidi="ar-SA"/>
    </w:rPr>
  </w:style>
  <w:style w:type="character" w:customStyle="1" w:styleId="74">
    <w:name w:val="Char Char13"/>
    <w:uiPriority w:val="0"/>
    <w:rPr>
      <w:rFonts w:ascii="Arial" w:hAnsi="Arial" w:eastAsia="黑体"/>
      <w:b/>
      <w:bCs/>
      <w:kern w:val="2"/>
      <w:sz w:val="24"/>
      <w:szCs w:val="24"/>
      <w:lang w:val="en-US" w:eastAsia="zh-CN" w:bidi="ar-SA"/>
    </w:rPr>
  </w:style>
  <w:style w:type="character" w:customStyle="1" w:styleId="75">
    <w:name w:val="font14zd"/>
    <w:basedOn w:val="51"/>
    <w:uiPriority w:val="0"/>
  </w:style>
  <w:style w:type="character" w:customStyle="1" w:styleId="76">
    <w:name w:val="jianju1"/>
    <w:uiPriority w:val="0"/>
    <w:rPr>
      <w:color w:val="000000"/>
      <w:sz w:val="21"/>
      <w:szCs w:val="21"/>
      <w:u w:val="none"/>
    </w:rPr>
  </w:style>
  <w:style w:type="character" w:customStyle="1" w:styleId="77">
    <w:name w:val="标题 7 Char"/>
    <w:basedOn w:val="51"/>
    <w:link w:val="8"/>
    <w:qFormat/>
    <w:uiPriority w:val="0"/>
    <w:rPr>
      <w:b/>
      <w:bCs/>
      <w:kern w:val="2"/>
      <w:sz w:val="24"/>
      <w:szCs w:val="24"/>
    </w:rPr>
  </w:style>
  <w:style w:type="character" w:customStyle="1" w:styleId="78">
    <w:name w:val="日期 Char"/>
    <w:link w:val="27"/>
    <w:qFormat/>
    <w:uiPriority w:val="0"/>
    <w:rPr>
      <w:rFonts w:eastAsia="楷体_GB2312"/>
      <w:kern w:val="2"/>
      <w:sz w:val="32"/>
    </w:rPr>
  </w:style>
  <w:style w:type="character" w:customStyle="1" w:styleId="79">
    <w:name w:val="批注文字 Char"/>
    <w:basedOn w:val="51"/>
    <w:link w:val="17"/>
    <w:qFormat/>
    <w:uiPriority w:val="99"/>
    <w:rPr>
      <w:kern w:val="2"/>
      <w:sz w:val="24"/>
      <w:szCs w:val="24"/>
    </w:rPr>
  </w:style>
  <w:style w:type="character" w:customStyle="1" w:styleId="80">
    <w:name w:val="缺省文本 Char"/>
    <w:uiPriority w:val="0"/>
    <w:rPr>
      <w:rFonts w:eastAsia="宋体"/>
      <w:sz w:val="24"/>
      <w:lang w:val="en-US" w:eastAsia="zh-CN" w:bidi="ar-SA"/>
    </w:rPr>
  </w:style>
  <w:style w:type="character" w:customStyle="1" w:styleId="81">
    <w:name w:val="_标题4 Char"/>
    <w:uiPriority w:val="0"/>
    <w:rPr>
      <w:rFonts w:ascii="Tahoma" w:hAnsi="Tahoma" w:eastAsia="黑体"/>
      <w:bCs/>
      <w:kern w:val="2"/>
      <w:sz w:val="28"/>
      <w:szCs w:val="28"/>
      <w:lang w:val="en-US" w:eastAsia="zh-CN" w:bidi="ar-SA"/>
    </w:rPr>
  </w:style>
  <w:style w:type="character" w:customStyle="1" w:styleId="82">
    <w:name w:val="Char Char5"/>
    <w:uiPriority w:val="0"/>
    <w:rPr>
      <w:rFonts w:ascii="Arial" w:hAnsi="Arial" w:eastAsia="黑体" w:cs="Arial"/>
    </w:rPr>
  </w:style>
  <w:style w:type="character" w:customStyle="1" w:styleId="83">
    <w:name w:val="Char Char9"/>
    <w:uiPriority w:val="0"/>
    <w:rPr>
      <w:rFonts w:ascii="Arial" w:hAnsi="Arial" w:cs="Arial"/>
      <w:vanish/>
      <w:sz w:val="16"/>
      <w:szCs w:val="16"/>
    </w:rPr>
  </w:style>
  <w:style w:type="character" w:customStyle="1" w:styleId="84">
    <w:name w:val="普通文字1 Char"/>
    <w:aliases w:val="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uiPriority w:val="0"/>
    <w:rPr>
      <w:rFonts w:ascii="宋体" w:hAnsi="Courier New" w:eastAsia="宋体" w:cs="Courier New"/>
      <w:kern w:val="2"/>
      <w:sz w:val="21"/>
      <w:szCs w:val="21"/>
      <w:lang w:val="en-US" w:eastAsia="zh-CN" w:bidi="ar-SA"/>
    </w:rPr>
  </w:style>
  <w:style w:type="character" w:customStyle="1" w:styleId="85">
    <w:name w:val="_列表 Char"/>
    <w:uiPriority w:val="0"/>
    <w:rPr>
      <w:kern w:val="2"/>
      <w:sz w:val="24"/>
      <w:szCs w:val="24"/>
    </w:rPr>
  </w:style>
  <w:style w:type="character" w:customStyle="1" w:styleId="86">
    <w:name w:val="脚注文本 Char1"/>
    <w:basedOn w:val="51"/>
    <w:semiHidden/>
    <w:uiPriority w:val="99"/>
    <w:rPr>
      <w:kern w:val="2"/>
      <w:sz w:val="18"/>
      <w:szCs w:val="18"/>
    </w:rPr>
  </w:style>
  <w:style w:type="character" w:customStyle="1" w:styleId="87">
    <w:name w:val="图 Char Char"/>
    <w:uiPriority w:val="0"/>
    <w:rPr>
      <w:rFonts w:eastAsia="黑体"/>
      <w:b/>
      <w:sz w:val="24"/>
    </w:rPr>
  </w:style>
  <w:style w:type="character" w:customStyle="1" w:styleId="88">
    <w:name w:val="m_01"/>
    <w:uiPriority w:val="0"/>
  </w:style>
  <w:style w:type="character" w:customStyle="1" w:styleId="89">
    <w:name w:val="z-窗体顶端 Char"/>
    <w:basedOn w:val="51"/>
    <w:link w:val="90"/>
    <w:uiPriority w:val="0"/>
    <w:rPr>
      <w:rFonts w:ascii="Arial" w:hAnsi="Arial" w:cs="Arial"/>
      <w:vanish/>
      <w:kern w:val="2"/>
      <w:sz w:val="16"/>
      <w:szCs w:val="16"/>
    </w:rPr>
  </w:style>
  <w:style w:type="paragraph" w:styleId="90">
    <w:name w:val=""/>
    <w:basedOn w:val="1"/>
    <w:next w:val="1"/>
    <w:link w:val="89"/>
    <w:uiPriority w:val="0"/>
    <w:pPr>
      <w:widowControl/>
      <w:pBdr>
        <w:bottom w:val="single" w:color="auto" w:sz="6" w:space="1"/>
      </w:pBdr>
      <w:jc w:val="center"/>
    </w:pPr>
    <w:rPr>
      <w:rFonts w:ascii="Arial" w:hAnsi="Arial" w:cs="Arial"/>
      <w:vanish/>
      <w:sz w:val="16"/>
      <w:szCs w:val="16"/>
    </w:rPr>
  </w:style>
  <w:style w:type="character" w:customStyle="1" w:styleId="91">
    <w:name w:val="Char Char17"/>
    <w:uiPriority w:val="0"/>
    <w:rPr>
      <w:rFonts w:ascii="Arial" w:hAnsi="Arial" w:eastAsia="黑体"/>
      <w:b/>
      <w:bCs/>
      <w:kern w:val="2"/>
      <w:sz w:val="32"/>
      <w:szCs w:val="32"/>
      <w:lang w:val="en-US" w:eastAsia="zh-CN" w:bidi="ar-SA"/>
    </w:rPr>
  </w:style>
  <w:style w:type="character" w:customStyle="1" w:styleId="92">
    <w:name w:val="Char Char12"/>
    <w:uiPriority w:val="0"/>
    <w:rPr>
      <w:rFonts w:eastAsia="宋体"/>
      <w:b/>
      <w:bCs/>
      <w:sz w:val="24"/>
      <w:szCs w:val="24"/>
      <w:lang w:val="en-US" w:eastAsia="zh-CN" w:bidi="ar-SA"/>
    </w:rPr>
  </w:style>
  <w:style w:type="character" w:customStyle="1" w:styleId="93">
    <w:name w:val="HTML 预设格式 Char"/>
    <w:basedOn w:val="51"/>
    <w:link w:val="43"/>
    <w:semiHidden/>
    <w:uiPriority w:val="0"/>
    <w:rPr>
      <w:rFonts w:ascii="宋体" w:hAnsi="宋体" w:cs="宋体"/>
      <w:sz w:val="24"/>
      <w:szCs w:val="24"/>
    </w:rPr>
  </w:style>
  <w:style w:type="character" w:customStyle="1" w:styleId="94">
    <w:name w:val="Char Char"/>
    <w:uiPriority w:val="0"/>
    <w:rPr>
      <w:rFonts w:ascii="宋体" w:hAnsi="Courier New"/>
      <w:kern w:val="2"/>
      <w:sz w:val="21"/>
    </w:rPr>
  </w:style>
  <w:style w:type="character" w:customStyle="1" w:styleId="95">
    <w:name w:val="正文首行缩进 Char"/>
    <w:basedOn w:val="96"/>
    <w:link w:val="47"/>
    <w:qFormat/>
    <w:uiPriority w:val="0"/>
  </w:style>
  <w:style w:type="character" w:customStyle="1" w:styleId="96">
    <w:name w:val="正文文本 Char"/>
    <w:basedOn w:val="51"/>
    <w:link w:val="19"/>
    <w:qFormat/>
    <w:uiPriority w:val="0"/>
    <w:rPr>
      <w:kern w:val="2"/>
      <w:sz w:val="28"/>
      <w:szCs w:val="24"/>
    </w:rPr>
  </w:style>
  <w:style w:type="character" w:customStyle="1" w:styleId="97">
    <w:name w:val="_正文段落加粗 Char"/>
    <w:uiPriority w:val="0"/>
    <w:rPr>
      <w:rFonts w:eastAsia="宋体"/>
      <w:b/>
      <w:kern w:val="2"/>
      <w:sz w:val="21"/>
      <w:szCs w:val="24"/>
      <w:lang w:val="en-US" w:eastAsia="zh-CN" w:bidi="ar-SA"/>
    </w:rPr>
  </w:style>
  <w:style w:type="character" w:customStyle="1" w:styleId="98">
    <w:name w:val="fontb5"/>
    <w:basedOn w:val="51"/>
    <w:uiPriority w:val="0"/>
  </w:style>
  <w:style w:type="character" w:customStyle="1" w:styleId="99">
    <w:name w:val="t21"/>
    <w:qFormat/>
    <w:uiPriority w:val="0"/>
    <w:rPr>
      <w:color w:val="949391"/>
      <w:sz w:val="19"/>
      <w:szCs w:val="19"/>
    </w:rPr>
  </w:style>
  <w:style w:type="character" w:customStyle="1" w:styleId="100">
    <w:name w:val="样式 标题 1合同标题卷标题H1h1Level 1 Topic HeadingH11H12H111H13H1... Char"/>
    <w:uiPriority w:val="0"/>
    <w:rPr>
      <w:rFonts w:ascii="宋体" w:hAnsi="宋体" w:eastAsia="宋体"/>
      <w:b/>
      <w:bCs/>
      <w:kern w:val="44"/>
      <w:sz w:val="24"/>
      <w:szCs w:val="44"/>
      <w:lang w:val="en-US" w:eastAsia="zh-CN" w:bidi="ar-SA"/>
    </w:rPr>
  </w:style>
  <w:style w:type="character" w:customStyle="1" w:styleId="101">
    <w:name w:val="正文缩进 Char"/>
    <w:link w:val="14"/>
    <w:qFormat/>
    <w:uiPriority w:val="0"/>
    <w:rPr>
      <w:kern w:val="2"/>
      <w:sz w:val="21"/>
    </w:rPr>
  </w:style>
  <w:style w:type="character" w:customStyle="1" w:styleId="102">
    <w:name w:val="Char Char2"/>
    <w:uiPriority w:val="0"/>
    <w:rPr>
      <w:sz w:val="24"/>
    </w:rPr>
  </w:style>
  <w:style w:type="character" w:customStyle="1" w:styleId="103">
    <w:name w:val="_标题2 Char"/>
    <w:uiPriority w:val="0"/>
    <w:rPr>
      <w:rFonts w:ascii="Tahoma" w:hAnsi="Tahoma" w:eastAsia="黑体"/>
      <w:bCs/>
      <w:kern w:val="2"/>
      <w:sz w:val="32"/>
      <w:szCs w:val="32"/>
      <w:lang w:val="en-US" w:eastAsia="zh-CN" w:bidi="ar-SA"/>
    </w:rPr>
  </w:style>
  <w:style w:type="character" w:customStyle="1" w:styleId="104">
    <w:name w:val="p2"/>
    <w:uiPriority w:val="0"/>
  </w:style>
  <w:style w:type="character" w:customStyle="1" w:styleId="105">
    <w:name w:val="Char Char16"/>
    <w:uiPriority w:val="0"/>
    <w:rPr>
      <w:rFonts w:eastAsia="宋体"/>
      <w:b/>
      <w:bCs/>
      <w:kern w:val="2"/>
      <w:sz w:val="32"/>
      <w:szCs w:val="32"/>
      <w:lang w:val="en-US" w:eastAsia="zh-CN" w:bidi="ar-SA"/>
    </w:rPr>
  </w:style>
  <w:style w:type="character" w:customStyle="1" w:styleId="106">
    <w:name w:val="页眉 Char"/>
    <w:basedOn w:val="51"/>
    <w:link w:val="32"/>
    <w:qFormat/>
    <w:uiPriority w:val="0"/>
    <w:rPr>
      <w:rFonts w:eastAsia="仿宋_GB2312"/>
      <w:kern w:val="2"/>
      <w:sz w:val="18"/>
    </w:rPr>
  </w:style>
  <w:style w:type="character" w:customStyle="1" w:styleId="107">
    <w:name w:val="脚注文本 Char"/>
    <w:basedOn w:val="51"/>
    <w:link w:val="37"/>
    <w:uiPriority w:val="0"/>
    <w:rPr>
      <w:sz w:val="18"/>
      <w:szCs w:val="24"/>
    </w:rPr>
  </w:style>
  <w:style w:type="character" w:customStyle="1" w:styleId="108">
    <w:name w:val="标题 Char1"/>
    <w:basedOn w:val="51"/>
    <w:link w:val="45"/>
    <w:qFormat/>
    <w:uiPriority w:val="10"/>
    <w:rPr>
      <w:rFonts w:ascii="Cambria" w:hAnsi="Cambria"/>
      <w:b/>
      <w:bCs/>
      <w:kern w:val="2"/>
      <w:sz w:val="32"/>
      <w:szCs w:val="32"/>
    </w:rPr>
  </w:style>
  <w:style w:type="character" w:customStyle="1" w:styleId="109">
    <w:name w:val="m_51"/>
    <w:uiPriority w:val="0"/>
  </w:style>
  <w:style w:type="character" w:customStyle="1" w:styleId="110">
    <w:name w:val="_题注 Char"/>
    <w:uiPriority w:val="0"/>
    <w:rPr>
      <w:rFonts w:ascii="Arial" w:hAnsi="Arial" w:eastAsia="黑体" w:cs="Arial"/>
      <w:kern w:val="2"/>
      <w:sz w:val="21"/>
      <w:lang w:val="en-US" w:eastAsia="zh-CN" w:bidi="ar-SA"/>
    </w:rPr>
  </w:style>
  <w:style w:type="character" w:customStyle="1" w:styleId="111">
    <w:name w:val="font01"/>
    <w:basedOn w:val="51"/>
    <w:qFormat/>
    <w:uiPriority w:val="0"/>
    <w:rPr>
      <w:rFonts w:hint="eastAsia" w:ascii="宋体" w:hAnsi="宋体" w:eastAsia="宋体" w:cs="宋体"/>
      <w:color w:val="FF0000"/>
      <w:sz w:val="24"/>
      <w:szCs w:val="24"/>
      <w:u w:val="none"/>
    </w:rPr>
  </w:style>
  <w:style w:type="character" w:customStyle="1" w:styleId="112">
    <w:name w:val="Char Char3"/>
    <w:uiPriority w:val="0"/>
    <w:rPr>
      <w:rFonts w:ascii="宋体" w:hAnsi="宋体" w:cs="宋体"/>
      <w:sz w:val="24"/>
      <w:szCs w:val="24"/>
    </w:rPr>
  </w:style>
  <w:style w:type="character" w:customStyle="1" w:styleId="113">
    <w:name w:val="页脚 Char"/>
    <w:basedOn w:val="51"/>
    <w:link w:val="31"/>
    <w:qFormat/>
    <w:uiPriority w:val="99"/>
    <w:rPr>
      <w:rFonts w:eastAsia="黑体"/>
      <w:snapToGrid w:val="0"/>
      <w:sz w:val="18"/>
      <w:szCs w:val="18"/>
    </w:rPr>
  </w:style>
  <w:style w:type="character" w:customStyle="1" w:styleId="114">
    <w:name w:val="Char Char18"/>
    <w:uiPriority w:val="0"/>
    <w:rPr>
      <w:rFonts w:eastAsia="宋体"/>
      <w:b/>
      <w:bCs/>
      <w:kern w:val="44"/>
      <w:sz w:val="44"/>
      <w:szCs w:val="44"/>
      <w:lang w:val="en-US" w:eastAsia="zh-CN" w:bidi="ar-SA"/>
    </w:rPr>
  </w:style>
  <w:style w:type="character" w:customStyle="1" w:styleId="115">
    <w:name w:val="尾注文本 Char1"/>
    <w:basedOn w:val="51"/>
    <w:semiHidden/>
    <w:uiPriority w:val="99"/>
    <w:rPr>
      <w:kern w:val="2"/>
      <w:sz w:val="21"/>
      <w:szCs w:val="24"/>
    </w:rPr>
  </w:style>
  <w:style w:type="character" w:customStyle="1" w:styleId="116">
    <w:name w:val="_正文段落 Char"/>
    <w:uiPriority w:val="0"/>
    <w:rPr>
      <w:rFonts w:eastAsia="宋体"/>
      <w:kern w:val="2"/>
      <w:sz w:val="21"/>
      <w:szCs w:val="24"/>
      <w:lang w:val="en-US" w:eastAsia="zh-CN" w:bidi="ar-SA"/>
    </w:rPr>
  </w:style>
  <w:style w:type="character" w:customStyle="1" w:styleId="117">
    <w:name w:val="mark13"/>
    <w:basedOn w:val="51"/>
    <w:uiPriority w:val="0"/>
  </w:style>
  <w:style w:type="character" w:customStyle="1" w:styleId="118">
    <w:name w:val="标题 1 Char"/>
    <w:basedOn w:val="51"/>
    <w:link w:val="2"/>
    <w:qFormat/>
    <w:uiPriority w:val="0"/>
    <w:rPr>
      <w:b/>
      <w:bCs/>
      <w:kern w:val="44"/>
      <w:sz w:val="44"/>
      <w:szCs w:val="44"/>
    </w:rPr>
  </w:style>
  <w:style w:type="character" w:customStyle="1" w:styleId="119">
    <w:name w:val="正文文本 2 Char"/>
    <w:basedOn w:val="51"/>
    <w:link w:val="42"/>
    <w:qFormat/>
    <w:uiPriority w:val="99"/>
    <w:rPr>
      <w:rFonts w:ascii="宋体" w:hAnsi="宋体"/>
      <w:color w:val="000000"/>
      <w:kern w:val="2"/>
      <w:sz w:val="24"/>
      <w:szCs w:val="24"/>
    </w:rPr>
  </w:style>
  <w:style w:type="character" w:customStyle="1" w:styleId="120">
    <w:name w:val="Char Char14"/>
    <w:uiPriority w:val="0"/>
    <w:rPr>
      <w:rFonts w:eastAsia="宋体"/>
      <w:b/>
      <w:bCs/>
      <w:kern w:val="2"/>
      <w:sz w:val="28"/>
      <w:szCs w:val="28"/>
      <w:lang w:val="en-US" w:eastAsia="zh-CN" w:bidi="ar-SA"/>
    </w:rPr>
  </w:style>
  <w:style w:type="character" w:customStyle="1" w:styleId="121">
    <w:name w:val="标题 3 Char"/>
    <w:basedOn w:val="51"/>
    <w:link w:val="4"/>
    <w:qFormat/>
    <w:uiPriority w:val="0"/>
    <w:rPr>
      <w:b/>
      <w:bCs/>
      <w:kern w:val="2"/>
      <w:sz w:val="32"/>
      <w:szCs w:val="32"/>
    </w:rPr>
  </w:style>
  <w:style w:type="character" w:customStyle="1" w:styleId="122">
    <w:name w:val="m_461"/>
    <w:uiPriority w:val="0"/>
  </w:style>
  <w:style w:type="character" w:customStyle="1" w:styleId="123">
    <w:name w:val="副标题 Char1"/>
    <w:basedOn w:val="51"/>
    <w:uiPriority w:val="11"/>
    <w:rPr>
      <w:rFonts w:ascii="Cambria" w:hAnsi="Cambria" w:cs="Times New Roman"/>
      <w:b/>
      <w:bCs/>
      <w:kern w:val="28"/>
      <w:sz w:val="32"/>
      <w:szCs w:val="32"/>
    </w:rPr>
  </w:style>
  <w:style w:type="character" w:customStyle="1" w:styleId="124">
    <w:name w:val="纯文本 Char"/>
    <w:link w:val="25"/>
    <w:qFormat/>
    <w:uiPriority w:val="99"/>
    <w:rPr>
      <w:rFonts w:ascii="宋体" w:hAnsi="Courier New"/>
      <w:kern w:val="2"/>
      <w:sz w:val="24"/>
      <w:szCs w:val="24"/>
    </w:rPr>
  </w:style>
  <w:style w:type="character" w:customStyle="1" w:styleId="125">
    <w:name w:val="SRIT_三级标题 Char"/>
    <w:link w:val="126"/>
    <w:qFormat/>
    <w:uiPriority w:val="0"/>
    <w:rPr>
      <w:rFonts w:ascii="黑体" w:hAnsi="宋体" w:eastAsia="仿宋"/>
      <w:b/>
      <w:kern w:val="2"/>
      <w:sz w:val="30"/>
      <w:szCs w:val="30"/>
      <w:lang w:val="zh-CN"/>
    </w:rPr>
  </w:style>
  <w:style w:type="paragraph" w:customStyle="1" w:styleId="126">
    <w:name w:val="SRIT_三级标题"/>
    <w:basedOn w:val="1"/>
    <w:next w:val="4"/>
    <w:link w:val="125"/>
    <w:qFormat/>
    <w:uiPriority w:val="0"/>
    <w:pPr>
      <w:spacing w:beforeLines="50" w:line="360" w:lineRule="auto"/>
      <w:jc w:val="left"/>
      <w:outlineLvl w:val="2"/>
    </w:pPr>
    <w:rPr>
      <w:rFonts w:ascii="黑体" w:hAnsi="宋体" w:eastAsia="仿宋"/>
      <w:b/>
      <w:sz w:val="30"/>
      <w:szCs w:val="30"/>
      <w:lang w:val="zh-CN"/>
    </w:rPr>
  </w:style>
  <w:style w:type="character" w:customStyle="1" w:styleId="127">
    <w:name w:val="投标文件 正文首行缩进 Char"/>
    <w:uiPriority w:val="0"/>
    <w:rPr>
      <w:rFonts w:ascii="Arial" w:hAnsi="Arial" w:eastAsia="宋体"/>
      <w:kern w:val="2"/>
      <w:sz w:val="21"/>
      <w:szCs w:val="24"/>
      <w:lang w:val="en-US" w:eastAsia="zh-CN" w:bidi="ar-SA"/>
    </w:rPr>
  </w:style>
  <w:style w:type="character" w:customStyle="1" w:styleId="128">
    <w:name w:val="标题 2 Char"/>
    <w:basedOn w:val="51"/>
    <w:link w:val="3"/>
    <w:qFormat/>
    <w:uiPriority w:val="0"/>
    <w:rPr>
      <w:rFonts w:ascii="Arial" w:hAnsi="Arial" w:eastAsia="黑体"/>
      <w:b/>
      <w:bCs/>
      <w:kern w:val="2"/>
      <w:sz w:val="32"/>
      <w:szCs w:val="32"/>
    </w:rPr>
  </w:style>
  <w:style w:type="character" w:customStyle="1" w:styleId="129">
    <w:name w:val="a4red1"/>
    <w:uiPriority w:val="0"/>
    <w:rPr>
      <w:rFonts w:hint="default" w:ascii="Tahoma" w:hAnsi="Tahoma" w:cs="Tahoma"/>
      <w:color w:val="FF3300"/>
      <w:sz w:val="18"/>
      <w:szCs w:val="18"/>
      <w:u w:val="single"/>
    </w:rPr>
  </w:style>
  <w:style w:type="character" w:customStyle="1" w:styleId="130">
    <w:name w:val="z-窗体底端 Char"/>
    <w:basedOn w:val="51"/>
    <w:link w:val="131"/>
    <w:uiPriority w:val="0"/>
    <w:rPr>
      <w:rFonts w:ascii="Arial" w:hAnsi="Arial" w:cs="Arial"/>
      <w:vanish/>
      <w:kern w:val="2"/>
      <w:sz w:val="16"/>
      <w:szCs w:val="16"/>
    </w:rPr>
  </w:style>
  <w:style w:type="paragraph" w:styleId="131">
    <w:name w:val=""/>
    <w:basedOn w:val="1"/>
    <w:next w:val="1"/>
    <w:link w:val="130"/>
    <w:uiPriority w:val="0"/>
    <w:pPr>
      <w:widowControl/>
      <w:pBdr>
        <w:top w:val="single" w:color="auto" w:sz="6" w:space="1"/>
      </w:pBdr>
      <w:jc w:val="center"/>
    </w:pPr>
    <w:rPr>
      <w:rFonts w:ascii="Arial" w:hAnsi="Arial" w:cs="Arial"/>
      <w:vanish/>
      <w:sz w:val="16"/>
      <w:szCs w:val="16"/>
    </w:rPr>
  </w:style>
  <w:style w:type="character" w:customStyle="1" w:styleId="132">
    <w:name w:val="m_171"/>
    <w:uiPriority w:val="0"/>
  </w:style>
  <w:style w:type="character" w:customStyle="1" w:styleId="133">
    <w:name w:val="标题 4 Char"/>
    <w:basedOn w:val="51"/>
    <w:link w:val="5"/>
    <w:qFormat/>
    <w:uiPriority w:val="0"/>
    <w:rPr>
      <w:rFonts w:ascii="Cambria" w:hAnsi="Cambria" w:eastAsia="宋体" w:cs="Times New Roman"/>
      <w:b/>
      <w:bCs/>
      <w:kern w:val="2"/>
      <w:sz w:val="28"/>
      <w:szCs w:val="28"/>
    </w:rPr>
  </w:style>
  <w:style w:type="character" w:customStyle="1" w:styleId="134">
    <w:name w:val="标题 9 Char"/>
    <w:basedOn w:val="51"/>
    <w:link w:val="11"/>
    <w:qFormat/>
    <w:uiPriority w:val="0"/>
    <w:rPr>
      <w:rFonts w:ascii="Arial" w:hAnsi="Arial" w:eastAsia="黑体"/>
      <w:kern w:val="2"/>
      <w:sz w:val="21"/>
      <w:szCs w:val="21"/>
    </w:rPr>
  </w:style>
  <w:style w:type="character" w:customStyle="1" w:styleId="135">
    <w:name w:val="标题 5 Char"/>
    <w:basedOn w:val="51"/>
    <w:link w:val="6"/>
    <w:qFormat/>
    <w:uiPriority w:val="0"/>
    <w:rPr>
      <w:b/>
      <w:bCs/>
      <w:kern w:val="2"/>
      <w:sz w:val="28"/>
      <w:szCs w:val="28"/>
    </w:rPr>
  </w:style>
  <w:style w:type="character" w:customStyle="1" w:styleId="136">
    <w:name w:val="首行缩进2字符 Char"/>
    <w:uiPriority w:val="0"/>
    <w:rPr>
      <w:rFonts w:eastAsia="宋体"/>
      <w:snapToGrid w:val="0"/>
      <w:sz w:val="21"/>
      <w:szCs w:val="21"/>
      <w:lang w:val="en-US" w:eastAsia="zh-CN" w:bidi="ar-SA"/>
    </w:rPr>
  </w:style>
  <w:style w:type="character" w:customStyle="1" w:styleId="137">
    <w:name w:val="标题 6 Char"/>
    <w:basedOn w:val="51"/>
    <w:link w:val="7"/>
    <w:qFormat/>
    <w:uiPriority w:val="0"/>
    <w:rPr>
      <w:rFonts w:ascii="Arial" w:hAnsi="Arial" w:eastAsia="黑体"/>
      <w:b/>
      <w:bCs/>
      <w:kern w:val="2"/>
      <w:sz w:val="24"/>
      <w:szCs w:val="24"/>
    </w:rPr>
  </w:style>
  <w:style w:type="character" w:customStyle="1" w:styleId="138">
    <w:name w:val="文档结构图 Char"/>
    <w:basedOn w:val="51"/>
    <w:link w:val="16"/>
    <w:qFormat/>
    <w:uiPriority w:val="0"/>
    <w:rPr>
      <w:kern w:val="2"/>
      <w:sz w:val="24"/>
      <w:szCs w:val="24"/>
      <w:shd w:val="clear" w:color="auto" w:fill="000080"/>
    </w:rPr>
  </w:style>
  <w:style w:type="character" w:customStyle="1" w:styleId="139">
    <w:name w:val="msonormal"/>
    <w:uiPriority w:val="0"/>
  </w:style>
  <w:style w:type="character" w:customStyle="1" w:styleId="140">
    <w:name w:val="样式 宋体"/>
    <w:qFormat/>
    <w:uiPriority w:val="0"/>
    <w:rPr>
      <w:rFonts w:ascii="宋体" w:hAnsi="宋体" w:eastAsia="宋体"/>
      <w:sz w:val="24"/>
      <w:szCs w:val="24"/>
    </w:rPr>
  </w:style>
  <w:style w:type="character" w:customStyle="1" w:styleId="141">
    <w:name w:val="普通正文 Char"/>
    <w:uiPriority w:val="0"/>
    <w:rPr>
      <w:rFonts w:ascii="Arial" w:hAnsi="Arial" w:eastAsia="宋体"/>
      <w:sz w:val="24"/>
      <w:lang w:val="en-US" w:eastAsia="zh-CN" w:bidi="ar-SA"/>
    </w:rPr>
  </w:style>
  <w:style w:type="character" w:customStyle="1" w:styleId="142">
    <w:name w:val="m_491"/>
    <w:uiPriority w:val="0"/>
  </w:style>
  <w:style w:type="character" w:customStyle="1" w:styleId="143">
    <w:name w:val="正文首行缩进 Char1"/>
    <w:qFormat/>
    <w:uiPriority w:val="0"/>
    <w:rPr>
      <w:rFonts w:eastAsia="仿宋_GB2312"/>
      <w:kern w:val="2"/>
      <w:sz w:val="28"/>
      <w:szCs w:val="24"/>
    </w:rPr>
  </w:style>
  <w:style w:type="character" w:customStyle="1" w:styleId="144">
    <w:name w:val="HTML 预设格式 Char1"/>
    <w:basedOn w:val="51"/>
    <w:semiHidden/>
    <w:uiPriority w:val="99"/>
    <w:rPr>
      <w:rFonts w:ascii="Courier New" w:hAnsi="Courier New"/>
      <w:kern w:val="2"/>
    </w:rPr>
  </w:style>
  <w:style w:type="character" w:customStyle="1" w:styleId="145">
    <w:name w:val="正文2 Char"/>
    <w:link w:val="146"/>
    <w:qFormat/>
    <w:uiPriority w:val="0"/>
    <w:rPr>
      <w:rFonts w:eastAsia="华文仿宋"/>
      <w:kern w:val="2"/>
      <w:sz w:val="28"/>
      <w:szCs w:val="24"/>
    </w:rPr>
  </w:style>
  <w:style w:type="paragraph" w:customStyle="1" w:styleId="146">
    <w:name w:val="正文2"/>
    <w:basedOn w:val="1"/>
    <w:link w:val="145"/>
    <w:qFormat/>
    <w:uiPriority w:val="0"/>
    <w:pPr>
      <w:ind w:firstLine="200" w:firstLineChars="200"/>
    </w:pPr>
    <w:rPr>
      <w:rFonts w:eastAsia="华文仿宋"/>
      <w:sz w:val="28"/>
    </w:rPr>
  </w:style>
  <w:style w:type="character" w:customStyle="1" w:styleId="147">
    <w:name w:val="正文首行缩进两字符 Char"/>
    <w:uiPriority w:val="0"/>
    <w:rPr>
      <w:rFonts w:ascii="Arial" w:hAnsi="Arial"/>
      <w:kern w:val="2"/>
      <w:sz w:val="24"/>
      <w:szCs w:val="24"/>
    </w:rPr>
  </w:style>
  <w:style w:type="character" w:customStyle="1" w:styleId="148">
    <w:name w:val="Char Char6"/>
    <w:uiPriority w:val="0"/>
    <w:rPr>
      <w:rFonts w:ascii="Arial" w:hAnsi="Arial" w:cs="Arial"/>
      <w:vanish/>
      <w:sz w:val="16"/>
      <w:szCs w:val="16"/>
    </w:rPr>
  </w:style>
  <w:style w:type="character" w:customStyle="1" w:styleId="149">
    <w:name w:val="tw4winMark"/>
    <w:uiPriority w:val="0"/>
    <w:rPr>
      <w:rFonts w:ascii="Courier New" w:hAnsi="Courier New" w:cs="Courier New"/>
      <w:vanish/>
      <w:color w:val="800080"/>
      <w:vertAlign w:val="subscript"/>
    </w:rPr>
  </w:style>
  <w:style w:type="character" w:customStyle="1" w:styleId="150">
    <w:name w:val="批注框文本 Char"/>
    <w:basedOn w:val="51"/>
    <w:link w:val="30"/>
    <w:qFormat/>
    <w:uiPriority w:val="0"/>
    <w:rPr>
      <w:kern w:val="2"/>
      <w:sz w:val="16"/>
      <w:szCs w:val="16"/>
    </w:rPr>
  </w:style>
  <w:style w:type="character" w:customStyle="1" w:styleId="151">
    <w:name w:val="Char Char1"/>
    <w:uiPriority w:val="0"/>
    <w:rPr>
      <w:sz w:val="24"/>
    </w:rPr>
  </w:style>
  <w:style w:type="character" w:customStyle="1" w:styleId="152">
    <w:name w:val="正文文本 3 Char"/>
    <w:basedOn w:val="51"/>
    <w:link w:val="18"/>
    <w:uiPriority w:val="0"/>
    <w:rPr>
      <w:rFonts w:hAnsi="宋体" w:eastAsia="仿宋_GB2312"/>
      <w:b/>
      <w:bCs/>
      <w:kern w:val="2"/>
      <w:sz w:val="24"/>
    </w:rPr>
  </w:style>
  <w:style w:type="character" w:customStyle="1" w:styleId="153">
    <w:name w:val="st1"/>
    <w:uiPriority w:val="0"/>
    <w:rPr>
      <w:spacing w:val="240"/>
    </w:rPr>
  </w:style>
  <w:style w:type="character" w:customStyle="1" w:styleId="154">
    <w:name w:val="SRIT_正文 Char"/>
    <w:link w:val="155"/>
    <w:qFormat/>
    <w:uiPriority w:val="0"/>
    <w:rPr>
      <w:rFonts w:eastAsia="仿宋"/>
      <w:kern w:val="2"/>
      <w:sz w:val="28"/>
      <w:szCs w:val="21"/>
      <w:lang w:val="zh-CN"/>
    </w:rPr>
  </w:style>
  <w:style w:type="paragraph" w:customStyle="1" w:styleId="155">
    <w:name w:val="SRIT_正文"/>
    <w:basedOn w:val="1"/>
    <w:link w:val="154"/>
    <w:qFormat/>
    <w:uiPriority w:val="0"/>
    <w:pPr>
      <w:spacing w:line="520" w:lineRule="exact"/>
      <w:ind w:firstLine="200" w:firstLineChars="200"/>
    </w:pPr>
    <w:rPr>
      <w:rFonts w:eastAsia="仿宋"/>
      <w:sz w:val="28"/>
      <w:szCs w:val="21"/>
      <w:lang w:val="zh-CN"/>
    </w:rPr>
  </w:style>
  <w:style w:type="character" w:customStyle="1" w:styleId="156">
    <w:name w:val="批注主题 Char"/>
    <w:basedOn w:val="79"/>
    <w:link w:val="46"/>
    <w:qFormat/>
    <w:uiPriority w:val="99"/>
    <w:rPr>
      <w:b/>
      <w:bCs/>
    </w:rPr>
  </w:style>
  <w:style w:type="character" w:customStyle="1" w:styleId="157">
    <w:name w:val="Char Char15"/>
    <w:uiPriority w:val="0"/>
    <w:rPr>
      <w:rFonts w:ascii="Arial" w:hAnsi="Arial" w:eastAsia="黑体"/>
      <w:b/>
      <w:bCs/>
      <w:kern w:val="2"/>
      <w:sz w:val="28"/>
      <w:szCs w:val="28"/>
      <w:lang w:val="en-US" w:eastAsia="zh-CN" w:bidi="ar-SA"/>
    </w:rPr>
  </w:style>
  <w:style w:type="character" w:customStyle="1" w:styleId="158">
    <w:name w:val="_标题3 Char"/>
    <w:uiPriority w:val="0"/>
    <w:rPr>
      <w:rFonts w:ascii="Arial" w:hAnsi="Arial" w:eastAsia="黑体"/>
      <w:bCs/>
      <w:kern w:val="2"/>
      <w:sz w:val="30"/>
      <w:szCs w:val="32"/>
      <w:lang w:val="en-US" w:eastAsia="zh-CN" w:bidi="ar-SA"/>
    </w:rPr>
  </w:style>
  <w:style w:type="character" w:customStyle="1" w:styleId="159">
    <w:name w:val="尾注文本 Char"/>
    <w:link w:val="29"/>
    <w:uiPriority w:val="0"/>
    <w:rPr>
      <w:kern w:val="2"/>
      <w:sz w:val="21"/>
      <w:szCs w:val="24"/>
    </w:rPr>
  </w:style>
  <w:style w:type="character" w:customStyle="1" w:styleId="160">
    <w:name w:val="ptt1"/>
    <w:uiPriority w:val="0"/>
    <w:rPr>
      <w:rFonts w:hint="eastAsia" w:ascii="宋体" w:hAnsi="宋体" w:eastAsia="宋体"/>
      <w:sz w:val="18"/>
      <w:szCs w:val="18"/>
    </w:rPr>
  </w:style>
  <w:style w:type="character" w:customStyle="1" w:styleId="161">
    <w:name w:val="font61"/>
    <w:basedOn w:val="51"/>
    <w:qFormat/>
    <w:uiPriority w:val="0"/>
    <w:rPr>
      <w:rFonts w:hint="eastAsia" w:ascii="宋体" w:hAnsi="宋体" w:eastAsia="宋体" w:cs="宋体"/>
      <w:color w:val="000000"/>
      <w:sz w:val="24"/>
      <w:szCs w:val="24"/>
      <w:u w:val="none"/>
    </w:rPr>
  </w:style>
  <w:style w:type="character" w:customStyle="1" w:styleId="162">
    <w:name w:val="font31"/>
    <w:basedOn w:val="51"/>
    <w:qFormat/>
    <w:uiPriority w:val="0"/>
    <w:rPr>
      <w:rFonts w:hint="default" w:ascii="Times New Roman" w:hAnsi="Times New Roman" w:cs="Times New Roman"/>
      <w:color w:val="FF0000"/>
      <w:sz w:val="24"/>
      <w:szCs w:val="24"/>
      <w:u w:val="none"/>
    </w:rPr>
  </w:style>
  <w:style w:type="character" w:customStyle="1" w:styleId="163">
    <w:name w:val="Char Char7"/>
    <w:uiPriority w:val="0"/>
    <w:rPr>
      <w:sz w:val="18"/>
    </w:rPr>
  </w:style>
  <w:style w:type="character" w:customStyle="1" w:styleId="164">
    <w:name w:val="Char Char8"/>
    <w:uiPriority w:val="0"/>
    <w:rPr>
      <w:sz w:val="24"/>
    </w:rPr>
  </w:style>
  <w:style w:type="character" w:customStyle="1" w:styleId="165">
    <w:name w:val="图 Char"/>
    <w:uiPriority w:val="0"/>
    <w:rPr>
      <w:rFonts w:eastAsia="黑体"/>
      <w:b/>
      <w:sz w:val="24"/>
      <w:lang w:val="en-US" w:eastAsia="zh-CN" w:bidi="ar-SA"/>
    </w:rPr>
  </w:style>
  <w:style w:type="character" w:customStyle="1" w:styleId="166">
    <w:name w:val="正文文本缩进 2 Char"/>
    <w:basedOn w:val="51"/>
    <w:link w:val="28"/>
    <w:uiPriority w:val="0"/>
    <w:rPr>
      <w:rFonts w:ascii="仿宋_GB2312" w:hAnsi="宋体" w:cs="Arial"/>
      <w:b/>
      <w:bCs/>
      <w:color w:val="000000"/>
      <w:kern w:val="2"/>
      <w:sz w:val="24"/>
      <w:szCs w:val="24"/>
    </w:rPr>
  </w:style>
  <w:style w:type="character" w:customStyle="1" w:styleId="167">
    <w:name w:val="正文文本缩进 3 Char"/>
    <w:basedOn w:val="51"/>
    <w:link w:val="39"/>
    <w:uiPriority w:val="0"/>
    <w:rPr>
      <w:rFonts w:ascii="仿宋_GB2312" w:hAnsi="宋体" w:eastAsia="仿宋_GB2312"/>
      <w:color w:val="000000"/>
      <w:kern w:val="2"/>
      <w:sz w:val="24"/>
      <w:szCs w:val="24"/>
    </w:rPr>
  </w:style>
  <w:style w:type="character" w:customStyle="1" w:styleId="168">
    <w:name w:val="font11"/>
    <w:basedOn w:val="51"/>
    <w:qFormat/>
    <w:uiPriority w:val="0"/>
    <w:rPr>
      <w:rFonts w:hint="default" w:ascii="Times New Roman" w:hAnsi="Times New Roman" w:cs="Times New Roman"/>
      <w:color w:val="000000"/>
      <w:sz w:val="24"/>
      <w:szCs w:val="24"/>
      <w:u w:val="none"/>
    </w:rPr>
  </w:style>
  <w:style w:type="character" w:customStyle="1" w:styleId="169">
    <w:name w:val="段 Char"/>
    <w:link w:val="170"/>
    <w:qFormat/>
    <w:uiPriority w:val="0"/>
    <w:rPr>
      <w:rFonts w:ascii="宋体"/>
      <w:sz w:val="21"/>
      <w:lang w:val="en-US" w:eastAsia="zh-CN" w:bidi="ar-SA"/>
    </w:rPr>
  </w:style>
  <w:style w:type="paragraph" w:customStyle="1" w:styleId="170">
    <w:name w:val="段"/>
    <w:link w:val="169"/>
    <w:qFormat/>
    <w:uiPriority w:val="0"/>
    <w:pPr>
      <w:tabs>
        <w:tab w:val="center" w:pos="4201"/>
        <w:tab w:val="right" w:leader="dot" w:pos="9298"/>
      </w:tabs>
      <w:autoSpaceDE w:val="0"/>
      <w:autoSpaceDN w:val="0"/>
      <w:ind w:firstLine="420" w:firstLineChars="200"/>
      <w:jc w:val="both"/>
    </w:pPr>
    <w:rPr>
      <w:rFonts w:ascii="宋体"/>
      <w:sz w:val="21"/>
      <w:lang w:val="en-US" w:eastAsia="zh-CN" w:bidi="ar-SA"/>
    </w:rPr>
  </w:style>
  <w:style w:type="character" w:customStyle="1" w:styleId="171">
    <w:name w:val="副标题 Char"/>
    <w:link w:val="35"/>
    <w:qFormat/>
    <w:uiPriority w:val="11"/>
    <w:rPr>
      <w:rFonts w:ascii="Cambria" w:hAnsi="Cambria"/>
      <w:b/>
      <w:bCs/>
      <w:kern w:val="28"/>
      <w:sz w:val="32"/>
      <w:szCs w:val="32"/>
    </w:rPr>
  </w:style>
  <w:style w:type="paragraph" w:customStyle="1" w:styleId="172">
    <w:name w:val="xl38"/>
    <w:basedOn w:val="1"/>
    <w:uiPriority w:val="0"/>
    <w:pPr>
      <w:widowControl/>
      <w:spacing w:before="100" w:beforeAutospacing="1" w:afterAutospacing="1"/>
      <w:jc w:val="center"/>
      <w:textAlignment w:val="center"/>
    </w:pPr>
    <w:rPr>
      <w:rFonts w:ascii="宋体" w:hAnsi="宋体"/>
      <w:kern w:val="0"/>
      <w:sz w:val="28"/>
      <w:szCs w:val="28"/>
    </w:rPr>
  </w:style>
  <w:style w:type="paragraph" w:customStyle="1" w:styleId="173">
    <w:name w:val="样式 标题 3 +"/>
    <w:basedOn w:val="4"/>
    <w:uiPriority w:val="0"/>
    <w:pPr>
      <w:tabs>
        <w:tab w:val="clear" w:pos="1740"/>
      </w:tabs>
      <w:spacing w:after="260"/>
      <w:ind w:left="0"/>
      <w:jc w:val="center"/>
    </w:pPr>
    <w:rPr>
      <w:rFonts w:ascii="Calibri" w:hAnsi="Calibri"/>
      <w:kern w:val="0"/>
      <w:sz w:val="28"/>
    </w:rPr>
  </w:style>
  <w:style w:type="paragraph" w:customStyle="1" w:styleId="174">
    <w:name w:val=" Char Char Char Char Char Char Char Char Char Char Char Char1 Char"/>
    <w:basedOn w:val="16"/>
    <w:uiPriority w:val="0"/>
    <w:pPr>
      <w:spacing w:afterLines="0" w:line="240" w:lineRule="auto"/>
      <w:ind w:firstLine="0" w:firstLineChars="0"/>
    </w:pPr>
    <w:rPr>
      <w:rFonts w:ascii="Tahoma" w:hAnsi="Tahoma"/>
    </w:rPr>
  </w:style>
  <w:style w:type="paragraph" w:customStyle="1" w:styleId="175">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176">
    <w:name w:val="p0"/>
    <w:basedOn w:val="1"/>
    <w:qFormat/>
    <w:uiPriority w:val="0"/>
    <w:pPr>
      <w:widowControl/>
    </w:pPr>
    <w:rPr>
      <w:rFonts w:ascii="華康辦公用具篇" w:hAnsi="華康辦公用具篇" w:cs="宋体"/>
      <w:kern w:val="0"/>
      <w:szCs w:val="21"/>
    </w:rPr>
  </w:style>
  <w:style w:type="paragraph" w:customStyle="1" w:styleId="177">
    <w:name w:val="_表格标题"/>
    <w:basedOn w:val="178"/>
    <w:uiPriority w:val="0"/>
    <w:pPr>
      <w:spacing w:beforeLines="30" w:afterLines="30"/>
      <w:jc w:val="center"/>
    </w:pPr>
    <w:rPr>
      <w:b/>
      <w:sz w:val="24"/>
    </w:rPr>
  </w:style>
  <w:style w:type="paragraph" w:customStyle="1" w:styleId="178">
    <w:name w:val="_表格文字"/>
    <w:basedOn w:val="1"/>
    <w:uiPriority w:val="0"/>
    <w:pPr>
      <w:spacing w:beforeLines="10" w:afterLines="10"/>
    </w:pPr>
  </w:style>
  <w:style w:type="paragraph" w:customStyle="1" w:styleId="179">
    <w:name w:val="Char Char1 Char Char Char Char Char Char Char Char"/>
    <w:basedOn w:val="1"/>
    <w:uiPriority w:val="0"/>
    <w:pPr>
      <w:widowControl/>
      <w:spacing w:line="240" w:lineRule="exact"/>
      <w:jc w:val="left"/>
    </w:pPr>
    <w:rPr>
      <w:rFonts w:ascii="Verdana" w:hAnsi="Verdana"/>
      <w:kern w:val="0"/>
      <w:sz w:val="18"/>
      <w:szCs w:val="20"/>
      <w:lang w:eastAsia="en-US"/>
    </w:rPr>
  </w:style>
  <w:style w:type="paragraph" w:customStyle="1" w:styleId="180">
    <w:name w:val="_Style 3"/>
    <w:basedOn w:val="1"/>
    <w:qFormat/>
    <w:uiPriority w:val="0"/>
    <w:rPr>
      <w:szCs w:val="20"/>
    </w:rPr>
  </w:style>
  <w:style w:type="paragraph" w:customStyle="1" w:styleId="181">
    <w:name w:val="xl87"/>
    <w:basedOn w:val="1"/>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182">
    <w:name w:val="xl117"/>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Autospacing="1"/>
      <w:jc w:val="left"/>
      <w:textAlignment w:val="center"/>
    </w:pPr>
    <w:rPr>
      <w:rFonts w:ascii="宋体" w:hAnsi="宋体" w:cs="宋体"/>
      <w:kern w:val="0"/>
      <w:sz w:val="20"/>
      <w:szCs w:val="20"/>
    </w:rPr>
  </w:style>
  <w:style w:type="paragraph" w:customStyle="1" w:styleId="183">
    <w:name w:val="xl111"/>
    <w:basedOn w:val="1"/>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184">
    <w:name w:val="模板普通正文"/>
    <w:basedOn w:val="20"/>
    <w:uiPriority w:val="0"/>
    <w:pPr>
      <w:spacing w:beforeLines="50" w:after="120" w:line="360" w:lineRule="auto"/>
      <w:ind w:firstLine="490" w:firstLineChars="175"/>
      <w:jc w:val="left"/>
    </w:pPr>
    <w:rPr>
      <w:rFonts w:ascii="Times New Roman" w:hAnsi="Times New Roman"/>
      <w:spacing w:val="0"/>
      <w:sz w:val="24"/>
      <w:szCs w:val="24"/>
      <w:lang w:val="en-US" w:eastAsia="zh-CN"/>
    </w:rPr>
  </w:style>
  <w:style w:type="paragraph" w:customStyle="1" w:styleId="185">
    <w:name w:val="xl77"/>
    <w:basedOn w:val="1"/>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186">
    <w:name w:val="标题 32"/>
    <w:basedOn w:val="1"/>
    <w:uiPriority w:val="0"/>
    <w:pPr>
      <w:spacing w:afterLines="100" w:line="360" w:lineRule="auto"/>
    </w:pPr>
    <w:rPr>
      <w:sz w:val="24"/>
    </w:rPr>
  </w:style>
  <w:style w:type="paragraph" w:customStyle="1" w:styleId="187">
    <w:name w:val="xl56"/>
    <w:basedOn w:val="1"/>
    <w:uiPriority w:val="0"/>
    <w:pPr>
      <w:widowControl/>
      <w:pBdr>
        <w:bottom w:val="single" w:color="auto" w:sz="8" w:space="0"/>
      </w:pBdr>
      <w:spacing w:before="100" w:beforeAutospacing="1" w:afterAutospacing="1"/>
      <w:jc w:val="left"/>
    </w:pPr>
    <w:rPr>
      <w:rFonts w:ascii="宋体" w:hAnsi="宋体"/>
      <w:kern w:val="0"/>
      <w:sz w:val="28"/>
      <w:szCs w:val="28"/>
    </w:rPr>
  </w:style>
  <w:style w:type="paragraph" w:customStyle="1" w:styleId="188">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189">
    <w:name w:val="xl50"/>
    <w:basedOn w:val="1"/>
    <w:uiPriority w:val="0"/>
    <w:pPr>
      <w:widowControl/>
      <w:pBdr>
        <w:top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190">
    <w:name w:val="正文(首行缩进)"/>
    <w:basedOn w:val="1"/>
    <w:uiPriority w:val="0"/>
    <w:pPr>
      <w:spacing w:line="360" w:lineRule="auto"/>
      <w:ind w:firstLine="200" w:firstLineChars="200"/>
    </w:pPr>
    <w:rPr>
      <w:rFonts w:ascii="Arial Narrow" w:hAnsi="Arial Narrow" w:eastAsia="楷体_GB2312"/>
      <w:sz w:val="24"/>
    </w:rPr>
  </w:style>
  <w:style w:type="paragraph" w:customStyle="1" w:styleId="191">
    <w:name w:val="列出段落11"/>
    <w:basedOn w:val="1"/>
    <w:qFormat/>
    <w:uiPriority w:val="34"/>
    <w:pPr>
      <w:ind w:firstLine="420" w:firstLineChars="200"/>
    </w:pPr>
    <w:rPr>
      <w:rFonts w:ascii="Calibri" w:hAnsi="Calibri" w:cs="黑体"/>
      <w:szCs w:val="22"/>
    </w:rPr>
  </w:style>
  <w:style w:type="paragraph" w:customStyle="1" w:styleId="192">
    <w:name w:val="总体设计正文样式"/>
    <w:basedOn w:val="1"/>
    <w:uiPriority w:val="0"/>
    <w:pPr>
      <w:spacing w:line="360" w:lineRule="auto"/>
      <w:ind w:firstLine="200" w:firstLineChars="200"/>
    </w:pPr>
    <w:rPr>
      <w:rFonts w:eastAsia="仿宋_GB2312" w:cs="宋体"/>
      <w:sz w:val="24"/>
      <w:szCs w:val="20"/>
    </w:rPr>
  </w:style>
  <w:style w:type="paragraph" w:customStyle="1" w:styleId="193">
    <w:name w:val="xl46"/>
    <w:basedOn w:val="1"/>
    <w:uiPriority w:val="0"/>
    <w:pPr>
      <w:widowControl/>
      <w:pBdr>
        <w:top w:val="single" w:color="auto" w:sz="4" w:space="0"/>
      </w:pBdr>
      <w:spacing w:before="100" w:beforeAutospacing="1" w:afterAutospacing="1"/>
      <w:jc w:val="left"/>
    </w:pPr>
    <w:rPr>
      <w:rFonts w:ascii="宋体" w:hAnsi="宋体"/>
      <w:kern w:val="0"/>
      <w:sz w:val="28"/>
      <w:szCs w:val="28"/>
    </w:rPr>
  </w:style>
  <w:style w:type="paragraph" w:customStyle="1" w:styleId="194">
    <w:name w:val="_列表"/>
    <w:basedOn w:val="195"/>
    <w:uiPriority w:val="0"/>
    <w:pPr>
      <w:spacing w:beforeLines="0" w:afterLines="0"/>
    </w:pPr>
    <w:rPr>
      <w:sz w:val="24"/>
    </w:rPr>
  </w:style>
  <w:style w:type="paragraph" w:customStyle="1" w:styleId="195">
    <w:name w:val="_正文段落"/>
    <w:basedOn w:val="1"/>
    <w:uiPriority w:val="0"/>
    <w:pPr>
      <w:spacing w:beforeLines="15" w:afterLines="15" w:line="360" w:lineRule="auto"/>
      <w:ind w:firstLine="200" w:firstLineChars="200"/>
    </w:pPr>
  </w:style>
  <w:style w:type="paragraph" w:customStyle="1" w:styleId="196">
    <w:name w:val="p15"/>
    <w:basedOn w:val="1"/>
    <w:uiPriority w:val="0"/>
    <w:pPr>
      <w:widowControl/>
    </w:pPr>
    <w:rPr>
      <w:kern w:val="0"/>
      <w:sz w:val="24"/>
    </w:rPr>
  </w:style>
  <w:style w:type="paragraph" w:customStyle="1" w:styleId="197">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textAlignment w:val="center"/>
    </w:pPr>
    <w:rPr>
      <w:rFonts w:ascii="宋体" w:hAnsi="宋体" w:cs="宋体"/>
      <w:b/>
      <w:bCs/>
      <w:kern w:val="0"/>
      <w:sz w:val="20"/>
      <w:szCs w:val="20"/>
    </w:rPr>
  </w:style>
  <w:style w:type="paragraph" w:customStyle="1" w:styleId="198">
    <w:name w:val="Char Char Char Char Char Char Char Char Char Char Char Char Char Char Char Char"/>
    <w:basedOn w:val="1"/>
    <w:uiPriority w:val="0"/>
    <w:rPr>
      <w:sz w:val="24"/>
    </w:rPr>
  </w:style>
  <w:style w:type="paragraph" w:customStyle="1" w:styleId="199">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200">
    <w:name w:val="xl55"/>
    <w:basedOn w:val="1"/>
    <w:uiPriority w:val="0"/>
    <w:pPr>
      <w:widowControl/>
      <w:pBdr>
        <w:bottom w:val="single" w:color="auto" w:sz="8" w:space="0"/>
      </w:pBdr>
      <w:spacing w:before="100" w:beforeAutospacing="1" w:afterAutospacing="1"/>
      <w:jc w:val="left"/>
    </w:pPr>
    <w:rPr>
      <w:rFonts w:ascii="宋体" w:hAnsi="宋体"/>
      <w:kern w:val="0"/>
      <w:sz w:val="28"/>
      <w:szCs w:val="28"/>
    </w:rPr>
  </w:style>
  <w:style w:type="paragraph" w:customStyle="1" w:styleId="201">
    <w:name w:val="xl120"/>
    <w:basedOn w:val="1"/>
    <w:uiPriority w:val="0"/>
    <w:pPr>
      <w:widowControl/>
      <w:pBdr>
        <w:top w:val="single" w:color="auto" w:sz="4" w:space="0"/>
        <w:left w:val="single" w:color="auto" w:sz="4" w:space="0"/>
        <w:bottom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202">
    <w:name w:val="Char"/>
    <w:basedOn w:val="1"/>
    <w:uiPriority w:val="0"/>
    <w:rPr>
      <w:sz w:val="24"/>
    </w:rPr>
  </w:style>
  <w:style w:type="paragraph" w:customStyle="1" w:styleId="203">
    <w:name w:val="Char2 Char Char Char"/>
    <w:basedOn w:val="1"/>
    <w:uiPriority w:val="0"/>
    <w:pPr>
      <w:widowControl/>
      <w:spacing w:beforeLines="100" w:line="240" w:lineRule="exact"/>
      <w:jc w:val="left"/>
    </w:pPr>
    <w:rPr>
      <w:rFonts w:ascii="Verdana" w:hAnsi="Verdana"/>
      <w:kern w:val="0"/>
      <w:sz w:val="20"/>
      <w:szCs w:val="20"/>
      <w:lang w:eastAsia="en-US"/>
    </w:rPr>
  </w:style>
  <w:style w:type="paragraph" w:customStyle="1" w:styleId="204">
    <w:name w:val="xl30"/>
    <w:basedOn w:val="1"/>
    <w:uiPriority w:val="0"/>
    <w:pPr>
      <w:widowControl/>
      <w:spacing w:before="100" w:beforeAutospacing="1" w:afterAutospacing="1"/>
      <w:jc w:val="left"/>
    </w:pPr>
    <w:rPr>
      <w:rFonts w:ascii="宋体" w:hAnsi="宋体"/>
      <w:kern w:val="0"/>
      <w:sz w:val="28"/>
      <w:szCs w:val="28"/>
    </w:rPr>
  </w:style>
  <w:style w:type="paragraph" w:customStyle="1" w:styleId="205">
    <w:name w:val="_正文段落加粗"/>
    <w:basedOn w:val="195"/>
    <w:uiPriority w:val="0"/>
    <w:pPr>
      <w:spacing w:beforeLines="0" w:afterLines="0"/>
      <w:ind w:firstLine="480"/>
    </w:pPr>
    <w:rPr>
      <w:b/>
    </w:rPr>
  </w:style>
  <w:style w:type="paragraph" w:customStyle="1" w:styleId="206">
    <w:name w:val="style17"/>
    <w:basedOn w:val="1"/>
    <w:uiPriority w:val="0"/>
    <w:pPr>
      <w:widowControl/>
      <w:spacing w:before="100" w:beforeAutospacing="1" w:afterLines="100"/>
      <w:jc w:val="left"/>
    </w:pPr>
    <w:rPr>
      <w:rFonts w:ascii="宋体" w:hAnsi="宋体" w:cs="宋体"/>
      <w:kern w:val="0"/>
      <w:sz w:val="18"/>
      <w:szCs w:val="18"/>
    </w:rPr>
  </w:style>
  <w:style w:type="paragraph" w:customStyle="1" w:styleId="207">
    <w:name w:val="font5"/>
    <w:basedOn w:val="1"/>
    <w:uiPriority w:val="0"/>
    <w:pPr>
      <w:widowControl/>
      <w:spacing w:before="100" w:beforeAutospacing="1" w:afterAutospacing="1"/>
      <w:jc w:val="left"/>
    </w:pPr>
    <w:rPr>
      <w:rFonts w:ascii="宋体" w:hAnsi="宋体" w:cs="宋体"/>
      <w:kern w:val="0"/>
      <w:sz w:val="18"/>
      <w:szCs w:val="18"/>
    </w:rPr>
  </w:style>
  <w:style w:type="paragraph" w:customStyle="1" w:styleId="208">
    <w:name w:val="Char Char Char Char Char Char"/>
    <w:basedOn w:val="1"/>
    <w:uiPriority w:val="0"/>
    <w:rPr>
      <w:rFonts w:ascii="Tahoma" w:hAnsi="Tahoma"/>
      <w:sz w:val="24"/>
      <w:szCs w:val="20"/>
    </w:rPr>
  </w:style>
  <w:style w:type="paragraph" w:customStyle="1" w:styleId="209">
    <w:name w:val="列出段落5"/>
    <w:basedOn w:val="1"/>
    <w:qFormat/>
    <w:uiPriority w:val="0"/>
    <w:pPr>
      <w:ind w:firstLine="420" w:firstLineChars="200"/>
    </w:pPr>
    <w:rPr>
      <w:rFonts w:ascii="Calibri" w:hAnsi="Calibri" w:cs="Calibri"/>
      <w:szCs w:val="21"/>
    </w:rPr>
  </w:style>
  <w:style w:type="paragraph" w:customStyle="1" w:styleId="210">
    <w:name w:val="Normal"/>
    <w:basedOn w:val="1"/>
    <w:uiPriority w:val="0"/>
    <w:rPr>
      <w:rFonts w:ascii="宋体" w:hAnsi="宋体" w:cs="宋体"/>
      <w:szCs w:val="21"/>
    </w:rPr>
  </w:style>
  <w:style w:type="paragraph" w:customStyle="1" w:styleId="211">
    <w:name w:val="xl66"/>
    <w:basedOn w:val="1"/>
    <w:uiPriority w:val="0"/>
    <w:pPr>
      <w:widowControl/>
      <w:pBdr>
        <w:left w:val="single" w:color="auto" w:sz="4" w:space="0"/>
        <w:bottom w:val="single" w:color="auto" w:sz="4" w:space="0"/>
      </w:pBdr>
      <w:spacing w:before="100" w:beforeAutospacing="1" w:after="100" w:afterAutospacing="1"/>
      <w:jc w:val="center"/>
    </w:pPr>
    <w:rPr>
      <w:rFonts w:ascii="宋体" w:hAnsi="宋体"/>
      <w:kern w:val="0"/>
      <w:sz w:val="24"/>
    </w:rPr>
  </w:style>
  <w:style w:type="paragraph" w:customStyle="1" w:styleId="212">
    <w:name w:val="xl115"/>
    <w:basedOn w:val="1"/>
    <w:uiPriority w:val="0"/>
    <w:pPr>
      <w:widowControl/>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213">
    <w:name w:val="地址内"/>
    <w:basedOn w:val="1"/>
    <w:uiPriority w:val="0"/>
    <w:rPr>
      <w:szCs w:val="20"/>
    </w:rPr>
  </w:style>
  <w:style w:type="paragraph" w:customStyle="1" w:styleId="214">
    <w:name w:val="xl48"/>
    <w:basedOn w:val="1"/>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pPr>
    <w:rPr>
      <w:kern w:val="0"/>
      <w:sz w:val="28"/>
      <w:szCs w:val="28"/>
    </w:rPr>
  </w:style>
  <w:style w:type="paragraph" w:customStyle="1" w:styleId="215">
    <w:name w:val="postdate"/>
    <w:basedOn w:val="1"/>
    <w:uiPriority w:val="0"/>
    <w:pPr>
      <w:widowControl/>
      <w:spacing w:before="100" w:beforeAutospacing="1" w:afterLines="100"/>
      <w:jc w:val="left"/>
    </w:pPr>
    <w:rPr>
      <w:rFonts w:ascii="宋体" w:hAnsi="宋体" w:cs="宋体"/>
      <w:color w:val="777777"/>
      <w:kern w:val="0"/>
      <w:sz w:val="17"/>
      <w:szCs w:val="17"/>
    </w:rPr>
  </w:style>
  <w:style w:type="paragraph" w:customStyle="1" w:styleId="216">
    <w:name w:val="标题 31"/>
    <w:basedOn w:val="1"/>
    <w:uiPriority w:val="0"/>
    <w:pPr>
      <w:spacing w:afterLines="100" w:line="360" w:lineRule="auto"/>
    </w:pPr>
    <w:rPr>
      <w:sz w:val="24"/>
    </w:rPr>
  </w:style>
  <w:style w:type="paragraph" w:customStyle="1" w:styleId="217">
    <w:name w:val="投标文件 正文首行缩进"/>
    <w:basedOn w:val="48"/>
    <w:uiPriority w:val="0"/>
    <w:pPr>
      <w:spacing w:after="220"/>
      <w:ind w:left="0" w:leftChars="0" w:firstLine="200"/>
    </w:pPr>
    <w:rPr>
      <w:rFonts w:ascii="Arial" w:hAnsi="Arial"/>
      <w:sz w:val="21"/>
    </w:rPr>
  </w:style>
  <w:style w:type="paragraph" w:customStyle="1" w:styleId="218">
    <w:name w:val="xl31"/>
    <w:basedOn w:val="1"/>
    <w:uiPriority w:val="0"/>
    <w:pPr>
      <w:widowControl/>
      <w:spacing w:before="100" w:beforeAutospacing="1" w:afterAutospacing="1"/>
      <w:jc w:val="center"/>
    </w:pPr>
    <w:rPr>
      <w:rFonts w:ascii="宋体" w:hAnsi="宋体"/>
      <w:kern w:val="0"/>
      <w:sz w:val="28"/>
      <w:szCs w:val="28"/>
    </w:rPr>
  </w:style>
  <w:style w:type="paragraph" w:customStyle="1" w:styleId="219">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b/>
      <w:bCs/>
      <w:kern w:val="0"/>
      <w:sz w:val="20"/>
      <w:szCs w:val="20"/>
    </w:rPr>
  </w:style>
  <w:style w:type="paragraph" w:customStyle="1" w:styleId="220">
    <w:name w:val=" Char Char Char Char Char Char Char"/>
    <w:basedOn w:val="1"/>
    <w:uiPriority w:val="0"/>
    <w:rPr>
      <w:rFonts w:ascii="仿宋_GB2312" w:eastAsia="仿宋_GB2312"/>
      <w:b/>
      <w:sz w:val="32"/>
      <w:szCs w:val="32"/>
    </w:rPr>
  </w:style>
  <w:style w:type="paragraph" w:customStyle="1" w:styleId="221">
    <w:name w:val="Char Char Char Char Char Char Char Char Char Char Char Char1 Char"/>
    <w:basedOn w:val="16"/>
    <w:uiPriority w:val="0"/>
    <w:pPr>
      <w:spacing w:afterLines="0" w:line="240" w:lineRule="auto"/>
      <w:ind w:firstLine="0" w:firstLineChars="0"/>
    </w:pPr>
    <w:rPr>
      <w:rFonts w:ascii="Tahoma" w:hAnsi="Tahoma"/>
    </w:rPr>
  </w:style>
  <w:style w:type="paragraph" w:customStyle="1" w:styleId="222">
    <w:name w:val="附录一级条标题"/>
    <w:basedOn w:val="223"/>
    <w:next w:val="170"/>
    <w:qFormat/>
    <w:uiPriority w:val="0"/>
    <w:pPr>
      <w:numPr>
        <w:ilvl w:val="2"/>
        <w:numId w:val="3"/>
      </w:numPr>
      <w:autoSpaceDN w:val="0"/>
      <w:spacing w:beforeLines="0" w:afterLines="0"/>
      <w:outlineLvl w:val="2"/>
    </w:pPr>
  </w:style>
  <w:style w:type="paragraph" w:customStyle="1" w:styleId="223">
    <w:name w:val="附录章标题"/>
    <w:next w:val="170"/>
    <w:qFormat/>
    <w:uiPriority w:val="0"/>
    <w:pPr>
      <w:numPr>
        <w:ilvl w:val="1"/>
        <w:numId w:val="3"/>
      </w:numPr>
      <w:wordWrap w:val="0"/>
      <w:overflowPunct w:val="0"/>
      <w:autoSpaceDE w:val="0"/>
      <w:spacing w:beforeLines="50" w:afterLines="50"/>
      <w:jc w:val="both"/>
      <w:textAlignment w:val="baseline"/>
      <w:outlineLvl w:val="1"/>
    </w:pPr>
    <w:rPr>
      <w:rFonts w:ascii="黑体" w:eastAsia="黑体"/>
      <w:kern w:val="21"/>
      <w:sz w:val="21"/>
      <w:lang w:val="en-US" w:eastAsia="zh-CN" w:bidi="ar-SA"/>
    </w:rPr>
  </w:style>
  <w:style w:type="paragraph" w:customStyle="1" w:styleId="224">
    <w:name w:val="xl103"/>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kern w:val="0"/>
      <w:sz w:val="20"/>
      <w:szCs w:val="20"/>
    </w:rPr>
  </w:style>
  <w:style w:type="paragraph" w:customStyle="1" w:styleId="225">
    <w:name w:val="xl63"/>
    <w:basedOn w:val="1"/>
    <w:uiPriority w:val="0"/>
    <w:pPr>
      <w:widowControl/>
      <w:pBdr>
        <w:top w:val="single" w:color="auto" w:sz="4" w:space="0"/>
        <w:left w:val="single" w:color="auto" w:sz="4" w:space="0"/>
        <w:bottom w:val="single" w:color="auto" w:sz="4" w:space="0"/>
      </w:pBdr>
      <w:spacing w:before="100" w:beforeAutospacing="1" w:afterAutospacing="1"/>
      <w:jc w:val="right"/>
      <w:textAlignment w:val="center"/>
    </w:pPr>
    <w:rPr>
      <w:rFonts w:ascii="宋体" w:hAnsi="宋体"/>
      <w:kern w:val="0"/>
      <w:sz w:val="28"/>
      <w:szCs w:val="28"/>
    </w:rPr>
  </w:style>
  <w:style w:type="paragraph" w:customStyle="1" w:styleId="226">
    <w:name w:val="表格文字"/>
    <w:basedOn w:val="1"/>
    <w:qFormat/>
    <w:uiPriority w:val="0"/>
    <w:pPr>
      <w:spacing w:beforeLines="25" w:afterLines="25"/>
      <w:jc w:val="left"/>
    </w:pPr>
    <w:rPr>
      <w:spacing w:val="10"/>
      <w:sz w:val="24"/>
    </w:rPr>
  </w:style>
  <w:style w:type="paragraph" w:customStyle="1" w:styleId="227">
    <w:name w:val="样式 标题 1 + 两端对齐"/>
    <w:basedOn w:val="3"/>
    <w:next w:val="3"/>
    <w:uiPriority w:val="0"/>
    <w:pPr>
      <w:autoSpaceDE w:val="0"/>
      <w:autoSpaceDN w:val="0"/>
      <w:adjustRightInd w:val="0"/>
      <w:spacing w:before="340" w:after="330" w:line="240" w:lineRule="auto"/>
      <w:jc w:val="center"/>
    </w:pPr>
    <w:rPr>
      <w:rFonts w:ascii="汉鼎简细圆" w:hAnsi="Times New Roman" w:eastAsia="宋体" w:cs="宋体"/>
      <w:kern w:val="44"/>
      <w:sz w:val="28"/>
      <w:szCs w:val="20"/>
    </w:rPr>
  </w:style>
  <w:style w:type="paragraph" w:customStyle="1" w:styleId="228">
    <w:name w:val="xl121"/>
    <w:basedOn w:val="1"/>
    <w:uiPriority w:val="0"/>
    <w:pPr>
      <w:widowControl/>
      <w:pBdr>
        <w:top w:val="single" w:color="auto" w:sz="4" w:space="0"/>
        <w:bottom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229">
    <w:name w:val="xl125"/>
    <w:basedOn w:val="1"/>
    <w:uiPriority w:val="0"/>
    <w:pPr>
      <w:widowControl/>
      <w:pBdr>
        <w:top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30">
    <w:name w:val="正文1"/>
    <w:basedOn w:val="1"/>
    <w:uiPriority w:val="0"/>
    <w:rPr>
      <w:rFonts w:ascii="宋体" w:hAnsi="宋体" w:cs="宋体"/>
      <w:szCs w:val="21"/>
    </w:rPr>
  </w:style>
  <w:style w:type="paragraph" w:customStyle="1" w:styleId="231">
    <w:name w:val="附录二级条标题"/>
    <w:basedOn w:val="222"/>
    <w:next w:val="170"/>
    <w:qFormat/>
    <w:uiPriority w:val="0"/>
    <w:pPr>
      <w:numPr>
        <w:ilvl w:val="3"/>
        <w:numId w:val="3"/>
      </w:numPr>
      <w:outlineLvl w:val="3"/>
    </w:pPr>
  </w:style>
  <w:style w:type="paragraph" w:customStyle="1" w:styleId="232">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33">
    <w:name w:val="_标题5"/>
    <w:basedOn w:val="6"/>
    <w:next w:val="195"/>
    <w:uiPriority w:val="0"/>
    <w:pPr>
      <w:ind w:left="4253" w:hanging="4253"/>
    </w:pPr>
    <w:rPr>
      <w:rFonts w:ascii="Arial" w:hAnsi="Arial" w:eastAsia="黑体"/>
      <w:b w:val="0"/>
      <w:sz w:val="24"/>
    </w:rPr>
  </w:style>
  <w:style w:type="paragraph" w:customStyle="1" w:styleId="234">
    <w:name w:val="_标题6"/>
    <w:basedOn w:val="7"/>
    <w:next w:val="195"/>
    <w:uiPriority w:val="0"/>
    <w:pPr>
      <w:ind w:left="4820" w:hanging="4820" w:firstLineChars="0"/>
    </w:pPr>
    <w:rPr>
      <w:rFonts w:ascii="Tahoma" w:hAnsi="Tahoma"/>
      <w:b w:val="0"/>
    </w:rPr>
  </w:style>
  <w:style w:type="paragraph" w:customStyle="1" w:styleId="235">
    <w:name w:val="xl116"/>
    <w:basedOn w:val="1"/>
    <w:uiPriority w:val="0"/>
    <w:pPr>
      <w:widowControl/>
      <w:pBdr>
        <w:left w:val="single" w:color="auto" w:sz="4" w:space="0"/>
        <w:bottom w:val="single" w:color="auto" w:sz="4" w:space="0"/>
        <w:right w:val="single" w:color="auto" w:sz="4" w:space="0"/>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236">
    <w:name w:val="公文行文"/>
    <w:basedOn w:val="1"/>
    <w:uiPriority w:val="0"/>
    <w:pPr>
      <w:spacing w:line="360" w:lineRule="auto"/>
      <w:ind w:firstLine="200" w:firstLineChars="200"/>
    </w:pPr>
    <w:rPr>
      <w:rFonts w:eastAsia="仿宋_GB2312"/>
      <w:sz w:val="28"/>
    </w:rPr>
  </w:style>
  <w:style w:type="paragraph" w:customStyle="1" w:styleId="237">
    <w:name w:val="正文首行缩进两字符"/>
    <w:basedOn w:val="1"/>
    <w:uiPriority w:val="0"/>
    <w:pPr>
      <w:spacing w:line="300" w:lineRule="auto"/>
      <w:ind w:firstLine="200" w:firstLineChars="200"/>
    </w:pPr>
    <w:rPr>
      <w:rFonts w:ascii="Arial" w:hAnsi="Arial"/>
      <w:sz w:val="24"/>
    </w:rPr>
  </w:style>
  <w:style w:type="paragraph" w:customStyle="1" w:styleId="238">
    <w:name w:val="font9"/>
    <w:basedOn w:val="1"/>
    <w:uiPriority w:val="0"/>
    <w:pPr>
      <w:widowControl/>
      <w:spacing w:before="100" w:beforeAutospacing="1" w:afterAutospacing="1"/>
      <w:jc w:val="left"/>
    </w:pPr>
    <w:rPr>
      <w:kern w:val="0"/>
      <w:sz w:val="20"/>
      <w:szCs w:val="20"/>
    </w:rPr>
  </w:style>
  <w:style w:type="paragraph" w:customStyle="1" w:styleId="239">
    <w:name w:val="附录四级条标题"/>
    <w:basedOn w:val="240"/>
    <w:next w:val="170"/>
    <w:qFormat/>
    <w:uiPriority w:val="0"/>
    <w:pPr>
      <w:numPr>
        <w:ilvl w:val="5"/>
        <w:numId w:val="3"/>
      </w:numPr>
      <w:outlineLvl w:val="5"/>
    </w:pPr>
  </w:style>
  <w:style w:type="paragraph" w:customStyle="1" w:styleId="240">
    <w:name w:val="附录三级条标题"/>
    <w:basedOn w:val="231"/>
    <w:next w:val="170"/>
    <w:qFormat/>
    <w:uiPriority w:val="0"/>
    <w:pPr>
      <w:numPr>
        <w:ilvl w:val="4"/>
        <w:numId w:val="3"/>
      </w:numPr>
      <w:outlineLvl w:val="4"/>
    </w:pPr>
  </w:style>
  <w:style w:type="paragraph" w:customStyle="1" w:styleId="241">
    <w:name w:val="Char Char Char"/>
    <w:basedOn w:val="1"/>
    <w:uiPriority w:val="0"/>
  </w:style>
  <w:style w:type="paragraph" w:customStyle="1" w:styleId="242">
    <w:name w:val="xl124"/>
    <w:basedOn w:val="1"/>
    <w:uiPriority w:val="0"/>
    <w:pPr>
      <w:widowControl/>
      <w:pBdr>
        <w:top w:val="single" w:color="auto" w:sz="4" w:space="0"/>
        <w:bottom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43">
    <w:name w:val="列出段落6"/>
    <w:basedOn w:val="1"/>
    <w:qFormat/>
    <w:uiPriority w:val="34"/>
    <w:pPr>
      <w:ind w:firstLine="420" w:firstLineChars="200"/>
    </w:pPr>
  </w:style>
  <w:style w:type="paragraph" w:customStyle="1" w:styleId="244">
    <w:name w:val="样式 标题 5 + 右侧:  -0.18 字符"/>
    <w:basedOn w:val="1"/>
    <w:uiPriority w:val="0"/>
    <w:pPr>
      <w:numPr>
        <w:ilvl w:val="4"/>
        <w:numId w:val="4"/>
      </w:numPr>
    </w:pPr>
  </w:style>
  <w:style w:type="paragraph" w:customStyle="1" w:styleId="245">
    <w:name w:val="目次、标准名称标题"/>
    <w:basedOn w:val="1"/>
    <w:next w:val="170"/>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46">
    <w:name w:val="xl52"/>
    <w:basedOn w:val="1"/>
    <w:uiPriority w:val="0"/>
    <w:pPr>
      <w:widowControl/>
      <w:pBdr>
        <w:left w:val="single" w:color="auto" w:sz="8" w:space="0"/>
        <w:right w:val="single" w:color="auto" w:sz="4" w:space="0"/>
      </w:pBdr>
      <w:spacing w:before="100" w:beforeAutospacing="1" w:afterAutospacing="1"/>
      <w:jc w:val="center"/>
    </w:pPr>
    <w:rPr>
      <w:kern w:val="0"/>
      <w:sz w:val="28"/>
      <w:szCs w:val="28"/>
    </w:rPr>
  </w:style>
  <w:style w:type="paragraph" w:customStyle="1" w:styleId="247">
    <w:name w:val="证文"/>
    <w:basedOn w:val="1"/>
    <w:uiPriority w:val="0"/>
    <w:pPr>
      <w:spacing w:line="360" w:lineRule="auto"/>
    </w:pPr>
    <w:rPr>
      <w:sz w:val="24"/>
      <w:szCs w:val="20"/>
    </w:rPr>
  </w:style>
  <w:style w:type="paragraph" w:customStyle="1" w:styleId="248">
    <w:name w:val="程序段"/>
    <w:basedOn w:val="1"/>
    <w:uiPriority w:val="0"/>
    <w:pPr>
      <w:ind w:firstLine="420" w:firstLineChars="200"/>
    </w:pPr>
    <w:rPr>
      <w:rFonts w:ascii="Courier" w:hAnsi="Courier"/>
    </w:rPr>
  </w:style>
  <w:style w:type="paragraph" w:customStyle="1" w:styleId="249">
    <w:name w:val="font8"/>
    <w:basedOn w:val="1"/>
    <w:uiPriority w:val="0"/>
    <w:pPr>
      <w:widowControl/>
      <w:spacing w:before="100" w:beforeAutospacing="1" w:afterAutospacing="1"/>
      <w:jc w:val="left"/>
    </w:pPr>
    <w:rPr>
      <w:rFonts w:ascii="宋体" w:hAnsi="宋体" w:cs="宋体"/>
      <w:kern w:val="0"/>
      <w:sz w:val="18"/>
      <w:szCs w:val="18"/>
    </w:rPr>
  </w:style>
  <w:style w:type="paragraph" w:customStyle="1" w:styleId="250">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251">
    <w:name w:val="默认段落字体 Para Char"/>
    <w:basedOn w:val="1"/>
    <w:uiPriority w:val="0"/>
    <w:rPr>
      <w:rFonts w:ascii="Tahoma" w:hAnsi="Tahoma"/>
      <w:sz w:val="24"/>
      <w:szCs w:val="20"/>
    </w:rPr>
  </w:style>
  <w:style w:type="paragraph" w:customStyle="1" w:styleId="252">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styleId="253">
    <w:name w:val=""/>
    <w:basedOn w:val="2"/>
    <w:next w:val="1"/>
    <w:qFormat/>
    <w:uiPriority w:val="0"/>
    <w:pPr>
      <w:outlineLvl w:val="9"/>
    </w:pPr>
  </w:style>
  <w:style w:type="paragraph" w:customStyle="1" w:styleId="254">
    <w:name w:val="Plain Text"/>
    <w:basedOn w:val="210"/>
    <w:qFormat/>
    <w:uiPriority w:val="0"/>
    <w:pPr>
      <w:widowControl/>
      <w:jc w:val="left"/>
    </w:pPr>
    <w:rPr>
      <w:rFonts w:hAnsi="Courier New"/>
    </w:rPr>
  </w:style>
  <w:style w:type="paragraph" w:customStyle="1" w:styleId="255">
    <w:name w:val="列出段落4"/>
    <w:basedOn w:val="1"/>
    <w:qFormat/>
    <w:uiPriority w:val="0"/>
    <w:pPr>
      <w:ind w:firstLine="420" w:firstLineChars="200"/>
    </w:pPr>
    <w:rPr>
      <w:rFonts w:ascii="Calibri" w:hAnsi="Calibri" w:cs="Calibri"/>
      <w:szCs w:val="21"/>
    </w:rPr>
  </w:style>
  <w:style w:type="paragraph" w:customStyle="1" w:styleId="256">
    <w:name w:val="标题 22"/>
    <w:basedOn w:val="1"/>
    <w:uiPriority w:val="0"/>
    <w:pPr>
      <w:spacing w:afterLines="100" w:line="360" w:lineRule="auto"/>
    </w:pPr>
    <w:rPr>
      <w:sz w:val="24"/>
    </w:rPr>
  </w:style>
  <w:style w:type="paragraph" w:customStyle="1" w:styleId="257">
    <w:name w:val="自由格式 A"/>
    <w:uiPriority w:val="0"/>
    <w:rPr>
      <w:rFonts w:ascii="Helvetica" w:hAnsi="Helvetica" w:eastAsia="ヒラギノ角ゴ Pro W3"/>
      <w:color w:val="000000"/>
      <w:sz w:val="24"/>
      <w:lang w:val="en-US" w:eastAsia="zh-CN" w:bidi="ar-SA"/>
    </w:rPr>
  </w:style>
  <w:style w:type="paragraph" w:customStyle="1" w:styleId="258">
    <w:name w:val="pt105"/>
    <w:basedOn w:val="1"/>
    <w:uiPriority w:val="0"/>
    <w:pPr>
      <w:widowControl/>
      <w:spacing w:before="100" w:beforeAutospacing="1" w:afterLines="100"/>
      <w:jc w:val="left"/>
    </w:pPr>
    <w:rPr>
      <w:rFonts w:ascii="宋体" w:hAnsi="宋体" w:cs="宋体"/>
      <w:kern w:val="0"/>
      <w:sz w:val="24"/>
    </w:rPr>
  </w:style>
  <w:style w:type="paragraph" w:customStyle="1" w:styleId="259">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kern w:val="0"/>
      <w:sz w:val="28"/>
      <w:szCs w:val="28"/>
    </w:rPr>
  </w:style>
  <w:style w:type="paragraph" w:customStyle="1" w:styleId="260">
    <w:name w:val="Char1 Char Char Char Char Char Char Char"/>
    <w:basedOn w:val="1"/>
    <w:uiPriority w:val="0"/>
    <w:pPr>
      <w:adjustRightInd w:val="0"/>
      <w:spacing w:before="60" w:line="360" w:lineRule="atLeast"/>
      <w:textAlignment w:val="baseline"/>
    </w:pPr>
    <w:rPr>
      <w:kern w:val="0"/>
      <w:sz w:val="24"/>
      <w:szCs w:val="20"/>
    </w:rPr>
  </w:style>
  <w:style w:type="paragraph" w:customStyle="1" w:styleId="261">
    <w:name w:val="_标题3"/>
    <w:basedOn w:val="4"/>
    <w:next w:val="195"/>
    <w:uiPriority w:val="0"/>
    <w:pPr>
      <w:numPr>
        <w:ilvl w:val="0"/>
        <w:numId w:val="0"/>
      </w:numPr>
      <w:tabs>
        <w:tab w:val="left" w:pos="720"/>
      </w:tabs>
      <w:spacing w:beforeLines="50" w:afterLines="50"/>
      <w:ind w:left="720"/>
    </w:pPr>
    <w:rPr>
      <w:rFonts w:ascii="Arial" w:hAnsi="Arial" w:eastAsia="黑体"/>
      <w:sz w:val="30"/>
    </w:rPr>
  </w:style>
  <w:style w:type="paragraph" w:customStyle="1" w:styleId="262">
    <w:name w:val="xl78"/>
    <w:basedOn w:val="1"/>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63">
    <w:name w:val="首行缩进2字符"/>
    <w:basedOn w:val="1"/>
    <w:uiPriority w:val="0"/>
    <w:pPr>
      <w:autoSpaceDE w:val="0"/>
      <w:autoSpaceDN w:val="0"/>
      <w:adjustRightInd w:val="0"/>
      <w:spacing w:line="360" w:lineRule="auto"/>
      <w:ind w:firstLine="420" w:firstLineChars="200"/>
      <w:jc w:val="left"/>
    </w:pPr>
    <w:rPr>
      <w:snapToGrid w:val="0"/>
      <w:szCs w:val="21"/>
    </w:rPr>
  </w:style>
  <w:style w:type="paragraph" w:customStyle="1" w:styleId="264">
    <w:name w:val="xl123"/>
    <w:basedOn w:val="1"/>
    <w:uiPriority w:val="0"/>
    <w:pPr>
      <w:widowControl/>
      <w:pBdr>
        <w:top w:val="single" w:color="auto" w:sz="4" w:space="0"/>
        <w:left w:val="single" w:color="auto" w:sz="4" w:space="0"/>
        <w:bottom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65">
    <w:name w:val="xl64"/>
    <w:basedOn w:val="1"/>
    <w:uiPriority w:val="0"/>
    <w:pPr>
      <w:widowControl/>
      <w:pBdr>
        <w:top w:val="single" w:color="auto" w:sz="4" w:space="0"/>
        <w:left w:val="single" w:color="auto" w:sz="4" w:space="0"/>
        <w:bottom w:val="single" w:color="auto" w:sz="4" w:space="0"/>
      </w:pBdr>
      <w:shd w:val="clear" w:color="auto" w:fill="FFFFFF"/>
      <w:spacing w:before="100" w:beforeAutospacing="1" w:afterAutospacing="1"/>
      <w:jc w:val="right"/>
      <w:textAlignment w:val="center"/>
    </w:pPr>
    <w:rPr>
      <w:rFonts w:ascii="宋体" w:hAnsi="宋体"/>
      <w:b/>
      <w:bCs/>
      <w:kern w:val="0"/>
      <w:sz w:val="28"/>
      <w:szCs w:val="28"/>
    </w:rPr>
  </w:style>
  <w:style w:type="paragraph" w:customStyle="1" w:styleId="266">
    <w:name w:val="缺省文本"/>
    <w:basedOn w:val="1"/>
    <w:uiPriority w:val="0"/>
    <w:pPr>
      <w:autoSpaceDE w:val="0"/>
      <w:autoSpaceDN w:val="0"/>
      <w:adjustRightInd w:val="0"/>
      <w:ind w:firstLine="454"/>
    </w:pPr>
    <w:rPr>
      <w:sz w:val="24"/>
    </w:rPr>
  </w:style>
  <w:style w:type="paragraph" w:customStyle="1" w:styleId="267">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268">
    <w:name w:val="List Paragraph"/>
    <w:basedOn w:val="1"/>
    <w:uiPriority w:val="0"/>
    <w:pPr>
      <w:ind w:firstLine="420" w:firstLineChars="200"/>
    </w:pPr>
    <w:rPr>
      <w:rFonts w:ascii="Calibri" w:hAnsi="Calibri" w:cs="Calibri"/>
    </w:rPr>
  </w:style>
  <w:style w:type="paragraph" w:customStyle="1" w:styleId="269">
    <w:name w:val="一级条标题"/>
    <w:basedOn w:val="270"/>
    <w:next w:val="1"/>
    <w:qFormat/>
    <w:uiPriority w:val="0"/>
    <w:pPr>
      <w:tabs>
        <w:tab w:val="left" w:pos="360"/>
      </w:tabs>
      <w:spacing w:beforeLines="0" w:afterLines="0"/>
      <w:outlineLvl w:val="2"/>
    </w:pPr>
  </w:style>
  <w:style w:type="paragraph" w:customStyle="1" w:styleId="270">
    <w:name w:val="章标题"/>
    <w:next w:val="1"/>
    <w:qFormat/>
    <w:uiPriority w:val="0"/>
    <w:pPr>
      <w:tabs>
        <w:tab w:val="left" w:pos="360"/>
      </w:tabs>
      <w:spacing w:beforeLines="50" w:afterLines="50" w:line="360" w:lineRule="auto"/>
      <w:jc w:val="both"/>
      <w:outlineLvl w:val="1"/>
    </w:pPr>
    <w:rPr>
      <w:rFonts w:ascii="黑体" w:eastAsia="黑体"/>
      <w:sz w:val="21"/>
      <w:lang w:val="en-US" w:eastAsia="zh-CN" w:bidi="ar-SA"/>
    </w:rPr>
  </w:style>
  <w:style w:type="paragraph" w:customStyle="1" w:styleId="271">
    <w:name w:val="font6"/>
    <w:basedOn w:val="1"/>
    <w:uiPriority w:val="0"/>
    <w:pPr>
      <w:widowControl/>
      <w:spacing w:before="100" w:beforeAutospacing="1" w:afterAutospacing="1"/>
      <w:jc w:val="left"/>
    </w:pPr>
    <w:rPr>
      <w:rFonts w:ascii="宋体" w:hAnsi="宋体" w:cs="宋体"/>
      <w:kern w:val="0"/>
      <w:sz w:val="18"/>
      <w:szCs w:val="18"/>
    </w:rPr>
  </w:style>
  <w:style w:type="paragraph" w:customStyle="1" w:styleId="272">
    <w:name w:val="xl62"/>
    <w:basedOn w:val="1"/>
    <w:uiPriority w:val="0"/>
    <w:pPr>
      <w:widowControl/>
      <w:spacing w:before="100" w:beforeAutospacing="1" w:afterAutospacing="1"/>
      <w:jc w:val="left"/>
      <w:textAlignment w:val="center"/>
    </w:pPr>
    <w:rPr>
      <w:rFonts w:ascii="宋体" w:hAnsi="宋体"/>
      <w:kern w:val="0"/>
      <w:sz w:val="24"/>
    </w:rPr>
  </w:style>
  <w:style w:type="paragraph" w:customStyle="1" w:styleId="273">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74">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75">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76">
    <w:name w:val="纯文本1"/>
    <w:basedOn w:val="1"/>
    <w:qFormat/>
    <w:uiPriority w:val="0"/>
    <w:rPr>
      <w:rFonts w:ascii="宋体" w:hAnsi="Courier New"/>
      <w:kern w:val="0"/>
      <w:szCs w:val="21"/>
    </w:rPr>
  </w:style>
  <w:style w:type="paragraph" w:customStyle="1" w:styleId="277">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278">
    <w:name w:val="_图片"/>
    <w:basedOn w:val="1"/>
    <w:next w:val="195"/>
    <w:uiPriority w:val="0"/>
    <w:pPr>
      <w:spacing w:before="46" w:line="360" w:lineRule="auto"/>
      <w:jc w:val="center"/>
    </w:pPr>
    <w:rPr>
      <w:sz w:val="18"/>
    </w:rPr>
  </w:style>
  <w:style w:type="paragraph" w:customStyle="1" w:styleId="279">
    <w:name w:val="列出段落2"/>
    <w:basedOn w:val="1"/>
    <w:qFormat/>
    <w:uiPriority w:val="34"/>
    <w:pPr>
      <w:ind w:firstLine="420" w:firstLineChars="200"/>
    </w:pPr>
    <w:rPr>
      <w:rFonts w:ascii="Calibri" w:hAnsi="Calibri"/>
      <w:szCs w:val="22"/>
    </w:rPr>
  </w:style>
  <w:style w:type="paragraph" w:customStyle="1" w:styleId="280">
    <w:name w:val="feeder"/>
    <w:basedOn w:val="1"/>
    <w:uiPriority w:val="0"/>
    <w:pPr>
      <w:widowControl/>
      <w:spacing w:before="100" w:beforeAutospacing="1" w:afterLines="100" w:line="347" w:lineRule="atLeast"/>
      <w:jc w:val="left"/>
      <w:textAlignment w:val="bottom"/>
    </w:pPr>
    <w:rPr>
      <w:rFonts w:ascii="Verdana" w:hAnsi="Verdana" w:eastAsia="Arial Unicode MS" w:cs="Arial Unicode MS"/>
      <w:color w:val="666666"/>
      <w:kern w:val="0"/>
      <w:sz w:val="19"/>
      <w:szCs w:val="19"/>
    </w:rPr>
  </w:style>
  <w:style w:type="paragraph" w:customStyle="1" w:styleId="281">
    <w:name w:val="正文文本 21"/>
    <w:basedOn w:val="1"/>
    <w:uiPriority w:val="0"/>
    <w:pPr>
      <w:adjustRightInd w:val="0"/>
      <w:spacing w:line="540" w:lineRule="exact"/>
      <w:ind w:firstLine="641"/>
      <w:jc w:val="left"/>
      <w:textAlignment w:val="baseline"/>
    </w:pPr>
    <w:rPr>
      <w:rFonts w:ascii="仿宋_GB2312" w:eastAsia="仿宋_GB2312"/>
      <w:kern w:val="0"/>
      <w:sz w:val="32"/>
      <w:szCs w:val="20"/>
    </w:rPr>
  </w:style>
  <w:style w:type="paragraph" w:customStyle="1" w:styleId="282">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83">
    <w:name w:val="xl118"/>
    <w:basedOn w:val="1"/>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84">
    <w:name w:val="xl57"/>
    <w:basedOn w:val="1"/>
    <w:uiPriority w:val="0"/>
    <w:pPr>
      <w:widowControl/>
      <w:pBdr>
        <w:bottom w:val="single" w:color="auto" w:sz="8" w:space="0"/>
      </w:pBdr>
      <w:spacing w:before="100" w:beforeAutospacing="1" w:afterAutospacing="1"/>
      <w:jc w:val="center"/>
    </w:pPr>
    <w:rPr>
      <w:rFonts w:ascii="宋体" w:hAnsi="宋体"/>
      <w:kern w:val="0"/>
      <w:sz w:val="28"/>
      <w:szCs w:val="28"/>
    </w:rPr>
  </w:style>
  <w:style w:type="paragraph" w:customStyle="1" w:styleId="285">
    <w:name w:val="编写建议"/>
    <w:basedOn w:val="1"/>
    <w:uiPriority w:val="0"/>
    <w:pPr>
      <w:autoSpaceDE w:val="0"/>
      <w:autoSpaceDN w:val="0"/>
      <w:adjustRightInd w:val="0"/>
      <w:spacing w:line="360" w:lineRule="auto"/>
      <w:ind w:firstLine="420"/>
      <w:jc w:val="left"/>
    </w:pPr>
    <w:rPr>
      <w:rFonts w:ascii="Arial" w:hAnsi="Arial" w:cs="Arial"/>
      <w:i/>
      <w:snapToGrid w:val="0"/>
      <w:color w:val="0000FF"/>
      <w:kern w:val="0"/>
      <w:szCs w:val="21"/>
    </w:rPr>
  </w:style>
  <w:style w:type="paragraph" w:customStyle="1" w:styleId="286">
    <w:name w:val="默认段落字体 Para Char Char Char Char Char Char Char"/>
    <w:basedOn w:val="1"/>
    <w:uiPriority w:val="0"/>
    <w:rPr>
      <w:rFonts w:ascii="Verdana" w:hAnsi="Verdana" w:eastAsia="楷体_GB2312"/>
      <w:b/>
      <w:i/>
      <w:iCs/>
      <w:color w:val="000000"/>
      <w:kern w:val="0"/>
      <w:sz w:val="20"/>
      <w:szCs w:val="20"/>
      <w:lang w:eastAsia="en-US"/>
    </w:rPr>
  </w:style>
  <w:style w:type="paragraph" w:customStyle="1" w:styleId="287">
    <w:name w:val="xl94"/>
    <w:basedOn w:val="1"/>
    <w:uiPriority w:val="0"/>
    <w:pPr>
      <w:widowControl/>
      <w:spacing w:before="100" w:beforeAutospacing="1" w:afterAutospacing="1"/>
      <w:jc w:val="center"/>
      <w:textAlignment w:val="center"/>
    </w:pPr>
    <w:rPr>
      <w:rFonts w:ascii="宋体" w:hAnsi="宋体" w:cs="宋体"/>
      <w:b/>
      <w:bCs/>
      <w:kern w:val="0"/>
      <w:sz w:val="20"/>
      <w:szCs w:val="20"/>
    </w:rPr>
  </w:style>
  <w:style w:type="paragraph" w:customStyle="1" w:styleId="288">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89">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right"/>
      <w:textAlignment w:val="center"/>
    </w:pPr>
    <w:rPr>
      <w:rFonts w:ascii="宋体" w:hAnsi="宋体"/>
      <w:kern w:val="0"/>
      <w:sz w:val="28"/>
      <w:szCs w:val="28"/>
    </w:rPr>
  </w:style>
  <w:style w:type="paragraph" w:customStyle="1" w:styleId="290">
    <w:name w:val="四级无"/>
    <w:basedOn w:val="1"/>
    <w:uiPriority w:val="0"/>
    <w:pPr>
      <w:widowControl/>
      <w:tabs>
        <w:tab w:val="left" w:pos="2100"/>
      </w:tabs>
      <w:ind w:left="2100" w:hanging="420"/>
      <w:jc w:val="left"/>
      <w:outlineLvl w:val="5"/>
    </w:pPr>
    <w:rPr>
      <w:rFonts w:ascii="宋体"/>
      <w:kern w:val="0"/>
      <w:szCs w:val="21"/>
    </w:rPr>
  </w:style>
  <w:style w:type="paragraph" w:customStyle="1" w:styleId="291">
    <w:name w:val="_标题4"/>
    <w:basedOn w:val="5"/>
    <w:next w:val="195"/>
    <w:uiPriority w:val="0"/>
    <w:pPr>
      <w:tabs>
        <w:tab w:val="left" w:pos="2160"/>
      </w:tabs>
      <w:spacing w:after="0" w:line="372" w:lineRule="auto"/>
      <w:ind w:left="3402" w:hanging="3402"/>
    </w:pPr>
    <w:rPr>
      <w:rFonts w:ascii="Tahoma" w:hAnsi="Tahoma" w:eastAsia="黑体"/>
    </w:rPr>
  </w:style>
  <w:style w:type="paragraph" w:customStyle="1" w:styleId="292">
    <w:name w:val="font10"/>
    <w:basedOn w:val="1"/>
    <w:uiPriority w:val="0"/>
    <w:pPr>
      <w:widowControl/>
      <w:spacing w:before="100" w:beforeAutospacing="1" w:afterAutospacing="1"/>
      <w:jc w:val="left"/>
    </w:pPr>
    <w:rPr>
      <w:rFonts w:ascii="宋体" w:hAnsi="宋体" w:cs="宋体"/>
      <w:kern w:val="0"/>
      <w:sz w:val="18"/>
      <w:szCs w:val="18"/>
    </w:rPr>
  </w:style>
  <w:style w:type="paragraph" w:customStyle="1" w:styleId="293">
    <w:name w:val="代码表标题"/>
    <w:uiPriority w:val="0"/>
    <w:pPr>
      <w:spacing w:line="360" w:lineRule="auto"/>
      <w:ind w:left="1800" w:firstLine="578"/>
      <w:jc w:val="center"/>
    </w:pPr>
    <w:rPr>
      <w:rFonts w:eastAsia="黑体"/>
      <w:kern w:val="2"/>
      <w:sz w:val="21"/>
      <w:szCs w:val="24"/>
      <w:lang w:val="en-US" w:eastAsia="zh-CN" w:bidi="ar-SA"/>
    </w:rPr>
  </w:style>
  <w:style w:type="paragraph" w:customStyle="1" w:styleId="294">
    <w:name w:val="xl75"/>
    <w:basedOn w:val="1"/>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color w:val="000000"/>
      <w:kern w:val="0"/>
      <w:sz w:val="20"/>
      <w:szCs w:val="20"/>
    </w:rPr>
  </w:style>
  <w:style w:type="paragraph" w:customStyle="1" w:styleId="295">
    <w:name w:val="标题 21"/>
    <w:basedOn w:val="1"/>
    <w:uiPriority w:val="0"/>
    <w:pPr>
      <w:spacing w:afterLines="100" w:line="360" w:lineRule="auto"/>
    </w:pPr>
    <w:rPr>
      <w:sz w:val="24"/>
    </w:rPr>
  </w:style>
  <w:style w:type="paragraph" w:customStyle="1" w:styleId="296">
    <w:name w:val="项目"/>
    <w:basedOn w:val="195"/>
    <w:uiPriority w:val="0"/>
    <w:pPr>
      <w:spacing w:beforeLines="0" w:afterLines="0"/>
      <w:ind w:firstLine="0" w:firstLineChars="0"/>
    </w:pPr>
    <w:rPr>
      <w:rFonts w:ascii="宋体" w:hAnsi="宋体"/>
      <w:sz w:val="24"/>
    </w:rPr>
  </w:style>
  <w:style w:type="paragraph" w:customStyle="1" w:styleId="297">
    <w:name w:val="TOC 标题1"/>
    <w:basedOn w:val="2"/>
    <w:next w:val="1"/>
    <w:unhideWhenUsed/>
    <w:qFormat/>
    <w:uiPriority w:val="39"/>
    <w:pPr>
      <w:widowControl/>
      <w:tabs>
        <w:tab w:val="left" w:pos="2694"/>
      </w:tabs>
      <w:spacing w:before="480" w:after="0" w:line="276" w:lineRule="auto"/>
      <w:jc w:val="left"/>
      <w:outlineLvl w:val="9"/>
    </w:pPr>
    <w:rPr>
      <w:rFonts w:ascii="Cambria" w:hAnsi="Cambria" w:cs="黑体"/>
      <w:color w:val="365F90"/>
      <w:kern w:val="0"/>
      <w:sz w:val="28"/>
      <w:szCs w:val="28"/>
    </w:rPr>
  </w:style>
  <w:style w:type="paragraph" w:customStyle="1" w:styleId="298">
    <w:name w:val="列出段落1"/>
    <w:basedOn w:val="1"/>
    <w:qFormat/>
    <w:uiPriority w:val="34"/>
    <w:pPr>
      <w:ind w:firstLine="420" w:firstLineChars="200"/>
    </w:pPr>
    <w:rPr>
      <w:rFonts w:ascii="Calibri" w:hAnsi="Calibri"/>
      <w:szCs w:val="22"/>
    </w:rPr>
  </w:style>
  <w:style w:type="paragraph" w:customStyle="1" w:styleId="299">
    <w:name w:val="f1"/>
    <w:basedOn w:val="1"/>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300">
    <w:name w:val="xl122"/>
    <w:basedOn w:val="1"/>
    <w:uiPriority w:val="0"/>
    <w:pPr>
      <w:widowControl/>
      <w:pBdr>
        <w:top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301">
    <w:name w:val="xl110"/>
    <w:basedOn w:val="1"/>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02">
    <w:name w:val="图题"/>
    <w:basedOn w:val="1"/>
    <w:next w:val="1"/>
    <w:uiPriority w:val="0"/>
    <w:pPr>
      <w:widowControl/>
      <w:tabs>
        <w:tab w:val="left" w:pos="0"/>
      </w:tabs>
      <w:autoSpaceDN w:val="0"/>
      <w:spacing w:line="300" w:lineRule="auto"/>
      <w:jc w:val="center"/>
    </w:pPr>
    <w:rPr>
      <w:rFonts w:ascii="宋体" w:hAnsi="宋体"/>
      <w:kern w:val="0"/>
      <w:sz w:val="24"/>
    </w:rPr>
  </w:style>
  <w:style w:type="paragraph" w:customStyle="1" w:styleId="303">
    <w:name w:val="xl58"/>
    <w:basedOn w:val="1"/>
    <w:uiPriority w:val="0"/>
    <w:pPr>
      <w:widowControl/>
      <w:spacing w:before="100" w:beforeAutospacing="1" w:afterAutospacing="1"/>
      <w:jc w:val="left"/>
      <w:textAlignment w:val="center"/>
    </w:pPr>
    <w:rPr>
      <w:rFonts w:ascii="宋体" w:hAnsi="宋体"/>
      <w:b/>
      <w:bCs/>
      <w:kern w:val="0"/>
      <w:sz w:val="24"/>
    </w:rPr>
  </w:style>
  <w:style w:type="paragraph" w:customStyle="1" w:styleId="304">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05">
    <w:name w:val="CM37"/>
    <w:basedOn w:val="306"/>
    <w:next w:val="306"/>
    <w:uiPriority w:val="0"/>
    <w:pPr>
      <w:spacing w:after="533"/>
    </w:pPr>
    <w:rPr>
      <w:rFonts w:ascii="宋体" w:hAnsi="Times New Roman"/>
      <w:color w:val="auto"/>
    </w:rPr>
  </w:style>
  <w:style w:type="paragraph" w:customStyle="1" w:styleId="306">
    <w:name w:val="Default"/>
    <w:uiPriority w:val="0"/>
    <w:pPr>
      <w:widowControl w:val="0"/>
      <w:autoSpaceDE w:val="0"/>
      <w:autoSpaceDN w:val="0"/>
      <w:adjustRightInd w:val="0"/>
      <w:spacing w:line="360" w:lineRule="auto"/>
      <w:ind w:firstLine="578"/>
    </w:pPr>
    <w:rPr>
      <w:rFonts w:ascii="Arial Unicode MS" w:hAnsi="Arial Unicode MS"/>
      <w:color w:val="000000"/>
      <w:sz w:val="24"/>
      <w:szCs w:val="24"/>
      <w:lang w:val="en-US" w:eastAsia="zh-CN" w:bidi="ar-SA"/>
    </w:rPr>
  </w:style>
  <w:style w:type="paragraph" w:customStyle="1" w:styleId="307">
    <w:name w:val="xl53"/>
    <w:basedOn w:val="1"/>
    <w:uiPriority w:val="0"/>
    <w:pPr>
      <w:widowControl/>
      <w:pBdr>
        <w:top w:val="single" w:color="auto" w:sz="4" w:space="0"/>
        <w:left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308">
    <w:name w:val="xl71"/>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right"/>
      <w:textAlignment w:val="center"/>
    </w:pPr>
    <w:rPr>
      <w:rFonts w:ascii="宋体" w:hAnsi="宋体" w:cs="宋体"/>
      <w:kern w:val="0"/>
      <w:sz w:val="20"/>
      <w:szCs w:val="20"/>
    </w:rPr>
  </w:style>
  <w:style w:type="paragraph" w:customStyle="1" w:styleId="309">
    <w:name w:val="xl60"/>
    <w:basedOn w:val="1"/>
    <w:uiPriority w:val="0"/>
    <w:pPr>
      <w:widowControl/>
      <w:spacing w:before="100" w:beforeAutospacing="1" w:afterAutospacing="1"/>
      <w:jc w:val="center"/>
      <w:textAlignment w:val="center"/>
    </w:pPr>
    <w:rPr>
      <w:rFonts w:ascii="宋体" w:hAnsi="宋体"/>
      <w:kern w:val="0"/>
      <w:sz w:val="24"/>
    </w:rPr>
  </w:style>
  <w:style w:type="paragraph" w:customStyle="1" w:styleId="310">
    <w:name w:val="xl28"/>
    <w:basedOn w:val="1"/>
    <w:uiPriority w:val="0"/>
    <w:pPr>
      <w:widowControl/>
      <w:spacing w:before="100" w:beforeAutospacing="1" w:afterAutospacing="1"/>
      <w:jc w:val="center"/>
    </w:pPr>
    <w:rPr>
      <w:kern w:val="0"/>
      <w:sz w:val="28"/>
      <w:szCs w:val="28"/>
    </w:rPr>
  </w:style>
  <w:style w:type="paragraph" w:customStyle="1" w:styleId="311">
    <w:name w:val="font13"/>
    <w:basedOn w:val="1"/>
    <w:uiPriority w:val="0"/>
    <w:pPr>
      <w:widowControl/>
      <w:spacing w:before="100" w:beforeAutospacing="1" w:afterAutospacing="1"/>
      <w:jc w:val="left"/>
    </w:pPr>
    <w:rPr>
      <w:rFonts w:hint="eastAsia" w:ascii="宋体" w:hAnsi="宋体"/>
      <w:color w:val="000000"/>
      <w:kern w:val="0"/>
      <w:sz w:val="28"/>
      <w:szCs w:val="28"/>
    </w:rPr>
  </w:style>
  <w:style w:type="paragraph" w:customStyle="1" w:styleId="312">
    <w:name w:val="xl44"/>
    <w:basedOn w:val="1"/>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textAlignment w:val="center"/>
    </w:pPr>
    <w:rPr>
      <w:kern w:val="0"/>
      <w:sz w:val="28"/>
      <w:szCs w:val="28"/>
    </w:rPr>
  </w:style>
  <w:style w:type="paragraph" w:customStyle="1" w:styleId="313">
    <w:name w:val="附录标识"/>
    <w:basedOn w:val="314"/>
    <w:qFormat/>
    <w:uiPriority w:val="0"/>
    <w:pPr>
      <w:numPr>
        <w:ilvl w:val="0"/>
        <w:numId w:val="3"/>
      </w:numPr>
      <w:tabs>
        <w:tab w:val="left" w:pos="6405"/>
      </w:tabs>
      <w:spacing w:after="200" w:line="240" w:lineRule="auto"/>
    </w:pPr>
    <w:rPr>
      <w:sz w:val="21"/>
    </w:rPr>
  </w:style>
  <w:style w:type="paragraph" w:customStyle="1" w:styleId="314">
    <w:name w:val="前言、引言标题"/>
    <w:next w:val="1"/>
    <w:qFormat/>
    <w:uiPriority w:val="0"/>
    <w:pPr>
      <w:shd w:val="clear" w:color="FFFFFF" w:fill="FFFFFF"/>
      <w:tabs>
        <w:tab w:val="left" w:pos="360"/>
      </w:tabs>
      <w:spacing w:before="640" w:after="560" w:line="360" w:lineRule="auto"/>
      <w:jc w:val="center"/>
      <w:outlineLvl w:val="0"/>
    </w:pPr>
    <w:rPr>
      <w:rFonts w:ascii="黑体" w:eastAsia="黑体"/>
      <w:sz w:val="32"/>
      <w:lang w:val="en-US" w:eastAsia="zh-CN" w:bidi="ar-SA"/>
    </w:rPr>
  </w:style>
  <w:style w:type="paragraph" w:customStyle="1" w:styleId="315">
    <w:name w:val="postmetadata"/>
    <w:basedOn w:val="1"/>
    <w:uiPriority w:val="0"/>
    <w:pPr>
      <w:widowControl/>
      <w:pBdr>
        <w:bottom w:val="single" w:color="DDDDDD" w:sz="6" w:space="12"/>
      </w:pBdr>
      <w:spacing w:before="153"/>
      <w:jc w:val="right"/>
    </w:pPr>
    <w:rPr>
      <w:rFonts w:ascii="宋体" w:hAnsi="宋体" w:cs="宋体"/>
      <w:kern w:val="0"/>
      <w:sz w:val="24"/>
    </w:rPr>
  </w:style>
  <w:style w:type="paragraph" w:customStyle="1" w:styleId="316">
    <w:name w:val="xl33"/>
    <w:basedOn w:val="1"/>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317">
    <w:name w:val="标准小四"/>
    <w:basedOn w:val="1"/>
    <w:qFormat/>
    <w:uiPriority w:val="0"/>
    <w:pPr>
      <w:spacing w:line="360" w:lineRule="auto"/>
      <w:ind w:firstLine="480" w:firstLineChars="200"/>
    </w:pPr>
    <w:rPr>
      <w:rFonts w:ascii="Arial" w:hAnsi="Arial"/>
      <w:sz w:val="24"/>
    </w:rPr>
  </w:style>
  <w:style w:type="paragraph" w:customStyle="1" w:styleId="318">
    <w:name w:val="xl92"/>
    <w:basedOn w:val="1"/>
    <w:uiPriority w:val="0"/>
    <w:pPr>
      <w:widowControl/>
      <w:spacing w:before="100" w:beforeAutospacing="1" w:afterAutospacing="1"/>
      <w:jc w:val="center"/>
      <w:textAlignment w:val="center"/>
    </w:pPr>
    <w:rPr>
      <w:rFonts w:ascii="宋体" w:hAnsi="宋体" w:cs="宋体"/>
      <w:kern w:val="0"/>
      <w:sz w:val="20"/>
      <w:szCs w:val="20"/>
    </w:rPr>
  </w:style>
  <w:style w:type="paragraph" w:customStyle="1" w:styleId="319">
    <w:name w:val="_标题2"/>
    <w:basedOn w:val="3"/>
    <w:next w:val="195"/>
    <w:uiPriority w:val="0"/>
    <w:pPr>
      <w:tabs>
        <w:tab w:val="left" w:pos="860"/>
      </w:tabs>
      <w:spacing w:beforeLines="50" w:after="0" w:afterLines="50" w:line="413" w:lineRule="auto"/>
      <w:ind w:left="1418" w:hanging="1418"/>
    </w:pPr>
    <w:rPr>
      <w:rFonts w:ascii="Tahoma" w:hAnsi="Tahoma"/>
    </w:rPr>
  </w:style>
  <w:style w:type="paragraph" w:customStyle="1" w:styleId="320">
    <w:name w:val="正文 + 宋体"/>
    <w:basedOn w:val="1"/>
    <w:uiPriority w:val="0"/>
    <w:pPr>
      <w:adjustRightInd w:val="0"/>
      <w:spacing w:line="360" w:lineRule="auto"/>
      <w:ind w:firstLine="200" w:firstLineChars="200"/>
      <w:textAlignment w:val="baseline"/>
    </w:pPr>
    <w:rPr>
      <w:rFonts w:ascii="宋体"/>
      <w:kern w:val="0"/>
      <w:szCs w:val="21"/>
    </w:rPr>
  </w:style>
  <w:style w:type="paragraph" w:customStyle="1" w:styleId="321">
    <w:name w:val="xl96"/>
    <w:basedOn w:val="1"/>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center"/>
      <w:textAlignment w:val="center"/>
    </w:pPr>
    <w:rPr>
      <w:rFonts w:ascii="宋体" w:hAnsi="宋体" w:cs="宋体"/>
      <w:b/>
      <w:bCs/>
      <w:kern w:val="0"/>
      <w:sz w:val="20"/>
      <w:szCs w:val="20"/>
    </w:rPr>
  </w:style>
  <w:style w:type="paragraph" w:customStyle="1" w:styleId="322">
    <w:name w:val="五级条标题"/>
    <w:basedOn w:val="323"/>
    <w:next w:val="1"/>
    <w:qFormat/>
    <w:uiPriority w:val="0"/>
    <w:pPr>
      <w:numPr>
        <w:ilvl w:val="6"/>
        <w:numId w:val="0"/>
      </w:numPr>
      <w:tabs>
        <w:tab w:val="left" w:pos="360"/>
      </w:tabs>
      <w:outlineLvl w:val="6"/>
    </w:pPr>
  </w:style>
  <w:style w:type="paragraph" w:customStyle="1" w:styleId="323">
    <w:name w:val="四级条标题"/>
    <w:basedOn w:val="324"/>
    <w:next w:val="1"/>
    <w:qFormat/>
    <w:uiPriority w:val="0"/>
    <w:pPr>
      <w:numPr>
        <w:ilvl w:val="5"/>
        <w:numId w:val="0"/>
      </w:numPr>
      <w:tabs>
        <w:tab w:val="left" w:pos="360"/>
      </w:tabs>
      <w:outlineLvl w:val="5"/>
    </w:pPr>
  </w:style>
  <w:style w:type="paragraph" w:customStyle="1" w:styleId="324">
    <w:name w:val="三级条标题"/>
    <w:basedOn w:val="325"/>
    <w:next w:val="1"/>
    <w:qFormat/>
    <w:uiPriority w:val="0"/>
    <w:pPr>
      <w:numPr>
        <w:ilvl w:val="4"/>
        <w:numId w:val="0"/>
      </w:numPr>
      <w:tabs>
        <w:tab w:val="left" w:pos="360"/>
      </w:tabs>
      <w:outlineLvl w:val="4"/>
    </w:pPr>
  </w:style>
  <w:style w:type="paragraph" w:customStyle="1" w:styleId="325">
    <w:name w:val="二级条标题"/>
    <w:basedOn w:val="269"/>
    <w:next w:val="1"/>
    <w:qFormat/>
    <w:uiPriority w:val="0"/>
    <w:pPr>
      <w:numPr>
        <w:ilvl w:val="3"/>
        <w:numId w:val="0"/>
      </w:numPr>
      <w:outlineLvl w:val="3"/>
    </w:pPr>
  </w:style>
  <w:style w:type="paragraph" w:customStyle="1" w:styleId="326">
    <w:name w:val="TOC 标题2"/>
    <w:basedOn w:val="2"/>
    <w:next w:val="1"/>
    <w:qFormat/>
    <w:uiPriority w:val="39"/>
    <w:pPr>
      <w:widowControl/>
      <w:tabs>
        <w:tab w:val="left" w:pos="2694"/>
      </w:tabs>
      <w:spacing w:before="480" w:after="0" w:line="276" w:lineRule="auto"/>
      <w:jc w:val="left"/>
      <w:outlineLvl w:val="9"/>
    </w:pPr>
    <w:rPr>
      <w:rFonts w:ascii="Cambria" w:hAnsi="Cambria"/>
      <w:color w:val="365F91"/>
      <w:kern w:val="0"/>
      <w:sz w:val="28"/>
      <w:szCs w:val="28"/>
      <w:lang w:val="zh-CN"/>
    </w:rPr>
  </w:style>
  <w:style w:type="paragraph" w:customStyle="1" w:styleId="327">
    <w:name w:val="附录"/>
    <w:basedOn w:val="45"/>
    <w:next w:val="47"/>
    <w:qFormat/>
    <w:uiPriority w:val="0"/>
    <w:pPr>
      <w:jc w:val="left"/>
    </w:pPr>
    <w:rPr>
      <w:rFonts w:ascii="Arial" w:hAnsi="Arial" w:eastAsia="仿宋_GB2312"/>
      <w:kern w:val="0"/>
      <w:sz w:val="36"/>
      <w:lang w:val="zh-CN"/>
    </w:rPr>
  </w:style>
  <w:style w:type="paragraph" w:customStyle="1" w:styleId="328">
    <w:name w:val="xl51"/>
    <w:basedOn w:val="1"/>
    <w:uiPriority w:val="0"/>
    <w:pPr>
      <w:widowControl/>
      <w:pBdr>
        <w:top w:val="single" w:color="auto" w:sz="4" w:space="0"/>
        <w:bottom w:val="single" w:color="auto" w:sz="4" w:space="0"/>
      </w:pBdr>
      <w:spacing w:before="100" w:beforeAutospacing="1" w:afterAutospacing="1"/>
      <w:jc w:val="center"/>
    </w:pPr>
    <w:rPr>
      <w:rFonts w:ascii="宋体" w:hAnsi="宋体"/>
      <w:kern w:val="0"/>
      <w:sz w:val="28"/>
      <w:szCs w:val="28"/>
    </w:rPr>
  </w:style>
  <w:style w:type="paragraph" w:customStyle="1" w:styleId="329">
    <w:name w:val="标题 12"/>
    <w:basedOn w:val="1"/>
    <w:uiPriority w:val="0"/>
    <w:pPr>
      <w:spacing w:afterLines="100" w:line="360" w:lineRule="auto"/>
    </w:pPr>
    <w:rPr>
      <w:sz w:val="24"/>
    </w:rPr>
  </w:style>
  <w:style w:type="paragraph" w:customStyle="1" w:styleId="330">
    <w:name w:val="正文 New New New New"/>
    <w:uiPriority w:val="0"/>
    <w:pPr>
      <w:widowControl w:val="0"/>
      <w:jc w:val="both"/>
    </w:pPr>
    <w:rPr>
      <w:szCs w:val="24"/>
      <w:lang w:val="en-US" w:eastAsia="zh-CN" w:bidi="ar-SA"/>
    </w:rPr>
  </w:style>
  <w:style w:type="paragraph" w:customStyle="1" w:styleId="331">
    <w:name w:val="_题注"/>
    <w:basedOn w:val="15"/>
    <w:uiPriority w:val="0"/>
    <w:pPr>
      <w:spacing w:before="0" w:after="0" w:afterLines="100"/>
      <w:jc w:val="center"/>
    </w:pPr>
    <w:rPr>
      <w:sz w:val="21"/>
      <w:szCs w:val="24"/>
    </w:rPr>
  </w:style>
  <w:style w:type="paragraph" w:customStyle="1" w:styleId="332">
    <w:name w:val="big"/>
    <w:basedOn w:val="1"/>
    <w:uiPriority w:val="0"/>
    <w:pPr>
      <w:widowControl/>
      <w:spacing w:before="100" w:beforeAutospacing="1" w:after="100" w:afterAutospacing="1"/>
      <w:jc w:val="left"/>
    </w:pPr>
    <w:rPr>
      <w:rFonts w:ascii="宋体" w:hAnsi="宋体"/>
      <w:kern w:val="0"/>
      <w:sz w:val="24"/>
    </w:rPr>
  </w:style>
  <w:style w:type="paragraph" w:customStyle="1" w:styleId="333">
    <w:name w:val="font7"/>
    <w:basedOn w:val="1"/>
    <w:uiPriority w:val="0"/>
    <w:pPr>
      <w:widowControl/>
      <w:spacing w:before="100" w:beforeAutospacing="1" w:afterAutospacing="1"/>
      <w:jc w:val="left"/>
    </w:pPr>
    <w:rPr>
      <w:rFonts w:ascii="宋体" w:hAnsi="宋体" w:cs="宋体"/>
      <w:kern w:val="0"/>
      <w:sz w:val="20"/>
      <w:szCs w:val="20"/>
    </w:rPr>
  </w:style>
  <w:style w:type="paragraph" w:customStyle="1" w:styleId="334">
    <w:name w:val="列出段落3"/>
    <w:basedOn w:val="1"/>
    <w:qFormat/>
    <w:uiPriority w:val="0"/>
    <w:pPr>
      <w:ind w:firstLine="420" w:firstLineChars="200"/>
    </w:pPr>
    <w:rPr>
      <w:rFonts w:ascii="Calibri" w:hAnsi="Calibri" w:cs="Calibri"/>
      <w:szCs w:val="21"/>
    </w:rPr>
  </w:style>
  <w:style w:type="paragraph" w:customStyle="1" w:styleId="335">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kern w:val="0"/>
      <w:sz w:val="28"/>
      <w:szCs w:val="28"/>
    </w:rPr>
  </w:style>
  <w:style w:type="paragraph" w:customStyle="1" w:styleId="336">
    <w:name w:val="xl24"/>
    <w:basedOn w:val="1"/>
    <w:uiPriority w:val="0"/>
    <w:pPr>
      <w:widowControl/>
      <w:spacing w:before="100" w:beforeAutospacing="1" w:afterAutospacing="1"/>
      <w:jc w:val="center"/>
    </w:pPr>
    <w:rPr>
      <w:rFonts w:ascii="宋体" w:hAnsi="宋体"/>
      <w:kern w:val="0"/>
      <w:sz w:val="24"/>
    </w:rPr>
  </w:style>
  <w:style w:type="paragraph" w:customStyle="1" w:styleId="337">
    <w:name w:val="正文段"/>
    <w:basedOn w:val="1"/>
    <w:uiPriority w:val="0"/>
    <w:pPr>
      <w:widowControl/>
      <w:snapToGrid w:val="0"/>
      <w:spacing w:after="156" w:afterLines="50"/>
      <w:ind w:firstLine="200" w:firstLineChars="200"/>
    </w:pPr>
    <w:rPr>
      <w:kern w:val="0"/>
      <w:sz w:val="24"/>
      <w:szCs w:val="20"/>
    </w:rPr>
  </w:style>
  <w:style w:type="paragraph" w:customStyle="1" w:styleId="338">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39">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0">
    <w:name w:val="Char2"/>
    <w:basedOn w:val="1"/>
    <w:uiPriority w:val="0"/>
    <w:rPr>
      <w:rFonts w:ascii="Tahoma" w:hAnsi="Tahoma"/>
      <w:sz w:val="24"/>
      <w:szCs w:val="20"/>
    </w:rPr>
  </w:style>
  <w:style w:type="paragraph" w:customStyle="1" w:styleId="341">
    <w:name w:val="xl70"/>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center"/>
      <w:textAlignment w:val="center"/>
    </w:pPr>
    <w:rPr>
      <w:rFonts w:ascii="宋体" w:hAnsi="宋体" w:cs="宋体"/>
      <w:b/>
      <w:bCs/>
      <w:kern w:val="0"/>
      <w:sz w:val="20"/>
      <w:szCs w:val="20"/>
    </w:rPr>
  </w:style>
  <w:style w:type="paragraph" w:customStyle="1" w:styleId="342">
    <w:name w:val="普通正文"/>
    <w:basedOn w:val="1"/>
    <w:uiPriority w:val="0"/>
    <w:pPr>
      <w:adjustRightInd w:val="0"/>
      <w:spacing w:before="120" w:line="360" w:lineRule="auto"/>
      <w:ind w:firstLine="200" w:firstLineChars="200"/>
      <w:jc w:val="left"/>
      <w:textAlignment w:val="baseline"/>
    </w:pPr>
    <w:rPr>
      <w:rFonts w:ascii="Arial" w:hAnsi="Arial"/>
      <w:sz w:val="24"/>
    </w:rPr>
  </w:style>
  <w:style w:type="paragraph" w:customStyle="1" w:styleId="343">
    <w:name w:val="font12"/>
    <w:basedOn w:val="1"/>
    <w:uiPriority w:val="0"/>
    <w:pPr>
      <w:widowControl/>
      <w:spacing w:before="100" w:beforeAutospacing="1" w:afterAutospacing="1"/>
      <w:jc w:val="left"/>
    </w:pPr>
    <w:rPr>
      <w:color w:val="000000"/>
      <w:kern w:val="0"/>
      <w:sz w:val="28"/>
      <w:szCs w:val="28"/>
    </w:rPr>
  </w:style>
  <w:style w:type="paragraph" w:customStyle="1" w:styleId="344">
    <w:name w:val="样式 标题 5口H5PIM 5h5Level 3 - iheading 51.1.1.1.1标题 5标ghfhg..."/>
    <w:basedOn w:val="6"/>
    <w:uiPriority w:val="0"/>
    <w:pPr>
      <w:adjustRightInd w:val="0"/>
      <w:spacing w:line="376" w:lineRule="atLeast"/>
      <w:ind w:left="992" w:hanging="420"/>
      <w:textAlignment w:val="baseline"/>
    </w:pPr>
    <w:rPr>
      <w:color w:val="000000"/>
      <w:kern w:val="0"/>
      <w:sz w:val="24"/>
      <w:szCs w:val="20"/>
    </w:rPr>
  </w:style>
  <w:style w:type="paragraph" w:customStyle="1" w:styleId="345">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346">
    <w:name w:val="标题 11"/>
    <w:basedOn w:val="1"/>
    <w:uiPriority w:val="0"/>
    <w:pPr>
      <w:spacing w:afterLines="100" w:line="360" w:lineRule="auto"/>
    </w:pPr>
    <w:rPr>
      <w:sz w:val="24"/>
    </w:rPr>
  </w:style>
  <w:style w:type="paragraph" w:customStyle="1" w:styleId="347">
    <w:name w:val="xl102"/>
    <w:basedOn w:val="1"/>
    <w:uiPriority w:val="0"/>
    <w:pPr>
      <w:widowControl/>
      <w:pBdr>
        <w:top w:val="single" w:color="auto" w:sz="4" w:space="0"/>
        <w:left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8">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349">
    <w:name w:val="样式2"/>
    <w:basedOn w:val="1"/>
    <w:uiPriority w:val="0"/>
    <w:pPr>
      <w:adjustRightInd w:val="0"/>
      <w:spacing w:before="60" w:line="360" w:lineRule="atLeast"/>
      <w:ind w:left="425" w:hanging="425"/>
      <w:textAlignment w:val="baseline"/>
    </w:pPr>
    <w:rPr>
      <w:kern w:val="0"/>
      <w:sz w:val="24"/>
      <w:szCs w:val="20"/>
    </w:rPr>
  </w:style>
  <w:style w:type="paragraph" w:customStyle="1" w:styleId="350">
    <w:name w:val=" Char1"/>
    <w:basedOn w:val="1"/>
    <w:uiPriority w:val="0"/>
    <w:rPr>
      <w:rFonts w:ascii="Tahoma" w:hAnsi="Tahoma"/>
      <w:sz w:val="24"/>
      <w:szCs w:val="20"/>
    </w:rPr>
  </w:style>
  <w:style w:type="paragraph" w:customStyle="1" w:styleId="351">
    <w:name w:val="附录五级条标题"/>
    <w:basedOn w:val="239"/>
    <w:next w:val="170"/>
    <w:qFormat/>
    <w:uiPriority w:val="0"/>
    <w:pPr>
      <w:numPr>
        <w:ilvl w:val="6"/>
        <w:numId w:val="3"/>
      </w:numPr>
      <w:outlineLvl w:val="6"/>
    </w:pPr>
  </w:style>
  <w:style w:type="paragraph" w:customStyle="1" w:styleId="352">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53">
    <w:name w:val="xl99"/>
    <w:basedOn w:val="1"/>
    <w:uiPriority w:val="0"/>
    <w:pPr>
      <w:widowControl/>
      <w:pBdr>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4">
    <w:name w:val="xl91"/>
    <w:basedOn w:val="1"/>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5">
    <w:name w:val="bodytext"/>
    <w:basedOn w:val="1"/>
    <w:uiPriority w:val="0"/>
    <w:pPr>
      <w:widowControl/>
      <w:spacing w:before="140" w:line="360" w:lineRule="auto"/>
      <w:ind w:firstLine="420"/>
      <w:jc w:val="left"/>
    </w:pPr>
    <w:rPr>
      <w:rFonts w:ascii="宋体" w:hAnsi="宋体"/>
      <w:kern w:val="0"/>
      <w:szCs w:val="21"/>
    </w:rPr>
  </w:style>
  <w:style w:type="paragraph" w:customStyle="1" w:styleId="356">
    <w:name w:val="默认段落字体 Para Char Char Char Char Char Char Char Char Char1 Char Char Char Char"/>
    <w:basedOn w:val="1"/>
    <w:uiPriority w:val="0"/>
    <w:rPr>
      <w:rFonts w:ascii="Tahoma" w:hAnsi="Tahoma"/>
      <w:sz w:val="24"/>
      <w:szCs w:val="20"/>
    </w:rPr>
  </w:style>
  <w:style w:type="paragraph" w:customStyle="1" w:styleId="357">
    <w:name w:val="Main Title"/>
    <w:basedOn w:val="1"/>
    <w:uiPriority w:val="0"/>
    <w:pPr>
      <w:spacing w:before="480" w:afterLines="50"/>
      <w:jc w:val="center"/>
    </w:pPr>
    <w:rPr>
      <w:rFonts w:ascii="Arial" w:hAnsi="Arial"/>
      <w:b/>
      <w:kern w:val="28"/>
      <w:sz w:val="32"/>
      <w:szCs w:val="20"/>
      <w:lang w:eastAsia="en-US"/>
    </w:rPr>
  </w:style>
  <w:style w:type="paragraph" w:customStyle="1" w:styleId="358">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359">
    <w:name w:val="Char Char1 Char"/>
    <w:basedOn w:val="1"/>
    <w:uiPriority w:val="0"/>
    <w:pPr>
      <w:spacing w:line="360" w:lineRule="auto"/>
    </w:pPr>
    <w:rPr>
      <w:rFonts w:ascii="Tahoma" w:hAnsi="Tahoma"/>
      <w:sz w:val="24"/>
      <w:szCs w:val="20"/>
    </w:rPr>
  </w:style>
  <w:style w:type="paragraph" w:customStyle="1" w:styleId="360">
    <w:name w:val="FR正文1"/>
    <w:basedOn w:val="1"/>
    <w:uiPriority w:val="0"/>
    <w:pPr>
      <w:widowControl/>
      <w:adjustRightInd w:val="0"/>
      <w:snapToGrid w:val="0"/>
      <w:spacing w:line="360" w:lineRule="auto"/>
      <w:ind w:firstLine="425"/>
      <w:jc w:val="left"/>
    </w:pPr>
    <w:rPr>
      <w:rFonts w:eastAsia="仿宋_GB2312"/>
      <w:kern w:val="0"/>
      <w:szCs w:val="20"/>
    </w:rPr>
  </w:style>
  <w:style w:type="paragraph" w:customStyle="1" w:styleId="361">
    <w:name w:val="Char Char1 Char Char Char Char Char Char"/>
    <w:basedOn w:val="1"/>
    <w:uiPriority w:val="0"/>
    <w:pPr>
      <w:widowControl/>
      <w:spacing w:line="240" w:lineRule="exact"/>
      <w:jc w:val="left"/>
    </w:pPr>
    <w:rPr>
      <w:rFonts w:ascii="Verdana" w:hAnsi="Verdana" w:eastAsia="仿宋_GB2312"/>
      <w:kern w:val="0"/>
      <w:sz w:val="24"/>
      <w:szCs w:val="20"/>
      <w:lang w:eastAsia="en-US"/>
    </w:rPr>
  </w:style>
  <w:style w:type="paragraph" w:customStyle="1" w:styleId="362">
    <w:name w:val="xl113"/>
    <w:basedOn w:val="1"/>
    <w:uiPriority w:val="0"/>
    <w:pPr>
      <w:widowControl/>
      <w:spacing w:before="100" w:beforeAutospacing="1" w:afterAutospacing="1"/>
      <w:jc w:val="left"/>
      <w:textAlignment w:val="center"/>
    </w:pPr>
    <w:rPr>
      <w:rFonts w:ascii="宋体" w:hAnsi="宋体" w:cs="宋体"/>
      <w:kern w:val="0"/>
      <w:sz w:val="20"/>
      <w:szCs w:val="20"/>
    </w:rPr>
  </w:style>
  <w:style w:type="paragraph" w:customStyle="1" w:styleId="363">
    <w:name w:val="xl26"/>
    <w:basedOn w:val="1"/>
    <w:uiPriority w:val="0"/>
    <w:pPr>
      <w:widowControl/>
      <w:spacing w:before="100" w:beforeAutospacing="1" w:afterAutospacing="1"/>
      <w:jc w:val="center"/>
    </w:pPr>
    <w:rPr>
      <w:rFonts w:ascii="宋体" w:hAnsi="宋体"/>
      <w:kern w:val="0"/>
      <w:sz w:val="24"/>
    </w:rPr>
  </w:style>
  <w:style w:type="paragraph" w:customStyle="1" w:styleId="364">
    <w:name w:val="样式1"/>
    <w:basedOn w:val="5"/>
    <w:uiPriority w:val="0"/>
    <w:pPr>
      <w:spacing w:line="372" w:lineRule="auto"/>
    </w:pPr>
    <w:rPr>
      <w:rFonts w:ascii="Arial" w:hAnsi="Arial" w:eastAsia="黑体"/>
    </w:rPr>
  </w:style>
  <w:style w:type="paragraph" w:customStyle="1" w:styleId="365">
    <w:name w:val="xl97"/>
    <w:basedOn w:val="1"/>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66">
    <w:name w:val="图名"/>
    <w:basedOn w:val="1"/>
    <w:uiPriority w:val="0"/>
    <w:pPr>
      <w:spacing w:line="360" w:lineRule="auto"/>
      <w:jc w:val="center"/>
    </w:pPr>
    <w:rPr>
      <w:rFonts w:ascii="黑体" w:eastAsia="黑体"/>
      <w:b/>
      <w:sz w:val="32"/>
      <w:szCs w:val="32"/>
    </w:rPr>
  </w:style>
  <w:style w:type="paragraph" w:customStyle="1" w:styleId="367">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68">
    <w:name w:val="此正文"/>
    <w:basedOn w:val="1"/>
    <w:uiPriority w:val="0"/>
    <w:pPr>
      <w:spacing w:line="360" w:lineRule="auto"/>
      <w:ind w:firstLine="200" w:firstLineChars="200"/>
    </w:pPr>
    <w:rPr>
      <w:sz w:val="24"/>
    </w:rPr>
  </w:style>
  <w:style w:type="paragraph" w:customStyle="1" w:styleId="369">
    <w:name w:val="indent"/>
    <w:basedOn w:val="1"/>
    <w:uiPriority w:val="0"/>
    <w:pPr>
      <w:widowControl/>
      <w:spacing w:before="60"/>
      <w:jc w:val="left"/>
    </w:pPr>
    <w:rPr>
      <w:rFonts w:ascii="Verdana" w:hAnsi="Verdana" w:cs="宋体"/>
      <w:color w:val="000000"/>
      <w:kern w:val="0"/>
      <w:sz w:val="18"/>
      <w:szCs w:val="18"/>
    </w:rPr>
  </w:style>
  <w:style w:type="paragraph" w:customStyle="1" w:styleId="370">
    <w:name w:val="Char Char1 Char Char Char Char"/>
    <w:basedOn w:val="16"/>
    <w:uiPriority w:val="0"/>
    <w:pPr>
      <w:spacing w:afterLines="0"/>
      <w:ind w:firstLine="540" w:firstLineChars="0"/>
    </w:pPr>
    <w:rPr>
      <w:rFonts w:eastAsia="仿宋_GB2312"/>
      <w:b/>
      <w:sz w:val="36"/>
      <w:szCs w:val="36"/>
    </w:rPr>
  </w:style>
  <w:style w:type="paragraph" w:customStyle="1" w:styleId="371">
    <w:name w:val="样式 标题 3 +1"/>
    <w:basedOn w:val="4"/>
    <w:uiPriority w:val="0"/>
    <w:pPr>
      <w:tabs>
        <w:tab w:val="clear" w:pos="1740"/>
      </w:tabs>
      <w:spacing w:after="260"/>
      <w:ind w:left="0"/>
      <w:jc w:val="center"/>
    </w:pPr>
    <w:rPr>
      <w:rFonts w:ascii="Calibri" w:hAnsi="Calibri"/>
      <w:kern w:val="0"/>
      <w:sz w:val="28"/>
    </w:rPr>
  </w:style>
  <w:style w:type="paragraph" w:customStyle="1" w:styleId="372">
    <w:name w:val="图"/>
    <w:basedOn w:val="1"/>
    <w:next w:val="9"/>
    <w:uiPriority w:val="0"/>
    <w:pPr>
      <w:tabs>
        <w:tab w:val="left" w:pos="680"/>
      </w:tabs>
      <w:adjustRightInd w:val="0"/>
      <w:spacing w:before="60" w:line="360" w:lineRule="atLeast"/>
      <w:ind w:left="680" w:hanging="680"/>
      <w:jc w:val="center"/>
      <w:textAlignment w:val="baseline"/>
    </w:pPr>
    <w:rPr>
      <w:rFonts w:eastAsia="黑体"/>
      <w:b/>
      <w:sz w:val="24"/>
    </w:rPr>
  </w:style>
  <w:style w:type="paragraph" w:customStyle="1" w:styleId="373">
    <w:name w:val="Char Char Char Char"/>
    <w:basedOn w:val="1"/>
    <w:uiPriority w:val="0"/>
    <w:pPr>
      <w:widowControl/>
      <w:spacing w:line="240" w:lineRule="exact"/>
      <w:jc w:val="left"/>
    </w:pPr>
    <w:rPr>
      <w:rFonts w:ascii="Verdana" w:hAnsi="Verdana"/>
      <w:kern w:val="0"/>
      <w:sz w:val="20"/>
      <w:szCs w:val="20"/>
      <w:lang w:eastAsia="en-US"/>
    </w:rPr>
  </w:style>
  <w:style w:type="paragraph" w:customStyle="1" w:styleId="374">
    <w:name w:val="xl101"/>
    <w:basedOn w:val="1"/>
    <w:uiPriority w:val="0"/>
    <w:pPr>
      <w:widowControl/>
      <w:spacing w:before="100" w:beforeAutospacing="1" w:afterAutospacing="1"/>
      <w:jc w:val="center"/>
      <w:textAlignment w:val="center"/>
    </w:pPr>
    <w:rPr>
      <w:rFonts w:ascii="宋体" w:hAnsi="宋体" w:cs="宋体"/>
      <w:kern w:val="0"/>
      <w:sz w:val="20"/>
      <w:szCs w:val="20"/>
    </w:rPr>
  </w:style>
  <w:style w:type="paragraph" w:customStyle="1" w:styleId="375">
    <w:name w:val="xl32"/>
    <w:basedOn w:val="1"/>
    <w:uiPriority w:val="0"/>
    <w:pPr>
      <w:widowControl/>
      <w:spacing w:before="100" w:beforeAutospacing="1" w:afterAutospacing="1"/>
      <w:jc w:val="left"/>
      <w:textAlignment w:val="center"/>
    </w:pPr>
    <w:rPr>
      <w:rFonts w:ascii="宋体" w:hAnsi="宋体"/>
      <w:kern w:val="0"/>
      <w:sz w:val="28"/>
      <w:szCs w:val="28"/>
    </w:rPr>
  </w:style>
  <w:style w:type="paragraph" w:customStyle="1" w:styleId="376">
    <w:name w:val="CM13"/>
    <w:basedOn w:val="306"/>
    <w:next w:val="306"/>
    <w:uiPriority w:val="0"/>
    <w:pPr>
      <w:spacing w:line="468" w:lineRule="atLeast"/>
    </w:pPr>
    <w:rPr>
      <w:rFonts w:ascii="宋体" w:hAnsi="Times New Roman"/>
      <w:color w:val="auto"/>
    </w:rPr>
  </w:style>
  <w:style w:type="paragraph" w:customStyle="1" w:styleId="377">
    <w:name w:val="xl49"/>
    <w:basedOn w:val="1"/>
    <w:uiPriority w:val="0"/>
    <w:pPr>
      <w:widowControl/>
      <w:pBdr>
        <w:top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378">
    <w:name w:val="Default Paragraph Font Para Char"/>
    <w:basedOn w:val="1"/>
    <w:uiPriority w:val="0"/>
    <w:pPr>
      <w:widowControl/>
      <w:spacing w:line="240" w:lineRule="exact"/>
      <w:jc w:val="left"/>
    </w:pPr>
    <w:rPr>
      <w:rFonts w:ascii="Verdana" w:hAnsi="Verdana"/>
      <w:kern w:val="0"/>
      <w:sz w:val="20"/>
      <w:szCs w:val="20"/>
      <w:lang w:eastAsia="en-US"/>
    </w:rPr>
  </w:style>
  <w:style w:type="paragraph" w:customStyle="1" w:styleId="379">
    <w:name w:val="Char1"/>
    <w:basedOn w:val="1"/>
    <w:uiPriority w:val="0"/>
    <w:pPr>
      <w:widowControl/>
      <w:spacing w:line="240" w:lineRule="exact"/>
      <w:jc w:val="left"/>
    </w:pPr>
    <w:rPr>
      <w:rFonts w:ascii="Verdana" w:hAnsi="Verdana"/>
      <w:kern w:val="0"/>
      <w:szCs w:val="20"/>
      <w:lang w:eastAsia="en-US"/>
    </w:rPr>
  </w:style>
  <w:style w:type="paragraph" w:customStyle="1" w:styleId="380">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81">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82">
    <w:name w:val=" Char"/>
    <w:basedOn w:val="1"/>
    <w:uiPriority w:val="0"/>
    <w:rPr>
      <w:rFonts w:ascii="仿宋_GB2312" w:eastAsia="仿宋_GB2312"/>
      <w:b/>
      <w:sz w:val="32"/>
      <w:szCs w:val="32"/>
    </w:rPr>
  </w:style>
  <w:style w:type="paragraph" w:customStyle="1" w:styleId="383">
    <w:name w:val="ÕýÎÄÊ×ÐÐËõ½ø"/>
    <w:basedOn w:val="1"/>
    <w:uiPriority w:val="0"/>
    <w:pPr>
      <w:widowControl/>
      <w:overflowPunct w:val="0"/>
      <w:autoSpaceDE w:val="0"/>
      <w:autoSpaceDN w:val="0"/>
      <w:adjustRightInd w:val="0"/>
      <w:spacing w:line="360" w:lineRule="auto"/>
      <w:ind w:firstLine="425"/>
      <w:textAlignment w:val="baseline"/>
    </w:pPr>
    <w:rPr>
      <w:kern w:val="0"/>
      <w:szCs w:val="20"/>
    </w:rPr>
  </w:style>
  <w:style w:type="paragraph" w:customStyle="1" w:styleId="384">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85">
    <w:name w:val="xl54"/>
    <w:basedOn w:val="1"/>
    <w:uiPriority w:val="0"/>
    <w:pPr>
      <w:widowControl/>
      <w:pBdr>
        <w:top w:val="single" w:color="auto" w:sz="4" w:space="0"/>
        <w:left w:val="single" w:color="auto" w:sz="8" w:space="0"/>
        <w:bottom w:val="single" w:color="auto" w:sz="8" w:space="0"/>
        <w:right w:val="single" w:color="auto" w:sz="4" w:space="0"/>
      </w:pBdr>
      <w:spacing w:before="100" w:beforeAutospacing="1" w:afterAutospacing="1"/>
      <w:jc w:val="center"/>
    </w:pPr>
    <w:rPr>
      <w:kern w:val="0"/>
      <w:sz w:val="28"/>
      <w:szCs w:val="28"/>
    </w:rPr>
  </w:style>
  <w:style w:type="paragraph" w:customStyle="1" w:styleId="386">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87">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388">
    <w:name w:val="插图"/>
    <w:basedOn w:val="25"/>
    <w:uiPriority w:val="0"/>
    <w:pPr>
      <w:tabs>
        <w:tab w:val="left" w:pos="425"/>
      </w:tabs>
      <w:spacing w:before="0" w:beforeLines="0" w:after="0" w:afterLines="0" w:line="240" w:lineRule="auto"/>
      <w:jc w:val="center"/>
    </w:pPr>
    <w:rPr>
      <w:sz w:val="21"/>
      <w:szCs w:val="21"/>
      <w:lang w:val="en-US" w:eastAsia="zh-CN"/>
    </w:rPr>
  </w:style>
  <w:style w:type="paragraph" w:customStyle="1" w:styleId="389">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olor w:val="000000"/>
      <w:kern w:val="0"/>
      <w:sz w:val="28"/>
      <w:szCs w:val="28"/>
    </w:rPr>
  </w:style>
  <w:style w:type="paragraph" w:customStyle="1" w:styleId="390">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91">
    <w:name w:val="xl29"/>
    <w:basedOn w:val="1"/>
    <w:uiPriority w:val="0"/>
    <w:pPr>
      <w:widowControl/>
      <w:spacing w:before="100" w:beforeAutospacing="1" w:afterAutospacing="1"/>
      <w:jc w:val="left"/>
    </w:pPr>
    <w:rPr>
      <w:rFonts w:ascii="宋体" w:hAnsi="宋体"/>
      <w:kern w:val="0"/>
      <w:sz w:val="28"/>
      <w:szCs w:val="28"/>
    </w:rPr>
  </w:style>
  <w:style w:type="paragraph" w:customStyle="1" w:styleId="392">
    <w:name w:val="xl109"/>
    <w:basedOn w:val="1"/>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93">
    <w:name w:val="content"/>
    <w:basedOn w:val="1"/>
    <w:uiPriority w:val="0"/>
    <w:pPr>
      <w:widowControl/>
      <w:spacing w:before="100" w:beforeAutospacing="1" w:afterLines="100" w:line="300" w:lineRule="atLeast"/>
      <w:jc w:val="left"/>
    </w:pPr>
    <w:rPr>
      <w:rFonts w:ascii="宋体" w:hAnsi="宋体" w:cs="宋体"/>
      <w:color w:val="666666"/>
      <w:kern w:val="0"/>
      <w:sz w:val="24"/>
    </w:rPr>
  </w:style>
  <w:style w:type="paragraph" w:customStyle="1" w:styleId="394">
    <w:name w:val="二级无"/>
    <w:basedOn w:val="325"/>
    <w:uiPriority w:val="0"/>
    <w:pPr>
      <w:numPr>
        <w:ilvl w:val="0"/>
        <w:numId w:val="0"/>
      </w:numPr>
      <w:tabs>
        <w:tab w:val="left" w:pos="1260"/>
        <w:tab w:val="clear" w:pos="360"/>
      </w:tabs>
      <w:spacing w:line="240" w:lineRule="auto"/>
      <w:ind w:left="1260" w:hanging="420"/>
      <w:jc w:val="left"/>
    </w:pPr>
    <w:rPr>
      <w:rFonts w:ascii="宋体" w:eastAsia="宋体"/>
      <w:szCs w:val="21"/>
    </w:rPr>
  </w:style>
  <w:style w:type="paragraph" w:customStyle="1" w:styleId="395">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96">
    <w:name w:val="文档标题"/>
    <w:next w:val="1"/>
    <w:uiPriority w:val="0"/>
    <w:pPr>
      <w:spacing w:beforeLines="50" w:afterLines="100" w:line="360" w:lineRule="auto"/>
      <w:ind w:firstLine="578"/>
      <w:jc w:val="center"/>
      <w:outlineLvl w:val="0"/>
    </w:pPr>
    <w:rPr>
      <w:rFonts w:eastAsia="黑体"/>
      <w:b/>
      <w:spacing w:val="10"/>
      <w:sz w:val="44"/>
      <w:lang w:val="en-US" w:eastAsia="zh-CN" w:bidi="ar-SA"/>
    </w:rPr>
  </w:style>
  <w:style w:type="paragraph" w:customStyle="1" w:styleId="397">
    <w:name w:val="Char Char Char Char Char Char Char Char Char Char Char Char Char"/>
    <w:basedOn w:val="1"/>
    <w:uiPriority w:val="0"/>
    <w:pPr>
      <w:widowControl/>
      <w:spacing w:line="240" w:lineRule="exact"/>
      <w:jc w:val="left"/>
    </w:pPr>
    <w:rPr>
      <w:rFonts w:ascii="Verdana" w:hAnsi="Verdana"/>
      <w:kern w:val="0"/>
      <w:sz w:val="20"/>
      <w:szCs w:val="20"/>
      <w:lang w:eastAsia="en-US"/>
    </w:rPr>
  </w:style>
  <w:style w:type="paragraph" w:customStyle="1" w:styleId="398">
    <w:name w:val="列项·"/>
    <w:uiPriority w:val="0"/>
    <w:pPr>
      <w:tabs>
        <w:tab w:val="left" w:pos="360"/>
        <w:tab w:val="left" w:pos="840"/>
      </w:tabs>
      <w:spacing w:line="360" w:lineRule="auto"/>
      <w:ind w:firstLine="578"/>
      <w:jc w:val="both"/>
    </w:pPr>
    <w:rPr>
      <w:rFonts w:ascii="宋体"/>
      <w:sz w:val="21"/>
      <w:lang w:val="en-US" w:eastAsia="zh-CN" w:bidi="ar-SA"/>
    </w:rPr>
  </w:style>
  <w:style w:type="paragraph" w:customStyle="1" w:styleId="399">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color w:val="000000"/>
      <w:kern w:val="0"/>
      <w:sz w:val="20"/>
      <w:szCs w:val="20"/>
    </w:rPr>
  </w:style>
  <w:style w:type="paragraph" w:customStyle="1" w:styleId="400">
    <w:name w:val="xl59"/>
    <w:basedOn w:val="1"/>
    <w:uiPriority w:val="0"/>
    <w:pPr>
      <w:widowControl/>
      <w:spacing w:before="100" w:beforeAutospacing="1" w:afterAutospacing="1"/>
      <w:jc w:val="left"/>
      <w:textAlignment w:val="center"/>
    </w:pPr>
    <w:rPr>
      <w:rFonts w:ascii="宋体" w:hAnsi="宋体"/>
      <w:kern w:val="0"/>
      <w:sz w:val="24"/>
    </w:rPr>
  </w:style>
  <w:style w:type="paragraph" w:customStyle="1" w:styleId="401">
    <w:name w:val="正文首行缩进1"/>
    <w:basedOn w:val="19"/>
    <w:qFormat/>
    <w:uiPriority w:val="0"/>
    <w:pPr>
      <w:spacing w:after="0" w:line="360" w:lineRule="auto"/>
      <w:ind w:firstLine="200" w:firstLineChars="200"/>
    </w:pPr>
    <w:rPr>
      <w:rFonts w:eastAsia="仿宋_GB2312"/>
    </w:rPr>
  </w:style>
  <w:style w:type="paragraph" w:customStyle="1" w:styleId="402">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403">
    <w:name w:val="_标题1"/>
    <w:basedOn w:val="2"/>
    <w:next w:val="195"/>
    <w:uiPriority w:val="0"/>
    <w:pPr>
      <w:tabs>
        <w:tab w:val="left" w:pos="708"/>
        <w:tab w:val="left" w:pos="900"/>
      </w:tabs>
      <w:spacing w:after="0" w:line="576" w:lineRule="auto"/>
      <w:ind w:left="567" w:hanging="567"/>
      <w:jc w:val="center"/>
    </w:pPr>
    <w:rPr>
      <w:rFonts w:ascii="Arial" w:hAnsi="Arial" w:eastAsia="黑体"/>
      <w:b w:val="0"/>
    </w:rPr>
  </w:style>
  <w:style w:type="paragraph" w:customStyle="1" w:styleId="404">
    <w:name w:val="xl45"/>
    <w:basedOn w:val="1"/>
    <w:uiPriority w:val="0"/>
    <w:pPr>
      <w:widowControl/>
      <w:pBdr>
        <w:top w:val="single" w:color="auto" w:sz="4" w:space="0"/>
      </w:pBdr>
      <w:spacing w:before="100" w:beforeAutospacing="1" w:afterAutospacing="1"/>
      <w:jc w:val="left"/>
    </w:pPr>
    <w:rPr>
      <w:kern w:val="0"/>
      <w:sz w:val="28"/>
      <w:szCs w:val="28"/>
    </w:rPr>
  </w:style>
  <w:style w:type="paragraph" w:customStyle="1" w:styleId="405">
    <w:name w:val="新华社正文"/>
    <w:basedOn w:val="1"/>
    <w:uiPriority w:val="0"/>
    <w:pPr>
      <w:snapToGrid w:val="0"/>
      <w:spacing w:line="360" w:lineRule="auto"/>
      <w:ind w:right="-36" w:firstLine="360" w:firstLineChars="150"/>
      <w:jc w:val="left"/>
    </w:pPr>
    <w:rPr>
      <w:rFonts w:ascii="Arial" w:hAnsi="Arial"/>
      <w:sz w:val="24"/>
    </w:rPr>
  </w:style>
  <w:style w:type="paragraph" w:customStyle="1" w:styleId="406">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407">
    <w:name w:val="xl27"/>
    <w:basedOn w:val="1"/>
    <w:uiPriority w:val="0"/>
    <w:pPr>
      <w:widowControl/>
      <w:spacing w:before="100" w:beforeAutospacing="1" w:afterAutospacing="1"/>
      <w:jc w:val="center"/>
    </w:pPr>
    <w:rPr>
      <w:rFonts w:ascii="宋体" w:hAnsi="宋体"/>
      <w:kern w:val="0"/>
      <w:sz w:val="24"/>
    </w:rPr>
  </w:style>
  <w:style w:type="paragraph" w:customStyle="1" w:styleId="408">
    <w:name w:val="xl47"/>
    <w:basedOn w:val="1"/>
    <w:uiPriority w:val="0"/>
    <w:pPr>
      <w:widowControl/>
      <w:pBdr>
        <w:top w:val="single" w:color="auto" w:sz="4" w:space="0"/>
      </w:pBdr>
      <w:spacing w:before="100" w:beforeAutospacing="1" w:afterAutospacing="1"/>
      <w:jc w:val="center"/>
    </w:pPr>
    <w:rPr>
      <w:rFonts w:ascii="宋体" w:hAnsi="宋体"/>
      <w:kern w:val="0"/>
      <w:sz w:val="28"/>
      <w:szCs w:val="28"/>
    </w:rPr>
  </w:style>
  <w:style w:type="paragraph" w:customStyle="1" w:styleId="409">
    <w:name w:val="表"/>
    <w:basedOn w:val="1"/>
    <w:next w:val="9"/>
    <w:uiPriority w:val="0"/>
    <w:pPr>
      <w:tabs>
        <w:tab w:val="left" w:pos="680"/>
      </w:tabs>
      <w:adjustRightInd w:val="0"/>
      <w:spacing w:before="60" w:line="360" w:lineRule="atLeast"/>
      <w:ind w:left="680" w:hanging="680"/>
      <w:jc w:val="center"/>
      <w:textAlignment w:val="baseline"/>
    </w:pPr>
    <w:rPr>
      <w:rFonts w:eastAsia="黑体"/>
      <w:b/>
      <w:kern w:val="0"/>
      <w:sz w:val="24"/>
      <w:szCs w:val="20"/>
    </w:rPr>
  </w:style>
  <w:style w:type="paragraph" w:customStyle="1" w:styleId="410">
    <w:name w:val="xl119"/>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411">
    <w:name w:val="正文表标题"/>
    <w:next w:val="170"/>
    <w:uiPriority w:val="0"/>
    <w:pPr>
      <w:tabs>
        <w:tab w:val="left" w:pos="360"/>
        <w:tab w:val="left" w:pos="525"/>
      </w:tabs>
      <w:spacing w:before="156" w:beforeLines="50" w:after="156" w:afterLines="50"/>
      <w:ind w:left="525" w:hanging="525"/>
      <w:jc w:val="center"/>
    </w:pPr>
    <w:rPr>
      <w:rFonts w:ascii="黑体" w:eastAsia="黑体"/>
      <w:sz w:val="21"/>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header4.xml" Type="http://schemas.openxmlformats.org/officeDocument/2006/relationships/header"/><Relationship Id="rId15" Target="header5.xml" Type="http://schemas.openxmlformats.org/officeDocument/2006/relationships/header"/><Relationship Id="rId16" Target="header6.xml" Type="http://schemas.openxmlformats.org/officeDocument/2006/relationships/header"/><Relationship Id="rId17" Target="footer9.xml" Type="http://schemas.openxmlformats.org/officeDocument/2006/relationships/footer"/><Relationship Id="rId18" Target="footer10.xml" Type="http://schemas.openxmlformats.org/officeDocument/2006/relationships/footer"/><Relationship Id="rId19" Target="footer11.xml" Type="http://schemas.openxmlformats.org/officeDocument/2006/relationships/footer"/><Relationship Id="rId2" Target="settings.xml" Type="http://schemas.openxmlformats.org/officeDocument/2006/relationships/settings"/><Relationship Id="rId20" Target="header7.xml" Type="http://schemas.openxmlformats.org/officeDocument/2006/relationships/header"/><Relationship Id="rId21" Target="header8.xml" Type="http://schemas.openxmlformats.org/officeDocument/2006/relationships/header"/><Relationship Id="rId22" Target="header9.xml" Type="http://schemas.openxmlformats.org/officeDocument/2006/relationships/header"/><Relationship Id="rId23" Target="footer12.xml" Type="http://schemas.openxmlformats.org/officeDocument/2006/relationships/footer"/><Relationship Id="rId24" Target="footer13.xml" Type="http://schemas.openxmlformats.org/officeDocument/2006/relationships/footer"/><Relationship Id="rId25" Target="footer14.xml" Type="http://schemas.openxmlformats.org/officeDocument/2006/relationships/footer"/><Relationship Id="rId26" Target="header10.xml" Type="http://schemas.openxmlformats.org/officeDocument/2006/relationships/header"/><Relationship Id="rId27" Target="footer15.xml" Type="http://schemas.openxmlformats.org/officeDocument/2006/relationships/footer"/><Relationship Id="rId28" Target="footer16.xml" Type="http://schemas.openxmlformats.org/officeDocument/2006/relationships/footer"/><Relationship Id="rId29" Target="theme/theme1.xml" Type="http://schemas.openxmlformats.org/officeDocument/2006/relationships/theme"/><Relationship Id="rId3" Target="header1.xml" Type="http://schemas.openxmlformats.org/officeDocument/2006/relationships/header"/><Relationship Id="rId30" Target="../customXml/item1.xml" Type="http://schemas.openxmlformats.org/officeDocument/2006/relationships/customXml"/><Relationship Id="rId31" Target="numbering.xml" Type="http://schemas.openxmlformats.org/officeDocument/2006/relationships/numbering"/><Relationship Id="rId32" Target="fontTable.xml" Type="http://schemas.openxmlformats.org/officeDocument/2006/relationships/fontTable"/><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105</Pages>
  <Words>10577</Words>
  <Characters>60293</Characters>
  <Lines>502</Lines>
  <Paragraphs>141</Paragraphs>
  <TotalTime>5</TotalTime>
  <ScaleCrop>false</ScaleCrop>
  <LinksUpToDate>false</LinksUpToDate>
  <CharactersWithSpaces>70729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2009-07-22T18:47:00Z</dcterms:created>
  <dc:creator>Administrator</dc:creator>
  <cp:lastModifiedBy>＞眺望未来-</cp:lastModifiedBy>
  <cp:lastPrinted>2019-05-06T03:59:00Z</cp:lastPrinted>
  <dcterms:modified xsi:type="dcterms:W3CDTF">2024-01-31T05:26:36Z</dcterms:modified>
  <cp:revision>12</cp:revision>
  <dc:title>浙江省政府采购招标文件范本（试行）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08E1BA049E3B420284E58947FA311FED_13</vt:lpwstr>
  </property>
</Properties>
</file>