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default" w:ascii="Arial" w:hAnsi="Arial" w:cs="Arial"/>
          <w:b/>
          <w:color w:val="auto"/>
          <w:sz w:val="52"/>
          <w:szCs w:val="52"/>
          <w:highlight w:val="none"/>
        </w:rPr>
      </w:pPr>
      <w:bookmarkStart w:id="225" w:name="_GoBack"/>
      <w:bookmarkEnd w:id="225"/>
      <w:bookmarkStart w:id="0" w:name="_Toc196020140"/>
      <w:bookmarkStart w:id="1" w:name="_Toc304292159"/>
    </w:p>
    <w:p>
      <w:pPr>
        <w:spacing w:line="600" w:lineRule="exact"/>
        <w:jc w:val="center"/>
        <w:rPr>
          <w:rFonts w:hint="default" w:ascii="Arial" w:hAnsi="Arial" w:cs="Arial"/>
          <w:b/>
          <w:color w:val="auto"/>
          <w:sz w:val="35"/>
          <w:szCs w:val="35"/>
          <w:highlight w:val="none"/>
        </w:rPr>
      </w:pPr>
    </w:p>
    <w:p>
      <w:pPr>
        <w:spacing w:line="600" w:lineRule="exact"/>
        <w:jc w:val="center"/>
        <w:rPr>
          <w:rFonts w:hint="default" w:ascii="Arial" w:hAnsi="Arial" w:cs="Arial"/>
          <w:bCs/>
          <w:color w:val="auto"/>
          <w:sz w:val="44"/>
          <w:szCs w:val="44"/>
          <w:highlight w:val="none"/>
        </w:rPr>
      </w:pPr>
    </w:p>
    <w:p>
      <w:pPr>
        <w:pStyle w:val="43"/>
        <w:widowControl w:val="0"/>
        <w:snapToGrid w:val="0"/>
        <w:spacing w:before="120" w:beforeLines="50" w:beforeAutospacing="0" w:after="120" w:afterLines="50" w:afterAutospacing="0" w:line="360" w:lineRule="auto"/>
        <w:jc w:val="both"/>
        <w:rPr>
          <w:rFonts w:hint="default" w:ascii="Arial" w:hAnsi="Arial" w:cs="Arial"/>
          <w:bCs/>
          <w:color w:val="auto"/>
          <w:sz w:val="32"/>
          <w:szCs w:val="32"/>
          <w:highlight w:val="none"/>
        </w:rPr>
      </w:pPr>
      <w:r>
        <w:drawing>
          <wp:inline distT="0" distB="0" distL="114300" distR="114300">
            <wp:extent cx="5246370" cy="6795770"/>
            <wp:effectExtent l="0" t="0" r="11430"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5246370" cy="6795770"/>
                    </a:xfrm>
                    <a:prstGeom prst="rect">
                      <a:avLst/>
                    </a:prstGeom>
                    <a:noFill/>
                    <a:ln>
                      <a:noFill/>
                    </a:ln>
                  </pic:spPr>
                </pic:pic>
              </a:graphicData>
            </a:graphic>
          </wp:inline>
        </w:drawing>
      </w:r>
    </w:p>
    <w:p>
      <w:pPr>
        <w:spacing w:line="360" w:lineRule="auto"/>
        <w:jc w:val="center"/>
        <w:rPr>
          <w:rFonts w:hint="default" w:ascii="Arial" w:hAnsi="Arial" w:cs="Arial"/>
          <w:bCs/>
          <w:color w:val="auto"/>
          <w:sz w:val="32"/>
          <w:szCs w:val="32"/>
          <w:highlight w:val="none"/>
        </w:rPr>
      </w:pPr>
      <w:r>
        <w:rPr>
          <w:rFonts w:hint="default" w:ascii="Arial" w:hAnsi="Arial" w:cs="Arial"/>
          <w:bCs/>
          <w:color w:val="auto"/>
          <w:sz w:val="32"/>
          <w:szCs w:val="32"/>
          <w:highlight w:val="none"/>
          <w:lang w:bidi="ar"/>
        </w:rPr>
        <w:t>二O二</w:t>
      </w:r>
      <w:r>
        <w:rPr>
          <w:rFonts w:hint="eastAsia" w:ascii="Arial" w:hAnsi="Arial" w:cs="Arial"/>
          <w:bCs/>
          <w:color w:val="auto"/>
          <w:sz w:val="32"/>
          <w:szCs w:val="32"/>
          <w:highlight w:val="none"/>
          <w:lang w:eastAsia="zh-CN" w:bidi="ar"/>
        </w:rPr>
        <w:t>二</w:t>
      </w:r>
      <w:r>
        <w:rPr>
          <w:rFonts w:hint="default" w:ascii="Arial" w:hAnsi="Arial" w:cs="Arial"/>
          <w:bCs/>
          <w:color w:val="auto"/>
          <w:sz w:val="32"/>
          <w:szCs w:val="32"/>
          <w:highlight w:val="none"/>
          <w:lang w:bidi="ar"/>
        </w:rPr>
        <w:t>年</w:t>
      </w:r>
      <w:r>
        <w:rPr>
          <w:rFonts w:hint="eastAsia" w:ascii="Arial" w:hAnsi="Arial" w:cs="Arial"/>
          <w:bCs/>
          <w:color w:val="auto"/>
          <w:sz w:val="32"/>
          <w:szCs w:val="32"/>
          <w:highlight w:val="none"/>
          <w:lang w:val="en-US" w:eastAsia="zh-CN" w:bidi="ar"/>
        </w:rPr>
        <w:t>九</w:t>
      </w:r>
      <w:r>
        <w:rPr>
          <w:rFonts w:hint="default" w:ascii="Arial" w:hAnsi="Arial" w:cs="Arial"/>
          <w:bCs/>
          <w:color w:val="auto"/>
          <w:sz w:val="32"/>
          <w:szCs w:val="32"/>
          <w:highlight w:val="none"/>
          <w:lang w:bidi="ar"/>
        </w:rPr>
        <w:t>月</w:t>
      </w:r>
    </w:p>
    <w:p>
      <w:pPr>
        <w:snapToGrid w:val="0"/>
        <w:spacing w:before="120" w:beforeLines="50" w:line="360" w:lineRule="auto"/>
        <w:jc w:val="center"/>
        <w:rPr>
          <w:rFonts w:hint="default" w:ascii="Arial" w:hAnsi="Arial" w:cs="Arial"/>
          <w:b/>
          <w:color w:val="auto"/>
          <w:sz w:val="36"/>
          <w:szCs w:val="36"/>
          <w:highlight w:val="none"/>
        </w:rPr>
        <w:sectPr>
          <w:footerReference r:id="rId3" w:type="default"/>
          <w:pgSz w:w="11906" w:h="16838"/>
          <w:pgMar w:top="1134" w:right="1797" w:bottom="1134" w:left="1797" w:header="851" w:footer="851" w:gutter="0"/>
          <w:pgBorders w:offsetFrom="page">
            <w:top w:val="none" w:sz="0" w:space="0"/>
            <w:left w:val="none" w:sz="0" w:space="0"/>
            <w:bottom w:val="none" w:sz="0" w:space="0"/>
            <w:right w:val="none" w:sz="0" w:space="0"/>
          </w:pgBorders>
          <w:pgNumType w:start="0"/>
          <w:cols w:space="720" w:num="1"/>
          <w:titlePg/>
          <w:docGrid w:linePitch="312" w:charSpace="0"/>
        </w:sectPr>
      </w:pPr>
    </w:p>
    <w:p>
      <w:pPr>
        <w:snapToGrid w:val="0"/>
        <w:spacing w:before="120" w:beforeLines="50" w:line="360" w:lineRule="auto"/>
        <w:jc w:val="center"/>
        <w:rPr>
          <w:rFonts w:hint="default" w:ascii="Arial" w:hAnsi="Arial" w:cs="Arial"/>
          <w:b/>
          <w:color w:val="auto"/>
          <w:sz w:val="36"/>
          <w:szCs w:val="36"/>
          <w:highlight w:val="none"/>
        </w:rPr>
      </w:pPr>
      <w:r>
        <w:rPr>
          <w:rFonts w:hint="default" w:ascii="Arial" w:hAnsi="Arial" w:cs="Arial"/>
          <w:b/>
          <w:color w:val="auto"/>
          <w:sz w:val="44"/>
          <w:szCs w:val="36"/>
          <w:highlight w:val="none"/>
        </w:rPr>
        <w:t>目   录</w:t>
      </w:r>
      <w:bookmarkEnd w:id="0"/>
    </w:p>
    <w:p>
      <w:pPr>
        <w:spacing w:line="300" w:lineRule="auto"/>
        <w:jc w:val="center"/>
        <w:rPr>
          <w:rFonts w:hint="default" w:ascii="Arial" w:hAnsi="Arial" w:cs="Arial"/>
          <w:color w:val="auto"/>
          <w:sz w:val="52"/>
          <w:szCs w:val="52"/>
          <w:highlight w:val="none"/>
        </w:rPr>
      </w:pP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TOC \o "1-3" \h \z \u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"_Toc50910761"</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 xml:space="preserve">第一章 </w:t>
      </w:r>
      <w:r>
        <w:rPr>
          <w:rStyle w:val="52"/>
          <w:rFonts w:hint="eastAsia" w:ascii="Arial" w:hAnsi="Arial" w:cs="Arial"/>
          <w:color w:val="auto"/>
          <w:sz w:val="28"/>
          <w:szCs w:val="28"/>
          <w:highlight w:val="none"/>
          <w:lang w:val="en-US" w:eastAsia="zh-CN"/>
        </w:rPr>
        <w:t xml:space="preserve"> </w:t>
      </w:r>
      <w:r>
        <w:rPr>
          <w:rStyle w:val="52"/>
          <w:rFonts w:hint="default" w:ascii="Arial" w:hAnsi="Arial" w:cs="Arial"/>
          <w:color w:val="auto"/>
          <w:sz w:val="28"/>
          <w:szCs w:val="28"/>
          <w:highlight w:val="none"/>
          <w:lang/>
        </w:rPr>
        <w:t>公开招标采购公告</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_Toc50910761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2</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"_Toc50910769"</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bCs/>
          <w:color w:val="auto"/>
          <w:sz w:val="28"/>
          <w:szCs w:val="28"/>
          <w:highlight w:val="none"/>
          <w:lang/>
        </w:rPr>
        <w:t xml:space="preserve">第二章 </w:t>
      </w:r>
      <w:r>
        <w:rPr>
          <w:rStyle w:val="52"/>
          <w:rFonts w:hint="eastAsia" w:ascii="Arial" w:hAnsi="Arial" w:cs="Arial"/>
          <w:bCs/>
          <w:color w:val="auto"/>
          <w:sz w:val="28"/>
          <w:szCs w:val="28"/>
          <w:highlight w:val="none"/>
          <w:lang w:val="en-US" w:eastAsia="zh-CN"/>
        </w:rPr>
        <w:t xml:space="preserve"> </w:t>
      </w:r>
      <w:r>
        <w:rPr>
          <w:rStyle w:val="52"/>
          <w:rFonts w:hint="default" w:ascii="Arial" w:hAnsi="Arial" w:cs="Arial"/>
          <w:bCs/>
          <w:color w:val="auto"/>
          <w:sz w:val="28"/>
          <w:szCs w:val="28"/>
          <w:highlight w:val="none"/>
          <w:lang/>
        </w:rPr>
        <w:t>招标需求</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_Toc50910769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6</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"_Toc50910770"</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 xml:space="preserve">第三章 </w:t>
      </w:r>
      <w:r>
        <w:rPr>
          <w:rStyle w:val="52"/>
          <w:rFonts w:hint="eastAsia" w:ascii="Arial" w:hAnsi="Arial" w:cs="Arial"/>
          <w:color w:val="auto"/>
          <w:sz w:val="28"/>
          <w:szCs w:val="28"/>
          <w:highlight w:val="none"/>
          <w:lang w:val="en-US" w:eastAsia="zh-CN"/>
        </w:rPr>
        <w:t xml:space="preserve"> </w:t>
      </w:r>
      <w:r>
        <w:rPr>
          <w:rStyle w:val="52"/>
          <w:rFonts w:hint="default" w:ascii="Arial" w:hAnsi="Arial" w:cs="Arial"/>
          <w:color w:val="auto"/>
          <w:sz w:val="28"/>
          <w:szCs w:val="28"/>
          <w:highlight w:val="none"/>
          <w:lang/>
        </w:rPr>
        <w:t>投标人须知</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_Toc50910770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22</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9"/>
        <w:tabs>
          <w:tab w:val="right" w:leader="dot" w:pos="8302"/>
        </w:tabs>
        <w:spacing w:line="480" w:lineRule="auto"/>
        <w:ind w:left="0" w:leftChars="0"/>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"_Toc50910771"</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前附表</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_Toc50910771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22</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"_Toc50910826"</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第四章  评标办法及评分标准</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_Toc50910826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35</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"_Toc50910827"</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第五章  拟签订采购合同文本</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_Toc50910827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43</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begin"/>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instrText xml:space="preserve">HYPERLINK \l "_Toc50910828"</w:instrText>
      </w:r>
      <w:r>
        <w:rPr>
          <w:rStyle w:val="52"/>
          <w:rFonts w:hint="default" w:ascii="Arial" w:hAnsi="Arial" w:cs="Arial"/>
          <w:color w:val="auto"/>
          <w:sz w:val="28"/>
          <w:szCs w:val="28"/>
          <w:highlight w:val="none"/>
          <w:lang/>
        </w:rPr>
        <w:instrText xml:space="preserve"> </w:instrText>
      </w:r>
      <w:r>
        <w:rPr>
          <w:rFonts w:hint="default" w:ascii="Arial" w:hAnsi="Arial" w:cs="Arial"/>
          <w:color w:val="auto"/>
          <w:sz w:val="28"/>
          <w:szCs w:val="28"/>
          <w:highlight w:val="none"/>
          <w:lang/>
        </w:rPr>
        <w:fldChar w:fldCharType="separate"/>
      </w:r>
      <w:r>
        <w:rPr>
          <w:rStyle w:val="52"/>
          <w:rFonts w:hint="default" w:ascii="Arial" w:hAnsi="Arial" w:cs="Arial"/>
          <w:color w:val="auto"/>
          <w:sz w:val="28"/>
          <w:szCs w:val="28"/>
          <w:highlight w:val="none"/>
          <w:lang/>
        </w:rPr>
        <w:t>第六章　投标文件格式</w:t>
      </w:r>
      <w:r>
        <w:rPr>
          <w:rFonts w:hint="default" w:ascii="Arial" w:hAnsi="Arial" w:cs="Arial"/>
          <w:color w:val="auto"/>
          <w:sz w:val="28"/>
          <w:szCs w:val="28"/>
          <w:highlight w:val="none"/>
          <w:lang/>
        </w:rPr>
        <w:tab/>
      </w:r>
      <w:r>
        <w:rPr>
          <w:rFonts w:hint="default" w:ascii="Arial" w:hAnsi="Arial" w:cs="Arial"/>
          <w:color w:val="auto"/>
          <w:sz w:val="28"/>
          <w:szCs w:val="28"/>
          <w:highlight w:val="none"/>
          <w:lang/>
        </w:rPr>
        <w:fldChar w:fldCharType="begin"/>
      </w:r>
      <w:r>
        <w:rPr>
          <w:rFonts w:hint="default" w:ascii="Arial" w:hAnsi="Arial" w:cs="Arial"/>
          <w:color w:val="auto"/>
          <w:sz w:val="28"/>
          <w:szCs w:val="28"/>
          <w:highlight w:val="none"/>
          <w:lang/>
        </w:rPr>
        <w:instrText xml:space="preserve"> PAGEREF _Toc50910828 \h </w:instrText>
      </w:r>
      <w:r>
        <w:rPr>
          <w:rFonts w:hint="default" w:ascii="Arial" w:hAnsi="Arial" w:cs="Arial"/>
          <w:color w:val="auto"/>
          <w:sz w:val="28"/>
          <w:szCs w:val="28"/>
          <w:highlight w:val="none"/>
          <w:lang/>
        </w:rPr>
        <w:fldChar w:fldCharType="separate"/>
      </w:r>
      <w:r>
        <w:rPr>
          <w:rFonts w:hint="default" w:ascii="Arial" w:hAnsi="Arial" w:cs="Arial"/>
          <w:color w:val="auto"/>
          <w:sz w:val="28"/>
          <w:szCs w:val="28"/>
          <w:highlight w:val="none"/>
          <w:lang/>
        </w:rPr>
        <w:t>48</w:t>
      </w:r>
      <w:r>
        <w:rPr>
          <w:rFonts w:hint="default" w:ascii="Arial" w:hAnsi="Arial" w:cs="Arial"/>
          <w:color w:val="auto"/>
          <w:sz w:val="28"/>
          <w:szCs w:val="28"/>
          <w:highlight w:val="none"/>
          <w:lang/>
        </w:rPr>
        <w:fldChar w:fldCharType="end"/>
      </w:r>
      <w:r>
        <w:rPr>
          <w:rFonts w:hint="default" w:ascii="Arial" w:hAnsi="Arial" w:cs="Arial"/>
          <w:color w:val="auto"/>
          <w:sz w:val="28"/>
          <w:szCs w:val="28"/>
          <w:highlight w:val="none"/>
          <w:lang/>
        </w:rPr>
        <w:fldChar w:fldCharType="end"/>
      </w:r>
    </w:p>
    <w:p>
      <w:pPr>
        <w:pStyle w:val="34"/>
        <w:spacing w:line="480" w:lineRule="auto"/>
        <w:rPr>
          <w:rStyle w:val="52"/>
          <w:rFonts w:hint="default" w:ascii="Arial" w:hAnsi="Arial" w:cs="Arial"/>
          <w:color w:val="auto"/>
          <w:sz w:val="28"/>
          <w:szCs w:val="28"/>
          <w:highlight w:val="none"/>
          <w:lang/>
        </w:rPr>
      </w:pPr>
      <w:r>
        <w:rPr>
          <w:rFonts w:hint="default" w:ascii="Arial" w:hAnsi="Arial" w:cs="Arial"/>
          <w:color w:val="auto"/>
          <w:sz w:val="28"/>
          <w:szCs w:val="28"/>
          <w:highlight w:val="none"/>
          <w:lang/>
        </w:rPr>
        <w:fldChar w:fldCharType="end"/>
      </w:r>
    </w:p>
    <w:p>
      <w:pPr>
        <w:pStyle w:val="4"/>
        <w:pageBreakBefore/>
        <w:numPr>
          <w:ilvl w:val="0"/>
          <w:numId w:val="0"/>
        </w:numPr>
        <w:adjustRightInd w:val="0"/>
        <w:spacing w:before="0" w:line="300" w:lineRule="auto"/>
        <w:jc w:val="center"/>
        <w:textAlignment w:val="baseline"/>
        <w:rPr>
          <w:rFonts w:hint="default" w:ascii="Arial" w:hAnsi="Arial" w:cs="Arial"/>
          <w:bCs w:val="0"/>
          <w:color w:val="auto"/>
          <w:kern w:val="2"/>
          <w:sz w:val="32"/>
          <w:szCs w:val="32"/>
          <w:highlight w:val="none"/>
        </w:rPr>
      </w:pPr>
      <w:bookmarkStart w:id="2" w:name="_Toc50910761"/>
      <w:r>
        <w:rPr>
          <w:rFonts w:hint="default" w:ascii="Arial" w:hAnsi="Arial" w:cs="Arial"/>
          <w:bCs w:val="0"/>
          <w:color w:val="auto"/>
          <w:kern w:val="2"/>
          <w:sz w:val="32"/>
          <w:szCs w:val="32"/>
          <w:highlight w:val="none"/>
        </w:rPr>
        <w:t xml:space="preserve">第一章 </w:t>
      </w:r>
      <w:bookmarkEnd w:id="1"/>
      <w:r>
        <w:rPr>
          <w:rFonts w:hint="default" w:ascii="Arial" w:hAnsi="Arial" w:cs="Arial"/>
          <w:bCs w:val="0"/>
          <w:color w:val="auto"/>
          <w:kern w:val="2"/>
          <w:sz w:val="32"/>
          <w:szCs w:val="32"/>
          <w:highlight w:val="none"/>
        </w:rPr>
        <w:t>公开招标采购公告</w:t>
      </w:r>
      <w:bookmarkEnd w:id="2"/>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exact"/>
        <w:ind w:firstLine="440" w:firstLineChars="200"/>
        <w:textAlignment w:val="auto"/>
        <w:rPr>
          <w:rFonts w:hint="default" w:ascii="Arial" w:hAnsi="Arial" w:cs="Arial"/>
          <w:color w:val="auto"/>
          <w:sz w:val="22"/>
          <w:szCs w:val="22"/>
          <w:highlight w:val="none"/>
        </w:rPr>
      </w:pPr>
      <w:r>
        <w:rPr>
          <w:rFonts w:hint="eastAsia" w:ascii="Arial" w:hAnsi="Arial" w:cs="Arial"/>
          <w:color w:val="auto"/>
          <w:sz w:val="22"/>
          <w:szCs w:val="22"/>
          <w:highlight w:val="none"/>
          <w:u w:val="single"/>
          <w:lang w:eastAsia="zh-CN"/>
        </w:rPr>
        <w:t>邱隘镇公共安全高清视频监控服务项目</w:t>
      </w:r>
      <w:r>
        <w:rPr>
          <w:rFonts w:hint="default" w:ascii="Arial" w:hAnsi="Arial" w:cs="Arial"/>
          <w:color w:val="auto"/>
          <w:sz w:val="22"/>
          <w:szCs w:val="22"/>
          <w:highlight w:val="none"/>
        </w:rPr>
        <w:t>招标项目的潜在投标人应在</w:t>
      </w:r>
      <w:r>
        <w:rPr>
          <w:rFonts w:hint="default" w:ascii="Arial" w:hAnsi="Arial" w:cs="Arial"/>
          <w:color w:val="auto"/>
          <w:sz w:val="22"/>
          <w:szCs w:val="22"/>
          <w:highlight w:val="none"/>
          <w:u w:val="single"/>
        </w:rPr>
        <w:t>浙江政府采购云平台（</w:t>
      </w:r>
      <w:r>
        <w:rPr>
          <w:rFonts w:hint="default" w:ascii="Arial" w:hAnsi="Arial" w:cs="Arial"/>
          <w:color w:val="auto"/>
          <w:sz w:val="22"/>
          <w:szCs w:val="22"/>
          <w:highlight w:val="none"/>
          <w:u w:val="single"/>
        </w:rPr>
        <w:fldChar w:fldCharType="begin"/>
      </w:r>
      <w:r>
        <w:rPr>
          <w:rFonts w:hint="default" w:ascii="Arial" w:hAnsi="Arial" w:cs="Arial"/>
          <w:color w:val="auto"/>
          <w:sz w:val="22"/>
          <w:szCs w:val="22"/>
          <w:highlight w:val="none"/>
          <w:u w:val="single"/>
        </w:rPr>
        <w:instrText xml:space="preserve"> HYPERLINK "http://www.zcygov.cn/）</w:instrText>
      </w:r>
      <w:r>
        <w:rPr>
          <w:rFonts w:hint="default" w:ascii="Arial" w:hAnsi="Arial" w:cs="Arial"/>
          <w:color w:val="auto"/>
          <w:sz w:val="22"/>
          <w:szCs w:val="22"/>
          <w:highlight w:val="none"/>
        </w:rPr>
        <w:instrText xml:space="preserve">获取（下载）招标文件，并于</w:instrText>
      </w:r>
      <w:r>
        <w:rPr>
          <w:rFonts w:hint="default" w:ascii="Arial" w:hAnsi="Arial" w:cs="Arial"/>
          <w:b/>
          <w:bCs/>
          <w:color w:val="auto"/>
          <w:sz w:val="22"/>
          <w:szCs w:val="22"/>
          <w:highlight w:val="none"/>
          <w:u w:val="single"/>
        </w:rPr>
        <w:instrText xml:space="preserve">2020年</w:instrText>
      </w:r>
      <w:r>
        <w:rPr>
          <w:rFonts w:hint="default" w:ascii="Arial" w:hAnsi="Arial" w:cs="Arial"/>
          <w:color w:val="auto"/>
          <w:sz w:val="22"/>
          <w:szCs w:val="22"/>
          <w:highlight w:val="none"/>
          <w:u w:val="single"/>
        </w:rPr>
        <w:instrText xml:space="preserve">" </w:instrText>
      </w:r>
      <w:r>
        <w:rPr>
          <w:rFonts w:hint="default" w:ascii="Arial" w:hAnsi="Arial" w:cs="Arial"/>
          <w:color w:val="auto"/>
          <w:sz w:val="22"/>
          <w:szCs w:val="22"/>
          <w:highlight w:val="none"/>
          <w:u w:val="single"/>
        </w:rPr>
        <w:fldChar w:fldCharType="separate"/>
      </w:r>
      <w:r>
        <w:rPr>
          <w:rStyle w:val="52"/>
          <w:rFonts w:hint="default" w:ascii="Arial" w:hAnsi="Arial" w:cs="Arial"/>
          <w:color w:val="auto"/>
          <w:sz w:val="22"/>
          <w:szCs w:val="22"/>
          <w:highlight w:val="none"/>
        </w:rPr>
        <w:t>http://www.zcygov.cn/）获取（下载）招标文件，并于</w:t>
      </w:r>
      <w:r>
        <w:rPr>
          <w:rFonts w:hint="default" w:ascii="Arial" w:hAnsi="Arial" w:cs="Arial"/>
          <w:b/>
          <w:bCs/>
          <w:color w:val="auto"/>
          <w:sz w:val="22"/>
          <w:szCs w:val="22"/>
          <w:highlight w:val="none"/>
          <w:u w:val="single"/>
        </w:rPr>
        <w:t>202</w:t>
      </w:r>
      <w:r>
        <w:rPr>
          <w:rFonts w:hint="eastAsia" w:ascii="Arial" w:hAnsi="Arial" w:cs="Arial"/>
          <w:b/>
          <w:bCs/>
          <w:color w:val="auto"/>
          <w:sz w:val="22"/>
          <w:szCs w:val="22"/>
          <w:highlight w:val="none"/>
          <w:u w:val="single"/>
          <w:lang w:val="en-US" w:eastAsia="zh-CN"/>
        </w:rPr>
        <w:t>2</w:t>
      </w:r>
      <w:r>
        <w:rPr>
          <w:rFonts w:hint="default" w:ascii="Arial" w:hAnsi="Arial" w:cs="Arial"/>
          <w:b/>
          <w:bCs/>
          <w:color w:val="auto"/>
          <w:sz w:val="22"/>
          <w:szCs w:val="22"/>
          <w:highlight w:val="none"/>
          <w:u w:val="single"/>
        </w:rPr>
        <w:t>年</w:t>
      </w:r>
      <w:r>
        <w:rPr>
          <w:rFonts w:hint="default" w:ascii="Arial" w:hAnsi="Arial" w:cs="Arial"/>
          <w:color w:val="auto"/>
          <w:sz w:val="22"/>
          <w:szCs w:val="22"/>
          <w:highlight w:val="none"/>
          <w:u w:val="single"/>
        </w:rPr>
        <w:fldChar w:fldCharType="end"/>
      </w:r>
      <w:r>
        <w:rPr>
          <w:rFonts w:hint="eastAsia" w:ascii="Arial" w:hAnsi="Arial" w:eastAsia="宋体" w:cs="Arial"/>
          <w:b/>
          <w:bCs/>
          <w:color w:val="auto"/>
          <w:sz w:val="22"/>
          <w:szCs w:val="22"/>
          <w:highlight w:val="none"/>
          <w:u w:val="single"/>
          <w:lang w:val="en-US" w:eastAsia="zh-CN"/>
        </w:rPr>
        <w:t>10</w:t>
      </w:r>
      <w:r>
        <w:rPr>
          <w:rFonts w:hint="default" w:ascii="Arial" w:hAnsi="Arial" w:eastAsia="宋体" w:cs="Arial"/>
          <w:b/>
          <w:bCs/>
          <w:color w:val="auto"/>
          <w:sz w:val="22"/>
          <w:szCs w:val="22"/>
          <w:highlight w:val="none"/>
          <w:u w:val="single"/>
        </w:rPr>
        <w:t>月</w:t>
      </w:r>
      <w:r>
        <w:rPr>
          <w:rFonts w:hint="eastAsia" w:ascii="Arial" w:hAnsi="Arial" w:eastAsia="宋体" w:cs="Arial"/>
          <w:b/>
          <w:bCs/>
          <w:color w:val="auto"/>
          <w:sz w:val="22"/>
          <w:szCs w:val="22"/>
          <w:highlight w:val="none"/>
          <w:u w:val="single"/>
          <w:lang w:val="en-US" w:eastAsia="zh-CN"/>
        </w:rPr>
        <w:t>13</w:t>
      </w:r>
      <w:r>
        <w:rPr>
          <w:rFonts w:hint="default" w:ascii="Arial" w:hAnsi="Arial" w:eastAsia="宋体" w:cs="Arial"/>
          <w:b/>
          <w:bCs/>
          <w:color w:val="auto"/>
          <w:sz w:val="22"/>
          <w:szCs w:val="22"/>
          <w:highlight w:val="none"/>
          <w:u w:val="single"/>
        </w:rPr>
        <w:t>日</w:t>
      </w:r>
      <w:r>
        <w:rPr>
          <w:rFonts w:hint="default" w:ascii="Arial" w:hAnsi="Arial" w:cs="Arial"/>
          <w:b/>
          <w:bCs/>
          <w:color w:val="auto"/>
          <w:sz w:val="22"/>
          <w:szCs w:val="22"/>
          <w:highlight w:val="none"/>
          <w:u w:val="single"/>
        </w:rPr>
        <w:t xml:space="preserve"> </w:t>
      </w:r>
      <w:r>
        <w:rPr>
          <w:rFonts w:hint="eastAsia" w:ascii="Arial" w:hAnsi="Arial" w:cs="Arial"/>
          <w:b/>
          <w:bCs/>
          <w:color w:val="auto"/>
          <w:sz w:val="22"/>
          <w:szCs w:val="22"/>
          <w:highlight w:val="none"/>
          <w:u w:val="single"/>
          <w:lang w:val="en-US" w:eastAsia="zh-CN"/>
        </w:rPr>
        <w:t>1</w:t>
      </w:r>
      <w:r>
        <w:rPr>
          <w:rFonts w:hint="eastAsia" w:ascii="Arial" w:hAnsi="Arial" w:cs="Arial"/>
          <w:b/>
          <w:bCs/>
          <w:color w:val="auto"/>
          <w:sz w:val="22"/>
          <w:szCs w:val="22"/>
          <w:highlight w:val="none"/>
          <w:u w:val="single"/>
          <w:lang w:val="en-US" w:eastAsia="zh-CN"/>
        </w:rPr>
        <w:t>3</w:t>
      </w:r>
      <w:r>
        <w:rPr>
          <w:rFonts w:hint="default" w:ascii="Arial" w:hAnsi="Arial" w:cs="Arial"/>
          <w:b/>
          <w:bCs/>
          <w:color w:val="auto"/>
          <w:sz w:val="22"/>
          <w:szCs w:val="22"/>
          <w:highlight w:val="none"/>
          <w:u w:val="single"/>
        </w:rPr>
        <w:t>:</w:t>
      </w:r>
      <w:r>
        <w:rPr>
          <w:rFonts w:hint="eastAsia" w:ascii="Arial" w:hAnsi="Arial" w:cs="Arial"/>
          <w:b/>
          <w:bCs/>
          <w:color w:val="auto"/>
          <w:sz w:val="22"/>
          <w:szCs w:val="22"/>
          <w:highlight w:val="none"/>
          <w:u w:val="single"/>
          <w:lang w:val="en-US" w:eastAsia="zh-CN"/>
        </w:rPr>
        <w:t>3</w:t>
      </w:r>
      <w:r>
        <w:rPr>
          <w:rFonts w:hint="default" w:ascii="Arial" w:hAnsi="Arial" w:cs="Arial"/>
          <w:b/>
          <w:bCs/>
          <w:color w:val="auto"/>
          <w:sz w:val="22"/>
          <w:szCs w:val="22"/>
          <w:highlight w:val="none"/>
          <w:u w:val="single"/>
        </w:rPr>
        <w:t>0（北京时间）</w:t>
      </w:r>
      <w:r>
        <w:rPr>
          <w:rFonts w:hint="default" w:ascii="Arial" w:hAnsi="Arial" w:cs="Arial"/>
          <w:b/>
          <w:bCs/>
          <w:color w:val="auto"/>
          <w:sz w:val="22"/>
          <w:szCs w:val="22"/>
          <w:highlight w:val="none"/>
          <w:u w:val="single"/>
        </w:rPr>
        <w:t>前</w:t>
      </w:r>
      <w:r>
        <w:rPr>
          <w:rFonts w:hint="default" w:ascii="Arial" w:hAnsi="Arial" w:cs="Arial"/>
          <w:bCs/>
          <w:color w:val="auto"/>
          <w:sz w:val="22"/>
          <w:szCs w:val="22"/>
          <w:highlight w:val="none"/>
        </w:rPr>
        <w:t>递交（上传）投标文件</w:t>
      </w:r>
      <w:r>
        <w:rPr>
          <w:rFonts w:hint="default" w:ascii="Arial" w:hAnsi="Arial" w:cs="Arial"/>
          <w:color w:val="auto"/>
          <w:sz w:val="22"/>
          <w:szCs w:val="22"/>
          <w:highlight w:val="none"/>
        </w:rPr>
        <w:t>。</w:t>
      </w:r>
    </w:p>
    <w:p>
      <w:pPr>
        <w:pStyle w:val="5"/>
        <w:pageBreakBefore w:val="0"/>
        <w:widowControl w:val="0"/>
        <w:kinsoku/>
        <w:wordWrap/>
        <w:overflowPunct/>
        <w:topLinePunct w:val="0"/>
        <w:autoSpaceDE/>
        <w:autoSpaceDN/>
        <w:bidi w:val="0"/>
        <w:adjustRightInd/>
        <w:snapToGrid/>
        <w:spacing w:before="0" w:beforeLines="0" w:after="0" w:afterLines="0" w:line="480" w:lineRule="exact"/>
        <w:textAlignment w:val="auto"/>
        <w:rPr>
          <w:rFonts w:hint="default" w:ascii="Arial" w:hAnsi="Arial" w:eastAsia="宋体" w:cs="Arial"/>
          <w:bCs w:val="0"/>
          <w:color w:val="auto"/>
          <w:sz w:val="22"/>
          <w:szCs w:val="22"/>
          <w:highlight w:val="none"/>
        </w:rPr>
      </w:pPr>
      <w:bookmarkStart w:id="3" w:name="_Toc35393621"/>
      <w:bookmarkStart w:id="4" w:name="_Toc35393790"/>
      <w:bookmarkStart w:id="5" w:name="_Toc28359002"/>
      <w:bookmarkStart w:id="6" w:name="_Toc50910762"/>
      <w:bookmarkStart w:id="7" w:name="_Toc28359079"/>
      <w:bookmarkStart w:id="8" w:name="_Hlk24379207"/>
      <w:r>
        <w:rPr>
          <w:rFonts w:hint="default" w:ascii="Arial" w:hAnsi="Arial" w:eastAsia="宋体" w:cs="Arial"/>
          <w:bCs w:val="0"/>
          <w:color w:val="auto"/>
          <w:sz w:val="22"/>
          <w:szCs w:val="22"/>
          <w:highlight w:val="none"/>
        </w:rPr>
        <w:t>一、项目基本情况</w:t>
      </w:r>
      <w:bookmarkEnd w:id="3"/>
      <w:bookmarkEnd w:id="4"/>
      <w:bookmarkEnd w:id="5"/>
      <w:bookmarkEnd w:id="6"/>
      <w:bookmarkEnd w:id="7"/>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Arial" w:hAnsi="Arial" w:eastAsia="宋体" w:cs="Arial"/>
          <w:color w:val="auto"/>
          <w:sz w:val="22"/>
          <w:szCs w:val="22"/>
          <w:highlight w:val="none"/>
          <w:lang w:val="en-US" w:eastAsia="zh-CN"/>
        </w:rPr>
      </w:pPr>
      <w:r>
        <w:rPr>
          <w:rFonts w:hint="default" w:ascii="Arial" w:hAnsi="Arial" w:cs="Arial"/>
          <w:color w:val="auto"/>
          <w:sz w:val="22"/>
          <w:szCs w:val="22"/>
          <w:highlight w:val="none"/>
        </w:rPr>
        <w:t>项目编号：GZZBZ22-1</w:t>
      </w:r>
      <w:r>
        <w:rPr>
          <w:rFonts w:hint="eastAsia" w:ascii="Arial" w:hAnsi="Arial" w:cs="Arial"/>
          <w:color w:val="auto"/>
          <w:sz w:val="22"/>
          <w:szCs w:val="22"/>
          <w:highlight w:val="none"/>
          <w:lang w:val="en-US" w:eastAsia="zh-CN"/>
        </w:rPr>
        <w:t>2</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项目名称：</w:t>
      </w:r>
      <w:r>
        <w:rPr>
          <w:rFonts w:hint="eastAsia" w:ascii="Arial" w:hAnsi="Arial" w:cs="Arial"/>
          <w:color w:val="auto"/>
          <w:sz w:val="22"/>
          <w:szCs w:val="22"/>
          <w:highlight w:val="none"/>
          <w:lang w:eastAsia="zh-CN"/>
        </w:rPr>
        <w:t>邱隘镇公共安全高清视频监控服务项目</w:t>
      </w:r>
    </w:p>
    <w:bookmarkEnd w:id="8"/>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Arial" w:hAnsi="Arial" w:eastAsia="宋体" w:cs="Arial"/>
          <w:color w:val="auto"/>
          <w:sz w:val="22"/>
          <w:szCs w:val="22"/>
          <w:highlight w:val="none"/>
          <w:lang w:val="en-US" w:eastAsia="zh-CN"/>
        </w:rPr>
      </w:pPr>
      <w:r>
        <w:rPr>
          <w:rFonts w:hint="default" w:ascii="Arial" w:hAnsi="Arial" w:cs="Arial"/>
          <w:color w:val="auto"/>
          <w:sz w:val="22"/>
          <w:szCs w:val="22"/>
          <w:highlight w:val="none"/>
        </w:rPr>
        <w:t>预算金额</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eastAsia="zh-CN"/>
        </w:rPr>
        <w:t>元</w:t>
      </w:r>
      <w:r>
        <w:rPr>
          <w:rFonts w:hint="eastAsia" w:ascii="Arial" w:hAnsi="Arial" w:cs="Arial"/>
          <w:color w:val="auto"/>
          <w:sz w:val="22"/>
          <w:szCs w:val="22"/>
          <w:highlight w:val="none"/>
          <w:lang w:eastAsia="zh-CN"/>
        </w:rPr>
        <w:t>）</w:t>
      </w:r>
      <w:r>
        <w:rPr>
          <w:rFonts w:hint="default" w:ascii="Arial" w:hAnsi="Arial" w:cs="Arial"/>
          <w:color w:val="auto"/>
          <w:sz w:val="22"/>
          <w:szCs w:val="22"/>
          <w:highlight w:val="none"/>
        </w:rPr>
        <w:t>：</w:t>
      </w:r>
      <w:r>
        <w:rPr>
          <w:rFonts w:hint="eastAsia" w:ascii="Arial" w:hAnsi="Arial" w:cs="Arial"/>
          <w:color w:val="auto"/>
          <w:sz w:val="22"/>
          <w:szCs w:val="22"/>
          <w:highlight w:val="none"/>
          <w:lang w:val="en-US" w:eastAsia="zh-CN"/>
        </w:rPr>
        <w:t>7100000</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Arial" w:hAnsi="Arial" w:eastAsia="宋体" w:cs="Arial"/>
          <w:color w:val="auto"/>
          <w:sz w:val="22"/>
          <w:szCs w:val="22"/>
          <w:highlight w:val="none"/>
          <w:lang w:eastAsia="zh-CN"/>
        </w:rPr>
      </w:pPr>
      <w:r>
        <w:rPr>
          <w:rFonts w:hint="default" w:ascii="Arial" w:hAnsi="Arial" w:cs="Arial"/>
          <w:color w:val="auto"/>
          <w:sz w:val="22"/>
          <w:szCs w:val="22"/>
          <w:highlight w:val="none"/>
        </w:rPr>
        <w:t>最高限价（</w:t>
      </w:r>
      <w:r>
        <w:rPr>
          <w:rFonts w:hint="eastAsia" w:ascii="Arial" w:hAnsi="Arial" w:cs="Arial"/>
          <w:color w:val="auto"/>
          <w:sz w:val="22"/>
          <w:szCs w:val="22"/>
          <w:highlight w:val="none"/>
          <w:lang w:eastAsia="zh-CN"/>
        </w:rPr>
        <w:t>元</w:t>
      </w:r>
      <w:r>
        <w:rPr>
          <w:rFonts w:hint="default" w:ascii="Arial" w:hAnsi="Arial" w:cs="Arial"/>
          <w:color w:val="auto"/>
          <w:sz w:val="22"/>
          <w:szCs w:val="22"/>
          <w:highlight w:val="none"/>
        </w:rPr>
        <w:t>）：</w:t>
      </w:r>
      <w:r>
        <w:rPr>
          <w:rFonts w:hint="eastAsia" w:ascii="Arial" w:hAnsi="Arial" w:eastAsia="宋体" w:cs="Arial"/>
          <w:color w:val="auto"/>
          <w:sz w:val="22"/>
          <w:szCs w:val="22"/>
          <w:highlight w:val="none"/>
          <w:lang w:val="en-US" w:eastAsia="zh-CN"/>
        </w:rPr>
        <w:t>7073277</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采购需求：</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Arial" w:hAnsi="Arial" w:cs="Arial"/>
          <w:color w:val="auto"/>
          <w:sz w:val="22"/>
          <w:szCs w:val="22"/>
          <w:highlight w:val="none"/>
        </w:rPr>
      </w:pP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Arial" w:hAnsi="Arial" w:cs="Arial"/>
          <w:color w:val="auto"/>
          <w:kern w:val="0"/>
          <w:sz w:val="22"/>
          <w:szCs w:val="22"/>
          <w:highlight w:val="none"/>
          <w:lang w:eastAsia="zh-CN"/>
        </w:rPr>
      </w:pPr>
      <w:r>
        <w:rPr>
          <w:rFonts w:hint="default" w:ascii="Arial" w:hAnsi="Arial" w:cs="Arial"/>
          <w:color w:val="auto"/>
          <w:sz w:val="22"/>
          <w:szCs w:val="22"/>
          <w:highlight w:val="none"/>
        </w:rPr>
        <w:t>标项名称</w:t>
      </w:r>
      <w:r>
        <w:rPr>
          <w:rFonts w:hint="eastAsia" w:ascii="Arial" w:hAnsi="Arial" w:cs="Arial"/>
          <w:color w:val="auto"/>
          <w:sz w:val="22"/>
          <w:szCs w:val="22"/>
          <w:highlight w:val="none"/>
          <w:lang w:eastAsia="zh-CN"/>
        </w:rPr>
        <w:t>：</w:t>
      </w:r>
      <w:r>
        <w:rPr>
          <w:rFonts w:hint="eastAsia" w:ascii="Arial" w:hAnsi="Arial" w:cs="Arial"/>
          <w:color w:val="auto"/>
          <w:kern w:val="0"/>
          <w:sz w:val="22"/>
          <w:szCs w:val="22"/>
          <w:highlight w:val="none"/>
          <w:lang w:eastAsia="zh-CN"/>
        </w:rPr>
        <w:t>邱隘镇公共安全高清视频监控服务项目</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数量</w:t>
      </w:r>
      <w:r>
        <w:rPr>
          <w:rFonts w:hint="eastAsia" w:ascii="Arial" w:hAnsi="Arial" w:cs="Arial"/>
          <w:color w:val="auto"/>
          <w:sz w:val="22"/>
          <w:szCs w:val="22"/>
          <w:highlight w:val="none"/>
          <w:lang w:eastAsia="zh-CN" w:bidi="ar"/>
        </w:rPr>
        <w:t>：</w:t>
      </w:r>
      <w:r>
        <w:rPr>
          <w:rFonts w:hint="default" w:ascii="Arial" w:hAnsi="Arial" w:cs="Arial"/>
          <w:color w:val="auto"/>
          <w:sz w:val="22"/>
          <w:szCs w:val="22"/>
          <w:highlight w:val="none"/>
        </w:rPr>
        <w:t>1批</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Arial" w:hAnsi="Arial" w:eastAsia="宋体" w:cs="Arial"/>
          <w:color w:val="auto"/>
          <w:sz w:val="22"/>
          <w:szCs w:val="22"/>
          <w:highlight w:val="none"/>
          <w:lang w:val="en-US" w:eastAsia="zh-CN"/>
        </w:rPr>
      </w:pPr>
      <w:r>
        <w:rPr>
          <w:rFonts w:hint="default" w:ascii="Arial" w:hAnsi="Arial" w:cs="Arial"/>
          <w:color w:val="auto"/>
          <w:sz w:val="22"/>
          <w:szCs w:val="22"/>
          <w:highlight w:val="none"/>
        </w:rPr>
        <w:t>预算金额</w:t>
      </w:r>
      <w:r>
        <w:rPr>
          <w:rFonts w:hint="eastAsia" w:ascii="Arial" w:hAnsi="Arial" w:cs="Arial"/>
          <w:color w:val="auto"/>
          <w:sz w:val="22"/>
          <w:szCs w:val="22"/>
          <w:highlight w:val="none"/>
          <w:lang w:eastAsia="zh-CN"/>
        </w:rPr>
        <w:t>（元）</w:t>
      </w:r>
      <w:r>
        <w:rPr>
          <w:rFonts w:hint="default" w:ascii="Arial" w:hAnsi="Arial" w:cs="Arial"/>
          <w:color w:val="auto"/>
          <w:sz w:val="22"/>
          <w:szCs w:val="22"/>
          <w:highlight w:val="none"/>
        </w:rPr>
        <w:t>：</w:t>
      </w:r>
      <w:r>
        <w:rPr>
          <w:rFonts w:hint="eastAsia" w:ascii="Arial" w:hAnsi="Arial" w:cs="Arial"/>
          <w:b w:val="0"/>
          <w:bCs w:val="0"/>
          <w:color w:val="auto"/>
          <w:sz w:val="22"/>
          <w:szCs w:val="22"/>
          <w:highlight w:val="none"/>
          <w:u w:val="none"/>
          <w:lang w:eastAsia="zh-CN"/>
        </w:rPr>
        <w:t>7073277</w:t>
      </w:r>
    </w:p>
    <w:p>
      <w:pPr>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eastAsia="zh-CN"/>
        </w:rPr>
        <w:t>简要规格描述或项目基本概况介绍、用途：</w:t>
      </w:r>
      <w:r>
        <w:rPr>
          <w:rFonts w:hint="eastAsia" w:ascii="Arial" w:hAnsi="Arial" w:eastAsia="宋体" w:cs="Arial"/>
          <w:color w:val="auto"/>
          <w:sz w:val="22"/>
          <w:szCs w:val="22"/>
          <w:highlight w:val="none"/>
          <w:lang w:val="en-US" w:eastAsia="zh-CN"/>
        </w:rPr>
        <w:t>邱隘镇公共安全高清视频监控服务项目范围内的前端感知系统、传输网络系统、存储及平台扩容的采购、安装、调试及运维等，</w:t>
      </w:r>
      <w:r>
        <w:rPr>
          <w:rFonts w:hint="default" w:ascii="Arial" w:hAnsi="Arial" w:eastAsia="宋体" w:cs="Arial"/>
          <w:color w:val="auto"/>
          <w:sz w:val="22"/>
          <w:szCs w:val="22"/>
          <w:highlight w:val="none"/>
          <w:lang w:val="en-US" w:eastAsia="zh-CN"/>
        </w:rPr>
        <w:t>具体详见招标采购文件第二章招标采购需求。</w:t>
      </w:r>
    </w:p>
    <w:p>
      <w:pPr>
        <w:pageBreakBefore w:val="0"/>
        <w:kinsoku/>
        <w:wordWrap/>
        <w:overflowPunct/>
        <w:topLinePunct w:val="0"/>
        <w:autoSpaceDE/>
        <w:autoSpaceDN/>
        <w:bidi w:val="0"/>
        <w:spacing w:line="480" w:lineRule="exact"/>
        <w:ind w:firstLine="440" w:firstLineChars="200"/>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eastAsia="zh-CN"/>
        </w:rPr>
        <w:t>备注：</w:t>
      </w:r>
    </w:p>
    <w:p>
      <w:pPr>
        <w:pageBreakBefore w:val="0"/>
        <w:kinsoku/>
        <w:wordWrap/>
        <w:overflowPunct/>
        <w:topLinePunct w:val="0"/>
        <w:autoSpaceDE/>
        <w:autoSpaceDN/>
        <w:bidi w:val="0"/>
        <w:spacing w:line="480" w:lineRule="exact"/>
        <w:ind w:firstLine="440" w:firstLineChars="200"/>
        <w:textAlignment w:val="auto"/>
        <w:rPr>
          <w:rFonts w:hint="eastAsia" w:ascii="Arial" w:hAnsi="Arial" w:eastAsia="宋体" w:cs="Arial"/>
          <w:color w:val="auto"/>
          <w:sz w:val="22"/>
          <w:szCs w:val="22"/>
          <w:highlight w:val="none"/>
          <w:lang w:eastAsia="zh-CN"/>
        </w:rPr>
      </w:pPr>
      <w:r>
        <w:rPr>
          <w:rFonts w:hint="default" w:ascii="Arial" w:hAnsi="Arial" w:cs="Arial"/>
          <w:color w:val="auto"/>
          <w:sz w:val="22"/>
          <w:szCs w:val="22"/>
          <w:highlight w:val="none"/>
        </w:rPr>
        <w:t>合同履行期限：</w:t>
      </w:r>
      <w:r>
        <w:rPr>
          <w:rFonts w:hint="eastAsia" w:ascii="Arial" w:hAnsi="Arial" w:cs="Arial"/>
          <w:color w:val="auto"/>
          <w:sz w:val="22"/>
          <w:szCs w:val="22"/>
          <w:highlight w:val="none"/>
          <w:lang w:val="en-US" w:eastAsia="zh-CN"/>
        </w:rPr>
        <w:t>4个月内安装调试完毕且验收合格</w:t>
      </w:r>
      <w:r>
        <w:rPr>
          <w:rFonts w:hint="default" w:ascii="Arial" w:hAnsi="Arial" w:cs="Arial"/>
          <w:color w:val="auto"/>
          <w:sz w:val="22"/>
          <w:szCs w:val="22"/>
          <w:highlight w:val="none"/>
        </w:rPr>
        <w:t>。</w:t>
      </w:r>
    </w:p>
    <w:p>
      <w:pPr>
        <w:pStyle w:val="5"/>
        <w:pageBreakBefore w:val="0"/>
        <w:kinsoku/>
        <w:wordWrap/>
        <w:overflowPunct/>
        <w:topLinePunct w:val="0"/>
        <w:autoSpaceDE/>
        <w:autoSpaceDN/>
        <w:bidi w:val="0"/>
        <w:spacing w:before="0" w:beforeLines="0" w:after="0" w:afterLines="0" w:line="480" w:lineRule="exact"/>
        <w:ind w:firstLine="440" w:firstLineChars="200"/>
        <w:textAlignment w:val="auto"/>
        <w:rPr>
          <w:rFonts w:hint="default" w:ascii="Arial" w:hAnsi="Arial" w:eastAsia="宋体" w:cs="Arial"/>
          <w:b w:val="0"/>
          <w:bCs w:val="0"/>
          <w:color w:val="auto"/>
          <w:kern w:val="0"/>
          <w:sz w:val="22"/>
          <w:szCs w:val="22"/>
          <w:highlight w:val="none"/>
          <w:lang w:val="en-US" w:eastAsia="zh-CN" w:bidi="ar-SA"/>
        </w:rPr>
      </w:pPr>
      <w:bookmarkStart w:id="9" w:name="_Toc28359003"/>
      <w:bookmarkStart w:id="10" w:name="_Toc50910763"/>
      <w:bookmarkStart w:id="11" w:name="_Toc35393622"/>
      <w:bookmarkStart w:id="12" w:name="_Toc35393791"/>
      <w:bookmarkStart w:id="13" w:name="_Toc28359080"/>
      <w:r>
        <w:rPr>
          <w:rFonts w:hint="default" w:ascii="Arial" w:hAnsi="Arial" w:eastAsia="宋体" w:cs="Arial"/>
          <w:b w:val="0"/>
          <w:bCs w:val="0"/>
          <w:color w:val="auto"/>
          <w:kern w:val="0"/>
          <w:sz w:val="22"/>
          <w:szCs w:val="22"/>
          <w:highlight w:val="none"/>
          <w:lang w:val="en-US" w:eastAsia="zh-CN" w:bidi="ar-SA"/>
        </w:rPr>
        <w:t>本项目（否）接受联合体投标。</w:t>
      </w:r>
    </w:p>
    <w:p>
      <w:pPr>
        <w:pStyle w:val="5"/>
        <w:pageBreakBefore w:val="0"/>
        <w:kinsoku/>
        <w:wordWrap/>
        <w:overflowPunct/>
        <w:topLinePunct w:val="0"/>
        <w:autoSpaceDE/>
        <w:autoSpaceDN/>
        <w:bidi w:val="0"/>
        <w:spacing w:before="0" w:beforeLines="0" w:after="0" w:afterLines="0" w:line="480" w:lineRule="exact"/>
        <w:textAlignment w:val="auto"/>
        <w:rPr>
          <w:rFonts w:hint="default" w:ascii="Arial" w:hAnsi="Arial" w:eastAsia="宋体" w:cs="Arial"/>
          <w:bCs w:val="0"/>
          <w:color w:val="auto"/>
          <w:sz w:val="22"/>
          <w:szCs w:val="22"/>
          <w:highlight w:val="none"/>
        </w:rPr>
      </w:pPr>
      <w:r>
        <w:rPr>
          <w:rFonts w:hint="default" w:ascii="Arial" w:hAnsi="Arial" w:eastAsia="宋体" w:cs="Arial"/>
          <w:bCs w:val="0"/>
          <w:color w:val="auto"/>
          <w:sz w:val="22"/>
          <w:szCs w:val="22"/>
          <w:highlight w:val="none"/>
        </w:rPr>
        <w:t>二、申请人的资格要求</w:t>
      </w:r>
      <w:bookmarkEnd w:id="9"/>
      <w:bookmarkEnd w:id="10"/>
      <w:bookmarkEnd w:id="11"/>
      <w:bookmarkEnd w:id="12"/>
      <w:bookmarkEnd w:id="13"/>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b w:val="0"/>
          <w:bCs/>
          <w:color w:val="auto"/>
          <w:sz w:val="22"/>
          <w:szCs w:val="22"/>
          <w:highlight w:val="none"/>
        </w:rPr>
      </w:pPr>
      <w:bookmarkStart w:id="14" w:name="_Toc28359081"/>
      <w:bookmarkStart w:id="15" w:name="_Toc50910764"/>
      <w:bookmarkStart w:id="16" w:name="_Toc35393792"/>
      <w:bookmarkStart w:id="17" w:name="_Toc28359004"/>
      <w:bookmarkStart w:id="18" w:name="_Toc35393623"/>
      <w:r>
        <w:rPr>
          <w:rFonts w:hint="default" w:ascii="Arial" w:hAnsi="Arial" w:eastAsia="宋体" w:cs="Arial"/>
          <w:b w:val="0"/>
          <w:bCs/>
          <w:color w:val="auto"/>
          <w:sz w:val="22"/>
          <w:szCs w:val="22"/>
          <w:highlight w:val="none"/>
        </w:rPr>
        <w:t>1.符合《中华人民共和国政府采购法》第二十二条规定。未被“信用中国”（www.creditchina.gov.cn）、中国政府采购网（www.ccgp.gov.cn）列入失信被执行人、重大税收违法案件当事人名单、政府采购严重违法失信行为记录名单。</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b w:val="0"/>
          <w:bCs/>
          <w:color w:val="auto"/>
          <w:sz w:val="22"/>
          <w:szCs w:val="22"/>
          <w:highlight w:val="none"/>
        </w:rPr>
      </w:pPr>
      <w:r>
        <w:rPr>
          <w:rFonts w:hint="default" w:ascii="Arial" w:hAnsi="Arial" w:eastAsia="宋体" w:cs="Arial"/>
          <w:b w:val="0"/>
          <w:bCs/>
          <w:color w:val="auto"/>
          <w:sz w:val="22"/>
          <w:szCs w:val="22"/>
          <w:highlight w:val="none"/>
        </w:rPr>
        <w:t>2.落实政府采购政策需满足的资格要求：无；</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b w:val="0"/>
          <w:bCs/>
          <w:color w:val="auto"/>
          <w:sz w:val="22"/>
          <w:szCs w:val="22"/>
          <w:highlight w:val="none"/>
        </w:rPr>
      </w:pPr>
      <w:r>
        <w:rPr>
          <w:rFonts w:hint="default" w:ascii="Arial" w:hAnsi="Arial" w:eastAsia="宋体" w:cs="Arial"/>
          <w:b w:val="0"/>
          <w:bCs/>
          <w:color w:val="auto"/>
          <w:sz w:val="22"/>
          <w:szCs w:val="22"/>
          <w:highlight w:val="none"/>
        </w:rPr>
        <w:t>3.本项目的特定资格要求：</w:t>
      </w:r>
      <w:r>
        <w:rPr>
          <w:rFonts w:hint="eastAsia" w:ascii="Arial" w:hAnsi="Arial" w:eastAsia="宋体" w:cs="Arial"/>
          <w:b w:val="0"/>
          <w:bCs/>
          <w:color w:val="auto"/>
          <w:sz w:val="22"/>
          <w:szCs w:val="22"/>
          <w:highlight w:val="none"/>
          <w:lang w:val="en-US" w:eastAsia="zh-CN"/>
        </w:rPr>
        <w:t>投标人须具有基础电信业务经营许可证。</w:t>
      </w:r>
    </w:p>
    <w:p>
      <w:pPr>
        <w:pageBreakBefore w:val="0"/>
        <w:kinsoku/>
        <w:wordWrap/>
        <w:overflowPunct/>
        <w:topLinePunct w:val="0"/>
        <w:autoSpaceDE/>
        <w:autoSpaceDN/>
        <w:bidi w:val="0"/>
        <w:spacing w:line="480" w:lineRule="exact"/>
        <w:ind w:firstLine="442" w:firstLineChars="200"/>
        <w:textAlignment w:val="auto"/>
        <w:rPr>
          <w:rFonts w:hint="default" w:ascii="Arial" w:hAnsi="Arial" w:eastAsia="宋体" w:cs="Arial"/>
          <w:bCs/>
          <w:color w:val="auto"/>
          <w:sz w:val="22"/>
          <w:szCs w:val="22"/>
          <w:highlight w:val="none"/>
          <w:lang w:eastAsia="zh-CN"/>
        </w:rPr>
      </w:pPr>
      <w:r>
        <w:rPr>
          <w:rFonts w:hint="default" w:ascii="Arial" w:hAnsi="Arial" w:eastAsia="宋体" w:cs="Arial"/>
          <w:b/>
          <w:bCs w:val="0"/>
          <w:color w:val="auto"/>
          <w:sz w:val="22"/>
          <w:szCs w:val="22"/>
          <w:highlight w:val="none"/>
        </w:rPr>
        <w:t>三、获取招标文件</w:t>
      </w:r>
      <w:bookmarkEnd w:id="14"/>
      <w:bookmarkEnd w:id="15"/>
      <w:bookmarkEnd w:id="16"/>
      <w:bookmarkEnd w:id="17"/>
      <w:bookmarkEnd w:id="18"/>
    </w:p>
    <w:p>
      <w:pPr>
        <w:pageBreakBefore w:val="0"/>
        <w:widowControl/>
        <w:kinsoku/>
        <w:wordWrap/>
        <w:overflowPunct/>
        <w:topLinePunct w:val="0"/>
        <w:autoSpaceDE/>
        <w:autoSpaceDN/>
        <w:bidi w:val="0"/>
        <w:spacing w:line="480" w:lineRule="exact"/>
        <w:ind w:firstLine="440" w:firstLineChars="200"/>
        <w:jc w:val="left"/>
        <w:textAlignment w:val="auto"/>
        <w:rPr>
          <w:rFonts w:hint="default" w:ascii="Arial" w:hAnsi="Arial" w:cs="Arial"/>
          <w:color w:val="auto"/>
          <w:kern w:val="0"/>
          <w:sz w:val="22"/>
          <w:szCs w:val="22"/>
          <w:highlight w:val="none"/>
          <w:lang w:bidi="ar"/>
        </w:rPr>
      </w:pPr>
      <w:bookmarkStart w:id="19" w:name="_Toc28359005"/>
      <w:bookmarkStart w:id="20" w:name="_Toc28359082"/>
      <w:bookmarkStart w:id="21" w:name="_Toc35393793"/>
      <w:bookmarkStart w:id="22" w:name="_Toc35393624"/>
      <w:r>
        <w:rPr>
          <w:rFonts w:hint="default" w:ascii="Arial" w:hAnsi="Arial" w:cs="Arial"/>
          <w:color w:val="auto"/>
          <w:kern w:val="0"/>
          <w:sz w:val="22"/>
          <w:szCs w:val="22"/>
          <w:highlight w:val="none"/>
          <w:lang w:bidi="ar"/>
        </w:rPr>
        <w:t>时间：</w:t>
      </w:r>
      <w:r>
        <w:rPr>
          <w:rFonts w:hint="default" w:ascii="Arial" w:hAnsi="Arial" w:cs="Arial"/>
          <w:b/>
          <w:bCs/>
          <w:color w:val="auto"/>
          <w:sz w:val="22"/>
          <w:szCs w:val="22"/>
          <w:highlight w:val="none"/>
          <w:u w:val="single"/>
        </w:rPr>
        <w:t>202</w:t>
      </w:r>
      <w:r>
        <w:rPr>
          <w:rFonts w:hint="eastAsia" w:ascii="Arial" w:hAnsi="Arial" w:cs="Arial"/>
          <w:b/>
          <w:bCs/>
          <w:color w:val="auto"/>
          <w:sz w:val="22"/>
          <w:szCs w:val="22"/>
          <w:highlight w:val="none"/>
          <w:u w:val="single"/>
          <w:lang w:val="en-US" w:eastAsia="zh-CN"/>
        </w:rPr>
        <w:t>2</w:t>
      </w:r>
      <w:r>
        <w:rPr>
          <w:rFonts w:hint="default" w:ascii="Arial" w:hAnsi="Arial" w:cs="Arial"/>
          <w:b/>
          <w:bCs/>
          <w:color w:val="auto"/>
          <w:sz w:val="22"/>
          <w:szCs w:val="22"/>
          <w:highlight w:val="none"/>
          <w:u w:val="single"/>
        </w:rPr>
        <w:t>年</w:t>
      </w:r>
      <w:r>
        <w:rPr>
          <w:rFonts w:hint="eastAsia" w:ascii="Arial" w:hAnsi="Arial" w:cs="Arial"/>
          <w:b/>
          <w:bCs/>
          <w:color w:val="auto"/>
          <w:sz w:val="22"/>
          <w:szCs w:val="22"/>
          <w:highlight w:val="none"/>
          <w:u w:val="single"/>
          <w:lang w:val="en-US" w:eastAsia="zh-CN"/>
        </w:rPr>
        <w:t>9</w:t>
      </w:r>
      <w:r>
        <w:rPr>
          <w:rFonts w:hint="default"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2</w:t>
      </w:r>
      <w:r>
        <w:rPr>
          <w:rFonts w:hint="eastAsia" w:ascii="Arial" w:hAnsi="Arial" w:cs="Arial"/>
          <w:b/>
          <w:bCs/>
          <w:color w:val="auto"/>
          <w:sz w:val="22"/>
          <w:szCs w:val="22"/>
          <w:highlight w:val="none"/>
          <w:u w:val="single"/>
          <w:lang w:val="en-US" w:eastAsia="zh-CN"/>
        </w:rPr>
        <w:t>2</w:t>
      </w:r>
      <w:r>
        <w:rPr>
          <w:rFonts w:hint="default" w:ascii="Arial" w:hAnsi="Arial" w:cs="Arial"/>
          <w:b/>
          <w:bCs/>
          <w:color w:val="auto"/>
          <w:sz w:val="22"/>
          <w:szCs w:val="22"/>
          <w:highlight w:val="none"/>
          <w:u w:val="single"/>
        </w:rPr>
        <w:t>日至202</w:t>
      </w:r>
      <w:r>
        <w:rPr>
          <w:rFonts w:hint="eastAsia" w:ascii="Arial" w:hAnsi="Arial" w:cs="Arial"/>
          <w:b/>
          <w:bCs/>
          <w:color w:val="auto"/>
          <w:sz w:val="22"/>
          <w:szCs w:val="22"/>
          <w:highlight w:val="none"/>
          <w:u w:val="single"/>
          <w:lang w:val="en-US" w:eastAsia="zh-CN"/>
        </w:rPr>
        <w:t>2</w:t>
      </w:r>
      <w:r>
        <w:rPr>
          <w:rFonts w:hint="default" w:ascii="Arial" w:hAnsi="Arial" w:cs="Arial"/>
          <w:b/>
          <w:bCs/>
          <w:color w:val="auto"/>
          <w:sz w:val="22"/>
          <w:szCs w:val="22"/>
          <w:highlight w:val="none"/>
          <w:u w:val="single"/>
        </w:rPr>
        <w:t>年</w:t>
      </w:r>
      <w:r>
        <w:rPr>
          <w:rFonts w:hint="eastAsia" w:ascii="Arial" w:hAnsi="Arial" w:cs="Arial"/>
          <w:b/>
          <w:bCs/>
          <w:color w:val="auto"/>
          <w:sz w:val="22"/>
          <w:szCs w:val="22"/>
          <w:highlight w:val="none"/>
          <w:u w:val="single"/>
          <w:lang w:val="en-US" w:eastAsia="zh-CN"/>
        </w:rPr>
        <w:t>9</w:t>
      </w:r>
      <w:r>
        <w:rPr>
          <w:rFonts w:hint="default"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2</w:t>
      </w:r>
      <w:r>
        <w:rPr>
          <w:rFonts w:hint="eastAsia" w:ascii="Arial" w:hAnsi="Arial" w:cs="Arial"/>
          <w:b/>
          <w:bCs/>
          <w:color w:val="auto"/>
          <w:sz w:val="22"/>
          <w:szCs w:val="22"/>
          <w:highlight w:val="none"/>
          <w:u w:val="single"/>
          <w:lang w:val="en-US" w:eastAsia="zh-CN"/>
        </w:rPr>
        <w:t>9</w:t>
      </w:r>
      <w:r>
        <w:rPr>
          <w:rFonts w:hint="default" w:ascii="Arial" w:hAnsi="Arial" w:cs="Arial"/>
          <w:b/>
          <w:bCs/>
          <w:color w:val="auto"/>
          <w:sz w:val="22"/>
          <w:szCs w:val="22"/>
          <w:highlight w:val="none"/>
          <w:u w:val="single"/>
        </w:rPr>
        <w:t>日 ，每天上午00:00至12:00 ，下午12:00至23:59</w:t>
      </w:r>
      <w:r>
        <w:rPr>
          <w:rFonts w:hint="default" w:ascii="Arial" w:hAnsi="Arial" w:cs="Arial"/>
          <w:color w:val="auto"/>
          <w:kern w:val="0"/>
          <w:sz w:val="22"/>
          <w:szCs w:val="22"/>
          <w:highlight w:val="none"/>
          <w:lang w:bidi="ar"/>
        </w:rPr>
        <w:t>（北京时间）</w:t>
      </w:r>
    </w:p>
    <w:p>
      <w:pPr>
        <w:pageBreakBefore w:val="0"/>
        <w:widowControl/>
        <w:kinsoku/>
        <w:wordWrap/>
        <w:overflowPunct/>
        <w:topLinePunct w:val="0"/>
        <w:autoSpaceDE/>
        <w:autoSpaceDN/>
        <w:bidi w:val="0"/>
        <w:spacing w:line="480" w:lineRule="exact"/>
        <w:ind w:firstLine="440" w:firstLineChars="200"/>
        <w:jc w:val="left"/>
        <w:textAlignment w:val="auto"/>
        <w:rPr>
          <w:rFonts w:hint="default" w:ascii="Arial" w:hAnsi="Arial" w:cs="Arial"/>
          <w:color w:val="auto"/>
          <w:kern w:val="0"/>
          <w:sz w:val="22"/>
          <w:szCs w:val="22"/>
          <w:highlight w:val="none"/>
          <w:lang w:bidi="ar"/>
        </w:rPr>
      </w:pPr>
      <w:r>
        <w:rPr>
          <w:rFonts w:hint="default" w:ascii="Arial" w:hAnsi="Arial" w:cs="Arial"/>
          <w:color w:val="auto"/>
          <w:kern w:val="0"/>
          <w:sz w:val="22"/>
          <w:szCs w:val="22"/>
          <w:highlight w:val="none"/>
          <w:lang w:bidi="ar"/>
        </w:rPr>
        <w:t>地点（网址）：浙江政府采购云平台（http://www.zcygov.cn/）。 </w:t>
      </w:r>
    </w:p>
    <w:p>
      <w:pPr>
        <w:pageBreakBefore w:val="0"/>
        <w:widowControl/>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shd w:val="clear" w:color="auto" w:fill="FFFFFF"/>
        </w:rPr>
      </w:pPr>
      <w:r>
        <w:rPr>
          <w:rFonts w:hint="default" w:ascii="Arial" w:hAnsi="Arial" w:cs="Arial"/>
          <w:color w:val="auto"/>
          <w:kern w:val="0"/>
          <w:sz w:val="22"/>
          <w:szCs w:val="22"/>
          <w:highlight w:val="none"/>
          <w:lang w:bidi="ar"/>
        </w:rPr>
        <w:t>方式：</w:t>
      </w:r>
      <w:r>
        <w:rPr>
          <w:rFonts w:hint="default" w:ascii="Arial" w:hAnsi="Arial" w:cs="Arial"/>
          <w:color w:val="auto"/>
          <w:sz w:val="22"/>
          <w:szCs w:val="22"/>
          <w:highlight w:val="none"/>
          <w:shd w:val="clear" w:color="auto" w:fill="FFFFFF"/>
        </w:rPr>
        <w:t>政府采购云平台→“政采云用户”登录→【项目采购】→【获取采购文件】； </w:t>
      </w:r>
    </w:p>
    <w:p>
      <w:pPr>
        <w:pageBreakBefore w:val="0"/>
        <w:widowControl/>
        <w:kinsoku/>
        <w:wordWrap/>
        <w:overflowPunct/>
        <w:topLinePunct w:val="0"/>
        <w:autoSpaceDE/>
        <w:autoSpaceDN/>
        <w:bidi w:val="0"/>
        <w:spacing w:line="480" w:lineRule="exact"/>
        <w:ind w:firstLine="440" w:firstLineChars="200"/>
        <w:jc w:val="left"/>
        <w:textAlignment w:val="auto"/>
        <w:rPr>
          <w:rFonts w:hint="default" w:ascii="Arial" w:hAnsi="Arial" w:cs="Arial"/>
          <w:color w:val="auto"/>
          <w:kern w:val="0"/>
          <w:sz w:val="22"/>
          <w:szCs w:val="22"/>
          <w:highlight w:val="none"/>
          <w:lang w:bidi="ar"/>
        </w:rPr>
      </w:pPr>
      <w:r>
        <w:rPr>
          <w:rFonts w:hint="default" w:ascii="Arial" w:hAnsi="Arial" w:cs="Arial"/>
          <w:color w:val="auto"/>
          <w:kern w:val="0"/>
          <w:sz w:val="22"/>
          <w:szCs w:val="22"/>
          <w:highlight w:val="none"/>
          <w:lang w:bidi="ar"/>
        </w:rPr>
        <w:t>售价（元）：0。</w:t>
      </w:r>
    </w:p>
    <w:p>
      <w:pPr>
        <w:pStyle w:val="5"/>
        <w:pageBreakBefore w:val="0"/>
        <w:kinsoku/>
        <w:wordWrap/>
        <w:overflowPunct/>
        <w:topLinePunct w:val="0"/>
        <w:autoSpaceDE/>
        <w:autoSpaceDN/>
        <w:bidi w:val="0"/>
        <w:spacing w:before="0" w:beforeLines="0" w:after="0" w:afterLines="0" w:line="480" w:lineRule="exact"/>
        <w:textAlignment w:val="auto"/>
        <w:rPr>
          <w:rFonts w:hint="default" w:ascii="Arial" w:hAnsi="Arial" w:eastAsia="宋体" w:cs="Arial"/>
          <w:bCs w:val="0"/>
          <w:color w:val="auto"/>
          <w:sz w:val="22"/>
          <w:szCs w:val="22"/>
          <w:highlight w:val="none"/>
        </w:rPr>
      </w:pPr>
      <w:bookmarkStart w:id="23" w:name="_Toc50910765"/>
      <w:r>
        <w:rPr>
          <w:rFonts w:hint="default" w:ascii="Arial" w:hAnsi="Arial" w:eastAsia="宋体" w:cs="Arial"/>
          <w:bCs w:val="0"/>
          <w:color w:val="auto"/>
          <w:sz w:val="22"/>
          <w:szCs w:val="22"/>
          <w:highlight w:val="none"/>
        </w:rPr>
        <w:t>四、提交投标文件</w:t>
      </w:r>
      <w:bookmarkEnd w:id="19"/>
      <w:bookmarkEnd w:id="20"/>
      <w:r>
        <w:rPr>
          <w:rFonts w:hint="default" w:ascii="Arial" w:hAnsi="Arial" w:eastAsia="宋体" w:cs="Arial"/>
          <w:bCs w:val="0"/>
          <w:color w:val="auto"/>
          <w:sz w:val="22"/>
          <w:szCs w:val="22"/>
          <w:highlight w:val="none"/>
        </w:rPr>
        <w:t>截止时间、开标时间和地点</w:t>
      </w:r>
      <w:bookmarkEnd w:id="21"/>
      <w:bookmarkEnd w:id="22"/>
      <w:bookmarkEnd w:id="23"/>
    </w:p>
    <w:p>
      <w:pPr>
        <w:pStyle w:val="43"/>
        <w:pageBreakBefore w:val="0"/>
        <w:kinsoku/>
        <w:wordWrap/>
        <w:overflowPunct/>
        <w:topLinePunct w:val="0"/>
        <w:autoSpaceDE/>
        <w:autoSpaceDN/>
        <w:bidi w:val="0"/>
        <w:spacing w:before="0" w:beforeLines="0" w:beforeAutospacing="0" w:after="0" w:afterLines="0" w:afterAutospacing="0" w:line="480" w:lineRule="exact"/>
        <w:ind w:firstLine="420"/>
        <w:textAlignment w:val="auto"/>
        <w:rPr>
          <w:rFonts w:hint="default" w:ascii="Arial" w:hAnsi="Arial" w:eastAsia="微软雅黑" w:cs="Arial"/>
          <w:color w:val="auto"/>
          <w:sz w:val="22"/>
          <w:szCs w:val="22"/>
          <w:highlight w:val="none"/>
        </w:rPr>
      </w:pPr>
      <w:bookmarkStart w:id="24" w:name="_Toc28359007"/>
      <w:bookmarkStart w:id="25" w:name="_Toc28359084"/>
      <w:bookmarkStart w:id="26" w:name="_Toc35393625"/>
      <w:bookmarkStart w:id="27" w:name="_Toc35393794"/>
      <w:r>
        <w:rPr>
          <w:rFonts w:hint="default" w:ascii="Arial" w:hAnsi="Arial" w:cs="Arial"/>
          <w:color w:val="auto"/>
          <w:sz w:val="22"/>
          <w:szCs w:val="22"/>
          <w:highlight w:val="none"/>
          <w:shd w:val="clear" w:color="auto" w:fill="FFFFFF"/>
        </w:rPr>
        <w:t>提交投标文件截止时</w:t>
      </w:r>
      <w:r>
        <w:rPr>
          <w:rFonts w:hint="default" w:ascii="Arial" w:hAnsi="Arial" w:cs="Arial"/>
          <w:color w:val="auto"/>
          <w:sz w:val="22"/>
          <w:szCs w:val="22"/>
          <w:highlight w:val="none"/>
          <w:u w:val="none"/>
          <w:shd w:val="clear" w:color="auto" w:fill="FFFFFF"/>
        </w:rPr>
        <w:t>间</w:t>
      </w:r>
      <w:r>
        <w:rPr>
          <w:rFonts w:hint="default" w:ascii="Arial" w:hAnsi="Arial" w:cs="Arial"/>
          <w:b/>
          <w:bCs/>
          <w:color w:val="auto"/>
          <w:kern w:val="2"/>
          <w:sz w:val="22"/>
          <w:szCs w:val="22"/>
          <w:highlight w:val="none"/>
          <w:u w:val="none"/>
        </w:rPr>
        <w:t>：</w:t>
      </w:r>
      <w:r>
        <w:rPr>
          <w:rFonts w:hint="default" w:ascii="Arial" w:hAnsi="Arial" w:cs="Arial"/>
          <w:b/>
          <w:bCs/>
          <w:color w:val="auto"/>
          <w:kern w:val="2"/>
          <w:sz w:val="22"/>
          <w:szCs w:val="22"/>
          <w:highlight w:val="none"/>
          <w:u w:val="single"/>
        </w:rPr>
        <w:t>202</w:t>
      </w:r>
      <w:r>
        <w:rPr>
          <w:rFonts w:hint="eastAsia" w:ascii="Arial" w:hAnsi="Arial" w:cs="Arial"/>
          <w:b/>
          <w:bCs/>
          <w:color w:val="auto"/>
          <w:kern w:val="2"/>
          <w:sz w:val="22"/>
          <w:szCs w:val="22"/>
          <w:highlight w:val="none"/>
          <w:u w:val="single"/>
          <w:lang w:val="en-US" w:eastAsia="zh-CN"/>
        </w:rPr>
        <w:t>2</w:t>
      </w:r>
      <w:r>
        <w:rPr>
          <w:rFonts w:hint="default" w:ascii="Arial" w:hAnsi="Arial" w:cs="Arial"/>
          <w:b/>
          <w:bCs/>
          <w:color w:val="auto"/>
          <w:kern w:val="2"/>
          <w:sz w:val="22"/>
          <w:szCs w:val="22"/>
          <w:highlight w:val="none"/>
          <w:u w:val="single"/>
        </w:rPr>
        <w:t>年</w:t>
      </w:r>
      <w:r>
        <w:rPr>
          <w:rFonts w:hint="eastAsia" w:ascii="Arial" w:hAnsi="Arial" w:cs="Arial"/>
          <w:b/>
          <w:bCs/>
          <w:color w:val="auto"/>
          <w:sz w:val="22"/>
          <w:szCs w:val="22"/>
          <w:highlight w:val="none"/>
          <w:u w:val="single"/>
          <w:lang w:val="en-US" w:eastAsia="zh-CN"/>
        </w:rPr>
        <w:t>10</w:t>
      </w:r>
      <w:r>
        <w:rPr>
          <w:rFonts w:hint="default"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13</w:t>
      </w:r>
      <w:r>
        <w:rPr>
          <w:rFonts w:hint="default" w:ascii="Arial" w:hAnsi="Arial" w:cs="Arial"/>
          <w:b/>
          <w:bCs/>
          <w:color w:val="auto"/>
          <w:sz w:val="22"/>
          <w:szCs w:val="22"/>
          <w:highlight w:val="none"/>
          <w:u w:val="single"/>
        </w:rPr>
        <w:t>日</w:t>
      </w:r>
      <w:r>
        <w:rPr>
          <w:rFonts w:hint="eastAsia" w:ascii="Arial" w:hAnsi="Arial" w:cs="Arial"/>
          <w:b/>
          <w:bCs/>
          <w:color w:val="auto"/>
          <w:kern w:val="2"/>
          <w:sz w:val="22"/>
          <w:szCs w:val="22"/>
          <w:highlight w:val="none"/>
          <w:u w:val="single"/>
          <w:lang w:val="en-US" w:eastAsia="zh-CN"/>
        </w:rPr>
        <w:t>1</w:t>
      </w:r>
      <w:r>
        <w:rPr>
          <w:rFonts w:hint="eastAsia" w:ascii="Arial" w:hAnsi="Arial" w:cs="Arial"/>
          <w:b/>
          <w:bCs/>
          <w:color w:val="auto"/>
          <w:kern w:val="2"/>
          <w:sz w:val="22"/>
          <w:szCs w:val="22"/>
          <w:highlight w:val="none"/>
          <w:u w:val="single"/>
          <w:lang w:val="en-US" w:eastAsia="zh-CN"/>
        </w:rPr>
        <w:t>3</w:t>
      </w:r>
      <w:r>
        <w:rPr>
          <w:rFonts w:hint="default" w:ascii="Arial" w:hAnsi="Arial" w:cs="Arial"/>
          <w:b/>
          <w:bCs/>
          <w:color w:val="auto"/>
          <w:kern w:val="2"/>
          <w:sz w:val="22"/>
          <w:szCs w:val="22"/>
          <w:highlight w:val="none"/>
          <w:u w:val="single"/>
        </w:rPr>
        <w:t>:</w:t>
      </w:r>
      <w:r>
        <w:rPr>
          <w:rFonts w:hint="eastAsia" w:ascii="Arial" w:hAnsi="Arial" w:cs="Arial"/>
          <w:b/>
          <w:bCs/>
          <w:color w:val="auto"/>
          <w:kern w:val="2"/>
          <w:sz w:val="22"/>
          <w:szCs w:val="22"/>
          <w:highlight w:val="none"/>
          <w:u w:val="single"/>
          <w:lang w:val="en-US" w:eastAsia="zh-CN"/>
        </w:rPr>
        <w:t>3</w:t>
      </w:r>
      <w:r>
        <w:rPr>
          <w:rFonts w:hint="default" w:ascii="Arial" w:hAnsi="Arial" w:cs="Arial"/>
          <w:b/>
          <w:bCs/>
          <w:color w:val="auto"/>
          <w:kern w:val="2"/>
          <w:sz w:val="22"/>
          <w:szCs w:val="22"/>
          <w:highlight w:val="none"/>
          <w:u w:val="single"/>
        </w:rPr>
        <w:t>0（北京时间）前</w:t>
      </w:r>
    </w:p>
    <w:p>
      <w:pPr>
        <w:pStyle w:val="43"/>
        <w:pageBreakBefore w:val="0"/>
        <w:kinsoku/>
        <w:wordWrap/>
        <w:overflowPunct/>
        <w:topLinePunct w:val="0"/>
        <w:autoSpaceDE/>
        <w:autoSpaceDN/>
        <w:bidi w:val="0"/>
        <w:spacing w:before="0" w:beforeLines="0" w:beforeAutospacing="0" w:after="0" w:afterLines="0" w:afterAutospacing="0" w:line="480" w:lineRule="exact"/>
        <w:ind w:firstLine="420"/>
        <w:textAlignment w:val="auto"/>
        <w:rPr>
          <w:rFonts w:hint="default" w:ascii="Arial" w:hAnsi="Arial" w:eastAsia="微软雅黑" w:cs="Arial"/>
          <w:color w:val="auto"/>
          <w:sz w:val="22"/>
          <w:szCs w:val="22"/>
          <w:highlight w:val="none"/>
        </w:rPr>
      </w:pPr>
      <w:r>
        <w:rPr>
          <w:rFonts w:hint="default" w:ascii="Arial" w:hAnsi="Arial" w:cs="Arial"/>
          <w:color w:val="auto"/>
          <w:sz w:val="22"/>
          <w:szCs w:val="22"/>
          <w:highlight w:val="none"/>
          <w:shd w:val="clear" w:color="auto" w:fill="FFFFFF"/>
        </w:rPr>
        <w:t>投标地点（网址）：</w:t>
      </w:r>
      <w:r>
        <w:rPr>
          <w:rFonts w:hint="default" w:ascii="Arial" w:hAnsi="Arial" w:cs="Arial"/>
          <w:color w:val="auto"/>
          <w:sz w:val="22"/>
          <w:szCs w:val="22"/>
          <w:highlight w:val="none"/>
          <w:u w:val="single"/>
          <w:shd w:val="clear" w:color="auto" w:fill="FFFFFF"/>
        </w:rPr>
        <w:t>本项目通过“政府采购云平台（www.zcygov.cn）”实行在线制作并提交投标文件（电子投标）。</w:t>
      </w:r>
    </w:p>
    <w:p>
      <w:pPr>
        <w:pStyle w:val="43"/>
        <w:pageBreakBefore w:val="0"/>
        <w:kinsoku/>
        <w:wordWrap/>
        <w:overflowPunct/>
        <w:topLinePunct w:val="0"/>
        <w:autoSpaceDE/>
        <w:autoSpaceDN/>
        <w:bidi w:val="0"/>
        <w:spacing w:before="0" w:beforeLines="0" w:beforeAutospacing="0" w:after="0" w:afterLines="0" w:afterAutospacing="0" w:line="480" w:lineRule="exact"/>
        <w:ind w:firstLine="420"/>
        <w:textAlignment w:val="auto"/>
        <w:rPr>
          <w:rFonts w:hint="default" w:ascii="Arial" w:hAnsi="Arial" w:cs="Arial"/>
          <w:b/>
          <w:bCs/>
          <w:color w:val="auto"/>
          <w:kern w:val="2"/>
          <w:sz w:val="22"/>
          <w:szCs w:val="22"/>
          <w:highlight w:val="none"/>
          <w:u w:val="single"/>
        </w:rPr>
      </w:pPr>
      <w:r>
        <w:rPr>
          <w:rFonts w:hint="default" w:ascii="Arial" w:hAnsi="Arial" w:cs="Arial"/>
          <w:color w:val="auto"/>
          <w:sz w:val="22"/>
          <w:szCs w:val="22"/>
          <w:highlight w:val="none"/>
          <w:shd w:val="clear" w:color="auto" w:fill="FFFFFF"/>
        </w:rPr>
        <w:t>开标时间：</w:t>
      </w:r>
      <w:r>
        <w:rPr>
          <w:rFonts w:hint="default" w:ascii="Arial" w:hAnsi="Arial" w:cs="Arial"/>
          <w:b/>
          <w:bCs/>
          <w:color w:val="auto"/>
          <w:kern w:val="2"/>
          <w:sz w:val="22"/>
          <w:szCs w:val="22"/>
          <w:highlight w:val="none"/>
          <w:u w:val="single"/>
        </w:rPr>
        <w:t>202</w:t>
      </w:r>
      <w:r>
        <w:rPr>
          <w:rFonts w:hint="eastAsia" w:ascii="Arial" w:hAnsi="Arial" w:cs="Arial"/>
          <w:b/>
          <w:bCs/>
          <w:color w:val="auto"/>
          <w:kern w:val="2"/>
          <w:sz w:val="22"/>
          <w:szCs w:val="22"/>
          <w:highlight w:val="none"/>
          <w:u w:val="single"/>
          <w:lang w:val="en-US" w:eastAsia="zh-CN"/>
        </w:rPr>
        <w:t>2</w:t>
      </w:r>
      <w:r>
        <w:rPr>
          <w:rFonts w:hint="default" w:ascii="Arial" w:hAnsi="Arial" w:cs="Arial"/>
          <w:b/>
          <w:bCs/>
          <w:color w:val="auto"/>
          <w:kern w:val="2"/>
          <w:sz w:val="22"/>
          <w:szCs w:val="22"/>
          <w:highlight w:val="none"/>
          <w:u w:val="single"/>
        </w:rPr>
        <w:t>年</w:t>
      </w:r>
      <w:r>
        <w:rPr>
          <w:rFonts w:hint="eastAsia" w:ascii="Arial" w:hAnsi="Arial" w:cs="Arial"/>
          <w:b/>
          <w:bCs/>
          <w:color w:val="auto"/>
          <w:sz w:val="22"/>
          <w:szCs w:val="22"/>
          <w:highlight w:val="none"/>
          <w:u w:val="single"/>
          <w:lang w:val="en-US" w:eastAsia="zh-CN"/>
        </w:rPr>
        <w:t>10</w:t>
      </w:r>
      <w:r>
        <w:rPr>
          <w:rFonts w:hint="default"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13</w:t>
      </w:r>
      <w:r>
        <w:rPr>
          <w:rFonts w:hint="default" w:ascii="Arial" w:hAnsi="Arial" w:cs="Arial"/>
          <w:b/>
          <w:bCs/>
          <w:color w:val="auto"/>
          <w:sz w:val="22"/>
          <w:szCs w:val="22"/>
          <w:highlight w:val="none"/>
          <w:u w:val="single"/>
        </w:rPr>
        <w:t>日</w:t>
      </w:r>
      <w:r>
        <w:rPr>
          <w:rFonts w:hint="eastAsia" w:ascii="Arial" w:hAnsi="Arial" w:cs="Arial"/>
          <w:b/>
          <w:bCs/>
          <w:color w:val="auto"/>
          <w:kern w:val="2"/>
          <w:sz w:val="22"/>
          <w:szCs w:val="22"/>
          <w:highlight w:val="none"/>
          <w:u w:val="single"/>
          <w:lang w:val="en-US" w:eastAsia="zh-CN"/>
        </w:rPr>
        <w:t>13</w:t>
      </w:r>
      <w:r>
        <w:rPr>
          <w:rFonts w:hint="default" w:ascii="Arial" w:hAnsi="Arial" w:cs="Arial"/>
          <w:b/>
          <w:bCs/>
          <w:color w:val="auto"/>
          <w:kern w:val="2"/>
          <w:sz w:val="22"/>
          <w:szCs w:val="22"/>
          <w:highlight w:val="none"/>
          <w:u w:val="single"/>
        </w:rPr>
        <w:t>:</w:t>
      </w:r>
      <w:r>
        <w:rPr>
          <w:rFonts w:hint="eastAsia" w:ascii="Arial" w:hAnsi="Arial" w:cs="Arial"/>
          <w:b/>
          <w:bCs/>
          <w:color w:val="auto"/>
          <w:kern w:val="2"/>
          <w:sz w:val="22"/>
          <w:szCs w:val="22"/>
          <w:highlight w:val="none"/>
          <w:u w:val="single"/>
          <w:lang w:val="en-US" w:eastAsia="zh-CN"/>
        </w:rPr>
        <w:t>3</w:t>
      </w:r>
      <w:r>
        <w:rPr>
          <w:rFonts w:hint="default" w:ascii="Arial" w:hAnsi="Arial" w:cs="Arial"/>
          <w:b/>
          <w:bCs/>
          <w:color w:val="auto"/>
          <w:kern w:val="2"/>
          <w:sz w:val="22"/>
          <w:szCs w:val="22"/>
          <w:highlight w:val="none"/>
          <w:u w:val="single"/>
        </w:rPr>
        <w:t>0</w:t>
      </w:r>
      <w:r>
        <w:rPr>
          <w:rFonts w:hint="default" w:ascii="Arial" w:hAnsi="Arial" w:cs="Arial"/>
          <w:b/>
          <w:bCs/>
          <w:color w:val="auto"/>
          <w:kern w:val="2"/>
          <w:sz w:val="22"/>
          <w:szCs w:val="22"/>
          <w:highlight w:val="none"/>
          <w:u w:val="single"/>
        </w:rPr>
        <w:t>（北京时间）</w:t>
      </w:r>
    </w:p>
    <w:p>
      <w:pPr>
        <w:pStyle w:val="43"/>
        <w:pageBreakBefore w:val="0"/>
        <w:kinsoku/>
        <w:wordWrap/>
        <w:overflowPunct/>
        <w:topLinePunct w:val="0"/>
        <w:autoSpaceDE/>
        <w:autoSpaceDN/>
        <w:bidi w:val="0"/>
        <w:spacing w:before="0" w:beforeLines="0" w:beforeAutospacing="0" w:after="0" w:afterLines="0" w:afterAutospacing="0" w:line="480" w:lineRule="exact"/>
        <w:ind w:firstLine="420"/>
        <w:textAlignment w:val="auto"/>
        <w:rPr>
          <w:rFonts w:hint="default" w:ascii="Arial" w:hAnsi="Arial" w:cs="Arial"/>
          <w:color w:val="auto"/>
          <w:sz w:val="22"/>
          <w:szCs w:val="22"/>
          <w:highlight w:val="none"/>
          <w:u w:val="single"/>
          <w:shd w:val="clear" w:color="auto" w:fill="FFFFFF"/>
        </w:rPr>
      </w:pPr>
      <w:r>
        <w:rPr>
          <w:rFonts w:hint="default" w:ascii="Arial" w:hAnsi="Arial" w:cs="Arial"/>
          <w:color w:val="auto"/>
          <w:sz w:val="22"/>
          <w:szCs w:val="22"/>
          <w:highlight w:val="none"/>
          <w:shd w:val="clear" w:color="auto" w:fill="FFFFFF"/>
        </w:rPr>
        <w:t>开标地点（网址）：</w:t>
      </w:r>
      <w:r>
        <w:rPr>
          <w:rFonts w:hint="default" w:ascii="Arial" w:hAnsi="Arial" w:cs="Arial"/>
          <w:color w:val="auto"/>
          <w:sz w:val="22"/>
          <w:szCs w:val="22"/>
          <w:highlight w:val="none"/>
          <w:u w:val="single"/>
          <w:shd w:val="clear" w:color="auto" w:fill="FFFFFF"/>
        </w:rPr>
        <w:t>宁波市鄞州区行政服务中心五楼（鄞州区</w:t>
      </w:r>
      <w:r>
        <w:rPr>
          <w:rFonts w:hint="eastAsia" w:ascii="Arial" w:hAnsi="Arial" w:cs="Arial"/>
          <w:color w:val="auto"/>
          <w:sz w:val="22"/>
          <w:szCs w:val="22"/>
          <w:highlight w:val="none"/>
          <w:u w:val="single"/>
          <w:shd w:val="clear" w:color="auto" w:fill="FFFFFF"/>
          <w:lang w:eastAsia="zh-CN"/>
        </w:rPr>
        <w:t>蕙</w:t>
      </w:r>
      <w:r>
        <w:rPr>
          <w:rFonts w:hint="default" w:ascii="Arial" w:hAnsi="Arial" w:cs="Arial"/>
          <w:color w:val="auto"/>
          <w:sz w:val="22"/>
          <w:szCs w:val="22"/>
          <w:highlight w:val="none"/>
          <w:u w:val="single"/>
          <w:shd w:val="clear" w:color="auto" w:fill="FFFFFF"/>
        </w:rPr>
        <w:t>江路567号，鄞州区妇儿医院对面，详见电子显示屏），本项目通过“政府采购云平台”实行在线电子评标，投标人可在线参加开标。</w:t>
      </w:r>
    </w:p>
    <w:p>
      <w:pPr>
        <w:pStyle w:val="5"/>
        <w:pageBreakBefore w:val="0"/>
        <w:kinsoku/>
        <w:wordWrap/>
        <w:overflowPunct/>
        <w:topLinePunct w:val="0"/>
        <w:autoSpaceDE/>
        <w:autoSpaceDN/>
        <w:bidi w:val="0"/>
        <w:spacing w:before="0" w:beforeLines="0" w:after="0" w:afterLines="0" w:line="480" w:lineRule="exact"/>
        <w:textAlignment w:val="auto"/>
        <w:rPr>
          <w:rFonts w:hint="default" w:ascii="Arial" w:hAnsi="Arial" w:eastAsia="宋体" w:cs="Arial"/>
          <w:bCs w:val="0"/>
          <w:color w:val="auto"/>
          <w:sz w:val="22"/>
          <w:szCs w:val="22"/>
          <w:highlight w:val="none"/>
        </w:rPr>
      </w:pPr>
      <w:bookmarkStart w:id="28" w:name="_Toc50910766"/>
      <w:r>
        <w:rPr>
          <w:rFonts w:hint="default" w:ascii="Arial" w:hAnsi="Arial" w:eastAsia="宋体" w:cs="Arial"/>
          <w:bCs w:val="0"/>
          <w:color w:val="auto"/>
          <w:sz w:val="22"/>
          <w:szCs w:val="22"/>
          <w:highlight w:val="none"/>
        </w:rPr>
        <w:t>五、公告期限</w:t>
      </w:r>
      <w:bookmarkEnd w:id="24"/>
      <w:bookmarkEnd w:id="25"/>
      <w:bookmarkEnd w:id="26"/>
      <w:bookmarkEnd w:id="27"/>
      <w:bookmarkEnd w:id="28"/>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kern w:val="0"/>
          <w:sz w:val="22"/>
          <w:szCs w:val="22"/>
          <w:highlight w:val="none"/>
        </w:rPr>
      </w:pPr>
      <w:r>
        <w:rPr>
          <w:rFonts w:hint="default" w:ascii="Arial" w:hAnsi="Arial" w:cs="Arial"/>
          <w:color w:val="auto"/>
          <w:kern w:val="0"/>
          <w:sz w:val="22"/>
          <w:szCs w:val="22"/>
          <w:highlight w:val="none"/>
        </w:rPr>
        <w:t>自本公告发布之日起5个工作日。</w:t>
      </w:r>
    </w:p>
    <w:p>
      <w:pPr>
        <w:pStyle w:val="5"/>
        <w:pageBreakBefore w:val="0"/>
        <w:kinsoku/>
        <w:wordWrap/>
        <w:overflowPunct/>
        <w:topLinePunct w:val="0"/>
        <w:autoSpaceDE/>
        <w:autoSpaceDN/>
        <w:bidi w:val="0"/>
        <w:spacing w:before="0" w:beforeLines="0" w:after="0" w:afterLines="0" w:line="480" w:lineRule="exact"/>
        <w:textAlignment w:val="auto"/>
        <w:rPr>
          <w:rFonts w:hint="default" w:ascii="Arial" w:hAnsi="Arial" w:eastAsia="宋体" w:cs="Arial"/>
          <w:bCs w:val="0"/>
          <w:color w:val="auto"/>
          <w:sz w:val="22"/>
          <w:szCs w:val="22"/>
          <w:highlight w:val="none"/>
        </w:rPr>
      </w:pPr>
      <w:bookmarkStart w:id="29" w:name="_Toc50910767"/>
      <w:bookmarkStart w:id="30" w:name="_Toc35393626"/>
      <w:bookmarkStart w:id="31" w:name="_Toc35393795"/>
      <w:r>
        <w:rPr>
          <w:rFonts w:hint="default" w:ascii="Arial" w:hAnsi="Arial" w:eastAsia="宋体" w:cs="Arial"/>
          <w:bCs w:val="0"/>
          <w:color w:val="auto"/>
          <w:sz w:val="22"/>
          <w:szCs w:val="22"/>
          <w:highlight w:val="none"/>
        </w:rPr>
        <w:t>六、其他补充事宜</w:t>
      </w:r>
      <w:bookmarkEnd w:id="29"/>
      <w:bookmarkEnd w:id="30"/>
      <w:bookmarkEnd w:id="31"/>
    </w:p>
    <w:p>
      <w:pPr>
        <w:pStyle w:val="73"/>
        <w:pageBreakBefore w:val="0"/>
        <w:kinsoku/>
        <w:wordWrap/>
        <w:overflowPunct/>
        <w:topLinePunct w:val="0"/>
        <w:autoSpaceDE/>
        <w:autoSpaceDN/>
        <w:bidi w:val="0"/>
        <w:spacing w:line="480" w:lineRule="exact"/>
        <w:ind w:firstLine="44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30" w:lineRule="exact"/>
        <w:ind w:left="0" w:right="0" w:firstLine="440" w:firstLineChars="200"/>
        <w:jc w:val="left"/>
        <w:textAlignment w:val="auto"/>
        <w:rPr>
          <w:rFonts w:hint="default" w:ascii="Arial" w:hAnsi="Arial" w:eastAsia="宋体" w:cs="Arial"/>
          <w:i w:val="0"/>
          <w:iCs w:val="0"/>
          <w:caps w:val="0"/>
          <w:color w:val="auto"/>
          <w:spacing w:val="0"/>
          <w:kern w:val="0"/>
          <w:sz w:val="22"/>
          <w:szCs w:val="22"/>
          <w:highlight w:val="none"/>
          <w:lang w:val="en-US" w:eastAsia="zh-CN" w:bidi="ar"/>
        </w:rPr>
      </w:pPr>
      <w:r>
        <w:rPr>
          <w:rFonts w:hint="default" w:ascii="Arial" w:hAnsi="Arial" w:cs="Arial"/>
          <w:color w:val="auto"/>
          <w:sz w:val="22"/>
          <w:szCs w:val="22"/>
          <w:highlight w:val="none"/>
        </w:rPr>
        <w:t>2、</w:t>
      </w:r>
      <w:r>
        <w:rPr>
          <w:rFonts w:hint="eastAsia" w:ascii="Arial" w:hAnsi="Arial" w:cs="Arial"/>
          <w:color w:val="auto"/>
          <w:sz w:val="22"/>
          <w:szCs w:val="22"/>
          <w:highlight w:val="none"/>
          <w:lang w:eastAsia="zh-CN"/>
        </w:rPr>
        <w:t>其</w:t>
      </w:r>
      <w:r>
        <w:rPr>
          <w:rFonts w:hint="default" w:ascii="Arial" w:hAnsi="Arial" w:eastAsia="宋体" w:cs="Arial"/>
          <w:i w:val="0"/>
          <w:iCs w:val="0"/>
          <w:caps w:val="0"/>
          <w:color w:val="auto"/>
          <w:spacing w:val="0"/>
          <w:kern w:val="0"/>
          <w:sz w:val="22"/>
          <w:szCs w:val="22"/>
          <w:highlight w:val="none"/>
          <w:lang w:val="en-US" w:eastAsia="zh-CN" w:bidi="ar"/>
        </w:rPr>
        <w:t>他事项：</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color w:val="auto"/>
          <w:sz w:val="22"/>
          <w:szCs w:val="22"/>
          <w:highlight w:val="none"/>
        </w:rPr>
      </w:pPr>
      <w:r>
        <w:rPr>
          <w:rFonts w:hint="eastAsia" w:ascii="Arial" w:hAnsi="Arial" w:eastAsia="宋体" w:cs="Arial"/>
          <w:color w:val="auto"/>
          <w:sz w:val="22"/>
          <w:szCs w:val="22"/>
          <w:highlight w:val="none"/>
          <w:lang w:val="en-US" w:eastAsia="zh-CN"/>
        </w:rPr>
        <w:t>2.1</w:t>
      </w:r>
      <w:r>
        <w:rPr>
          <w:rFonts w:hint="default" w:ascii="Arial" w:hAnsi="Arial" w:eastAsia="宋体" w:cs="Arial"/>
          <w:color w:val="auto"/>
          <w:sz w:val="22"/>
          <w:szCs w:val="22"/>
          <w:highlight w:val="none"/>
        </w:rPr>
        <w:t>落实的政策：</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color w:val="auto"/>
          <w:sz w:val="22"/>
          <w:szCs w:val="22"/>
          <w:highlight w:val="none"/>
        </w:rPr>
      </w:pPr>
      <w:r>
        <w:rPr>
          <w:rFonts w:hint="eastAsia" w:ascii="Arial" w:hAnsi="Arial" w:eastAsia="宋体" w:cs="Arial"/>
          <w:b w:val="0"/>
          <w:bCs/>
          <w:color w:val="auto"/>
          <w:sz w:val="22"/>
          <w:szCs w:val="22"/>
          <w:highlight w:val="none"/>
          <w:lang w:val="en-US" w:eastAsia="zh-CN"/>
        </w:rPr>
        <w:t>（1）</w:t>
      </w:r>
      <w:r>
        <w:rPr>
          <w:rFonts w:hint="default" w:ascii="Arial" w:hAnsi="Arial" w:eastAsia="宋体" w:cs="Arial"/>
          <w:b w:val="0"/>
          <w:bCs/>
          <w:color w:val="auto"/>
          <w:sz w:val="22"/>
          <w:szCs w:val="22"/>
          <w:highlight w:val="none"/>
        </w:rPr>
        <w:t xml:space="preserve">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pStyle w:val="73"/>
        <w:pageBreakBefore w:val="0"/>
        <w:kinsoku/>
        <w:wordWrap/>
        <w:overflowPunct/>
        <w:topLinePunct w:val="0"/>
        <w:autoSpaceDE/>
        <w:autoSpaceDN/>
        <w:bidi w:val="0"/>
        <w:spacing w:line="480" w:lineRule="exact"/>
        <w:ind w:firstLine="440"/>
        <w:textAlignment w:val="auto"/>
        <w:rPr>
          <w:rFonts w:hint="default" w:ascii="Arial" w:hAnsi="Arial" w:cs="Arial"/>
          <w:color w:val="auto"/>
          <w:sz w:val="22"/>
          <w:szCs w:val="22"/>
          <w:highlight w:val="none"/>
        </w:rPr>
      </w:pPr>
      <w:r>
        <w:rPr>
          <w:rFonts w:hint="eastAsia" w:ascii="Arial" w:hAnsi="Arial" w:eastAsia="宋体" w:cs="Arial"/>
          <w:color w:val="auto"/>
          <w:sz w:val="22"/>
          <w:szCs w:val="22"/>
          <w:highlight w:val="none"/>
          <w:lang w:eastAsia="zh-CN"/>
        </w:rPr>
        <w:t>（</w:t>
      </w:r>
      <w:r>
        <w:rPr>
          <w:rFonts w:hint="eastAsia" w:ascii="Arial" w:hAnsi="Arial" w:eastAsia="宋体" w:cs="Arial"/>
          <w:color w:val="auto"/>
          <w:sz w:val="22"/>
          <w:szCs w:val="22"/>
          <w:highlight w:val="none"/>
          <w:lang w:val="en-US" w:eastAsia="zh-CN"/>
        </w:rPr>
        <w:t>2</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浙江省财政厅关于进一步加大政府采购支持中小企业力度 助力扎实稳住经济的通知</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（浙财采监[2022]8）</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lang w:val="en-US" w:eastAsia="zh-CN"/>
        </w:rPr>
        <w:t>《政府采购促进中小企业发展管理办法》</w:t>
      </w:r>
      <w:r>
        <w:rPr>
          <w:rFonts w:hint="eastAsia" w:ascii="Arial" w:hAnsi="Arial" w:eastAsia="宋体" w:cs="Arial"/>
          <w:color w:val="auto"/>
          <w:sz w:val="22"/>
          <w:szCs w:val="22"/>
          <w:highlight w:val="none"/>
          <w:lang w:val="en-US" w:eastAsia="zh-CN"/>
        </w:rPr>
        <w:t>（</w:t>
      </w:r>
      <w:r>
        <w:rPr>
          <w:rFonts w:hint="default" w:ascii="Arial" w:hAnsi="Arial" w:eastAsia="宋体" w:cs="Arial"/>
          <w:color w:val="auto"/>
          <w:sz w:val="22"/>
          <w:szCs w:val="22"/>
          <w:highlight w:val="none"/>
          <w:lang w:val="en-US" w:eastAsia="zh-CN"/>
        </w:rPr>
        <w:t>财库〔2020〕46号</w:t>
      </w:r>
      <w:r>
        <w:rPr>
          <w:rFonts w:hint="eastAsia" w:ascii="Arial" w:hAnsi="Arial" w:eastAsia="宋体" w:cs="Arial"/>
          <w:color w:val="auto"/>
          <w:sz w:val="22"/>
          <w:szCs w:val="22"/>
          <w:highlight w:val="none"/>
          <w:lang w:val="en-US" w:eastAsia="zh-CN"/>
        </w:rPr>
        <w:t>）</w:t>
      </w:r>
      <w:r>
        <w:rPr>
          <w:rFonts w:hint="default" w:ascii="Arial" w:hAnsi="Arial" w:eastAsia="宋体" w:cs="Arial"/>
          <w:color w:val="auto"/>
          <w:sz w:val="22"/>
          <w:szCs w:val="22"/>
          <w:highlight w:val="none"/>
        </w:rPr>
        <w:t>、《关于政府采购支持监狱企业发展有关问题的通知》</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财库[2014]68号</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、《关于促进残疾人就业政府采购政策的通知》（财库[2017]141号）</w:t>
      </w:r>
      <w:r>
        <w:rPr>
          <w:rFonts w:hint="default"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lang w:val="en-US" w:eastAsia="zh-CN"/>
        </w:rPr>
        <w:t>《财政部 发展改革委 生态环境部 市场监管总局关于调整优化节能产品 环境标志</w:t>
      </w:r>
      <w:r>
        <w:rPr>
          <w:rFonts w:hint="default" w:ascii="Arial" w:hAnsi="Arial" w:cs="Arial"/>
          <w:color w:val="auto"/>
          <w:sz w:val="22"/>
          <w:szCs w:val="22"/>
          <w:highlight w:val="none"/>
          <w:lang w:val="en-US" w:eastAsia="zh-CN"/>
        </w:rPr>
        <w:t>产品政府采购执行机制的通知》（财库〔2019〕9号）、</w:t>
      </w:r>
      <w:r>
        <w:rPr>
          <w:rFonts w:hint="default" w:ascii="Arial" w:hAnsi="Arial" w:cs="Arial"/>
          <w:color w:val="auto"/>
          <w:sz w:val="22"/>
          <w:szCs w:val="22"/>
          <w:highlight w:val="none"/>
        </w:rPr>
        <w:t>及扶持不发达地区和少数民族地区的相关政策。</w:t>
      </w:r>
    </w:p>
    <w:p>
      <w:pPr>
        <w:pStyle w:val="73"/>
        <w:spacing w:line="500" w:lineRule="exact"/>
        <w:ind w:firstLine="440"/>
        <w:rPr>
          <w:rFonts w:hint="default" w:ascii="Arial" w:hAnsi="Arial" w:cs="Arial"/>
          <w:b w:val="0"/>
          <w:bCs w:val="0"/>
          <w:color w:val="auto"/>
          <w:sz w:val="22"/>
          <w:szCs w:val="22"/>
          <w:highlight w:val="none"/>
        </w:rPr>
      </w:pPr>
      <w:r>
        <w:rPr>
          <w:rFonts w:hint="eastAsia" w:ascii="Arial" w:hAnsi="Arial" w:cs="Arial"/>
          <w:b w:val="0"/>
          <w:bCs w:val="0"/>
          <w:color w:val="auto"/>
          <w:sz w:val="22"/>
          <w:szCs w:val="22"/>
          <w:highlight w:val="none"/>
          <w:lang w:val="en-US" w:eastAsia="zh-CN"/>
        </w:rPr>
        <w:t>（3）关于分公司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kern w:val="2"/>
          <w:sz w:val="22"/>
          <w:szCs w:val="22"/>
          <w:highlight w:val="none"/>
        </w:rPr>
      </w:pPr>
      <w:bookmarkStart w:id="32" w:name="_Toc28359008"/>
      <w:bookmarkStart w:id="33" w:name="_Toc28359085"/>
      <w:bookmarkStart w:id="34" w:name="_Toc35393796"/>
      <w:bookmarkStart w:id="35" w:name="_Toc35393627"/>
      <w:r>
        <w:rPr>
          <w:rFonts w:hint="eastAsia" w:ascii="Arial" w:hAnsi="Arial" w:cs="Arial"/>
          <w:color w:val="auto"/>
          <w:kern w:val="2"/>
          <w:sz w:val="22"/>
          <w:szCs w:val="22"/>
          <w:highlight w:val="none"/>
          <w:lang w:val="en-US" w:eastAsia="zh-CN"/>
        </w:rPr>
        <w:t>2.2</w:t>
      </w:r>
      <w:r>
        <w:rPr>
          <w:rFonts w:hint="default" w:ascii="Arial" w:hAnsi="Arial" w:cs="Arial"/>
          <w:color w:val="auto"/>
          <w:kern w:val="2"/>
          <w:sz w:val="22"/>
          <w:szCs w:val="22"/>
          <w:highlight w:val="none"/>
        </w:rPr>
        <w:t>各投标人应在开标前确保成为浙江省政府采购网正式注册入库投标人，并完成CA数字证书办理。因未注册入库、未办理CA数字证书等原因造成无法投标或投标失败等后果由投标人自行承担。（具体操作详见投标人CA申领操作指南https://help.zcygov.cn/web/site_2/2018/11-29/2452.html）。</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rPr>
      </w:pPr>
      <w:r>
        <w:rPr>
          <w:rFonts w:hint="eastAsia" w:ascii="Arial" w:hAnsi="Arial" w:cs="Arial"/>
          <w:color w:val="auto"/>
          <w:sz w:val="22"/>
          <w:szCs w:val="22"/>
          <w:highlight w:val="none"/>
          <w:shd w:val="clear" w:color="auto" w:fill="FFFFFF"/>
          <w:lang w:val="en-US" w:eastAsia="zh-CN"/>
        </w:rPr>
        <w:t>2.3</w:t>
      </w:r>
      <w:r>
        <w:rPr>
          <w:rFonts w:hint="default" w:ascii="Arial" w:hAnsi="Arial" w:cs="Arial"/>
          <w:color w:val="auto"/>
          <w:sz w:val="22"/>
          <w:szCs w:val="22"/>
          <w:highlight w:val="none"/>
          <w:shd w:val="clear" w:color="auto" w:fill="FFFFFF"/>
        </w:rPr>
        <w:t>本次政府采购活动有关信息在“浙江政府采购网（http://zfcg.czt.zj.gov.cn/）”、“宁波市政府采购网（www.nbzfcg.cn）”、“宁波市公共资源交易网鄞州区分网（http://yinzhou.bidding.gov.cn/）”网站上公布，公布信息视同送达所有潜在投标人。　　　　　　</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eastAsia" w:ascii="Arial" w:hAnsi="Arial" w:cs="Arial"/>
          <w:color w:val="auto"/>
          <w:sz w:val="22"/>
          <w:szCs w:val="22"/>
          <w:highlight w:val="none"/>
          <w:shd w:val="clear" w:color="auto" w:fill="FFFFFF"/>
          <w:lang w:val="en-US" w:eastAsia="zh-CN"/>
        </w:rPr>
        <w:t>2..4</w:t>
      </w:r>
      <w:r>
        <w:rPr>
          <w:rFonts w:hint="default" w:ascii="Arial" w:hAnsi="Arial" w:cs="Arial"/>
          <w:color w:val="auto"/>
          <w:sz w:val="22"/>
          <w:szCs w:val="22"/>
          <w:highlight w:val="none"/>
          <w:shd w:val="clear" w:color="auto" w:fill="FFFFFF"/>
        </w:rPr>
        <w:t>疫情期间特别提醒事项（投标人提交备份投标文件方式）：</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default" w:ascii="Arial" w:hAnsi="Arial" w:cs="Arial"/>
          <w:color w:val="auto"/>
          <w:sz w:val="22"/>
          <w:szCs w:val="22"/>
          <w:highlight w:val="none"/>
          <w:shd w:val="clear" w:color="auto" w:fill="FFFFFF"/>
        </w:rPr>
        <w:t>（1）采用邮寄方式提交备份投标文件，需按以下要求递交：</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default" w:ascii="Arial" w:hAnsi="Arial" w:cs="Arial"/>
          <w:color w:val="auto"/>
          <w:sz w:val="22"/>
          <w:szCs w:val="22"/>
          <w:highlight w:val="none"/>
          <w:shd w:val="clear" w:color="auto" w:fill="FFFFFF"/>
        </w:rPr>
        <w:t>投标人须</w:t>
      </w:r>
      <w:r>
        <w:rPr>
          <w:rFonts w:hint="default" w:ascii="Arial" w:hAnsi="Arial" w:cs="Arial"/>
          <w:b/>
          <w:bCs/>
          <w:color w:val="auto"/>
          <w:kern w:val="2"/>
          <w:sz w:val="22"/>
          <w:szCs w:val="22"/>
          <w:highlight w:val="none"/>
          <w:u w:val="single"/>
        </w:rPr>
        <w:t>在</w:t>
      </w:r>
      <w:r>
        <w:rPr>
          <w:rFonts w:hint="default" w:ascii="Arial" w:hAnsi="Arial" w:cs="Arial"/>
          <w:b/>
          <w:bCs/>
          <w:color w:val="auto"/>
          <w:kern w:val="2"/>
          <w:sz w:val="22"/>
          <w:szCs w:val="22"/>
          <w:highlight w:val="none"/>
          <w:u w:val="single"/>
        </w:rPr>
        <w:t>202</w:t>
      </w:r>
      <w:r>
        <w:rPr>
          <w:rFonts w:hint="eastAsia" w:ascii="Arial" w:hAnsi="Arial" w:cs="Arial"/>
          <w:b/>
          <w:bCs/>
          <w:color w:val="auto"/>
          <w:kern w:val="2"/>
          <w:sz w:val="22"/>
          <w:szCs w:val="22"/>
          <w:highlight w:val="none"/>
          <w:u w:val="single"/>
          <w:lang w:val="en-US" w:eastAsia="zh-CN"/>
        </w:rPr>
        <w:t>2</w:t>
      </w:r>
      <w:r>
        <w:rPr>
          <w:rFonts w:hint="default" w:ascii="Arial" w:hAnsi="Arial" w:cs="Arial"/>
          <w:b/>
          <w:bCs/>
          <w:color w:val="auto"/>
          <w:kern w:val="2"/>
          <w:sz w:val="22"/>
          <w:szCs w:val="22"/>
          <w:highlight w:val="none"/>
          <w:u w:val="single"/>
        </w:rPr>
        <w:t>年</w:t>
      </w:r>
      <w:r>
        <w:rPr>
          <w:rFonts w:hint="eastAsia" w:ascii="Arial" w:hAnsi="Arial" w:cs="Arial"/>
          <w:b/>
          <w:bCs/>
          <w:color w:val="auto"/>
          <w:sz w:val="22"/>
          <w:szCs w:val="22"/>
          <w:highlight w:val="none"/>
          <w:u w:val="single"/>
          <w:lang w:val="en-US" w:eastAsia="zh-CN"/>
        </w:rPr>
        <w:t>10</w:t>
      </w:r>
      <w:r>
        <w:rPr>
          <w:rFonts w:hint="default" w:ascii="Arial" w:hAnsi="Arial" w:cs="Arial"/>
          <w:b/>
          <w:bCs/>
          <w:color w:val="auto"/>
          <w:sz w:val="22"/>
          <w:szCs w:val="22"/>
          <w:highlight w:val="none"/>
          <w:u w:val="single"/>
        </w:rPr>
        <w:t>月</w:t>
      </w:r>
      <w:r>
        <w:rPr>
          <w:rFonts w:hint="eastAsia" w:ascii="Arial" w:hAnsi="Arial" w:cs="Arial"/>
          <w:b/>
          <w:bCs/>
          <w:color w:val="auto"/>
          <w:sz w:val="22"/>
          <w:szCs w:val="22"/>
          <w:highlight w:val="none"/>
          <w:u w:val="single"/>
          <w:lang w:val="en-US" w:eastAsia="zh-CN"/>
        </w:rPr>
        <w:t>12</w:t>
      </w:r>
      <w:r>
        <w:rPr>
          <w:rFonts w:hint="default" w:ascii="Arial" w:hAnsi="Arial" w:cs="Arial"/>
          <w:b/>
          <w:bCs/>
          <w:color w:val="auto"/>
          <w:sz w:val="22"/>
          <w:szCs w:val="22"/>
          <w:highlight w:val="none"/>
          <w:u w:val="single"/>
        </w:rPr>
        <w:t>日</w:t>
      </w:r>
      <w:r>
        <w:rPr>
          <w:rFonts w:hint="default" w:ascii="Arial" w:hAnsi="Arial" w:cs="Arial"/>
          <w:b/>
          <w:bCs/>
          <w:color w:val="auto"/>
          <w:kern w:val="2"/>
          <w:sz w:val="22"/>
          <w:szCs w:val="22"/>
          <w:highlight w:val="none"/>
          <w:u w:val="single"/>
        </w:rPr>
        <w:t>16:00（北京时间）</w:t>
      </w:r>
      <w:r>
        <w:rPr>
          <w:rFonts w:hint="default" w:ascii="Arial" w:hAnsi="Arial" w:cs="Arial"/>
          <w:color w:val="auto"/>
          <w:sz w:val="22"/>
          <w:szCs w:val="22"/>
          <w:highlight w:val="none"/>
          <w:shd w:val="clear" w:color="auto" w:fill="FFFFFF"/>
        </w:rPr>
        <w:t>前将备份投标文件邮寄至规定地点，由采购代理机构工作人员进行签收。各投标人自行考虑邮寄在途时间，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default" w:ascii="Arial" w:hAnsi="Arial" w:cs="Arial"/>
          <w:color w:val="auto"/>
          <w:sz w:val="22"/>
          <w:szCs w:val="22"/>
          <w:highlight w:val="none"/>
          <w:shd w:val="clear" w:color="auto" w:fill="FFFFFF"/>
        </w:rPr>
        <w:t>备份投标文件邮寄地址为：宁波市鄞州区前河南路88号15楼01-06室</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default" w:ascii="Arial" w:hAnsi="Arial" w:cs="Arial"/>
          <w:color w:val="auto"/>
          <w:sz w:val="22"/>
          <w:szCs w:val="22"/>
          <w:highlight w:val="none"/>
          <w:shd w:val="clear" w:color="auto" w:fill="FFFFFF"/>
        </w:rPr>
        <w:t>收件人：王芸   联系方式：0574-87298497、15867836633</w:t>
      </w:r>
    </w:p>
    <w:p>
      <w:pPr>
        <w:pStyle w:val="43"/>
        <w:pageBreakBefore w:val="0"/>
        <w:kinsoku/>
        <w:wordWrap/>
        <w:overflowPunct/>
        <w:topLinePunct w:val="0"/>
        <w:autoSpaceDE/>
        <w:autoSpaceDN/>
        <w:bidi w:val="0"/>
        <w:adjustRightInd w:val="0"/>
        <w:snapToGrid w:val="0"/>
        <w:spacing w:before="0" w:beforeLines="0" w:beforeAutospacing="0" w:after="0" w:afterLines="0" w:afterAutospacing="0" w:line="480" w:lineRule="exact"/>
        <w:ind w:firstLine="440" w:firstLineChars="200"/>
        <w:textAlignment w:val="auto"/>
        <w:rPr>
          <w:rFonts w:hint="default" w:ascii="Arial" w:hAnsi="Arial" w:cs="Arial"/>
          <w:color w:val="auto"/>
          <w:sz w:val="22"/>
          <w:szCs w:val="22"/>
          <w:highlight w:val="none"/>
          <w:shd w:val="clear" w:color="auto" w:fill="FFFFFF"/>
        </w:rPr>
      </w:pPr>
      <w:r>
        <w:rPr>
          <w:rFonts w:hint="default" w:ascii="Arial" w:hAnsi="Arial" w:cs="Arial"/>
          <w:color w:val="auto"/>
          <w:sz w:val="22"/>
          <w:szCs w:val="22"/>
          <w:highlight w:val="none"/>
          <w:shd w:val="clear" w:color="auto" w:fill="FFFFFF"/>
        </w:rPr>
        <w:t>（2）采用现场递交方式递交电子备份投标文件，在投标当天投标人员需持绿色“甬行码”、佩戴口罩且体温测量正常后（以开标当日测量体温为准）方可递交至开标室，详见宁波市鄞州区行政服务中心五楼电子显示屏。若投标人因未按上述要求办理而导致无法准时进入开标现场的，由投标人自行负责。</w:t>
      </w:r>
    </w:p>
    <w:p>
      <w:pPr>
        <w:pStyle w:val="5"/>
        <w:pageBreakBefore w:val="0"/>
        <w:kinsoku/>
        <w:wordWrap/>
        <w:overflowPunct/>
        <w:topLinePunct w:val="0"/>
        <w:autoSpaceDE/>
        <w:autoSpaceDN/>
        <w:bidi w:val="0"/>
        <w:spacing w:before="0" w:beforeLines="0" w:after="0" w:afterLines="0" w:line="480" w:lineRule="exact"/>
        <w:textAlignment w:val="auto"/>
        <w:rPr>
          <w:rFonts w:hint="default" w:ascii="Arial" w:hAnsi="Arial" w:eastAsia="宋体" w:cs="Arial"/>
          <w:bCs w:val="0"/>
          <w:color w:val="auto"/>
          <w:sz w:val="22"/>
          <w:szCs w:val="22"/>
          <w:highlight w:val="none"/>
        </w:rPr>
      </w:pPr>
      <w:bookmarkStart w:id="36" w:name="_Toc50910768"/>
      <w:r>
        <w:rPr>
          <w:rFonts w:hint="default" w:ascii="Arial" w:hAnsi="Arial" w:eastAsia="宋体" w:cs="Arial"/>
          <w:bCs w:val="0"/>
          <w:color w:val="auto"/>
          <w:sz w:val="22"/>
          <w:szCs w:val="22"/>
          <w:highlight w:val="none"/>
        </w:rPr>
        <w:t>七、对本次招标提出询问，请按以下方式联系。</w:t>
      </w:r>
      <w:bookmarkEnd w:id="32"/>
      <w:bookmarkEnd w:id="33"/>
      <w:bookmarkEnd w:id="34"/>
      <w:bookmarkEnd w:id="35"/>
      <w:bookmarkEnd w:id="36"/>
    </w:p>
    <w:p>
      <w:pPr>
        <w:pageBreakBefore w:val="0"/>
        <w:widowControl/>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1.采购人信息</w:t>
      </w:r>
    </w:p>
    <w:p>
      <w:pPr>
        <w:pageBreakBefore w:val="0"/>
        <w:kinsoku/>
        <w:wordWrap/>
        <w:overflowPunct/>
        <w:topLinePunct w:val="0"/>
        <w:autoSpaceDE/>
        <w:autoSpaceDN/>
        <w:bidi w:val="0"/>
        <w:spacing w:line="480" w:lineRule="exact"/>
        <w:ind w:firstLine="440" w:firstLineChars="200"/>
        <w:jc w:val="left"/>
        <w:textAlignment w:val="auto"/>
        <w:rPr>
          <w:rFonts w:hint="eastAsia" w:ascii="Arial" w:hAnsi="Arial" w:eastAsia="宋体" w:cs="Arial"/>
          <w:color w:val="auto"/>
          <w:sz w:val="22"/>
          <w:szCs w:val="22"/>
          <w:highlight w:val="none"/>
          <w:lang w:eastAsia="zh-CN" w:bidi="ar"/>
        </w:rPr>
      </w:pPr>
      <w:r>
        <w:rPr>
          <w:rFonts w:hint="default" w:ascii="Arial" w:hAnsi="Arial" w:cs="Arial"/>
          <w:color w:val="auto"/>
          <w:sz w:val="22"/>
          <w:szCs w:val="22"/>
          <w:highlight w:val="none"/>
        </w:rPr>
        <w:t>名 称：</w:t>
      </w:r>
      <w:r>
        <w:rPr>
          <w:rFonts w:hint="eastAsia" w:ascii="Arial" w:hAnsi="Arial" w:cs="Arial"/>
          <w:color w:val="auto"/>
          <w:sz w:val="22"/>
          <w:szCs w:val="22"/>
          <w:highlight w:val="none"/>
          <w:lang w:eastAsia="zh-CN" w:bidi="ar"/>
        </w:rPr>
        <w:t>宁波市鄞州区邱隘镇人民政府</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color w:val="auto"/>
          <w:sz w:val="22"/>
          <w:szCs w:val="22"/>
          <w:highlight w:val="none"/>
          <w:lang w:val="en-US" w:eastAsia="zh-CN" w:bidi="ar"/>
        </w:rPr>
      </w:pPr>
      <w:r>
        <w:rPr>
          <w:rFonts w:hint="default" w:ascii="Arial" w:hAnsi="Arial" w:eastAsia="宋体" w:cs="Arial"/>
          <w:color w:val="auto"/>
          <w:sz w:val="22"/>
          <w:szCs w:val="22"/>
          <w:highlight w:val="none"/>
          <w:lang w:bidi="ar"/>
        </w:rPr>
        <w:t>地址：宁波市鄞州区邱隘镇人民北路2号</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color w:val="auto"/>
          <w:sz w:val="22"/>
          <w:szCs w:val="22"/>
          <w:highlight w:val="none"/>
          <w:lang w:val="en-US" w:eastAsia="zh-CN" w:bidi="ar"/>
        </w:rPr>
      </w:pPr>
      <w:r>
        <w:rPr>
          <w:rFonts w:hint="eastAsia" w:ascii="Arial" w:hAnsi="Arial" w:eastAsia="宋体" w:cs="Arial"/>
          <w:color w:val="auto"/>
          <w:sz w:val="22"/>
          <w:szCs w:val="22"/>
          <w:highlight w:val="none"/>
          <w:lang w:bidi="ar"/>
        </w:rPr>
        <w:t xml:space="preserve">传    真：/    </w:t>
      </w:r>
    </w:p>
    <w:p>
      <w:pPr>
        <w:pageBreakBefore w:val="0"/>
        <w:kinsoku/>
        <w:wordWrap/>
        <w:overflowPunct/>
        <w:topLinePunct w:val="0"/>
        <w:autoSpaceDE/>
        <w:autoSpaceDN/>
        <w:bidi w:val="0"/>
        <w:spacing w:line="480" w:lineRule="exact"/>
        <w:ind w:firstLine="440" w:firstLineChars="200"/>
        <w:textAlignment w:val="auto"/>
        <w:rPr>
          <w:rFonts w:hint="default" w:ascii="Arial" w:hAnsi="Arial" w:eastAsia="宋体" w:cs="Arial"/>
          <w:color w:val="auto"/>
          <w:sz w:val="22"/>
          <w:szCs w:val="22"/>
          <w:highlight w:val="none"/>
          <w:lang w:bidi="ar"/>
        </w:rPr>
      </w:pPr>
      <w:r>
        <w:rPr>
          <w:rFonts w:hint="default" w:ascii="Arial" w:hAnsi="Arial" w:eastAsia="宋体" w:cs="Arial"/>
          <w:color w:val="auto"/>
          <w:sz w:val="22"/>
          <w:szCs w:val="22"/>
          <w:highlight w:val="none"/>
          <w:lang w:bidi="ar"/>
        </w:rPr>
        <w:t>项目联系人（询问）：</w:t>
      </w:r>
      <w:r>
        <w:rPr>
          <w:rFonts w:hint="eastAsia" w:ascii="Arial" w:hAnsi="Arial" w:eastAsia="宋体" w:cs="Arial"/>
          <w:color w:val="auto"/>
          <w:sz w:val="22"/>
          <w:szCs w:val="22"/>
          <w:highlight w:val="none"/>
          <w:lang w:val="en-US" w:eastAsia="zh-CN" w:bidi="ar"/>
        </w:rPr>
        <w:t xml:space="preserve"> 章老师</w:t>
      </w:r>
    </w:p>
    <w:p>
      <w:pPr>
        <w:pageBreakBefore w:val="0"/>
        <w:kinsoku/>
        <w:wordWrap/>
        <w:overflowPunct/>
        <w:topLinePunct w:val="0"/>
        <w:autoSpaceDE/>
        <w:autoSpaceDN/>
        <w:bidi w:val="0"/>
        <w:spacing w:line="480" w:lineRule="exact"/>
        <w:ind w:firstLine="440" w:firstLineChars="200"/>
        <w:textAlignment w:val="auto"/>
        <w:rPr>
          <w:rFonts w:hint="eastAsia" w:ascii="Arial" w:hAnsi="Arial" w:eastAsia="宋体" w:cs="Arial"/>
          <w:color w:val="auto"/>
          <w:sz w:val="22"/>
          <w:szCs w:val="22"/>
          <w:highlight w:val="none"/>
          <w:lang w:eastAsia="zh-CN" w:bidi="ar"/>
        </w:rPr>
      </w:pPr>
      <w:r>
        <w:rPr>
          <w:rFonts w:hint="default" w:ascii="Arial" w:hAnsi="Arial" w:eastAsia="宋体" w:cs="Arial"/>
          <w:color w:val="auto"/>
          <w:sz w:val="22"/>
          <w:szCs w:val="22"/>
          <w:highlight w:val="none"/>
          <w:lang w:bidi="ar"/>
        </w:rPr>
        <w:t>项目联系方式（询问）：</w:t>
      </w:r>
      <w:r>
        <w:rPr>
          <w:rFonts w:hint="eastAsia" w:ascii="Arial" w:hAnsi="Arial" w:eastAsia="宋体" w:cs="Arial"/>
          <w:color w:val="auto"/>
          <w:sz w:val="22"/>
          <w:szCs w:val="22"/>
          <w:highlight w:val="none"/>
          <w:lang w:val="en-US" w:eastAsia="zh-CN" w:bidi="ar"/>
        </w:rPr>
        <w:t xml:space="preserve"> 0574-88416508</w:t>
      </w:r>
    </w:p>
    <w:p>
      <w:pPr>
        <w:pStyle w:val="43"/>
        <w:adjustRightInd w:val="0"/>
        <w:snapToGrid w:val="0"/>
        <w:spacing w:before="0" w:beforeAutospacing="0" w:after="0" w:afterAutospacing="0" w:line="460" w:lineRule="exact"/>
        <w:ind w:firstLine="440" w:firstLineChars="200"/>
        <w:rPr>
          <w:rFonts w:hint="default" w:ascii="Arial" w:hAnsi="Arial" w:cs="Arial"/>
          <w:color w:val="auto"/>
          <w:sz w:val="22"/>
          <w:szCs w:val="22"/>
          <w:highlight w:val="none"/>
          <w:shd w:val="clear" w:color="auto" w:fill="FFFFFF"/>
        </w:rPr>
      </w:pPr>
      <w:bookmarkStart w:id="37" w:name="_Toc28359086"/>
      <w:bookmarkStart w:id="38" w:name="_Toc28359009"/>
      <w:r>
        <w:rPr>
          <w:rFonts w:hint="default" w:ascii="Arial" w:hAnsi="Arial" w:cs="Arial"/>
          <w:color w:val="auto"/>
          <w:sz w:val="22"/>
          <w:szCs w:val="22"/>
          <w:highlight w:val="none"/>
          <w:shd w:val="clear" w:color="auto" w:fill="FFFFFF"/>
        </w:rPr>
        <w:t>质疑联系人：</w:t>
      </w:r>
      <w:r>
        <w:rPr>
          <w:rFonts w:hint="default" w:ascii="Arial" w:hAnsi="Arial" w:eastAsia="宋体" w:cs="Arial"/>
          <w:color w:val="auto"/>
          <w:sz w:val="22"/>
          <w:szCs w:val="22"/>
          <w:highlight w:val="none"/>
          <w:shd w:val="clear" w:color="auto" w:fill="FFFFFF"/>
          <w:lang w:val="en-US" w:eastAsia="zh-CN"/>
        </w:rPr>
        <w:t xml:space="preserve">徐老师 </w:t>
      </w:r>
    </w:p>
    <w:p>
      <w:pPr>
        <w:pStyle w:val="43"/>
        <w:adjustRightInd w:val="0"/>
        <w:snapToGrid w:val="0"/>
        <w:spacing w:before="0" w:beforeAutospacing="0" w:after="0" w:afterAutospacing="0" w:line="460" w:lineRule="exact"/>
        <w:ind w:firstLine="440" w:firstLineChars="200"/>
        <w:rPr>
          <w:rFonts w:hint="default" w:ascii="Arial" w:hAnsi="Arial" w:eastAsia="宋体" w:cs="Arial"/>
          <w:color w:val="auto"/>
          <w:sz w:val="22"/>
          <w:szCs w:val="22"/>
          <w:highlight w:val="none"/>
          <w:shd w:val="clear" w:color="auto" w:fill="FFFFFF"/>
          <w:lang w:val="en-US" w:eastAsia="zh-CN"/>
        </w:rPr>
      </w:pPr>
      <w:r>
        <w:rPr>
          <w:rFonts w:hint="default" w:ascii="Arial" w:hAnsi="Arial" w:cs="Arial"/>
          <w:color w:val="auto"/>
          <w:sz w:val="22"/>
          <w:szCs w:val="22"/>
          <w:highlight w:val="none"/>
          <w:shd w:val="clear" w:color="auto" w:fill="FFFFFF"/>
        </w:rPr>
        <w:t>质疑联系方式：0574-88416508</w:t>
      </w:r>
    </w:p>
    <w:p>
      <w:pPr>
        <w:pageBreakBefore w:val="0"/>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2.采购代理机构信息</w:t>
      </w:r>
      <w:bookmarkEnd w:id="37"/>
      <w:bookmarkEnd w:id="38"/>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名 称：宁波高专建设监理有限公司</w:t>
      </w:r>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地　址：</w:t>
      </w:r>
      <w:r>
        <w:rPr>
          <w:rFonts w:hint="default" w:ascii="Arial" w:hAnsi="Arial" w:cs="Arial"/>
          <w:color w:val="auto"/>
          <w:sz w:val="22"/>
          <w:szCs w:val="22"/>
          <w:highlight w:val="none"/>
          <w:lang w:bidi="ar"/>
        </w:rPr>
        <w:t>宁波市鄞州区前河南路88号15楼01-06室</w:t>
      </w:r>
    </w:p>
    <w:p>
      <w:pPr>
        <w:pageBreakBefore w:val="0"/>
        <w:kinsoku/>
        <w:wordWrap/>
        <w:overflowPunct/>
        <w:topLinePunct w:val="0"/>
        <w:autoSpaceDE/>
        <w:autoSpaceDN/>
        <w:bidi w:val="0"/>
        <w:spacing w:line="480" w:lineRule="exact"/>
        <w:ind w:firstLine="440" w:firstLineChars="200"/>
        <w:textAlignment w:val="auto"/>
        <w:rPr>
          <w:rFonts w:hint="eastAsia" w:ascii="Arial" w:hAnsi="Arial" w:cs="Arial"/>
          <w:color w:val="auto"/>
          <w:sz w:val="22"/>
          <w:szCs w:val="22"/>
          <w:highlight w:val="none"/>
          <w:lang w:eastAsia="zh-CN" w:bidi="ar"/>
        </w:rPr>
      </w:pPr>
      <w:r>
        <w:rPr>
          <w:rFonts w:hint="default" w:ascii="Arial" w:hAnsi="Arial" w:cs="Arial"/>
          <w:color w:val="auto"/>
          <w:sz w:val="22"/>
          <w:szCs w:val="22"/>
          <w:highlight w:val="none"/>
        </w:rPr>
        <w:t>项目联系人（询问）：</w:t>
      </w:r>
      <w:r>
        <w:rPr>
          <w:rFonts w:hint="default" w:ascii="Arial" w:hAnsi="Arial" w:cs="Arial"/>
          <w:color w:val="auto"/>
          <w:sz w:val="22"/>
          <w:szCs w:val="22"/>
          <w:highlight w:val="none"/>
          <w:lang w:bidi="ar"/>
        </w:rPr>
        <w:t>王芸、</w:t>
      </w:r>
      <w:r>
        <w:rPr>
          <w:rFonts w:hint="eastAsia" w:ascii="Arial" w:hAnsi="Arial" w:cs="Arial"/>
          <w:color w:val="auto"/>
          <w:sz w:val="22"/>
          <w:szCs w:val="22"/>
          <w:highlight w:val="none"/>
          <w:lang w:eastAsia="zh-CN" w:bidi="ar"/>
        </w:rPr>
        <w:t>舒源源、赵杰、胡建杰、周林峰</w:t>
      </w:r>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lang w:bidi="ar"/>
        </w:rPr>
      </w:pPr>
      <w:r>
        <w:rPr>
          <w:rFonts w:hint="eastAsia" w:ascii="Arial" w:hAnsi="Arial" w:cs="Arial"/>
          <w:color w:val="auto"/>
          <w:sz w:val="22"/>
          <w:szCs w:val="22"/>
          <w:highlight w:val="none"/>
        </w:rPr>
        <w:t xml:space="preserve">传    真：/    </w:t>
      </w:r>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项目联系方式（询问）：</w:t>
      </w:r>
      <w:r>
        <w:rPr>
          <w:rFonts w:hint="default" w:ascii="Arial" w:hAnsi="Arial" w:cs="Arial"/>
          <w:color w:val="auto"/>
          <w:sz w:val="22"/>
          <w:szCs w:val="22"/>
          <w:highlight w:val="none"/>
        </w:rPr>
        <w:t>0574-87298497</w:t>
      </w:r>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rPr>
      </w:pPr>
      <w:bookmarkStart w:id="39" w:name="_Toc28359010"/>
      <w:bookmarkStart w:id="40" w:name="_Toc28359087"/>
      <w:r>
        <w:rPr>
          <w:rFonts w:hint="default" w:ascii="Arial" w:hAnsi="Arial" w:cs="Arial"/>
          <w:color w:val="auto"/>
          <w:sz w:val="22"/>
          <w:szCs w:val="22"/>
          <w:highlight w:val="none"/>
        </w:rPr>
        <w:t>质疑联系人：</w:t>
      </w:r>
      <w:r>
        <w:rPr>
          <w:rFonts w:hint="default" w:ascii="Arial" w:hAnsi="Arial" w:cs="Arial"/>
          <w:color w:val="auto"/>
          <w:sz w:val="22"/>
          <w:szCs w:val="22"/>
          <w:highlight w:val="none"/>
          <w:lang w:bidi="ar"/>
        </w:rPr>
        <w:t>沈滋炜</w:t>
      </w:r>
      <w:r>
        <w:rPr>
          <w:rFonts w:hint="default" w:ascii="Arial" w:hAnsi="Arial" w:cs="Arial"/>
          <w:color w:val="auto"/>
          <w:sz w:val="22"/>
          <w:szCs w:val="22"/>
          <w:highlight w:val="none"/>
        </w:rPr>
        <w:t xml:space="preserve">      </w:t>
      </w:r>
    </w:p>
    <w:p>
      <w:pPr>
        <w:pageBreakBefore w:val="0"/>
        <w:kinsoku/>
        <w:wordWrap/>
        <w:overflowPunct/>
        <w:topLinePunct w:val="0"/>
        <w:autoSpaceDE/>
        <w:autoSpaceDN/>
        <w:bidi w:val="0"/>
        <w:spacing w:line="480" w:lineRule="exact"/>
        <w:ind w:firstLine="440" w:firstLineChars="20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质疑联系方式：</w:t>
      </w:r>
      <w:r>
        <w:rPr>
          <w:rFonts w:hint="default" w:ascii="Arial" w:hAnsi="Arial" w:cs="Arial"/>
          <w:color w:val="auto"/>
          <w:sz w:val="22"/>
          <w:szCs w:val="22"/>
          <w:highlight w:val="none"/>
        </w:rPr>
        <w:t>0574-87298497</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val="en-US" w:eastAsia="zh-CN"/>
        </w:rPr>
        <w:t>13065660609</w:t>
      </w:r>
    </w:p>
    <w:bookmarkEnd w:id="39"/>
    <w:bookmarkEnd w:id="40"/>
    <w:p>
      <w:pPr>
        <w:pageBreakBefore w:val="0"/>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bidi="ar"/>
        </w:rPr>
        <w:t>3.</w:t>
      </w:r>
      <w:r>
        <w:rPr>
          <w:rFonts w:hint="default" w:ascii="Arial" w:hAnsi="Arial" w:cs="Arial"/>
          <w:color w:val="auto"/>
          <w:sz w:val="22"/>
          <w:szCs w:val="22"/>
          <w:highlight w:val="none"/>
        </w:rPr>
        <w:t>同级政府采购监督管理部门</w:t>
      </w:r>
      <w:r>
        <w:rPr>
          <w:rFonts w:hint="eastAsia" w:ascii="Arial" w:hAnsi="Arial" w:cs="Arial"/>
          <w:color w:val="auto"/>
          <w:sz w:val="22"/>
          <w:szCs w:val="22"/>
          <w:highlight w:val="none"/>
        </w:rPr>
        <w:t xml:space="preserve">            </w:t>
      </w:r>
    </w:p>
    <w:p>
      <w:pPr>
        <w:pageBreakBefore w:val="0"/>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rPr>
        <w:t>名    称：宁波市鄞州区政府采购管理办公室             </w:t>
      </w:r>
    </w:p>
    <w:p>
      <w:pPr>
        <w:pageBreakBefore w:val="0"/>
        <w:kinsoku/>
        <w:wordWrap/>
        <w:overflowPunct/>
        <w:topLinePunct w:val="0"/>
        <w:autoSpaceDE/>
        <w:autoSpaceDN/>
        <w:bidi w:val="0"/>
        <w:spacing w:line="480" w:lineRule="exact"/>
        <w:ind w:firstLine="440" w:firstLineChars="200"/>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rPr>
        <w:t>地    址：宁波市鄞州区民惠东路16号             </w:t>
      </w:r>
    </w:p>
    <w:p>
      <w:pPr>
        <w:pageBreakBefore w:val="0"/>
        <w:kinsoku/>
        <w:wordWrap/>
        <w:overflowPunct/>
        <w:topLinePunct w:val="0"/>
        <w:autoSpaceDE/>
        <w:autoSpaceDN/>
        <w:bidi w:val="0"/>
        <w:spacing w:line="480" w:lineRule="exact"/>
        <w:ind w:firstLine="440" w:firstLineChars="200"/>
        <w:jc w:val="left"/>
        <w:textAlignment w:val="auto"/>
        <w:rPr>
          <w:color w:val="auto"/>
          <w:highlight w:val="none"/>
        </w:rPr>
      </w:pPr>
      <w:r>
        <w:rPr>
          <w:rFonts w:hint="eastAsia" w:ascii="Arial" w:hAnsi="Arial" w:cs="Arial"/>
          <w:color w:val="auto"/>
          <w:sz w:val="22"/>
          <w:szCs w:val="22"/>
          <w:highlight w:val="none"/>
        </w:rPr>
        <w:t xml:space="preserve">传    真：/      </w:t>
      </w:r>
      <w:r>
        <w:rPr>
          <w:rFonts w:hint="eastAsia" w:ascii="仿宋" w:hAnsi="仿宋" w:eastAsia="仿宋" w:cs="仿宋"/>
          <w:color w:val="auto"/>
          <w:sz w:val="21"/>
          <w:szCs w:val="21"/>
          <w:highlight w:val="none"/>
        </w:rPr>
        <w:t>       </w:t>
      </w:r>
    </w:p>
    <w:p>
      <w:pPr>
        <w:pStyle w:val="43"/>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480" w:lineRule="exact"/>
        <w:ind w:left="0" w:right="0"/>
        <w:textAlignment w:val="auto"/>
        <w:rPr>
          <w:rFonts w:hint="default" w:ascii="Arial" w:hAnsi="Arial" w:cs="Arial"/>
          <w:color w:val="auto"/>
          <w:kern w:val="2"/>
          <w:sz w:val="22"/>
          <w:szCs w:val="22"/>
          <w:highlight w:val="none"/>
          <w:lang w:val="en-US" w:eastAsia="zh-CN" w:bidi="ar-SA"/>
        </w:rPr>
      </w:pPr>
      <w:r>
        <w:rPr>
          <w:rFonts w:hint="eastAsia" w:ascii="仿宋" w:hAnsi="仿宋" w:eastAsia="仿宋" w:cs="仿宋"/>
          <w:color w:val="auto"/>
          <w:sz w:val="27"/>
          <w:szCs w:val="27"/>
          <w:highlight w:val="none"/>
        </w:rPr>
        <w:t xml:space="preserve">    </w:t>
      </w:r>
      <w:r>
        <w:rPr>
          <w:rFonts w:hint="eastAsia" w:ascii="Arial" w:hAnsi="Arial" w:cs="Arial"/>
          <w:color w:val="auto"/>
          <w:kern w:val="2"/>
          <w:sz w:val="22"/>
          <w:szCs w:val="22"/>
          <w:highlight w:val="none"/>
          <w:lang w:val="en-US" w:eastAsia="zh-CN" w:bidi="ar-SA"/>
        </w:rPr>
        <w:t>联系人 ：郑老师             </w:t>
      </w:r>
    </w:p>
    <w:p>
      <w:pPr>
        <w:pStyle w:val="43"/>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480" w:lineRule="exact"/>
        <w:ind w:right="0" w:firstLine="440" w:firstLineChars="200"/>
        <w:textAlignment w:val="auto"/>
        <w:rPr>
          <w:rFonts w:hint="default" w:ascii="Arial" w:hAnsi="Arial" w:cs="Arial"/>
          <w:color w:val="auto"/>
          <w:kern w:val="2"/>
          <w:sz w:val="22"/>
          <w:szCs w:val="22"/>
          <w:highlight w:val="none"/>
          <w:lang w:val="en-US" w:eastAsia="zh-CN" w:bidi="ar-SA"/>
        </w:rPr>
      </w:pPr>
      <w:r>
        <w:rPr>
          <w:rFonts w:hint="eastAsia" w:ascii="Arial" w:hAnsi="Arial" w:cs="Arial"/>
          <w:color w:val="auto"/>
          <w:kern w:val="2"/>
          <w:sz w:val="22"/>
          <w:szCs w:val="22"/>
          <w:highlight w:val="none"/>
          <w:lang w:val="en-US" w:eastAsia="zh-CN" w:bidi="ar-SA"/>
        </w:rPr>
        <w:t>监督投诉电话：0574-89295894</w:t>
      </w:r>
    </w:p>
    <w:p>
      <w:pPr>
        <w:pStyle w:val="43"/>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480" w:lineRule="exact"/>
        <w:ind w:right="0" w:firstLine="440" w:firstLineChars="200"/>
        <w:textAlignment w:val="auto"/>
        <w:rPr>
          <w:rFonts w:hint="eastAsia" w:ascii="Arial" w:hAnsi="Arial" w:cs="Arial"/>
          <w:color w:val="auto"/>
          <w:kern w:val="2"/>
          <w:sz w:val="22"/>
          <w:szCs w:val="22"/>
          <w:highlight w:val="none"/>
          <w:lang w:val="en-US" w:eastAsia="zh-CN" w:bidi="ar-SA"/>
        </w:rPr>
      </w:pPr>
    </w:p>
    <w:p>
      <w:pPr>
        <w:pStyle w:val="43"/>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480" w:lineRule="exact"/>
        <w:ind w:right="0" w:firstLine="440" w:firstLineChars="200"/>
        <w:textAlignment w:val="auto"/>
        <w:rPr>
          <w:rFonts w:hint="eastAsia" w:ascii="Arial" w:hAnsi="Arial" w:cs="Arial"/>
          <w:color w:val="auto"/>
          <w:kern w:val="2"/>
          <w:sz w:val="22"/>
          <w:szCs w:val="22"/>
          <w:highlight w:val="none"/>
          <w:lang w:val="en-US" w:eastAsia="zh-CN" w:bidi="ar-SA"/>
        </w:rPr>
      </w:pPr>
    </w:p>
    <w:p>
      <w:pPr>
        <w:pStyle w:val="43"/>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480" w:lineRule="exact"/>
        <w:ind w:right="0" w:firstLine="440" w:firstLineChars="200"/>
        <w:textAlignment w:val="auto"/>
        <w:rPr>
          <w:rFonts w:hint="eastAsia" w:ascii="Arial" w:hAnsi="Arial" w:cs="Arial"/>
          <w:color w:val="auto"/>
          <w:kern w:val="2"/>
          <w:sz w:val="22"/>
          <w:szCs w:val="22"/>
          <w:highlight w:val="none"/>
          <w:lang w:val="en-US" w:eastAsia="zh-CN" w:bidi="ar-SA"/>
        </w:rPr>
      </w:pPr>
    </w:p>
    <w:p>
      <w:pPr>
        <w:spacing w:line="460" w:lineRule="exact"/>
        <w:ind w:firstLine="643" w:firstLineChars="200"/>
        <w:jc w:val="center"/>
        <w:outlineLvl w:val="0"/>
        <w:rPr>
          <w:rFonts w:hint="default" w:ascii="Arial" w:hAnsi="Arial" w:cs="Arial"/>
          <w:b/>
          <w:bCs/>
          <w:color w:val="auto"/>
          <w:sz w:val="32"/>
          <w:szCs w:val="32"/>
          <w:highlight w:val="none"/>
        </w:rPr>
      </w:pPr>
      <w:bookmarkStart w:id="41" w:name="_Toc50910769"/>
    </w:p>
    <w:p>
      <w:pPr>
        <w:spacing w:line="460" w:lineRule="exact"/>
        <w:ind w:firstLine="643" w:firstLineChars="200"/>
        <w:jc w:val="center"/>
        <w:outlineLvl w:val="0"/>
        <w:rPr>
          <w:rFonts w:hint="default" w:ascii="Arial" w:hAnsi="Arial" w:cs="Arial"/>
          <w:b/>
          <w:bCs/>
          <w:color w:val="auto"/>
          <w:sz w:val="32"/>
          <w:szCs w:val="32"/>
          <w:highlight w:val="none"/>
        </w:rPr>
      </w:pPr>
    </w:p>
    <w:p>
      <w:pPr>
        <w:spacing w:line="460" w:lineRule="exact"/>
        <w:ind w:firstLine="643" w:firstLineChars="200"/>
        <w:jc w:val="center"/>
        <w:outlineLvl w:val="0"/>
        <w:rPr>
          <w:rFonts w:hint="default" w:ascii="Arial" w:hAnsi="Arial" w:cs="Arial"/>
          <w:b/>
          <w:bCs/>
          <w:color w:val="auto"/>
          <w:sz w:val="22"/>
          <w:szCs w:val="22"/>
          <w:highlight w:val="none"/>
        </w:rPr>
      </w:pPr>
      <w:r>
        <w:rPr>
          <w:rFonts w:hint="default" w:ascii="Arial" w:hAnsi="Arial" w:cs="Arial"/>
          <w:b/>
          <w:bCs/>
          <w:color w:val="auto"/>
          <w:sz w:val="32"/>
          <w:szCs w:val="32"/>
          <w:highlight w:val="none"/>
        </w:rPr>
        <w:t>第二章   招标需求</w:t>
      </w:r>
      <w:bookmarkEnd w:id="41"/>
    </w:p>
    <w:p>
      <w:pPr>
        <w:spacing w:line="460" w:lineRule="exact"/>
        <w:ind w:firstLine="442" w:firstLineChars="200"/>
        <w:outlineLvl w:val="0"/>
        <w:rPr>
          <w:rFonts w:hint="default" w:ascii="Arial" w:hAnsi="Arial" w:cs="Arial"/>
          <w:b/>
          <w:bCs/>
          <w:color w:val="auto"/>
          <w:sz w:val="22"/>
          <w:szCs w:val="22"/>
          <w:highlight w:val="none"/>
        </w:rPr>
      </w:pPr>
    </w:p>
    <w:p>
      <w:pPr>
        <w:numPr>
          <w:ilvl w:val="0"/>
          <w:numId w:val="19"/>
        </w:numPr>
        <w:rPr>
          <w:rFonts w:hint="default" w:ascii="Arial" w:hAnsi="Arial" w:cs="Arial"/>
          <w:b/>
          <w:bCs/>
          <w:color w:val="auto"/>
          <w:sz w:val="22"/>
          <w:szCs w:val="22"/>
          <w:highlight w:val="none"/>
        </w:rPr>
      </w:pPr>
      <w:bookmarkStart w:id="42" w:name="_Toc317685547"/>
      <w:bookmarkStart w:id="43" w:name="_Toc304292171"/>
      <w:bookmarkStart w:id="44" w:name="_Toc436330182"/>
      <w:bookmarkStart w:id="45" w:name="_Toc436330181"/>
      <w:r>
        <w:rPr>
          <w:rFonts w:hint="default" w:ascii="Arial" w:hAnsi="Arial" w:cs="Arial"/>
          <w:b/>
          <w:bCs/>
          <w:color w:val="auto"/>
          <w:sz w:val="22"/>
          <w:szCs w:val="22"/>
          <w:highlight w:val="none"/>
        </w:rPr>
        <w:t>采购内容：</w:t>
      </w:r>
    </w:p>
    <w:tbl>
      <w:tblPr>
        <w:tblStyle w:val="46"/>
        <w:tblW w:w="8905" w:type="dxa"/>
        <w:tblInd w:w="6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6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46"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项目名称</w:t>
            </w:r>
          </w:p>
        </w:tc>
        <w:tc>
          <w:tcPr>
            <w:tcW w:w="6959"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eastAsia="zh-CN"/>
              </w:rPr>
              <w:t>邱隘镇公共安全高清视频监控服务项目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规格及要求</w:t>
            </w:r>
          </w:p>
        </w:tc>
        <w:tc>
          <w:tcPr>
            <w:tcW w:w="69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详见采购清单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4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数量</w:t>
            </w:r>
          </w:p>
        </w:tc>
        <w:tc>
          <w:tcPr>
            <w:tcW w:w="695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eastAsia="宋体" w:cs="Arial"/>
                <w:color w:val="auto"/>
                <w:sz w:val="22"/>
                <w:szCs w:val="22"/>
                <w:highlight w:val="none"/>
                <w:lang w:val="en-US" w:eastAsia="zh-CN"/>
              </w:rPr>
            </w:pPr>
            <w:r>
              <w:rPr>
                <w:rFonts w:hint="eastAsia" w:ascii="Arial" w:hAnsi="Arial" w:eastAsia="宋体" w:cs="Arial"/>
                <w:color w:val="auto"/>
                <w:sz w:val="22"/>
                <w:szCs w:val="22"/>
                <w:highlight w:val="none"/>
                <w:lang w:val="en-US" w:eastAsia="zh-CN"/>
              </w:rPr>
              <w:t>1批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46"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采购周期</w:t>
            </w:r>
          </w:p>
        </w:tc>
        <w:tc>
          <w:tcPr>
            <w:tcW w:w="6959"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4个月内安装调试完毕且验收合格</w:t>
            </w:r>
            <w:r>
              <w:rPr>
                <w:rFonts w:hint="default" w:ascii="Arial" w:hAnsi="Arial" w:cs="Arial"/>
                <w:color w:val="auto"/>
                <w:sz w:val="22"/>
                <w:szCs w:val="22"/>
                <w:highlight w:val="none"/>
              </w:rPr>
              <w:t>。</w:t>
            </w:r>
          </w:p>
        </w:tc>
      </w:tr>
    </w:tbl>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Arial" w:hAnsi="Arial" w:cs="Arial"/>
          <w:b/>
          <w:bCs/>
          <w:color w:val="auto"/>
          <w:sz w:val="22"/>
          <w:szCs w:val="22"/>
          <w:highlight w:val="none"/>
          <w:lang w:eastAsia="zh-CN"/>
        </w:rPr>
      </w:pPr>
      <w:r>
        <w:rPr>
          <w:rFonts w:hint="eastAsia" w:ascii="Arial" w:hAnsi="Arial" w:cs="Arial"/>
          <w:b/>
          <w:bCs/>
          <w:color w:val="auto"/>
          <w:sz w:val="22"/>
          <w:szCs w:val="22"/>
          <w:highlight w:val="none"/>
          <w:lang w:val="en-US" w:eastAsia="zh-CN"/>
        </w:rPr>
        <w:t>总体要求</w:t>
      </w:r>
      <w:r>
        <w:rPr>
          <w:rFonts w:hint="eastAsia" w:ascii="Arial" w:hAnsi="Arial" w:cs="Arial"/>
          <w:b/>
          <w:bCs/>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Arial" w:hAnsi="Arial" w:cs="Arial"/>
          <w:b w:val="0"/>
          <w:bCs w:val="0"/>
          <w:color w:val="auto"/>
          <w:sz w:val="22"/>
          <w:szCs w:val="22"/>
          <w:highlight w:val="none"/>
          <w:lang w:val="en-US" w:eastAsia="zh-CN"/>
        </w:rPr>
      </w:pPr>
      <w:r>
        <w:rPr>
          <w:rFonts w:hint="eastAsia" w:ascii="Arial" w:hAnsi="Arial" w:cs="Arial"/>
          <w:b w:val="0"/>
          <w:bCs w:val="0"/>
          <w:color w:val="auto"/>
          <w:sz w:val="22"/>
          <w:szCs w:val="22"/>
          <w:highlight w:val="none"/>
          <w:lang w:val="en-US" w:eastAsia="zh-CN"/>
        </w:rPr>
        <w:t>本项目结合邱隘镇原有的视频监控系统，以“全域覆盖、全网共享、全时可用、全程可控”为总目标，推动重点公共区域、重点行业、领域的视频监控系统建设。建立全方位、广覆盖、多层次、多手段的视频格局，实现重要领域和重点行业视频监控等技防设施全面覆盖。开展视频图像信息在治安防控、城乡社会治理、智能交通、服务民生、生态建设与保护等领域应用。实现视频图像信息交换共享平台按需互通、视频资源有效整合，加强“车脸、人脸”等视频图像智能识别应用，构建富有邱隘特色的公共安全视频监控防控网络保障机制和应用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Arial" w:hAnsi="Arial" w:cs="Arial"/>
          <w:b w:val="0"/>
          <w:bCs w:val="0"/>
          <w:color w:val="auto"/>
          <w:sz w:val="22"/>
          <w:szCs w:val="22"/>
          <w:highlight w:val="none"/>
          <w:lang w:val="en-US" w:eastAsia="zh-CN"/>
        </w:rPr>
      </w:pPr>
      <w:r>
        <w:rPr>
          <w:rFonts w:hint="eastAsia" w:ascii="Arial" w:hAnsi="Arial" w:cs="Arial"/>
          <w:b w:val="0"/>
          <w:bCs w:val="0"/>
          <w:color w:val="auto"/>
          <w:sz w:val="22"/>
          <w:szCs w:val="22"/>
          <w:highlight w:val="none"/>
          <w:lang w:val="en-US" w:eastAsia="zh-CN"/>
        </w:rPr>
        <w:t>本项目采购以视频监控、车辆抓拍、人脸抓拍点位为主要内容，并扩容视频管理平台，建设统一的存储集群，统一的数据接口，利用大数据技术，实现信息的有效关联、搜索、分析，为多维感知应用提供有力支撑。在预防、发现、控制和打击违法犯罪，提供破案线索，固定违法犯罪证据等方面发挥人防、物防所不可替代的重要作用。因此，本次邱隘镇公共安全视频监控项目，是深化完善雪亮工程项目的建设，逐步建成实用性强、打击防范控制有力的防控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Arial" w:hAnsi="Arial" w:cs="Arial"/>
          <w:b/>
          <w:bCs/>
          <w:color w:val="auto"/>
          <w:sz w:val="22"/>
          <w:szCs w:val="22"/>
          <w:highlight w:val="none"/>
          <w:lang w:val="en-US" w:eastAsia="zh-CN"/>
        </w:rPr>
      </w:pPr>
      <w:r>
        <w:rPr>
          <w:rFonts w:hint="eastAsia" w:ascii="Arial" w:hAnsi="Arial" w:cs="Arial"/>
          <w:b/>
          <w:bCs/>
          <w:color w:val="auto"/>
          <w:sz w:val="22"/>
          <w:szCs w:val="22"/>
          <w:highlight w:val="none"/>
          <w:lang w:val="en-US" w:eastAsia="zh-CN"/>
        </w:rPr>
        <w:t>三、采购规模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color w:val="auto"/>
          <w:highlight w:val="none"/>
        </w:rPr>
      </w:pPr>
      <w:r>
        <w:rPr>
          <w:rFonts w:hint="eastAsia" w:ascii="Arial" w:hAnsi="Arial" w:eastAsia="宋体" w:cs="Arial"/>
          <w:b w:val="0"/>
          <w:bCs w:val="0"/>
          <w:color w:val="auto"/>
          <w:sz w:val="22"/>
          <w:szCs w:val="22"/>
          <w:highlight w:val="none"/>
          <w:lang w:val="en-US" w:eastAsia="zh-CN"/>
        </w:rPr>
        <w:t>本次邱隘镇公共安全视频监控项目中，共建设275个智能高清监控摄像机和3套移动布控球。高清智能监控摄像机包括高清视频监控（微卡口）246个、高清智能球机1个、人脸抓拍机25个、多目标跟踪摄像机3个。本次新建高清摄像机对整个邱隘镇主要道路路段、路口、学校、医院、小区、超市、商业广场、地铁等人员密集区域进行视频实施监控，车脸人脸抓拍覆盖。整体规划布点情况如下表：</w:t>
      </w:r>
    </w:p>
    <w:tbl>
      <w:tblPr>
        <w:tblStyle w:val="46"/>
        <w:tblW w:w="8888" w:type="dxa"/>
        <w:tblInd w:w="9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20"/>
        <w:gridCol w:w="3320"/>
        <w:gridCol w:w="1237"/>
        <w:gridCol w:w="1237"/>
        <w:gridCol w:w="1237"/>
        <w:gridCol w:w="123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2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序号</w:t>
            </w:r>
          </w:p>
        </w:tc>
        <w:tc>
          <w:tcPr>
            <w:tcW w:w="332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点位名称</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枪机</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球机</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人脸摄像机</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多目标跟踪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浦港路-329交界处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水岸春晖东门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杨柳郡广场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郡杨路52号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明湖幼儿园</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莲湖路幼儿园</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合能宁玥府芳路371号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芳草路学校消防通道</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宁波赫德实验小学东门口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宁东路1367号宁波赫德实验小学南门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上湖城门口宁东路1511号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宁东路与蒲苇路交叉口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华东艺术学校明湖校区蒲苇路</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宁东路菜场南门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柳影路菜市场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柳影路卫生院北门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华师大北门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柳影路明湖幼儿园上湖园</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盛莫北路南上湖城西门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柳影路69号上湖城</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柳影路安置房</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华东艺术学校明湖校区西门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中山东路与善嘉路交汇处浙江创新中心</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会展路与盛梅北路交叉口柳岸晓风小区旁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明湖花苑四期门口会展路1871号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会展路1699号明湖花苑二期</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会展路上湖城门口明湖公交站旁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会展路1511号熙润华府旁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明湖熙润幼儿园</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银泰大厦售楼中心厚德街与中山东路交汇处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中山东路新韵花苑5号楼对面加油站</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中山东路新韵花苑5号楼门口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文卫西路145号对面科创中心</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文卫西路191号宏泰风花树</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文卫西路191号宏泰风花树1</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中山东路新韵花苑5号楼前面桥边</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文卫西路221号旁边</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中山东路2646号浙江创新中心</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善嘉路196号浙江创新中心</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善嘉路280号宏泰公馆接待中心</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善嘉路286弄38号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善嘉路286弄19号旁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善嘉路286弄76号商铺旁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浅水湾北区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浅水湾北区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公交检测站兴宁路桥头</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公交检测站</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前殷安置小区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生态长廊青年路</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方庄二村1幢通道</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方庄二村1幢通道</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方庄16幢</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方庄一村2幢</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方庄一村2幢</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方庄一村1号公变</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浅水湾城市花园公交站</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镇中路工商银行前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镇中路世佳宾馆桥头</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镇中路74号前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阳光公寓</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东城锦楠府大门口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东城锦楠府地下车库出口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环城南路高架东入口处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环城南路邱二村方向</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邱二公园</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双邱市场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绿园新村2排1幢101前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绿园别墅M110</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绿园新村三排10幢路口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绿园新村四排10幢路口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东港路20号唐狮店门口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振兴路33号旁巷子</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振兴路60弄1-9号口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倒撑漕41号旁巷子</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镇中路新江夏门口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镇中路与贺兴弄交叉口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镇中路彩虹大药房旁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镇中路鄞州银行门口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振兴路79弄2幢口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镇兴路79弄7幢1-5号旁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振兴路中国银行后巷美尔惠超市门口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振兴路12秀工场店门口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振兴路蜜思肤店门口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振兴路79弄8幢1-5号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青年路157号门口东日房巷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青年路156号巷子口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青年路145号巷子口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邱隘南路公共厕所巷子口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邱隘南路78号口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振兴路171号门口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振兴路148号门口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东港花园旧衣回收处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方庄文化观园旁青年路桥头</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青年路523号汪家新村</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江家新村前停车场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环城南路1826号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环城南路高架海晏南路出口处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金达路东方丽都公交站朝南</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金达路东方丽都公交站朝北</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东城阳光二期2单元前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万里路新邱路口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新邱路北斗路口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北斗东路411号前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北斗路川王府菜馆旁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东雅村北侧公交站</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东雅村南侧公交站</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东雅新村2栋消防门前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洪钢塑料五金厂</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环城南路盛莫路口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雅安小区旁工业园河边路口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双雅桥旁北侧</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东雅**室桥头</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杨家耷99号桥头</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浅水湾农庄内华峰装饰</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张家瀛245号前广场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张家瀛北155车位旁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东环南路高架下汇头方向路口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环城南路与东外环路口南侧</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环南互通隧道出口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环南互通隧道入口方向</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东外环辅道与万龄路口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青年路宁波银行</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沈家西王2号公变02#</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沈家西王2号公变01#</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沈家西王2号公变05#</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沈家西王2号公变04#</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沈家漕新村42号门口电线杆上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沈家村7号公变10#上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沈家漕15号门口电线杆上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沈家淡湖漕1号公变05#杆上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汇头村1号公变原有编号监控QA164</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汇头村1号公变09-1号上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垃圾分类收集点汇头村1号公变01号上</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电线杆原有治安监控编号QA166</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汇馨家园旁河边</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汇头6号支线09</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兴宁路兴帮桥头北侧</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兴宁路兴帮桥头南侧</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金亿路工业区内</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姚村191号小桥前</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东环南路东侧邱隘东钱湖分界处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高邱线汪洋亭叉路口旁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万龄村打网岙3号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环南互通庙东桥</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环南互通万达针织厂旁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东城阳光三期北斗路口（在建）</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振兴路170号旁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振兴路144号旁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镇中路31号旁树墙弄</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文体大楼旁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良友公寓旁停车场变压室</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邱隘公园厕所后门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镇南新村20幢1号门</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镇南新村38幢旁</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镇南新村36幢</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镇南新村16幢</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胡家382号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瓦檐漕145号</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树墙弄79号青年路方向</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邱隘实验小学邱隘大道口</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北斗东路（人脸）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文卫路西人脸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文卫路东人脸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东港路东人脸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东港路西人脸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振兴路北人脸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振兴路南人脸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青年路西人脸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镇中路西人脸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人民路北人脸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镇中路东人脸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青年路东人脸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人民路南人脸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北斗路西人脸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万里学院门口人脸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御锦.水岸花苑人脸1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御锦.水岸花苑人脸2</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兴宁东路邱隘大道口人脸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邱隘实验小学路口人脸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后新桥头人脸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方庄二村3幢路旁人脸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百丈东路方庄路人脸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环城南路东钱湖下万龄方向人脸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浅水湾农庄人脸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渔金公园桥头人脸</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205</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206</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207</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208</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209</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211</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212</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27新增</w:t>
            </w: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28新增</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214</w:t>
            </w:r>
          </w:p>
        </w:tc>
        <w:tc>
          <w:tcPr>
            <w:tcW w:w="332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29新增</w:t>
            </w: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62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215</w:t>
            </w:r>
          </w:p>
        </w:tc>
        <w:tc>
          <w:tcPr>
            <w:tcW w:w="3320"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30新增</w:t>
            </w:r>
          </w:p>
        </w:tc>
        <w:tc>
          <w:tcPr>
            <w:tcW w:w="1237" w:type="dxa"/>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10" w:lineRule="exact"/>
              <w:rPr>
                <w:rFonts w:hint="eastAsia" w:ascii="宋体" w:hAnsi="宋体" w:eastAsia="宋体" w:cs="宋体"/>
                <w:i w:val="0"/>
                <w:iCs w:val="0"/>
                <w:color w:val="auto"/>
                <w:sz w:val="18"/>
                <w:szCs w:val="18"/>
                <w:highlight w:val="none"/>
                <w:u w:val="none"/>
              </w:rPr>
            </w:pPr>
          </w:p>
        </w:tc>
        <w:tc>
          <w:tcPr>
            <w:tcW w:w="1237" w:type="dxa"/>
            <w:tcBorders>
              <w:tl2br w:val="nil"/>
              <w:tr2bl w:val="nil"/>
            </w:tcBorders>
            <w:shd w:val="clear" w:color="auto" w:fill="FFFFFF"/>
            <w:noWrap/>
            <w:vAlign w:val="center"/>
          </w:tcPr>
          <w:p>
            <w:pPr>
              <w:keepNext w:val="0"/>
              <w:keepLines w:val="0"/>
              <w:pageBreakBefore w:val="0"/>
              <w:kinsoku/>
              <w:wordWrap/>
              <w:overflowPunct/>
              <w:topLinePunct w:val="0"/>
              <w:autoSpaceDE/>
              <w:autoSpaceDN/>
              <w:bidi w:val="0"/>
              <w:adjustRightInd/>
              <w:snapToGrid/>
              <w:spacing w:line="210" w:lineRule="exact"/>
              <w:jc w:val="center"/>
              <w:rPr>
                <w:rFonts w:hint="eastAsia" w:ascii="宋体" w:hAnsi="宋体" w:eastAsia="宋体" w:cs="宋体"/>
                <w:i w:val="0"/>
                <w:iCs w:val="0"/>
                <w:color w:val="auto"/>
                <w:sz w:val="18"/>
                <w:szCs w:val="18"/>
                <w:highlight w:val="none"/>
                <w:u w:val="none"/>
              </w:rPr>
            </w:pP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3940" w:type="dxa"/>
            <w:gridSpan w:val="2"/>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b/>
                <w:bCs/>
                <w:i w:val="0"/>
                <w:iCs w:val="0"/>
                <w:color w:val="auto"/>
                <w:sz w:val="18"/>
                <w:szCs w:val="18"/>
                <w:highlight w:val="none"/>
                <w:u w:val="none"/>
                <w:lang w:eastAsia="zh-CN"/>
              </w:rPr>
            </w:pPr>
            <w:r>
              <w:rPr>
                <w:rFonts w:hint="eastAsia" w:ascii="宋体" w:hAnsi="宋体" w:eastAsia="宋体" w:cs="宋体"/>
                <w:b/>
                <w:bCs/>
                <w:i w:val="0"/>
                <w:iCs w:val="0"/>
                <w:color w:val="auto"/>
                <w:sz w:val="18"/>
                <w:szCs w:val="18"/>
                <w:highlight w:val="none"/>
                <w:u w:val="none"/>
                <w:lang w:eastAsia="zh-CN"/>
              </w:rPr>
              <w:t>合计</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246</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25</w:t>
            </w:r>
          </w:p>
        </w:tc>
        <w:tc>
          <w:tcPr>
            <w:tcW w:w="1237" w:type="dxa"/>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Arial" w:hAnsi="Arial" w:cs="Arial"/>
          <w:b/>
          <w:bCs/>
          <w:color w:val="auto"/>
          <w:sz w:val="22"/>
          <w:szCs w:val="22"/>
          <w:highlight w:val="none"/>
          <w:lang w:eastAsia="zh-CN"/>
        </w:rPr>
      </w:pPr>
      <w:r>
        <w:rPr>
          <w:rFonts w:hint="eastAsia" w:ascii="Arial" w:hAnsi="Arial" w:cs="Arial"/>
          <w:b/>
          <w:bCs/>
          <w:color w:val="auto"/>
          <w:sz w:val="22"/>
          <w:szCs w:val="22"/>
          <w:highlight w:val="none"/>
          <w:lang w:val="en-US" w:eastAsia="zh-CN"/>
        </w:rPr>
        <w:t>四、</w:t>
      </w:r>
      <w:r>
        <w:rPr>
          <w:rFonts w:hint="eastAsia" w:ascii="Arial" w:hAnsi="Arial" w:cs="Arial"/>
          <w:b/>
          <w:bCs/>
          <w:color w:val="auto"/>
          <w:sz w:val="22"/>
          <w:szCs w:val="22"/>
          <w:highlight w:val="none"/>
          <w:lang w:eastAsia="zh-CN"/>
        </w:rPr>
        <w:t>采购清单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（一）清单汇总表</w:t>
      </w:r>
    </w:p>
    <w:tbl>
      <w:tblPr>
        <w:tblStyle w:val="46"/>
        <w:tblW w:w="869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6"/>
        <w:gridCol w:w="3452"/>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前端感知系统</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传输网络系统</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存储及平台扩容</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3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系统运行费</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509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 计</w:t>
            </w: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（二）清单明细表</w:t>
      </w:r>
    </w:p>
    <w:tbl>
      <w:tblPr>
        <w:tblStyle w:val="46"/>
        <w:tblW w:w="871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769"/>
        <w:gridCol w:w="3659"/>
        <w:gridCol w:w="613"/>
        <w:gridCol w:w="686"/>
        <w:gridCol w:w="962"/>
        <w:gridCol w:w="871"/>
        <w:gridCol w:w="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项目名称</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技术参数</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计量</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单位</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单价(元)</w:t>
            </w: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合价</w:t>
            </w:r>
            <w:r>
              <w:rPr>
                <w:rFonts w:hint="eastAsia" w:ascii="宋体" w:hAnsi="宋体" w:eastAsia="宋体" w:cs="宋体"/>
                <w:b/>
                <w:bCs/>
                <w:i w:val="0"/>
                <w:iCs w:val="0"/>
                <w:color w:val="auto"/>
                <w:kern w:val="0"/>
                <w:sz w:val="18"/>
                <w:szCs w:val="18"/>
                <w:highlight w:val="none"/>
                <w:u w:val="none"/>
                <w:lang w:val="en-US" w:eastAsia="zh-CN" w:bidi="ar"/>
              </w:rPr>
              <w:br w:type="textWrapping"/>
            </w:r>
            <w:r>
              <w:rPr>
                <w:rFonts w:hint="eastAsia" w:ascii="宋体" w:hAnsi="宋体" w:eastAsia="宋体" w:cs="宋体"/>
                <w:b/>
                <w:bCs/>
                <w:i w:val="0"/>
                <w:iCs w:val="0"/>
                <w:color w:val="auto"/>
                <w:kern w:val="0"/>
                <w:sz w:val="18"/>
                <w:szCs w:val="18"/>
                <w:highlight w:val="none"/>
                <w:u w:val="none"/>
                <w:lang w:val="en-US" w:eastAsia="zh-CN" w:bidi="ar"/>
              </w:rPr>
              <w:t>(元)</w:t>
            </w: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参考品牌范围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A</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前端感知系统</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Arial" w:hAnsi="Arial" w:eastAsia="宋体" w:cs="Arial"/>
                <w:b/>
                <w:bCs/>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b/>
                <w:bCs/>
                <w:i w:val="0"/>
                <w:iCs w:val="0"/>
                <w:color w:val="auto"/>
                <w:sz w:val="18"/>
                <w:szCs w:val="18"/>
                <w:highlight w:val="none"/>
                <w:u w:val="none"/>
              </w:rPr>
            </w:pPr>
          </w:p>
        </w:tc>
        <w:tc>
          <w:tcPr>
            <w:tcW w:w="69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9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1、名称：1/1.8英寸400万像素CMOS智能高清摄像机；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2、规格：可配置支持H.265或H.264编码，最大可输出Full HD 2688 × 1520@25fps实时图像，超低延时，超低码率；图片分辨率：2688*1520，图片格式：JPEG；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支持输出H.265或H.264码流可配置，压缩比高，且处理非常灵活，同时支持MJPEG编码，抓拍图片采用JPEG编码及Smart JPEG压缩，图片质量可设；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支持最大128G TF卡本地存储，支持抓拍图片断网续传；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支持3D数字降噪功能；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全结构化视频分析模式：车辆（车牌识别、车身颜色识别、车型识别、车辆主子品牌识别）；非机动车（车型识别、特征识别）；行人（人体识别、人脸识别、特征识别）；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人脸抓拍模式：可配置支持对区域内行人人脸进行检测、跟踪、抓拍、评分、筛选，输出最优的行人脸抓拍图片；最大可支持40个人脸目标同时检测、跟踪和抓拍，支持人脸去误抓；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具有防尘、防水滴、防浪涌等功能；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▲支持检出两眼瞳距13像素点以上的人脸图片；（需提供公安部授权机构出具的检验报告证明文件并加盖原厂公章）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▲支持人脸目标抓拍头肩照或全景照，模式可选；（需提供公安部授权机构出具的检验报告证明文件并加盖原厂公章）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▲支持重瞳设置选项，开启后可自动调节优化画面中人脸和车牌区域的曝光；（需提供公安部授权机构出具的检验报告证明文件并加盖原厂公章）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最小照度：彩色:0.001Lux@(F1.2,AGC ON)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黑白:0.0001Lux@(F1.2,AGC ON)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摄像机参数配置功能：曝光速度,AGC控制,白平衡方式控制等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工作湿度：湿度5%~95%@40℃,无凝结</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工作温度：温度-30℃~70℃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通讯接口：1个RS-485接口,1个RS-232接口,1个RJ45 10M/100M/1000M自适应以太网口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镜头接口类型：CS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触发输入：1个触发/报警输入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触发输出：2路F+F-输出接口,可作为补光灯输出控制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内部组件：防护罩,镜头,电源适配器</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3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1、名称：白光LED常亮灯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2、规格：光源类型：原装进口大功率LED，单车道补光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LED灯珠数量：5颗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发光角度：40°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最佳补光距离：16米-25米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触发方式：光敏控制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防护等级：IP66</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功率：15W</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2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1、名称：400万像素星光系列8寸网络高清高速智能球机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 1/1.8＂CMOS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▲内置GPU芯片；（以公安部检验报告为准）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最低照度: 彩色：0.0005Lux @ (F1.2，AGC ON)；黑白：0.0001Lux @(F1.2，AGC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 120dB超宽动态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焦距: 6.0-192mm，32倍光学变倍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红外照射距离: 200m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防补光过曝: 支持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水平范围: 360°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垂直范围: -20°-90°(自动翻转)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水平速度: 水平键控速度：0.1°-210°/s，速度可设;水平预置点速度：280°/s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垂直速度: 垂直键控速度：0.1°-150°/s，速度可设;垂直预置点速度：250°/s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主码流帧率分辨率: 50Hz: 25fps (2560×1440),60Hz: 30fps (2560×1440)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 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Smart图像增强: 120dB超宽动态，透雾，强光抑制，电子防抖，Smart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网络存储: NAS (NFS，SMB/ CIFS)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网络接口: RJ45网口，自适应10M/100M网络数据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SD卡扩展: 支持Micro SD(即TF卡)/Micro SDHC/Micro SDXC卡，最大支持256G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具有RS485接口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电源接口类型: AC24V±25%，出厂自带电源适配器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工作温湿度: -40℃~70℃；湿度小于95%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 IP67</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▲抓拍图片格式包括JPEG、JPEG2000、BMP、PNG及TIF；（需提供公安部授权机构出具的检验报告证明文件并加盖原厂公章）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▲通过标定校准可检测当前镜头方向与地平面夹角，并根据夹角变化自动调整倍率；（需提供公安部授权机构出具的检验报告证明文件并加盖原厂公章）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在预览画面及抓拍图片中叠加人员和车辆的移动轨迹，轨迹颜色支持红色、黄色、蓝色、绿色及紫色，轨迹末尾具有一个方向箭头，指向目标离开的方向，抓拍图片大小不大于500KB；（需提供公安部授权机构出具的检验报告证明文件并加盖原厂公章）</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53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1、名称：400万 1/1.8" 星光级 CMOS AI 护罩一体化网络摄像机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2、规格：a)抓拍人体：支持上衣颜色、下装颜色、性别、戴眼镜、背包、拎东西、戴帽子、 戴口罩、长短袖、裤裙、发型属性识别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b)抓拍人脸：支持对运动人脸进行抓拍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c)抓拍非机动车：支持上衣颜色、性别、戴眼镜、背包、戴帽子、戴口罩、长短 袖、发型、骑车类型、骑车人数属性识别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d)抓拍机动车：支持车牌识别并抓拍。支持车型、车牌颜色、车身颜色、车牌类 型、子品牌车身颜色属性识别；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支持混合抓拍模式，可同时对行人、非机动车、机动车进行检测、跟踪及抓拍；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在混合抓拍模式下，行人、非机动车和机动车目标捕获率不低于 99%；在混合抓 拍模式下，支持行人、非机动车和机动车的分类计数；在混合抓拍模式下，支持将人脸与人体、车牌与车辆进行关联；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▲内置混合补光灯，可对红外灯及白光灯功率进行调节；（公安部检验报告证明）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最低照度:彩色:0.0005 Lux @ (F1.2, AGC ON) ；黑白:0.0001 Lux @ (F1.2, AGC ON)；镜头:11-40mm @ F1.4,水平视场角：37.0°~11.5°，垂直视场角：20.2°~6.5°，对角线视场角：43.2°13.2°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宽动态:120dB；视频压缩标准:H.265/H.264 / MJPEG；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同一静止场景相同图像质量下，设备在 H.265 编码方式时，开启智能编码功能和 不开启智能编码相比，码率节约 80%；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GPS信息侦测: 支持设备所在位置的经纬度查询，支持 GPS/北斗校时；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存储功能:支持 Micro SD(即 TF 卡)/Micro SDHC /Micro SDXC 卡(128G)断网本地存储及断网续传,NAS(NFS,SMB/CIFS 均支持)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工作温度和湿度:-30℃~60℃,湿度小于 95%(无凝结)；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电源供应:AC：24V±20%，摄像机出厂自带适配器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内置混合补光灯，可对红外灯及白光灯功率进行调节；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补光距离:混合补光:普通监控：80m 人脸抓拍：15m；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红外波长:750nm。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▲设备具有耀光抑制功能，耀光区域≤1%。（公安部检验报告证明）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在IE浏览器下，具有设备重启和布防动态报警数据感知与记录功能，布防动态报警数据包括异常掉线、历史布防、实时布防3种类型；可记录报警的开始时间、结束时间、布防类型、报警链路地址、端口、链路续传。（公安部检验报告证明）</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2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1、名称：400万1/1.2”CMOS 合智能双舱一体机.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上通道看细节，下通道看全景，一体化设计，由双镜头相机与高性能GPU模块组成，聚合多种专为复杂场景设计的深度学习算法，实现全结构化数据精准采集，具备多场景数据融合分析能力，实现全方位态势感知；</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支持智能资源模式切换：全结构化（默认）、人脸抓拍、人脸比对、道路监控、Smart事件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当监控场景无目标时，补光灯处于低亮模式；当设备全景采集通道检测到目标后，可自动将补光灯调节至高亮模式，并支持目标跟踪、检测、筛选、抓拍、分析属性信息和上报功能；（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全结构化模式：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a)抓拍人体：支持运动方向、上衣颜色、下装颜色、性别、戴眼镜、背包、拎东西、戴帽子、戴口罩、上衣类型、下装类型、发型、骑行状态、载人状态、骑车类型等属性识别；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b)抓拍人脸：支持性别、年龄、年龄段、戴眼镜、戴口罩、戴帽子等属性识别；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c)抓拍非机动车：支持上衣颜色、下装颜色、性别、戴眼镜、年龄段、背包、拎东西、戴帽子、上衣类型、下装类型、戴口罩、发型、非机动车类型，帽子款式等属性识别；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d)抓拍机动车：支持车牌号码、车牌类型、车辆类型、车身颜色、车辆品牌等属性识别；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支持GB35114安全加密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▲支持通过IE浏览器设置登录超时时间，当登录后无操作时长达到设置阈值后，设备自动退出并重新进入登录界面；（需提供公安部授权机构出具的检验报告证明文件并加盖原厂公章）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▲设备具有耀光抑制功能，耀光区域≤1%；（需提供公安部授权机构出具的检验报告证明文件并加盖原厂公章）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最低照度: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通道1：彩色：0.0005 Lux @（F1.2，AGC ON），0 Lux with Light ；黑白：0.0001 Lux @（F1.2，AGC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 彩色：0.0003 Lux @（F1.0，AGC ON），0 Lux with Light ；黑白：0.0001 Lux @（F1.0，AGC ON），0 Lux with IR</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传感器类型: 通道1：1/1.2"" Progressive Scan CMOS；通道2：1/1.8"" Progressive Scan CMOS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宽动态: 120 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调节角度: 通道1：T向 ± 10°，P向 ± 10°；通道2：T向 ± 15°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补光灯类型: 混合补光（支持白光模式和混光模式），750 nm + 暖白光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补光距离: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通道1：普通监控：最远可达80 m；人脸抓拍/识别：最远可达20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通道2：普通监控：最远可达30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最大图像尺寸: 通道1：2688 × 1520；通道2：2688 × 1520；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视频压缩标准: H.265/H.264/MJPEG；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支持设备所在位置的经纬度查询，支持GPS/北斗校时；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 1个RJ45 10 M/100 M/1000 M自适应以太网口；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供电方式: AC：24V ± 20%；摄像机出厂配备电源适配器；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防护: IP67；</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1、名称：万向节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2、规格：压铸铝材质,支持中、重型云台及各类防护罩；</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1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配电箱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1、名称：智能机箱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2、规格：双层隔板挂杆式；尺寸：(宽)400×(深)250×(高)500mm，箱体板材厚度1.2mm；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箱内模块一体化设计，支持热插拔；液晶屏信息/告警显示；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箱体空载功率≤11W；输出功率≥6000W；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箱体电源适应性：120V-265V，50Hz±5Hz；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箱体抗电强度：≥1.5KV、1min无击穿、飞弧现象；箱体漏电电流：≤1mA；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箱体浪涌：浪涌1.2/50μs,脉冲电压±2KV，脉冲数量5个/极性；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箱体支持检测过载、过压、欠压、过流、漏电等电气状况；</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箱体支持远程设置前端设备过载、过压、欠压、过流等电气安全异常保护次数限制和时间限制,异常后应能正常自修复。</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配电箱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1、名称：抱杆机箱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尺寸500*400*250mm,箱体采用厚度1.2MM不锈钢喷塑，机箱门厚1.2MM，抱箍及螺丝采用304不锈钢，箱体丝印；采用棕胶密条与箱体门紧合，防雨水进入；机箱内安装防浪涌、电气开关、插座，采用国内知名品牌，箱内安装散热风扇；箱体防护等级为IP54。机箱颜色根据业主要求。</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标杆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1、名称：立杆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2、规格：6M*3M，主杆臂厚6mm，挑臂厚4mm；材料采用热轧钢板（Q235），弯曲后热镀锌，表面电喷；主杆上端直径 120mm 下端直径 220（八角杆），挑臂直径120mm~80mm，长度 3000m；立杆底板采用φ420圆形钢板，厚度为20mm。要求尺寸标准开料；折弯：要求均匀；焊接：平整无虚焊；打弯：成型角；热镀锌按国家标准，镀锌层厚度≥85μm；喷塑：厚度 0.5mm 以上，色泽均匀；底部开门，用专用工具开启和关闭，密闭性优。如挑臂长度由于监控点路 面情况有变化，工程实施时需调整。</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8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6米立杆基础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1、名称：6米立杆基础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基础尺寸不小于1000*1000*1500mm(长*宽*深)；基础采用商品砼C25灌筑，基础预埋件规格（6-M22）*1400MM。立杆基础开挖后，检查深度及上下口尺寸，确认无误，再放置钢筋笼，固定位置，确保顶板水平；基础中心放入直径32mm/PE管，与过渡窨井相连。</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标杆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1、名称：立杆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4M*1M，主杆φ140等径杆臂厚5mm，挑臂等径φ76臂厚3mm；材料采用热轧钢板（Q235）；立杆底板采用φ320圆形钢板，厚度为20mm。要求尺寸标准开料；焊接：平整无虚焊；热镀锌按国家标准，镀锌层厚度≥85μm；喷塑：厚度 0.5mm 以上，色泽均匀；底部开门，用专用工具开启和关闭，密闭性优。如挑臂长度由于监控点路 面情况有变化，工程实施时需调整。</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2"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4米立杆基础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1、名称：4米立杆基础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2、规格：0.8M（宽）*0.8M（宽）*1.0M（深）C25混凝土浇筑，接地电阻≤10Ω，渣土清运和路面修补；基础预埋件规格（4-M22）*800MM。</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标杆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1、名称：抱杆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2、规格：采用抱箍挑杆,横挑距离1.5-2米，直径φ89mm，壁厚3.0mm，热镀锌喷塑。</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接地极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1、名称：打入两根50*50*5 镀锌角铁，通过3*30 镀锌扁钢引上，接地电阻≤10Ω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其他电源设备安装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1、名称：二合一防雷器</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标志板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 ：标识牌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 ：长方型，边长68cm*38cm,铝板加Ⅳ类反光膜</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电力电缆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 ：铜芯电力电缆敷设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 ：YJV-1kV-3*2.5</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配管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1.名称：塑料管；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2.规格：PE32*3.0mm；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3.配置形式：埋地敷设；</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12800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电缆保护管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1.名称：镀锌钢管；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2.规格：SC32*3.0mm；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3.配置形式：埋地敷设；</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挖沟槽土方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1、名称：道路结构下开挖,人机配合挖沟槽</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拆除路面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1、名称：路面拆除及修复</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m2</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回填方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1、名称：沟槽原土回填</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m3</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手孔井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1、名称：弱电手孔井400*400*600mm</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辅材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1、名称：包含每个点位设备安装的一切施工辅助材料（包括六类网线、设备电源线、水晶头、接地线、光跳线、固定件等）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4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监控摄像设备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1、名称：双摄布控球摄像机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2、规格：支持5G网络；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36 倍光学变倍机芯，最大分辨率 2560*1440，图像清晰、细腻，低照度，彩色 0.0005Lux @F1.2；</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定焦摄像头，最大分辨率 1920*1080；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支持自动彩转黑功能，实现昼夜监控；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支持车辆检测及抓拍；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支持佩戴安全帽检测；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支持离岗检测；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支持人脸抓拍；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支持人脸比对，可存储 30W 张人脸名单（需配TF卡）；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支持区域入侵检测；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 3D-DNR；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支持双TF卡存储，单卡最大支持256GB；本次要求配置2张256GBTF卡；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支持单 5G 模块（天线内置），可额外扩展 1个 4G 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配置可拆卸电池，单电池可支持8小时连续工作；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支持MIC、扬声器，可选配支持 LINE IN\LINE OUT；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支持自定义语音导入，可关联智能分析报警；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自带 2.4 寸 LCD 显示屏，可支持视频预览，云台控制等，可显示当前电池电量、GP</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4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S 状态、3G/4G/5G 状态、录像状态、存储容 量、蓝牙状态、平台连接状态、Wi-Fi 状态、智能算法模式等；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▲具有1个全景摄像头和1个特写摄像头，支持两个摄像头同时预览；（需提供公安部授权机构出具的检验报告证明文件并加盖原厂公章）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▲内置双拾音器，在目标声源平均声级（距声源1m处）为65dB(A)、背景噪声不大于40dB(A)的环境中，拾音器距声源10米处监听到的声音应清晰；（需提供公安部授权机构出具的检验报告证明文件并加盖原厂公章）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循环播报及关联语音报警输出，支持不少于5个循环文件播报，支持不少于5个语音报警输出功能，支持自定义语音播报；支持不戴安全帽报警照片以及取证录像；（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含所有安装套件。自带 2.4 寸 LCD 显示屏，可支持视频预览，云台控制等，可显示当前电池电量、GPS 状态、3G/4G/5G 状态、录像状态、存储容 量、蓝牙状态、平台连接状态、Wi-Fi 状态、智能算法模式等。</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sz w:val="20"/>
                <w:szCs w:val="20"/>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auto"/>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安全防范分系统调试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电视监视系统调试</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B</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传输网络系统</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Arial" w:hAnsi="Arial" w:eastAsia="宋体" w:cs="Arial"/>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b/>
                <w:bCs/>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2"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收发器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1、名称：4口百兆光纤收发器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2、规格：工业导轨式发送机；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电口：4个百兆网口；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光口：1个百兆光口，单模，FC口，传输距离≥20公里，含光模块。</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2"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收发器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1、名称：1口百兆光纤收发器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2、规格：2U插卡式；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电口：1个百兆网口；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光口：1个百兆光口，单模，FC口，传输距离≥20公里，含光模块。</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9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插箱、机柜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1、名称：光纤收发器机箱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2、规格：19英寸2U光端机箱，≥16插槽（机箱数量可根据单台插槽数进行调整）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双220V电源</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958"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交换机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1、名称：接入交换机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2、规格：交换容量≥330Gbps，包转发率≥108Mpps，官网有两个指标的，以小的为准, 提供官网截图证明；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≥24个千兆电口≥，4个万兆光口。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支持横向虚拟化功能，支持纵向虚拟化功能。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支持基于端口的VLAN，支持基于协议的VLAN。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支持GE端口聚合，支持10GE端口聚合，支持静态聚合，支持动态聚合，支持跨设备聚合。</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:支持IGMP v1/v2/v3，MLD v1/v2；支持IGMP Snooping v1/v2/v3，MLD Snooping v1/v2；支持PIM Snooping。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:支持IPv4静态路由、RIP V1/V2、OSPF；支持IPv4和IPv6环境下的策略路由。</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支持OPENFLOW 1.3标准支持普通模式和Openflow 模式切换。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支持命令行接口（CLI），Telnet，Console口进行配置；支持SNMPv1/v2/v3，WEB网管。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提供10KV业务端口防雷能力。</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▲提供入网证明</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华三</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华为</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057"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交换机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1、名称：核心交换机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2、规格：主控引擎模块≥2，满足1+1冗余，业务插槽数≥3</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≥38.4Tbps，提供官网截图及链接证明(官网有多个指标的，以小的为准）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≥7200Mpps，提供官网截图及链接证明(官网有多个指标的，以小的为准）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主控交换卡、电源、接口模块、风扇、网板等关键部件可热插拔；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▲单槽位40G光端口密度≥8, 100G光端口密度≥4. 提高槽位利用率和业务可靠性，提供官网截图及链接证明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▲单槽位能够同时提供千兆光口、千兆电口、万兆光口，且实际可用端口总数≥48，提高槽位利用率和业务可靠性，提供官网截图及链接证明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支持IGMP v1/v2/v3，MLD v1/v2；支持IGMP Snooping v1/v2/v3，MLD Snooping v1/v2；支持PIM Snooping。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支持横向虚拟化，支持纵向虚拟化。</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支持安全业务插卡FW、IPS、NSM、ACG、LB，提供官网截图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支持L3 VPN；支持VLL；支持VLPS；支持MCE</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支持FCF模式转发，VSAN的创建及配置，支持FC地址的分配及WWN地址和FC地址的绑定等功能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支持OPENFLOW 1.3，支持普通模式和Openflow 模式切换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支持VxLAN 网关，提供官网截图及链接证明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支持OPENFLOW 1.3，支持普通模式和Openflow 模式切换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▲内置智能管理功能，支持通过图形化界面设备配置及命令一键下发和版本智能升级，提供工信部权威第三方测试报告；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提供工信部入网证及检验报告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▲为响应国家低碳的要求，产品厂商在产品设计、研发、生产、过程需采取有效减少温室气体排放措施，符合国家温室气体排放和清除的量化和报告的规范。产品生产厂商需通过ISO 14064温室气体核查，要求提供报告复印件；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配置双主控、冗余电源,千兆电口≥24，千兆光口≥24口，万兆光口≥8口</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华三</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华为</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中兴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接口卡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1、名称：万兆多模SFP光模块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2、规格：SFP+万兆模块(850nm,300m,LC)</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接口卡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1、名称：万兆单模SFP光模块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2、规格：SFP+万兆模块(1310nm,40km,LC)</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接口卡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1、名称：千兆单模SFP光模块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2、规格：SFP+千兆模块(1310nm,10km,LC)</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63"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防火墙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1、名称：防火墙</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2、规格：采用1U非X86多核架构。。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≥16个千兆电接口,≥4个千兆光接口,≥6个万兆光接口,≥4个Combo电接口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三层吞吐量≥10Gbps；并发连接数≥500万，每秒新建连接数（HTTP）≥10万；WAN口带宽支持。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实现路由模式、透明（网桥）模式、混合模式。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支持DNS透明代理功能，可基于负载均衡算法代理内网用户进行DNS请求转发，避免单运营商DNS解析出现单一链路流量过载，平衡多条运营商线路的带宽利用率。（需提供设备功能界面截图证明）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支持网页诊断功能，用于当内网用户访问网页出现故障时，对网络进行基本的诊断，并给出故障原因。（提供截图）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▲支持云端防病毒，为保证检测时效性，特征缓存数至少保证20万条且缓存保留时间不应少于700分钟（提供截图）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支持SM1,SM2,SM3,SM4（提供功能截图）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策略风险调优，支持安全策略优化分析，支持策略数冗余及命中分析，支持基于应用风险的自动批量和手动逐条策略调优，可根据流量、应用、风险类型等细粒度展示，并给出总体安全评分，便于用户更好的管理安全策略。（提供功能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报文示踪功能，支持真实流量、导入报文、构造报文等方式，用于分析和追踪设备中各个安全业务模块（如：攻击防范、uRPF、会话管理和连接数限制等）对报文的处理过程，通过查看报文示踪记录的详细信息，有利于管理员对网络故障的快速排查和定位。（提供功能截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虚拟防火墙的创建、启动、关闭、删除功能；可独立分配CPU/内存等计算资源；虚拟防火墙可独立管理，独立保存配置；虚拟防火墙具备独立会话管理、NAT、路由等功能。上述功能要求须提国家相关部委认可的第三方实验室测试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▲支持2台设备堆叠成一台设备使用，实现统一管理，统一配置，所投设备支持高可靠性（包含主备/主主模式）部署，上述功能要求须提国家相关部委认可的第三方实验室测试报告证明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配置三年IPS-AV-URL-应用特征库-安全威胁情报升级授权，配置冗余电源，一块1TB HDD硬盘</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华三</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绿盟</w:t>
            </w: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深信服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辅材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1、名称：六类跳线、光纤跳线、理线器等辅材</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C</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存储及平台扩容</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auto"/>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auto"/>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auto"/>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Arial" w:hAnsi="Arial" w:eastAsia="宋体" w:cs="Arial"/>
                <w:b/>
                <w:bCs/>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245"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存储设备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1、名称：磁盘阵列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2、规格：机架式，8U 48盘位；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2048Mbps接入带宽；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两颗64位多核处理器，16GB缓存（可扩展至256GB）；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4个千兆数据网口，1个千兆管理网口，冗余电源；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网络协议：RTSP/ONVIF/PSIA/（GB/T28181）/iSCSI；</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▲可对视音频、图片、结构化数据、对象等文件进行混合存储，并可通过http和https方式下载；（需提供公安部授权机构出具的检验报告证明文件并加盖原厂公章）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▲支持红灯/蓝灯报警，可根据故障紧急程度分级报警，不同级别闪烁不同颜色保养灯，保养灯闪烁时长、频率可设；（需提供公安部授权机构出具的检验报告证明文件并加盖原厂公章）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支持查看硬盘体检报告、硬盘深度体检和磁盘档案；支持下载单个硬盘或批量硬盘的报告，支持按时间显示硬盘的坏扇区、温度、振动变化趋势的曲线图；支持硬盘体检报告打印输出；支持查看硬盘体检的历史记录、硬盘健康状态，包括健康、亚健康、故障等；（需提供公安部授权机构出具的检验报告证明文件并加盖原厂公章）</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01"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硬盘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1、名称：企业级存储硬盘，8T容量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2、规格：转速：7200rpm，缓存容量：64M，接口标准：SATA3.0，3.5寸；接口传输速率：6Gb/秒</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144</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希捷/西数/东芝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软件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1、名称：智能机箱管理系统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支持检测功能：输入电源的电压，电流和功率；输出端网路设备、摄像机、补光灯、风扇等电源电压，电流和功率；箱体门状态；箱体过欠压、过流和漏电状态；补光灯白天异常开启或晚上异常关闭状态，定时误差≤60S；支持显示功能：根据IP地址设备的经纬度信息；点位安装设备品牌，型号信息；支持报警功能：箱门状态异常，温度异常，外接设备供电异常，断网、断电；过欠压、过载、漏电；支持数据管理功能：点位勘察数据管理；点位供电电气安全性数据管理；点位设备状态数据管理；箱体周围环境状态数据管理；角色权限区域数据管理；故障设备品牌型号数据管理；</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71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软件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1、名称：视频管理平台升级软件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2、规格：原有平台升级扩容，符合国标GB28181-2016标准；视频接入授权不少于2000路；平台增加设备运维管理模块；实现与鄞州公安分局平台级联。</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2、硬件设备更新：</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2U单路标准机架式服务器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CPU核数≥24核，频率≥2.2GHz</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内存：64G DDR4，16根内存插槽，最大支持扩展至2TB内存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硬盘：4块600G 10K 2.5英寸SAS盘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阵列卡：标配SAS_HBA卡，支持RAID0/1/10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网口：2个千兆电口；1个千兆RJ-45管理接口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电源：标配550W（1+1）白金冗余电源</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5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机柜、机架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1、名称：42U服务器机柜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2、规格：600*1000*2000mm，每台机柜配置3块承重板、2块8位PDU</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04"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辅材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1、名称：六类跳线、光纤跳线等安装辅材</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D</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系统运行费</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eastAsia="宋体" w:cs="宋体"/>
                <w:b/>
                <w:bCs/>
                <w:i w:val="0"/>
                <w:iCs w:val="0"/>
                <w:color w:val="auto"/>
                <w:sz w:val="18"/>
                <w:szCs w:val="18"/>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Arial" w:hAnsi="Arial" w:eastAsia="宋体" w:cs="Arial"/>
                <w:b/>
                <w:bCs/>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b/>
                <w:bCs/>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基础运维成本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1、名称：每台设备3年能耗，单个设备功率60瓦24小时1天1.44度</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275</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新建点位光纤租赁费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1、名称：三年裸光纤租赁</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226</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100M数字电路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1、名称：100M数字电路，三年租赁</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100M共享MEC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1、名称：100M共享MEC，三年租赁</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5G专网流量套餐 </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1、名称：300G/月的定向5G专网流量套餐，含5G卡，当月流程可计入下月；三年</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eastAsia" w:ascii="宋体" w:hAnsi="宋体" w:eastAsia="宋体" w:cs="宋体"/>
                <w:i w:val="0"/>
                <w:iCs w:val="0"/>
                <w:color w:val="auto"/>
                <w:sz w:val="18"/>
                <w:szCs w:val="18"/>
                <w:highlight w:val="none"/>
                <w:u w:val="none"/>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b/>
          <w:bCs/>
          <w:color w:val="auto"/>
          <w:sz w:val="22"/>
          <w:szCs w:val="22"/>
          <w:highlight w:val="none"/>
        </w:rPr>
      </w:pPr>
      <w:r>
        <w:rPr>
          <w:rFonts w:hint="default" w:ascii="Arial" w:hAnsi="Arial" w:eastAsia="黑体" w:cs="Arial"/>
          <w:b/>
          <w:bCs/>
          <w:color w:val="auto"/>
          <w:sz w:val="22"/>
          <w:szCs w:val="22"/>
          <w:highlight w:val="none"/>
          <w:u w:val="single"/>
        </w:rPr>
        <w:t>★注：采购人在</w:t>
      </w:r>
      <w:r>
        <w:rPr>
          <w:rFonts w:hint="eastAsia" w:ascii="Arial" w:hAnsi="Arial" w:eastAsia="黑体" w:cs="Arial"/>
          <w:b/>
          <w:bCs/>
          <w:color w:val="auto"/>
          <w:sz w:val="22"/>
          <w:szCs w:val="22"/>
          <w:highlight w:val="none"/>
          <w:u w:val="single"/>
          <w:lang w:eastAsia="zh-CN"/>
        </w:rPr>
        <w:t>采购</w:t>
      </w:r>
      <w:r>
        <w:rPr>
          <w:rFonts w:hint="default" w:ascii="Arial" w:hAnsi="Arial" w:eastAsia="黑体" w:cs="Arial"/>
          <w:b/>
          <w:bCs/>
          <w:color w:val="auto"/>
          <w:sz w:val="22"/>
          <w:szCs w:val="22"/>
          <w:highlight w:val="none"/>
          <w:u w:val="single"/>
        </w:rPr>
        <w:t>文件中提供的</w:t>
      </w:r>
      <w:r>
        <w:rPr>
          <w:rFonts w:hint="eastAsia" w:ascii="Arial" w:hAnsi="Arial" w:eastAsia="黑体" w:cs="Arial"/>
          <w:b/>
          <w:bCs/>
          <w:color w:val="auto"/>
          <w:sz w:val="22"/>
          <w:szCs w:val="22"/>
          <w:highlight w:val="none"/>
          <w:u w:val="single"/>
          <w:lang w:val="en-US" w:eastAsia="zh-CN"/>
        </w:rPr>
        <w:t>参考</w:t>
      </w:r>
      <w:r>
        <w:rPr>
          <w:rFonts w:hint="default" w:ascii="Arial" w:hAnsi="Arial" w:eastAsia="黑体" w:cs="Arial"/>
          <w:b/>
          <w:bCs/>
          <w:color w:val="auto"/>
          <w:sz w:val="22"/>
          <w:szCs w:val="22"/>
          <w:highlight w:val="none"/>
          <w:u w:val="single"/>
        </w:rPr>
        <w:t>品牌</w:t>
      </w:r>
      <w:r>
        <w:rPr>
          <w:rFonts w:hint="eastAsia" w:ascii="Arial" w:hAnsi="Arial" w:eastAsia="黑体" w:cs="Arial"/>
          <w:b/>
          <w:bCs/>
          <w:color w:val="auto"/>
          <w:sz w:val="22"/>
          <w:szCs w:val="22"/>
          <w:highlight w:val="none"/>
          <w:u w:val="single"/>
          <w:lang w:val="en-US" w:eastAsia="zh-CN"/>
        </w:rPr>
        <w:t>范围</w:t>
      </w:r>
      <w:r>
        <w:rPr>
          <w:rFonts w:hint="default" w:ascii="Arial" w:hAnsi="Arial" w:eastAsia="黑体" w:cs="Arial"/>
          <w:b/>
          <w:bCs/>
          <w:color w:val="auto"/>
          <w:sz w:val="22"/>
          <w:szCs w:val="22"/>
          <w:highlight w:val="none"/>
          <w:u w:val="single"/>
        </w:rPr>
        <w:t>是采购人认为</w:t>
      </w:r>
      <w:r>
        <w:rPr>
          <w:rFonts w:hint="eastAsia" w:ascii="Arial" w:hAnsi="Arial" w:eastAsia="黑体" w:cs="Arial"/>
          <w:b/>
          <w:bCs/>
          <w:color w:val="auto"/>
          <w:sz w:val="22"/>
          <w:szCs w:val="22"/>
          <w:highlight w:val="none"/>
          <w:u w:val="single"/>
          <w:lang w:eastAsia="zh-CN"/>
        </w:rPr>
        <w:t>比较</w:t>
      </w:r>
      <w:r>
        <w:rPr>
          <w:rFonts w:hint="default" w:ascii="Arial" w:hAnsi="Arial" w:eastAsia="黑体" w:cs="Arial"/>
          <w:b/>
          <w:bCs/>
          <w:color w:val="auto"/>
          <w:sz w:val="22"/>
          <w:szCs w:val="22"/>
          <w:highlight w:val="none"/>
          <w:u w:val="single"/>
        </w:rPr>
        <w:t>适合本招标项目的产品，投标人应予</w:t>
      </w:r>
      <w:r>
        <w:rPr>
          <w:rFonts w:hint="eastAsia" w:ascii="Arial" w:hAnsi="Arial" w:eastAsia="黑体" w:cs="Arial"/>
          <w:b/>
          <w:bCs/>
          <w:color w:val="auto"/>
          <w:sz w:val="22"/>
          <w:szCs w:val="22"/>
          <w:highlight w:val="none"/>
          <w:u w:val="single"/>
          <w:lang w:eastAsia="zh-CN"/>
        </w:rPr>
        <w:t>以</w:t>
      </w:r>
      <w:r>
        <w:rPr>
          <w:rFonts w:hint="default" w:ascii="Arial" w:hAnsi="Arial" w:eastAsia="黑体" w:cs="Arial"/>
          <w:b/>
          <w:bCs/>
          <w:color w:val="auto"/>
          <w:sz w:val="22"/>
          <w:szCs w:val="22"/>
          <w:highlight w:val="none"/>
          <w:u w:val="single"/>
        </w:rPr>
        <w:t>积极响应，投标人可以选择品牌及产品性能不低于采购人</w:t>
      </w:r>
      <w:r>
        <w:rPr>
          <w:rFonts w:hint="eastAsia" w:ascii="Arial" w:hAnsi="Arial" w:eastAsia="黑体" w:cs="Arial"/>
          <w:b/>
          <w:bCs/>
          <w:color w:val="auto"/>
          <w:sz w:val="22"/>
          <w:szCs w:val="22"/>
          <w:highlight w:val="none"/>
          <w:u w:val="single"/>
          <w:lang w:val="en-US" w:eastAsia="zh-CN"/>
        </w:rPr>
        <w:t>提供的参考</w:t>
      </w:r>
      <w:r>
        <w:rPr>
          <w:rFonts w:hint="eastAsia" w:ascii="Arial" w:hAnsi="Arial" w:eastAsia="黑体" w:cs="Arial"/>
          <w:b/>
          <w:bCs/>
          <w:color w:val="auto"/>
          <w:sz w:val="22"/>
          <w:szCs w:val="22"/>
          <w:highlight w:val="none"/>
          <w:u w:val="single"/>
          <w:lang w:eastAsia="zh-CN"/>
        </w:rPr>
        <w:t>品牌</w:t>
      </w:r>
      <w:r>
        <w:rPr>
          <w:rFonts w:hint="eastAsia" w:ascii="Arial" w:hAnsi="Arial" w:eastAsia="黑体" w:cs="Arial"/>
          <w:b/>
          <w:bCs/>
          <w:color w:val="auto"/>
          <w:sz w:val="22"/>
          <w:szCs w:val="22"/>
          <w:highlight w:val="none"/>
          <w:u w:val="single"/>
          <w:lang w:val="en-US" w:eastAsia="zh-CN"/>
        </w:rPr>
        <w:t>范围以外</w:t>
      </w:r>
      <w:r>
        <w:rPr>
          <w:rFonts w:hint="default" w:ascii="Arial" w:hAnsi="Arial" w:eastAsia="黑体" w:cs="Arial"/>
          <w:b/>
          <w:bCs/>
          <w:color w:val="auto"/>
          <w:sz w:val="22"/>
          <w:szCs w:val="22"/>
          <w:highlight w:val="none"/>
          <w:u w:val="single"/>
        </w:rPr>
        <w:t>的其它品牌的设备进行报价，但必须在技术商务标中说明偏离情况并提供有关技术参数对照资料，如经评标委员会三分之二及以上评委认定投标人响应的设备品牌及产品性能低</w:t>
      </w:r>
      <w:r>
        <w:rPr>
          <w:rFonts w:hint="eastAsia" w:ascii="Arial" w:hAnsi="Arial" w:eastAsia="黑体" w:cs="Arial"/>
          <w:b/>
          <w:bCs/>
          <w:color w:val="auto"/>
          <w:sz w:val="22"/>
          <w:szCs w:val="22"/>
          <w:highlight w:val="none"/>
          <w:u w:val="single"/>
          <w:lang w:eastAsia="zh-CN"/>
        </w:rPr>
        <w:t>于采购</w:t>
      </w:r>
      <w:r>
        <w:rPr>
          <w:rFonts w:hint="default" w:ascii="Arial" w:hAnsi="Arial" w:eastAsia="黑体" w:cs="Arial"/>
          <w:b/>
          <w:bCs/>
          <w:color w:val="auto"/>
          <w:sz w:val="22"/>
          <w:szCs w:val="22"/>
          <w:highlight w:val="none"/>
          <w:u w:val="single"/>
        </w:rPr>
        <w:t>人提供的</w:t>
      </w:r>
      <w:r>
        <w:rPr>
          <w:rFonts w:hint="eastAsia" w:ascii="Arial" w:hAnsi="Arial" w:eastAsia="黑体" w:cs="Arial"/>
          <w:b/>
          <w:bCs/>
          <w:color w:val="auto"/>
          <w:sz w:val="22"/>
          <w:szCs w:val="22"/>
          <w:highlight w:val="none"/>
          <w:u w:val="single"/>
          <w:lang w:val="en-US" w:eastAsia="zh-CN"/>
        </w:rPr>
        <w:t>参考</w:t>
      </w:r>
      <w:r>
        <w:rPr>
          <w:rFonts w:hint="default" w:ascii="Arial" w:hAnsi="Arial" w:eastAsia="黑体" w:cs="Arial"/>
          <w:b/>
          <w:bCs/>
          <w:color w:val="auto"/>
          <w:sz w:val="22"/>
          <w:szCs w:val="22"/>
          <w:highlight w:val="none"/>
          <w:u w:val="single"/>
        </w:rPr>
        <w:t>品牌，则作设备选型偏离处理，</w:t>
      </w:r>
      <w:r>
        <w:rPr>
          <w:rFonts w:hint="eastAsia" w:ascii="Arial" w:hAnsi="Arial" w:eastAsia="黑体" w:cs="Arial"/>
          <w:b/>
          <w:bCs/>
          <w:color w:val="auto"/>
          <w:sz w:val="22"/>
          <w:szCs w:val="22"/>
          <w:highlight w:val="none"/>
          <w:u w:val="single"/>
          <w:lang w:eastAsia="zh-CN"/>
        </w:rPr>
        <w:t>即</w:t>
      </w:r>
      <w:r>
        <w:rPr>
          <w:rFonts w:hint="default" w:ascii="Arial" w:hAnsi="Arial" w:eastAsia="黑体" w:cs="Arial"/>
          <w:b/>
          <w:bCs/>
          <w:color w:val="auto"/>
          <w:sz w:val="22"/>
          <w:szCs w:val="22"/>
          <w:highlight w:val="none"/>
          <w:u w:val="single"/>
        </w:rPr>
        <w:t>作否决投标处理。</w:t>
      </w:r>
    </w:p>
    <w:p>
      <w:pPr>
        <w:keepNext w:val="0"/>
        <w:keepLines w:val="0"/>
        <w:pageBreakBefore w:val="0"/>
        <w:widowControl w:val="0"/>
        <w:tabs>
          <w:tab w:val="left" w:pos="3060"/>
          <w:tab w:val="left" w:pos="9180"/>
          <w:tab w:val="left" w:pos="9360"/>
        </w:tabs>
        <w:kinsoku/>
        <w:wordWrap/>
        <w:overflowPunct/>
        <w:topLinePunct w:val="0"/>
        <w:autoSpaceDE/>
        <w:autoSpaceDN/>
        <w:bidi w:val="0"/>
        <w:adjustRightInd/>
        <w:snapToGrid/>
        <w:spacing w:line="360" w:lineRule="auto"/>
        <w:ind w:right="0" w:rightChars="0" w:firstLine="361" w:firstLineChars="150"/>
        <w:textAlignment w:val="auto"/>
        <w:rPr>
          <w:rFonts w:hint="default" w:ascii="宋体" w:hAnsi="宋体" w:eastAsia="宋体" w:cs="Times New Roman"/>
          <w:b/>
          <w:bCs/>
          <w:color w:val="auto"/>
          <w:sz w:val="24"/>
          <w:highlight w:val="none"/>
          <w:u w:val="none"/>
          <w:lang w:eastAsia="zh-CN"/>
        </w:rPr>
      </w:pPr>
      <w:r>
        <w:rPr>
          <w:rFonts w:hint="eastAsia" w:ascii="宋体" w:hAnsi="宋体" w:eastAsia="宋体" w:cs="Times New Roman"/>
          <w:b/>
          <w:bCs/>
          <w:color w:val="auto"/>
          <w:sz w:val="24"/>
          <w:highlight w:val="none"/>
          <w:u w:val="none"/>
          <w:lang w:eastAsia="zh-CN"/>
        </w:rPr>
        <w:t>五</w:t>
      </w:r>
      <w:r>
        <w:rPr>
          <w:rFonts w:hint="default" w:ascii="宋体" w:hAnsi="宋体" w:eastAsia="宋体" w:cs="Times New Roman"/>
          <w:b/>
          <w:bCs/>
          <w:color w:val="auto"/>
          <w:sz w:val="24"/>
          <w:highlight w:val="none"/>
          <w:u w:val="none"/>
          <w:lang w:eastAsia="zh-CN"/>
        </w:rPr>
        <w:t>、商务要求</w:t>
      </w:r>
    </w:p>
    <w:tbl>
      <w:tblPr>
        <w:tblStyle w:val="46"/>
        <w:tblW w:w="8663" w:type="dxa"/>
        <w:tblInd w:w="6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 w:hRule="atLeast"/>
        </w:trPr>
        <w:tc>
          <w:tcPr>
            <w:tcW w:w="1812"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eastAsia="黑体" w:cs="Arial"/>
                <w:b/>
                <w:bCs/>
                <w:color w:val="auto"/>
                <w:sz w:val="22"/>
                <w:szCs w:val="22"/>
                <w:highlight w:val="none"/>
              </w:rPr>
            </w:pPr>
            <w:r>
              <w:rPr>
                <w:rFonts w:hint="default" w:ascii="Arial" w:hAnsi="Arial" w:eastAsia="黑体" w:cs="Arial"/>
                <w:b/>
                <w:bCs/>
                <w:color w:val="auto"/>
                <w:sz w:val="22"/>
                <w:szCs w:val="22"/>
                <w:highlight w:val="none"/>
              </w:rPr>
              <w:t>★交货期及地点</w:t>
            </w:r>
          </w:p>
        </w:tc>
        <w:tc>
          <w:tcPr>
            <w:tcW w:w="6851" w:type="dxa"/>
            <w:tcBorders>
              <w:top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Arial" w:hAnsi="Arial" w:eastAsia="黑体" w:cs="Arial"/>
                <w:b/>
                <w:bCs/>
                <w:color w:val="auto"/>
                <w:sz w:val="22"/>
                <w:szCs w:val="22"/>
                <w:highlight w:val="none"/>
                <w:lang w:eastAsia="zh-CN"/>
              </w:rPr>
            </w:pPr>
            <w:r>
              <w:rPr>
                <w:rFonts w:hint="default" w:ascii="Arial" w:hAnsi="Arial" w:eastAsia="黑体" w:cs="Arial"/>
                <w:b/>
                <w:bCs/>
                <w:color w:val="auto"/>
                <w:sz w:val="22"/>
                <w:szCs w:val="22"/>
                <w:highlight w:val="none"/>
              </w:rPr>
              <w:t>交货期</w:t>
            </w:r>
            <w:r>
              <w:rPr>
                <w:rFonts w:hint="eastAsia" w:ascii="Arial" w:hAnsi="Arial" w:eastAsia="黑体" w:cs="Arial"/>
                <w:b/>
                <w:bCs/>
                <w:color w:val="auto"/>
                <w:sz w:val="22"/>
                <w:szCs w:val="22"/>
                <w:highlight w:val="none"/>
                <w:lang w:eastAsia="zh-CN"/>
              </w:rPr>
              <w:t>：4个月内安装调试完毕且验收合格。</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eastAsia="黑体" w:cs="Arial"/>
                <w:b/>
                <w:bCs/>
                <w:color w:val="auto"/>
                <w:sz w:val="22"/>
                <w:szCs w:val="22"/>
                <w:highlight w:val="none"/>
              </w:rPr>
            </w:pPr>
            <w:r>
              <w:rPr>
                <w:rFonts w:hint="default" w:ascii="Arial" w:hAnsi="Arial" w:eastAsia="黑体" w:cs="Arial"/>
                <w:b/>
                <w:bCs/>
                <w:color w:val="auto"/>
                <w:sz w:val="22"/>
                <w:szCs w:val="22"/>
                <w:highlight w:val="none"/>
              </w:rPr>
              <w:t>交货地点：采购人指定地点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410" w:hRule="atLeast"/>
        </w:trPr>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eastAsia="黑体" w:cs="Arial"/>
                <w:b/>
                <w:bCs/>
                <w:color w:val="auto"/>
                <w:sz w:val="22"/>
                <w:szCs w:val="22"/>
                <w:highlight w:val="none"/>
                <w:lang w:val="en-US" w:eastAsia="zh-CN"/>
              </w:rPr>
            </w:pPr>
            <w:r>
              <w:rPr>
                <w:rFonts w:hint="default" w:ascii="Arial" w:hAnsi="Arial" w:eastAsia="黑体" w:cs="Arial"/>
                <w:b/>
                <w:bCs/>
                <w:color w:val="auto"/>
                <w:sz w:val="22"/>
                <w:szCs w:val="22"/>
                <w:highlight w:val="none"/>
              </w:rPr>
              <w:t>★质保期</w:t>
            </w:r>
            <w:r>
              <w:rPr>
                <w:rFonts w:hint="eastAsia" w:ascii="Arial" w:hAnsi="Arial" w:eastAsia="黑体" w:cs="Arial"/>
                <w:b/>
                <w:bCs/>
                <w:color w:val="auto"/>
                <w:sz w:val="22"/>
                <w:szCs w:val="22"/>
                <w:highlight w:val="none"/>
                <w:lang w:eastAsia="zh-CN"/>
              </w:rPr>
              <w:t>、</w:t>
            </w:r>
            <w:r>
              <w:rPr>
                <w:rFonts w:hint="eastAsia" w:ascii="Arial" w:hAnsi="Arial" w:eastAsia="黑体" w:cs="Arial"/>
                <w:b/>
                <w:bCs/>
                <w:color w:val="auto"/>
                <w:sz w:val="22"/>
                <w:szCs w:val="22"/>
                <w:highlight w:val="none"/>
                <w:lang w:val="en-US" w:eastAsia="zh-CN"/>
              </w:rPr>
              <w:t>系统运行期</w:t>
            </w:r>
          </w:p>
        </w:tc>
        <w:tc>
          <w:tcPr>
            <w:tcW w:w="6851"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Arial" w:hAnsi="Arial" w:eastAsia="黑体" w:cs="Arial"/>
                <w:b/>
                <w:bCs/>
                <w:color w:val="auto"/>
                <w:sz w:val="22"/>
                <w:szCs w:val="22"/>
                <w:highlight w:val="none"/>
              </w:rPr>
            </w:pPr>
            <w:r>
              <w:rPr>
                <w:rFonts w:hint="default" w:ascii="Arial" w:hAnsi="Arial" w:eastAsia="黑体" w:cs="Arial"/>
                <w:b/>
                <w:bCs/>
                <w:color w:val="auto"/>
                <w:sz w:val="22"/>
                <w:szCs w:val="22"/>
                <w:highlight w:val="none"/>
              </w:rPr>
              <w:t>本项目设备的质保期</w:t>
            </w:r>
            <w:r>
              <w:rPr>
                <w:rFonts w:hint="eastAsia" w:ascii="Arial" w:hAnsi="Arial" w:eastAsia="黑体" w:cs="Arial"/>
                <w:b/>
                <w:bCs/>
                <w:color w:val="auto"/>
                <w:sz w:val="22"/>
                <w:szCs w:val="22"/>
                <w:highlight w:val="none"/>
                <w:lang w:eastAsia="zh-CN"/>
              </w:rPr>
              <w:t>、</w:t>
            </w:r>
            <w:r>
              <w:rPr>
                <w:rFonts w:hint="eastAsia" w:ascii="Arial" w:hAnsi="Arial" w:eastAsia="黑体" w:cs="Arial"/>
                <w:b/>
                <w:bCs/>
                <w:color w:val="auto"/>
                <w:sz w:val="22"/>
                <w:szCs w:val="22"/>
                <w:highlight w:val="none"/>
                <w:lang w:val="en-US" w:eastAsia="zh-CN"/>
              </w:rPr>
              <w:t>系统运行期</w:t>
            </w:r>
            <w:r>
              <w:rPr>
                <w:rFonts w:hint="default" w:ascii="Arial" w:hAnsi="Arial" w:eastAsia="黑体" w:cs="Arial"/>
                <w:b/>
                <w:bCs/>
                <w:color w:val="auto"/>
                <w:sz w:val="22"/>
                <w:szCs w:val="22"/>
                <w:highlight w:val="none"/>
              </w:rPr>
              <w:t>为</w:t>
            </w:r>
            <w:r>
              <w:rPr>
                <w:rFonts w:hint="eastAsia" w:ascii="Arial" w:hAnsi="Arial" w:eastAsia="黑体" w:cs="Arial"/>
                <w:b/>
                <w:bCs/>
                <w:color w:val="auto"/>
                <w:sz w:val="22"/>
                <w:szCs w:val="22"/>
                <w:highlight w:val="none"/>
                <w:lang w:val="en-US" w:eastAsia="zh-CN"/>
              </w:rPr>
              <w:t>设备设施</w:t>
            </w:r>
            <w:r>
              <w:rPr>
                <w:rFonts w:hint="default" w:ascii="Arial" w:hAnsi="Arial" w:eastAsia="黑体" w:cs="Arial"/>
                <w:b/>
                <w:bCs/>
                <w:color w:val="auto"/>
                <w:sz w:val="22"/>
                <w:szCs w:val="22"/>
                <w:highlight w:val="none"/>
              </w:rPr>
              <w:t>安装调试完毕，</w:t>
            </w:r>
            <w:r>
              <w:rPr>
                <w:rFonts w:hint="eastAsia" w:ascii="Arial" w:hAnsi="Arial" w:eastAsia="黑体" w:cs="Arial"/>
                <w:b/>
                <w:bCs/>
                <w:color w:val="auto"/>
                <w:sz w:val="22"/>
                <w:szCs w:val="22"/>
                <w:highlight w:val="none"/>
                <w:lang w:val="en-US" w:eastAsia="zh-CN"/>
              </w:rPr>
              <w:t>自</w:t>
            </w:r>
            <w:r>
              <w:rPr>
                <w:rFonts w:hint="default" w:ascii="Arial" w:hAnsi="Arial" w:eastAsia="黑体" w:cs="Arial"/>
                <w:b/>
                <w:bCs/>
                <w:color w:val="auto"/>
                <w:sz w:val="22"/>
                <w:szCs w:val="22"/>
                <w:highlight w:val="none"/>
              </w:rPr>
              <w:t>验收合格之日起</w:t>
            </w:r>
            <w:r>
              <w:rPr>
                <w:rFonts w:hint="eastAsia" w:ascii="Arial" w:hAnsi="Arial" w:eastAsia="黑体" w:cs="Arial"/>
                <w:b/>
                <w:bCs/>
                <w:color w:val="auto"/>
                <w:sz w:val="22"/>
                <w:szCs w:val="22"/>
                <w:highlight w:val="none"/>
                <w:lang w:val="en-US" w:eastAsia="zh-CN"/>
              </w:rPr>
              <w:t>3</w:t>
            </w:r>
            <w:r>
              <w:rPr>
                <w:rFonts w:hint="default" w:ascii="Arial" w:hAnsi="Arial" w:eastAsia="黑体" w:cs="Arial"/>
                <w:b/>
                <w:bCs/>
                <w:color w:val="auto"/>
                <w:sz w:val="22"/>
                <w:szCs w:val="22"/>
                <w:highlight w:val="none"/>
                <w:lang w:val="en-US" w:eastAsia="zh-CN"/>
              </w:rPr>
              <w:t>年</w:t>
            </w:r>
            <w:r>
              <w:rPr>
                <w:rFonts w:hint="default" w:ascii="Arial" w:hAnsi="Arial" w:eastAsia="黑体" w:cs="Arial"/>
                <w:b/>
                <w:bCs/>
                <w:color w:val="auto"/>
                <w:sz w:val="22"/>
                <w:szCs w:val="22"/>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 w:hRule="atLeast"/>
        </w:trPr>
        <w:tc>
          <w:tcPr>
            <w:tcW w:w="1812"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售后服务</w:t>
            </w:r>
            <w:r>
              <w:rPr>
                <w:rFonts w:hint="eastAsia" w:ascii="Arial" w:hAnsi="Arial" w:cs="Arial"/>
                <w:color w:val="auto"/>
                <w:sz w:val="22"/>
                <w:szCs w:val="22"/>
                <w:highlight w:val="none"/>
                <w:lang w:val="en-US" w:eastAsia="zh-CN"/>
              </w:rPr>
              <w:t>及系统运行服务</w:t>
            </w:r>
            <w:r>
              <w:rPr>
                <w:rFonts w:hint="default" w:ascii="Arial" w:hAnsi="Arial" w:cs="Arial"/>
                <w:color w:val="auto"/>
                <w:sz w:val="22"/>
                <w:szCs w:val="22"/>
                <w:highlight w:val="none"/>
              </w:rPr>
              <w:t>要求</w:t>
            </w:r>
          </w:p>
        </w:tc>
        <w:tc>
          <w:tcPr>
            <w:tcW w:w="6851"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设备</w:t>
            </w:r>
            <w:r>
              <w:rPr>
                <w:rFonts w:hint="eastAsia" w:ascii="Arial" w:hAnsi="Arial" w:cs="Arial"/>
                <w:color w:val="auto"/>
                <w:sz w:val="22"/>
                <w:szCs w:val="22"/>
                <w:highlight w:val="none"/>
                <w:lang w:val="en-US" w:eastAsia="zh-CN"/>
              </w:rPr>
              <w:t>设施</w:t>
            </w:r>
            <w:r>
              <w:rPr>
                <w:rFonts w:hint="default" w:ascii="Arial" w:hAnsi="Arial" w:cs="Arial"/>
                <w:color w:val="auto"/>
                <w:sz w:val="22"/>
                <w:szCs w:val="22"/>
                <w:highlight w:val="none"/>
              </w:rPr>
              <w:t>出现故障，接用户通知后2小时内响应，免费维修与更换缺陷部件的时间为中标人收到采购人通知后24小时内，其他售后服务内容由投标人进行承诺，评委将根据投标人的售后服务承诺情况进行评议。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 w:hRule="atLeast"/>
        </w:trPr>
        <w:tc>
          <w:tcPr>
            <w:tcW w:w="1812" w:type="dxa"/>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履约保证金的收取及退还</w:t>
            </w:r>
          </w:p>
        </w:tc>
        <w:tc>
          <w:tcPr>
            <w:tcW w:w="685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eastAsia="宋体" w:cs="Arial"/>
                <w:color w:val="auto"/>
                <w:sz w:val="22"/>
                <w:szCs w:val="22"/>
                <w:highlight w:val="none"/>
                <w:lang w:eastAsia="zh-CN"/>
              </w:rPr>
            </w:pPr>
            <w:r>
              <w:rPr>
                <w:rFonts w:hint="default" w:ascii="Arial" w:hAnsi="Arial" w:cs="Arial"/>
                <w:color w:val="auto"/>
                <w:sz w:val="22"/>
                <w:szCs w:val="22"/>
                <w:highlight w:val="none"/>
              </w:rPr>
              <w:t>1、履约担保</w:t>
            </w:r>
            <w:r>
              <w:rPr>
                <w:rFonts w:hint="default" w:ascii="Arial" w:hAnsi="Arial" w:cs="Arial"/>
                <w:color w:val="auto"/>
                <w:sz w:val="22"/>
                <w:szCs w:val="22"/>
                <w:highlight w:val="none"/>
                <w:lang w:eastAsia="zh-CN"/>
              </w:rPr>
              <w:t>金额</w:t>
            </w:r>
            <w:r>
              <w:rPr>
                <w:rFonts w:hint="default" w:ascii="Arial" w:hAnsi="Arial" w:cs="Arial"/>
                <w:color w:val="auto"/>
                <w:sz w:val="22"/>
                <w:szCs w:val="22"/>
                <w:highlight w:val="none"/>
              </w:rPr>
              <w:t>：合同总价的</w:t>
            </w:r>
            <w:r>
              <w:rPr>
                <w:rFonts w:hint="eastAsia" w:ascii="Arial" w:hAnsi="Arial" w:cs="Arial"/>
                <w:color w:val="auto"/>
                <w:sz w:val="22"/>
                <w:szCs w:val="22"/>
                <w:highlight w:val="none"/>
                <w:lang w:val="en-US" w:eastAsia="zh-CN"/>
              </w:rPr>
              <w:t>1</w:t>
            </w:r>
            <w:r>
              <w:rPr>
                <w:rFonts w:hint="default" w:ascii="Arial" w:hAnsi="Arial" w:cs="Arial"/>
                <w:color w:val="auto"/>
                <w:sz w:val="22"/>
                <w:szCs w:val="22"/>
                <w:highlight w:val="none"/>
              </w:rPr>
              <w:t>％</w:t>
            </w:r>
            <w:r>
              <w:rPr>
                <w:rFonts w:hint="default"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2、履约担保形式：银行汇票（电汇）、网银、银行保函、保险保单形式。</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3、履约保担保提交时间：银行汇票（电汇）、网银形式的，乙方应于合同签订之前支付给甲方；其它形式的，乙方应于合同签订之日后10天内提交给甲方。</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Arial" w:hAnsi="Arial" w:eastAsia="宋体" w:cs="Arial"/>
                <w:color w:val="auto"/>
                <w:sz w:val="22"/>
                <w:szCs w:val="22"/>
                <w:highlight w:val="none"/>
                <w:lang w:val="en-US" w:eastAsia="zh-CN"/>
              </w:rPr>
            </w:pPr>
            <w:r>
              <w:rPr>
                <w:rFonts w:hint="default" w:ascii="Arial" w:hAnsi="Arial" w:cs="Arial"/>
                <w:color w:val="auto"/>
                <w:sz w:val="22"/>
                <w:szCs w:val="22"/>
                <w:highlight w:val="none"/>
              </w:rPr>
              <w:t>4、履约担保退还：履约保证金在设备安装调试验收合格且提交验收资料后15天内结清（无息）。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1255" w:hRule="atLeast"/>
        </w:trPr>
        <w:tc>
          <w:tcPr>
            <w:tcW w:w="18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付款方式</w:t>
            </w:r>
          </w:p>
        </w:tc>
        <w:tc>
          <w:tcPr>
            <w:tcW w:w="6851" w:type="dxa"/>
            <w:noWrap w:val="0"/>
            <w:vAlign w:val="center"/>
          </w:tcPr>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eastAsia="宋体" w:cs="Arial"/>
                <w:color w:val="auto"/>
                <w:sz w:val="22"/>
                <w:szCs w:val="22"/>
                <w:highlight w:val="none"/>
                <w:lang w:val="en-US" w:eastAsia="zh-CN"/>
              </w:rPr>
            </w:pPr>
            <w:r>
              <w:rPr>
                <w:rFonts w:hint="eastAsia" w:ascii="Arial" w:hAnsi="Arial" w:cs="Arial"/>
                <w:color w:val="auto"/>
                <w:sz w:val="22"/>
                <w:szCs w:val="22"/>
                <w:highlight w:val="none"/>
                <w:lang w:val="en-US" w:eastAsia="zh-CN"/>
              </w:rPr>
              <w:t>1、设备设施（包括：前端感知系统+传输网络系统+存储及平台扩容）付款办法：</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val="en-US" w:eastAsia="zh-CN"/>
              </w:rPr>
              <w:t>（1）</w:t>
            </w:r>
            <w:r>
              <w:rPr>
                <w:rFonts w:hint="default" w:ascii="Arial" w:hAnsi="Arial" w:cs="Arial"/>
                <w:color w:val="auto"/>
                <w:sz w:val="22"/>
                <w:szCs w:val="22"/>
                <w:highlight w:val="none"/>
              </w:rPr>
              <w:t>合同生效以及具备实施条件后7个工作日内支付</w:t>
            </w:r>
            <w:r>
              <w:rPr>
                <w:rFonts w:hint="eastAsia" w:ascii="Arial" w:hAnsi="Arial" w:cs="Arial"/>
                <w:color w:val="auto"/>
                <w:sz w:val="22"/>
                <w:szCs w:val="22"/>
                <w:highlight w:val="none"/>
                <w:lang w:val="en-US" w:eastAsia="zh-CN"/>
              </w:rPr>
              <w:t>至设备设施合同价</w:t>
            </w:r>
            <w:r>
              <w:rPr>
                <w:rFonts w:hint="default" w:ascii="Arial" w:hAnsi="Arial" w:cs="Arial"/>
                <w:color w:val="auto"/>
                <w:sz w:val="22"/>
                <w:szCs w:val="22"/>
                <w:highlight w:val="none"/>
              </w:rPr>
              <w:t>的</w:t>
            </w:r>
            <w:r>
              <w:rPr>
                <w:rFonts w:hint="eastAsia" w:ascii="Arial" w:hAnsi="Arial" w:cs="Arial"/>
                <w:color w:val="auto"/>
                <w:sz w:val="22"/>
                <w:szCs w:val="22"/>
                <w:highlight w:val="none"/>
                <w:lang w:val="en-US" w:eastAsia="zh-CN"/>
              </w:rPr>
              <w:t>4</w:t>
            </w:r>
            <w:r>
              <w:rPr>
                <w:rFonts w:hint="default" w:ascii="Arial" w:hAnsi="Arial" w:cs="Arial"/>
                <w:color w:val="auto"/>
                <w:sz w:val="22"/>
                <w:szCs w:val="22"/>
                <w:highlight w:val="none"/>
              </w:rPr>
              <w:t>0%</w:t>
            </w:r>
            <w:r>
              <w:rPr>
                <w:rFonts w:hint="eastAsia" w:ascii="Arial" w:hAnsi="Arial" w:cs="Arial"/>
                <w:color w:val="auto"/>
                <w:sz w:val="22"/>
                <w:szCs w:val="22"/>
                <w:highlight w:val="none"/>
                <w:lang w:val="en-US" w:eastAsia="zh-CN"/>
              </w:rPr>
              <w:t>（设备设施合同价＝合同总价-系统运行费合同价，余同）</w:t>
            </w:r>
            <w:r>
              <w:rPr>
                <w:rFonts w:hint="eastAsia"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val="en-US" w:eastAsia="zh-CN"/>
              </w:rPr>
              <w:t>（2）</w:t>
            </w:r>
            <w:r>
              <w:rPr>
                <w:rFonts w:hint="default" w:ascii="Arial" w:hAnsi="Arial" w:cs="Arial"/>
                <w:color w:val="auto"/>
                <w:sz w:val="22"/>
                <w:szCs w:val="22"/>
                <w:highlight w:val="none"/>
              </w:rPr>
              <w:t>全部设备</w:t>
            </w:r>
            <w:r>
              <w:rPr>
                <w:rFonts w:hint="eastAsia" w:ascii="Arial" w:hAnsi="Arial" w:cs="Arial"/>
                <w:color w:val="auto"/>
                <w:sz w:val="22"/>
                <w:szCs w:val="22"/>
                <w:highlight w:val="none"/>
                <w:lang w:val="en-US" w:eastAsia="zh-CN"/>
              </w:rPr>
              <w:t>设施</w:t>
            </w:r>
            <w:r>
              <w:rPr>
                <w:rFonts w:hint="default" w:ascii="Arial" w:hAnsi="Arial" w:cs="Arial"/>
                <w:color w:val="auto"/>
                <w:sz w:val="22"/>
                <w:szCs w:val="22"/>
                <w:highlight w:val="none"/>
              </w:rPr>
              <w:t>安装调试完成并经</w:t>
            </w:r>
            <w:r>
              <w:rPr>
                <w:rFonts w:hint="eastAsia" w:ascii="Arial" w:hAnsi="Arial" w:cs="Arial"/>
                <w:color w:val="auto"/>
                <w:sz w:val="22"/>
                <w:szCs w:val="22"/>
                <w:highlight w:val="none"/>
                <w:lang w:eastAsia="zh-CN"/>
              </w:rPr>
              <w:t>相关部门</w:t>
            </w:r>
            <w:r>
              <w:rPr>
                <w:rFonts w:hint="default" w:ascii="Arial" w:hAnsi="Arial" w:cs="Arial"/>
                <w:color w:val="auto"/>
                <w:sz w:val="22"/>
                <w:szCs w:val="22"/>
                <w:highlight w:val="none"/>
              </w:rPr>
              <w:t>验收合格出具验收</w:t>
            </w:r>
            <w:r>
              <w:rPr>
                <w:rFonts w:hint="eastAsia" w:ascii="Arial" w:hAnsi="Arial" w:cs="Arial"/>
                <w:color w:val="auto"/>
                <w:sz w:val="22"/>
                <w:szCs w:val="22"/>
                <w:highlight w:val="none"/>
                <w:lang w:eastAsia="zh-CN"/>
              </w:rPr>
              <w:t>合格</w:t>
            </w:r>
            <w:r>
              <w:rPr>
                <w:rFonts w:hint="default" w:ascii="Arial" w:hAnsi="Arial" w:cs="Arial"/>
                <w:color w:val="auto"/>
                <w:sz w:val="22"/>
                <w:szCs w:val="22"/>
                <w:highlight w:val="none"/>
              </w:rPr>
              <w:t>报告后支付至</w:t>
            </w:r>
            <w:r>
              <w:rPr>
                <w:rFonts w:hint="eastAsia" w:ascii="Arial" w:hAnsi="Arial" w:cs="Arial"/>
                <w:color w:val="auto"/>
                <w:sz w:val="22"/>
                <w:szCs w:val="22"/>
                <w:highlight w:val="none"/>
                <w:lang w:val="en-US" w:eastAsia="zh-CN"/>
              </w:rPr>
              <w:t>设备设施合同价</w:t>
            </w:r>
            <w:r>
              <w:rPr>
                <w:rFonts w:hint="default" w:ascii="Arial" w:hAnsi="Arial" w:cs="Arial"/>
                <w:color w:val="auto"/>
                <w:sz w:val="22"/>
                <w:szCs w:val="22"/>
                <w:highlight w:val="none"/>
              </w:rPr>
              <w:t>的80%</w:t>
            </w:r>
            <w:r>
              <w:rPr>
                <w:rFonts w:hint="eastAsia"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（3）</w:t>
            </w:r>
            <w:r>
              <w:rPr>
                <w:rFonts w:hint="default" w:ascii="Arial" w:hAnsi="Arial" w:cs="Arial"/>
                <w:color w:val="auto"/>
                <w:sz w:val="22"/>
                <w:szCs w:val="22"/>
                <w:highlight w:val="none"/>
              </w:rPr>
              <w:t>审计结束后，支付至</w:t>
            </w:r>
            <w:r>
              <w:rPr>
                <w:rFonts w:hint="eastAsia" w:ascii="Arial" w:hAnsi="Arial" w:cs="Arial"/>
                <w:color w:val="auto"/>
                <w:sz w:val="22"/>
                <w:szCs w:val="22"/>
                <w:highlight w:val="none"/>
                <w:lang w:val="en-US" w:eastAsia="zh-CN"/>
              </w:rPr>
              <w:t>设备设施审计结算价</w:t>
            </w:r>
            <w:r>
              <w:rPr>
                <w:rFonts w:hint="default" w:ascii="Arial" w:hAnsi="Arial" w:cs="Arial"/>
                <w:color w:val="auto"/>
                <w:sz w:val="22"/>
                <w:szCs w:val="22"/>
                <w:highlight w:val="none"/>
              </w:rPr>
              <w:t xml:space="preserve">的100%。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Arial" w:hAnsi="Arial" w:eastAsia="宋体" w:cs="Arial"/>
                <w:color w:val="auto"/>
                <w:sz w:val="22"/>
                <w:szCs w:val="22"/>
                <w:highlight w:val="none"/>
                <w:lang w:val="en-US" w:eastAsia="zh-CN"/>
              </w:rPr>
            </w:pPr>
            <w:r>
              <w:rPr>
                <w:rFonts w:hint="eastAsia" w:ascii="Arial" w:hAnsi="Arial" w:cs="Arial"/>
                <w:color w:val="auto"/>
                <w:sz w:val="22"/>
                <w:szCs w:val="22"/>
                <w:highlight w:val="none"/>
                <w:lang w:val="en-US" w:eastAsia="zh-CN"/>
              </w:rPr>
              <w:t>2、系统运行费付款办法：设备设施验收合格之日起计三年系统运行期，系统运行期的每个年度末支付经甲方审核确认后的当年全额系统运行费合同价。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cantSplit/>
          <w:trHeight w:val="70" w:hRule="atLeast"/>
        </w:trPr>
        <w:tc>
          <w:tcPr>
            <w:tcW w:w="1812"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备品备件</w:t>
            </w:r>
          </w:p>
        </w:tc>
        <w:tc>
          <w:tcPr>
            <w:tcW w:w="6851" w:type="dxa"/>
            <w:tcBorders>
              <w:bottom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投标人应列明货物质保期</w:t>
            </w:r>
            <w:r>
              <w:rPr>
                <w:rFonts w:hint="eastAsia" w:ascii="Arial" w:hAnsi="Arial" w:cs="Arial"/>
                <w:color w:val="auto"/>
                <w:sz w:val="22"/>
                <w:szCs w:val="22"/>
                <w:highlight w:val="none"/>
                <w:lang w:val="en-US" w:eastAsia="zh-CN"/>
              </w:rPr>
              <w:t>3</w:t>
            </w:r>
            <w:r>
              <w:rPr>
                <w:rFonts w:hint="default" w:ascii="Arial" w:hAnsi="Arial" w:cs="Arial"/>
                <w:color w:val="auto"/>
                <w:sz w:val="22"/>
                <w:szCs w:val="22"/>
                <w:highlight w:val="none"/>
              </w:rPr>
              <w:t>年后所需的备品备件清单及价格，该费用不包含在投标价格中。</w:t>
            </w:r>
          </w:p>
        </w:tc>
      </w:tr>
    </w:tbl>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Arial" w:hAnsi="Arial" w:cs="Arial"/>
          <w:b/>
          <w:bCs/>
          <w:color w:val="auto"/>
          <w:sz w:val="22"/>
          <w:szCs w:val="22"/>
          <w:highlight w:val="none"/>
          <w:lang w:val="en-US" w:eastAsia="zh-CN"/>
        </w:rPr>
      </w:pPr>
      <w:r>
        <w:rPr>
          <w:rFonts w:hint="eastAsia" w:ascii="Arial" w:hAnsi="Arial" w:cs="Arial"/>
          <w:b/>
          <w:bCs/>
          <w:color w:val="auto"/>
          <w:sz w:val="22"/>
          <w:szCs w:val="22"/>
          <w:highlight w:val="none"/>
          <w:lang w:val="en-US" w:eastAsia="zh-CN"/>
        </w:rPr>
        <w:t>六、其它要求</w:t>
      </w:r>
    </w:p>
    <w:p>
      <w:pPr>
        <w:pStyle w:val="20"/>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color w:val="auto"/>
          <w:highlight w:val="none"/>
          <w:lang w:val="en-US" w:eastAsia="zh-CN"/>
        </w:rPr>
      </w:pPr>
      <w:r>
        <w:rPr>
          <w:rFonts w:hint="eastAsia"/>
          <w:color w:val="auto"/>
          <w:highlight w:val="none"/>
          <w:lang w:val="en-US" w:eastAsia="zh-CN"/>
        </w:rPr>
        <w:t>为更好地完成本项目，投标人需具有类似项目经验，具备相应的资质，拟派的项目实施团队需具有相应的资格证书（详见评分细则）。</w:t>
      </w:r>
    </w:p>
    <w:bookmarkEnd w:id="42"/>
    <w:bookmarkEnd w:id="43"/>
    <w:bookmarkEnd w:id="44"/>
    <w:bookmarkEnd w:id="45"/>
    <w:p>
      <w:pPr>
        <w:pStyle w:val="4"/>
        <w:pageBreakBefore/>
        <w:numPr>
          <w:ilvl w:val="0"/>
          <w:numId w:val="0"/>
        </w:numPr>
        <w:adjustRightInd w:val="0"/>
        <w:spacing w:before="0" w:after="0" w:line="500" w:lineRule="exact"/>
        <w:jc w:val="center"/>
        <w:textAlignment w:val="baseline"/>
        <w:rPr>
          <w:rFonts w:hint="default" w:ascii="Arial" w:hAnsi="Arial" w:cs="Arial"/>
          <w:color w:val="auto"/>
          <w:kern w:val="2"/>
          <w:sz w:val="32"/>
          <w:szCs w:val="32"/>
          <w:highlight w:val="none"/>
        </w:rPr>
      </w:pPr>
      <w:bookmarkStart w:id="46" w:name="_Toc50910770"/>
      <w:r>
        <w:rPr>
          <w:rFonts w:hint="default" w:ascii="Arial" w:hAnsi="Arial" w:cs="Arial"/>
          <w:color w:val="auto"/>
          <w:kern w:val="2"/>
          <w:sz w:val="32"/>
          <w:szCs w:val="32"/>
          <w:highlight w:val="none"/>
        </w:rPr>
        <w:t>第三章 投标人须知</w:t>
      </w:r>
      <w:bookmarkEnd w:id="46"/>
    </w:p>
    <w:p>
      <w:pPr>
        <w:snapToGrid w:val="0"/>
        <w:spacing w:line="500" w:lineRule="exact"/>
        <w:ind w:left="238"/>
        <w:jc w:val="center"/>
        <w:outlineLvl w:val="1"/>
        <w:rPr>
          <w:rFonts w:hint="default" w:ascii="Arial" w:hAnsi="Arial" w:cs="Arial"/>
          <w:b/>
          <w:color w:val="auto"/>
          <w:sz w:val="28"/>
          <w:szCs w:val="28"/>
          <w:highlight w:val="none"/>
        </w:rPr>
      </w:pPr>
      <w:bookmarkStart w:id="47" w:name="_Toc436330194"/>
      <w:bookmarkStart w:id="48" w:name="_Toc304292176"/>
      <w:bookmarkStart w:id="49" w:name="_Toc317685557"/>
      <w:bookmarkStart w:id="50" w:name="_Toc50910771"/>
      <w:r>
        <w:rPr>
          <w:rFonts w:hint="default" w:ascii="Arial" w:hAnsi="Arial" w:cs="Arial"/>
          <w:b/>
          <w:color w:val="auto"/>
          <w:sz w:val="28"/>
          <w:szCs w:val="28"/>
          <w:highlight w:val="none"/>
        </w:rPr>
        <w:t>前附表</w:t>
      </w:r>
      <w:bookmarkEnd w:id="47"/>
      <w:bookmarkEnd w:id="48"/>
      <w:bookmarkEnd w:id="49"/>
      <w:bookmarkEnd w:id="50"/>
    </w:p>
    <w:tbl>
      <w:tblPr>
        <w:tblStyle w:val="46"/>
        <w:tblW w:w="0" w:type="auto"/>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blHeader/>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序号</w:t>
            </w:r>
          </w:p>
        </w:tc>
        <w:tc>
          <w:tcPr>
            <w:tcW w:w="7659"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项目名称：</w:t>
            </w:r>
            <w:r>
              <w:rPr>
                <w:rFonts w:hint="eastAsia" w:ascii="Arial" w:hAnsi="Arial" w:cs="Arial"/>
                <w:color w:val="auto"/>
                <w:kern w:val="0"/>
                <w:sz w:val="22"/>
                <w:szCs w:val="22"/>
                <w:highlight w:val="none"/>
                <w:lang w:eastAsia="zh-CN"/>
              </w:rPr>
              <w:t>邱隘镇公共安全高清视频监控服务项目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eastAsia" w:ascii="Arial" w:hAnsi="Arial" w:eastAsia="宋体" w:cs="Arial"/>
                <w:color w:val="auto"/>
                <w:sz w:val="22"/>
                <w:szCs w:val="22"/>
                <w:highlight w:val="none"/>
                <w:lang w:eastAsia="zh-CN" w:bidi="ar"/>
              </w:rPr>
            </w:pPr>
            <w:r>
              <w:rPr>
                <w:rFonts w:hint="default" w:ascii="Arial" w:hAnsi="Arial" w:cs="Arial"/>
                <w:color w:val="auto"/>
                <w:sz w:val="22"/>
                <w:szCs w:val="22"/>
                <w:highlight w:val="none"/>
                <w:lang w:bidi="ar"/>
              </w:rPr>
              <w:t>采购人：</w:t>
            </w:r>
            <w:r>
              <w:rPr>
                <w:rFonts w:hint="eastAsia" w:ascii="Arial" w:hAnsi="Arial" w:cs="Arial"/>
                <w:color w:val="auto"/>
                <w:sz w:val="22"/>
                <w:szCs w:val="22"/>
                <w:highlight w:val="none"/>
                <w:lang w:eastAsia="zh-CN" w:bidi="ar"/>
              </w:rPr>
              <w:t>宁波市鄞州区邱隘镇人民政府</w:t>
            </w:r>
          </w:p>
          <w:p>
            <w:pPr>
              <w:keepNext w:val="0"/>
              <w:keepLines w:val="0"/>
              <w:pageBreakBefore w:val="0"/>
              <w:kinsoku/>
              <w:wordWrap/>
              <w:overflowPunct/>
              <w:topLinePunct w:val="0"/>
              <w:bidi w:val="0"/>
              <w:adjustRightInd/>
              <w:spacing w:line="390" w:lineRule="exact"/>
              <w:textAlignment w:val="auto"/>
              <w:rPr>
                <w:rFonts w:hint="eastAsia" w:ascii="Arial" w:hAnsi="Arial" w:eastAsia="宋体" w:cs="Arial"/>
                <w:color w:val="auto"/>
                <w:sz w:val="22"/>
                <w:szCs w:val="22"/>
                <w:highlight w:val="none"/>
                <w:lang w:eastAsia="zh-CN" w:bidi="ar"/>
              </w:rPr>
            </w:pPr>
            <w:r>
              <w:rPr>
                <w:rFonts w:hint="default" w:ascii="Arial" w:hAnsi="Arial" w:cs="Arial"/>
                <w:color w:val="auto"/>
                <w:sz w:val="22"/>
                <w:szCs w:val="22"/>
                <w:highlight w:val="none"/>
                <w:lang w:bidi="ar"/>
              </w:rPr>
              <w:t>地址：</w:t>
            </w:r>
            <w:r>
              <w:rPr>
                <w:rFonts w:hint="eastAsia" w:ascii="Arial" w:hAnsi="Arial" w:cs="Arial"/>
                <w:color w:val="auto"/>
                <w:sz w:val="22"/>
                <w:szCs w:val="22"/>
                <w:highlight w:val="none"/>
                <w:lang w:val="en-US" w:eastAsia="zh-CN" w:bidi="ar"/>
              </w:rPr>
              <w:t>宁波市鄞州区邱隘镇人民北路2号</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联系人：</w:t>
            </w:r>
            <w:r>
              <w:rPr>
                <w:rFonts w:hint="eastAsia" w:ascii="Arial" w:hAnsi="Arial" w:cs="Arial"/>
                <w:color w:val="auto"/>
                <w:sz w:val="22"/>
                <w:szCs w:val="22"/>
                <w:highlight w:val="none"/>
                <w:lang w:eastAsia="zh-CN"/>
              </w:rPr>
              <w:t>章</w:t>
            </w:r>
            <w:r>
              <w:rPr>
                <w:rFonts w:hint="default" w:ascii="Arial" w:hAnsi="Arial" w:cs="Arial"/>
                <w:color w:val="auto"/>
                <w:sz w:val="22"/>
                <w:szCs w:val="22"/>
                <w:highlight w:val="none"/>
              </w:rPr>
              <w:t>老师</w:t>
            </w:r>
          </w:p>
          <w:p>
            <w:pPr>
              <w:keepNext w:val="0"/>
              <w:keepLines w:val="0"/>
              <w:pageBreakBefore w:val="0"/>
              <w:kinsoku/>
              <w:wordWrap/>
              <w:overflowPunct/>
              <w:topLinePunct w:val="0"/>
              <w:bidi w:val="0"/>
              <w:adjustRightInd/>
              <w:spacing w:line="390" w:lineRule="exact"/>
              <w:textAlignment w:val="auto"/>
              <w:rPr>
                <w:rFonts w:hint="eastAsia" w:ascii="Arial" w:hAnsi="Arial" w:eastAsia="宋体" w:cs="Arial"/>
                <w:color w:val="auto"/>
                <w:sz w:val="22"/>
                <w:szCs w:val="22"/>
                <w:highlight w:val="none"/>
                <w:lang w:val="en-US" w:eastAsia="zh-CN"/>
              </w:rPr>
            </w:pPr>
            <w:r>
              <w:rPr>
                <w:rFonts w:hint="default" w:ascii="Arial" w:hAnsi="Arial" w:cs="Arial"/>
                <w:color w:val="auto"/>
                <w:sz w:val="22"/>
                <w:szCs w:val="22"/>
                <w:highlight w:val="none"/>
              </w:rPr>
              <w:t>电话：</w:t>
            </w:r>
            <w:r>
              <w:rPr>
                <w:rFonts w:hint="eastAsia" w:ascii="Arial" w:hAnsi="Arial" w:cs="Arial"/>
                <w:color w:val="auto"/>
                <w:sz w:val="21"/>
                <w:szCs w:val="21"/>
                <w:highlight w:val="none"/>
                <w:u w:val="none"/>
                <w:lang w:val="en-US" w:eastAsia="zh-CN"/>
              </w:rPr>
              <w:t>0574-88416508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3</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采购代理机构：宁波高专建设监理有限公司</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地址：宁波市鄞州区前河南路88号15楼01-06</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联系人：王芸、舒源源、赵杰、胡建杰、周林峰</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电话/传真：0574-87298497、13065660609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4</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采购方式、用途：公开招标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★5</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合格投标人：</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1.符合《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2.落实政府采购政策需满足的资格要求：无；</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 xml:space="preserve">3.本项目的特定资格要求：（1）投标人须具有基础电信业务经营许可证。（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★6</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商务条款资料：</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合同履行期限：</w:t>
            </w:r>
            <w:r>
              <w:rPr>
                <w:rFonts w:hint="eastAsia" w:ascii="Arial" w:hAnsi="Arial" w:cs="Arial"/>
                <w:color w:val="auto"/>
                <w:sz w:val="22"/>
                <w:szCs w:val="22"/>
                <w:highlight w:val="none"/>
                <w:lang w:eastAsia="zh-CN"/>
              </w:rPr>
              <w:t>4个月内安装调试完毕且验收合格。</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2、服务地点：经采购人指定地点</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3、履约担保：</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eastAsia="宋体" w:cs="Arial"/>
                <w:color w:val="auto"/>
                <w:sz w:val="22"/>
                <w:szCs w:val="22"/>
                <w:highlight w:val="none"/>
                <w:lang w:eastAsia="zh-CN"/>
              </w:rPr>
            </w:pP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lang w:val="en-US" w:eastAsia="zh-CN"/>
              </w:rPr>
              <w:t>1</w:t>
            </w: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rPr>
              <w:t>履约担保</w:t>
            </w:r>
            <w:r>
              <w:rPr>
                <w:rFonts w:hint="default" w:ascii="Arial" w:hAnsi="Arial" w:cs="Arial"/>
                <w:color w:val="auto"/>
                <w:sz w:val="22"/>
                <w:szCs w:val="22"/>
                <w:highlight w:val="none"/>
                <w:lang w:eastAsia="zh-CN"/>
              </w:rPr>
              <w:t>金额</w:t>
            </w:r>
            <w:r>
              <w:rPr>
                <w:rFonts w:hint="default" w:ascii="Arial" w:hAnsi="Arial" w:cs="Arial"/>
                <w:color w:val="auto"/>
                <w:sz w:val="22"/>
                <w:szCs w:val="22"/>
                <w:highlight w:val="none"/>
              </w:rPr>
              <w:t>：合同总价的</w:t>
            </w:r>
            <w:r>
              <w:rPr>
                <w:rFonts w:hint="eastAsia" w:ascii="Arial" w:hAnsi="Arial" w:cs="Arial"/>
                <w:color w:val="auto"/>
                <w:sz w:val="22"/>
                <w:szCs w:val="22"/>
                <w:highlight w:val="none"/>
                <w:lang w:val="en-US" w:eastAsia="zh-CN"/>
              </w:rPr>
              <w:t>1</w:t>
            </w:r>
            <w:r>
              <w:rPr>
                <w:rFonts w:hint="default" w:ascii="Arial" w:hAnsi="Arial" w:cs="Arial"/>
                <w:color w:val="auto"/>
                <w:sz w:val="22"/>
                <w:szCs w:val="22"/>
                <w:highlight w:val="none"/>
              </w:rPr>
              <w:t>％</w:t>
            </w:r>
            <w:r>
              <w:rPr>
                <w:rFonts w:hint="default"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lang w:val="en-US" w:eastAsia="zh-CN"/>
              </w:rPr>
              <w:t>2</w:t>
            </w: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rPr>
              <w:t>履约担保形式：银行汇票（电汇）、网银、银行保函、保险保单形式。</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lang w:val="en-US" w:eastAsia="zh-CN"/>
              </w:rPr>
              <w:t>3</w:t>
            </w: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rPr>
              <w:t>履约保担保提交时间：银行汇票（电汇）、网银形式的，乙方应于合同签订之前支付给甲方；其它形式的，乙方应于合同签订之日后10天内提交给甲方。</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eastAsia="zh-CN"/>
              </w:rPr>
            </w:pP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lang w:val="en-US" w:eastAsia="zh-CN"/>
              </w:rPr>
              <w:t>4</w:t>
            </w:r>
            <w:r>
              <w:rPr>
                <w:rFonts w:hint="default" w:ascii="Arial" w:hAnsi="Arial" w:cs="Arial"/>
                <w:color w:val="auto"/>
                <w:sz w:val="22"/>
                <w:szCs w:val="22"/>
                <w:highlight w:val="none"/>
                <w:lang w:eastAsia="zh-CN"/>
              </w:rPr>
              <w:t>）</w:t>
            </w:r>
            <w:r>
              <w:rPr>
                <w:rFonts w:hint="default" w:ascii="Arial" w:hAnsi="Arial" w:cs="Arial"/>
                <w:color w:val="auto"/>
                <w:sz w:val="22"/>
                <w:szCs w:val="22"/>
                <w:highlight w:val="none"/>
              </w:rPr>
              <w:t>履约担保退还：履约保证金在设备安装调试验收合格且提交验收资料后15天内结清（无息）</w:t>
            </w:r>
            <w:r>
              <w:rPr>
                <w:rFonts w:hint="default"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4、付款方式和条件：</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eastAsia="宋体" w:cs="Arial"/>
                <w:color w:val="auto"/>
                <w:sz w:val="22"/>
                <w:szCs w:val="22"/>
                <w:highlight w:val="none"/>
                <w:lang w:val="en-US" w:eastAsia="zh-CN"/>
              </w:rPr>
            </w:pP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val="en-US" w:eastAsia="zh-CN"/>
              </w:rPr>
              <w:t>1</w:t>
            </w:r>
            <w:r>
              <w:rPr>
                <w:rFonts w:hint="eastAsia" w:ascii="Arial" w:hAnsi="Arial" w:cs="Arial"/>
                <w:color w:val="auto"/>
                <w:sz w:val="22"/>
                <w:szCs w:val="22"/>
                <w:highlight w:val="none"/>
                <w:lang w:eastAsia="zh-CN"/>
              </w:rPr>
              <w:t>）</w:t>
            </w:r>
            <w:r>
              <w:rPr>
                <w:rFonts w:hint="eastAsia" w:ascii="Arial" w:hAnsi="Arial" w:cs="Arial"/>
                <w:color w:val="auto"/>
                <w:sz w:val="22"/>
                <w:szCs w:val="22"/>
                <w:highlight w:val="none"/>
                <w:lang w:val="en-US" w:eastAsia="zh-CN"/>
              </w:rPr>
              <w:t>设备设施（包括：前端感知系统+传输网络系统+存储及平台扩容）付款办法：</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val="en-US" w:eastAsia="zh-CN"/>
              </w:rPr>
              <w:t>1）</w:t>
            </w:r>
            <w:r>
              <w:rPr>
                <w:rFonts w:hint="default" w:ascii="Arial" w:hAnsi="Arial" w:cs="Arial"/>
                <w:color w:val="auto"/>
                <w:sz w:val="22"/>
                <w:szCs w:val="22"/>
                <w:highlight w:val="none"/>
              </w:rPr>
              <w:t>合同生效以及具备实施条件后7个工作日内支付</w:t>
            </w:r>
            <w:r>
              <w:rPr>
                <w:rFonts w:hint="eastAsia" w:ascii="Arial" w:hAnsi="Arial" w:cs="Arial"/>
                <w:color w:val="auto"/>
                <w:sz w:val="22"/>
                <w:szCs w:val="22"/>
                <w:highlight w:val="none"/>
                <w:lang w:val="en-US" w:eastAsia="zh-CN"/>
              </w:rPr>
              <w:t>至设备设施合同价</w:t>
            </w:r>
            <w:r>
              <w:rPr>
                <w:rFonts w:hint="default" w:ascii="Arial" w:hAnsi="Arial" w:cs="Arial"/>
                <w:color w:val="auto"/>
                <w:sz w:val="22"/>
                <w:szCs w:val="22"/>
                <w:highlight w:val="none"/>
              </w:rPr>
              <w:t>的</w:t>
            </w:r>
            <w:r>
              <w:rPr>
                <w:rFonts w:hint="eastAsia" w:ascii="Arial" w:hAnsi="Arial" w:cs="Arial"/>
                <w:color w:val="auto"/>
                <w:sz w:val="22"/>
                <w:szCs w:val="22"/>
                <w:highlight w:val="none"/>
                <w:lang w:val="en-US" w:eastAsia="zh-CN"/>
              </w:rPr>
              <w:t>4</w:t>
            </w:r>
            <w:r>
              <w:rPr>
                <w:rFonts w:hint="default" w:ascii="Arial" w:hAnsi="Arial" w:cs="Arial"/>
                <w:color w:val="auto"/>
                <w:sz w:val="22"/>
                <w:szCs w:val="22"/>
                <w:highlight w:val="none"/>
              </w:rPr>
              <w:t>0%</w:t>
            </w:r>
            <w:r>
              <w:rPr>
                <w:rFonts w:hint="eastAsia" w:ascii="Arial" w:hAnsi="Arial" w:cs="Arial"/>
                <w:color w:val="auto"/>
                <w:sz w:val="22"/>
                <w:szCs w:val="22"/>
                <w:highlight w:val="none"/>
                <w:lang w:val="en-US" w:eastAsia="zh-CN"/>
              </w:rPr>
              <w:t>（设备设施合同价＝合同总价-系统运行费合同价，余同）</w:t>
            </w:r>
            <w:r>
              <w:rPr>
                <w:rFonts w:hint="eastAsia"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eastAsia" w:ascii="Arial" w:hAnsi="Arial" w:cs="Arial"/>
                <w:color w:val="auto"/>
                <w:sz w:val="22"/>
                <w:szCs w:val="22"/>
                <w:highlight w:val="none"/>
                <w:lang w:eastAsia="zh-CN"/>
              </w:rPr>
            </w:pPr>
            <w:r>
              <w:rPr>
                <w:rFonts w:hint="eastAsia" w:ascii="Arial" w:hAnsi="Arial" w:cs="Arial"/>
                <w:color w:val="auto"/>
                <w:sz w:val="22"/>
                <w:szCs w:val="22"/>
                <w:highlight w:val="none"/>
                <w:lang w:val="en-US" w:eastAsia="zh-CN"/>
              </w:rPr>
              <w:t>2）</w:t>
            </w:r>
            <w:r>
              <w:rPr>
                <w:rFonts w:hint="default" w:ascii="Arial" w:hAnsi="Arial" w:cs="Arial"/>
                <w:color w:val="auto"/>
                <w:sz w:val="22"/>
                <w:szCs w:val="22"/>
                <w:highlight w:val="none"/>
              </w:rPr>
              <w:t>全部设备</w:t>
            </w:r>
            <w:r>
              <w:rPr>
                <w:rFonts w:hint="eastAsia" w:ascii="Arial" w:hAnsi="Arial" w:cs="Arial"/>
                <w:color w:val="auto"/>
                <w:sz w:val="22"/>
                <w:szCs w:val="22"/>
                <w:highlight w:val="none"/>
                <w:lang w:val="en-US" w:eastAsia="zh-CN"/>
              </w:rPr>
              <w:t>设施</w:t>
            </w:r>
            <w:r>
              <w:rPr>
                <w:rFonts w:hint="default" w:ascii="Arial" w:hAnsi="Arial" w:cs="Arial"/>
                <w:color w:val="auto"/>
                <w:sz w:val="22"/>
                <w:szCs w:val="22"/>
                <w:highlight w:val="none"/>
              </w:rPr>
              <w:t>安装调试完成并经</w:t>
            </w:r>
            <w:r>
              <w:rPr>
                <w:rFonts w:hint="eastAsia" w:ascii="Arial" w:hAnsi="Arial" w:cs="Arial"/>
                <w:color w:val="auto"/>
                <w:sz w:val="22"/>
                <w:szCs w:val="22"/>
                <w:highlight w:val="none"/>
                <w:lang w:eastAsia="zh-CN"/>
              </w:rPr>
              <w:t>相关部门</w:t>
            </w:r>
            <w:r>
              <w:rPr>
                <w:rFonts w:hint="default" w:ascii="Arial" w:hAnsi="Arial" w:cs="Arial"/>
                <w:color w:val="auto"/>
                <w:sz w:val="22"/>
                <w:szCs w:val="22"/>
                <w:highlight w:val="none"/>
              </w:rPr>
              <w:t>验收合格出具验收</w:t>
            </w:r>
            <w:r>
              <w:rPr>
                <w:rFonts w:hint="eastAsia" w:ascii="Arial" w:hAnsi="Arial" w:cs="Arial"/>
                <w:color w:val="auto"/>
                <w:sz w:val="22"/>
                <w:szCs w:val="22"/>
                <w:highlight w:val="none"/>
                <w:lang w:eastAsia="zh-CN"/>
              </w:rPr>
              <w:t>合格</w:t>
            </w:r>
            <w:r>
              <w:rPr>
                <w:rFonts w:hint="default" w:ascii="Arial" w:hAnsi="Arial" w:cs="Arial"/>
                <w:color w:val="auto"/>
                <w:sz w:val="22"/>
                <w:szCs w:val="22"/>
                <w:highlight w:val="none"/>
              </w:rPr>
              <w:t>报告后支付至</w:t>
            </w:r>
            <w:r>
              <w:rPr>
                <w:rFonts w:hint="eastAsia" w:ascii="Arial" w:hAnsi="Arial" w:cs="Arial"/>
                <w:color w:val="auto"/>
                <w:sz w:val="22"/>
                <w:szCs w:val="22"/>
                <w:highlight w:val="none"/>
                <w:lang w:val="en-US" w:eastAsia="zh-CN"/>
              </w:rPr>
              <w:t>设备设施合同价</w:t>
            </w:r>
            <w:r>
              <w:rPr>
                <w:rFonts w:hint="default" w:ascii="Arial" w:hAnsi="Arial" w:cs="Arial"/>
                <w:color w:val="auto"/>
                <w:sz w:val="22"/>
                <w:szCs w:val="22"/>
                <w:highlight w:val="none"/>
              </w:rPr>
              <w:t>的80%</w:t>
            </w:r>
            <w:r>
              <w:rPr>
                <w:rFonts w:hint="eastAsia" w:ascii="Arial" w:hAnsi="Arial" w:cs="Arial"/>
                <w:color w:val="auto"/>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390" w:lineRule="exact"/>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3）</w:t>
            </w:r>
            <w:r>
              <w:rPr>
                <w:rFonts w:hint="default" w:ascii="Arial" w:hAnsi="Arial" w:cs="Arial"/>
                <w:color w:val="auto"/>
                <w:sz w:val="22"/>
                <w:szCs w:val="22"/>
                <w:highlight w:val="none"/>
              </w:rPr>
              <w:t>审计结束后，支付至</w:t>
            </w:r>
            <w:r>
              <w:rPr>
                <w:rFonts w:hint="eastAsia" w:ascii="Arial" w:hAnsi="Arial" w:cs="Arial"/>
                <w:color w:val="auto"/>
                <w:sz w:val="22"/>
                <w:szCs w:val="22"/>
                <w:highlight w:val="none"/>
                <w:lang w:val="en-US" w:eastAsia="zh-CN"/>
              </w:rPr>
              <w:t>设备设施审计结算价</w:t>
            </w:r>
            <w:r>
              <w:rPr>
                <w:rFonts w:hint="default" w:ascii="Arial" w:hAnsi="Arial" w:cs="Arial"/>
                <w:color w:val="auto"/>
                <w:sz w:val="22"/>
                <w:szCs w:val="22"/>
                <w:highlight w:val="none"/>
              </w:rPr>
              <w:t xml:space="preserve">的100%。 </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（2）系统运行费付款办法：设备设施验收合格之日起计三年系统运行期，系统运行期的每个年度末支付经甲方审核确认后的当年全额系统运行费合同价。</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rPr>
              <w:t>5、质保期、系统运行期：本项目设备的质保期、系统运行期为设备设施安装调试完毕，自验收合格之日起3年。</w:t>
            </w:r>
          </w:p>
          <w:p>
            <w:pPr>
              <w:keepNext w:val="0"/>
              <w:keepLines w:val="0"/>
              <w:pageBreakBefore w:val="0"/>
              <w:kinsoku/>
              <w:wordWrap/>
              <w:overflowPunct/>
              <w:topLinePunct w:val="0"/>
              <w:bidi w:val="0"/>
              <w:adjustRightInd/>
              <w:spacing w:line="390" w:lineRule="exact"/>
              <w:textAlignment w:val="auto"/>
              <w:rPr>
                <w:rFonts w:hint="default" w:ascii="Arial" w:hAnsi="Arial" w:cs="Arial"/>
                <w:bCs/>
                <w:color w:val="auto"/>
                <w:sz w:val="22"/>
                <w:szCs w:val="22"/>
                <w:highlight w:val="none"/>
              </w:rPr>
            </w:pPr>
            <w:r>
              <w:rPr>
                <w:rFonts w:hint="default" w:ascii="Arial" w:hAnsi="Arial" w:cs="Arial"/>
                <w:color w:val="auto"/>
                <w:sz w:val="22"/>
                <w:szCs w:val="22"/>
                <w:highlight w:val="none"/>
              </w:rPr>
              <w:t>6、转包与分包：本项目不允许转包。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★7</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投标报价及费用：</w:t>
            </w:r>
          </w:p>
          <w:p>
            <w:pPr>
              <w:keepNext w:val="0"/>
              <w:keepLines w:val="0"/>
              <w:pageBreakBefore w:val="0"/>
              <w:kinsoku/>
              <w:wordWrap/>
              <w:overflowPunct/>
              <w:topLinePunct w:val="0"/>
              <w:bidi w:val="0"/>
              <w:adjustRightInd/>
              <w:spacing w:line="390" w:lineRule="exact"/>
              <w:textAlignment w:val="auto"/>
              <w:rPr>
                <w:rFonts w:hint="default" w:ascii="Arial" w:hAnsi="Arial" w:cs="Arial"/>
                <w:bCs/>
                <w:color w:val="auto"/>
                <w:sz w:val="22"/>
                <w:szCs w:val="22"/>
                <w:highlight w:val="none"/>
              </w:rPr>
            </w:pPr>
            <w:r>
              <w:rPr>
                <w:rFonts w:hint="default" w:ascii="Arial" w:hAnsi="Arial" w:cs="Arial"/>
                <w:bCs/>
                <w:color w:val="auto"/>
                <w:sz w:val="22"/>
                <w:szCs w:val="22"/>
                <w:highlight w:val="none"/>
              </w:rPr>
              <w:t>1、投标人的投标报价应以人民币进行报价，包含但不限于：设备价格、标准附件、</w:t>
            </w:r>
            <w:r>
              <w:rPr>
                <w:rFonts w:hint="eastAsia" w:ascii="Arial" w:hAnsi="Arial" w:eastAsia="宋体" w:cs="Arial"/>
                <w:bCs/>
                <w:color w:val="auto"/>
                <w:sz w:val="22"/>
                <w:szCs w:val="22"/>
                <w:highlight w:val="none"/>
                <w:lang w:eastAsia="zh-CN"/>
              </w:rPr>
              <w:t>质</w:t>
            </w:r>
            <w:r>
              <w:rPr>
                <w:rFonts w:hint="eastAsia" w:ascii="Arial" w:hAnsi="Arial" w:cs="Arial"/>
                <w:bCs/>
                <w:color w:val="auto"/>
                <w:sz w:val="22"/>
                <w:szCs w:val="22"/>
                <w:highlight w:val="none"/>
                <w:lang w:eastAsia="zh-CN"/>
              </w:rPr>
              <w:t>保期内的</w:t>
            </w:r>
            <w:r>
              <w:rPr>
                <w:rFonts w:hint="default" w:ascii="Arial" w:hAnsi="Arial" w:cs="Arial"/>
                <w:bCs/>
                <w:color w:val="auto"/>
                <w:sz w:val="22"/>
                <w:szCs w:val="22"/>
                <w:highlight w:val="none"/>
              </w:rPr>
              <w:t>备品备件、专用工具、包装运费、装卸、保险、税金、货到就位以及安装、调试、检测费、培训、保修、管理费、人员差旅费、企业利润、税金、临时水电费</w:t>
            </w:r>
            <w:r>
              <w:rPr>
                <w:rFonts w:hint="eastAsia" w:ascii="Arial" w:hAnsi="Arial" w:cs="Arial"/>
                <w:bCs/>
                <w:color w:val="auto"/>
                <w:sz w:val="22"/>
                <w:szCs w:val="22"/>
                <w:highlight w:val="none"/>
                <w:lang w:eastAsia="zh-CN"/>
              </w:rPr>
              <w:t>、中标服务费</w:t>
            </w:r>
            <w:r>
              <w:rPr>
                <w:rFonts w:hint="default" w:ascii="Arial" w:hAnsi="Arial" w:cs="Arial"/>
                <w:bCs/>
                <w:color w:val="auto"/>
                <w:sz w:val="22"/>
                <w:szCs w:val="22"/>
                <w:highlight w:val="none"/>
              </w:rPr>
              <w:t>等所有费用。</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w:t>
            </w:r>
            <w:r>
              <w:rPr>
                <w:rFonts w:hint="default" w:ascii="Arial" w:hAnsi="Arial" w:cs="Arial"/>
                <w:b/>
                <w:bCs w:val="0"/>
                <w:color w:val="auto"/>
                <w:sz w:val="22"/>
                <w:szCs w:val="22"/>
                <w:highlight w:val="none"/>
              </w:rPr>
              <w:t>2、本项目最高限价人民币</w:t>
            </w:r>
            <w:r>
              <w:rPr>
                <w:rFonts w:hint="eastAsia" w:ascii="Arial" w:hAnsi="Arial" w:cs="Arial"/>
                <w:b/>
                <w:bCs w:val="0"/>
                <w:color w:val="auto"/>
                <w:sz w:val="22"/>
                <w:szCs w:val="22"/>
                <w:highlight w:val="none"/>
                <w:u w:val="single"/>
                <w:lang w:eastAsia="zh-CN"/>
              </w:rPr>
              <w:t>7073277元</w:t>
            </w:r>
            <w:r>
              <w:rPr>
                <w:rFonts w:hint="default" w:ascii="Arial" w:hAnsi="Arial" w:cs="Arial"/>
                <w:b/>
                <w:bCs w:val="0"/>
                <w:color w:val="auto"/>
                <w:sz w:val="22"/>
                <w:szCs w:val="22"/>
                <w:highlight w:val="none"/>
              </w:rPr>
              <w:t>，</w:t>
            </w:r>
            <w:r>
              <w:rPr>
                <w:rFonts w:hint="eastAsia" w:ascii="Arial" w:hAnsi="Arial" w:cs="Arial"/>
                <w:b/>
                <w:bCs w:val="0"/>
                <w:color w:val="auto"/>
                <w:sz w:val="22"/>
                <w:szCs w:val="22"/>
                <w:highlight w:val="none"/>
                <w:lang w:eastAsia="zh-CN"/>
              </w:rPr>
              <w:t>单价最高限价、合价最高限价详见第二章采购清单，</w:t>
            </w:r>
            <w:r>
              <w:rPr>
                <w:rFonts w:hint="default" w:ascii="Arial" w:hAnsi="Arial" w:cs="Arial"/>
                <w:b/>
                <w:bCs w:val="0"/>
                <w:color w:val="auto"/>
                <w:sz w:val="22"/>
                <w:szCs w:val="22"/>
                <w:highlight w:val="none"/>
              </w:rPr>
              <w:t>投标报价超过</w:t>
            </w:r>
            <w:r>
              <w:rPr>
                <w:rFonts w:hint="eastAsia" w:ascii="Arial" w:hAnsi="Arial" w:cs="Arial"/>
                <w:b/>
                <w:bCs w:val="0"/>
                <w:color w:val="auto"/>
                <w:sz w:val="22"/>
                <w:szCs w:val="22"/>
                <w:highlight w:val="none"/>
                <w:lang w:eastAsia="zh-CN"/>
              </w:rPr>
              <w:t>上述</w:t>
            </w:r>
            <w:r>
              <w:rPr>
                <w:rFonts w:hint="default" w:ascii="Arial" w:hAnsi="Arial" w:cs="Arial"/>
                <w:b/>
                <w:bCs w:val="0"/>
                <w:color w:val="auto"/>
                <w:sz w:val="22"/>
                <w:szCs w:val="22"/>
                <w:highlight w:val="none"/>
              </w:rPr>
              <w:t>最高限价的作无效标处理。</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3、不论投标结果如何，投标人均应自行承担所有与投标有关的全部费用。</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4、投标货币：人民币。</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5、其它：</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（1）设计服务、售后服务、价格波动、政策性文件规定及合同包含的所有风险、责任等也必须在投标报价时充分考虑，包含在内。</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（2）中标人须负责本招标项目通过相关质量监督部门的有关审查。</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（3）投标人不得以实际采购数量、时间的变化或现场环境等理由提出综合单价增加或供货延期等任何变更投标响应的要求。</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（4）当采购数量与实际使用数量不一致时，中标人应根据实际使用量供货，合同的最终结算金额按实际使用量乘以成交单价进行计算。如系本合同中未包括的产品，由甲方与乙方双方协商确定价格。</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w:t>
            </w:r>
            <w:r>
              <w:rPr>
                <w:rFonts w:hint="eastAsia" w:ascii="Arial" w:hAnsi="Arial" w:cs="Arial"/>
                <w:color w:val="auto"/>
                <w:sz w:val="22"/>
                <w:szCs w:val="22"/>
                <w:highlight w:val="none"/>
                <w:lang w:val="en-US" w:eastAsia="zh-CN"/>
              </w:rPr>
              <w:t>5</w:t>
            </w:r>
            <w:r>
              <w:rPr>
                <w:rFonts w:hint="default" w:ascii="Arial" w:hAnsi="Arial" w:cs="Arial"/>
                <w:color w:val="auto"/>
                <w:sz w:val="22"/>
                <w:szCs w:val="22"/>
                <w:highlight w:val="none"/>
              </w:rPr>
              <w:t>）中标服务费</w:t>
            </w:r>
            <w:r>
              <w:rPr>
                <w:rFonts w:hint="eastAsia" w:ascii="Arial" w:hAnsi="Arial" w:cs="Arial"/>
                <w:color w:val="auto"/>
                <w:sz w:val="22"/>
                <w:szCs w:val="22"/>
                <w:highlight w:val="none"/>
                <w:lang w:eastAsia="zh-CN"/>
              </w:rPr>
              <w:t>（招标代理费）</w:t>
            </w:r>
            <w:r>
              <w:rPr>
                <w:rFonts w:hint="default" w:ascii="Arial" w:hAnsi="Arial" w:cs="Arial"/>
                <w:color w:val="auto"/>
                <w:sz w:val="22"/>
                <w:szCs w:val="22"/>
                <w:highlight w:val="none"/>
              </w:rPr>
              <w:t>收取标准：</w:t>
            </w:r>
            <w:r>
              <w:rPr>
                <w:rFonts w:hint="eastAsia" w:ascii="Arial" w:hAnsi="Arial" w:cs="Arial"/>
                <w:color w:val="auto"/>
                <w:sz w:val="22"/>
                <w:szCs w:val="22"/>
                <w:highlight w:val="none"/>
                <w:lang w:eastAsia="zh-CN"/>
              </w:rPr>
              <w:t>采购</w:t>
            </w:r>
            <w:r>
              <w:rPr>
                <w:rFonts w:hint="default" w:ascii="Arial" w:hAnsi="Arial" w:cs="Arial"/>
                <w:color w:val="auto"/>
                <w:sz w:val="22"/>
                <w:szCs w:val="22"/>
                <w:highlight w:val="none"/>
              </w:rPr>
              <w:t>代理机构参照国家发改委发改办价格[2003]857号通知和计</w:t>
            </w:r>
            <w:r>
              <w:rPr>
                <w:rFonts w:hint="eastAsia" w:ascii="Arial" w:hAnsi="Arial" w:cs="Arial"/>
                <w:color w:val="auto"/>
                <w:sz w:val="22"/>
                <w:szCs w:val="22"/>
                <w:highlight w:val="none"/>
                <w:lang w:eastAsia="zh-CN"/>
              </w:rPr>
              <w:t>价格</w:t>
            </w:r>
            <w:r>
              <w:rPr>
                <w:rFonts w:hint="default" w:ascii="Arial" w:hAnsi="Arial" w:cs="Arial"/>
                <w:color w:val="auto"/>
                <w:sz w:val="22"/>
                <w:szCs w:val="22"/>
                <w:highlight w:val="none"/>
              </w:rPr>
              <w:t>[2002]1980号文件规定的</w:t>
            </w:r>
            <w:r>
              <w:rPr>
                <w:rFonts w:hint="eastAsia" w:ascii="Arial" w:hAnsi="Arial" w:cs="Arial"/>
                <w:color w:val="auto"/>
                <w:sz w:val="22"/>
                <w:szCs w:val="22"/>
                <w:highlight w:val="none"/>
                <w:lang w:eastAsia="zh-CN"/>
              </w:rPr>
              <w:t>货物</w:t>
            </w:r>
            <w:r>
              <w:rPr>
                <w:rFonts w:hint="default" w:ascii="Arial" w:hAnsi="Arial" w:cs="Arial"/>
                <w:color w:val="auto"/>
                <w:sz w:val="22"/>
                <w:szCs w:val="22"/>
                <w:highlight w:val="none"/>
              </w:rPr>
              <w:t>招标费率</w:t>
            </w:r>
            <w:r>
              <w:rPr>
                <w:rFonts w:hint="eastAsia" w:ascii="Arial" w:hAnsi="Arial" w:cs="Arial"/>
                <w:color w:val="auto"/>
                <w:sz w:val="22"/>
                <w:szCs w:val="22"/>
                <w:highlight w:val="none"/>
                <w:lang w:eastAsia="zh-CN"/>
              </w:rPr>
              <w:t>，以中标价为计费额，打</w:t>
            </w:r>
            <w:r>
              <w:rPr>
                <w:rFonts w:hint="eastAsia" w:ascii="Arial" w:hAnsi="Arial" w:cs="Arial"/>
                <w:color w:val="auto"/>
                <w:sz w:val="22"/>
                <w:szCs w:val="22"/>
                <w:highlight w:val="none"/>
                <w:lang w:val="en-US" w:eastAsia="zh-CN"/>
              </w:rPr>
              <w:t>7折后</w:t>
            </w:r>
            <w:r>
              <w:rPr>
                <w:rFonts w:hint="default" w:ascii="Arial" w:hAnsi="Arial" w:cs="Arial"/>
                <w:color w:val="auto"/>
                <w:sz w:val="22"/>
                <w:szCs w:val="22"/>
                <w:highlight w:val="none"/>
              </w:rPr>
              <w:t>向中标人收取</w:t>
            </w:r>
            <w:r>
              <w:rPr>
                <w:rFonts w:hint="eastAsia" w:ascii="Arial" w:hAnsi="Arial" w:cs="Arial"/>
                <w:color w:val="auto"/>
                <w:sz w:val="22"/>
                <w:szCs w:val="22"/>
                <w:highlight w:val="none"/>
                <w:lang w:eastAsia="zh-CN"/>
              </w:rPr>
              <w:t>招标代理</w:t>
            </w:r>
            <w:r>
              <w:rPr>
                <w:rFonts w:hint="default" w:ascii="Arial" w:hAnsi="Arial" w:cs="Arial"/>
                <w:color w:val="auto"/>
                <w:sz w:val="22"/>
                <w:szCs w:val="22"/>
                <w:highlight w:val="none"/>
              </w:rPr>
              <w:t>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3"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8</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b/>
                <w:color w:val="auto"/>
                <w:sz w:val="22"/>
                <w:szCs w:val="22"/>
                <w:highlight w:val="none"/>
              </w:rPr>
            </w:pPr>
            <w:r>
              <w:rPr>
                <w:rFonts w:hint="default" w:ascii="Arial" w:hAnsi="Arial" w:cs="Arial"/>
                <w:color w:val="auto"/>
                <w:sz w:val="22"/>
                <w:szCs w:val="22"/>
                <w:highlight w:val="none"/>
              </w:rPr>
              <w:t>投标保证金：无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9</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现场踏勘：</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1、本项目投标人应自行对服务现场和周围环境进行勘察，以获取编制投标文件和签署合同所需的资料。</w:t>
            </w:r>
          </w:p>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勘察现场所发生的费用由投标人自行承担。招标人向投标人提供的有关服务现场的资料和数据，是招标人现有的能使投标人利用的资料。招标人对投标人由此而做出的推论、理解和结论概不负责。投标人未到现场实地踏勘的，中标后签订合同时和履约过程中，投标人不得以不完全了解现场情况为由，提出任何形式的增加合同价款或索赔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10</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提供样品要求：详见招标公告及招标需求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★11</w:t>
            </w:r>
          </w:p>
        </w:tc>
        <w:tc>
          <w:tcPr>
            <w:tcW w:w="7659" w:type="dxa"/>
            <w:noWrap w:val="0"/>
            <w:vAlign w:val="center"/>
          </w:tcPr>
          <w:p>
            <w:pPr>
              <w:keepNext w:val="0"/>
              <w:keepLines w:val="0"/>
              <w:pageBreakBefore w:val="0"/>
              <w:kinsoku/>
              <w:wordWrap/>
              <w:overflowPunct/>
              <w:topLinePunct w:val="0"/>
              <w:autoSpaceDE w:val="0"/>
              <w:autoSpaceDN w:val="0"/>
              <w:bidi w:val="0"/>
              <w:adjustRightInd/>
              <w:snapToGrid w:val="0"/>
              <w:spacing w:line="390" w:lineRule="exact"/>
              <w:contextualSpacing/>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投标文件组成与份数：</w:t>
            </w:r>
          </w:p>
          <w:p>
            <w:pPr>
              <w:keepNext w:val="0"/>
              <w:keepLines w:val="0"/>
              <w:pageBreakBefore w:val="0"/>
              <w:kinsoku/>
              <w:wordWrap/>
              <w:overflowPunct/>
              <w:topLinePunct w:val="0"/>
              <w:autoSpaceDE w:val="0"/>
              <w:autoSpaceDN w:val="0"/>
              <w:bidi w:val="0"/>
              <w:adjustRightInd/>
              <w:snapToGrid w:val="0"/>
              <w:spacing w:line="390" w:lineRule="exact"/>
              <w:contextualSpacing/>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本项目实行网上投标，投标人应准备以下投标文件：</w:t>
            </w:r>
          </w:p>
          <w:p>
            <w:pPr>
              <w:keepNext w:val="0"/>
              <w:keepLines w:val="0"/>
              <w:pageBreakBefore w:val="0"/>
              <w:kinsoku/>
              <w:wordWrap/>
              <w:overflowPunct/>
              <w:topLinePunct w:val="0"/>
              <w:autoSpaceDE w:val="0"/>
              <w:autoSpaceDN w:val="0"/>
              <w:bidi w:val="0"/>
              <w:adjustRightInd/>
              <w:snapToGrid w:val="0"/>
              <w:spacing w:line="390" w:lineRule="exact"/>
              <w:contextualSpacing/>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1、上传到政府采购云平台的电子投标文件（含资格证明文件、技术商务文件、报价文件）1份。</w:t>
            </w:r>
          </w:p>
          <w:p>
            <w:pPr>
              <w:keepNext w:val="0"/>
              <w:keepLines w:val="0"/>
              <w:pageBreakBefore w:val="0"/>
              <w:kinsoku/>
              <w:wordWrap/>
              <w:overflowPunct/>
              <w:topLinePunct w:val="0"/>
              <w:autoSpaceDE w:val="0"/>
              <w:autoSpaceDN w:val="0"/>
              <w:bidi w:val="0"/>
              <w:adjustRightInd/>
              <w:snapToGrid w:val="0"/>
              <w:spacing w:line="390" w:lineRule="exact"/>
              <w:contextualSpacing/>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2、以U盘形式存储的电子备份投标文件（含资格证明文件、技术商务文件、报价文件）1份。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★12</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投标截止时间及地点：详见招标采购文件第一章 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★13</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开标时间及地点：详见招标采购文件第一章 公开招标采购公告。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14</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评标办法及评分标准：详见招标采购文件第四章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15</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中标结果公示：评标结束后，经采购人确认后，中标结果公示于“浙江政府采购网（http://zfcg.czt.zj.gov.cn/）”、“宁波市政府采购网（www.nbzfcg.cn）”、“宁波市公共资源交易网鄞州区分网（</w:t>
            </w:r>
            <w:r>
              <w:rPr>
                <w:rFonts w:hint="eastAsia" w:ascii="Arial" w:hAnsi="Arial" w:cs="Arial"/>
                <w:color w:val="auto"/>
                <w:sz w:val="22"/>
                <w:szCs w:val="22"/>
                <w:highlight w:val="none"/>
                <w:lang w:eastAsia="zh-CN"/>
              </w:rPr>
              <w:t>http://yinzhou.nbggzy.cn/</w:t>
            </w:r>
            <w:r>
              <w:rPr>
                <w:rFonts w:hint="default" w:ascii="Arial" w:hAnsi="Arial" w:cs="Arial"/>
                <w:color w:val="auto"/>
                <w:sz w:val="22"/>
                <w:szCs w:val="22"/>
                <w:highlight w:val="none"/>
              </w:rPr>
              <w:t>）”网站。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16</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签订合同时间：中标通知书发出后</w:t>
            </w:r>
            <w:r>
              <w:rPr>
                <w:rFonts w:hint="eastAsia" w:ascii="Arial" w:hAnsi="Arial" w:cs="Arial"/>
                <w:color w:val="auto"/>
                <w:sz w:val="22"/>
                <w:szCs w:val="22"/>
                <w:highlight w:val="none"/>
                <w:lang w:val="en-US" w:eastAsia="zh-CN"/>
              </w:rPr>
              <w:t>20</w:t>
            </w:r>
            <w:r>
              <w:rPr>
                <w:rFonts w:hint="default" w:ascii="Arial" w:hAnsi="Arial" w:cs="Arial"/>
                <w:color w:val="auto"/>
                <w:sz w:val="22"/>
                <w:szCs w:val="22"/>
                <w:highlight w:val="none"/>
              </w:rPr>
              <w:t>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17</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采购资金来源：预算资金。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18</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本项目服务完毕后需经采购人及部门验收，验收前中标人需提供完整的验收资料。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6"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19</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rPr>
              <w:t>投标文件有效期：自投标截止日起90天。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★20</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rPr>
            </w:pPr>
            <w:r>
              <w:rPr>
                <w:rFonts w:hint="default" w:ascii="Arial" w:hAnsi="Arial" w:cs="Arial"/>
                <w:bCs/>
                <w:color w:val="auto"/>
                <w:sz w:val="22"/>
                <w:szCs w:val="22"/>
                <w:highlight w:val="none"/>
              </w:rPr>
              <w:t>特别说明：</w:t>
            </w:r>
            <w:r>
              <w:rPr>
                <w:rFonts w:hint="default" w:ascii="Arial" w:hAnsi="Arial" w:cs="Arial"/>
                <w:color w:val="auto"/>
                <w:sz w:val="22"/>
                <w:szCs w:val="22"/>
                <w:highlight w:val="none"/>
                <w:lang w:bidi="ar"/>
              </w:rPr>
              <w:t>本项目非专门面向中小企业或微型企业采购。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trPr>
        <w:tc>
          <w:tcPr>
            <w:tcW w:w="721" w:type="dxa"/>
            <w:noWrap w:val="0"/>
            <w:vAlign w:val="center"/>
          </w:tcPr>
          <w:p>
            <w:pPr>
              <w:keepNext w:val="0"/>
              <w:keepLines w:val="0"/>
              <w:pageBreakBefore w:val="0"/>
              <w:kinsoku/>
              <w:wordWrap/>
              <w:overflowPunct/>
              <w:topLinePunct w:val="0"/>
              <w:bidi w:val="0"/>
              <w:adjustRightInd/>
              <w:spacing w:line="39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21</w:t>
            </w:r>
          </w:p>
        </w:tc>
        <w:tc>
          <w:tcPr>
            <w:tcW w:w="7659" w:type="dxa"/>
            <w:noWrap w:val="0"/>
            <w:vAlign w:val="center"/>
          </w:tcPr>
          <w:p>
            <w:pPr>
              <w:keepNext w:val="0"/>
              <w:keepLines w:val="0"/>
              <w:pageBreakBefore w:val="0"/>
              <w:kinsoku/>
              <w:wordWrap/>
              <w:overflowPunct/>
              <w:topLinePunct w:val="0"/>
              <w:bidi w:val="0"/>
              <w:adjustRightInd/>
              <w:spacing w:line="390" w:lineRule="exact"/>
              <w:textAlignment w:val="auto"/>
              <w:rPr>
                <w:rFonts w:hint="default" w:ascii="Arial" w:hAnsi="Arial" w:cs="Arial"/>
                <w:color w:val="auto"/>
                <w:sz w:val="22"/>
                <w:szCs w:val="22"/>
                <w:highlight w:val="none"/>
                <w:lang w:bidi="ar"/>
              </w:rPr>
            </w:pPr>
            <w:r>
              <w:rPr>
                <w:rFonts w:hint="default" w:ascii="Arial" w:hAnsi="Arial" w:cs="Arial"/>
                <w:color w:val="auto"/>
                <w:sz w:val="22"/>
                <w:szCs w:val="22"/>
                <w:highlight w:val="none"/>
              </w:rPr>
              <w:t>解释：本招标采购文件的解释权属于采购代理机构。</w:t>
            </w:r>
          </w:p>
        </w:tc>
      </w:tr>
    </w:tbl>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51" w:name="_Toc50910772"/>
      <w:bookmarkStart w:id="52" w:name="_Toc317685558"/>
      <w:bookmarkStart w:id="53" w:name="_Toc436330195"/>
      <w:r>
        <w:rPr>
          <w:rFonts w:hint="default" w:ascii="Arial" w:hAnsi="Arial" w:cs="Arial"/>
          <w:b/>
          <w:color w:val="auto"/>
          <w:sz w:val="22"/>
          <w:szCs w:val="22"/>
          <w:highlight w:val="none"/>
        </w:rPr>
        <w:t>一、总则</w:t>
      </w:r>
      <w:bookmarkEnd w:id="51"/>
      <w:bookmarkEnd w:id="52"/>
      <w:bookmarkEnd w:id="53"/>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color w:val="auto"/>
          <w:sz w:val="22"/>
          <w:szCs w:val="22"/>
          <w:highlight w:val="none"/>
        </w:rPr>
      </w:pPr>
      <w:bookmarkStart w:id="54" w:name="_Toc317685559"/>
      <w:bookmarkStart w:id="55" w:name="_Toc304292177"/>
      <w:bookmarkStart w:id="56" w:name="_Toc304292179"/>
      <w:bookmarkStart w:id="57" w:name="_Toc436330197"/>
      <w:bookmarkStart w:id="58" w:name="_Toc317685561"/>
      <w:r>
        <w:rPr>
          <w:rFonts w:hint="default" w:ascii="Arial" w:hAnsi="Arial" w:cs="Arial"/>
          <w:b/>
          <w:color w:val="auto"/>
          <w:sz w:val="22"/>
          <w:szCs w:val="22"/>
          <w:highlight w:val="none"/>
        </w:rPr>
        <w:t>（一）适用范围</w:t>
      </w:r>
      <w:bookmarkEnd w:id="54"/>
      <w:bookmarkEnd w:id="55"/>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本招标采购文件适用于本项目的招标、投标、资格审查、评标、定标、考核、验收、合同履约、付款等行为（法律、法规另有规定的，从其规定）。</w:t>
      </w:r>
      <w:bookmarkStart w:id="59" w:name="_Toc317685560"/>
      <w:bookmarkStart w:id="60" w:name="_Toc304292178"/>
      <w:bookmarkStart w:id="61" w:name="_Toc436330196"/>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（二）定义</w:t>
      </w:r>
      <w:bookmarkEnd w:id="59"/>
      <w:bookmarkEnd w:id="60"/>
      <w:bookmarkEnd w:id="61"/>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1、“采购人”、“采购代理机构”系指（详见《公开招标采购公告》）。</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2、“投标人”系指响应招标、参加投标竞争的法人、其他组织或者自然人，即供应商。</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3、“产品”系指系指投标人向采购人提供的本项目要求的设备、软件、保险、税金、质保期内备品备件、工具、手册及其它有关技术资料。</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4、“服务”系指本项目规定的投标人须承担的技术服务、校准、验收、培训、质保期内维保以及其他服务。</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5、“项目”系指投标人按招标采购文件规定向采购人提供的产品或服务。</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6、“书面形式”包括信函、传真、电报等。</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u w:val="single"/>
        </w:rPr>
      </w:pPr>
      <w:r>
        <w:rPr>
          <w:rFonts w:hint="default" w:ascii="Arial" w:hAnsi="Arial" w:cs="Arial"/>
          <w:b/>
          <w:color w:val="auto"/>
          <w:sz w:val="22"/>
          <w:szCs w:val="22"/>
          <w:highlight w:val="none"/>
          <w:u w:val="single"/>
        </w:rPr>
        <w:t>7</w:t>
      </w:r>
      <w:r>
        <w:rPr>
          <w:rFonts w:hint="default" w:ascii="Arial" w:hAnsi="Arial" w:cs="Arial"/>
          <w:color w:val="auto"/>
          <w:sz w:val="22"/>
          <w:szCs w:val="22"/>
          <w:highlight w:val="none"/>
          <w:u w:val="single"/>
        </w:rPr>
        <w:t>、</w:t>
      </w:r>
      <w:r>
        <w:rPr>
          <w:rFonts w:hint="default" w:ascii="Arial" w:hAnsi="Arial" w:cs="Arial"/>
          <w:b/>
          <w:color w:val="auto"/>
          <w:sz w:val="22"/>
          <w:szCs w:val="22"/>
          <w:highlight w:val="none"/>
          <w:u w:val="single"/>
        </w:rPr>
        <w:t>“★”系指实质性要求条款，投标人的投标对任何带“★”号的重要商务和技术条款的偏离和未作实质性响应都将直接导致废标。</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（三）招标方式</w:t>
      </w:r>
      <w:bookmarkEnd w:id="56"/>
      <w:bookmarkEnd w:id="57"/>
      <w:bookmarkEnd w:id="58"/>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本次招标采用公开招标方式进行。</w:t>
      </w:r>
      <w:bookmarkStart w:id="62" w:name="_Toc436330198"/>
      <w:bookmarkStart w:id="63" w:name="_Toc317685562"/>
      <w:bookmarkStart w:id="64" w:name="_Toc304292180"/>
    </w:p>
    <w:p>
      <w:pPr>
        <w:pageBreakBefore w:val="0"/>
        <w:widowControl/>
        <w:kinsoku/>
        <w:wordWrap/>
        <w:overflowPunct/>
        <w:topLinePunct w:val="0"/>
        <w:autoSpaceDE/>
        <w:autoSpaceDN/>
        <w:bidi w:val="0"/>
        <w:spacing w:line="460" w:lineRule="exact"/>
        <w:jc w:val="left"/>
        <w:rPr>
          <w:rFonts w:hint="default" w:ascii="Arial" w:hAnsi="Arial" w:cs="Arial"/>
          <w:b/>
          <w:color w:val="auto"/>
          <w:sz w:val="22"/>
          <w:szCs w:val="22"/>
          <w:highlight w:val="none"/>
        </w:rPr>
      </w:pPr>
      <w:r>
        <w:rPr>
          <w:rFonts w:hint="default" w:ascii="Arial" w:hAnsi="Arial" w:cs="Arial"/>
          <w:b/>
          <w:color w:val="auto"/>
          <w:sz w:val="22"/>
          <w:szCs w:val="22"/>
          <w:highlight w:val="none"/>
        </w:rPr>
        <w:t xml:space="preserve">   </w:t>
      </w:r>
      <w:bookmarkEnd w:id="62"/>
      <w:bookmarkEnd w:id="63"/>
      <w:bookmarkEnd w:id="64"/>
      <w:bookmarkStart w:id="65" w:name="_Toc436330199"/>
      <w:r>
        <w:rPr>
          <w:rFonts w:hint="default" w:ascii="Arial" w:hAnsi="Arial" w:cs="Arial"/>
          <w:b/>
          <w:color w:val="auto"/>
          <w:sz w:val="22"/>
          <w:szCs w:val="22"/>
          <w:highlight w:val="none"/>
        </w:rPr>
        <w:t>（四）投标人代表</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疫情期间，在完成投标文件递交和人员登记后立即离开。同时递交加盖投标人公章参与微信开标的授权人姓名、职务、手机、微信号纸质说明材料</w:t>
      </w:r>
      <w:r>
        <w:rPr>
          <w:rFonts w:hint="eastAsia" w:ascii="Arial" w:hAnsi="Arial" w:cs="Arial"/>
          <w:color w:val="auto"/>
          <w:sz w:val="22"/>
          <w:szCs w:val="22"/>
          <w:highlight w:val="none"/>
          <w:lang w:eastAsia="zh-CN"/>
        </w:rPr>
        <w:t>（本项适用于提交备份文件的投标人）</w:t>
      </w:r>
      <w:r>
        <w:rPr>
          <w:rFonts w:hint="default" w:ascii="Arial" w:hAnsi="Arial" w:cs="Arial"/>
          <w:color w:val="auto"/>
          <w:sz w:val="22"/>
          <w:szCs w:val="22"/>
          <w:highlight w:val="none"/>
        </w:rPr>
        <w:t>。</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bCs/>
          <w:color w:val="auto"/>
          <w:sz w:val="22"/>
          <w:szCs w:val="22"/>
          <w:highlight w:val="none"/>
        </w:rPr>
        <w:t>（五）</w:t>
      </w:r>
      <w:bookmarkEnd w:id="65"/>
      <w:r>
        <w:rPr>
          <w:rFonts w:hint="default" w:ascii="Arial" w:hAnsi="Arial" w:cs="Arial"/>
          <w:b/>
          <w:color w:val="auto"/>
          <w:sz w:val="22"/>
          <w:szCs w:val="22"/>
          <w:highlight w:val="none"/>
        </w:rPr>
        <w:t>投标费用</w:t>
      </w:r>
    </w:p>
    <w:p>
      <w:pPr>
        <w:pStyle w:val="27"/>
        <w:pageBreakBefore w:val="0"/>
        <w:widowControl/>
        <w:kinsoku/>
        <w:wordWrap/>
        <w:overflowPunct/>
        <w:topLinePunct w:val="0"/>
        <w:autoSpaceDE/>
        <w:autoSpaceDN/>
        <w:bidi w:val="0"/>
        <w:spacing w:before="0" w:beforeLines="0" w:after="0" w:afterLines="0" w:line="460" w:lineRule="exact"/>
        <w:ind w:firstLine="440" w:firstLineChars="200"/>
        <w:jc w:val="left"/>
        <w:rPr>
          <w:rFonts w:hint="default" w:ascii="Arial" w:hAnsi="Arial" w:cs="Arial"/>
          <w:color w:val="auto"/>
          <w:sz w:val="22"/>
          <w:szCs w:val="22"/>
          <w:highlight w:val="none"/>
        </w:rPr>
      </w:pPr>
      <w:bookmarkStart w:id="66" w:name="_Toc436330200"/>
      <w:r>
        <w:rPr>
          <w:rFonts w:hint="default" w:ascii="Arial" w:hAnsi="Arial" w:cs="Arial"/>
          <w:color w:val="auto"/>
          <w:sz w:val="22"/>
          <w:szCs w:val="22"/>
          <w:highlight w:val="none"/>
        </w:rPr>
        <w:t>不论投标结果如何，投标人均应自行承担所有与投标有关的全部费用（招标采购文件有相反规定除外）。</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（六）联合体投标</w:t>
      </w:r>
      <w:bookmarkEnd w:id="66"/>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本项目不允许联合体投标。</w:t>
      </w:r>
      <w:bookmarkStart w:id="67" w:name="_Toc317685564"/>
      <w:bookmarkStart w:id="68" w:name="_Toc436330201"/>
    </w:p>
    <w:p>
      <w:pPr>
        <w:pageBreakBefore w:val="0"/>
        <w:widowControl/>
        <w:numPr>
          <w:ilvl w:val="0"/>
          <w:numId w:val="20"/>
        </w:numPr>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转包与分包</w:t>
      </w:r>
      <w:bookmarkEnd w:id="67"/>
      <w:bookmarkEnd w:id="68"/>
    </w:p>
    <w:p>
      <w:pPr>
        <w:pageBreakBefore w:val="0"/>
        <w:widowControl/>
        <w:kinsoku/>
        <w:wordWrap/>
        <w:overflowPunct/>
        <w:topLinePunct w:val="0"/>
        <w:autoSpaceDE/>
        <w:autoSpaceDN/>
        <w:bidi w:val="0"/>
        <w:spacing w:line="460" w:lineRule="exact"/>
        <w:ind w:firstLine="435"/>
        <w:jc w:val="left"/>
        <w:rPr>
          <w:rFonts w:hint="default" w:ascii="Arial" w:hAnsi="Arial" w:cs="Arial"/>
          <w:b/>
          <w:color w:val="auto"/>
          <w:sz w:val="22"/>
          <w:szCs w:val="22"/>
          <w:highlight w:val="none"/>
          <w:u w:val="single"/>
        </w:rPr>
      </w:pPr>
      <w:bookmarkStart w:id="69" w:name="_Toc436330202"/>
      <w:bookmarkStart w:id="70" w:name="_Toc304292182"/>
      <w:bookmarkStart w:id="71" w:name="_Toc317685565"/>
      <w:r>
        <w:rPr>
          <w:rFonts w:hint="default" w:ascii="Arial" w:hAnsi="Arial" w:cs="Arial"/>
          <w:b/>
          <w:color w:val="auto"/>
          <w:sz w:val="22"/>
          <w:szCs w:val="22"/>
          <w:highlight w:val="none"/>
          <w:u w:val="single"/>
        </w:rPr>
        <w:t>★1、本项目不允许转包。</w:t>
      </w:r>
    </w:p>
    <w:p>
      <w:pPr>
        <w:pageBreakBefore w:val="0"/>
        <w:widowControl/>
        <w:kinsoku/>
        <w:wordWrap/>
        <w:overflowPunct/>
        <w:topLinePunct w:val="0"/>
        <w:autoSpaceDE/>
        <w:autoSpaceDN/>
        <w:bidi w:val="0"/>
        <w:spacing w:line="460" w:lineRule="exact"/>
        <w:ind w:firstLine="435"/>
        <w:jc w:val="left"/>
        <w:rPr>
          <w:rFonts w:hint="default" w:ascii="Arial" w:hAnsi="Arial" w:cs="Arial"/>
          <w:b/>
          <w:color w:val="auto"/>
          <w:sz w:val="22"/>
          <w:szCs w:val="22"/>
          <w:highlight w:val="none"/>
        </w:rPr>
      </w:pPr>
      <w:r>
        <w:rPr>
          <w:rFonts w:hint="default" w:ascii="Arial" w:hAnsi="Arial" w:cs="Arial"/>
          <w:b/>
          <w:color w:val="auto"/>
          <w:sz w:val="22"/>
          <w:szCs w:val="22"/>
          <w:highlight w:val="none"/>
        </w:rPr>
        <w:t>（八）特别说明：</w:t>
      </w:r>
      <w:bookmarkEnd w:id="69"/>
      <w:bookmarkEnd w:id="70"/>
      <w:bookmarkEnd w:id="71"/>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bCs/>
          <w:color w:val="auto"/>
          <w:sz w:val="22"/>
          <w:szCs w:val="22"/>
          <w:highlight w:val="none"/>
        </w:rPr>
      </w:pPr>
      <w:bookmarkStart w:id="72" w:name="_Toc317685566"/>
      <w:bookmarkStart w:id="73" w:name="_Toc436330203"/>
      <w:bookmarkStart w:id="74" w:name="_Toc304292183"/>
      <w:r>
        <w:rPr>
          <w:rFonts w:hint="default" w:ascii="Arial" w:hAnsi="Arial" w:cs="Arial"/>
          <w:b/>
          <w:bCs/>
          <w:color w:val="auto"/>
          <w:sz w:val="22"/>
          <w:szCs w:val="22"/>
          <w:highlight w:val="none"/>
        </w:rPr>
        <w:t>1.投标人投标所使用的投标人的资格、信誉、荣誉、业绩与企业认证必须为本法人所拥有。</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u w:val="single"/>
        </w:rPr>
      </w:pPr>
      <w:r>
        <w:rPr>
          <w:rFonts w:hint="default" w:ascii="Arial" w:hAnsi="Arial" w:cs="Arial"/>
          <w:b/>
          <w:color w:val="auto"/>
          <w:sz w:val="22"/>
          <w:szCs w:val="22"/>
          <w:highlight w:val="none"/>
          <w:u w:val="single"/>
        </w:rPr>
        <w:t>★2.投标人应仔细阅读招标采购文件的所有内容，按照招标采购文件的要求提交投标文件，并对所提供的全部资料的真实性承担法律责任。</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u w:val="single"/>
        </w:rPr>
      </w:pPr>
      <w:r>
        <w:rPr>
          <w:rFonts w:hint="default" w:ascii="Arial" w:hAnsi="Arial" w:cs="Arial"/>
          <w:b/>
          <w:color w:val="auto"/>
          <w:sz w:val="22"/>
          <w:szCs w:val="22"/>
          <w:highlight w:val="none"/>
          <w:u w:val="single"/>
        </w:rPr>
        <w:t>★3.投标人在投标活动中提供任何虚假材料，其投标无效，并报监管部门查处；中标后发现的，中标投标人须依照《中华人民共和国消费者权益保护法》第55条之规定双倍赔偿采购人，且民事赔偿并不免除违法投标人的行政与刑事责任。</w:t>
      </w:r>
    </w:p>
    <w:bookmarkEnd w:id="72"/>
    <w:bookmarkEnd w:id="73"/>
    <w:bookmarkEnd w:id="74"/>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Cs/>
          <w:color w:val="auto"/>
          <w:sz w:val="22"/>
          <w:szCs w:val="22"/>
          <w:highlight w:val="none"/>
        </w:rPr>
      </w:pPr>
      <w:r>
        <w:rPr>
          <w:rFonts w:hint="default" w:ascii="Arial" w:hAnsi="Arial" w:cs="Arial"/>
          <w:b/>
          <w:color w:val="auto"/>
          <w:sz w:val="22"/>
          <w:szCs w:val="22"/>
          <w:highlight w:val="none"/>
        </w:rPr>
        <w:t>（九）质疑和投诉</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1.投标人认为采购文件、采购过程和中标、成交结果使自己的权益受到损害的，可以在知道或者应知其权益受到损害之日起七个工作日内，以书面形式向采购人、采购机构提出质疑（注：投标人须在法定质疑期内一次性提出针对同一采购程序环节的质疑）。潜在投标人的书面质疑或澄清要求均应加盖单位公章，署明日期。投标人未按规定要求提出的，则视同认可采购文件，但法律法规及规范性文件有明确规定的除外。供应商对采购机构的质疑答复不满意或者采购机构未在规定时间内作出答复的，可以在答复期满后十五个工作日内向同级政府采购监督管理部门投诉。</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2.对于受理的质疑，采购代理机构将以书面形式或其他适当方式进行答疑，必要时将书面答复发送所有取得本采购文件的投标人。若采购代理机构所作的答疑不引起采购文件相应条款的实质性改变，则不应视作对采购文件的修正或更正。</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3.采购代理机构发送的答疑文件是采购文件的组成部分，对投标人具有约束力。</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4.未尽事宜，见《政府采购质疑和投诉办法》（中华人民共和国财政部令第94号）。</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（十）关于知识产权</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2.投标报价应包含所有应向所有权人支付的专利权、商标权或其它知识产权的一切相关费用。</w:t>
      </w:r>
    </w:p>
    <w:p>
      <w:pPr>
        <w:pStyle w:val="27"/>
        <w:pageBreakBefore w:val="0"/>
        <w:widowControl/>
        <w:kinsoku/>
        <w:wordWrap/>
        <w:overflowPunct/>
        <w:topLinePunct w:val="0"/>
        <w:autoSpaceDE/>
        <w:autoSpaceDN/>
        <w:bidi w:val="0"/>
        <w:spacing w:before="0" w:beforeLines="0" w:after="0" w:afterLines="0"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3.系统软件、通用软件必须是具有在中国境内的合法使用权或版权的正版软件，涉及到第三方提出侵权或知识产权的起诉及支付版税等费用由投标人承担所有责任及费用。</w:t>
      </w:r>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75" w:name="_Toc436330204"/>
      <w:bookmarkStart w:id="76" w:name="_Toc304292184"/>
      <w:bookmarkStart w:id="77" w:name="_Toc317685567"/>
      <w:bookmarkStart w:id="78" w:name="_Toc50910773"/>
      <w:r>
        <w:rPr>
          <w:rFonts w:hint="default" w:ascii="Arial" w:hAnsi="Arial" w:cs="Arial"/>
          <w:b/>
          <w:color w:val="auto"/>
          <w:sz w:val="22"/>
          <w:szCs w:val="22"/>
          <w:highlight w:val="none"/>
        </w:rPr>
        <w:t>二、</w:t>
      </w:r>
      <w:bookmarkEnd w:id="75"/>
      <w:bookmarkEnd w:id="76"/>
      <w:bookmarkEnd w:id="77"/>
      <w:bookmarkStart w:id="79" w:name="_Toc317685568"/>
      <w:bookmarkStart w:id="80" w:name="_Toc436330205"/>
      <w:r>
        <w:rPr>
          <w:rFonts w:hint="default" w:ascii="Arial" w:hAnsi="Arial" w:cs="Arial"/>
          <w:b/>
          <w:color w:val="auto"/>
          <w:sz w:val="22"/>
          <w:szCs w:val="22"/>
          <w:highlight w:val="none"/>
        </w:rPr>
        <w:t>公开招标采购文件</w:t>
      </w:r>
      <w:bookmarkEnd w:id="78"/>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81" w:name="_Toc50910774"/>
      <w:r>
        <w:rPr>
          <w:rFonts w:hint="default" w:ascii="Arial" w:hAnsi="Arial" w:cs="Arial"/>
          <w:b/>
          <w:color w:val="auto"/>
          <w:sz w:val="22"/>
          <w:szCs w:val="22"/>
          <w:highlight w:val="none"/>
        </w:rPr>
        <w:t>（一）招标采购文件的构成。本招标采购文件由以下部分组成：</w:t>
      </w:r>
      <w:bookmarkEnd w:id="79"/>
      <w:bookmarkEnd w:id="80"/>
      <w:bookmarkEnd w:id="81"/>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1.公开招标采购公告</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2.招标需求</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3.投标人须知</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4.评标办法及评分标准</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5.拟签订的采购合同文本</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6.投标文件格式</w:t>
      </w:r>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7.招标采购文件的澄清、答复、修改、补充的内容</w:t>
      </w:r>
      <w:bookmarkStart w:id="82" w:name="_Toc436330206"/>
      <w:bookmarkStart w:id="83" w:name="_Toc317685569"/>
    </w:p>
    <w:p>
      <w:pPr>
        <w:pageBreakBefore w:val="0"/>
        <w:widowControl/>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（二）投标人的风险</w:t>
      </w:r>
      <w:bookmarkEnd w:id="82"/>
      <w:bookmarkEnd w:id="83"/>
    </w:p>
    <w:p>
      <w:pPr>
        <w:pStyle w:val="38"/>
        <w:pageBreakBefore w:val="0"/>
        <w:widowControl/>
        <w:kinsoku/>
        <w:wordWrap/>
        <w:overflowPunct/>
        <w:topLinePunct w:val="0"/>
        <w:autoSpaceDE/>
        <w:autoSpaceDN/>
        <w:bidi w:val="0"/>
        <w:spacing w:line="460" w:lineRule="exact"/>
        <w:ind w:firstLine="440"/>
        <w:rPr>
          <w:rFonts w:hint="default" w:ascii="Arial" w:hAnsi="Arial" w:eastAsia="宋体" w:cs="Arial"/>
          <w:color w:val="auto"/>
          <w:sz w:val="22"/>
          <w:szCs w:val="22"/>
          <w:highlight w:val="none"/>
        </w:rPr>
      </w:pPr>
      <w:bookmarkStart w:id="84" w:name="_Toc317685570"/>
      <w:bookmarkStart w:id="85" w:name="_Toc436330207"/>
      <w:r>
        <w:rPr>
          <w:rFonts w:hint="default" w:ascii="Arial" w:hAnsi="Arial" w:eastAsia="宋体" w:cs="Arial"/>
          <w:color w:val="auto"/>
          <w:sz w:val="22"/>
          <w:szCs w:val="22"/>
          <w:highlight w:val="none"/>
        </w:rPr>
        <w:t>1.投标人应详细阅读招标采购文件中的全部内容和要求，按照招标采购文件的要求提交投标文件，没有按照招标采购文件要求提供投标文件和资料导致的风险由投标人承担，并对所提供的全部资料的真实性承担法律责任。</w:t>
      </w:r>
    </w:p>
    <w:p>
      <w:pPr>
        <w:pStyle w:val="38"/>
        <w:pageBreakBefore w:val="0"/>
        <w:widowControl/>
        <w:kinsoku/>
        <w:wordWrap/>
        <w:overflowPunct/>
        <w:topLinePunct w:val="0"/>
        <w:autoSpaceDE/>
        <w:autoSpaceDN/>
        <w:bidi w:val="0"/>
        <w:spacing w:line="460" w:lineRule="exact"/>
        <w:ind w:firstLine="440"/>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rPr>
        <w:t>2.无论因何种原因导致本次采购活动终止致投标人损失的，相关责任人均不承担任何责任。</w:t>
      </w:r>
    </w:p>
    <w:p>
      <w:pPr>
        <w:pStyle w:val="38"/>
        <w:pageBreakBefore w:val="0"/>
        <w:widowControl/>
        <w:kinsoku/>
        <w:wordWrap/>
        <w:overflowPunct/>
        <w:topLinePunct w:val="0"/>
        <w:autoSpaceDE/>
        <w:autoSpaceDN/>
        <w:bidi w:val="0"/>
        <w:snapToGrid/>
        <w:spacing w:line="460" w:lineRule="exact"/>
        <w:ind w:firstLine="442"/>
        <w:rPr>
          <w:rFonts w:hint="default" w:ascii="Arial" w:hAnsi="Arial" w:eastAsia="宋体" w:cs="Arial"/>
          <w:b/>
          <w:color w:val="auto"/>
          <w:sz w:val="22"/>
          <w:szCs w:val="22"/>
          <w:highlight w:val="none"/>
        </w:rPr>
      </w:pPr>
      <w:r>
        <w:rPr>
          <w:rFonts w:hint="default" w:ascii="Arial" w:hAnsi="Arial" w:eastAsia="宋体" w:cs="Arial"/>
          <w:b/>
          <w:color w:val="auto"/>
          <w:sz w:val="22"/>
          <w:szCs w:val="22"/>
          <w:highlight w:val="none"/>
        </w:rPr>
        <w:t>（三）招标采购文件的澄清与修改</w:t>
      </w:r>
      <w:bookmarkEnd w:id="84"/>
      <w:bookmarkEnd w:id="85"/>
      <w:r>
        <w:rPr>
          <w:rFonts w:hint="default" w:ascii="Arial" w:hAnsi="Arial" w:eastAsia="宋体" w:cs="Arial"/>
          <w:b/>
          <w:color w:val="auto"/>
          <w:sz w:val="22"/>
          <w:szCs w:val="22"/>
          <w:highlight w:val="none"/>
        </w:rPr>
        <w:t xml:space="preserve"> </w:t>
      </w:r>
    </w:p>
    <w:p>
      <w:pPr>
        <w:pageBreakBefore w:val="0"/>
        <w:widowControl/>
        <w:kinsoku/>
        <w:wordWrap/>
        <w:overflowPunct/>
        <w:topLinePunct w:val="0"/>
        <w:autoSpaceDE/>
        <w:autoSpaceDN/>
        <w:bidi w:val="0"/>
        <w:snapToGrid w:val="0"/>
        <w:spacing w:line="460" w:lineRule="exact"/>
        <w:ind w:firstLine="440" w:firstLineChars="200"/>
        <w:jc w:val="left"/>
        <w:rPr>
          <w:rFonts w:hint="default" w:ascii="Arial" w:hAnsi="Arial" w:cs="Arial"/>
          <w:color w:val="auto"/>
          <w:sz w:val="22"/>
          <w:szCs w:val="22"/>
          <w:highlight w:val="none"/>
        </w:rPr>
      </w:pPr>
      <w:bookmarkStart w:id="86" w:name="_Toc304292185"/>
      <w:bookmarkStart w:id="87" w:name="_Toc436330209"/>
      <w:bookmarkStart w:id="88" w:name="_Toc317685571"/>
      <w:r>
        <w:rPr>
          <w:rFonts w:hint="default" w:ascii="Arial" w:hAnsi="Arial" w:cs="Arial"/>
          <w:color w:val="auto"/>
          <w:sz w:val="22"/>
          <w:szCs w:val="22"/>
          <w:highlight w:val="none"/>
        </w:rPr>
        <w:t>1.采购人或者采购代理机构可以对已发出的招标采购文件进行必要的澄清或者修改，但不得改变采购标的和资格条件。澄清或者修改应在“浙江政府采购网（www.zjzfcg.gov.cn）”上发布澄清公告，由投标人自行下载，投标人未下载的应自行承担后果，与采购人及代理机构无涉。澄清或者修改的内容为招标采购文件的组成部分。</w:t>
      </w:r>
    </w:p>
    <w:p>
      <w:pPr>
        <w:pageBreakBefore w:val="0"/>
        <w:widowControl/>
        <w:kinsoku/>
        <w:wordWrap/>
        <w:overflowPunct/>
        <w:topLinePunct w:val="0"/>
        <w:autoSpaceDE/>
        <w:autoSpaceDN/>
        <w:bidi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澄清或者修改的内容可能影响投标文件编制的，采购人或者采购代理机构应当在投标截止时间至少15日前，以书面形式通知所有获取招标采购文件的潜在投标人；不足15日的，采购人或者采购代理机构应当顺延提交投标文件的截止时间。</w:t>
      </w:r>
    </w:p>
    <w:p>
      <w:pPr>
        <w:pageBreakBefore w:val="0"/>
        <w:widowControl/>
        <w:kinsoku/>
        <w:wordWrap/>
        <w:overflowPunct/>
        <w:topLinePunct w:val="0"/>
        <w:autoSpaceDE/>
        <w:autoSpaceDN/>
        <w:bidi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采购文件澄清、答复、修改、补充的内容为采购文件的组成部分。当招标采购文件与招标采购文件的答复、澄清、修改、补充通知就同一内容的表述不一致时，以最后在“浙江政府采购网（www.zjzfcg.gov.cn）”上发布的为准。</w:t>
      </w:r>
    </w:p>
    <w:p>
      <w:pPr>
        <w:pageBreakBefore w:val="0"/>
        <w:widowControl/>
        <w:kinsoku/>
        <w:wordWrap/>
        <w:overflowPunct/>
        <w:topLinePunct w:val="0"/>
        <w:autoSpaceDE/>
        <w:autoSpaceDN/>
        <w:bidi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3.招标采购文件的澄清、答复、修改或补充都应该通过本采购代理机构以法定形式发布，采购人非通过本招标采购机构，不得擅自澄清、答复、修改或补充招标采购文件。</w:t>
      </w:r>
    </w:p>
    <w:p>
      <w:pPr>
        <w:pageBreakBefore w:val="0"/>
        <w:widowControl/>
        <w:kinsoku/>
        <w:wordWrap/>
        <w:overflowPunct/>
        <w:topLinePunct w:val="0"/>
        <w:autoSpaceDE/>
        <w:autoSpaceDN/>
        <w:bidi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4.如更正公告有重新发布电子招标采购文件的，投标人应下载最新发布的电子招标采购文件制作投标文件。</w:t>
      </w:r>
    </w:p>
    <w:p>
      <w:pPr>
        <w:pageBreakBefore w:val="0"/>
        <w:widowControl/>
        <w:kinsoku/>
        <w:wordWrap/>
        <w:overflowPunct/>
        <w:topLinePunct w:val="0"/>
        <w:autoSpaceDE/>
        <w:autoSpaceDN/>
        <w:bidi w:val="0"/>
        <w:adjustRightIn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5.投标人在规定的时间内未对招标采购文件提出疑问、质疑或要求澄清的，将视其为无异议。对招标采购文件中描述有歧义或前后不一致的地方，评标委员会有权进行评判，但对同一条款的评判应适用于每个投标人。</w:t>
      </w:r>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89" w:name="_Toc50910775"/>
      <w:r>
        <w:rPr>
          <w:rFonts w:hint="default" w:ascii="Arial" w:hAnsi="Arial" w:cs="Arial"/>
          <w:b/>
          <w:color w:val="auto"/>
          <w:sz w:val="22"/>
          <w:szCs w:val="22"/>
          <w:highlight w:val="none"/>
        </w:rPr>
        <w:t>三、投标文件的编制</w:t>
      </w:r>
      <w:bookmarkEnd w:id="86"/>
      <w:bookmarkEnd w:id="87"/>
      <w:bookmarkEnd w:id="88"/>
      <w:bookmarkEnd w:id="89"/>
    </w:p>
    <w:p>
      <w:pPr>
        <w:pageBreakBefore w:val="0"/>
        <w:kinsoku/>
        <w:wordWrap/>
        <w:overflowPunct/>
        <w:topLinePunct w:val="0"/>
        <w:autoSpaceDE/>
        <w:autoSpaceDN/>
        <w:bidi w:val="0"/>
        <w:snapToGrid w:val="0"/>
        <w:spacing w:line="460" w:lineRule="exact"/>
        <w:outlineLvl w:val="2"/>
        <w:rPr>
          <w:rFonts w:hint="default" w:ascii="Arial" w:hAnsi="Arial" w:cs="Arial"/>
          <w:b/>
          <w:color w:val="auto"/>
          <w:sz w:val="22"/>
          <w:szCs w:val="22"/>
          <w:highlight w:val="none"/>
        </w:rPr>
      </w:pPr>
      <w:bookmarkStart w:id="90" w:name="_Toc50910776"/>
      <w:bookmarkStart w:id="91" w:name="_Toc304292186"/>
      <w:bookmarkStart w:id="92" w:name="_Toc317685572"/>
      <w:bookmarkStart w:id="93" w:name="_Toc436330210"/>
      <w:r>
        <w:rPr>
          <w:rFonts w:hint="default" w:ascii="Arial" w:hAnsi="Arial" w:cs="Arial"/>
          <w:b/>
          <w:color w:val="auto"/>
          <w:sz w:val="22"/>
          <w:szCs w:val="22"/>
          <w:highlight w:val="none"/>
        </w:rPr>
        <w:t>（一）投标文件的形式和效力</w:t>
      </w:r>
      <w:bookmarkEnd w:id="90"/>
    </w:p>
    <w:p>
      <w:pPr>
        <w:pStyle w:val="27"/>
        <w:pageBreakBefore w:val="0"/>
        <w:kinsoku/>
        <w:wordWrap/>
        <w:overflowPunct/>
        <w:topLinePunct w:val="0"/>
        <w:autoSpaceDE/>
        <w:autoSpaceDN/>
        <w:bidi w:val="0"/>
        <w:adjustRightInd w:val="0"/>
        <w:snapToGrid w:val="0"/>
        <w:spacing w:before="0" w:beforeLines="0" w:after="0" w:afterLines="0" w:line="460" w:lineRule="exact"/>
        <w:ind w:left="3" w:firstLine="435" w:firstLineChars="198"/>
        <w:rPr>
          <w:rFonts w:hint="default" w:ascii="Arial" w:hAnsi="Arial" w:cs="Arial"/>
          <w:color w:val="auto"/>
          <w:sz w:val="22"/>
          <w:szCs w:val="22"/>
          <w:highlight w:val="none"/>
        </w:rPr>
      </w:pPr>
      <w:r>
        <w:rPr>
          <w:rFonts w:hint="default" w:ascii="Arial" w:hAnsi="Arial" w:cs="Arial"/>
          <w:color w:val="auto"/>
          <w:sz w:val="22"/>
          <w:szCs w:val="22"/>
          <w:highlight w:val="none"/>
        </w:rPr>
        <w:t>1．投标文件分为电子投标文件以及备份投标文件，备份投标文件分为以U盘存储的电子备份投标文件。</w:t>
      </w:r>
    </w:p>
    <w:p>
      <w:pPr>
        <w:pStyle w:val="27"/>
        <w:pageBreakBefore w:val="0"/>
        <w:kinsoku/>
        <w:wordWrap/>
        <w:overflowPunct/>
        <w:topLinePunct w:val="0"/>
        <w:autoSpaceDE/>
        <w:autoSpaceDN/>
        <w:bidi w:val="0"/>
        <w:adjustRightInd w:val="0"/>
        <w:snapToGrid w:val="0"/>
        <w:spacing w:before="0" w:beforeLines="0" w:after="0" w:afterLines="0" w:line="460" w:lineRule="exact"/>
        <w:ind w:left="3" w:firstLine="435" w:firstLineChars="198"/>
        <w:rPr>
          <w:rFonts w:hint="default" w:ascii="Arial" w:hAnsi="Arial" w:cs="Arial"/>
          <w:color w:val="auto"/>
          <w:sz w:val="22"/>
          <w:szCs w:val="22"/>
          <w:highlight w:val="none"/>
        </w:rPr>
      </w:pPr>
      <w:r>
        <w:rPr>
          <w:rFonts w:hint="default" w:ascii="Arial" w:hAnsi="Arial" w:cs="Arial"/>
          <w:color w:val="auto"/>
          <w:sz w:val="22"/>
          <w:szCs w:val="22"/>
          <w:highlight w:val="none"/>
        </w:rPr>
        <w:t>2．电子投标文件，按“政采云投标人项目采购-电子招投标操作指南”及本招标文件要求制作、加密并递交。</w:t>
      </w:r>
    </w:p>
    <w:p>
      <w:pPr>
        <w:pStyle w:val="27"/>
        <w:pageBreakBefore w:val="0"/>
        <w:kinsoku/>
        <w:wordWrap/>
        <w:overflowPunct/>
        <w:topLinePunct w:val="0"/>
        <w:autoSpaceDE/>
        <w:autoSpaceDN/>
        <w:bidi w:val="0"/>
        <w:adjustRightInd w:val="0"/>
        <w:snapToGrid w:val="0"/>
        <w:spacing w:before="0" w:beforeLines="0" w:after="0" w:afterLines="0" w:line="460" w:lineRule="exact"/>
        <w:ind w:left="3" w:firstLine="437" w:firstLineChars="198"/>
        <w:rPr>
          <w:rFonts w:hint="default" w:ascii="Arial" w:hAnsi="Arial" w:cs="Arial"/>
          <w:b/>
          <w:bCs/>
          <w:color w:val="auto"/>
          <w:sz w:val="22"/>
          <w:szCs w:val="22"/>
          <w:highlight w:val="none"/>
        </w:rPr>
      </w:pPr>
      <w:r>
        <w:rPr>
          <w:rFonts w:hint="default" w:ascii="Arial" w:hAnsi="Arial" w:cs="Arial"/>
          <w:b/>
          <w:bCs/>
          <w:color w:val="auto"/>
          <w:sz w:val="22"/>
          <w:szCs w:val="22"/>
          <w:highlight w:val="none"/>
        </w:rPr>
        <w:t>3．以U盘存储的电子备份投标文件，须按“政采云投标人项目采购-电子招投标操作指南”制作的备份文件（电子备份投标文件后缀格式为“.bfbs”）。</w:t>
      </w:r>
    </w:p>
    <w:p>
      <w:pPr>
        <w:pStyle w:val="27"/>
        <w:pageBreakBefore w:val="0"/>
        <w:kinsoku/>
        <w:wordWrap/>
        <w:overflowPunct/>
        <w:topLinePunct w:val="0"/>
        <w:autoSpaceDE/>
        <w:autoSpaceDN/>
        <w:bidi w:val="0"/>
        <w:adjustRightInd w:val="0"/>
        <w:snapToGrid w:val="0"/>
        <w:spacing w:before="0" w:beforeLines="0" w:after="0" w:afterLines="0" w:line="460" w:lineRule="exact"/>
        <w:ind w:left="3" w:firstLine="435" w:firstLineChars="198"/>
        <w:rPr>
          <w:rFonts w:hint="default" w:ascii="Arial" w:hAnsi="Arial" w:cs="Arial"/>
          <w:color w:val="auto"/>
          <w:sz w:val="22"/>
          <w:szCs w:val="22"/>
          <w:highlight w:val="none"/>
        </w:rPr>
      </w:pPr>
      <w:r>
        <w:rPr>
          <w:rFonts w:hint="default" w:ascii="Arial" w:hAnsi="Arial" w:cs="Arial"/>
          <w:color w:val="auto"/>
          <w:sz w:val="22"/>
          <w:szCs w:val="22"/>
          <w:highlight w:val="none"/>
        </w:rPr>
        <w:t>4．投标文件的效力：</w:t>
      </w:r>
    </w:p>
    <w:p>
      <w:pPr>
        <w:pStyle w:val="27"/>
        <w:pageBreakBefore w:val="0"/>
        <w:kinsoku/>
        <w:wordWrap/>
        <w:overflowPunct/>
        <w:topLinePunct w:val="0"/>
        <w:autoSpaceDE/>
        <w:autoSpaceDN/>
        <w:bidi w:val="0"/>
        <w:adjustRightInd w:val="0"/>
        <w:snapToGrid w:val="0"/>
        <w:spacing w:before="0" w:beforeLines="0" w:after="0" w:afterLines="0" w:line="460" w:lineRule="exact"/>
        <w:ind w:left="3" w:firstLine="437" w:firstLineChars="198"/>
        <w:rPr>
          <w:rFonts w:hint="default" w:ascii="Arial" w:hAnsi="Arial" w:cs="Arial"/>
          <w:color w:val="auto"/>
          <w:sz w:val="22"/>
          <w:szCs w:val="22"/>
          <w:highlight w:val="none"/>
        </w:rPr>
      </w:pPr>
      <w:r>
        <w:rPr>
          <w:rFonts w:hint="default" w:ascii="Arial" w:hAnsi="Arial" w:cs="Arial"/>
          <w:b/>
          <w:bCs/>
          <w:color w:val="auto"/>
          <w:sz w:val="22"/>
          <w:szCs w:val="22"/>
          <w:highlight w:val="none"/>
        </w:rPr>
        <w:t>投标文件的启用，按先后顺位分别为电子投标文件、以U盘存储的电子备份投标文件。在下一顺位的投标文件启用时，前一顺位的投标文件自动失效。</w:t>
      </w:r>
    </w:p>
    <w:p>
      <w:pPr>
        <w:pageBreakBefore w:val="0"/>
        <w:kinsoku/>
        <w:wordWrap/>
        <w:overflowPunct/>
        <w:topLinePunct w:val="0"/>
        <w:autoSpaceDE/>
        <w:autoSpaceDN/>
        <w:bidi w:val="0"/>
        <w:adjustRightInd w:val="0"/>
        <w:snapToGrid w:val="0"/>
        <w:spacing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电子投标文件未能按时解密，投标人提供了电子备份投标文件以电子备份投标文件作为评标依据。电子投标文件已按时解密的，电子备份投标文件自动失效。</w:t>
      </w:r>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u w:val="single"/>
        </w:rPr>
      </w:pPr>
      <w:bookmarkStart w:id="94" w:name="_Toc50910777"/>
      <w:r>
        <w:rPr>
          <w:rFonts w:hint="default" w:ascii="Arial" w:hAnsi="Arial" w:cs="Arial"/>
          <w:b/>
          <w:color w:val="auto"/>
          <w:sz w:val="22"/>
          <w:szCs w:val="22"/>
          <w:highlight w:val="none"/>
          <w:u w:val="single"/>
        </w:rPr>
        <w:t>（二）投标文件的组成</w:t>
      </w:r>
      <w:bookmarkEnd w:id="91"/>
      <w:bookmarkEnd w:id="92"/>
      <w:bookmarkEnd w:id="93"/>
      <w:r>
        <w:rPr>
          <w:rFonts w:hint="default" w:ascii="Arial" w:hAnsi="Arial" w:cs="Arial"/>
          <w:b/>
          <w:color w:val="auto"/>
          <w:sz w:val="22"/>
          <w:szCs w:val="22"/>
          <w:highlight w:val="none"/>
          <w:u w:val="single"/>
        </w:rPr>
        <w:t>（资格证明文件、报价文件、技术商务文件组成）</w:t>
      </w:r>
      <w:bookmarkEnd w:id="94"/>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95" w:name="_Toc50910778"/>
      <w:r>
        <w:rPr>
          <w:rFonts w:hint="default" w:ascii="Arial" w:hAnsi="Arial" w:cs="Arial"/>
          <w:b/>
          <w:color w:val="auto"/>
          <w:sz w:val="22"/>
          <w:szCs w:val="22"/>
          <w:highlight w:val="none"/>
          <w:lang w:bidi="ar"/>
        </w:rPr>
        <w:t>1.资格证明文件：</w:t>
      </w:r>
      <w:bookmarkEnd w:id="95"/>
    </w:p>
    <w:p>
      <w:pPr>
        <w:pageBreakBefore w:val="0"/>
        <w:tabs>
          <w:tab w:val="left" w:pos="1418"/>
        </w:tabs>
        <w:kinsoku/>
        <w:wordWrap/>
        <w:overflowPunct/>
        <w:topLinePunct w:val="0"/>
        <w:autoSpaceDE/>
        <w:autoSpaceDN/>
        <w:bidi w:val="0"/>
        <w:spacing w:line="460" w:lineRule="exact"/>
        <w:ind w:left="420"/>
        <w:contextualSpacing/>
        <w:rPr>
          <w:rFonts w:hint="default" w:ascii="Arial" w:hAnsi="Arial" w:cs="Arial"/>
          <w:color w:val="auto"/>
          <w:sz w:val="22"/>
          <w:szCs w:val="22"/>
          <w:highlight w:val="none"/>
          <w:u w:val="single"/>
          <w:lang w:bidi="ar"/>
        </w:rPr>
      </w:pPr>
      <w:r>
        <w:rPr>
          <w:rFonts w:hint="default" w:ascii="Arial" w:hAnsi="Arial" w:cs="Arial"/>
          <w:color w:val="auto"/>
          <w:sz w:val="22"/>
          <w:szCs w:val="22"/>
          <w:highlight w:val="none"/>
          <w:u w:val="single"/>
          <w:lang w:bidi="ar"/>
        </w:rPr>
        <w:t>（1）法定代表人授权书及被授权人身份证复印件（若投标人代表系法定代表人，</w:t>
      </w:r>
    </w:p>
    <w:p>
      <w:pPr>
        <w:pageBreakBefore w:val="0"/>
        <w:tabs>
          <w:tab w:val="left" w:pos="1418"/>
        </w:tabs>
        <w:kinsoku/>
        <w:wordWrap/>
        <w:overflowPunct/>
        <w:topLinePunct w:val="0"/>
        <w:autoSpaceDE/>
        <w:autoSpaceDN/>
        <w:bidi w:val="0"/>
        <w:spacing w:line="460" w:lineRule="exact"/>
        <w:contextualSpacing/>
        <w:rPr>
          <w:rFonts w:hint="default" w:ascii="Arial" w:hAnsi="Arial" w:cs="Arial"/>
          <w:b/>
          <w:color w:val="auto"/>
          <w:sz w:val="22"/>
          <w:szCs w:val="22"/>
          <w:highlight w:val="none"/>
          <w:u w:val="single"/>
          <w:lang w:bidi="ar"/>
        </w:rPr>
      </w:pPr>
      <w:r>
        <w:rPr>
          <w:rFonts w:hint="default" w:ascii="Arial" w:hAnsi="Arial" w:cs="Arial"/>
          <w:color w:val="auto"/>
          <w:sz w:val="22"/>
          <w:szCs w:val="22"/>
          <w:highlight w:val="none"/>
          <w:u w:val="single"/>
          <w:lang w:bidi="ar"/>
        </w:rPr>
        <w:t>无需提供授权书，必须提供法定代表人身份证复印件及法定代表人身份证明书（格式详见招标采购文件）；</w:t>
      </w:r>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96" w:name="_Toc50910779"/>
      <w:r>
        <w:rPr>
          <w:rFonts w:hint="default" w:ascii="Arial" w:hAnsi="Arial" w:cs="Arial"/>
          <w:color w:val="auto"/>
          <w:sz w:val="22"/>
          <w:szCs w:val="22"/>
          <w:highlight w:val="none"/>
          <w:u w:val="single"/>
          <w:lang w:bidi="ar"/>
        </w:rPr>
        <w:t>（2）投标人的营业执照</w:t>
      </w:r>
      <w:r>
        <w:rPr>
          <w:rFonts w:hint="eastAsia" w:ascii="Arial" w:hAnsi="Arial" w:cs="Arial"/>
          <w:color w:val="auto"/>
          <w:sz w:val="22"/>
          <w:szCs w:val="22"/>
          <w:highlight w:val="none"/>
          <w:u w:val="single"/>
          <w:lang w:eastAsia="zh-CN" w:bidi="ar"/>
        </w:rPr>
        <w:t>或组织机构证明等</w:t>
      </w:r>
      <w:r>
        <w:rPr>
          <w:rFonts w:hint="default" w:ascii="Arial" w:hAnsi="Arial" w:cs="Arial"/>
          <w:color w:val="auto"/>
          <w:sz w:val="22"/>
          <w:szCs w:val="22"/>
          <w:highlight w:val="none"/>
          <w:u w:val="single"/>
          <w:lang w:bidi="ar"/>
        </w:rPr>
        <w:t>复印件；</w:t>
      </w:r>
      <w:bookmarkEnd w:id="96"/>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97" w:name="_Toc50910780"/>
      <w:r>
        <w:rPr>
          <w:rFonts w:hint="default" w:ascii="Arial" w:hAnsi="Arial" w:cs="Arial"/>
          <w:color w:val="auto"/>
          <w:sz w:val="22"/>
          <w:szCs w:val="22"/>
          <w:highlight w:val="none"/>
          <w:u w:val="single"/>
          <w:lang w:bidi="ar"/>
        </w:rPr>
        <w:t>（3）投标人的20</w:t>
      </w:r>
      <w:r>
        <w:rPr>
          <w:rFonts w:hint="eastAsia" w:ascii="Arial" w:hAnsi="Arial" w:cs="Arial"/>
          <w:color w:val="auto"/>
          <w:sz w:val="22"/>
          <w:szCs w:val="22"/>
          <w:highlight w:val="none"/>
          <w:u w:val="single"/>
          <w:lang w:val="en-US" w:eastAsia="zh-CN" w:bidi="ar"/>
        </w:rPr>
        <w:t>21</w:t>
      </w:r>
      <w:r>
        <w:rPr>
          <w:rFonts w:hint="default" w:ascii="Arial" w:hAnsi="Arial" w:cs="Arial"/>
          <w:color w:val="auto"/>
          <w:sz w:val="22"/>
          <w:szCs w:val="22"/>
          <w:highlight w:val="none"/>
          <w:u w:val="single"/>
          <w:lang w:bidi="ar"/>
        </w:rPr>
        <w:t>年度的财务报表复印件或其基本开户银行出具的资信证明材料复印件；</w:t>
      </w:r>
      <w:bookmarkEnd w:id="97"/>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98" w:name="_Toc50910781"/>
      <w:r>
        <w:rPr>
          <w:rFonts w:hint="default" w:ascii="Arial" w:hAnsi="Arial" w:cs="Arial"/>
          <w:color w:val="auto"/>
          <w:sz w:val="22"/>
          <w:szCs w:val="22"/>
          <w:highlight w:val="none"/>
          <w:u w:val="single"/>
          <w:lang w:bidi="ar"/>
        </w:rPr>
        <w:t>（4）投标人的202</w:t>
      </w:r>
      <w:r>
        <w:rPr>
          <w:rFonts w:hint="eastAsia" w:ascii="Arial" w:hAnsi="Arial" w:cs="Arial"/>
          <w:color w:val="auto"/>
          <w:sz w:val="22"/>
          <w:szCs w:val="22"/>
          <w:highlight w:val="none"/>
          <w:u w:val="single"/>
          <w:lang w:val="en-US" w:eastAsia="zh-CN" w:bidi="ar"/>
        </w:rPr>
        <w:t>2</w:t>
      </w:r>
      <w:r>
        <w:rPr>
          <w:rFonts w:hint="default" w:ascii="Arial" w:hAnsi="Arial" w:cs="Arial"/>
          <w:color w:val="auto"/>
          <w:sz w:val="22"/>
          <w:szCs w:val="22"/>
          <w:highlight w:val="none"/>
          <w:u w:val="single"/>
          <w:lang w:bidi="ar"/>
        </w:rPr>
        <w:t>年1月以来任意月份缴纳税收的凭据证明材料复印件，如依法免税的，应提供相应文件证明其依法免税；</w:t>
      </w:r>
      <w:bookmarkEnd w:id="98"/>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99" w:name="_Toc50910782"/>
      <w:r>
        <w:rPr>
          <w:rFonts w:hint="default" w:ascii="Arial" w:hAnsi="Arial" w:cs="Arial"/>
          <w:color w:val="auto"/>
          <w:sz w:val="22"/>
          <w:szCs w:val="22"/>
          <w:highlight w:val="none"/>
          <w:u w:val="single"/>
          <w:lang w:bidi="ar"/>
        </w:rPr>
        <w:t>（5）投标人的202</w:t>
      </w:r>
      <w:r>
        <w:rPr>
          <w:rFonts w:hint="eastAsia" w:ascii="Arial" w:hAnsi="Arial" w:cs="Arial"/>
          <w:color w:val="auto"/>
          <w:sz w:val="22"/>
          <w:szCs w:val="22"/>
          <w:highlight w:val="none"/>
          <w:u w:val="single"/>
          <w:lang w:val="en-US" w:eastAsia="zh-CN" w:bidi="ar"/>
        </w:rPr>
        <w:t>2</w:t>
      </w:r>
      <w:r>
        <w:rPr>
          <w:rFonts w:hint="default" w:ascii="Arial" w:hAnsi="Arial" w:cs="Arial"/>
          <w:color w:val="auto"/>
          <w:sz w:val="22"/>
          <w:szCs w:val="22"/>
          <w:highlight w:val="none"/>
          <w:u w:val="single"/>
          <w:lang w:bidi="ar"/>
        </w:rPr>
        <w:t>年1月以来任意月份缴纳社会保险的凭据证明材料复印件，如依法不需要缴纳社会保障资金的，应提供相应文件证明其依法不需要缴纳社会保障资金；</w:t>
      </w:r>
      <w:bookmarkEnd w:id="99"/>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100" w:name="_Toc50910783"/>
      <w:r>
        <w:rPr>
          <w:rFonts w:hint="default" w:ascii="Arial" w:hAnsi="Arial" w:cs="Arial"/>
          <w:color w:val="auto"/>
          <w:sz w:val="22"/>
          <w:szCs w:val="22"/>
          <w:highlight w:val="none"/>
          <w:u w:val="single"/>
          <w:lang w:bidi="ar"/>
        </w:rPr>
        <w:t>（6）</w:t>
      </w:r>
      <w:r>
        <w:rPr>
          <w:rFonts w:hint="eastAsia" w:ascii="Arial" w:hAnsi="Arial" w:cs="Arial"/>
          <w:color w:val="auto"/>
          <w:sz w:val="22"/>
          <w:szCs w:val="22"/>
          <w:highlight w:val="none"/>
          <w:u w:val="single"/>
          <w:lang w:eastAsia="zh-CN" w:bidi="ar"/>
        </w:rPr>
        <w:t>投标人声明</w:t>
      </w:r>
      <w:r>
        <w:rPr>
          <w:rFonts w:hint="default" w:ascii="Arial" w:hAnsi="Arial" w:cs="Arial"/>
          <w:color w:val="auto"/>
          <w:sz w:val="22"/>
          <w:szCs w:val="22"/>
          <w:highlight w:val="none"/>
          <w:u w:val="single"/>
          <w:lang w:bidi="ar"/>
        </w:rPr>
        <w:t>（格式详见招标采购文件）；</w:t>
      </w:r>
      <w:bookmarkEnd w:id="100"/>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u w:val="single"/>
          <w:lang w:bidi="ar"/>
        </w:rPr>
      </w:pPr>
      <w:bookmarkStart w:id="101" w:name="_Toc50910784"/>
      <w:r>
        <w:rPr>
          <w:rFonts w:hint="default" w:ascii="Arial" w:hAnsi="Arial" w:cs="Arial"/>
          <w:color w:val="auto"/>
          <w:sz w:val="22"/>
          <w:szCs w:val="22"/>
          <w:highlight w:val="none"/>
          <w:u w:val="single"/>
          <w:lang w:bidi="ar"/>
        </w:rPr>
        <w:t>（</w:t>
      </w:r>
      <w:r>
        <w:rPr>
          <w:rFonts w:hint="eastAsia" w:ascii="Arial" w:hAnsi="Arial" w:cs="Arial"/>
          <w:color w:val="auto"/>
          <w:sz w:val="22"/>
          <w:szCs w:val="22"/>
          <w:highlight w:val="none"/>
          <w:u w:val="single"/>
          <w:lang w:val="en-US" w:eastAsia="zh-CN" w:bidi="ar"/>
        </w:rPr>
        <w:t>7</w:t>
      </w:r>
      <w:r>
        <w:rPr>
          <w:rFonts w:hint="default" w:ascii="Arial" w:hAnsi="Arial" w:cs="Arial"/>
          <w:color w:val="auto"/>
          <w:sz w:val="22"/>
          <w:szCs w:val="22"/>
          <w:highlight w:val="none"/>
          <w:u w:val="single"/>
          <w:lang w:bidi="ar"/>
        </w:rPr>
        <w:t>）投标人认为需要提交的其他文件资料。</w:t>
      </w:r>
      <w:bookmarkEnd w:id="101"/>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102" w:name="_Toc50910785"/>
      <w:r>
        <w:rPr>
          <w:rFonts w:hint="default" w:ascii="Arial" w:hAnsi="Arial" w:cs="Arial"/>
          <w:b/>
          <w:color w:val="auto"/>
          <w:sz w:val="22"/>
          <w:szCs w:val="22"/>
          <w:highlight w:val="none"/>
          <w:lang w:bidi="ar"/>
        </w:rPr>
        <w:t>2.报价文件：</w:t>
      </w:r>
      <w:bookmarkEnd w:id="102"/>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cs="Arial"/>
          <w:color w:val="auto"/>
          <w:sz w:val="22"/>
          <w:szCs w:val="22"/>
          <w:highlight w:val="none"/>
          <w:u w:val="single"/>
        </w:rPr>
      </w:pPr>
      <w:bookmarkStart w:id="103" w:name="_Toc50910786"/>
      <w:r>
        <w:rPr>
          <w:rFonts w:hint="default" w:ascii="Arial" w:hAnsi="Arial" w:cs="Arial"/>
          <w:color w:val="auto"/>
          <w:sz w:val="22"/>
          <w:szCs w:val="22"/>
          <w:highlight w:val="none"/>
          <w:u w:val="single"/>
          <w:lang w:bidi="ar"/>
        </w:rPr>
        <w:t>投标函（格式详见招标采购文件）；</w:t>
      </w:r>
      <w:bookmarkEnd w:id="103"/>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eastAsia="宋体" w:cs="Arial"/>
          <w:color w:val="auto"/>
          <w:sz w:val="22"/>
          <w:szCs w:val="22"/>
          <w:highlight w:val="none"/>
          <w:u w:val="single"/>
          <w:lang w:bidi="ar"/>
        </w:rPr>
      </w:pPr>
      <w:bookmarkStart w:id="104" w:name="_Toc50910787"/>
      <w:r>
        <w:rPr>
          <w:rFonts w:hint="default" w:ascii="Arial" w:hAnsi="Arial" w:cs="Arial"/>
          <w:color w:val="auto"/>
          <w:sz w:val="22"/>
          <w:szCs w:val="22"/>
          <w:highlight w:val="none"/>
          <w:u w:val="single"/>
          <w:lang w:bidi="ar"/>
        </w:rPr>
        <w:t>开标一览表（</w:t>
      </w:r>
      <w:r>
        <w:rPr>
          <w:rFonts w:hint="default" w:ascii="Arial" w:hAnsi="Arial" w:eastAsia="宋体" w:cs="Arial"/>
          <w:color w:val="auto"/>
          <w:sz w:val="22"/>
          <w:szCs w:val="22"/>
          <w:highlight w:val="none"/>
          <w:u w:val="single"/>
          <w:lang w:bidi="ar"/>
        </w:rPr>
        <w:t>格式详见招标采购文件）；</w:t>
      </w:r>
      <w:bookmarkEnd w:id="104"/>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eastAsia="宋体" w:cs="Arial"/>
          <w:color w:val="auto"/>
          <w:sz w:val="22"/>
          <w:szCs w:val="22"/>
          <w:highlight w:val="none"/>
          <w:u w:val="single"/>
          <w:lang w:bidi="ar"/>
        </w:rPr>
      </w:pPr>
      <w:bookmarkStart w:id="105" w:name="_Toc50910788"/>
      <w:r>
        <w:rPr>
          <w:rFonts w:hint="eastAsia" w:ascii="Arial" w:hAnsi="Arial" w:eastAsia="宋体" w:cs="Arial"/>
          <w:color w:val="auto"/>
          <w:sz w:val="22"/>
          <w:szCs w:val="22"/>
          <w:highlight w:val="none"/>
          <w:u w:val="single"/>
          <w:lang w:eastAsia="zh-CN" w:bidi="ar"/>
        </w:rPr>
        <w:t>分项报价</w:t>
      </w:r>
      <w:r>
        <w:rPr>
          <w:rFonts w:hint="default" w:ascii="Arial" w:hAnsi="Arial" w:eastAsia="宋体" w:cs="Arial"/>
          <w:color w:val="auto"/>
          <w:sz w:val="22"/>
          <w:szCs w:val="22"/>
          <w:highlight w:val="none"/>
          <w:u w:val="single"/>
          <w:lang w:bidi="ar"/>
        </w:rPr>
        <w:t>表（格式详见招标采购文件）；</w:t>
      </w:r>
      <w:bookmarkEnd w:id="105"/>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eastAsia="宋体" w:cs="Arial"/>
          <w:color w:val="auto"/>
          <w:sz w:val="22"/>
          <w:szCs w:val="22"/>
          <w:highlight w:val="none"/>
          <w:u w:val="single"/>
          <w:lang w:val="en-US" w:eastAsia="zh-CN" w:bidi="ar"/>
        </w:rPr>
      </w:pPr>
      <w:r>
        <w:rPr>
          <w:rFonts w:hint="eastAsia" w:ascii="Arial" w:hAnsi="Arial" w:eastAsia="宋体" w:cs="Arial"/>
          <w:color w:val="auto"/>
          <w:sz w:val="22"/>
          <w:szCs w:val="22"/>
          <w:highlight w:val="none"/>
          <w:u w:val="single"/>
          <w:lang w:val="en-US" w:eastAsia="zh-CN" w:bidi="ar"/>
        </w:rPr>
        <w:t>质保期后备品备件清单及价格（格式自拟）；</w:t>
      </w:r>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eastAsia="宋体" w:cs="Arial"/>
          <w:color w:val="auto"/>
          <w:sz w:val="22"/>
          <w:szCs w:val="22"/>
          <w:highlight w:val="none"/>
          <w:u w:val="single"/>
          <w:lang w:bidi="ar"/>
        </w:rPr>
      </w:pPr>
      <w:bookmarkStart w:id="106" w:name="_Toc50910789"/>
      <w:r>
        <w:rPr>
          <w:rFonts w:hint="default" w:ascii="Arial" w:hAnsi="Arial" w:eastAsia="宋体" w:cs="Arial"/>
          <w:color w:val="auto"/>
          <w:sz w:val="22"/>
          <w:szCs w:val="22"/>
          <w:highlight w:val="none"/>
          <w:u w:val="single"/>
          <w:lang w:bidi="ar"/>
        </w:rPr>
        <w:t>中小企业声明函（格式详见招标采购文件，如符合要求可提供）</w:t>
      </w:r>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eastAsia="宋体" w:cs="Arial"/>
          <w:color w:val="auto"/>
          <w:sz w:val="22"/>
          <w:szCs w:val="22"/>
          <w:highlight w:val="none"/>
          <w:u w:val="single"/>
          <w:lang w:bidi="ar"/>
        </w:rPr>
      </w:pPr>
      <w:r>
        <w:rPr>
          <w:rFonts w:hint="default" w:ascii="Arial" w:hAnsi="Arial" w:eastAsia="宋体" w:cs="Arial"/>
          <w:color w:val="auto"/>
          <w:sz w:val="22"/>
          <w:szCs w:val="22"/>
          <w:highlight w:val="none"/>
          <w:u w:val="single"/>
          <w:lang w:bidi="ar"/>
        </w:rPr>
        <w:t>残疾人福利性单位声明函（格式详见招标采购文件，如符合要求可提供）；</w:t>
      </w:r>
      <w:bookmarkEnd w:id="106"/>
    </w:p>
    <w:p>
      <w:pPr>
        <w:pageBreakBefore w:val="0"/>
        <w:widowControl/>
        <w:numPr>
          <w:ilvl w:val="0"/>
          <w:numId w:val="21"/>
        </w:numPr>
        <w:kinsoku/>
        <w:wordWrap/>
        <w:overflowPunct/>
        <w:topLinePunct w:val="0"/>
        <w:autoSpaceDE/>
        <w:autoSpaceDN/>
        <w:bidi w:val="0"/>
        <w:spacing w:line="460" w:lineRule="exact"/>
        <w:jc w:val="left"/>
        <w:outlineLvl w:val="1"/>
        <w:rPr>
          <w:rFonts w:hint="default" w:ascii="Arial" w:hAnsi="Arial" w:cs="Arial"/>
          <w:color w:val="auto"/>
          <w:sz w:val="22"/>
          <w:szCs w:val="22"/>
          <w:highlight w:val="none"/>
          <w:u w:val="single"/>
        </w:rPr>
      </w:pPr>
      <w:bookmarkStart w:id="107" w:name="_Toc50910790"/>
      <w:r>
        <w:rPr>
          <w:rFonts w:hint="default" w:ascii="Arial" w:hAnsi="Arial" w:eastAsia="宋体" w:cs="Arial"/>
          <w:color w:val="auto"/>
          <w:sz w:val="22"/>
          <w:szCs w:val="22"/>
          <w:highlight w:val="none"/>
          <w:u w:val="single"/>
          <w:lang w:bidi="ar"/>
        </w:rPr>
        <w:t>投标人针对报价需要</w:t>
      </w:r>
      <w:r>
        <w:rPr>
          <w:rFonts w:hint="default" w:ascii="Arial" w:hAnsi="Arial" w:cs="Arial"/>
          <w:color w:val="auto"/>
          <w:sz w:val="22"/>
          <w:szCs w:val="22"/>
          <w:highlight w:val="none"/>
          <w:u w:val="single"/>
          <w:lang w:bidi="ar"/>
        </w:rPr>
        <w:t>说明的其他文件和说明。</w:t>
      </w:r>
      <w:bookmarkEnd w:id="107"/>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108" w:name="_Toc50910791"/>
      <w:r>
        <w:rPr>
          <w:rFonts w:hint="default" w:ascii="Arial" w:hAnsi="Arial" w:cs="Arial"/>
          <w:b/>
          <w:color w:val="auto"/>
          <w:sz w:val="22"/>
          <w:szCs w:val="22"/>
          <w:highlight w:val="none"/>
          <w:lang w:bidi="ar"/>
        </w:rPr>
        <w:t>3.技术商务文件：</w:t>
      </w:r>
      <w:bookmarkEnd w:id="108"/>
    </w:p>
    <w:p>
      <w:pPr>
        <w:pageBreakBefore w:val="0"/>
        <w:widowControl/>
        <w:kinsoku/>
        <w:wordWrap/>
        <w:overflowPunct/>
        <w:topLinePunct w:val="0"/>
        <w:autoSpaceDE/>
        <w:autoSpaceDN/>
        <w:bidi w:val="0"/>
        <w:spacing w:line="460" w:lineRule="exact"/>
        <w:ind w:firstLine="440" w:firstLineChars="200"/>
        <w:jc w:val="left"/>
        <w:rPr>
          <w:rFonts w:hint="default" w:ascii="Arial" w:hAnsi="Arial" w:cs="Arial"/>
          <w:color w:val="auto"/>
          <w:sz w:val="22"/>
          <w:szCs w:val="22"/>
          <w:highlight w:val="none"/>
          <w:u w:val="single"/>
        </w:rPr>
      </w:pPr>
      <w:r>
        <w:rPr>
          <w:rFonts w:hint="default" w:ascii="Arial" w:hAnsi="Arial" w:cs="Arial"/>
          <w:color w:val="auto"/>
          <w:sz w:val="22"/>
          <w:szCs w:val="22"/>
          <w:highlight w:val="none"/>
          <w:lang w:bidi="ar"/>
        </w:rPr>
        <w:t>（1）</w:t>
      </w:r>
      <w:r>
        <w:rPr>
          <w:rFonts w:hint="default" w:ascii="Arial" w:hAnsi="Arial" w:cs="Arial"/>
          <w:color w:val="auto"/>
          <w:sz w:val="22"/>
          <w:szCs w:val="22"/>
          <w:highlight w:val="none"/>
          <w:u w:val="single"/>
          <w:lang w:bidi="ar"/>
        </w:rPr>
        <w:t>投标人技术商务分自评表（格式详见招标采购文件）；</w:t>
      </w:r>
    </w:p>
    <w:p>
      <w:pPr>
        <w:pageBreakBefore w:val="0"/>
        <w:widowControl/>
        <w:kinsoku/>
        <w:wordWrap/>
        <w:overflowPunct/>
        <w:topLinePunct w:val="0"/>
        <w:autoSpaceDE/>
        <w:autoSpaceDN/>
        <w:bidi w:val="0"/>
        <w:spacing w:line="460" w:lineRule="exact"/>
        <w:ind w:left="400"/>
        <w:jc w:val="left"/>
        <w:rPr>
          <w:rFonts w:hint="default" w:ascii="Arial" w:hAnsi="Arial" w:cs="Arial"/>
          <w:color w:val="auto"/>
          <w:sz w:val="22"/>
          <w:szCs w:val="22"/>
          <w:highlight w:val="none"/>
          <w:u w:val="single"/>
          <w:lang w:bidi="ar"/>
        </w:rPr>
      </w:pPr>
      <w:r>
        <w:rPr>
          <w:rFonts w:hint="default" w:ascii="Arial" w:hAnsi="Arial" w:cs="Arial"/>
          <w:color w:val="auto"/>
          <w:sz w:val="22"/>
          <w:szCs w:val="22"/>
          <w:highlight w:val="none"/>
          <w:lang w:bidi="ar"/>
        </w:rPr>
        <w:t>（</w:t>
      </w:r>
      <w:r>
        <w:rPr>
          <w:rFonts w:hint="eastAsia" w:ascii="Arial" w:hAnsi="Arial" w:cs="Arial"/>
          <w:color w:val="auto"/>
          <w:sz w:val="22"/>
          <w:szCs w:val="22"/>
          <w:highlight w:val="none"/>
          <w:lang w:val="en-US" w:eastAsia="zh-CN" w:bidi="ar"/>
        </w:rPr>
        <w:t>2</w:t>
      </w:r>
      <w:r>
        <w:rPr>
          <w:rFonts w:hint="default" w:ascii="Arial" w:hAnsi="Arial" w:cs="Arial"/>
          <w:color w:val="auto"/>
          <w:sz w:val="22"/>
          <w:szCs w:val="22"/>
          <w:highlight w:val="none"/>
          <w:lang w:bidi="ar"/>
        </w:rPr>
        <w:t>）</w:t>
      </w:r>
      <w:r>
        <w:rPr>
          <w:rFonts w:hint="default" w:ascii="Arial" w:hAnsi="Arial" w:cs="Arial"/>
          <w:color w:val="auto"/>
          <w:sz w:val="22"/>
          <w:szCs w:val="22"/>
          <w:highlight w:val="none"/>
          <w:u w:val="single"/>
          <w:lang w:bidi="ar"/>
        </w:rPr>
        <w:t>商务条款响应（偏离）表（格式详见招标采购文件）；</w:t>
      </w:r>
    </w:p>
    <w:p>
      <w:pPr>
        <w:pageBreakBefore w:val="0"/>
        <w:widowControl/>
        <w:kinsoku/>
        <w:wordWrap/>
        <w:overflowPunct/>
        <w:topLinePunct w:val="0"/>
        <w:autoSpaceDE/>
        <w:autoSpaceDN/>
        <w:bidi w:val="0"/>
        <w:spacing w:line="460" w:lineRule="exact"/>
        <w:ind w:left="400"/>
        <w:jc w:val="left"/>
        <w:rPr>
          <w:rFonts w:hint="default" w:ascii="Arial" w:hAnsi="Arial" w:cs="Arial"/>
          <w:color w:val="auto"/>
          <w:sz w:val="22"/>
          <w:szCs w:val="22"/>
          <w:highlight w:val="none"/>
          <w:u w:val="single"/>
        </w:rPr>
      </w:pPr>
      <w:r>
        <w:rPr>
          <w:rFonts w:hint="default" w:ascii="Arial" w:hAnsi="Arial" w:cs="Arial"/>
          <w:color w:val="auto"/>
          <w:sz w:val="22"/>
          <w:szCs w:val="22"/>
          <w:highlight w:val="none"/>
          <w:lang w:bidi="ar"/>
        </w:rPr>
        <w:t>（</w:t>
      </w:r>
      <w:r>
        <w:rPr>
          <w:rFonts w:hint="eastAsia" w:ascii="Arial" w:hAnsi="Arial" w:cs="Arial"/>
          <w:color w:val="auto"/>
          <w:sz w:val="22"/>
          <w:szCs w:val="22"/>
          <w:highlight w:val="none"/>
          <w:lang w:val="en-US" w:eastAsia="zh-CN" w:bidi="ar"/>
        </w:rPr>
        <w:t>3</w:t>
      </w:r>
      <w:r>
        <w:rPr>
          <w:rFonts w:hint="default" w:ascii="Arial" w:hAnsi="Arial" w:cs="Arial"/>
          <w:color w:val="auto"/>
          <w:sz w:val="22"/>
          <w:szCs w:val="22"/>
          <w:highlight w:val="none"/>
          <w:lang w:bidi="ar"/>
        </w:rPr>
        <w:t>）</w:t>
      </w:r>
      <w:r>
        <w:rPr>
          <w:rFonts w:hint="default" w:ascii="Arial" w:hAnsi="Arial" w:cs="Arial"/>
          <w:color w:val="auto"/>
          <w:sz w:val="22"/>
          <w:szCs w:val="22"/>
          <w:highlight w:val="none"/>
          <w:u w:val="single"/>
          <w:lang w:bidi="ar"/>
        </w:rPr>
        <w:t>技术条款响应（偏离）表（格式详见招标采购文件，针</w:t>
      </w:r>
      <w:r>
        <w:rPr>
          <w:rFonts w:hint="default" w:ascii="Arial" w:hAnsi="Arial" w:cs="Arial"/>
          <w:color w:val="auto"/>
          <w:sz w:val="22"/>
          <w:szCs w:val="22"/>
          <w:highlight w:val="none"/>
          <w:u w:val="single"/>
        </w:rPr>
        <w:t>对采购文件第二章招</w:t>
      </w:r>
    </w:p>
    <w:p>
      <w:pPr>
        <w:pageBreakBefore w:val="0"/>
        <w:widowControl/>
        <w:kinsoku/>
        <w:wordWrap/>
        <w:overflowPunct/>
        <w:topLinePunct w:val="0"/>
        <w:autoSpaceDE/>
        <w:autoSpaceDN/>
        <w:bidi w:val="0"/>
        <w:spacing w:line="460" w:lineRule="exact"/>
        <w:jc w:val="left"/>
        <w:rPr>
          <w:rFonts w:hint="default" w:ascii="Arial" w:hAnsi="Arial" w:cs="Arial"/>
          <w:color w:val="auto"/>
          <w:sz w:val="22"/>
          <w:szCs w:val="22"/>
          <w:highlight w:val="none"/>
          <w:u w:val="single"/>
          <w:lang w:bidi="ar"/>
        </w:rPr>
      </w:pPr>
      <w:r>
        <w:rPr>
          <w:rFonts w:hint="default" w:ascii="Arial" w:hAnsi="Arial" w:cs="Arial"/>
          <w:color w:val="auto"/>
          <w:sz w:val="22"/>
          <w:szCs w:val="22"/>
          <w:highlight w:val="none"/>
          <w:u w:val="single"/>
        </w:rPr>
        <w:t>标需求中的“采购清单”内容中的技术要求的响应</w:t>
      </w:r>
      <w:r>
        <w:rPr>
          <w:rFonts w:hint="default" w:ascii="Arial" w:hAnsi="Arial" w:cs="Arial"/>
          <w:color w:val="auto"/>
          <w:sz w:val="22"/>
          <w:szCs w:val="22"/>
          <w:highlight w:val="none"/>
          <w:u w:val="single"/>
          <w:lang w:bidi="ar"/>
        </w:rPr>
        <w:t>）；</w:t>
      </w:r>
    </w:p>
    <w:p>
      <w:pPr>
        <w:pageBreakBefore w:val="0"/>
        <w:widowControl/>
        <w:numPr>
          <w:ilvl w:val="0"/>
          <w:numId w:val="0"/>
        </w:numPr>
        <w:kinsoku/>
        <w:wordWrap/>
        <w:overflowPunct/>
        <w:topLinePunct w:val="0"/>
        <w:autoSpaceDE/>
        <w:autoSpaceDN/>
        <w:bidi w:val="0"/>
        <w:adjustRightInd w:val="0"/>
        <w:spacing w:line="460" w:lineRule="exact"/>
        <w:ind w:firstLine="440" w:firstLineChars="200"/>
        <w:jc w:val="left"/>
        <w:rPr>
          <w:rFonts w:hint="default" w:ascii="Arial" w:hAnsi="Arial" w:cs="Arial"/>
          <w:color w:val="auto"/>
          <w:sz w:val="22"/>
          <w:szCs w:val="22"/>
          <w:highlight w:val="none"/>
          <w:u w:val="single"/>
          <w:lang w:bidi="ar"/>
        </w:rPr>
      </w:pPr>
      <w:r>
        <w:rPr>
          <w:rFonts w:hint="eastAsia" w:ascii="Arial" w:hAnsi="Arial" w:cs="Arial"/>
          <w:color w:val="auto"/>
          <w:sz w:val="22"/>
          <w:szCs w:val="22"/>
          <w:highlight w:val="none"/>
          <w:u w:val="single"/>
          <w:lang w:eastAsia="zh-CN" w:bidi="ar"/>
        </w:rPr>
        <w:t>（</w:t>
      </w:r>
      <w:r>
        <w:rPr>
          <w:rFonts w:hint="eastAsia" w:ascii="Arial" w:hAnsi="Arial" w:cs="Arial"/>
          <w:color w:val="auto"/>
          <w:sz w:val="22"/>
          <w:szCs w:val="22"/>
          <w:highlight w:val="none"/>
          <w:u w:val="single"/>
          <w:lang w:val="en-US" w:eastAsia="zh-CN" w:bidi="ar"/>
        </w:rPr>
        <w:t>4</w:t>
      </w:r>
      <w:r>
        <w:rPr>
          <w:rFonts w:hint="eastAsia" w:ascii="Arial" w:hAnsi="Arial" w:cs="Arial"/>
          <w:color w:val="auto"/>
          <w:sz w:val="22"/>
          <w:szCs w:val="22"/>
          <w:highlight w:val="none"/>
          <w:u w:val="single"/>
          <w:lang w:eastAsia="zh-CN" w:bidi="ar"/>
        </w:rPr>
        <w:t>）</w:t>
      </w:r>
      <w:r>
        <w:rPr>
          <w:rFonts w:hint="default" w:ascii="Arial" w:hAnsi="Arial" w:cs="Arial"/>
          <w:color w:val="auto"/>
          <w:sz w:val="22"/>
          <w:szCs w:val="22"/>
          <w:highlight w:val="none"/>
          <w:u w:val="single"/>
          <w:lang w:bidi="ar"/>
        </w:rPr>
        <w:t>评标办法及评分标准所需资料（或投标人认为需提供的其它资料）。</w:t>
      </w:r>
    </w:p>
    <w:p>
      <w:pPr>
        <w:pageBreakBefore w:val="0"/>
        <w:widowControl/>
        <w:kinsoku/>
        <w:wordWrap/>
        <w:overflowPunct/>
        <w:topLinePunct w:val="0"/>
        <w:autoSpaceDE/>
        <w:autoSpaceDN/>
        <w:bidi w:val="0"/>
        <w:adjustRightIn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注：1.上述组成投标文件的各项资料中本招标采购文件的有规定格式的，应统一按本招标采购文件的规定格式填写。未有规定格式的资料，投标人应自行编制，但至少要包含以上要求的内容。</w:t>
      </w:r>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rPr>
      </w:pPr>
      <w:bookmarkStart w:id="109" w:name="_Toc50910792"/>
      <w:bookmarkStart w:id="110" w:name="_Toc304292187"/>
      <w:bookmarkStart w:id="111" w:name="_Toc317685573"/>
      <w:bookmarkStart w:id="112" w:name="_Toc436330211"/>
      <w:r>
        <w:rPr>
          <w:rFonts w:hint="default" w:ascii="Arial" w:hAnsi="Arial" w:cs="Arial"/>
          <w:color w:val="auto"/>
          <w:sz w:val="22"/>
          <w:szCs w:val="22"/>
          <w:highlight w:val="none"/>
        </w:rPr>
        <w:t>★注2、电子投标文件中所须加盖公章部分均采用CA签章。</w:t>
      </w:r>
      <w:bookmarkEnd w:id="109"/>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color w:val="auto"/>
          <w:sz w:val="22"/>
          <w:szCs w:val="22"/>
          <w:highlight w:val="none"/>
        </w:rPr>
      </w:pPr>
      <w:bookmarkStart w:id="113" w:name="_Toc50910793"/>
      <w:r>
        <w:rPr>
          <w:rFonts w:hint="default" w:ascii="Arial" w:hAnsi="Arial" w:cs="Arial"/>
          <w:color w:val="auto"/>
          <w:sz w:val="22"/>
          <w:szCs w:val="22"/>
          <w:highlight w:val="none"/>
        </w:rPr>
        <w:t>注3、上述组成投标文件的各项资料中本招标文件的有规定格式的，应统一按本招标文件的规定格式填写。未有规定格式的资料，投标人应自行编制，但至少要包含以上要求的内容。</w:t>
      </w:r>
      <w:bookmarkEnd w:id="113"/>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b/>
          <w:color w:val="auto"/>
          <w:sz w:val="22"/>
          <w:szCs w:val="22"/>
          <w:highlight w:val="none"/>
        </w:rPr>
      </w:pPr>
      <w:bookmarkStart w:id="114" w:name="_Toc50910794"/>
      <w:r>
        <w:rPr>
          <w:rFonts w:hint="default" w:ascii="Arial" w:hAnsi="Arial" w:cs="Arial"/>
          <w:color w:val="auto"/>
          <w:sz w:val="22"/>
          <w:szCs w:val="22"/>
          <w:highlight w:val="none"/>
        </w:rPr>
        <w:t>注4、投标文件在提供对投标货物/产品技术条款响应表的应答时，对招标文件有技术数值要求的参数，必须以投标货物/产品的具体技术数值据实应答；对于招标文件无数值要求的参数的应答，必须作出明确、直接、无导致两种理解可能的应答。</w:t>
      </w:r>
      <w:bookmarkEnd w:id="114"/>
      <w:r>
        <w:rPr>
          <w:rFonts w:hint="default" w:ascii="Arial" w:hAnsi="Arial" w:cs="Arial"/>
          <w:b/>
          <w:color w:val="auto"/>
          <w:sz w:val="22"/>
          <w:szCs w:val="22"/>
          <w:highlight w:val="none"/>
        </w:rPr>
        <w:t xml:space="preserve">  </w:t>
      </w:r>
    </w:p>
    <w:p>
      <w:pPr>
        <w:pageBreakBefore w:val="0"/>
        <w:widowControl/>
        <w:kinsoku/>
        <w:wordWrap/>
        <w:overflowPunct/>
        <w:topLinePunct w:val="0"/>
        <w:autoSpaceDE/>
        <w:autoSpaceDN/>
        <w:bidi w:val="0"/>
        <w:spacing w:line="460" w:lineRule="exact"/>
        <w:ind w:firstLine="440" w:firstLineChars="200"/>
        <w:jc w:val="left"/>
        <w:outlineLvl w:val="1"/>
        <w:rPr>
          <w:rFonts w:hint="default" w:ascii="Arial" w:hAnsi="Arial" w:cs="Arial"/>
          <w:b w:val="0"/>
          <w:bCs/>
          <w:color w:val="auto"/>
          <w:sz w:val="22"/>
          <w:szCs w:val="22"/>
          <w:highlight w:val="none"/>
        </w:rPr>
      </w:pPr>
      <w:r>
        <w:rPr>
          <w:rFonts w:hint="eastAsia" w:ascii="Arial" w:hAnsi="Arial" w:cs="Arial"/>
          <w:b w:val="0"/>
          <w:bCs/>
          <w:color w:val="auto"/>
          <w:sz w:val="22"/>
          <w:szCs w:val="22"/>
          <w:highlight w:val="none"/>
          <w:lang w:val="en-US" w:eastAsia="zh-CN"/>
        </w:rPr>
        <w:t>注5、</w:t>
      </w:r>
      <w:r>
        <w:rPr>
          <w:rFonts w:hint="default" w:ascii="Arial" w:hAnsi="Arial" w:cs="Arial"/>
          <w:b w:val="0"/>
          <w:bCs/>
          <w:color w:val="auto"/>
          <w:sz w:val="22"/>
          <w:szCs w:val="22"/>
          <w:highlight w:val="none"/>
        </w:rPr>
        <w:t>银行、保险、石油石化、电力、电信、移动、联通等行业，以分公司名义参加投标的，则法定代表人可为分公司负责人</w:t>
      </w:r>
      <w:r>
        <w:rPr>
          <w:rFonts w:hint="eastAsia" w:ascii="Arial" w:hAnsi="Arial" w:cs="Arial"/>
          <w:b w:val="0"/>
          <w:bCs/>
          <w:color w:val="auto"/>
          <w:sz w:val="22"/>
          <w:szCs w:val="22"/>
          <w:highlight w:val="none"/>
          <w:lang w:eastAsia="zh-CN"/>
        </w:rPr>
        <w:t>（</w:t>
      </w:r>
      <w:r>
        <w:rPr>
          <w:rFonts w:hint="eastAsia" w:ascii="Arial" w:hAnsi="Arial" w:cs="Arial"/>
          <w:b w:val="0"/>
          <w:bCs/>
          <w:color w:val="auto"/>
          <w:sz w:val="22"/>
          <w:szCs w:val="22"/>
          <w:highlight w:val="none"/>
          <w:lang w:val="en-US" w:eastAsia="zh-CN"/>
        </w:rPr>
        <w:t>余同）</w:t>
      </w:r>
      <w:r>
        <w:rPr>
          <w:rFonts w:hint="default" w:ascii="Arial" w:hAnsi="Arial" w:cs="Arial"/>
          <w:b w:val="0"/>
          <w:bCs/>
          <w:color w:val="auto"/>
          <w:sz w:val="22"/>
          <w:szCs w:val="22"/>
          <w:highlight w:val="none"/>
        </w:rPr>
        <w:t xml:space="preserve">。  </w:t>
      </w:r>
      <w:bookmarkEnd w:id="110"/>
      <w:bookmarkEnd w:id="111"/>
      <w:bookmarkEnd w:id="112"/>
      <w:bookmarkStart w:id="115" w:name="_Toc317685574"/>
      <w:bookmarkStart w:id="116" w:name="_Toc436330212"/>
      <w:bookmarkStart w:id="117" w:name="_Toc304292188"/>
      <w:bookmarkStart w:id="118" w:name="_Toc304292192"/>
      <w:bookmarkStart w:id="119" w:name="_Toc436330215"/>
      <w:bookmarkStart w:id="120" w:name="_Toc317685577"/>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121" w:name="_Toc50910795"/>
      <w:r>
        <w:rPr>
          <w:rFonts w:hint="default" w:ascii="Arial" w:hAnsi="Arial" w:cs="Arial"/>
          <w:b/>
          <w:color w:val="auto"/>
          <w:sz w:val="22"/>
          <w:szCs w:val="22"/>
          <w:highlight w:val="none"/>
        </w:rPr>
        <w:t>★（三）投标文件的语言及计量</w:t>
      </w:r>
      <w:bookmarkEnd w:id="121"/>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122" w:name="_Toc50910796"/>
      <w:r>
        <w:rPr>
          <w:rFonts w:hint="default" w:ascii="Arial" w:hAnsi="Arial" w:cs="Arial"/>
          <w:b/>
          <w:color w:val="auto"/>
          <w:sz w:val="22"/>
          <w:szCs w:val="22"/>
          <w:highlight w:val="none"/>
        </w:rPr>
        <w:t>1、投标文件以及投标人与采购人就有关投标事宜的所有来往函电，均应以中文汉语书写。除签名、盖章、专用名称等特殊情形外，以中文汉语以外的文字表述的投标文件视同未提供。</w:t>
      </w:r>
      <w:bookmarkEnd w:id="122"/>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rPr>
      </w:pPr>
      <w:bookmarkStart w:id="123" w:name="_Toc50910797"/>
      <w:r>
        <w:rPr>
          <w:rFonts w:hint="default" w:ascii="Arial" w:hAnsi="Arial" w:cs="Arial"/>
          <w:b/>
          <w:color w:val="auto"/>
          <w:sz w:val="22"/>
          <w:szCs w:val="22"/>
          <w:highlight w:val="none"/>
        </w:rPr>
        <w:t>2、投标计量单位，招标文件已有明确规定的，使用招标文件规定的计量单位；招标文件没有规定的，应采用中华人民共和国法定计量单位（货币单位：人民币元），否则视同未响应。</w:t>
      </w:r>
      <w:bookmarkEnd w:id="123"/>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r>
        <w:rPr>
          <w:rFonts w:hint="default" w:ascii="Arial" w:hAnsi="Arial" w:cs="Arial"/>
          <w:b/>
          <w:color w:val="auto"/>
          <w:sz w:val="22"/>
          <w:szCs w:val="22"/>
          <w:highlight w:val="none"/>
        </w:rPr>
        <w:t xml:space="preserve">    </w:t>
      </w:r>
      <w:bookmarkStart w:id="124" w:name="_Toc1710"/>
      <w:bookmarkStart w:id="125" w:name="_Toc50910798"/>
      <w:r>
        <w:rPr>
          <w:rFonts w:hint="default" w:ascii="Arial" w:hAnsi="Arial" w:cs="Arial"/>
          <w:b/>
          <w:color w:val="auto"/>
          <w:sz w:val="22"/>
          <w:szCs w:val="22"/>
          <w:highlight w:val="none"/>
        </w:rPr>
        <w:t>（四）投标报价</w:t>
      </w:r>
      <w:bookmarkEnd w:id="115"/>
      <w:bookmarkEnd w:id="116"/>
      <w:bookmarkEnd w:id="117"/>
      <w:bookmarkEnd w:id="124"/>
      <w:bookmarkEnd w:id="125"/>
    </w:p>
    <w:p>
      <w:pPr>
        <w:pStyle w:val="27"/>
        <w:pageBreakBefore w:val="0"/>
        <w:widowControl/>
        <w:kinsoku/>
        <w:wordWrap/>
        <w:overflowPunct/>
        <w:topLinePunct w:val="0"/>
        <w:autoSpaceDE/>
        <w:autoSpaceDN/>
        <w:bidi w:val="0"/>
        <w:spacing w:before="0" w:beforeLines="0" w:after="0" w:afterLines="0" w:line="460" w:lineRule="exact"/>
        <w:ind w:left="440"/>
        <w:jc w:val="left"/>
        <w:rPr>
          <w:rFonts w:hint="default" w:ascii="Arial" w:hAnsi="Arial" w:cs="Arial"/>
          <w:color w:val="auto"/>
          <w:sz w:val="22"/>
          <w:szCs w:val="22"/>
          <w:highlight w:val="none"/>
        </w:rPr>
      </w:pPr>
      <w:r>
        <w:rPr>
          <w:rFonts w:hint="default" w:ascii="Arial" w:hAnsi="Arial" w:cs="Arial"/>
          <w:color w:val="auto"/>
          <w:sz w:val="22"/>
          <w:szCs w:val="22"/>
          <w:highlight w:val="none"/>
        </w:rPr>
        <w:t>1、投标报价应按招标采购文件中相关附表格式填写。</w:t>
      </w:r>
    </w:p>
    <w:p>
      <w:pPr>
        <w:pStyle w:val="27"/>
        <w:pageBreakBefore w:val="0"/>
        <w:widowControl/>
        <w:kinsoku/>
        <w:wordWrap/>
        <w:overflowPunct/>
        <w:topLinePunct w:val="0"/>
        <w:autoSpaceDE/>
        <w:autoSpaceDN/>
        <w:bidi w:val="0"/>
        <w:spacing w:before="0" w:beforeLines="0" w:after="0" w:afterLines="0" w:line="460" w:lineRule="exact"/>
        <w:ind w:left="440"/>
        <w:jc w:val="left"/>
        <w:rPr>
          <w:rFonts w:hint="default" w:ascii="Arial" w:hAnsi="Arial" w:cs="Arial"/>
          <w:color w:val="auto"/>
          <w:sz w:val="22"/>
          <w:szCs w:val="22"/>
          <w:highlight w:val="none"/>
        </w:rPr>
      </w:pPr>
      <w:r>
        <w:rPr>
          <w:rFonts w:hint="default" w:ascii="Arial" w:hAnsi="Arial" w:cs="Arial"/>
          <w:color w:val="auto"/>
          <w:sz w:val="22"/>
          <w:szCs w:val="22"/>
          <w:highlight w:val="none"/>
        </w:rPr>
        <w:t>2、报价要求：详见招标文第三章《投标人须知》前附表。</w:t>
      </w:r>
    </w:p>
    <w:p>
      <w:pPr>
        <w:pageBreakBefore w:val="0"/>
        <w:widowControl/>
        <w:kinsoku/>
        <w:wordWrap/>
        <w:overflowPunct/>
        <w:topLinePunct w:val="0"/>
        <w:autoSpaceDE/>
        <w:autoSpaceDN/>
        <w:bidi w:val="0"/>
        <w:spacing w:line="460" w:lineRule="exact"/>
        <w:ind w:firstLine="442" w:firstLineChars="200"/>
        <w:jc w:val="left"/>
        <w:rPr>
          <w:rFonts w:hint="default" w:ascii="Arial" w:hAnsi="Arial" w:eastAsia="黑体" w:cs="Arial"/>
          <w:b/>
          <w:color w:val="auto"/>
          <w:sz w:val="22"/>
          <w:szCs w:val="22"/>
          <w:highlight w:val="none"/>
          <w:u w:val="single"/>
        </w:rPr>
      </w:pPr>
      <w:r>
        <w:rPr>
          <w:rFonts w:hint="default" w:ascii="Arial" w:hAnsi="Arial" w:cs="Arial"/>
          <w:b/>
          <w:color w:val="auto"/>
          <w:sz w:val="22"/>
          <w:szCs w:val="22"/>
          <w:highlight w:val="none"/>
        </w:rPr>
        <w:t>★</w:t>
      </w:r>
      <w:r>
        <w:rPr>
          <w:rFonts w:hint="default" w:ascii="Arial" w:hAnsi="Arial" w:eastAsia="黑体" w:cs="Arial"/>
          <w:b/>
          <w:color w:val="auto"/>
          <w:sz w:val="22"/>
          <w:szCs w:val="22"/>
          <w:highlight w:val="none"/>
          <w:u w:val="single"/>
        </w:rPr>
        <w:t>3、投标文件只允许有一个报价，有选择的或有条件的报价将不予接受。</w:t>
      </w:r>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126" w:name="_Toc436330213"/>
      <w:bookmarkStart w:id="127" w:name="_Toc317685575"/>
      <w:r>
        <w:rPr>
          <w:rFonts w:hint="default" w:ascii="Arial" w:hAnsi="Arial" w:cs="Arial"/>
          <w:b/>
          <w:color w:val="auto"/>
          <w:sz w:val="22"/>
          <w:szCs w:val="22"/>
          <w:highlight w:val="none"/>
        </w:rPr>
        <w:t xml:space="preserve">    </w:t>
      </w:r>
      <w:bookmarkStart w:id="128" w:name="_Toc12604"/>
      <w:bookmarkStart w:id="129" w:name="_Toc50910799"/>
      <w:r>
        <w:rPr>
          <w:rFonts w:hint="default" w:ascii="Arial" w:hAnsi="Arial" w:cs="Arial"/>
          <w:b/>
          <w:color w:val="auto"/>
          <w:sz w:val="22"/>
          <w:szCs w:val="22"/>
          <w:highlight w:val="none"/>
        </w:rPr>
        <w:t>（五）投标文件的有效期</w:t>
      </w:r>
      <w:bookmarkEnd w:id="126"/>
      <w:bookmarkEnd w:id="127"/>
      <w:bookmarkEnd w:id="128"/>
      <w:bookmarkEnd w:id="129"/>
    </w:p>
    <w:p>
      <w:pPr>
        <w:pageBreakBefore w:val="0"/>
        <w:widowControl/>
        <w:kinsoku/>
        <w:wordWrap/>
        <w:overflowPunct/>
        <w:topLinePunct w:val="0"/>
        <w:autoSpaceDE/>
        <w:autoSpaceDN/>
        <w:bidi w:val="0"/>
        <w:spacing w:line="460" w:lineRule="exact"/>
        <w:ind w:firstLine="442" w:firstLineChars="200"/>
        <w:jc w:val="left"/>
        <w:rPr>
          <w:rFonts w:hint="default" w:ascii="Arial" w:hAnsi="Arial" w:eastAsia="黑体" w:cs="Arial"/>
          <w:b/>
          <w:color w:val="auto"/>
          <w:sz w:val="22"/>
          <w:szCs w:val="22"/>
          <w:highlight w:val="none"/>
          <w:u w:val="single"/>
        </w:rPr>
      </w:pPr>
      <w:r>
        <w:rPr>
          <w:rFonts w:hint="default" w:ascii="Arial" w:hAnsi="Arial" w:cs="Arial"/>
          <w:b/>
          <w:color w:val="auto"/>
          <w:sz w:val="22"/>
          <w:szCs w:val="22"/>
          <w:highlight w:val="none"/>
        </w:rPr>
        <w:t>★</w:t>
      </w:r>
      <w:r>
        <w:rPr>
          <w:rFonts w:hint="default" w:ascii="Arial" w:hAnsi="Arial" w:eastAsia="黑体" w:cs="Arial"/>
          <w:b/>
          <w:color w:val="auto"/>
          <w:sz w:val="22"/>
          <w:szCs w:val="22"/>
          <w:highlight w:val="none"/>
          <w:u w:val="single"/>
        </w:rPr>
        <w:t>1、自投标截止日起90天投标文件应保持有效。有效期不足的投标文件将被拒绝。</w:t>
      </w:r>
    </w:p>
    <w:p>
      <w:pPr>
        <w:pStyle w:val="27"/>
        <w:pageBreakBefore w:val="0"/>
        <w:widowControl/>
        <w:kinsoku/>
        <w:wordWrap/>
        <w:overflowPunct/>
        <w:topLinePunct w:val="0"/>
        <w:autoSpaceDE/>
        <w:autoSpaceDN/>
        <w:bidi w:val="0"/>
        <w:spacing w:before="0" w:beforeLines="0" w:after="0" w:afterLines="0"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2、在特殊情况下，采购人可与投标人协商延长投标文件的有效期，这种要求和答复均以书面形式进行。</w:t>
      </w:r>
    </w:p>
    <w:p>
      <w:pPr>
        <w:pageBreakBefore w:val="0"/>
        <w:widowControl/>
        <w:kinsoku/>
        <w:wordWrap/>
        <w:overflowPunct/>
        <w:topLinePunct w:val="0"/>
        <w:autoSpaceDE/>
        <w:autoSpaceDN/>
        <w:bidi w:val="0"/>
        <w:spacing w:line="460" w:lineRule="exact"/>
        <w:ind w:firstLine="431" w:firstLineChars="196"/>
        <w:jc w:val="left"/>
        <w:rPr>
          <w:rFonts w:hint="default" w:ascii="Arial" w:hAnsi="Arial" w:cs="Arial"/>
          <w:color w:val="auto"/>
          <w:sz w:val="22"/>
          <w:szCs w:val="22"/>
          <w:highlight w:val="none"/>
        </w:rPr>
      </w:pPr>
      <w:bookmarkStart w:id="130" w:name="_Toc304292190"/>
      <w:r>
        <w:rPr>
          <w:rFonts w:hint="default" w:ascii="Arial" w:hAnsi="Arial" w:cs="Arial"/>
          <w:color w:val="auto"/>
          <w:sz w:val="22"/>
          <w:szCs w:val="22"/>
          <w:highlight w:val="none"/>
        </w:rPr>
        <w:t>3、中标人的投标文件自开标之日起至合同履行完毕止均应保持有效。</w:t>
      </w:r>
      <w:bookmarkEnd w:id="130"/>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131" w:name="_Toc436330214"/>
      <w:bookmarkStart w:id="132" w:name="_Toc304292191"/>
      <w:bookmarkStart w:id="133" w:name="_Toc317685576"/>
      <w:r>
        <w:rPr>
          <w:rFonts w:hint="default" w:ascii="Arial" w:hAnsi="Arial" w:cs="Arial"/>
          <w:b/>
          <w:color w:val="auto"/>
          <w:sz w:val="22"/>
          <w:szCs w:val="22"/>
          <w:highlight w:val="none"/>
        </w:rPr>
        <w:t xml:space="preserve">    </w:t>
      </w:r>
      <w:bookmarkStart w:id="134" w:name="_Toc50910800"/>
      <w:bookmarkStart w:id="135" w:name="_Toc27969"/>
      <w:r>
        <w:rPr>
          <w:rFonts w:hint="default" w:ascii="Arial" w:hAnsi="Arial" w:cs="Arial"/>
          <w:b/>
          <w:color w:val="auto"/>
          <w:sz w:val="22"/>
          <w:szCs w:val="22"/>
          <w:highlight w:val="none"/>
        </w:rPr>
        <w:t>（六）投标保证金</w:t>
      </w:r>
      <w:bookmarkEnd w:id="131"/>
      <w:bookmarkEnd w:id="132"/>
      <w:bookmarkEnd w:id="133"/>
      <w:bookmarkEnd w:id="134"/>
      <w:bookmarkEnd w:id="135"/>
    </w:p>
    <w:p>
      <w:pPr>
        <w:pageBreakBefore w:val="0"/>
        <w:widowControl/>
        <w:kinsoku/>
        <w:wordWrap/>
        <w:overflowPunct/>
        <w:topLinePunct w:val="0"/>
        <w:autoSpaceDE/>
        <w:autoSpaceDN/>
        <w:bidi w:val="0"/>
        <w:spacing w:line="460" w:lineRule="exact"/>
        <w:ind w:firstLine="442" w:firstLineChars="200"/>
        <w:jc w:val="left"/>
        <w:outlineLvl w:val="1"/>
        <w:rPr>
          <w:rFonts w:hint="default" w:ascii="Arial" w:hAnsi="Arial" w:cs="Arial"/>
          <w:b/>
          <w:color w:val="auto"/>
          <w:sz w:val="22"/>
          <w:szCs w:val="22"/>
          <w:highlight w:val="none"/>
          <w:u w:val="single"/>
        </w:rPr>
      </w:pPr>
      <w:bookmarkStart w:id="136" w:name="_Toc10582"/>
      <w:bookmarkStart w:id="137" w:name="_Toc50910801"/>
      <w:r>
        <w:rPr>
          <w:rFonts w:hint="default" w:ascii="Arial" w:hAnsi="Arial" w:cs="Arial"/>
          <w:b/>
          <w:color w:val="auto"/>
          <w:sz w:val="22"/>
          <w:szCs w:val="22"/>
          <w:highlight w:val="none"/>
          <w:u w:val="single"/>
        </w:rPr>
        <w:t>无。</w:t>
      </w:r>
      <w:bookmarkEnd w:id="136"/>
      <w:bookmarkEnd w:id="137"/>
    </w:p>
    <w:p>
      <w:pPr>
        <w:pStyle w:val="6"/>
        <w:pageBreakBefore w:val="0"/>
        <w:kinsoku/>
        <w:wordWrap/>
        <w:overflowPunct/>
        <w:topLinePunct w:val="0"/>
        <w:autoSpaceDE/>
        <w:autoSpaceDN/>
        <w:bidi w:val="0"/>
        <w:snapToGrid w:val="0"/>
        <w:spacing w:before="0" w:beforeLines="0" w:after="0" w:afterLines="0" w:line="460" w:lineRule="exact"/>
        <w:rPr>
          <w:rFonts w:hint="default" w:ascii="Arial" w:hAnsi="Arial" w:cs="Arial"/>
          <w:color w:val="auto"/>
          <w:sz w:val="22"/>
          <w:szCs w:val="22"/>
          <w:highlight w:val="none"/>
        </w:rPr>
      </w:pPr>
      <w:r>
        <w:rPr>
          <w:rFonts w:hint="default" w:ascii="Arial" w:hAnsi="Arial" w:cs="Arial"/>
          <w:b w:val="0"/>
          <w:color w:val="auto"/>
          <w:sz w:val="22"/>
          <w:szCs w:val="22"/>
          <w:highlight w:val="none"/>
        </w:rPr>
        <w:t xml:space="preserve">    </w:t>
      </w:r>
      <w:bookmarkEnd w:id="118"/>
      <w:bookmarkEnd w:id="119"/>
      <w:bookmarkEnd w:id="120"/>
      <w:bookmarkStart w:id="138" w:name="_Toc1810"/>
      <w:bookmarkStart w:id="139" w:name="_Toc50910802"/>
      <w:bookmarkStart w:id="140" w:name="_Toc463726804"/>
      <w:bookmarkStart w:id="141" w:name="_Toc10397"/>
      <w:bookmarkStart w:id="142" w:name="_Toc304292193"/>
      <w:bookmarkStart w:id="143" w:name="_Toc317685579"/>
      <w:bookmarkStart w:id="144" w:name="_Toc24428"/>
      <w:bookmarkStart w:id="145" w:name="_Toc436330217"/>
      <w:r>
        <w:rPr>
          <w:rFonts w:hint="default" w:ascii="Arial" w:hAnsi="Arial" w:cs="Arial"/>
          <w:color w:val="auto"/>
          <w:sz w:val="22"/>
          <w:szCs w:val="22"/>
          <w:highlight w:val="none"/>
        </w:rPr>
        <w:t>（七）投标文件的签署和份数</w:t>
      </w:r>
      <w:bookmarkEnd w:id="138"/>
      <w:bookmarkEnd w:id="139"/>
      <w:bookmarkEnd w:id="140"/>
      <w:bookmarkEnd w:id="141"/>
    </w:p>
    <w:p>
      <w:pPr>
        <w:pageBreakBefore w:val="0"/>
        <w:kinsoku/>
        <w:wordWrap/>
        <w:overflowPunct/>
        <w:topLinePunct w:val="0"/>
        <w:autoSpaceDE/>
        <w:autoSpaceDN/>
        <w:bidi w:val="0"/>
        <w:spacing w:line="460" w:lineRule="exact"/>
        <w:ind w:firstLine="440" w:firstLineChars="200"/>
        <w:jc w:val="left"/>
        <w:rPr>
          <w:rFonts w:hint="default" w:ascii="Arial" w:hAnsi="Arial" w:cs="Arial"/>
          <w:bCs/>
          <w:color w:val="auto"/>
          <w:sz w:val="22"/>
          <w:szCs w:val="22"/>
          <w:highlight w:val="none"/>
        </w:rPr>
      </w:pPr>
      <w:r>
        <w:rPr>
          <w:rFonts w:hint="default" w:ascii="Arial" w:hAnsi="Arial" w:cs="Arial"/>
          <w:bCs/>
          <w:color w:val="auto"/>
          <w:sz w:val="22"/>
          <w:szCs w:val="22"/>
          <w:highlight w:val="none"/>
        </w:rPr>
        <w:t>1、投标人应按本采购文件规定的格式和顺序编制投标文件并标注页码，投标文件内容不完整、编排混乱、未正确关联定位导致投标文件被误读、漏读或者查找不到相关内容的，是投标人的责任。</w:t>
      </w:r>
    </w:p>
    <w:p>
      <w:pPr>
        <w:pageBreakBefore w:val="0"/>
        <w:kinsoku/>
        <w:wordWrap/>
        <w:overflowPunct/>
        <w:topLinePunct w:val="0"/>
        <w:autoSpaceDE/>
        <w:autoSpaceDN/>
        <w:bidi w:val="0"/>
        <w:spacing w:line="46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2、电子投标文件部分：投标人应根据“政采云投标人项目采购-电子招投标操作指南”及本招标文件规定的格式和顺序编制电子投标文件并进行关联定位；电子投标文件中须加盖投标人公章部分均采用CA签章，签字部分可用CA锁法人章（如有），未申请法人章的将签名部分签好后以扫描件形式上传至投标文件（具体操作请咨询政采云400-881-7190）。</w:t>
      </w:r>
    </w:p>
    <w:p>
      <w:pPr>
        <w:pageBreakBefore w:val="0"/>
        <w:kinsoku/>
        <w:wordWrap/>
        <w:overflowPunct/>
        <w:topLinePunct w:val="0"/>
        <w:autoSpaceDE/>
        <w:autoSpaceDN/>
        <w:bidi w:val="0"/>
        <w:spacing w:line="460" w:lineRule="exact"/>
        <w:ind w:firstLine="442" w:firstLineChars="200"/>
        <w:jc w:val="left"/>
        <w:rPr>
          <w:rFonts w:hint="default" w:ascii="Arial" w:hAnsi="Arial" w:eastAsia="宋体" w:cs="Arial"/>
          <w:b/>
          <w:color w:val="auto"/>
          <w:sz w:val="22"/>
          <w:szCs w:val="22"/>
          <w:highlight w:val="none"/>
        </w:rPr>
      </w:pPr>
      <w:r>
        <w:rPr>
          <w:rFonts w:hint="default" w:ascii="Arial" w:hAnsi="Arial" w:cs="Arial"/>
          <w:b/>
          <w:color w:val="auto"/>
          <w:sz w:val="22"/>
          <w:szCs w:val="22"/>
          <w:highlight w:val="none"/>
        </w:rPr>
        <w:t>3、以U盘存储的备份投标文</w:t>
      </w:r>
      <w:r>
        <w:rPr>
          <w:rFonts w:hint="default" w:ascii="Arial" w:hAnsi="Arial" w:eastAsia="宋体" w:cs="Arial"/>
          <w:b/>
          <w:color w:val="auto"/>
          <w:sz w:val="22"/>
          <w:szCs w:val="22"/>
          <w:highlight w:val="none"/>
        </w:rPr>
        <w:t>件部分：电子投标文件的备份文件，以U盘形式存储，并单独密封递交。电子备份投标文件不作实质性要求，是否提交由投标人自行决定。</w:t>
      </w:r>
    </w:p>
    <w:p>
      <w:pPr>
        <w:pageBreakBefore w:val="0"/>
        <w:kinsoku/>
        <w:wordWrap/>
        <w:overflowPunct/>
        <w:topLinePunct w:val="0"/>
        <w:autoSpaceDE/>
        <w:autoSpaceDN/>
        <w:bidi w:val="0"/>
        <w:spacing w:line="460" w:lineRule="exact"/>
        <w:ind w:firstLine="442" w:firstLineChars="200"/>
        <w:jc w:val="left"/>
        <w:rPr>
          <w:rFonts w:hint="eastAsia" w:ascii="Arial" w:hAnsi="Arial" w:eastAsia="宋体" w:cs="Arial"/>
          <w:b/>
          <w:color w:val="auto"/>
          <w:sz w:val="22"/>
          <w:szCs w:val="22"/>
          <w:highlight w:val="none"/>
          <w:lang w:val="en-US" w:eastAsia="zh-CN"/>
        </w:rPr>
      </w:pPr>
      <w:r>
        <w:rPr>
          <w:rFonts w:hint="eastAsia" w:ascii="Arial" w:hAnsi="Arial" w:eastAsia="宋体" w:cs="Arial"/>
          <w:b/>
          <w:color w:val="auto"/>
          <w:sz w:val="22"/>
          <w:szCs w:val="22"/>
          <w:highlight w:val="none"/>
          <w:lang w:val="en-US" w:eastAsia="zh-CN"/>
        </w:rPr>
        <w:t>4、银行、保险、石油石化、电力、电信、移动、联通等行业，以分公司名义参加投标的，则法定代表人</w:t>
      </w:r>
      <w:r>
        <w:rPr>
          <w:rFonts w:hint="default" w:ascii="Arial" w:hAnsi="Arial" w:eastAsia="宋体" w:cs="Arial"/>
          <w:b/>
          <w:color w:val="auto"/>
          <w:sz w:val="22"/>
          <w:szCs w:val="22"/>
          <w:highlight w:val="none"/>
          <w:lang w:val="en-US" w:eastAsia="zh-CN"/>
        </w:rPr>
        <w:t>签署</w:t>
      </w:r>
      <w:r>
        <w:rPr>
          <w:rFonts w:hint="eastAsia" w:ascii="Arial" w:hAnsi="Arial" w:eastAsia="宋体" w:cs="Arial"/>
          <w:b/>
          <w:color w:val="auto"/>
          <w:sz w:val="22"/>
          <w:szCs w:val="22"/>
          <w:highlight w:val="none"/>
          <w:lang w:val="en-US" w:eastAsia="zh-CN"/>
        </w:rPr>
        <w:t>的地方可由分公司负责人签署。</w:t>
      </w:r>
    </w:p>
    <w:p>
      <w:pPr>
        <w:pageBreakBefore w:val="0"/>
        <w:kinsoku/>
        <w:wordWrap/>
        <w:overflowPunct/>
        <w:topLinePunct w:val="0"/>
        <w:autoSpaceDE/>
        <w:autoSpaceDN/>
        <w:bidi w:val="0"/>
        <w:adjustRightInd w:val="0"/>
        <w:snapToGrid w:val="0"/>
        <w:spacing w:line="460" w:lineRule="exact"/>
        <w:ind w:firstLine="442" w:firstLineChars="200"/>
        <w:jc w:val="left"/>
        <w:outlineLvl w:val="2"/>
        <w:rPr>
          <w:rFonts w:hint="default" w:ascii="Arial" w:hAnsi="Arial" w:cs="Arial"/>
          <w:b/>
          <w:color w:val="auto"/>
          <w:sz w:val="22"/>
          <w:szCs w:val="22"/>
          <w:highlight w:val="none"/>
        </w:rPr>
      </w:pPr>
      <w:bookmarkStart w:id="146" w:name="_Toc50910803"/>
      <w:r>
        <w:rPr>
          <w:rFonts w:hint="default" w:ascii="Arial" w:hAnsi="Arial" w:cs="Arial"/>
          <w:b/>
          <w:color w:val="auto"/>
          <w:sz w:val="22"/>
          <w:szCs w:val="22"/>
          <w:highlight w:val="none"/>
        </w:rPr>
        <w:t>（八）投标文件的密封和标记</w:t>
      </w:r>
      <w:bookmarkEnd w:id="146"/>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bookmarkStart w:id="147" w:name="_Toc16256"/>
      <w:bookmarkStart w:id="148" w:name="_Toc25507"/>
      <w:bookmarkStart w:id="149" w:name="_Toc463726805"/>
      <w:r>
        <w:rPr>
          <w:rFonts w:hint="default" w:ascii="Arial" w:hAnsi="Arial" w:cs="Arial"/>
          <w:color w:val="auto"/>
          <w:sz w:val="22"/>
          <w:szCs w:val="22"/>
          <w:highlight w:val="none"/>
        </w:rPr>
        <w:t>1、电子投标文件：投标人应根据“项目采购-电子招投标操作指南”及本招标文件规定的格式和顺序编制电子投标文件并进行关联定位。</w:t>
      </w:r>
    </w:p>
    <w:p>
      <w:pPr>
        <w:pageBreakBefore w:val="0"/>
        <w:kinsoku/>
        <w:wordWrap/>
        <w:overflowPunct/>
        <w:topLinePunct w:val="0"/>
        <w:autoSpaceDE/>
        <w:autoSpaceDN/>
        <w:bidi w:val="0"/>
        <w:adjustRightInd w:val="0"/>
        <w:snapToGrid w:val="0"/>
        <w:spacing w:line="460" w:lineRule="exact"/>
        <w:ind w:firstLine="442" w:firstLineChars="200"/>
        <w:jc w:val="left"/>
        <w:rPr>
          <w:rFonts w:hint="default" w:ascii="Arial" w:hAnsi="Arial" w:cs="Arial"/>
          <w:b/>
          <w:bCs/>
          <w:color w:val="auto"/>
          <w:sz w:val="22"/>
          <w:szCs w:val="22"/>
          <w:highlight w:val="none"/>
        </w:rPr>
      </w:pPr>
      <w:r>
        <w:rPr>
          <w:rFonts w:hint="default" w:ascii="Arial" w:hAnsi="Arial" w:cs="Arial"/>
          <w:b/>
          <w:bCs/>
          <w:color w:val="auto"/>
          <w:sz w:val="22"/>
          <w:szCs w:val="22"/>
          <w:highlight w:val="none"/>
        </w:rPr>
        <w:t>2、</w:t>
      </w:r>
      <w:r>
        <w:rPr>
          <w:rFonts w:hint="default" w:ascii="Arial" w:hAnsi="Arial" w:cs="Arial"/>
          <w:b/>
          <w:bCs/>
          <w:color w:val="auto"/>
          <w:kern w:val="0"/>
          <w:sz w:val="22"/>
          <w:szCs w:val="22"/>
          <w:highlight w:val="none"/>
        </w:rPr>
        <w:t>电子备份投标文件：单独包封，外包装封面上应注明投标人名称、投标人地址、投标文件名称（电子投标文件的备份文件）、投标项目名称、项目编号及</w:t>
      </w:r>
      <w:r>
        <w:rPr>
          <w:rFonts w:hint="default" w:ascii="Arial" w:hAnsi="Arial" w:cs="Arial"/>
          <w:b/>
          <w:bCs/>
          <w:color w:val="auto"/>
          <w:sz w:val="22"/>
          <w:szCs w:val="22"/>
          <w:highlight w:val="none"/>
        </w:rPr>
        <w:t>“投标文件于投标截止时间前不得启封”</w:t>
      </w:r>
      <w:r>
        <w:rPr>
          <w:rFonts w:hint="default" w:ascii="Arial" w:hAnsi="Arial" w:cs="Arial"/>
          <w:b/>
          <w:bCs/>
          <w:color w:val="auto"/>
          <w:kern w:val="0"/>
          <w:sz w:val="22"/>
          <w:szCs w:val="22"/>
          <w:highlight w:val="none"/>
        </w:rPr>
        <w:t>字样，并加盖投标人公章。</w:t>
      </w:r>
      <w:r>
        <w:rPr>
          <w:rFonts w:hint="default" w:ascii="Arial" w:hAnsi="Arial" w:cs="Arial"/>
          <w:b/>
          <w:bCs/>
          <w:color w:val="auto"/>
          <w:sz w:val="22"/>
          <w:szCs w:val="22"/>
          <w:highlight w:val="none"/>
        </w:rPr>
        <w:t>电子备份投标文件不作实质性要求，是否提交由投标人自行决定。</w:t>
      </w:r>
    </w:p>
    <w:p>
      <w:pPr>
        <w:pageBreakBefore w:val="0"/>
        <w:kinsoku/>
        <w:wordWrap/>
        <w:overflowPunct/>
        <w:topLinePunct w:val="0"/>
        <w:autoSpaceDE/>
        <w:autoSpaceDN/>
        <w:bidi w:val="0"/>
        <w:adjustRightInd w:val="0"/>
        <w:snapToGrid w:val="0"/>
        <w:spacing w:line="460" w:lineRule="exact"/>
        <w:ind w:firstLine="420"/>
        <w:jc w:val="left"/>
        <w:rPr>
          <w:rFonts w:hint="default" w:ascii="Arial" w:hAnsi="Arial" w:cs="Arial"/>
          <w:b/>
          <w:color w:val="auto"/>
          <w:sz w:val="22"/>
          <w:szCs w:val="22"/>
          <w:highlight w:val="none"/>
        </w:rPr>
      </w:pPr>
      <w:r>
        <w:rPr>
          <w:rFonts w:hint="default" w:ascii="Arial" w:hAnsi="Arial" w:cs="Arial"/>
          <w:b/>
          <w:color w:val="auto"/>
          <w:sz w:val="22"/>
          <w:szCs w:val="22"/>
          <w:highlight w:val="none"/>
        </w:rPr>
        <w:t>3、未按规定密封或标记的投标文件，采购人有权拒绝接受其投标。</w:t>
      </w:r>
    </w:p>
    <w:p>
      <w:pPr>
        <w:pageBreakBefore w:val="0"/>
        <w:kinsoku/>
        <w:wordWrap/>
        <w:overflowPunct/>
        <w:topLinePunct w:val="0"/>
        <w:autoSpaceDE/>
        <w:autoSpaceDN/>
        <w:bidi w:val="0"/>
        <w:adjustRightInd w:val="0"/>
        <w:snapToGrid w:val="0"/>
        <w:spacing w:line="460" w:lineRule="exact"/>
        <w:ind w:firstLine="420"/>
        <w:jc w:val="left"/>
        <w:rPr>
          <w:rFonts w:hint="default" w:ascii="Arial" w:hAnsi="Arial" w:cs="Arial"/>
          <w:color w:val="auto"/>
          <w:sz w:val="22"/>
          <w:szCs w:val="22"/>
          <w:highlight w:val="none"/>
        </w:rPr>
      </w:pPr>
      <w:r>
        <w:rPr>
          <w:rFonts w:hint="default" w:ascii="Arial" w:hAnsi="Arial" w:cs="Arial"/>
          <w:color w:val="auto"/>
          <w:sz w:val="22"/>
          <w:szCs w:val="22"/>
          <w:highlight w:val="none"/>
        </w:rPr>
        <w:t>4、如果投标人未按上述要求密封或标记而造成投标文件被误投或提前拆封的风险由投标人承担。</w:t>
      </w:r>
    </w:p>
    <w:p>
      <w:pPr>
        <w:pageBreakBefore w:val="0"/>
        <w:kinsoku/>
        <w:wordWrap/>
        <w:overflowPunct/>
        <w:topLinePunct w:val="0"/>
        <w:autoSpaceDE/>
        <w:autoSpaceDN/>
        <w:bidi w:val="0"/>
        <w:adjustRightInd w:val="0"/>
        <w:snapToGrid w:val="0"/>
        <w:spacing w:line="460" w:lineRule="exact"/>
        <w:ind w:firstLine="420"/>
        <w:jc w:val="left"/>
        <w:rPr>
          <w:rFonts w:hint="default" w:ascii="Arial" w:hAnsi="Arial" w:cs="Arial"/>
          <w:color w:val="auto"/>
          <w:sz w:val="22"/>
          <w:szCs w:val="22"/>
          <w:highlight w:val="none"/>
        </w:rPr>
      </w:pPr>
      <w:r>
        <w:rPr>
          <w:rFonts w:hint="default" w:ascii="Arial" w:hAnsi="Arial" w:cs="Arial"/>
          <w:color w:val="auto"/>
          <w:sz w:val="22"/>
          <w:szCs w:val="22"/>
          <w:highlight w:val="none"/>
        </w:rPr>
        <w:t>5、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电子投标文件，将被政采云平台拒收，其投标将被拒绝。</w:t>
      </w:r>
    </w:p>
    <w:bookmarkEnd w:id="142"/>
    <w:bookmarkEnd w:id="143"/>
    <w:bookmarkEnd w:id="144"/>
    <w:bookmarkEnd w:id="145"/>
    <w:bookmarkEnd w:id="147"/>
    <w:bookmarkEnd w:id="148"/>
    <w:bookmarkEnd w:id="149"/>
    <w:p>
      <w:pPr>
        <w:pStyle w:val="5"/>
        <w:pageBreakBefore w:val="0"/>
        <w:kinsoku/>
        <w:wordWrap/>
        <w:overflowPunct/>
        <w:topLinePunct w:val="0"/>
        <w:autoSpaceDE/>
        <w:autoSpaceDN/>
        <w:bidi w:val="0"/>
        <w:adjustRightInd w:val="0"/>
        <w:snapToGrid w:val="0"/>
        <w:spacing w:before="0" w:beforeLines="0" w:after="0" w:afterLines="0" w:line="460" w:lineRule="exact"/>
        <w:ind w:firstLine="442" w:firstLineChars="200"/>
        <w:rPr>
          <w:rFonts w:hint="default" w:ascii="Arial" w:hAnsi="Arial" w:eastAsia="宋体" w:cs="Arial"/>
          <w:color w:val="auto"/>
          <w:sz w:val="22"/>
          <w:szCs w:val="22"/>
          <w:highlight w:val="none"/>
        </w:rPr>
      </w:pPr>
      <w:bookmarkStart w:id="150" w:name="_Toc50910804"/>
      <w:bookmarkStart w:id="151" w:name="_Toc436330221"/>
      <w:bookmarkStart w:id="152" w:name="_Toc304292195"/>
      <w:bookmarkStart w:id="153" w:name="_Toc317685583"/>
      <w:bookmarkStart w:id="154" w:name="_Toc317685590"/>
      <w:bookmarkStart w:id="155" w:name="_Toc436330228"/>
      <w:r>
        <w:rPr>
          <w:rFonts w:hint="default" w:ascii="Arial" w:hAnsi="Arial" w:eastAsia="宋体" w:cs="Arial"/>
          <w:color w:val="auto"/>
          <w:sz w:val="22"/>
          <w:szCs w:val="22"/>
          <w:highlight w:val="none"/>
        </w:rPr>
        <w:t>四、开标</w:t>
      </w:r>
      <w:bookmarkEnd w:id="150"/>
    </w:p>
    <w:p>
      <w:pPr>
        <w:pageBreakBefore w:val="0"/>
        <w:kinsoku/>
        <w:wordWrap/>
        <w:overflowPunct/>
        <w:topLinePunct w:val="0"/>
        <w:autoSpaceDE/>
        <w:autoSpaceDN/>
        <w:bidi w:val="0"/>
        <w:adjustRightInd w:val="0"/>
        <w:snapToGrid w:val="0"/>
        <w:spacing w:line="460" w:lineRule="exact"/>
        <w:ind w:firstLine="442" w:firstLineChars="200"/>
        <w:outlineLvl w:val="1"/>
        <w:rPr>
          <w:rFonts w:hint="default" w:ascii="Arial" w:hAnsi="Arial" w:cs="Arial"/>
          <w:color w:val="auto"/>
          <w:sz w:val="22"/>
          <w:szCs w:val="22"/>
          <w:highlight w:val="none"/>
        </w:rPr>
      </w:pPr>
      <w:bookmarkStart w:id="156" w:name="_Toc50910805"/>
      <w:bookmarkStart w:id="157" w:name="_Toc317685581"/>
      <w:r>
        <w:rPr>
          <w:rFonts w:hint="default" w:ascii="Arial" w:hAnsi="Arial" w:cs="Arial"/>
          <w:b/>
          <w:color w:val="auto"/>
          <w:sz w:val="22"/>
          <w:szCs w:val="22"/>
          <w:highlight w:val="none"/>
        </w:rPr>
        <w:t>（一）开标准备</w:t>
      </w:r>
      <w:bookmarkEnd w:id="156"/>
      <w:bookmarkEnd w:id="157"/>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bCs/>
          <w:color w:val="auto"/>
          <w:sz w:val="22"/>
          <w:szCs w:val="22"/>
          <w:highlight w:val="none"/>
        </w:rPr>
      </w:pPr>
      <w:r>
        <w:rPr>
          <w:rFonts w:hint="default" w:ascii="Arial" w:hAnsi="Arial" w:cs="Arial"/>
          <w:bCs/>
          <w:color w:val="auto"/>
          <w:sz w:val="22"/>
          <w:szCs w:val="22"/>
          <w:highlight w:val="none"/>
        </w:rPr>
        <w:t>采购代理机构将在规定的时间和地点进行开标，</w:t>
      </w:r>
      <w:r>
        <w:rPr>
          <w:rFonts w:hint="default" w:ascii="Arial" w:hAnsi="Arial" w:cs="Arial"/>
          <w:color w:val="auto"/>
          <w:sz w:val="22"/>
          <w:szCs w:val="22"/>
          <w:highlight w:val="none"/>
        </w:rPr>
        <w:t>疫情期间所有投标人在投标截止时间前安排“甬行码”为绿色的相关人员（原则上不超过一名，须全程佩戴口罩）将电子备份投标文件送至投标地点，在完成投标文件和人员登记后立即离开。投标文件递交时需同时递交投标人的法定代表人（或其委托代理人）联系方式，并保证开标期间联系方式的畅通。</w:t>
      </w:r>
    </w:p>
    <w:p>
      <w:pPr>
        <w:pageBreakBefore w:val="0"/>
        <w:kinsoku/>
        <w:wordWrap/>
        <w:overflowPunct/>
        <w:topLinePunct w:val="0"/>
        <w:autoSpaceDE/>
        <w:autoSpaceDN/>
        <w:bidi w:val="0"/>
        <w:adjustRightInd w:val="0"/>
        <w:snapToGrid w:val="0"/>
        <w:spacing w:line="460" w:lineRule="exact"/>
        <w:ind w:firstLine="442" w:firstLineChars="200"/>
        <w:jc w:val="left"/>
        <w:outlineLvl w:val="1"/>
        <w:rPr>
          <w:rFonts w:hint="default" w:ascii="Arial" w:hAnsi="Arial" w:cs="Arial"/>
          <w:b/>
          <w:bCs/>
          <w:color w:val="auto"/>
          <w:sz w:val="22"/>
          <w:szCs w:val="22"/>
          <w:highlight w:val="none"/>
        </w:rPr>
      </w:pPr>
      <w:bookmarkStart w:id="158" w:name="_Toc50910806"/>
      <w:r>
        <w:rPr>
          <w:rFonts w:hint="default" w:ascii="Arial" w:hAnsi="Arial" w:cs="Arial"/>
          <w:b/>
          <w:bCs/>
          <w:color w:val="auto"/>
          <w:sz w:val="22"/>
          <w:szCs w:val="22"/>
          <w:highlight w:val="none"/>
        </w:rPr>
        <w:t>（二）电子投标开标及评审程序</w:t>
      </w:r>
      <w:bookmarkEnd w:id="158"/>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1、投标截止时间后，投标人登录政采云平台，用“项目采购-开标评标”功能对电子投标文件进行在线解密，在线解密电子投标文件时间为开标时间起</w:t>
      </w:r>
      <w:r>
        <w:rPr>
          <w:rFonts w:hint="eastAsia" w:ascii="Arial" w:hAnsi="Arial" w:cs="Arial"/>
          <w:color w:val="auto"/>
          <w:sz w:val="22"/>
          <w:szCs w:val="22"/>
          <w:highlight w:val="none"/>
          <w:lang w:val="en-US" w:eastAsia="zh-CN"/>
        </w:rPr>
        <w:t>3</w:t>
      </w:r>
      <w:r>
        <w:rPr>
          <w:rFonts w:hint="default" w:ascii="Arial" w:hAnsi="Arial" w:cs="Arial"/>
          <w:color w:val="auto"/>
          <w:sz w:val="22"/>
          <w:szCs w:val="22"/>
          <w:highlight w:val="none"/>
        </w:rPr>
        <w:t>0分钟内；</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2、采购人或代理机构对投标人的资格进行审查；</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3、评标委员会对商务技术响应文件进行评审；</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4、在系统上公开资格和商务技术评审结果；</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5、在系统上公开报价开标情况；</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6、评标委员会对报价情况进行评审；</w:t>
      </w:r>
    </w:p>
    <w:p>
      <w:pPr>
        <w:pStyle w:val="27"/>
        <w:pageBreakBefore w:val="0"/>
        <w:kinsoku/>
        <w:wordWrap/>
        <w:overflowPunct/>
        <w:topLinePunct w:val="0"/>
        <w:autoSpaceDE/>
        <w:autoSpaceDN/>
        <w:bidi w:val="0"/>
        <w:adjustRightInd w:val="0"/>
        <w:snapToGrid w:val="0"/>
        <w:spacing w:before="0" w:beforeLines="0" w:after="0" w:afterLines="0"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7、在系统上公布评审结果。</w:t>
      </w:r>
    </w:p>
    <w:p>
      <w:pPr>
        <w:pStyle w:val="3"/>
        <w:pageBreakBefore w:val="0"/>
        <w:kinsoku/>
        <w:wordWrap/>
        <w:overflowPunct/>
        <w:topLinePunct w:val="0"/>
        <w:autoSpaceDE/>
        <w:autoSpaceDN/>
        <w:bidi w:val="0"/>
        <w:adjustRightInd w:val="0"/>
        <w:snapToGrid w:val="0"/>
        <w:spacing w:line="460" w:lineRule="exact"/>
        <w:ind w:firstLine="442" w:firstLineChars="200"/>
        <w:rPr>
          <w:rFonts w:hint="default" w:ascii="Arial" w:hAnsi="Arial" w:cs="Arial"/>
          <w:color w:val="auto"/>
          <w:sz w:val="22"/>
          <w:szCs w:val="22"/>
          <w:highlight w:val="none"/>
        </w:rPr>
      </w:pPr>
      <w:r>
        <w:rPr>
          <w:rFonts w:hint="default" w:ascii="Arial" w:hAnsi="Arial" w:cs="Arial"/>
          <w:b/>
          <w:bCs/>
          <w:color w:val="auto"/>
          <w:sz w:val="22"/>
          <w:szCs w:val="22"/>
          <w:highlight w:val="none"/>
        </w:rPr>
        <w:t>注：（1）开标过程需投标人确认的事宜，通过微信或电子邮箱发送邮件等方式进行，请投标人在开标期间做好相应的准备。</w:t>
      </w:r>
      <w:r>
        <w:rPr>
          <w:rFonts w:hint="default" w:ascii="Arial" w:hAnsi="Arial" w:cs="Arial"/>
          <w:bCs/>
          <w:color w:val="auto"/>
          <w:sz w:val="22"/>
          <w:szCs w:val="22"/>
          <w:highlight w:val="none"/>
        </w:rPr>
        <w:t>（2）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ageBreakBefore w:val="0"/>
        <w:kinsoku/>
        <w:wordWrap/>
        <w:overflowPunct/>
        <w:topLinePunct w:val="0"/>
        <w:autoSpaceDE/>
        <w:autoSpaceDN/>
        <w:bidi w:val="0"/>
        <w:adjustRightInd w:val="0"/>
        <w:snapToGrid w:val="0"/>
        <w:spacing w:line="460" w:lineRule="exact"/>
        <w:ind w:firstLine="442" w:firstLineChars="200"/>
        <w:jc w:val="left"/>
        <w:rPr>
          <w:rFonts w:hint="default" w:ascii="Arial" w:hAnsi="Arial" w:cs="Arial"/>
          <w:b/>
          <w:bCs/>
          <w:color w:val="auto"/>
          <w:sz w:val="22"/>
          <w:szCs w:val="22"/>
          <w:highlight w:val="none"/>
        </w:rPr>
      </w:pPr>
      <w:r>
        <w:rPr>
          <w:rFonts w:hint="default" w:ascii="Arial" w:hAnsi="Arial" w:cs="Arial"/>
          <w:b/>
          <w:bCs/>
          <w:color w:val="auto"/>
          <w:sz w:val="22"/>
          <w:szCs w:val="22"/>
          <w:highlight w:val="none"/>
        </w:rPr>
        <w:t>（三）特别说明</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kern w:val="0"/>
          <w:sz w:val="22"/>
          <w:szCs w:val="22"/>
          <w:highlight w:val="none"/>
        </w:rPr>
        <w:t>政府采购云平台</w:t>
      </w:r>
      <w:r>
        <w:rPr>
          <w:rFonts w:hint="default" w:ascii="Arial" w:hAnsi="Arial" w:cs="Arial"/>
          <w:color w:val="auto"/>
          <w:sz w:val="22"/>
          <w:szCs w:val="22"/>
          <w:highlight w:val="none"/>
        </w:rPr>
        <w:t>如对电子化开标及评审程序有调整的，按调整后的程序操作。</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本项目原则上采用政采云电子投标开标及评审程序，但有下情形之一的，按以下情况处理：</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1、若投标人在规定时间内无法解密或解密失败，代理机构将开启所有投标人递交的</w:t>
      </w:r>
      <w:r>
        <w:rPr>
          <w:rFonts w:hint="default" w:ascii="Arial" w:hAnsi="Arial" w:cs="Arial"/>
          <w:color w:val="auto"/>
          <w:kern w:val="0"/>
          <w:sz w:val="22"/>
          <w:szCs w:val="22"/>
          <w:highlight w:val="none"/>
        </w:rPr>
        <w:t>以U盘存储的电子备份投标文件</w:t>
      </w:r>
      <w:r>
        <w:rPr>
          <w:rFonts w:hint="default" w:ascii="Arial" w:hAnsi="Arial" w:cs="Arial"/>
          <w:color w:val="auto"/>
          <w:sz w:val="22"/>
          <w:szCs w:val="22"/>
          <w:highlight w:val="none"/>
        </w:rPr>
        <w:t>，上传至政采云平台项目采购模块，以完成开标，电子投标文件自动失效。</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2、采购过程中出现以下情形，导致电子交易平台无法正常运行，或者无法保证电子交易的公平、公正和安全时，采购人（或代理机构）可中止电子交易活动：</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（1）电子交易平台发生故障而无法登录访问的；</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（2）因</w:t>
      </w:r>
      <w:r>
        <w:rPr>
          <w:rFonts w:hint="default" w:ascii="Arial" w:hAnsi="Arial" w:cs="Arial"/>
          <w:color w:val="auto"/>
          <w:kern w:val="0"/>
          <w:sz w:val="22"/>
          <w:szCs w:val="22"/>
          <w:highlight w:val="none"/>
        </w:rPr>
        <w:t>政府采购云平台</w:t>
      </w:r>
      <w:r>
        <w:rPr>
          <w:rFonts w:hint="default" w:ascii="Arial" w:hAnsi="Arial" w:cs="Arial"/>
          <w:color w:val="auto"/>
          <w:sz w:val="22"/>
          <w:szCs w:val="22"/>
          <w:highlight w:val="none"/>
        </w:rPr>
        <w:t>原因无法读取或电子开评标无法正常进行的；</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（3）电子交易平台应用或数据库出现错误，不能进行正常操作的；</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（4）电子交易平台发现严重安全漏洞，有潜在泄密危险；</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 xml:space="preserve">（5）病毒发作导致不能进行正常操作的； </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（6）其他无法保证电子交易的公平、公正和安全的情况。</w:t>
      </w:r>
    </w:p>
    <w:p>
      <w:pPr>
        <w:pageBreakBefore w:val="0"/>
        <w:kinsoku/>
        <w:wordWrap/>
        <w:overflowPunct/>
        <w:topLinePunct w:val="0"/>
        <w:autoSpaceDE/>
        <w:autoSpaceDN/>
        <w:bidi w:val="0"/>
        <w:adjustRightInd w:val="0"/>
        <w:snapToGrid w:val="0"/>
        <w:spacing w:line="460" w:lineRule="exact"/>
        <w:ind w:firstLine="440" w:firstLineChars="200"/>
        <w:jc w:val="left"/>
        <w:rPr>
          <w:rFonts w:hint="default" w:ascii="Arial" w:hAnsi="Arial" w:cs="Arial"/>
          <w:b/>
          <w:color w:val="auto"/>
          <w:sz w:val="22"/>
          <w:szCs w:val="22"/>
          <w:highlight w:val="none"/>
        </w:rPr>
      </w:pPr>
      <w:r>
        <w:rPr>
          <w:rFonts w:hint="default" w:ascii="Arial" w:hAnsi="Arial" w:cs="Arial"/>
          <w:color w:val="auto"/>
          <w:sz w:val="22"/>
          <w:szCs w:val="22"/>
          <w:highlight w:val="none"/>
        </w:rPr>
        <w:t xml:space="preserve"> 出现前款规定情形，不影响采购公平、公正性的，采购人（或代理机构）可以待上述情形消除后继续组织电子交易活动。</w:t>
      </w:r>
    </w:p>
    <w:p>
      <w:pPr>
        <w:pageBreakBefore w:val="0"/>
        <w:widowControl/>
        <w:kinsoku/>
        <w:wordWrap/>
        <w:overflowPunct/>
        <w:topLinePunct w:val="0"/>
        <w:autoSpaceDE/>
        <w:autoSpaceDN/>
        <w:bidi w:val="0"/>
        <w:spacing w:line="460" w:lineRule="exact"/>
        <w:jc w:val="left"/>
        <w:outlineLvl w:val="1"/>
        <w:rPr>
          <w:rFonts w:hint="default" w:ascii="Arial" w:hAnsi="Arial" w:cs="Arial"/>
          <w:b/>
          <w:color w:val="auto"/>
          <w:sz w:val="22"/>
          <w:szCs w:val="22"/>
          <w:highlight w:val="none"/>
        </w:rPr>
      </w:pPr>
      <w:bookmarkStart w:id="159" w:name="_Toc50910807"/>
      <w:r>
        <w:rPr>
          <w:rFonts w:hint="default" w:ascii="Arial" w:hAnsi="Arial" w:cs="Arial"/>
          <w:b/>
          <w:color w:val="auto"/>
          <w:sz w:val="22"/>
          <w:szCs w:val="22"/>
          <w:highlight w:val="none"/>
        </w:rPr>
        <w:t>五、评标</w:t>
      </w:r>
      <w:bookmarkEnd w:id="151"/>
      <w:bookmarkEnd w:id="152"/>
      <w:bookmarkEnd w:id="153"/>
      <w:bookmarkEnd w:id="159"/>
    </w:p>
    <w:p>
      <w:pPr>
        <w:pageBreakBefore w:val="0"/>
        <w:widowControl/>
        <w:kinsoku/>
        <w:wordWrap/>
        <w:overflowPunct/>
        <w:topLinePunct w:val="0"/>
        <w:autoSpaceDE/>
        <w:autoSpaceDN/>
        <w:bidi w:val="0"/>
        <w:snapToGrid w:val="0"/>
        <w:spacing w:line="460" w:lineRule="exact"/>
        <w:ind w:left="420"/>
        <w:jc w:val="left"/>
        <w:outlineLvl w:val="1"/>
        <w:rPr>
          <w:rFonts w:hint="default" w:ascii="Arial" w:hAnsi="Arial" w:cs="Arial"/>
          <w:b/>
          <w:color w:val="auto"/>
          <w:sz w:val="22"/>
          <w:szCs w:val="22"/>
          <w:highlight w:val="none"/>
        </w:rPr>
      </w:pPr>
      <w:bookmarkStart w:id="160" w:name="_Toc317685584"/>
      <w:bookmarkStart w:id="161" w:name="_Toc50910808"/>
      <w:bookmarkStart w:id="162" w:name="_Toc436330222"/>
      <w:r>
        <w:rPr>
          <w:rFonts w:hint="default" w:ascii="Arial" w:hAnsi="Arial" w:cs="Arial"/>
          <w:b/>
          <w:color w:val="auto"/>
          <w:sz w:val="22"/>
          <w:szCs w:val="22"/>
          <w:highlight w:val="none"/>
        </w:rPr>
        <w:t>（一）组建评标委员会</w:t>
      </w:r>
      <w:bookmarkEnd w:id="160"/>
      <w:bookmarkEnd w:id="161"/>
      <w:bookmarkEnd w:id="162"/>
    </w:p>
    <w:p>
      <w:pPr>
        <w:pStyle w:val="205"/>
        <w:pageBreakBefore w:val="0"/>
        <w:widowControl/>
        <w:kinsoku/>
        <w:wordWrap/>
        <w:overflowPunct/>
        <w:topLinePunct w:val="0"/>
        <w:autoSpaceDE/>
        <w:autoSpaceDN/>
        <w:bidi w:val="0"/>
        <w:snapToGrid w:val="0"/>
        <w:spacing w:beforeLines="0" w:afterLines="0" w:line="460" w:lineRule="exact"/>
        <w:ind w:firstLine="440" w:firstLineChars="200"/>
        <w:jc w:val="left"/>
        <w:rPr>
          <w:rFonts w:hint="default" w:ascii="Arial" w:hAnsi="Arial" w:cs="Arial"/>
          <w:color w:val="auto"/>
          <w:sz w:val="22"/>
          <w:szCs w:val="22"/>
          <w:highlight w:val="none"/>
        </w:rPr>
      </w:pPr>
      <w:bookmarkStart w:id="163" w:name="_Toc436330223"/>
      <w:bookmarkStart w:id="164" w:name="_Toc317685585"/>
      <w:r>
        <w:rPr>
          <w:rFonts w:hint="default" w:ascii="Arial" w:hAnsi="Arial" w:cs="Arial"/>
          <w:color w:val="auto"/>
          <w:sz w:val="22"/>
          <w:szCs w:val="22"/>
          <w:highlight w:val="none"/>
        </w:rPr>
        <w:t>本项目评标委员会为5人以上单数，依法组建。</w:t>
      </w:r>
    </w:p>
    <w:p>
      <w:pPr>
        <w:pageBreakBefore w:val="0"/>
        <w:widowControl/>
        <w:kinsoku/>
        <w:wordWrap/>
        <w:overflowPunct/>
        <w:topLinePunct w:val="0"/>
        <w:autoSpaceDE/>
        <w:autoSpaceDN/>
        <w:bidi w:val="0"/>
        <w:spacing w:line="460" w:lineRule="exact"/>
        <w:ind w:left="420"/>
        <w:contextualSpacing/>
        <w:jc w:val="left"/>
        <w:outlineLvl w:val="1"/>
        <w:rPr>
          <w:rFonts w:hint="default" w:ascii="Arial" w:hAnsi="Arial" w:cs="Arial"/>
          <w:b/>
          <w:color w:val="auto"/>
          <w:sz w:val="22"/>
          <w:szCs w:val="22"/>
          <w:highlight w:val="none"/>
        </w:rPr>
      </w:pPr>
      <w:bookmarkStart w:id="165" w:name="_Toc50910809"/>
      <w:r>
        <w:rPr>
          <w:rFonts w:hint="default" w:ascii="Arial" w:hAnsi="Arial" w:cs="Arial"/>
          <w:b/>
          <w:color w:val="auto"/>
          <w:sz w:val="22"/>
          <w:szCs w:val="22"/>
          <w:highlight w:val="none"/>
        </w:rPr>
        <w:t>（二）评标的方式</w:t>
      </w:r>
      <w:bookmarkEnd w:id="163"/>
      <w:bookmarkEnd w:id="164"/>
      <w:bookmarkEnd w:id="165"/>
    </w:p>
    <w:p>
      <w:pPr>
        <w:pageBreakBefore w:val="0"/>
        <w:widowControl/>
        <w:kinsoku/>
        <w:wordWrap/>
        <w:overflowPunct/>
        <w:topLinePunct w:val="0"/>
        <w:autoSpaceDE/>
        <w:autoSpaceDN/>
        <w:bidi w:val="0"/>
        <w:spacing w:line="460" w:lineRule="exact"/>
        <w:ind w:firstLine="440" w:firstLineChars="200"/>
        <w:contextualSpacing/>
        <w:jc w:val="left"/>
        <w:outlineLvl w:val="1"/>
        <w:rPr>
          <w:rFonts w:hint="default" w:ascii="Arial" w:hAnsi="Arial" w:cs="Arial"/>
          <w:color w:val="auto"/>
          <w:sz w:val="22"/>
          <w:szCs w:val="22"/>
          <w:highlight w:val="none"/>
        </w:rPr>
      </w:pPr>
      <w:bookmarkStart w:id="166" w:name="_Toc50910810"/>
      <w:r>
        <w:rPr>
          <w:rFonts w:hint="default" w:ascii="Arial" w:hAnsi="Arial" w:cs="Arial"/>
          <w:color w:val="auto"/>
          <w:sz w:val="22"/>
          <w:szCs w:val="22"/>
          <w:highlight w:val="none"/>
        </w:rPr>
        <w:t>本项目采用不公开方式评标，评标的依据为招标文件和投标文件。</w:t>
      </w:r>
      <w:bookmarkEnd w:id="166"/>
      <w:bookmarkStart w:id="167" w:name="_Toc436330224"/>
      <w:bookmarkStart w:id="168" w:name="_Toc317685586"/>
    </w:p>
    <w:p>
      <w:pPr>
        <w:pageBreakBefore w:val="0"/>
        <w:widowControl/>
        <w:kinsoku/>
        <w:wordWrap/>
        <w:overflowPunct/>
        <w:topLinePunct w:val="0"/>
        <w:autoSpaceDE/>
        <w:autoSpaceDN/>
        <w:bidi w:val="0"/>
        <w:spacing w:line="460" w:lineRule="exact"/>
        <w:ind w:left="420"/>
        <w:contextualSpacing/>
        <w:jc w:val="left"/>
        <w:outlineLvl w:val="1"/>
        <w:rPr>
          <w:rFonts w:hint="default" w:ascii="Arial" w:hAnsi="Arial" w:cs="Arial"/>
          <w:b/>
          <w:color w:val="auto"/>
          <w:sz w:val="22"/>
          <w:szCs w:val="22"/>
          <w:highlight w:val="none"/>
        </w:rPr>
      </w:pPr>
      <w:bookmarkStart w:id="169" w:name="_Toc50910811"/>
      <w:r>
        <w:rPr>
          <w:rFonts w:hint="default" w:ascii="Arial" w:hAnsi="Arial" w:cs="Arial"/>
          <w:b/>
          <w:color w:val="auto"/>
          <w:sz w:val="22"/>
          <w:szCs w:val="22"/>
          <w:highlight w:val="none"/>
        </w:rPr>
        <w:t>（三）评标程序</w:t>
      </w:r>
      <w:bookmarkEnd w:id="167"/>
      <w:bookmarkEnd w:id="168"/>
      <w:bookmarkEnd w:id="169"/>
    </w:p>
    <w:p>
      <w:pPr>
        <w:pageBreakBefore w:val="0"/>
        <w:widowControl/>
        <w:numPr>
          <w:ilvl w:val="0"/>
          <w:numId w:val="22"/>
        </w:numPr>
        <w:kinsoku/>
        <w:wordWrap/>
        <w:overflowPunct/>
        <w:topLinePunct w:val="0"/>
        <w:autoSpaceDE/>
        <w:autoSpaceDN/>
        <w:bidi w:val="0"/>
        <w:spacing w:line="460" w:lineRule="exact"/>
        <w:contextualSpacing/>
        <w:jc w:val="left"/>
        <w:outlineLvl w:val="1"/>
        <w:rPr>
          <w:rFonts w:hint="default" w:ascii="Arial" w:hAnsi="Arial" w:cs="Arial"/>
          <w:b/>
          <w:bCs/>
          <w:color w:val="auto"/>
          <w:sz w:val="22"/>
          <w:szCs w:val="22"/>
          <w:highlight w:val="none"/>
        </w:rPr>
      </w:pPr>
      <w:bookmarkStart w:id="170" w:name="_Toc50910812"/>
      <w:r>
        <w:rPr>
          <w:rFonts w:hint="default" w:ascii="Arial" w:hAnsi="Arial" w:cs="Arial"/>
          <w:b/>
          <w:bCs/>
          <w:color w:val="auto"/>
          <w:sz w:val="22"/>
          <w:szCs w:val="22"/>
          <w:highlight w:val="none"/>
        </w:rPr>
        <w:t>资格审查</w:t>
      </w:r>
      <w:bookmarkEnd w:id="170"/>
    </w:p>
    <w:p>
      <w:pPr>
        <w:pageBreakBefore w:val="0"/>
        <w:widowControl/>
        <w:kinsoku/>
        <w:wordWrap/>
        <w:overflowPunct/>
        <w:topLinePunct w:val="0"/>
        <w:autoSpaceDE/>
        <w:autoSpaceDN/>
        <w:bidi w:val="0"/>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采购人或者采购代理机构对投标人的资格进行审查。</w:t>
      </w:r>
    </w:p>
    <w:p>
      <w:pPr>
        <w:pageBreakBefore w:val="0"/>
        <w:widowControl/>
        <w:numPr>
          <w:ilvl w:val="0"/>
          <w:numId w:val="22"/>
        </w:numPr>
        <w:kinsoku/>
        <w:wordWrap/>
        <w:overflowPunct/>
        <w:topLinePunct w:val="0"/>
        <w:autoSpaceDE/>
        <w:autoSpaceDN/>
        <w:bidi w:val="0"/>
        <w:spacing w:line="460" w:lineRule="exact"/>
        <w:contextualSpacing/>
        <w:jc w:val="left"/>
        <w:outlineLvl w:val="1"/>
        <w:rPr>
          <w:rFonts w:hint="default" w:ascii="Arial" w:hAnsi="Arial" w:cs="Arial"/>
          <w:b/>
          <w:bCs/>
          <w:color w:val="auto"/>
          <w:sz w:val="22"/>
          <w:szCs w:val="22"/>
          <w:highlight w:val="none"/>
        </w:rPr>
      </w:pPr>
      <w:bookmarkStart w:id="171" w:name="_Toc50910813"/>
      <w:r>
        <w:rPr>
          <w:rFonts w:hint="default" w:ascii="Arial" w:hAnsi="Arial" w:cs="Arial"/>
          <w:b/>
          <w:bCs/>
          <w:color w:val="auto"/>
          <w:sz w:val="22"/>
          <w:szCs w:val="22"/>
          <w:highlight w:val="none"/>
        </w:rPr>
        <w:t>符合性审查与比较</w:t>
      </w:r>
      <w:bookmarkEnd w:id="171"/>
    </w:p>
    <w:p>
      <w:pPr>
        <w:pageBreakBefore w:val="0"/>
        <w:widowControl/>
        <w:numPr>
          <w:ilvl w:val="0"/>
          <w:numId w:val="23"/>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评标委员会审查投标文件的实质性内容是否符合招标文件的实质性要求。</w:t>
      </w:r>
    </w:p>
    <w:p>
      <w:pPr>
        <w:pageBreakBefore w:val="0"/>
        <w:widowControl/>
        <w:numPr>
          <w:ilvl w:val="0"/>
          <w:numId w:val="23"/>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评标委员会将根据投标人的投标文件进行审查、核对，如有疑问，将对投标人进行线上询标，投标人要向评标委员会澄清有关问题，并以电子扫描件或拍照形式进行答复。</w:t>
      </w:r>
    </w:p>
    <w:p>
      <w:pPr>
        <w:pageBreakBefore w:val="0"/>
        <w:widowControl/>
        <w:kinsoku/>
        <w:wordWrap/>
        <w:overflowPunct/>
        <w:topLinePunct w:val="0"/>
        <w:autoSpaceDE/>
        <w:autoSpaceDN/>
        <w:bidi w:val="0"/>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投标人代表拒绝澄清或者澄清的内容改变了投标文件的实质性内容的，评标委员会有权对该投标文件作出不利于投标人的评判。</w:t>
      </w:r>
    </w:p>
    <w:p>
      <w:pPr>
        <w:pageBreakBefore w:val="0"/>
        <w:widowControl/>
        <w:numPr>
          <w:ilvl w:val="0"/>
          <w:numId w:val="23"/>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各投标人的商务技术得分为所有评委的有效评分的算术平均数，由指定专人进行计算复核。</w:t>
      </w:r>
    </w:p>
    <w:p>
      <w:pPr>
        <w:pageBreakBefore w:val="0"/>
        <w:widowControl/>
        <w:numPr>
          <w:ilvl w:val="0"/>
          <w:numId w:val="23"/>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采购代理机构工作人员协助评标委员会根据本项目的评分标准计算各投标人的价格得分。</w:t>
      </w:r>
    </w:p>
    <w:p>
      <w:pPr>
        <w:pageBreakBefore w:val="0"/>
        <w:widowControl/>
        <w:numPr>
          <w:ilvl w:val="0"/>
          <w:numId w:val="23"/>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评标委员会完成评标后，评委对各部分得分汇总，计算出本项目最终得分。评标委员会按评标原则推荐中标候选人同时起草评标报告。</w:t>
      </w:r>
    </w:p>
    <w:p>
      <w:pPr>
        <w:pageBreakBefore w:val="0"/>
        <w:widowControl/>
        <w:kinsoku/>
        <w:wordWrap/>
        <w:overflowPunct/>
        <w:topLinePunct w:val="0"/>
        <w:autoSpaceDE/>
        <w:autoSpaceDN/>
        <w:bidi w:val="0"/>
        <w:spacing w:line="460" w:lineRule="exact"/>
        <w:ind w:left="420"/>
        <w:contextualSpacing/>
        <w:jc w:val="left"/>
        <w:outlineLvl w:val="1"/>
        <w:rPr>
          <w:rFonts w:hint="default" w:ascii="Arial" w:hAnsi="Arial" w:cs="Arial"/>
          <w:b/>
          <w:color w:val="auto"/>
          <w:sz w:val="22"/>
          <w:szCs w:val="22"/>
          <w:highlight w:val="none"/>
        </w:rPr>
      </w:pPr>
      <w:bookmarkStart w:id="172" w:name="_Toc50910814"/>
      <w:bookmarkStart w:id="173" w:name="_Toc317685587"/>
      <w:bookmarkStart w:id="174" w:name="_Toc436330225"/>
      <w:r>
        <w:rPr>
          <w:rFonts w:hint="default" w:ascii="Arial" w:hAnsi="Arial" w:cs="Arial"/>
          <w:b/>
          <w:color w:val="auto"/>
          <w:sz w:val="22"/>
          <w:szCs w:val="22"/>
          <w:highlight w:val="none"/>
        </w:rPr>
        <w:t>（四）澄清问题的形式</w:t>
      </w:r>
      <w:bookmarkEnd w:id="172"/>
      <w:bookmarkEnd w:id="173"/>
      <w:bookmarkEnd w:id="174"/>
    </w:p>
    <w:p>
      <w:pPr>
        <w:pageBreakBefore w:val="0"/>
        <w:widowControl/>
        <w:kinsoku/>
        <w:wordWrap/>
        <w:overflowPunct/>
        <w:topLinePunct w:val="0"/>
        <w:autoSpaceDE/>
        <w:autoSpaceDN/>
        <w:bidi w:val="0"/>
        <w:spacing w:line="460" w:lineRule="exact"/>
        <w:ind w:firstLine="440" w:firstLineChars="200"/>
        <w:contextualSpacing/>
        <w:jc w:val="left"/>
        <w:outlineLvl w:val="1"/>
        <w:rPr>
          <w:rFonts w:hint="default" w:ascii="Arial" w:hAnsi="Arial" w:cs="Arial"/>
          <w:color w:val="auto"/>
          <w:sz w:val="22"/>
          <w:szCs w:val="22"/>
          <w:highlight w:val="none"/>
        </w:rPr>
      </w:pPr>
      <w:bookmarkStart w:id="175" w:name="_Toc50910815"/>
      <w:r>
        <w:rPr>
          <w:rFonts w:hint="default" w:ascii="Arial" w:hAnsi="Arial" w:cs="Arial"/>
          <w:color w:val="auto"/>
          <w:sz w:val="22"/>
          <w:szCs w:val="22"/>
          <w:highlight w:val="none"/>
        </w:rPr>
        <w:t>对于投标文件中含义不明确、同类问题表述不一致或者有明显文字和计算错误的内容，评标委员会可要求投标人以电子扫描件或者拍照形式作出必要的澄清、说明或者补正。</w:t>
      </w:r>
      <w:bookmarkEnd w:id="175"/>
    </w:p>
    <w:p>
      <w:pPr>
        <w:pageBreakBefore w:val="0"/>
        <w:widowControl/>
        <w:kinsoku/>
        <w:wordWrap/>
        <w:overflowPunct/>
        <w:topLinePunct w:val="0"/>
        <w:autoSpaceDE/>
        <w:autoSpaceDN/>
        <w:bidi w:val="0"/>
        <w:spacing w:line="460" w:lineRule="exact"/>
        <w:ind w:firstLine="440" w:firstLineChars="200"/>
        <w:contextualSpacing/>
        <w:jc w:val="left"/>
        <w:outlineLvl w:val="1"/>
        <w:rPr>
          <w:rFonts w:hint="default" w:ascii="Arial" w:hAnsi="Arial" w:cs="Arial"/>
          <w:color w:val="auto"/>
          <w:sz w:val="22"/>
          <w:szCs w:val="22"/>
          <w:highlight w:val="none"/>
        </w:rPr>
      </w:pPr>
      <w:bookmarkStart w:id="176" w:name="_Toc50910816"/>
      <w:r>
        <w:rPr>
          <w:rFonts w:hint="default" w:ascii="Arial" w:hAnsi="Arial" w:cs="Arial"/>
          <w:color w:val="auto"/>
          <w:sz w:val="22"/>
          <w:szCs w:val="22"/>
          <w:highlight w:val="none"/>
        </w:rPr>
        <w:t>投标人的澄清、说明或者补正应当采用电子扫描件或者拍照形式，事后应当采用书面形式，并加盖公章，或者由法定代表人或其授权代表签字确认邮寄给采购代理机构，投标人的澄清、说明或者补正不得超出投标文件的范围或者改变投标文件的实质性内容。</w:t>
      </w:r>
      <w:bookmarkEnd w:id="176"/>
      <w:bookmarkStart w:id="177" w:name="_Toc317685588"/>
      <w:bookmarkStart w:id="178" w:name="_Toc436330226"/>
    </w:p>
    <w:p>
      <w:pPr>
        <w:pageBreakBefore w:val="0"/>
        <w:widowControl/>
        <w:kinsoku/>
        <w:wordWrap/>
        <w:overflowPunct/>
        <w:topLinePunct w:val="0"/>
        <w:autoSpaceDE/>
        <w:autoSpaceDN/>
        <w:bidi w:val="0"/>
        <w:spacing w:line="460" w:lineRule="exact"/>
        <w:ind w:left="420"/>
        <w:contextualSpacing/>
        <w:jc w:val="left"/>
        <w:outlineLvl w:val="1"/>
        <w:rPr>
          <w:rFonts w:hint="default" w:ascii="Arial" w:hAnsi="Arial" w:cs="Arial"/>
          <w:b/>
          <w:color w:val="auto"/>
          <w:sz w:val="22"/>
          <w:szCs w:val="22"/>
          <w:highlight w:val="none"/>
        </w:rPr>
      </w:pPr>
      <w:bookmarkStart w:id="179" w:name="_Toc50910817"/>
      <w:r>
        <w:rPr>
          <w:rFonts w:hint="default" w:ascii="Arial" w:hAnsi="Arial" w:cs="Arial"/>
          <w:b/>
          <w:color w:val="auto"/>
          <w:sz w:val="22"/>
          <w:szCs w:val="22"/>
          <w:highlight w:val="none"/>
        </w:rPr>
        <w:t>（五）错误修正</w:t>
      </w:r>
      <w:bookmarkEnd w:id="177"/>
      <w:bookmarkEnd w:id="178"/>
      <w:bookmarkEnd w:id="179"/>
    </w:p>
    <w:p>
      <w:pPr>
        <w:pStyle w:val="205"/>
        <w:pageBreakBefore w:val="0"/>
        <w:widowControl/>
        <w:kinsoku/>
        <w:wordWrap/>
        <w:overflowPunct/>
        <w:topLinePunct w:val="0"/>
        <w:autoSpaceDE/>
        <w:autoSpaceDN/>
        <w:bidi w:val="0"/>
        <w:spacing w:beforeLines="0" w:afterLines="0" w:line="460" w:lineRule="exact"/>
        <w:ind w:left="699" w:leftChars="228" w:hanging="220" w:hangingChars="1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投标文件报价出现前后不一致的，除招标文件另有规定外，按照下列规定修正：</w:t>
      </w:r>
    </w:p>
    <w:p>
      <w:pPr>
        <w:pageBreakBefore w:val="0"/>
        <w:widowControl/>
        <w:kinsoku/>
        <w:wordWrap/>
        <w:overflowPunct/>
        <w:topLinePunct w:val="0"/>
        <w:autoSpaceDE/>
        <w:autoSpaceDN/>
        <w:bidi w:val="0"/>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1、投标文件中开标一览表（报价表）内容与投标文件中相应内容不一致的，以开标一览表（报价表）为准；</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2、大写金额和小写金额不一致的，以大写金额为准；</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3、单价金额小数点或者百分比有明显错位的，以开标一览表的总价为准，并修改单价；</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4、总价金额与按单价汇总金额不一致的，以单价金额计算结果为准；</w:t>
      </w:r>
    </w:p>
    <w:p>
      <w:pPr>
        <w:pageBreakBefore w:val="0"/>
        <w:widowControl/>
        <w:kinsoku/>
        <w:wordWrap/>
        <w:overflowPunct/>
        <w:topLinePunct w:val="0"/>
        <w:autoSpaceDE/>
        <w:autoSpaceDN/>
        <w:bidi w:val="0"/>
        <w:spacing w:line="460" w:lineRule="exact"/>
        <w:ind w:firstLine="442" w:firstLineChars="200"/>
        <w:contextualSpacing/>
        <w:jc w:val="left"/>
        <w:rPr>
          <w:rFonts w:hint="default" w:ascii="Arial" w:hAnsi="Arial" w:cs="Arial"/>
          <w:b/>
          <w:bCs/>
          <w:color w:val="auto"/>
          <w:sz w:val="22"/>
          <w:szCs w:val="22"/>
          <w:highlight w:val="none"/>
        </w:rPr>
      </w:pPr>
      <w:r>
        <w:rPr>
          <w:rFonts w:hint="default" w:ascii="Arial" w:hAnsi="Arial" w:cs="Arial"/>
          <w:b/>
          <w:bCs/>
          <w:color w:val="auto"/>
          <w:sz w:val="22"/>
          <w:szCs w:val="22"/>
          <w:highlight w:val="none"/>
        </w:rPr>
        <w:t>同时出现两种以上不一致的，按照前款规定的顺序修正。修正后的报价经投标人确认后具有约束力，若投标人不确认的，则其投标无效。</w:t>
      </w:r>
    </w:p>
    <w:p>
      <w:pPr>
        <w:pageBreakBefore w:val="0"/>
        <w:widowControl/>
        <w:kinsoku/>
        <w:wordWrap/>
        <w:overflowPunct/>
        <w:topLinePunct w:val="0"/>
        <w:autoSpaceDE/>
        <w:autoSpaceDN/>
        <w:bidi w:val="0"/>
        <w:spacing w:line="460" w:lineRule="exact"/>
        <w:ind w:left="420"/>
        <w:contextualSpacing/>
        <w:jc w:val="left"/>
        <w:outlineLvl w:val="1"/>
        <w:rPr>
          <w:rFonts w:hint="default" w:ascii="Arial" w:hAnsi="Arial" w:cs="Arial"/>
          <w:b/>
          <w:color w:val="auto"/>
          <w:sz w:val="22"/>
          <w:szCs w:val="22"/>
          <w:highlight w:val="none"/>
        </w:rPr>
      </w:pPr>
      <w:bookmarkStart w:id="180" w:name="_Toc50910818"/>
      <w:bookmarkStart w:id="181" w:name="_Toc436330227"/>
      <w:bookmarkStart w:id="182" w:name="_Toc317685589"/>
      <w:r>
        <w:rPr>
          <w:rFonts w:hint="default" w:ascii="Arial" w:hAnsi="Arial" w:cs="Arial"/>
          <w:b/>
          <w:color w:val="auto"/>
          <w:sz w:val="22"/>
          <w:szCs w:val="22"/>
          <w:highlight w:val="none"/>
        </w:rPr>
        <w:t>（六）评标原则和评标办法</w:t>
      </w:r>
      <w:bookmarkEnd w:id="180"/>
      <w:bookmarkEnd w:id="181"/>
      <w:bookmarkEnd w:id="182"/>
    </w:p>
    <w:p>
      <w:pPr>
        <w:pStyle w:val="27"/>
        <w:pageBreakBefore w:val="0"/>
        <w:widowControl/>
        <w:numPr>
          <w:ilvl w:val="0"/>
          <w:numId w:val="24"/>
        </w:numPr>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7"/>
        <w:pageBreakBefore w:val="0"/>
        <w:widowControl/>
        <w:numPr>
          <w:ilvl w:val="0"/>
          <w:numId w:val="24"/>
        </w:numPr>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评标办法。本项目评标办法是</w:t>
      </w:r>
      <w:r>
        <w:rPr>
          <w:rFonts w:hint="default" w:ascii="Arial" w:hAnsi="Arial" w:cs="Arial"/>
          <w:color w:val="auto"/>
          <w:sz w:val="22"/>
          <w:szCs w:val="22"/>
          <w:highlight w:val="none"/>
          <w:u w:val="single"/>
        </w:rPr>
        <w:t xml:space="preserve"> 综合评分法 </w:t>
      </w:r>
      <w:r>
        <w:rPr>
          <w:rFonts w:hint="default" w:ascii="Arial" w:hAnsi="Arial" w:cs="Arial"/>
          <w:color w:val="auto"/>
          <w:sz w:val="22"/>
          <w:szCs w:val="22"/>
          <w:highlight w:val="none"/>
        </w:rPr>
        <w:t>，具体评标内容及评分标准等详见《第四章 评标办法及评分标准》。</w:t>
      </w:r>
    </w:p>
    <w:p>
      <w:pPr>
        <w:pageBreakBefore w:val="0"/>
        <w:widowControl/>
        <w:kinsoku/>
        <w:wordWrap/>
        <w:overflowPunct/>
        <w:topLinePunct w:val="0"/>
        <w:autoSpaceDE/>
        <w:autoSpaceDN/>
        <w:bidi w:val="0"/>
        <w:spacing w:line="460" w:lineRule="exact"/>
        <w:contextualSpacing/>
        <w:jc w:val="left"/>
        <w:outlineLvl w:val="1"/>
        <w:rPr>
          <w:rFonts w:hint="default" w:ascii="Arial" w:hAnsi="Arial" w:cs="Arial"/>
          <w:b/>
          <w:color w:val="auto"/>
          <w:sz w:val="22"/>
          <w:szCs w:val="22"/>
          <w:highlight w:val="none"/>
        </w:rPr>
      </w:pPr>
      <w:bookmarkStart w:id="183" w:name="_Toc50910819"/>
      <w:r>
        <w:rPr>
          <w:rFonts w:hint="default" w:ascii="Arial" w:hAnsi="Arial" w:cs="Arial"/>
          <w:b/>
          <w:color w:val="auto"/>
          <w:sz w:val="22"/>
          <w:szCs w:val="22"/>
          <w:highlight w:val="none"/>
        </w:rPr>
        <w:t>六、定标</w:t>
      </w:r>
      <w:bookmarkEnd w:id="183"/>
    </w:p>
    <w:p>
      <w:pPr>
        <w:pStyle w:val="27"/>
        <w:pageBreakBefore w:val="0"/>
        <w:widowControl/>
        <w:kinsoku/>
        <w:wordWrap/>
        <w:overflowPunct/>
        <w:topLinePunct w:val="0"/>
        <w:autoSpaceDE/>
        <w:autoSpaceDN/>
        <w:bidi w:val="0"/>
        <w:spacing w:before="0" w:beforeLines="0" w:after="0" w:afterLines="0"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1、确定中标人。本项目由评标委员会推荐中标候选人，采购人不得在评标</w:t>
      </w:r>
    </w:p>
    <w:p>
      <w:pPr>
        <w:pStyle w:val="27"/>
        <w:pageBreakBefore w:val="0"/>
        <w:widowControl/>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委员会推荐的中标候选人以外确定中标候选人。</w:t>
      </w:r>
    </w:p>
    <w:p>
      <w:pPr>
        <w:pStyle w:val="27"/>
        <w:pageBreakBefore w:val="0"/>
        <w:widowControl/>
        <w:kinsoku/>
        <w:wordWrap/>
        <w:overflowPunct/>
        <w:topLinePunct w:val="0"/>
        <w:autoSpaceDE/>
        <w:autoSpaceDN/>
        <w:bidi w:val="0"/>
        <w:spacing w:before="0" w:beforeLines="0" w:after="0" w:afterLines="0"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2、采购代理机构在评标结束后2个工作日内将评标报告交采购人确认，采</w:t>
      </w:r>
    </w:p>
    <w:p>
      <w:pPr>
        <w:pStyle w:val="27"/>
        <w:pageBreakBefore w:val="0"/>
        <w:widowControl/>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pStyle w:val="27"/>
        <w:pageBreakBefore w:val="0"/>
        <w:widowControl/>
        <w:kinsoku/>
        <w:wordWrap/>
        <w:overflowPunct/>
        <w:topLinePunct w:val="0"/>
        <w:autoSpaceDE/>
        <w:autoSpaceDN/>
        <w:bidi w:val="0"/>
        <w:spacing w:before="0" w:beforeLines="0" w:after="0" w:afterLines="0"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3、采购代理机构自中标人确定之日起2个工作日内，在发布招标公告的网</w:t>
      </w:r>
    </w:p>
    <w:p>
      <w:pPr>
        <w:pStyle w:val="27"/>
        <w:pageBreakBefore w:val="0"/>
        <w:widowControl/>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站上对中标结果进行公示，中标结果公告期限为1个工作日。</w:t>
      </w:r>
    </w:p>
    <w:p>
      <w:pPr>
        <w:pStyle w:val="27"/>
        <w:pageBreakBefore w:val="0"/>
        <w:widowControl/>
        <w:kinsoku/>
        <w:wordWrap/>
        <w:overflowPunct/>
        <w:topLinePunct w:val="0"/>
        <w:autoSpaceDE/>
        <w:autoSpaceDN/>
        <w:bidi w:val="0"/>
        <w:spacing w:before="0" w:beforeLines="0" w:after="0" w:afterLines="0"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4、凡发现中标人有下列行为之一的，将移交政府采购监督管理部门依法处</w:t>
      </w:r>
    </w:p>
    <w:p>
      <w:pPr>
        <w:pStyle w:val="27"/>
        <w:pageBreakBefore w:val="0"/>
        <w:widowControl/>
        <w:kinsoku/>
        <w:wordWrap/>
        <w:overflowPunct/>
        <w:topLinePunct w:val="0"/>
        <w:autoSpaceDE/>
        <w:autoSpaceDN/>
        <w:bidi w:val="0"/>
        <w:spacing w:before="0" w:beforeLines="0" w:after="0" w:afterLines="0"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理：</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（1）提供虚假材料谋取中标的；</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（2）采取不正当手段诋毁、排挤其他投标人的；</w:t>
      </w:r>
    </w:p>
    <w:p>
      <w:pPr>
        <w:pageBreakBefore w:val="0"/>
        <w:widowControl/>
        <w:kinsoku/>
        <w:wordWrap/>
        <w:overflowPunct/>
        <w:topLinePunct w:val="0"/>
        <w:autoSpaceDE/>
        <w:autoSpaceDN/>
        <w:bidi w:val="0"/>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（3）与采购人、其他投标人或者采购代理机构工作人员恶意串通的；</w:t>
      </w:r>
    </w:p>
    <w:p>
      <w:pPr>
        <w:pageBreakBefore w:val="0"/>
        <w:widowControl/>
        <w:kinsoku/>
        <w:wordWrap/>
        <w:overflowPunct/>
        <w:topLinePunct w:val="0"/>
        <w:autoSpaceDE/>
        <w:autoSpaceDN/>
        <w:bidi w:val="0"/>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（4）向采购人或采购代理机构人员行贿或者提供其他不正当利益的；</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（5）拒绝有关部门监督检查或者提供虚假情况的；</w:t>
      </w:r>
    </w:p>
    <w:p>
      <w:pPr>
        <w:pageBreakBefore w:val="0"/>
        <w:widowControl/>
        <w:kinsoku/>
        <w:wordWrap/>
        <w:overflowPunct/>
        <w:topLinePunct w:val="0"/>
        <w:autoSpaceDE/>
        <w:autoSpaceDN/>
        <w:bidi w:val="0"/>
        <w:spacing w:line="460" w:lineRule="exact"/>
        <w:ind w:left="4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（6）有法律、法规规定的其他损害采购人利益和社会公共利益情形的。</w:t>
      </w:r>
    </w:p>
    <w:p>
      <w:pPr>
        <w:pageBreakBefore w:val="0"/>
        <w:widowControl/>
        <w:kinsoku/>
        <w:wordWrap/>
        <w:overflowPunct/>
        <w:topLinePunct w:val="0"/>
        <w:autoSpaceDE/>
        <w:autoSpaceDN/>
        <w:bidi w:val="0"/>
        <w:spacing w:line="460" w:lineRule="exact"/>
        <w:contextualSpacing/>
        <w:jc w:val="left"/>
        <w:outlineLvl w:val="1"/>
        <w:rPr>
          <w:rFonts w:hint="default" w:ascii="Arial" w:hAnsi="Arial" w:cs="Arial"/>
          <w:b/>
          <w:color w:val="auto"/>
          <w:sz w:val="22"/>
          <w:szCs w:val="22"/>
          <w:highlight w:val="none"/>
        </w:rPr>
      </w:pPr>
      <w:bookmarkStart w:id="184" w:name="_Toc50910820"/>
      <w:r>
        <w:rPr>
          <w:rFonts w:hint="default" w:ascii="Arial" w:hAnsi="Arial" w:cs="Arial"/>
          <w:b/>
          <w:color w:val="auto"/>
          <w:sz w:val="22"/>
          <w:szCs w:val="22"/>
          <w:highlight w:val="none"/>
        </w:rPr>
        <w:t>七、评标过程的监控</w:t>
      </w:r>
      <w:bookmarkEnd w:id="184"/>
    </w:p>
    <w:p>
      <w:pPr>
        <w:pageBreakBefore w:val="0"/>
        <w:widowControl/>
        <w:kinsoku/>
        <w:wordWrap/>
        <w:overflowPunct/>
        <w:topLinePunct w:val="0"/>
        <w:autoSpaceDE/>
        <w:autoSpaceDN/>
        <w:bidi w:val="0"/>
        <w:spacing w:line="460" w:lineRule="exact"/>
        <w:ind w:firstLine="440" w:firstLineChars="200"/>
        <w:contextualSpacing/>
        <w:jc w:val="left"/>
        <w:outlineLvl w:val="1"/>
        <w:rPr>
          <w:rFonts w:hint="default" w:ascii="Arial" w:hAnsi="Arial" w:cs="Arial"/>
          <w:bCs/>
          <w:color w:val="auto"/>
          <w:sz w:val="22"/>
          <w:szCs w:val="22"/>
          <w:highlight w:val="none"/>
        </w:rPr>
      </w:pPr>
      <w:bookmarkStart w:id="185" w:name="_Toc50910821"/>
      <w:r>
        <w:rPr>
          <w:rFonts w:hint="default" w:ascii="Arial" w:hAnsi="Arial" w:cs="Arial"/>
          <w:bCs/>
          <w:color w:val="auto"/>
          <w:sz w:val="22"/>
          <w:szCs w:val="22"/>
          <w:highlight w:val="none"/>
        </w:rPr>
        <w:t>本项目评标过程实行全程录音、录像监控，投标人在评标过程中所进行的试图影响评标结果的不公正活动，可能导致其投标被拒绝。</w:t>
      </w:r>
      <w:bookmarkEnd w:id="185"/>
    </w:p>
    <w:p>
      <w:pPr>
        <w:pageBreakBefore w:val="0"/>
        <w:widowControl/>
        <w:kinsoku/>
        <w:wordWrap/>
        <w:overflowPunct/>
        <w:topLinePunct w:val="0"/>
        <w:autoSpaceDE/>
        <w:autoSpaceDN/>
        <w:bidi w:val="0"/>
        <w:spacing w:line="460" w:lineRule="exact"/>
        <w:contextualSpacing/>
        <w:jc w:val="left"/>
        <w:outlineLvl w:val="1"/>
        <w:rPr>
          <w:rFonts w:hint="default" w:ascii="Arial" w:hAnsi="Arial" w:cs="Arial"/>
          <w:b/>
          <w:color w:val="auto"/>
          <w:sz w:val="22"/>
          <w:szCs w:val="22"/>
          <w:highlight w:val="none"/>
        </w:rPr>
      </w:pPr>
      <w:bookmarkStart w:id="186" w:name="_Toc50910822"/>
      <w:r>
        <w:rPr>
          <w:rFonts w:hint="default" w:ascii="Arial" w:hAnsi="Arial" w:cs="Arial"/>
          <w:b/>
          <w:color w:val="auto"/>
          <w:sz w:val="22"/>
          <w:szCs w:val="22"/>
          <w:highlight w:val="none"/>
        </w:rPr>
        <w:t>八、合同授予</w:t>
      </w:r>
      <w:bookmarkEnd w:id="186"/>
    </w:p>
    <w:p>
      <w:pPr>
        <w:pageBreakBefore w:val="0"/>
        <w:widowControl/>
        <w:numPr>
          <w:ilvl w:val="0"/>
          <w:numId w:val="25"/>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采购人与中标人应当在《中标通知书》发出之日起</w:t>
      </w:r>
      <w:r>
        <w:rPr>
          <w:rFonts w:hint="default" w:ascii="Arial" w:hAnsi="Arial" w:cs="Arial"/>
          <w:b/>
          <w:color w:val="auto"/>
          <w:sz w:val="22"/>
          <w:szCs w:val="22"/>
          <w:highlight w:val="none"/>
          <w:u w:val="single"/>
        </w:rPr>
        <w:t>30</w:t>
      </w:r>
      <w:r>
        <w:rPr>
          <w:rFonts w:hint="default" w:ascii="Arial" w:hAnsi="Arial" w:cs="Arial"/>
          <w:color w:val="auto"/>
          <w:sz w:val="22"/>
          <w:szCs w:val="22"/>
          <w:highlight w:val="none"/>
        </w:rPr>
        <w:t>日内签订政府采购合同。</w:t>
      </w:r>
    </w:p>
    <w:p>
      <w:pPr>
        <w:pageBreakBefore w:val="0"/>
        <w:widowControl/>
        <w:numPr>
          <w:ilvl w:val="0"/>
          <w:numId w:val="25"/>
        </w:numPr>
        <w:kinsoku/>
        <w:wordWrap/>
        <w:overflowPunct/>
        <w:topLinePunct w:val="0"/>
        <w:autoSpaceDE/>
        <w:autoSpaceDN/>
        <w:bidi w:val="0"/>
        <w:spacing w:line="460" w:lineRule="exact"/>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中标人拖延、拒签合同的，将被扣罚投标保证金并取消中标资格。</w:t>
      </w:r>
    </w:p>
    <w:p>
      <w:pPr>
        <w:pageBreakBefore w:val="0"/>
        <w:widowControl/>
        <w:kinsoku/>
        <w:wordWrap/>
        <w:overflowPunct/>
        <w:topLinePunct w:val="0"/>
        <w:autoSpaceDE/>
        <w:autoSpaceDN/>
        <w:bidi w:val="0"/>
        <w:spacing w:line="460" w:lineRule="exact"/>
        <w:contextualSpacing/>
        <w:jc w:val="left"/>
        <w:outlineLvl w:val="1"/>
        <w:rPr>
          <w:rFonts w:hint="default" w:ascii="Arial" w:hAnsi="Arial" w:cs="Arial"/>
          <w:b/>
          <w:color w:val="auto"/>
          <w:sz w:val="22"/>
          <w:szCs w:val="22"/>
          <w:highlight w:val="none"/>
        </w:rPr>
      </w:pPr>
      <w:bookmarkStart w:id="187" w:name="_Toc50910823"/>
      <w:r>
        <w:rPr>
          <w:rFonts w:hint="default" w:ascii="Arial" w:hAnsi="Arial" w:cs="Arial"/>
          <w:b/>
          <w:color w:val="auto"/>
          <w:sz w:val="22"/>
          <w:szCs w:val="22"/>
          <w:highlight w:val="none"/>
        </w:rPr>
        <w:t>九、履约验收（详见附件要求）</w:t>
      </w:r>
      <w:bookmarkEnd w:id="187"/>
    </w:p>
    <w:p>
      <w:pPr>
        <w:pStyle w:val="27"/>
        <w:pageBreakBefore w:val="0"/>
        <w:widowControl/>
        <w:kinsoku/>
        <w:wordWrap/>
        <w:overflowPunct/>
        <w:topLinePunct w:val="0"/>
        <w:autoSpaceDE/>
        <w:autoSpaceDN/>
        <w:bidi w:val="0"/>
        <w:spacing w:before="0" w:beforeLines="0" w:after="0" w:afterLines="0" w:line="460" w:lineRule="exact"/>
        <w:ind w:firstLine="440" w:firstLineChars="200"/>
        <w:contextualSpacing/>
        <w:jc w:val="left"/>
        <w:outlineLvl w:val="1"/>
        <w:rPr>
          <w:rFonts w:hint="default" w:ascii="Arial" w:hAnsi="Arial" w:cs="Arial"/>
          <w:color w:val="auto"/>
          <w:sz w:val="22"/>
          <w:szCs w:val="22"/>
          <w:highlight w:val="none"/>
        </w:rPr>
      </w:pPr>
      <w:bookmarkStart w:id="188" w:name="_Toc50910824"/>
      <w:r>
        <w:rPr>
          <w:rFonts w:hint="default" w:ascii="Arial" w:hAnsi="Arial" w:cs="Arial"/>
          <w:color w:val="auto"/>
          <w:sz w:val="22"/>
          <w:szCs w:val="22"/>
          <w:highlight w:val="none"/>
        </w:rPr>
        <w:t>采购人负责对中标人的履约行为进行验收，验收标准为本项目的采购文件以及中标人的投标文件，要求验收必须符合相关政策法规和地方标准。</w:t>
      </w:r>
      <w:bookmarkEnd w:id="188"/>
    </w:p>
    <w:bookmarkEnd w:id="154"/>
    <w:bookmarkEnd w:id="155"/>
    <w:p>
      <w:pPr>
        <w:pageBreakBefore w:val="0"/>
        <w:widowControl/>
        <w:kinsoku/>
        <w:wordWrap/>
        <w:overflowPunct/>
        <w:topLinePunct w:val="0"/>
        <w:autoSpaceDE/>
        <w:autoSpaceDN/>
        <w:bidi w:val="0"/>
        <w:spacing w:line="460" w:lineRule="exact"/>
        <w:contextualSpacing/>
        <w:jc w:val="left"/>
        <w:outlineLvl w:val="1"/>
        <w:rPr>
          <w:rFonts w:hint="default" w:ascii="Arial" w:hAnsi="Arial" w:cs="Arial"/>
          <w:b/>
          <w:color w:val="auto"/>
          <w:sz w:val="22"/>
          <w:szCs w:val="22"/>
          <w:highlight w:val="none"/>
        </w:rPr>
      </w:pPr>
      <w:bookmarkStart w:id="189" w:name="_Toc50910825"/>
      <w:r>
        <w:rPr>
          <w:rFonts w:hint="default" w:ascii="Arial" w:hAnsi="Arial" w:cs="Arial"/>
          <w:b/>
          <w:color w:val="auto"/>
          <w:sz w:val="22"/>
          <w:szCs w:val="22"/>
          <w:highlight w:val="none"/>
        </w:rPr>
        <w:t>十、特别说明</w:t>
      </w:r>
      <w:bookmarkEnd w:id="189"/>
    </w:p>
    <w:p>
      <w:pPr>
        <w:widowControl/>
        <w:spacing w:line="460" w:lineRule="exact"/>
        <w:ind w:firstLine="440" w:firstLineChars="200"/>
        <w:contextualSpacing/>
        <w:jc w:val="left"/>
        <w:rPr>
          <w:rFonts w:hint="eastAsia" w:ascii="Arial" w:hAnsi="Arial" w:cs="Arial"/>
          <w:color w:val="auto"/>
          <w:sz w:val="22"/>
          <w:szCs w:val="22"/>
          <w:highlight w:val="none"/>
        </w:rPr>
      </w:pPr>
      <w:bookmarkStart w:id="190" w:name="_Toc50910826"/>
      <w:r>
        <w:rPr>
          <w:rFonts w:hint="eastAsia" w:ascii="Arial" w:hAnsi="Arial" w:cs="Arial"/>
          <w:color w:val="auto"/>
          <w:sz w:val="22"/>
          <w:szCs w:val="22"/>
          <w:highlight w:val="none"/>
        </w:rPr>
        <w:t>1、本项目非专门面向中小企业采购。</w:t>
      </w:r>
    </w:p>
    <w:p>
      <w:pPr>
        <w:widowControl/>
        <w:spacing w:line="460" w:lineRule="exact"/>
        <w:ind w:firstLine="440" w:firstLineChars="200"/>
        <w:contextualSpacing/>
        <w:jc w:val="left"/>
        <w:rPr>
          <w:rFonts w:hint="eastAsia" w:ascii="Arial" w:hAnsi="Arial" w:cs="Arial"/>
          <w:color w:val="auto"/>
          <w:sz w:val="22"/>
          <w:szCs w:val="22"/>
          <w:highlight w:val="none"/>
        </w:rPr>
      </w:pPr>
      <w:r>
        <w:rPr>
          <w:rFonts w:hint="eastAsia" w:ascii="Arial" w:hAnsi="Arial" w:cs="Arial"/>
          <w:color w:val="auto"/>
          <w:sz w:val="22"/>
          <w:szCs w:val="22"/>
          <w:highlight w:val="none"/>
        </w:rPr>
        <w:t>2、本项目对应的中小企业划分标准所属行业：</w:t>
      </w:r>
      <w:r>
        <w:rPr>
          <w:rFonts w:hint="eastAsia" w:ascii="Arial" w:hAnsi="Arial" w:cs="Arial"/>
          <w:color w:val="auto"/>
          <w:sz w:val="22"/>
          <w:szCs w:val="22"/>
          <w:highlight w:val="none"/>
          <w:u w:val="single"/>
        </w:rPr>
        <w:t>信息传输业</w:t>
      </w:r>
      <w:r>
        <w:rPr>
          <w:rFonts w:hint="eastAsia" w:ascii="Arial" w:hAnsi="Arial" w:eastAsia="宋体" w:cs="Arial"/>
          <w:color w:val="auto"/>
          <w:sz w:val="22"/>
          <w:szCs w:val="22"/>
          <w:highlight w:val="none"/>
          <w:u w:val="single"/>
        </w:rPr>
        <w:t>。</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符合中小企业划分标准的个体工商户，在政府采购活动中视同中小企业。</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国务院批准的中小企业划分标准：具体见工信部联企业[2011]300号。</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4、在政府采购活动中，供应商提供的货物、工程或者服务符合下列情形的，可享受小型、微型企业（以下简称小微企业）的价格扣除：</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（1）在货物采购项目中，货物由小微企业制造，即货物由小微企业生产且使用该小微企业商号或者注册商标；</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（2）在工程采购项目中，工程由小微企业承建，即工程施工单位为小微企业；</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（3）在服务采购项目中，服务由小微企业承接，即提供服务的人员为小微企业依照《中华人民共和国劳动合同法》订立劳动合同的从业人员。</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以联合体形式参加政府采购活动，联合体各方均为小微企业的，联合体视同小微企业。</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5、在货物采购项目中，供应商提供的货物既有中小企业制造货物，也有大型企业制造货物的，不享受的小微企业价格扣除。</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6、</w:t>
      </w:r>
      <w:r>
        <w:rPr>
          <w:rFonts w:hint="default" w:ascii="Arial" w:hAnsi="Arial" w:cs="Arial"/>
          <w:color w:val="auto"/>
          <w:sz w:val="22"/>
          <w:szCs w:val="22"/>
          <w:highlight w:val="none"/>
          <w:lang w:eastAsia="zh-CN"/>
        </w:rPr>
        <w:t>根据</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浙江省财政厅关于进一步加大政府采购支持中小企业力度 助力扎实稳住经济的通知</w:t>
      </w:r>
      <w:r>
        <w:rPr>
          <w:rFonts w:hint="eastAsia" w:ascii="Arial" w:hAnsi="Arial" w:eastAsia="宋体" w:cs="Arial"/>
          <w:color w:val="auto"/>
          <w:sz w:val="22"/>
          <w:szCs w:val="22"/>
          <w:highlight w:val="none"/>
          <w:lang w:eastAsia="zh-CN"/>
        </w:rPr>
        <w:t>》</w:t>
      </w:r>
      <w:r>
        <w:rPr>
          <w:rFonts w:hint="default" w:ascii="Arial" w:hAnsi="Arial" w:eastAsia="宋体" w:cs="Arial"/>
          <w:color w:val="auto"/>
          <w:sz w:val="22"/>
          <w:szCs w:val="22"/>
          <w:highlight w:val="none"/>
        </w:rPr>
        <w:t>（浙财采监[2022]8）</w:t>
      </w:r>
      <w:r>
        <w:rPr>
          <w:rFonts w:hint="default" w:ascii="Arial" w:hAnsi="Arial" w:cs="Arial"/>
          <w:color w:val="auto"/>
          <w:sz w:val="22"/>
          <w:szCs w:val="22"/>
          <w:highlight w:val="none"/>
          <w:lang w:val="en-US" w:eastAsia="zh-CN"/>
        </w:rPr>
        <w:t>规定，针对本项目</w:t>
      </w:r>
      <w:r>
        <w:rPr>
          <w:rFonts w:hint="default" w:ascii="Arial" w:hAnsi="Arial" w:cs="Arial"/>
          <w:color w:val="auto"/>
          <w:sz w:val="22"/>
          <w:szCs w:val="22"/>
          <w:highlight w:val="none"/>
        </w:rPr>
        <w:t xml:space="preserve">对符合《政府采购促进中小企业发展管理办法》（财库[2020]46号）规定的小微企业报价给予 </w:t>
      </w:r>
      <w:r>
        <w:rPr>
          <w:rFonts w:hint="eastAsia" w:ascii="Arial" w:hAnsi="Arial" w:cs="Arial"/>
          <w:color w:val="auto"/>
          <w:sz w:val="22"/>
          <w:szCs w:val="22"/>
          <w:highlight w:val="none"/>
          <w:lang w:val="en-US" w:eastAsia="zh-CN"/>
        </w:rPr>
        <w:t>20</w:t>
      </w:r>
      <w:r>
        <w:rPr>
          <w:rFonts w:hint="default" w:ascii="Arial" w:hAnsi="Arial" w:cs="Arial"/>
          <w:color w:val="auto"/>
          <w:sz w:val="22"/>
          <w:szCs w:val="22"/>
          <w:highlight w:val="none"/>
        </w:rPr>
        <w:t>%的扣除，用扣除后的价格参加评审。</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Arial" w:hAnsi="Arial" w:cs="Arial"/>
          <w:color w:val="auto"/>
          <w:sz w:val="22"/>
          <w:szCs w:val="22"/>
          <w:highlight w:val="none"/>
          <w:lang w:val="en-US" w:eastAsia="zh-CN"/>
        </w:rPr>
        <w:t>6</w:t>
      </w:r>
      <w:r>
        <w:rPr>
          <w:rFonts w:hint="default" w:ascii="Arial" w:hAnsi="Arial" w:cs="Arial"/>
          <w:color w:val="auto"/>
          <w:sz w:val="22"/>
          <w:szCs w:val="22"/>
          <w:highlight w:val="none"/>
        </w:rPr>
        <w:t>%的扣除，用扣除后的价格参加评审。组成联合体或者接受分包的小微企业与联合体内其他企业、分包企业之间存在直接控股、管理关系的，不享受价格扣除优惠政策。</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7、小微企业应按照招标文件格式要求提供《中小企业声明函》。</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9</w:t>
      </w:r>
      <w:r>
        <w:rPr>
          <w:rFonts w:hint="default" w:ascii="Arial" w:hAnsi="Arial" w:cs="Arial"/>
          <w:color w:val="auto"/>
          <w:sz w:val="22"/>
          <w:szCs w:val="22"/>
          <w:highlight w:val="none"/>
        </w:rPr>
        <w:t>、按规定享受扶持政策获得政府采购合同的，小微企业不得将合同分包给大中型企业，中型企业不得将合同分包给大型企业。</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w:t>
      </w:r>
      <w:r>
        <w:rPr>
          <w:rFonts w:hint="eastAsia" w:ascii="Arial" w:hAnsi="Arial" w:cs="Arial"/>
          <w:color w:val="auto"/>
          <w:sz w:val="22"/>
          <w:szCs w:val="22"/>
          <w:highlight w:val="none"/>
          <w:lang w:val="en-US" w:eastAsia="zh-CN"/>
        </w:rPr>
        <w:t>0</w:t>
      </w:r>
      <w:r>
        <w:rPr>
          <w:rFonts w:hint="default" w:ascii="Arial" w:hAnsi="Arial" w:cs="Arial"/>
          <w:color w:val="auto"/>
          <w:sz w:val="22"/>
          <w:szCs w:val="22"/>
          <w:highlight w:val="none"/>
        </w:rPr>
        <w:t>、供应商按照《政府采购促进中小企业发展管理办法》（财库﹝2020﹞46号）规定提供声明函内容不实的，供应商需承担相应的法律责任。</w:t>
      </w:r>
    </w:p>
    <w:p>
      <w:pPr>
        <w:widowControl/>
        <w:spacing w:line="460" w:lineRule="exact"/>
        <w:ind w:firstLine="440" w:firstLineChars="200"/>
        <w:contextualSpacing/>
        <w:jc w:val="left"/>
        <w:rPr>
          <w:rFonts w:hint="default" w:ascii="Arial" w:hAnsi="Arial" w:cs="Arial"/>
          <w:color w:val="auto"/>
          <w:sz w:val="22"/>
          <w:szCs w:val="22"/>
          <w:highlight w:val="none"/>
        </w:rPr>
      </w:pPr>
      <w:r>
        <w:rPr>
          <w:rFonts w:hint="default" w:ascii="Arial" w:hAnsi="Arial" w:cs="Arial"/>
          <w:color w:val="auto"/>
          <w:sz w:val="22"/>
          <w:szCs w:val="22"/>
          <w:highlight w:val="none"/>
        </w:rPr>
        <w:t>1</w:t>
      </w:r>
      <w:r>
        <w:rPr>
          <w:rFonts w:hint="eastAsia" w:ascii="Arial" w:hAnsi="Arial" w:cs="Arial"/>
          <w:color w:val="auto"/>
          <w:sz w:val="22"/>
          <w:szCs w:val="22"/>
          <w:highlight w:val="none"/>
          <w:lang w:val="en-US" w:eastAsia="zh-CN"/>
        </w:rPr>
        <w:t>1</w:t>
      </w:r>
      <w:r>
        <w:rPr>
          <w:rFonts w:hint="default" w:ascii="Arial" w:hAnsi="Arial" w:cs="Arial"/>
          <w:color w:val="auto"/>
          <w:sz w:val="22"/>
          <w:szCs w:val="22"/>
          <w:highlight w:val="none"/>
        </w:rPr>
        <w:t>、《中小企业声明函》由参加投标的供应商提交，如供应商为代理商，须自行采集制造商的中小企业划分类型信息填入相应栏目并对其真实性负责。</w:t>
      </w:r>
    </w:p>
    <w:p>
      <w:pPr>
        <w:pStyle w:val="4"/>
        <w:pageBreakBefore/>
        <w:numPr>
          <w:ilvl w:val="0"/>
          <w:numId w:val="0"/>
        </w:numPr>
        <w:adjustRightInd w:val="0"/>
        <w:spacing w:line="300" w:lineRule="auto"/>
        <w:jc w:val="center"/>
        <w:textAlignment w:val="baseline"/>
        <w:rPr>
          <w:rFonts w:hint="default" w:ascii="Arial" w:hAnsi="Arial" w:cs="Arial"/>
          <w:bCs w:val="0"/>
          <w:color w:val="auto"/>
          <w:kern w:val="2"/>
          <w:sz w:val="28"/>
          <w:szCs w:val="28"/>
          <w:highlight w:val="none"/>
        </w:rPr>
      </w:pPr>
      <w:r>
        <w:rPr>
          <w:rFonts w:hint="default" w:ascii="Arial" w:hAnsi="Arial" w:cs="Arial"/>
          <w:bCs w:val="0"/>
          <w:color w:val="auto"/>
          <w:kern w:val="2"/>
          <w:sz w:val="28"/>
          <w:szCs w:val="28"/>
          <w:highlight w:val="none"/>
        </w:rPr>
        <w:t>第四章  评标办法及评分标准</w:t>
      </w:r>
      <w:bookmarkEnd w:id="190"/>
    </w:p>
    <w:p>
      <w:pPr>
        <w:pStyle w:val="30"/>
        <w:spacing w:line="480" w:lineRule="exact"/>
        <w:ind w:firstLine="0" w:firstLineChars="0"/>
        <w:rPr>
          <w:rFonts w:hint="default" w:ascii="Arial" w:hAnsi="Arial" w:cs="Arial"/>
          <w:color w:val="auto"/>
          <w:sz w:val="22"/>
          <w:szCs w:val="22"/>
          <w:highlight w:val="none"/>
        </w:rPr>
      </w:pPr>
      <w:bookmarkStart w:id="191" w:name="_Toc317685600"/>
      <w:r>
        <w:rPr>
          <w:rFonts w:hint="default" w:ascii="Arial" w:hAnsi="Arial" w:cs="Arial"/>
          <w:color w:val="auto"/>
          <w:sz w:val="21"/>
          <w:szCs w:val="21"/>
          <w:highlight w:val="none"/>
        </w:rPr>
        <w:t xml:space="preserve">   </w:t>
      </w:r>
      <w:r>
        <w:rPr>
          <w:rFonts w:hint="default" w:ascii="Arial" w:hAnsi="Arial" w:cs="Arial"/>
          <w:color w:val="auto"/>
          <w:sz w:val="22"/>
          <w:szCs w:val="22"/>
          <w:highlight w:val="none"/>
        </w:rPr>
        <w:t xml:space="preserve"> </w:t>
      </w:r>
      <w:r>
        <w:rPr>
          <w:rFonts w:hint="default" w:ascii="Arial" w:hAnsi="Arial" w:cs="Arial"/>
          <w:bCs w:val="0"/>
          <w:color w:val="auto"/>
          <w:sz w:val="22"/>
          <w:szCs w:val="22"/>
          <w:highlight w:val="none"/>
        </w:rPr>
        <w:t>本办法严格遵照《中华人民共和国政府采购法》、《中华人民共和国政府采购法实施条例》、《政府采购货物和服务招标投标管理办法》，结合项目所在地政府有关政府采购规定和项目的实际情况制定。</w:t>
      </w:r>
    </w:p>
    <w:p>
      <w:pPr>
        <w:spacing w:line="48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一、总则</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招标活动遵循公平、公正、科学、择优的原则依法进行，招标活动及当事人接受依法实施的监督。本次招标采用综合评分法。</w:t>
      </w:r>
    </w:p>
    <w:p>
      <w:pPr>
        <w:spacing w:line="48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二、评标组织</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1、本次招标依法组建评标委员会。</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2、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3、评审专家有下列情形之一的，受到邀请应主动提出回避，采购当事人也可以要求该评审专家回避：</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（1）本人、配偶或直系亲属3年内曾在参加该采购项目的投标人中任职（包括一般工作）或担任顾问，或与参加该采购项目的投标人发生过法律纠纷；</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（2）任职单位与采购人或参加该采购项目投标人存在行政隶属关系；</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（3）曾经参加过该采购项目的进口产品或采购文件、采购需求、采购方式的论证和咨询服务工作；</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（4）是参加该采购项目投标人的上级主管部门、控股或参股单位的工作人员，或与该投标人存在其他经济利益关系；</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（5）评审委员会成员之间具有配偶、近亲属关系；</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（6）同一单位的评审专家在同一项目评审委员会成员中超过一名；</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（7）法律、法规、规章规定应当回避以及其他可能影响公正评审的。</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4、评标委员会判断投标文件的有效性、合格性和响应情况，仅依据投标人所递交一切文件的真实表述，不受与本项目无直接关联的外部信息、传言而影响自身的专业判断。</w:t>
      </w:r>
    </w:p>
    <w:p>
      <w:pPr>
        <w:spacing w:line="48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三、评标程序</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1、采购代理机构按《招标采购文件》规定的时间、地点组织进行开标，开标会议由采购代理机构组织。</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采购代理机构将在规定的时间和地点进行开标，疫情期间所有投标人在投标截止时间前安排“甬行码”为绿色的相关人员（原则上不超过一名，须全程佩戴口罩）将电子备份投标文件送至投标地点，在完成投标文件和人员登记后立即离开。投标文件递交时需同时递交投标人的法定代表人（或其委托代理人）联系方式，并保证开标期间联系方式的畅通。</w:t>
      </w:r>
    </w:p>
    <w:p>
      <w:pPr>
        <w:spacing w:line="480" w:lineRule="exact"/>
        <w:ind w:firstLine="442" w:firstLineChars="200"/>
        <w:rPr>
          <w:rFonts w:hint="default" w:ascii="Arial" w:hAnsi="Arial" w:cs="Arial"/>
          <w:b/>
          <w:bCs/>
          <w:color w:val="auto"/>
          <w:sz w:val="22"/>
          <w:szCs w:val="22"/>
          <w:highlight w:val="none"/>
        </w:rPr>
      </w:pPr>
      <w:r>
        <w:rPr>
          <w:rFonts w:hint="default" w:ascii="Arial" w:hAnsi="Arial" w:cs="Arial"/>
          <w:b/>
          <w:bCs/>
          <w:color w:val="auto"/>
          <w:sz w:val="22"/>
          <w:szCs w:val="22"/>
          <w:highlight w:val="none"/>
        </w:rPr>
        <w:t>2、本次公开招标投标文件先开启资格证明文件及技术商务文件。</w:t>
      </w:r>
    </w:p>
    <w:p>
      <w:pPr>
        <w:spacing w:line="480" w:lineRule="exact"/>
        <w:ind w:firstLine="442" w:firstLineChars="200"/>
        <w:rPr>
          <w:rFonts w:hint="default" w:ascii="Arial" w:hAnsi="Arial" w:cs="Arial"/>
          <w:b/>
          <w:bCs/>
          <w:color w:val="auto"/>
          <w:sz w:val="22"/>
          <w:szCs w:val="22"/>
          <w:highlight w:val="none"/>
        </w:rPr>
      </w:pPr>
      <w:r>
        <w:rPr>
          <w:rFonts w:hint="default" w:ascii="Arial" w:hAnsi="Arial" w:cs="Arial"/>
          <w:b/>
          <w:bCs/>
          <w:color w:val="auto"/>
          <w:sz w:val="22"/>
          <w:szCs w:val="22"/>
          <w:highlight w:val="none"/>
        </w:rPr>
        <w:t>3、资格证明文件和技术商务文件评审结束后，公布资格审查结果、技术商务得分情况，再开启报价文件。</w:t>
      </w:r>
    </w:p>
    <w:p>
      <w:pPr>
        <w:spacing w:line="480" w:lineRule="exact"/>
        <w:ind w:firstLine="442" w:firstLineChars="200"/>
        <w:rPr>
          <w:rFonts w:hint="default" w:ascii="Arial" w:hAnsi="Arial" w:cs="Arial"/>
          <w:b/>
          <w:bCs/>
          <w:color w:val="auto"/>
          <w:sz w:val="22"/>
          <w:szCs w:val="22"/>
          <w:highlight w:val="none"/>
        </w:rPr>
      </w:pPr>
      <w:r>
        <w:rPr>
          <w:rFonts w:hint="default" w:ascii="Arial" w:hAnsi="Arial" w:cs="Arial"/>
          <w:b/>
          <w:bCs/>
          <w:color w:val="auto"/>
          <w:sz w:val="22"/>
          <w:szCs w:val="22"/>
          <w:highlight w:val="none"/>
        </w:rPr>
        <w:t>4、报价文件评审结束，公布报价得分及总得分，总得分最高的确定其为中标候选人。</w:t>
      </w:r>
    </w:p>
    <w:p>
      <w:pPr>
        <w:spacing w:line="480" w:lineRule="exact"/>
        <w:ind w:firstLine="442" w:firstLineChars="200"/>
        <w:rPr>
          <w:rFonts w:hint="default" w:ascii="Arial" w:hAnsi="Arial" w:cs="Arial"/>
          <w:b/>
          <w:bCs/>
          <w:color w:val="auto"/>
          <w:sz w:val="22"/>
          <w:szCs w:val="22"/>
          <w:highlight w:val="none"/>
        </w:rPr>
      </w:pPr>
      <w:r>
        <w:rPr>
          <w:rFonts w:hint="default" w:ascii="Arial" w:hAnsi="Arial" w:cs="Arial"/>
          <w:b/>
          <w:bCs/>
          <w:color w:val="auto"/>
          <w:sz w:val="22"/>
          <w:szCs w:val="22"/>
          <w:highlight w:val="none"/>
        </w:rPr>
        <w:t>注：有效投标人少于3家的，应重新组织招标采购。</w:t>
      </w:r>
    </w:p>
    <w:p>
      <w:pPr>
        <w:spacing w:line="480" w:lineRule="exact"/>
        <w:ind w:firstLine="442" w:firstLineChars="200"/>
        <w:rPr>
          <w:rFonts w:hint="default" w:ascii="Arial" w:hAnsi="Arial" w:cs="Arial"/>
          <w:b/>
          <w:bCs/>
          <w:color w:val="auto"/>
          <w:sz w:val="22"/>
          <w:szCs w:val="22"/>
          <w:highlight w:val="none"/>
        </w:rPr>
      </w:pPr>
      <w:r>
        <w:rPr>
          <w:rFonts w:hint="default" w:ascii="Arial" w:hAnsi="Arial" w:cs="Arial"/>
          <w:b/>
          <w:bCs/>
          <w:color w:val="auto"/>
          <w:sz w:val="22"/>
          <w:szCs w:val="22"/>
          <w:highlight w:val="none"/>
        </w:rPr>
        <w:t>5、对投标人表述不清的内容，评标委员会将向投标人进行询标，请其澄清其投标内容。</w:t>
      </w:r>
    </w:p>
    <w:p>
      <w:pPr>
        <w:spacing w:line="48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四、评标过程</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1、资格审查</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采购人或者采购代理机构对投标人的资格进行审查。依据法律法规和招标采购文件的规定，对投标文件中的资格证明进行审查，以确定投标人是否具备投标资格。</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2、符合性审查</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依据招标采购文件的规定，从投标文件的有效性、完整性和对招标采购文件的响应程度进行审查，以确定是否对招标采购文件的实质性要求作出响应。</w:t>
      </w:r>
    </w:p>
    <w:p>
      <w:pPr>
        <w:pStyle w:val="30"/>
        <w:spacing w:line="480" w:lineRule="exact"/>
        <w:ind w:left="495" w:firstLine="0" w:firstLineChars="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3、澄清问题</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对于投标文件中含义不明确、同类问题表述不一致或者有明显文字和计算错误的内容，评标委员会可要求投标人以书面形式作出必要的澄清、说明或者补正。</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投标人的澄清、说明或者补正应当采用书面形式，并加盖公章，或者由法定代表人或其授权代表签字确认，投标人的澄清、说明或者补正不得超出投标文件的范围或者改变投标文件的实质性内容。</w:t>
      </w:r>
    </w:p>
    <w:p>
      <w:pPr>
        <w:pStyle w:val="30"/>
        <w:spacing w:line="480" w:lineRule="exact"/>
        <w:ind w:left="495" w:firstLine="0" w:firstLineChars="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4、详细评审</w:t>
      </w:r>
    </w:p>
    <w:p>
      <w:pPr>
        <w:pStyle w:val="30"/>
        <w:spacing w:line="480" w:lineRule="exact"/>
        <w:ind w:firstLine="440" w:firstLineChars="200"/>
        <w:rPr>
          <w:rFonts w:hint="default" w:ascii="Arial" w:hAnsi="Arial" w:cs="Arial"/>
          <w:b w:val="0"/>
          <w:bCs w:val="0"/>
          <w:color w:val="auto"/>
          <w:sz w:val="22"/>
          <w:szCs w:val="22"/>
          <w:highlight w:val="none"/>
        </w:rPr>
      </w:pPr>
      <w:r>
        <w:rPr>
          <w:rFonts w:hint="default" w:ascii="Arial" w:hAnsi="Arial" w:cs="Arial"/>
          <w:b w:val="0"/>
          <w:bCs w:val="0"/>
          <w:color w:val="auto"/>
          <w:sz w:val="22"/>
          <w:szCs w:val="22"/>
          <w:highlight w:val="none"/>
        </w:rPr>
        <w:t>评标委员会对通过符合性审查的投标文件，依照本办法对技术、商务内容作进一步评审、比较。评标委员会成员经过阅标、审标和询标，对各投标人进行综合打分。</w:t>
      </w:r>
    </w:p>
    <w:p>
      <w:pPr>
        <w:widowControl/>
        <w:spacing w:line="480" w:lineRule="exact"/>
        <w:ind w:firstLine="440" w:firstLineChars="200"/>
        <w:jc w:val="left"/>
        <w:rPr>
          <w:rFonts w:hint="default" w:ascii="Arial" w:hAnsi="Arial" w:cs="Arial"/>
          <w:b/>
          <w:color w:val="auto"/>
          <w:sz w:val="22"/>
          <w:szCs w:val="22"/>
          <w:highlight w:val="none"/>
        </w:rPr>
      </w:pPr>
      <w:r>
        <w:rPr>
          <w:rFonts w:hint="default" w:ascii="Arial" w:hAnsi="Arial" w:cs="Arial"/>
          <w:color w:val="auto"/>
          <w:sz w:val="22"/>
          <w:szCs w:val="22"/>
          <w:highlight w:val="none"/>
        </w:rPr>
        <w:t>评委打分参照本部分附表：评分标准表。技术商务得分由各评标委员会成员打分，根据投标人的投标文件及相关澄清文件，进行独立打分。价格分由评标委员会统一核算。</w:t>
      </w:r>
      <w:r>
        <w:rPr>
          <w:rFonts w:hint="default" w:ascii="Arial" w:hAnsi="Arial" w:cs="Arial"/>
          <w:b/>
          <w:color w:val="auto"/>
          <w:sz w:val="22"/>
          <w:szCs w:val="22"/>
          <w:highlight w:val="none"/>
        </w:rPr>
        <w:t>评委打分采用记名方式，取所有评委汇总得分的算术平均分（小数点后保留二位小数）。</w:t>
      </w:r>
    </w:p>
    <w:p>
      <w:pPr>
        <w:widowControl/>
        <w:spacing w:line="48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注：评标委员会认为投标文件无效、投标人资格不符合的，应组织相关投标人代表进行陈述、澄清或申辩。</w:t>
      </w:r>
    </w:p>
    <w:p>
      <w:pPr>
        <w:keepNext w:val="0"/>
        <w:keepLines w:val="0"/>
        <w:pageBreakBefore w:val="0"/>
        <w:widowControl/>
        <w:kinsoku/>
        <w:wordWrap/>
        <w:overflowPunct/>
        <w:topLinePunct w:val="0"/>
        <w:autoSpaceDE/>
        <w:autoSpaceDN/>
        <w:bidi w:val="0"/>
        <w:adjustRightInd/>
        <w:spacing w:line="470" w:lineRule="exact"/>
        <w:ind w:firstLine="442" w:firstLineChars="200"/>
        <w:jc w:val="left"/>
        <w:textAlignment w:val="auto"/>
        <w:rPr>
          <w:rFonts w:hint="default" w:ascii="Arial" w:hAnsi="Arial" w:cs="Arial"/>
          <w:color w:val="auto"/>
          <w:sz w:val="22"/>
          <w:szCs w:val="22"/>
          <w:highlight w:val="none"/>
          <w:u w:val="single"/>
        </w:rPr>
      </w:pPr>
      <w:r>
        <w:rPr>
          <w:rFonts w:hint="default" w:ascii="Arial" w:hAnsi="Arial" w:cs="Arial"/>
          <w:b/>
          <w:color w:val="auto"/>
          <w:sz w:val="22"/>
          <w:szCs w:val="22"/>
          <w:highlight w:val="none"/>
          <w:u w:val="single"/>
          <w:lang w:bidi="ar"/>
        </w:rPr>
        <w:t>评标委员会认为投标人报价明显低于其它通过符合性审查投标人的报价，有可能影响产品质量或者不能诚信履约的，评标委员会有权要求其在1小时内提供书面说明，必要时提供相关证明材料</w:t>
      </w:r>
      <w:r>
        <w:rPr>
          <w:rFonts w:hint="eastAsia" w:ascii="Arial" w:hAnsi="Arial" w:cs="Arial"/>
          <w:b/>
          <w:color w:val="auto"/>
          <w:sz w:val="22"/>
          <w:szCs w:val="22"/>
          <w:highlight w:val="none"/>
          <w:u w:val="single"/>
          <w:lang w:val="en-US" w:eastAsia="zh-CN" w:bidi="ar"/>
        </w:rPr>
        <w:t>；投标人不能证明其报价合理性的，评标委员会应当将其作为</w:t>
      </w:r>
      <w:r>
        <w:rPr>
          <w:rFonts w:hint="default" w:ascii="Arial" w:hAnsi="Arial" w:cs="Arial"/>
          <w:b/>
          <w:color w:val="auto"/>
          <w:sz w:val="22"/>
          <w:szCs w:val="22"/>
          <w:highlight w:val="none"/>
          <w:u w:val="single"/>
          <w:lang w:bidi="ar"/>
        </w:rPr>
        <w:t>无效投标处理。</w:t>
      </w:r>
    </w:p>
    <w:p>
      <w:pPr>
        <w:widowControl/>
        <w:spacing w:line="480" w:lineRule="exact"/>
        <w:ind w:firstLine="442" w:firstLineChars="200"/>
        <w:jc w:val="left"/>
        <w:rPr>
          <w:rFonts w:hint="default" w:ascii="Arial" w:hAnsi="Arial" w:cs="Arial"/>
          <w:color w:val="auto"/>
          <w:sz w:val="22"/>
          <w:szCs w:val="22"/>
          <w:highlight w:val="none"/>
        </w:rPr>
      </w:pPr>
      <w:r>
        <w:rPr>
          <w:rFonts w:hint="default" w:ascii="Arial" w:hAnsi="Arial" w:cs="Arial"/>
          <w:b/>
          <w:bCs/>
          <w:color w:val="auto"/>
          <w:sz w:val="22"/>
          <w:szCs w:val="22"/>
          <w:highlight w:val="none"/>
        </w:rPr>
        <w:t>采购代理机构可协助评标委员会组长对打分结果进行校对、核对并汇总统计；对明显畸高、畸低的评分（其总评分偏离平均分30%以上的），评标委员会组长应提醒相关评标委员会成员进行复核或书面说明理由；</w:t>
      </w:r>
      <w:r>
        <w:rPr>
          <w:rFonts w:hint="default" w:ascii="Arial" w:hAnsi="Arial" w:cs="Arial"/>
          <w:color w:val="auto"/>
          <w:sz w:val="22"/>
          <w:szCs w:val="22"/>
          <w:highlight w:val="none"/>
        </w:rPr>
        <w:t>评标委员会成员的评审、修改记录应保留原件，随项目其他资料一并存档。</w:t>
      </w:r>
    </w:p>
    <w:p>
      <w:pPr>
        <w:widowControl/>
        <w:spacing w:line="48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5、中标候选人确定原则</w:t>
      </w:r>
    </w:p>
    <w:p>
      <w:pPr>
        <w:widowControl/>
        <w:spacing w:line="480" w:lineRule="exact"/>
        <w:ind w:firstLine="442" w:firstLineChars="200"/>
        <w:jc w:val="left"/>
        <w:rPr>
          <w:rFonts w:hint="default" w:ascii="Arial" w:hAnsi="Arial" w:cs="Arial"/>
          <w:b/>
          <w:color w:val="auto"/>
          <w:sz w:val="22"/>
          <w:szCs w:val="22"/>
          <w:highlight w:val="none"/>
        </w:rPr>
      </w:pPr>
      <w:r>
        <w:rPr>
          <w:rFonts w:hint="default" w:ascii="Arial" w:hAnsi="Arial" w:cs="Arial"/>
          <w:b/>
          <w:color w:val="auto"/>
          <w:sz w:val="22"/>
          <w:szCs w:val="22"/>
          <w:highlight w:val="none"/>
        </w:rPr>
        <w:t>（1）评标委员会根据投标人的总得分（总得分＝价格分+技术商务分）由高到低顺序排列，以总得分排名第一的投标人为中标候选人。如投标人总得分相同的，则按投标报价由低到高顺序排列，由价格低者优先确定为中标候选人；如投标人的总得分及参与评审的价格相同的，则由投标人抽签决定。</w:t>
      </w:r>
    </w:p>
    <w:p>
      <w:pPr>
        <w:widowControl/>
        <w:spacing w:line="48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（2）如评标过程中出现本招标采购文件未尽事宜，则由评标委员会讨论决定。</w:t>
      </w:r>
    </w:p>
    <w:p>
      <w:pPr>
        <w:widowControl/>
        <w:spacing w:line="480" w:lineRule="exact"/>
        <w:ind w:firstLine="440" w:firstLineChars="200"/>
        <w:jc w:val="left"/>
        <w:rPr>
          <w:rFonts w:hint="default" w:ascii="Arial" w:hAnsi="Arial" w:cs="Arial"/>
          <w:color w:val="auto"/>
          <w:sz w:val="22"/>
          <w:szCs w:val="22"/>
          <w:highlight w:val="none"/>
        </w:rPr>
      </w:pPr>
      <w:r>
        <w:rPr>
          <w:rFonts w:hint="default" w:ascii="Arial" w:hAnsi="Arial" w:cs="Arial"/>
          <w:color w:val="auto"/>
          <w:sz w:val="22"/>
          <w:szCs w:val="22"/>
          <w:highlight w:val="none"/>
        </w:rPr>
        <w:t>6、中标结果</w:t>
      </w:r>
    </w:p>
    <w:p>
      <w:pPr>
        <w:spacing w:line="48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采购代理机构将中标结果在政府采购指定媒体上公示，并中标人发出中标通知书。</w:t>
      </w:r>
    </w:p>
    <w:p>
      <w:pPr>
        <w:numPr>
          <w:ilvl w:val="0"/>
          <w:numId w:val="26"/>
        </w:numPr>
        <w:spacing w:line="46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资格审查表</w:t>
      </w:r>
    </w:p>
    <w:p>
      <w:pPr>
        <w:spacing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由招标人或代理机构对投标人的资格进行审查。</w:t>
      </w:r>
    </w:p>
    <w:tbl>
      <w:tblPr>
        <w:tblStyle w:val="46"/>
        <w:tblW w:w="878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审查类别</w:t>
            </w:r>
          </w:p>
        </w:tc>
        <w:tc>
          <w:tcPr>
            <w:tcW w:w="72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5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资格条件审查</w:t>
            </w:r>
          </w:p>
        </w:tc>
        <w:tc>
          <w:tcPr>
            <w:tcW w:w="72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1.符合《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4" w:hRule="atLeast"/>
        </w:trPr>
        <w:tc>
          <w:tcPr>
            <w:tcW w:w="15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2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val="en-US" w:eastAsia="zh-CN"/>
              </w:rPr>
              <w:t>2、</w:t>
            </w:r>
            <w:r>
              <w:rPr>
                <w:rFonts w:hint="default" w:ascii="Arial" w:hAnsi="Arial" w:cs="Arial"/>
                <w:color w:val="auto"/>
                <w:sz w:val="22"/>
                <w:szCs w:val="22"/>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bl>
    <w:p>
      <w:pPr>
        <w:numPr>
          <w:ilvl w:val="0"/>
          <w:numId w:val="26"/>
        </w:numPr>
        <w:spacing w:line="460" w:lineRule="exact"/>
        <w:rPr>
          <w:rFonts w:hint="default" w:ascii="Arial" w:hAnsi="Arial" w:cs="Arial"/>
          <w:b/>
          <w:bCs/>
          <w:color w:val="auto"/>
          <w:sz w:val="22"/>
          <w:szCs w:val="22"/>
          <w:highlight w:val="none"/>
        </w:rPr>
      </w:pPr>
      <w:r>
        <w:rPr>
          <w:rFonts w:hint="default" w:ascii="Arial" w:hAnsi="Arial" w:cs="Arial"/>
          <w:b/>
          <w:bCs/>
          <w:color w:val="auto"/>
          <w:sz w:val="22"/>
          <w:szCs w:val="22"/>
          <w:highlight w:val="none"/>
        </w:rPr>
        <w:t>符合性检查表</w:t>
      </w:r>
    </w:p>
    <w:p>
      <w:pPr>
        <w:spacing w:line="460" w:lineRule="exact"/>
        <w:ind w:firstLine="440" w:firstLineChars="200"/>
        <w:rPr>
          <w:rFonts w:hint="default" w:ascii="Arial" w:hAnsi="Arial" w:cs="Arial"/>
          <w:color w:val="auto"/>
          <w:kern w:val="0"/>
          <w:sz w:val="22"/>
          <w:szCs w:val="22"/>
          <w:highlight w:val="none"/>
        </w:rPr>
      </w:pPr>
      <w:r>
        <w:rPr>
          <w:rFonts w:hint="default" w:ascii="Arial" w:hAnsi="Arial" w:cs="Arial"/>
          <w:color w:val="auto"/>
          <w:kern w:val="0"/>
          <w:sz w:val="22"/>
          <w:szCs w:val="22"/>
          <w:highlight w:val="none"/>
        </w:rPr>
        <w:t>评标委员会应当对符合资格的投标人的投标文件进行符合性审查，以确定其是否</w:t>
      </w:r>
    </w:p>
    <w:p>
      <w:pPr>
        <w:spacing w:line="460" w:lineRule="exact"/>
        <w:rPr>
          <w:rFonts w:hint="default" w:ascii="Arial" w:hAnsi="Arial" w:cs="Arial"/>
          <w:color w:val="auto"/>
          <w:kern w:val="0"/>
          <w:sz w:val="22"/>
          <w:szCs w:val="22"/>
          <w:highlight w:val="none"/>
        </w:rPr>
      </w:pPr>
      <w:r>
        <w:rPr>
          <w:rFonts w:hint="default" w:ascii="Arial" w:hAnsi="Arial" w:cs="Arial"/>
          <w:color w:val="auto"/>
          <w:kern w:val="0"/>
          <w:sz w:val="22"/>
          <w:szCs w:val="22"/>
          <w:highlight w:val="none"/>
        </w:rPr>
        <w:t>满足招标采购文件的实质性要求。</w:t>
      </w:r>
    </w:p>
    <w:tbl>
      <w:tblPr>
        <w:tblStyle w:val="46"/>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80" w:hRule="atLeast"/>
        </w:trPr>
        <w:tc>
          <w:tcPr>
            <w:tcW w:w="155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审查类别</w:t>
            </w:r>
          </w:p>
        </w:tc>
        <w:tc>
          <w:tcPr>
            <w:tcW w:w="7238"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Arial" w:hAnsi="Arial" w:cs="Arial"/>
                <w:b/>
                <w:bCs/>
                <w:color w:val="auto"/>
                <w:sz w:val="22"/>
                <w:szCs w:val="22"/>
                <w:highlight w:val="none"/>
              </w:rPr>
            </w:pPr>
            <w:r>
              <w:rPr>
                <w:rFonts w:hint="default" w:ascii="Arial" w:hAnsi="Arial" w:cs="Arial"/>
                <w:b/>
                <w:bCs/>
                <w:color w:val="auto"/>
                <w:sz w:val="22"/>
                <w:szCs w:val="22"/>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67" w:hRule="atLeast"/>
        </w:trPr>
        <w:tc>
          <w:tcPr>
            <w:tcW w:w="155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符合性审查</w:t>
            </w: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按招标采购文件要求签署、签章。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投标有效期满足招标采购文件要求。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符合招标采购文件要求的，未发生与招标采购文件中标注“★”的条款实质性偏离的。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不含有采购人不能接受的附加条件。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投标声明书具有法定代表人签名，或委托人提供法定代表人授权委托书、填写项目齐全。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投标文件格式规范、提供资料齐全或者未提供虚假内容。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投标文件的实质性内容使用中文表述、表述明确、前后不矛盾或者使用计量单位符合招标采购文件要求的（经评标委员会认定并允许其当场更正的笔误除外）。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投标文件的关键内容字迹清晰、易辨认的，或者投标文件中经修正的内容字迹易辩认或者修改处按规定签署、盖章。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未发现法律、法规和招标采购文件规定的其他无效情形。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Pr>
        <w:tc>
          <w:tcPr>
            <w:tcW w:w="1551"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技术商务评审</w:t>
            </w:r>
          </w:p>
        </w:tc>
        <w:tc>
          <w:tcPr>
            <w:tcW w:w="7238" w:type="dxa"/>
            <w:noWrap w:val="0"/>
            <w:vAlign w:val="center"/>
          </w:tcPr>
          <w:p>
            <w:pPr>
              <w:pStyle w:val="3"/>
              <w:keepNext w:val="0"/>
              <w:keepLines w:val="0"/>
              <w:pageBreakBefore w:val="0"/>
              <w:widowControl/>
              <w:kinsoku/>
              <w:wordWrap/>
              <w:overflowPunct/>
              <w:topLinePunct w:val="0"/>
              <w:autoSpaceDE/>
              <w:autoSpaceDN/>
              <w:bidi w:val="0"/>
              <w:adjustRightInd/>
              <w:snapToGrid/>
              <w:spacing w:line="400" w:lineRule="exact"/>
              <w:ind w:firstLine="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如实提供投标货物的技术参数且投标文件标明的响应或偏离与事实符合，未发现虚假投标。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70"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Arial" w:hAnsi="Arial" w:cs="Arial"/>
                <w:color w:val="auto"/>
                <w:sz w:val="22"/>
                <w:szCs w:val="22"/>
                <w:highlight w:val="none"/>
              </w:rPr>
            </w:pPr>
          </w:p>
        </w:tc>
        <w:tc>
          <w:tcPr>
            <w:tcW w:w="7238" w:type="dxa"/>
            <w:noWrap w:val="0"/>
            <w:vAlign w:val="center"/>
          </w:tcPr>
          <w:p>
            <w:pPr>
              <w:pStyle w:val="3"/>
              <w:keepNext w:val="0"/>
              <w:keepLines w:val="0"/>
              <w:pageBreakBefore w:val="0"/>
              <w:widowControl/>
              <w:kinsoku/>
              <w:wordWrap/>
              <w:overflowPunct/>
              <w:topLinePunct w:val="0"/>
              <w:autoSpaceDE/>
              <w:autoSpaceDN/>
              <w:bidi w:val="0"/>
              <w:adjustRightInd/>
              <w:snapToGrid/>
              <w:spacing w:line="400" w:lineRule="exact"/>
              <w:ind w:firstLine="0"/>
              <w:textAlignment w:val="auto"/>
              <w:rPr>
                <w:rFonts w:hint="default" w:ascii="Arial" w:hAnsi="Arial" w:cs="Arial"/>
                <w:color w:val="auto"/>
                <w:sz w:val="22"/>
                <w:szCs w:val="22"/>
                <w:highlight w:val="none"/>
              </w:rPr>
            </w:pPr>
            <w:r>
              <w:rPr>
                <w:rFonts w:hint="default" w:ascii="Arial" w:hAnsi="Arial" w:cs="Arial"/>
                <w:color w:val="auto"/>
                <w:sz w:val="22"/>
                <w:szCs w:val="22"/>
                <w:highlight w:val="none"/>
              </w:rPr>
              <w:t>投标技术方案明确，不存在一个或一个以上备选（替代）投标方案的。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1" w:hRule="atLeast"/>
        </w:trPr>
        <w:tc>
          <w:tcPr>
            <w:tcW w:w="155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r>
              <w:rPr>
                <w:rFonts w:hint="eastAsia" w:ascii="Arial" w:hAnsi="Arial" w:cs="Arial"/>
                <w:color w:val="auto"/>
                <w:sz w:val="22"/>
                <w:szCs w:val="22"/>
                <w:highlight w:val="none"/>
                <w:lang w:eastAsia="zh-CN"/>
              </w:rPr>
              <w:t>报价文件评审</w:t>
            </w: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报价未超过招标采购文件中规定的最高限价的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1"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采用投标文件要求的报价形式报价的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1"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投标报价不具有选择性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61"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评标委员会一致认为报价合理的（不平衡报价）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70"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投标报价中未出现重大缺项、漏项且投标人的报价不低于其它通过符合性审查投标人的报价。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5" w:hRule="atLeast"/>
        </w:trPr>
        <w:tc>
          <w:tcPr>
            <w:tcW w:w="155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Arial" w:hAnsi="Arial" w:cs="Arial"/>
                <w:color w:val="auto"/>
                <w:sz w:val="22"/>
                <w:szCs w:val="22"/>
                <w:highlight w:val="none"/>
              </w:rPr>
            </w:pPr>
          </w:p>
        </w:tc>
        <w:tc>
          <w:tcPr>
            <w:tcW w:w="72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Arial" w:hAnsi="Arial" w:cs="Arial"/>
                <w:color w:val="auto"/>
                <w:sz w:val="22"/>
                <w:szCs w:val="22"/>
                <w:highlight w:val="none"/>
              </w:rPr>
            </w:pPr>
            <w:r>
              <w:rPr>
                <w:rFonts w:hint="eastAsia" w:ascii="Arial" w:hAnsi="Arial" w:cs="Arial"/>
                <w:color w:val="auto"/>
                <w:kern w:val="2"/>
                <w:sz w:val="22"/>
                <w:szCs w:val="22"/>
                <w:highlight w:val="none"/>
                <w:lang w:val="en-US" w:eastAsia="zh-CN" w:bidi="ar-SA"/>
              </w:rPr>
              <w:t>未有招标采购文件规定的其他无效情形。</w:t>
            </w:r>
          </w:p>
        </w:tc>
      </w:tr>
      <w:bookmarkEnd w:id="191"/>
    </w:tbl>
    <w:p>
      <w:pPr>
        <w:numPr>
          <w:ilvl w:val="0"/>
          <w:numId w:val="0"/>
        </w:numPr>
        <w:spacing w:line="300" w:lineRule="exact"/>
        <w:ind w:leftChars="0"/>
        <w:rPr>
          <w:rFonts w:hint="default" w:ascii="Arial" w:hAnsi="Arial" w:cs="Arial"/>
          <w:b/>
          <w:color w:val="auto"/>
          <w:sz w:val="22"/>
          <w:szCs w:val="22"/>
          <w:highlight w:val="none"/>
        </w:rPr>
      </w:pPr>
    </w:p>
    <w:p>
      <w:pPr>
        <w:numPr>
          <w:ilvl w:val="0"/>
          <w:numId w:val="26"/>
        </w:numPr>
        <w:spacing w:line="300" w:lineRule="exact"/>
        <w:rPr>
          <w:rFonts w:hint="default" w:ascii="Arial" w:hAnsi="Arial" w:cs="Arial"/>
          <w:b/>
          <w:color w:val="auto"/>
          <w:sz w:val="22"/>
          <w:szCs w:val="22"/>
          <w:highlight w:val="none"/>
        </w:rPr>
      </w:pPr>
      <w:r>
        <w:rPr>
          <w:rFonts w:hint="default" w:ascii="Arial" w:hAnsi="Arial" w:cs="Arial"/>
          <w:b/>
          <w:color w:val="auto"/>
          <w:sz w:val="22"/>
          <w:szCs w:val="22"/>
          <w:highlight w:val="none"/>
        </w:rPr>
        <w:t>评分标准</w:t>
      </w:r>
    </w:p>
    <w:tbl>
      <w:tblPr>
        <w:tblStyle w:val="46"/>
        <w:tblW w:w="8959"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3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价</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30分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w:t>
            </w:r>
          </w:p>
        </w:tc>
        <w:tc>
          <w:tcPr>
            <w:tcW w:w="8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满足招标要求的有效投标文件（初步评审合格且商务、技术、报价部分评审合格）且投标报价最低的投标报价作为评标基准价，得30分。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其余供应商投标报价得分=（评标基准价/有效投标报价）×30。</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（投标价得分以四舍五入方法整合到小数点后两位）</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rPr>
            </w:pPr>
            <w:r>
              <w:rPr>
                <w:rFonts w:hint="default" w:ascii="Arial" w:hAnsi="Arial" w:cs="Arial"/>
                <w:color w:val="auto"/>
                <w:sz w:val="22"/>
                <w:szCs w:val="22"/>
                <w:highlight w:val="none"/>
                <w:lang w:bidi="ar"/>
              </w:rPr>
              <w:t>如果投标人声明为小、微型企业（或视同小、微型企业）产品的给予</w:t>
            </w:r>
            <w:r>
              <w:rPr>
                <w:rFonts w:hint="eastAsia" w:ascii="Arial" w:hAnsi="Arial" w:cs="Arial"/>
                <w:color w:val="auto"/>
                <w:sz w:val="22"/>
                <w:szCs w:val="22"/>
                <w:highlight w:val="none"/>
                <w:lang w:val="en-US" w:eastAsia="zh-CN" w:bidi="ar"/>
              </w:rPr>
              <w:t>20</w:t>
            </w:r>
            <w:r>
              <w:rPr>
                <w:rFonts w:hint="default" w:ascii="Arial" w:hAnsi="Arial" w:cs="Arial"/>
                <w:color w:val="auto"/>
                <w:sz w:val="22"/>
                <w:szCs w:val="22"/>
                <w:highlight w:val="none"/>
                <w:lang w:bidi="ar"/>
              </w:rPr>
              <w:t>%报价扣除，扣除后的价格计算评标基准价和投标报价。</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color w:val="auto"/>
                <w:sz w:val="22"/>
                <w:szCs w:val="22"/>
                <w:highlight w:val="none"/>
              </w:rPr>
            </w:pPr>
            <w:r>
              <w:rPr>
                <w:rFonts w:hint="default" w:ascii="Arial" w:hAnsi="Arial" w:cs="Arial"/>
                <w:color w:val="auto"/>
                <w:sz w:val="22"/>
                <w:szCs w:val="22"/>
                <w:highlight w:val="none"/>
                <w:lang w:bidi="ar"/>
              </w:rPr>
              <w:t>注：投标人的投标报价超过最高限价（不含本数）的为无效报价。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术</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70分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rPr>
            </w:pPr>
            <w:r>
              <w:rPr>
                <w:rFonts w:hint="default" w:ascii="Arial" w:hAnsi="Arial" w:cs="Arial"/>
                <w:b/>
                <w:color w:val="auto"/>
                <w:sz w:val="22"/>
                <w:szCs w:val="22"/>
                <w:highlight w:val="none"/>
                <w:lang w:bidi="ar"/>
              </w:rPr>
              <w:t>︶</w:t>
            </w:r>
          </w:p>
        </w:tc>
        <w:tc>
          <w:tcPr>
            <w:tcW w:w="8360" w:type="dxa"/>
            <w:tcBorders>
              <w:tl2br w:val="nil"/>
              <w:tr2bl w:val="nil"/>
            </w:tcBorders>
            <w:noWrap w:val="0"/>
            <w:vAlign w:val="center"/>
          </w:tcPr>
          <w:p>
            <w:pPr>
              <w:keepNext w:val="0"/>
              <w:keepLines w:val="0"/>
              <w:pageBreakBefore w:val="0"/>
              <w:widowControl w:val="0"/>
              <w:numPr>
                <w:ilvl w:val="0"/>
                <w:numId w:val="27"/>
              </w:numPr>
              <w:kinsoku/>
              <w:wordWrap/>
              <w:overflowPunct/>
              <w:topLinePunct w:val="0"/>
              <w:autoSpaceDE/>
              <w:autoSpaceDN/>
              <w:bidi w:val="0"/>
              <w:adjustRightInd/>
              <w:snapToGrid/>
              <w:spacing w:line="380" w:lineRule="exact"/>
              <w:textAlignment w:val="auto"/>
              <w:rPr>
                <w:rFonts w:hint="default" w:ascii="Arial" w:hAnsi="Arial" w:cs="Arial"/>
                <w:b w:val="0"/>
                <w:bCs w:val="0"/>
                <w:color w:val="auto"/>
                <w:sz w:val="22"/>
                <w:szCs w:val="22"/>
                <w:highlight w:val="none"/>
                <w:lang w:val="en-US" w:eastAsia="zh-CN" w:bidi="ar"/>
              </w:rPr>
            </w:pPr>
            <w:r>
              <w:rPr>
                <w:rFonts w:hint="default" w:ascii="Arial" w:hAnsi="Arial" w:cs="Arial"/>
                <w:b/>
                <w:bCs/>
                <w:color w:val="auto"/>
                <w:sz w:val="22"/>
                <w:szCs w:val="22"/>
                <w:highlight w:val="none"/>
                <w:lang w:val="en-US" w:eastAsia="zh-CN" w:bidi="ar"/>
              </w:rPr>
              <w:t>技术参数响应情况（满分20分）：</w:t>
            </w:r>
            <w:r>
              <w:rPr>
                <w:rFonts w:hint="default" w:ascii="Arial" w:hAnsi="Arial" w:cs="Arial"/>
                <w:b w:val="0"/>
                <w:bCs w:val="0"/>
                <w:color w:val="auto"/>
                <w:sz w:val="22"/>
                <w:szCs w:val="22"/>
                <w:highlight w:val="none"/>
                <w:lang w:val="en-US" w:eastAsia="zh-CN" w:bidi="ar"/>
              </w:rPr>
              <w:t>完全响应招标文件“技术参数”需求指标的得20分，“▲”指标为重要指标，每负偏离一条指标扣1分，扣完为止；其他指标为非重要指标，每负偏离一条指标扣0.5分, 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cs="Arial"/>
                <w:b w:val="0"/>
                <w:bCs w:val="0"/>
                <w:color w:val="auto"/>
                <w:sz w:val="22"/>
                <w:szCs w:val="22"/>
                <w:highlight w:val="none"/>
                <w:lang w:val="en-US" w:eastAsia="zh-CN" w:bidi="ar"/>
              </w:rPr>
            </w:pPr>
            <w:r>
              <w:rPr>
                <w:rFonts w:hint="default" w:ascii="Arial" w:hAnsi="Arial" w:eastAsia="宋体" w:cs="Arial"/>
                <w:b/>
                <w:bCs/>
                <w:color w:val="auto"/>
                <w:sz w:val="22"/>
                <w:szCs w:val="22"/>
                <w:highlight w:val="none"/>
                <w:lang w:val="en-US" w:eastAsia="zh-CN"/>
              </w:rPr>
              <w:t>2、项目技术方案（满分5分）：</w:t>
            </w:r>
            <w:r>
              <w:rPr>
                <w:rFonts w:hint="default" w:ascii="Arial" w:hAnsi="Arial" w:eastAsia="宋体" w:cs="Arial"/>
                <w:b w:val="0"/>
                <w:bCs w:val="0"/>
                <w:color w:val="auto"/>
                <w:sz w:val="22"/>
                <w:szCs w:val="22"/>
                <w:highlight w:val="none"/>
                <w:lang w:val="en-US" w:eastAsia="zh-CN"/>
              </w:rPr>
              <w:t>根据提供的设计方案完整性、合理性、扩展性进行综合评议（0-5分）。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bCs/>
                <w:color w:val="auto"/>
                <w:sz w:val="22"/>
                <w:szCs w:val="22"/>
                <w:highlight w:val="none"/>
                <w:lang w:eastAsia="zh-CN"/>
              </w:rPr>
            </w:pPr>
            <w:r>
              <w:rPr>
                <w:rFonts w:hint="default" w:ascii="Arial" w:hAnsi="Arial" w:cs="Arial"/>
                <w:b/>
                <w:bCs/>
                <w:color w:val="auto"/>
                <w:sz w:val="22"/>
                <w:szCs w:val="22"/>
                <w:highlight w:val="none"/>
                <w:lang w:val="en-US" w:eastAsia="zh-CN"/>
              </w:rPr>
              <w:t>3、</w:t>
            </w:r>
            <w:r>
              <w:rPr>
                <w:rFonts w:hint="default" w:ascii="Arial" w:hAnsi="Arial" w:cs="Arial"/>
                <w:b/>
                <w:bCs/>
                <w:color w:val="auto"/>
                <w:sz w:val="22"/>
                <w:szCs w:val="22"/>
                <w:highlight w:val="none"/>
              </w:rPr>
              <w:t>对项目</w:t>
            </w:r>
            <w:r>
              <w:rPr>
                <w:rFonts w:hint="default" w:ascii="Arial" w:hAnsi="Arial" w:cs="Arial"/>
                <w:b/>
                <w:bCs/>
                <w:color w:val="auto"/>
                <w:sz w:val="22"/>
                <w:szCs w:val="22"/>
                <w:highlight w:val="none"/>
                <w:lang w:eastAsia="zh-CN"/>
              </w:rPr>
              <w:t>现状、</w:t>
            </w:r>
            <w:r>
              <w:rPr>
                <w:rFonts w:hint="default" w:ascii="Arial" w:hAnsi="Arial" w:cs="Arial"/>
                <w:b/>
                <w:bCs/>
                <w:color w:val="auto"/>
                <w:sz w:val="22"/>
                <w:szCs w:val="22"/>
                <w:highlight w:val="none"/>
              </w:rPr>
              <w:t>重点、难点的分析及对策（</w:t>
            </w:r>
            <w:r>
              <w:rPr>
                <w:rFonts w:hint="default" w:ascii="Arial" w:hAnsi="Arial" w:cs="Arial"/>
                <w:b/>
                <w:bCs/>
                <w:color w:val="auto"/>
                <w:sz w:val="22"/>
                <w:szCs w:val="22"/>
                <w:highlight w:val="none"/>
                <w:lang w:val="en-US" w:eastAsia="zh-CN"/>
              </w:rPr>
              <w:t>满分</w:t>
            </w:r>
            <w:r>
              <w:rPr>
                <w:rFonts w:hint="default" w:ascii="Arial" w:hAnsi="Arial" w:cs="Arial"/>
                <w:b/>
                <w:bCs/>
                <w:color w:val="auto"/>
                <w:sz w:val="22"/>
                <w:szCs w:val="22"/>
                <w:highlight w:val="none"/>
              </w:rPr>
              <w:t>4分）</w:t>
            </w:r>
            <w:r>
              <w:rPr>
                <w:rFonts w:hint="default" w:ascii="Arial" w:hAnsi="Arial" w:cs="Arial"/>
                <w:b/>
                <w:bCs/>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eastAsia="宋体" w:cs="Arial"/>
                <w:color w:val="auto"/>
                <w:sz w:val="22"/>
                <w:szCs w:val="22"/>
                <w:highlight w:val="none"/>
                <w:lang w:val="en-US" w:eastAsia="zh-CN"/>
              </w:rPr>
            </w:pPr>
            <w:r>
              <w:rPr>
                <w:rFonts w:hint="default" w:ascii="Arial" w:hAnsi="Arial" w:cs="Arial"/>
                <w:color w:val="auto"/>
                <w:sz w:val="22"/>
                <w:szCs w:val="22"/>
                <w:highlight w:val="none"/>
                <w:lang w:val="en-US" w:eastAsia="zh-CN"/>
              </w:rPr>
              <w:t>3.1</w:t>
            </w:r>
            <w:r>
              <w:rPr>
                <w:rFonts w:hint="default" w:ascii="Arial" w:hAnsi="Arial" w:cs="Arial"/>
                <w:color w:val="auto"/>
                <w:sz w:val="22"/>
                <w:szCs w:val="22"/>
                <w:highlight w:val="none"/>
              </w:rPr>
              <w:t>根据投标人对项目</w:t>
            </w:r>
            <w:r>
              <w:rPr>
                <w:rFonts w:hint="default" w:ascii="Arial" w:hAnsi="Arial" w:cs="Arial"/>
                <w:color w:val="auto"/>
                <w:sz w:val="22"/>
                <w:szCs w:val="22"/>
                <w:highlight w:val="none"/>
                <w:lang w:eastAsia="zh-CN"/>
              </w:rPr>
              <w:t>现状、</w:t>
            </w:r>
            <w:r>
              <w:rPr>
                <w:rFonts w:hint="default" w:ascii="Arial" w:hAnsi="Arial" w:cs="Arial"/>
                <w:color w:val="auto"/>
                <w:sz w:val="22"/>
                <w:szCs w:val="22"/>
                <w:highlight w:val="none"/>
              </w:rPr>
              <w:t>重点、难点的分析情况</w:t>
            </w:r>
            <w:r>
              <w:rPr>
                <w:rFonts w:hint="default" w:ascii="Arial" w:hAnsi="Arial" w:cs="Arial"/>
                <w:color w:val="auto"/>
                <w:sz w:val="22"/>
                <w:szCs w:val="22"/>
                <w:highlight w:val="none"/>
                <w:lang w:val="en-US" w:eastAsia="zh-CN"/>
              </w:rPr>
              <w:t>的</w:t>
            </w:r>
            <w:r>
              <w:rPr>
                <w:rFonts w:hint="default" w:ascii="Arial" w:hAnsi="Arial" w:cs="Arial"/>
                <w:color w:val="auto"/>
                <w:sz w:val="22"/>
                <w:szCs w:val="22"/>
                <w:highlight w:val="none"/>
              </w:rPr>
              <w:t>清晰</w:t>
            </w:r>
            <w:r>
              <w:rPr>
                <w:rFonts w:hint="default" w:ascii="Arial" w:hAnsi="Arial" w:cs="Arial"/>
                <w:color w:val="auto"/>
                <w:sz w:val="22"/>
                <w:szCs w:val="22"/>
                <w:highlight w:val="none"/>
                <w:lang w:val="en-US" w:eastAsia="zh-CN"/>
              </w:rPr>
              <w:t>性、</w:t>
            </w:r>
            <w:r>
              <w:rPr>
                <w:rFonts w:hint="default" w:ascii="Arial" w:hAnsi="Arial" w:cs="Arial"/>
                <w:color w:val="auto"/>
                <w:sz w:val="22"/>
                <w:szCs w:val="22"/>
                <w:highlight w:val="none"/>
              </w:rPr>
              <w:t>合理</w:t>
            </w:r>
            <w:r>
              <w:rPr>
                <w:rFonts w:hint="default" w:ascii="Arial" w:hAnsi="Arial" w:cs="Arial"/>
                <w:color w:val="auto"/>
                <w:sz w:val="22"/>
                <w:szCs w:val="22"/>
                <w:highlight w:val="none"/>
                <w:lang w:val="en-US" w:eastAsia="zh-CN"/>
              </w:rPr>
              <w:t>性、深入性</w:t>
            </w:r>
            <w:r>
              <w:rPr>
                <w:rFonts w:hint="default" w:ascii="Arial" w:hAnsi="Arial" w:cs="Arial"/>
                <w:color w:val="auto"/>
                <w:sz w:val="22"/>
                <w:szCs w:val="22"/>
                <w:highlight w:val="none"/>
              </w:rPr>
              <w:t>进行综合评议（0-2分）</w:t>
            </w:r>
            <w:r>
              <w:rPr>
                <w:rFonts w:hint="default" w:ascii="Arial" w:hAnsi="Arial" w:cs="Arial"/>
                <w:color w:val="auto"/>
                <w:sz w:val="22"/>
                <w:szCs w:val="2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eastAsia="宋体" w:cs="Arial"/>
                <w:color w:val="auto"/>
                <w:sz w:val="22"/>
                <w:szCs w:val="22"/>
                <w:highlight w:val="none"/>
                <w:lang w:eastAsia="zh-CN"/>
              </w:rPr>
            </w:pPr>
            <w:r>
              <w:rPr>
                <w:rFonts w:hint="default" w:ascii="Arial" w:hAnsi="Arial" w:cs="Arial"/>
                <w:color w:val="auto"/>
                <w:sz w:val="22"/>
                <w:szCs w:val="22"/>
                <w:highlight w:val="none"/>
                <w:lang w:val="en-US" w:eastAsia="zh-CN"/>
              </w:rPr>
              <w:t>3.2</w:t>
            </w:r>
            <w:r>
              <w:rPr>
                <w:rFonts w:hint="default" w:ascii="Arial" w:hAnsi="Arial" w:cs="Arial"/>
                <w:color w:val="auto"/>
                <w:sz w:val="22"/>
                <w:szCs w:val="22"/>
                <w:highlight w:val="none"/>
              </w:rPr>
              <w:t>根据投标人对本项目提出的对策</w:t>
            </w:r>
            <w:r>
              <w:rPr>
                <w:rFonts w:hint="default" w:ascii="Arial" w:hAnsi="Arial" w:cs="Arial"/>
                <w:color w:val="auto"/>
                <w:sz w:val="22"/>
                <w:szCs w:val="22"/>
                <w:highlight w:val="none"/>
                <w:lang w:val="en-US" w:eastAsia="zh-CN"/>
              </w:rPr>
              <w:t>的</w:t>
            </w:r>
            <w:r>
              <w:rPr>
                <w:rFonts w:hint="default" w:ascii="Arial" w:hAnsi="Arial" w:cs="Arial"/>
                <w:color w:val="auto"/>
                <w:sz w:val="22"/>
                <w:szCs w:val="22"/>
                <w:highlight w:val="none"/>
              </w:rPr>
              <w:t>合理</w:t>
            </w:r>
            <w:r>
              <w:rPr>
                <w:rFonts w:hint="default" w:ascii="Arial" w:hAnsi="Arial" w:cs="Arial"/>
                <w:color w:val="auto"/>
                <w:sz w:val="22"/>
                <w:szCs w:val="22"/>
                <w:highlight w:val="none"/>
                <w:lang w:val="en-US" w:eastAsia="zh-CN"/>
              </w:rPr>
              <w:t>性、</w:t>
            </w:r>
            <w:r>
              <w:rPr>
                <w:rFonts w:hint="default" w:ascii="Arial" w:hAnsi="Arial" w:cs="Arial"/>
                <w:color w:val="auto"/>
                <w:sz w:val="22"/>
                <w:szCs w:val="22"/>
                <w:highlight w:val="none"/>
              </w:rPr>
              <w:t>可行</w:t>
            </w:r>
            <w:r>
              <w:rPr>
                <w:rFonts w:hint="default" w:ascii="Arial" w:hAnsi="Arial" w:cs="Arial"/>
                <w:color w:val="auto"/>
                <w:sz w:val="22"/>
                <w:szCs w:val="22"/>
                <w:highlight w:val="none"/>
                <w:lang w:val="en-US" w:eastAsia="zh-CN"/>
              </w:rPr>
              <w:t>性</w:t>
            </w:r>
            <w:r>
              <w:rPr>
                <w:rFonts w:hint="default" w:ascii="Arial" w:hAnsi="Arial" w:cs="Arial"/>
                <w:color w:val="auto"/>
                <w:sz w:val="22"/>
                <w:szCs w:val="22"/>
                <w:highlight w:val="none"/>
              </w:rPr>
              <w:t>进行综合评议（0-2分）</w:t>
            </w:r>
            <w:r>
              <w:rPr>
                <w:rFonts w:hint="default" w:ascii="Arial" w:hAnsi="Arial" w:cs="Arial"/>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4、项目建设</w:t>
            </w:r>
            <w:r>
              <w:rPr>
                <w:rFonts w:hint="default" w:ascii="Arial" w:hAnsi="Arial" w:cs="Arial"/>
                <w:b/>
                <w:bCs/>
                <w:color w:val="auto"/>
                <w:sz w:val="22"/>
                <w:szCs w:val="22"/>
                <w:highlight w:val="none"/>
              </w:rPr>
              <w:t>实施方案</w:t>
            </w:r>
            <w:r>
              <w:rPr>
                <w:rFonts w:hint="default" w:ascii="Arial" w:hAnsi="Arial" w:cs="Arial"/>
                <w:b/>
                <w:bCs/>
                <w:color w:val="auto"/>
                <w:sz w:val="22"/>
                <w:szCs w:val="22"/>
                <w:highlight w:val="none"/>
                <w:lang w:eastAsia="zh-CN"/>
              </w:rPr>
              <w:t>（</w:t>
            </w:r>
            <w:r>
              <w:rPr>
                <w:rFonts w:hint="default" w:ascii="Arial" w:hAnsi="Arial" w:cs="Arial"/>
                <w:b/>
                <w:bCs/>
                <w:color w:val="auto"/>
                <w:sz w:val="22"/>
                <w:szCs w:val="22"/>
                <w:highlight w:val="none"/>
                <w:lang w:val="en-US" w:eastAsia="zh-CN"/>
              </w:rPr>
              <w:t>满分8分）：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lang w:val="en-US" w:eastAsia="zh-CN"/>
              </w:rPr>
            </w:pPr>
            <w:r>
              <w:rPr>
                <w:rFonts w:hint="default" w:ascii="Arial" w:hAnsi="Arial" w:cs="Arial"/>
                <w:color w:val="auto"/>
                <w:sz w:val="22"/>
                <w:szCs w:val="22"/>
                <w:highlight w:val="none"/>
                <w:lang w:val="en-US" w:eastAsia="zh-CN"/>
              </w:rPr>
              <w:t>4.1对建设实施方案里提供的人员安排（0-2分）、进度计划（0-2分）、测试验收方案（0-2分）等内容的科学合理性进行综合评议；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lang w:val="en-US" w:eastAsia="zh-CN"/>
              </w:rPr>
            </w:pPr>
            <w:r>
              <w:rPr>
                <w:rFonts w:hint="default" w:ascii="Arial" w:hAnsi="Arial" w:cs="Arial"/>
                <w:color w:val="auto"/>
                <w:sz w:val="22"/>
                <w:szCs w:val="22"/>
                <w:highlight w:val="none"/>
                <w:lang w:val="en-US" w:eastAsia="zh-CN"/>
              </w:rPr>
              <w:t>4.2对建设实施方案里提供的管控措施科学合理性，包括但不限于质量控制、进度控制、风险控制等的合理性、科学性进行综合评议（0-2分）。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28"/>
              </w:numPr>
              <w:kinsoku/>
              <w:wordWrap/>
              <w:overflowPunct/>
              <w:topLinePunct w:val="0"/>
              <w:autoSpaceDE/>
              <w:autoSpaceDN/>
              <w:bidi w:val="0"/>
              <w:adjustRightInd/>
              <w:snapToGrid/>
              <w:spacing w:line="380" w:lineRule="exact"/>
              <w:ind w:leftChars="0"/>
              <w:textAlignment w:val="auto"/>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项目现场勘查图册（满分6分）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cs="Arial"/>
                <w:color w:val="auto"/>
                <w:sz w:val="22"/>
                <w:szCs w:val="22"/>
                <w:highlight w:val="none"/>
                <w:lang w:val="en-US" w:eastAsia="zh-CN"/>
              </w:rPr>
            </w:pPr>
            <w:r>
              <w:rPr>
                <w:rFonts w:hint="default" w:ascii="Arial" w:hAnsi="Arial" w:eastAsia="宋体" w:cs="Arial"/>
                <w:color w:val="auto"/>
                <w:sz w:val="22"/>
                <w:szCs w:val="22"/>
                <w:highlight w:val="none"/>
                <w:lang w:val="en-US" w:eastAsia="zh-CN"/>
              </w:rPr>
              <w:t>评标委员会对投标人提供的前端点位整体布设的科学性、合理性，对前端点位布设的了解详细程度进行综合评议（0-6分）。投标人需提供点位勘察图册。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lang w:eastAsia="zh-CN"/>
              </w:rPr>
            </w:pPr>
            <w:r>
              <w:rPr>
                <w:rFonts w:hint="default" w:ascii="Arial" w:hAnsi="Arial" w:cs="Arial"/>
                <w:b/>
                <w:bCs/>
                <w:color w:val="auto"/>
                <w:sz w:val="22"/>
                <w:szCs w:val="22"/>
                <w:highlight w:val="none"/>
                <w:lang w:val="en-US" w:eastAsia="zh-CN"/>
              </w:rPr>
              <w:t>6、</w:t>
            </w:r>
            <w:r>
              <w:rPr>
                <w:rFonts w:hint="default" w:ascii="Arial" w:hAnsi="Arial" w:cs="Arial"/>
                <w:b/>
                <w:bCs/>
                <w:color w:val="auto"/>
                <w:sz w:val="22"/>
                <w:szCs w:val="22"/>
                <w:highlight w:val="none"/>
              </w:rPr>
              <w:t>合理化建议</w:t>
            </w:r>
            <w:r>
              <w:rPr>
                <w:rFonts w:hint="default" w:ascii="Arial" w:hAnsi="Arial" w:cs="Arial"/>
                <w:b/>
                <w:bCs/>
                <w:color w:val="auto"/>
                <w:sz w:val="22"/>
                <w:szCs w:val="22"/>
                <w:highlight w:val="none"/>
                <w:lang w:eastAsia="zh-CN"/>
              </w:rPr>
              <w:t>（</w:t>
            </w:r>
            <w:r>
              <w:rPr>
                <w:rFonts w:hint="default" w:ascii="Arial" w:hAnsi="Arial" w:cs="Arial"/>
                <w:b/>
                <w:bCs/>
                <w:color w:val="auto"/>
                <w:sz w:val="22"/>
                <w:szCs w:val="22"/>
                <w:highlight w:val="none"/>
                <w:lang w:val="en-US" w:eastAsia="zh-CN"/>
              </w:rPr>
              <w:t>满分2分）：</w:t>
            </w:r>
            <w:r>
              <w:rPr>
                <w:rFonts w:hint="default" w:ascii="Arial" w:hAnsi="Arial" w:cs="Arial"/>
                <w:color w:val="auto"/>
                <w:sz w:val="22"/>
                <w:szCs w:val="22"/>
                <w:highlight w:val="none"/>
              </w:rPr>
              <w:t>对提供的项目实施中合理化建议的合理性、可行性进行综合评</w:t>
            </w:r>
            <w:r>
              <w:rPr>
                <w:rFonts w:hint="default" w:ascii="Arial" w:hAnsi="Arial" w:cs="Arial"/>
                <w:color w:val="auto"/>
                <w:sz w:val="22"/>
                <w:szCs w:val="22"/>
                <w:highlight w:val="none"/>
                <w:lang w:val="en-US" w:eastAsia="zh-CN"/>
              </w:rPr>
              <w:t>议</w:t>
            </w:r>
            <w:r>
              <w:rPr>
                <w:rFonts w:hint="default" w:ascii="Arial" w:hAnsi="Arial" w:cs="Arial"/>
                <w:color w:val="auto"/>
                <w:sz w:val="22"/>
                <w:szCs w:val="22"/>
                <w:highlight w:val="none"/>
              </w:rPr>
              <w:t>（0-2分）</w:t>
            </w:r>
            <w:r>
              <w:rPr>
                <w:rFonts w:hint="default" w:ascii="Arial" w:hAnsi="Arial" w:cs="Arial"/>
                <w:color w:val="auto"/>
                <w:sz w:val="22"/>
                <w:szCs w:val="22"/>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cs="Arial"/>
                <w:b/>
                <w:bCs/>
                <w:color w:val="auto"/>
                <w:sz w:val="22"/>
                <w:szCs w:val="22"/>
                <w:highlight w:val="none"/>
                <w:lang w:val="en-US" w:eastAsia="zh-CN"/>
              </w:rPr>
            </w:pPr>
            <w:r>
              <w:rPr>
                <w:rFonts w:hint="default" w:ascii="Arial" w:hAnsi="Arial" w:cs="Arial"/>
                <w:b/>
                <w:bCs/>
                <w:color w:val="auto"/>
                <w:sz w:val="22"/>
                <w:szCs w:val="22"/>
                <w:highlight w:val="none"/>
                <w:lang w:val="en-US" w:eastAsia="zh-CN"/>
              </w:rPr>
              <w:t>7、</w:t>
            </w:r>
            <w:r>
              <w:rPr>
                <w:rFonts w:hint="default" w:ascii="Arial" w:hAnsi="Arial" w:cs="Arial"/>
                <w:b/>
                <w:bCs/>
                <w:color w:val="auto"/>
                <w:sz w:val="22"/>
                <w:szCs w:val="22"/>
                <w:highlight w:val="none"/>
              </w:rPr>
              <w:t>运维服务方案</w:t>
            </w:r>
            <w:r>
              <w:rPr>
                <w:rFonts w:hint="default" w:ascii="Arial" w:hAnsi="Arial" w:cs="Arial"/>
                <w:b/>
                <w:bCs/>
                <w:color w:val="auto"/>
                <w:sz w:val="22"/>
                <w:szCs w:val="22"/>
                <w:highlight w:val="none"/>
                <w:lang w:eastAsia="zh-CN"/>
              </w:rPr>
              <w:t>（</w:t>
            </w:r>
            <w:r>
              <w:rPr>
                <w:rFonts w:hint="default" w:ascii="Arial" w:hAnsi="Arial" w:cs="Arial"/>
                <w:b/>
                <w:bCs/>
                <w:color w:val="auto"/>
                <w:sz w:val="22"/>
                <w:szCs w:val="22"/>
                <w:highlight w:val="none"/>
                <w:lang w:val="en-US" w:eastAsia="zh-CN"/>
              </w:rPr>
              <w:t>满分10分）：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cs="Arial"/>
                <w:snapToGrid w:val="0"/>
                <w:color w:val="auto"/>
                <w:spacing w:val="-4"/>
                <w:sz w:val="22"/>
                <w:szCs w:val="22"/>
                <w:highlight w:val="none"/>
              </w:rPr>
            </w:pPr>
            <w:r>
              <w:rPr>
                <w:rFonts w:hint="default" w:ascii="Arial" w:hAnsi="Arial" w:cs="Arial"/>
                <w:snapToGrid w:val="0"/>
                <w:color w:val="auto"/>
                <w:spacing w:val="-4"/>
                <w:sz w:val="22"/>
                <w:szCs w:val="22"/>
                <w:highlight w:val="none"/>
                <w:lang w:val="en-US" w:eastAsia="zh-CN"/>
              </w:rPr>
              <w:t>7.1</w:t>
            </w:r>
            <w:r>
              <w:rPr>
                <w:rFonts w:hint="default" w:ascii="Arial" w:hAnsi="Arial" w:cs="Arial"/>
                <w:snapToGrid w:val="0"/>
                <w:color w:val="auto"/>
                <w:spacing w:val="-4"/>
                <w:sz w:val="22"/>
                <w:szCs w:val="22"/>
                <w:highlight w:val="none"/>
              </w:rPr>
              <w:t>根据投标人针对本项目提供的运维服务方案（包括但不限于服务响应时间（0-1分）、响应程度（0-</w:t>
            </w:r>
            <w:r>
              <w:rPr>
                <w:rFonts w:hint="default" w:ascii="Arial" w:hAnsi="Arial" w:cs="Arial"/>
                <w:snapToGrid w:val="0"/>
                <w:color w:val="auto"/>
                <w:spacing w:val="-4"/>
                <w:sz w:val="22"/>
                <w:szCs w:val="22"/>
                <w:highlight w:val="none"/>
                <w:lang w:val="en-US"/>
              </w:rPr>
              <w:t>1</w:t>
            </w:r>
            <w:r>
              <w:rPr>
                <w:rFonts w:hint="default" w:ascii="Arial" w:hAnsi="Arial" w:cs="Arial"/>
                <w:snapToGrid w:val="0"/>
                <w:color w:val="auto"/>
                <w:spacing w:val="-4"/>
                <w:sz w:val="22"/>
                <w:szCs w:val="22"/>
                <w:highlight w:val="none"/>
              </w:rPr>
              <w:t>分）、服务内容（0-</w:t>
            </w:r>
            <w:r>
              <w:rPr>
                <w:rFonts w:hint="default" w:ascii="Arial" w:hAnsi="Arial" w:cs="Arial"/>
                <w:snapToGrid w:val="0"/>
                <w:color w:val="auto"/>
                <w:spacing w:val="-4"/>
                <w:sz w:val="22"/>
                <w:szCs w:val="22"/>
                <w:highlight w:val="none"/>
                <w:lang w:val="en-US"/>
              </w:rPr>
              <w:t>1</w:t>
            </w:r>
            <w:r>
              <w:rPr>
                <w:rFonts w:hint="default" w:ascii="Arial" w:hAnsi="Arial" w:cs="Arial"/>
                <w:snapToGrid w:val="0"/>
                <w:color w:val="auto"/>
                <w:spacing w:val="-4"/>
                <w:sz w:val="22"/>
                <w:szCs w:val="22"/>
                <w:highlight w:val="none"/>
              </w:rPr>
              <w:t>分）、解决问题的能力（0-</w:t>
            </w:r>
            <w:r>
              <w:rPr>
                <w:rFonts w:hint="default" w:ascii="Arial" w:hAnsi="Arial" w:cs="Arial"/>
                <w:snapToGrid w:val="0"/>
                <w:color w:val="auto"/>
                <w:spacing w:val="-4"/>
                <w:sz w:val="22"/>
                <w:szCs w:val="22"/>
                <w:highlight w:val="none"/>
                <w:lang w:val="en-US"/>
              </w:rPr>
              <w:t>1</w:t>
            </w:r>
            <w:r>
              <w:rPr>
                <w:rFonts w:hint="default" w:ascii="Arial" w:hAnsi="Arial" w:cs="Arial"/>
                <w:snapToGrid w:val="0"/>
                <w:color w:val="auto"/>
                <w:spacing w:val="-4"/>
                <w:sz w:val="22"/>
                <w:szCs w:val="22"/>
                <w:highlight w:val="none"/>
              </w:rPr>
              <w:t>分）、紧急故障处理预案（0-</w:t>
            </w:r>
            <w:r>
              <w:rPr>
                <w:rFonts w:hint="default" w:ascii="Arial" w:hAnsi="Arial" w:cs="Arial"/>
                <w:snapToGrid w:val="0"/>
                <w:color w:val="auto"/>
                <w:spacing w:val="-4"/>
                <w:sz w:val="22"/>
                <w:szCs w:val="22"/>
                <w:highlight w:val="none"/>
                <w:lang w:val="en-US"/>
              </w:rPr>
              <w:t>1</w:t>
            </w:r>
            <w:r>
              <w:rPr>
                <w:rFonts w:hint="default" w:ascii="Arial" w:hAnsi="Arial" w:cs="Arial"/>
                <w:snapToGrid w:val="0"/>
                <w:color w:val="auto"/>
                <w:spacing w:val="-4"/>
                <w:sz w:val="22"/>
                <w:szCs w:val="22"/>
                <w:highlight w:val="none"/>
              </w:rPr>
              <w:t>分）、技术指导等（0-</w:t>
            </w:r>
            <w:r>
              <w:rPr>
                <w:rFonts w:hint="default" w:ascii="Arial" w:hAnsi="Arial" w:cs="Arial"/>
                <w:snapToGrid w:val="0"/>
                <w:color w:val="auto"/>
                <w:spacing w:val="-4"/>
                <w:sz w:val="22"/>
                <w:szCs w:val="22"/>
                <w:highlight w:val="none"/>
                <w:lang w:val="en-US"/>
              </w:rPr>
              <w:t>1</w:t>
            </w:r>
            <w:r>
              <w:rPr>
                <w:rFonts w:hint="default" w:ascii="Arial" w:hAnsi="Arial" w:cs="Arial"/>
                <w:snapToGrid w:val="0"/>
                <w:color w:val="auto"/>
                <w:spacing w:val="-4"/>
                <w:sz w:val="22"/>
                <w:szCs w:val="22"/>
                <w:highlight w:val="none"/>
              </w:rPr>
              <w:t>分））进行综合评议；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snapToGrid w:val="0"/>
                <w:color w:val="auto"/>
                <w:spacing w:val="-4"/>
                <w:sz w:val="22"/>
                <w:szCs w:val="22"/>
                <w:highlight w:val="none"/>
              </w:rPr>
            </w:pPr>
            <w:r>
              <w:rPr>
                <w:rFonts w:hint="default" w:ascii="Arial" w:hAnsi="Arial" w:cs="Arial"/>
                <w:snapToGrid w:val="0"/>
                <w:color w:val="auto"/>
                <w:spacing w:val="-4"/>
                <w:sz w:val="22"/>
                <w:szCs w:val="22"/>
                <w:highlight w:val="none"/>
                <w:lang w:val="en-US" w:eastAsia="zh-CN"/>
              </w:rPr>
              <w:t>7.2</w:t>
            </w:r>
            <w:r>
              <w:rPr>
                <w:rFonts w:hint="default" w:ascii="Arial" w:hAnsi="Arial" w:cs="Arial"/>
                <w:snapToGrid w:val="0"/>
                <w:color w:val="auto"/>
                <w:spacing w:val="-4"/>
                <w:sz w:val="22"/>
                <w:szCs w:val="22"/>
                <w:highlight w:val="none"/>
              </w:rPr>
              <w:t>根据提供的运维服务方案中的服务设施和服务团队进行综合评议（0-</w:t>
            </w:r>
            <w:r>
              <w:rPr>
                <w:rFonts w:hint="default" w:ascii="Arial" w:hAnsi="Arial" w:cs="Arial"/>
                <w:snapToGrid w:val="0"/>
                <w:color w:val="auto"/>
                <w:spacing w:val="-4"/>
                <w:sz w:val="22"/>
                <w:szCs w:val="22"/>
                <w:highlight w:val="none"/>
                <w:lang w:val="en-US"/>
              </w:rPr>
              <w:t>3</w:t>
            </w:r>
            <w:r>
              <w:rPr>
                <w:rFonts w:hint="default" w:ascii="Arial" w:hAnsi="Arial" w:cs="Arial"/>
                <w:snapToGrid w:val="0"/>
                <w:color w:val="auto"/>
                <w:spacing w:val="-4"/>
                <w:sz w:val="22"/>
                <w:szCs w:val="2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lang w:val="en-US" w:eastAsia="zh-CN"/>
              </w:rPr>
            </w:pPr>
            <w:r>
              <w:rPr>
                <w:rFonts w:hint="default" w:ascii="Arial" w:hAnsi="Arial" w:cs="Arial"/>
                <w:snapToGrid w:val="0"/>
                <w:color w:val="auto"/>
                <w:spacing w:val="-4"/>
                <w:sz w:val="22"/>
                <w:szCs w:val="22"/>
                <w:highlight w:val="none"/>
                <w:lang w:val="en-US" w:eastAsia="zh-CN"/>
              </w:rPr>
              <w:t>7.3</w:t>
            </w:r>
            <w:r>
              <w:rPr>
                <w:rFonts w:hint="default" w:ascii="Arial" w:hAnsi="Arial" w:cs="Arial"/>
                <w:snapToGrid w:val="0"/>
                <w:color w:val="auto"/>
                <w:spacing w:val="-4"/>
                <w:sz w:val="22"/>
                <w:szCs w:val="22"/>
                <w:highlight w:val="none"/>
              </w:rPr>
              <w:t>满足采购需求的前提下承诺增加驻场售后维护人员的得1分。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default" w:ascii="Arial" w:hAnsi="Arial" w:eastAsia="宋体" w:cs="Arial"/>
                <w:color w:val="auto"/>
                <w:sz w:val="22"/>
                <w:szCs w:val="22"/>
                <w:highlight w:val="none"/>
              </w:rPr>
            </w:pPr>
            <w:r>
              <w:rPr>
                <w:rFonts w:hint="default" w:ascii="Arial" w:hAnsi="Arial" w:eastAsia="宋体" w:cs="Arial"/>
                <w:b/>
                <w:bCs/>
                <w:color w:val="auto"/>
                <w:sz w:val="22"/>
                <w:szCs w:val="22"/>
                <w:highlight w:val="none"/>
                <w:lang w:val="en-US" w:eastAsia="zh-CN"/>
              </w:rPr>
              <w:t>8、</w:t>
            </w:r>
            <w:r>
              <w:rPr>
                <w:rFonts w:hint="default" w:ascii="Arial" w:hAnsi="Arial" w:eastAsia="宋体" w:cs="Arial"/>
                <w:b/>
                <w:bCs/>
                <w:color w:val="auto"/>
                <w:sz w:val="22"/>
                <w:szCs w:val="22"/>
                <w:highlight w:val="none"/>
              </w:rPr>
              <w:t>投标人业绩</w:t>
            </w:r>
            <w:r>
              <w:rPr>
                <w:rFonts w:hint="default" w:ascii="Arial" w:hAnsi="Arial" w:eastAsia="宋体" w:cs="Arial"/>
                <w:b/>
                <w:bCs/>
                <w:color w:val="auto"/>
                <w:sz w:val="22"/>
                <w:szCs w:val="22"/>
                <w:highlight w:val="none"/>
                <w:lang w:eastAsia="zh-CN"/>
              </w:rPr>
              <w:t>（满分</w:t>
            </w:r>
            <w:r>
              <w:rPr>
                <w:rFonts w:hint="default" w:ascii="Arial" w:hAnsi="Arial" w:cs="Arial"/>
                <w:b/>
                <w:bCs/>
                <w:color w:val="auto"/>
                <w:sz w:val="22"/>
                <w:szCs w:val="22"/>
                <w:highlight w:val="none"/>
                <w:lang w:val="en-US"/>
              </w:rPr>
              <w:t>3</w:t>
            </w:r>
            <w:r>
              <w:rPr>
                <w:rFonts w:hint="default" w:ascii="Arial" w:hAnsi="Arial" w:eastAsia="宋体" w:cs="Arial"/>
                <w:b/>
                <w:bCs/>
                <w:color w:val="auto"/>
                <w:sz w:val="22"/>
                <w:szCs w:val="22"/>
                <w:highlight w:val="none"/>
              </w:rPr>
              <w:t>分）</w:t>
            </w:r>
            <w:r>
              <w:rPr>
                <w:rFonts w:hint="default" w:ascii="Arial" w:hAnsi="Arial" w:eastAsia="宋体" w:cs="Arial"/>
                <w:b/>
                <w:bCs/>
                <w:color w:val="auto"/>
                <w:sz w:val="22"/>
                <w:szCs w:val="22"/>
                <w:highlight w:val="none"/>
                <w:lang w:eastAsia="zh-CN"/>
              </w:rPr>
              <w:t>：</w:t>
            </w:r>
            <w:r>
              <w:rPr>
                <w:rFonts w:hint="default" w:ascii="Arial" w:hAnsi="Arial" w:eastAsia="宋体" w:cs="Arial"/>
                <w:color w:val="auto"/>
                <w:sz w:val="22"/>
                <w:szCs w:val="22"/>
                <w:highlight w:val="none"/>
                <w:lang w:eastAsia="zh-CN"/>
              </w:rPr>
              <w:t>投标人</w:t>
            </w:r>
            <w:r>
              <w:rPr>
                <w:rFonts w:hint="default" w:ascii="Arial" w:hAnsi="Arial" w:eastAsia="宋体" w:cs="Arial"/>
                <w:color w:val="auto"/>
                <w:sz w:val="22"/>
                <w:szCs w:val="22"/>
                <w:highlight w:val="none"/>
              </w:rPr>
              <w:t>自2019年1月1日至今（以合同签订时间为准），投标人承接过类似项目业绩的，每个得0.5分，最高分</w:t>
            </w:r>
            <w:r>
              <w:rPr>
                <w:rFonts w:hint="default" w:ascii="Arial" w:hAnsi="Arial" w:cs="Arial"/>
                <w:color w:val="auto"/>
                <w:sz w:val="22"/>
                <w:szCs w:val="22"/>
                <w:highlight w:val="none"/>
                <w:lang w:val="en-US"/>
              </w:rPr>
              <w:t>3</w:t>
            </w:r>
            <w:r>
              <w:rPr>
                <w:rFonts w:hint="default" w:ascii="Arial" w:hAnsi="Arial" w:eastAsia="宋体" w:cs="Arial"/>
                <w:color w:val="auto"/>
                <w:sz w:val="22"/>
                <w:szCs w:val="2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lang w:val="en-US" w:eastAsia="zh-CN"/>
              </w:rPr>
            </w:pPr>
            <w:r>
              <w:rPr>
                <w:rFonts w:hint="default" w:ascii="Arial" w:hAnsi="Arial" w:eastAsia="宋体" w:cs="Arial"/>
                <w:color w:val="auto"/>
                <w:sz w:val="22"/>
                <w:szCs w:val="22"/>
                <w:highlight w:val="none"/>
              </w:rPr>
              <w:t>注：投标文件中须附合同复印件。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eastAsia="宋体" w:cs="Arial"/>
                <w:color w:val="auto"/>
                <w:sz w:val="22"/>
                <w:szCs w:val="22"/>
                <w:highlight w:val="none"/>
              </w:rPr>
            </w:pPr>
            <w:r>
              <w:rPr>
                <w:rFonts w:hint="default" w:ascii="Arial" w:hAnsi="Arial" w:eastAsia="宋体" w:cs="Arial"/>
                <w:b/>
                <w:bCs/>
                <w:color w:val="auto"/>
                <w:sz w:val="22"/>
                <w:szCs w:val="22"/>
                <w:highlight w:val="none"/>
                <w:lang w:val="en-US" w:eastAsia="zh-CN"/>
              </w:rPr>
              <w:t>9、</w:t>
            </w:r>
            <w:r>
              <w:rPr>
                <w:rFonts w:hint="default" w:ascii="Arial" w:hAnsi="Arial" w:eastAsia="宋体" w:cs="Arial"/>
                <w:b/>
                <w:bCs/>
                <w:color w:val="auto"/>
                <w:sz w:val="22"/>
                <w:szCs w:val="22"/>
                <w:highlight w:val="none"/>
              </w:rPr>
              <w:t>管理体系认证证书（</w:t>
            </w:r>
            <w:r>
              <w:rPr>
                <w:rFonts w:hint="default" w:ascii="Arial" w:hAnsi="Arial" w:eastAsia="宋体" w:cs="Arial"/>
                <w:b/>
                <w:bCs/>
                <w:color w:val="auto"/>
                <w:sz w:val="22"/>
                <w:szCs w:val="22"/>
                <w:highlight w:val="none"/>
                <w:lang w:eastAsia="zh-CN"/>
              </w:rPr>
              <w:t>满分</w:t>
            </w:r>
            <w:r>
              <w:rPr>
                <w:rFonts w:hint="default" w:ascii="Arial" w:hAnsi="Arial" w:eastAsia="宋体" w:cs="Arial"/>
                <w:b/>
                <w:bCs/>
                <w:color w:val="auto"/>
                <w:sz w:val="22"/>
                <w:szCs w:val="22"/>
                <w:highlight w:val="none"/>
                <w:lang w:val="en-US" w:eastAsia="zh-CN"/>
              </w:rPr>
              <w:t>5</w:t>
            </w:r>
            <w:r>
              <w:rPr>
                <w:rFonts w:hint="default" w:ascii="Arial" w:hAnsi="Arial" w:eastAsia="宋体" w:cs="Arial"/>
                <w:b/>
                <w:bCs/>
                <w:color w:val="auto"/>
                <w:sz w:val="22"/>
                <w:szCs w:val="22"/>
                <w:highlight w:val="none"/>
              </w:rPr>
              <w:t>分）</w:t>
            </w:r>
            <w:r>
              <w:rPr>
                <w:rFonts w:hint="default" w:ascii="Arial" w:hAnsi="Arial" w:eastAsia="宋体" w:cs="Arial"/>
                <w:b/>
                <w:bCs/>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rPr>
            </w:pPr>
            <w:r>
              <w:rPr>
                <w:rFonts w:hint="eastAsia" w:ascii="Arial" w:hAnsi="Arial" w:eastAsia="宋体" w:cs="Arial"/>
                <w:color w:val="auto"/>
                <w:sz w:val="22"/>
                <w:szCs w:val="22"/>
                <w:highlight w:val="none"/>
                <w:lang w:val="en-US" w:eastAsia="zh-CN"/>
              </w:rPr>
              <w:t>9.1</w:t>
            </w:r>
            <w:r>
              <w:rPr>
                <w:rFonts w:hint="default" w:ascii="Arial" w:hAnsi="Arial" w:eastAsia="宋体" w:cs="Arial"/>
                <w:color w:val="auto"/>
                <w:sz w:val="22"/>
                <w:szCs w:val="22"/>
                <w:highlight w:val="none"/>
              </w:rPr>
              <w:t>投标人具有ISO22301业务连续性认证证书的得 1 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rPr>
            </w:pPr>
            <w:r>
              <w:rPr>
                <w:rFonts w:hint="eastAsia" w:ascii="Arial" w:hAnsi="Arial" w:eastAsia="宋体" w:cs="Arial"/>
                <w:color w:val="auto"/>
                <w:sz w:val="22"/>
                <w:szCs w:val="22"/>
                <w:highlight w:val="none"/>
                <w:lang w:val="en-US" w:eastAsia="zh-CN"/>
              </w:rPr>
              <w:t>9.2</w:t>
            </w:r>
            <w:r>
              <w:rPr>
                <w:rFonts w:hint="default" w:ascii="Arial" w:hAnsi="Arial" w:eastAsia="宋体" w:cs="Arial"/>
                <w:color w:val="auto"/>
                <w:sz w:val="22"/>
                <w:szCs w:val="22"/>
                <w:highlight w:val="none"/>
              </w:rPr>
              <w:t>投标人具有ISO28000供应链管理体系认证证书的得 1 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rPr>
            </w:pPr>
            <w:r>
              <w:rPr>
                <w:rFonts w:hint="eastAsia" w:ascii="Arial" w:hAnsi="Arial" w:eastAsia="宋体" w:cs="Arial"/>
                <w:color w:val="auto"/>
                <w:sz w:val="22"/>
                <w:szCs w:val="22"/>
                <w:highlight w:val="none"/>
                <w:lang w:val="en-US" w:eastAsia="zh-CN"/>
              </w:rPr>
              <w:t>9.3</w:t>
            </w:r>
            <w:r>
              <w:rPr>
                <w:rFonts w:hint="default" w:ascii="Arial" w:hAnsi="Arial" w:eastAsia="宋体" w:cs="Arial"/>
                <w:color w:val="auto"/>
                <w:sz w:val="22"/>
                <w:szCs w:val="22"/>
                <w:highlight w:val="none"/>
              </w:rPr>
              <w:t>投标人具有ITSS信息技术服务标准认证证书的得 1 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rPr>
            </w:pPr>
            <w:r>
              <w:rPr>
                <w:rFonts w:hint="eastAsia" w:ascii="Arial" w:hAnsi="Arial" w:eastAsia="宋体" w:cs="Arial"/>
                <w:color w:val="auto"/>
                <w:sz w:val="22"/>
                <w:szCs w:val="22"/>
                <w:highlight w:val="none"/>
                <w:lang w:val="en-US" w:eastAsia="zh-CN"/>
              </w:rPr>
              <w:t>9.4</w:t>
            </w:r>
            <w:r>
              <w:rPr>
                <w:rFonts w:hint="default" w:ascii="Arial" w:hAnsi="Arial" w:eastAsia="宋体" w:cs="Arial"/>
                <w:color w:val="auto"/>
                <w:sz w:val="22"/>
                <w:szCs w:val="22"/>
                <w:highlight w:val="none"/>
              </w:rPr>
              <w:t>投标人具有ISO27001信息安全管理体系标准的得1分；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Arial" w:hAnsi="Arial" w:eastAsia="宋体" w:cs="Arial"/>
                <w:color w:val="auto"/>
                <w:sz w:val="22"/>
                <w:szCs w:val="22"/>
                <w:highlight w:val="none"/>
                <w:lang w:eastAsia="zh-CN"/>
              </w:rPr>
            </w:pPr>
            <w:r>
              <w:rPr>
                <w:rFonts w:hint="eastAsia" w:ascii="Arial" w:hAnsi="Arial" w:eastAsia="宋体" w:cs="Arial"/>
                <w:color w:val="auto"/>
                <w:sz w:val="22"/>
                <w:szCs w:val="22"/>
                <w:highlight w:val="none"/>
                <w:lang w:val="en-US" w:eastAsia="zh-CN"/>
              </w:rPr>
              <w:t>9.5</w:t>
            </w:r>
            <w:r>
              <w:rPr>
                <w:rFonts w:hint="default" w:ascii="Arial" w:hAnsi="Arial" w:eastAsia="宋体" w:cs="Arial"/>
                <w:color w:val="auto"/>
                <w:sz w:val="22"/>
                <w:szCs w:val="22"/>
                <w:highlight w:val="none"/>
              </w:rPr>
              <w:t>投标人具有ISO45001职业健康安全管理体系证书的得 1 分</w:t>
            </w:r>
            <w:r>
              <w:rPr>
                <w:rFonts w:hint="eastAsia" w:ascii="Arial" w:hAnsi="Arial" w:eastAsia="宋体" w:cs="Arial"/>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Arial" w:hAnsi="Arial" w:eastAsia="宋体" w:cs="Arial"/>
                <w:color w:val="auto"/>
                <w:sz w:val="22"/>
                <w:szCs w:val="22"/>
                <w:highlight w:val="none"/>
              </w:rPr>
            </w:pPr>
            <w:r>
              <w:rPr>
                <w:rFonts w:hint="default" w:ascii="Arial" w:hAnsi="Arial" w:eastAsia="宋体" w:cs="Arial"/>
                <w:color w:val="auto"/>
                <w:sz w:val="22"/>
                <w:szCs w:val="22"/>
                <w:highlight w:val="none"/>
                <w:lang w:val="en-US" w:eastAsia="zh-CN"/>
              </w:rPr>
              <w:t>注：投标文件中提供上述认证证书复印件。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eastAsia="宋体" w:cs="Arial"/>
                <w:b/>
                <w:bCs/>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10、</w:t>
            </w:r>
            <w:r>
              <w:rPr>
                <w:rFonts w:hint="default" w:ascii="Arial" w:hAnsi="Arial" w:eastAsia="宋体" w:cs="Arial"/>
                <w:b/>
                <w:bCs/>
                <w:color w:val="auto"/>
                <w:sz w:val="22"/>
                <w:szCs w:val="22"/>
                <w:highlight w:val="none"/>
                <w:lang w:eastAsia="zh-CN"/>
              </w:rPr>
              <w:t>项目团队</w:t>
            </w:r>
            <w:r>
              <w:rPr>
                <w:rFonts w:hint="default" w:ascii="Arial" w:hAnsi="Arial" w:eastAsia="宋体" w:cs="Arial"/>
                <w:b/>
                <w:bCs/>
                <w:color w:val="auto"/>
                <w:sz w:val="22"/>
                <w:szCs w:val="22"/>
                <w:highlight w:val="none"/>
                <w:lang w:val="en-US" w:eastAsia="zh-CN"/>
              </w:rPr>
              <w:t>综合实力（满分6分）：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cs="Arial"/>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10.1</w:t>
            </w:r>
            <w:r>
              <w:rPr>
                <w:rFonts w:hint="default" w:ascii="Arial" w:hAnsi="Arial" w:eastAsia="宋体" w:cs="Arial"/>
                <w:b/>
                <w:bCs/>
                <w:color w:val="auto"/>
                <w:sz w:val="22"/>
                <w:szCs w:val="22"/>
                <w:highlight w:val="none"/>
                <w:lang w:eastAsia="zh-CN"/>
              </w:rPr>
              <w:t>拟</w:t>
            </w:r>
            <w:r>
              <w:rPr>
                <w:rFonts w:hint="default" w:ascii="Arial" w:hAnsi="Arial" w:eastAsia="宋体" w:cs="Arial"/>
                <w:b/>
                <w:bCs/>
                <w:color w:val="auto"/>
                <w:sz w:val="22"/>
                <w:szCs w:val="22"/>
                <w:highlight w:val="none"/>
                <w:lang w:val="en-US" w:eastAsia="zh-CN"/>
              </w:rPr>
              <w:t>派</w:t>
            </w:r>
            <w:r>
              <w:rPr>
                <w:rFonts w:hint="default" w:ascii="Arial" w:hAnsi="Arial" w:eastAsia="宋体" w:cs="Arial"/>
                <w:b/>
                <w:bCs/>
                <w:color w:val="auto"/>
                <w:sz w:val="22"/>
                <w:szCs w:val="22"/>
                <w:highlight w:val="none"/>
                <w:lang w:eastAsia="zh-CN"/>
              </w:rPr>
              <w:t>项目经理综合实力</w:t>
            </w:r>
            <w:r>
              <w:rPr>
                <w:rFonts w:hint="default" w:ascii="Arial" w:hAnsi="Arial" w:eastAsia="宋体" w:cs="Arial"/>
                <w:b/>
                <w:bCs/>
                <w:color w:val="auto"/>
                <w:sz w:val="22"/>
                <w:szCs w:val="22"/>
                <w:highlight w:val="none"/>
              </w:rPr>
              <w:t>（</w:t>
            </w:r>
            <w:r>
              <w:rPr>
                <w:rFonts w:hint="default" w:ascii="Arial" w:hAnsi="Arial" w:eastAsia="宋体" w:cs="Arial"/>
                <w:b/>
                <w:bCs/>
                <w:color w:val="auto"/>
                <w:sz w:val="22"/>
                <w:szCs w:val="22"/>
                <w:highlight w:val="none"/>
                <w:lang w:eastAsia="zh-CN"/>
              </w:rPr>
              <w:t>满分</w:t>
            </w:r>
            <w:r>
              <w:rPr>
                <w:rFonts w:hint="default" w:ascii="Arial" w:hAnsi="Arial" w:cs="Arial"/>
                <w:b/>
                <w:bCs/>
                <w:color w:val="auto"/>
                <w:sz w:val="22"/>
                <w:szCs w:val="22"/>
                <w:highlight w:val="none"/>
                <w:lang w:val="en-US" w:eastAsia="zh-CN"/>
              </w:rPr>
              <w:t>3</w:t>
            </w:r>
            <w:r>
              <w:rPr>
                <w:rFonts w:hint="default" w:ascii="Arial" w:hAnsi="Arial" w:eastAsia="宋体" w:cs="Arial"/>
                <w:b/>
                <w:bCs/>
                <w:color w:val="auto"/>
                <w:sz w:val="22"/>
                <w:szCs w:val="22"/>
                <w:highlight w:val="none"/>
              </w:rPr>
              <w:t>分）</w:t>
            </w:r>
            <w:r>
              <w:rPr>
                <w:rFonts w:hint="default" w:ascii="Arial" w:hAnsi="Arial" w:eastAsia="宋体" w:cs="Arial"/>
                <w:b/>
                <w:bCs/>
                <w:color w:val="auto"/>
                <w:sz w:val="22"/>
                <w:szCs w:val="22"/>
                <w:highlight w:val="none"/>
                <w:lang w:eastAsia="zh-CN"/>
              </w:rPr>
              <w:t>：</w:t>
            </w:r>
            <w:r>
              <w:rPr>
                <w:rFonts w:hint="default" w:ascii="Arial" w:hAnsi="Arial" w:eastAsia="宋体" w:cs="Arial"/>
                <w:color w:val="auto"/>
                <w:sz w:val="22"/>
                <w:szCs w:val="22"/>
                <w:highlight w:val="none"/>
              </w:rPr>
              <w:t>项目经</w:t>
            </w:r>
            <w:r>
              <w:rPr>
                <w:rFonts w:hint="default" w:ascii="Arial" w:hAnsi="Arial" w:eastAsia="宋体" w:cs="Arial"/>
                <w:color w:val="auto"/>
                <w:sz w:val="22"/>
                <w:szCs w:val="22"/>
                <w:highlight w:val="none"/>
                <w:lang w:val="en-US" w:eastAsia="zh-CN"/>
              </w:rPr>
              <w:t>同时</w:t>
            </w:r>
            <w:r>
              <w:rPr>
                <w:rFonts w:hint="default" w:ascii="Arial" w:hAnsi="Arial" w:eastAsia="宋体" w:cs="Arial"/>
                <w:color w:val="auto"/>
                <w:sz w:val="22"/>
                <w:szCs w:val="22"/>
                <w:highlight w:val="none"/>
              </w:rPr>
              <w:t>具</w:t>
            </w:r>
            <w:r>
              <w:rPr>
                <w:rFonts w:hint="default" w:ascii="Arial" w:hAnsi="Arial" w:eastAsia="宋体" w:cs="Arial"/>
                <w:color w:val="auto"/>
                <w:sz w:val="22"/>
                <w:szCs w:val="22"/>
                <w:highlight w:val="none"/>
                <w:lang w:val="en-US" w:eastAsia="zh-CN"/>
              </w:rPr>
              <w:t>有</w:t>
            </w:r>
            <w:r>
              <w:rPr>
                <w:rFonts w:hint="default" w:ascii="Arial" w:hAnsi="Arial" w:eastAsia="宋体" w:cs="Arial"/>
                <w:color w:val="auto"/>
                <w:sz w:val="22"/>
                <w:szCs w:val="22"/>
                <w:highlight w:val="none"/>
              </w:rPr>
              <w:t>信息系统项目管理师、网络工程师、CISE注册信息安全工程师、PMP项目管理专家、CCIE思科认证互联网专</w:t>
            </w:r>
            <w:r>
              <w:rPr>
                <w:rFonts w:hint="default" w:ascii="Arial" w:hAnsi="Arial" w:eastAsia="宋体" w:cs="Arial"/>
                <w:color w:val="auto"/>
                <w:sz w:val="22"/>
                <w:szCs w:val="22"/>
                <w:highlight w:val="none"/>
                <w:lang w:eastAsia="zh-CN"/>
              </w:rPr>
              <w:t>家</w:t>
            </w:r>
            <w:r>
              <w:rPr>
                <w:rFonts w:hint="default" w:ascii="Arial" w:hAnsi="Arial" w:eastAsia="宋体" w:cs="Arial"/>
                <w:color w:val="auto"/>
                <w:sz w:val="22"/>
                <w:szCs w:val="22"/>
                <w:highlight w:val="none"/>
              </w:rPr>
              <w:t>、互联网技术证书</w:t>
            </w:r>
            <w:r>
              <w:rPr>
                <w:rFonts w:hint="default" w:ascii="Arial" w:hAnsi="Arial" w:eastAsia="宋体" w:cs="Arial"/>
                <w:color w:val="auto"/>
                <w:sz w:val="22"/>
                <w:szCs w:val="22"/>
                <w:highlight w:val="none"/>
                <w:lang w:val="en-US" w:eastAsia="zh-CN"/>
              </w:rPr>
              <w:t>的得3分；非同时具有上述证书的，</w:t>
            </w:r>
            <w:r>
              <w:rPr>
                <w:rFonts w:hint="default" w:ascii="Arial" w:hAnsi="Arial" w:eastAsia="宋体" w:cs="Arial"/>
                <w:color w:val="auto"/>
                <w:sz w:val="22"/>
                <w:szCs w:val="22"/>
                <w:highlight w:val="none"/>
                <w:lang w:eastAsia="zh-CN"/>
              </w:rPr>
              <w:t>每具有上述</w:t>
            </w:r>
            <w:r>
              <w:rPr>
                <w:rFonts w:hint="default" w:ascii="Arial" w:hAnsi="Arial" w:eastAsia="宋体" w:cs="Arial"/>
                <w:color w:val="auto"/>
                <w:sz w:val="22"/>
                <w:szCs w:val="22"/>
                <w:highlight w:val="none"/>
                <w:lang w:val="en-US" w:eastAsia="zh-CN"/>
              </w:rPr>
              <w:t>任</w:t>
            </w:r>
            <w:r>
              <w:rPr>
                <w:rFonts w:hint="default" w:ascii="Arial" w:hAnsi="Arial" w:eastAsia="宋体" w:cs="Arial"/>
                <w:color w:val="auto"/>
                <w:sz w:val="22"/>
                <w:szCs w:val="22"/>
                <w:highlight w:val="none"/>
                <w:lang w:eastAsia="zh-CN"/>
              </w:rPr>
              <w:t>一种证书</w:t>
            </w:r>
            <w:r>
              <w:rPr>
                <w:rFonts w:hint="default" w:ascii="Arial" w:hAnsi="Arial" w:eastAsia="宋体" w:cs="Arial"/>
                <w:color w:val="auto"/>
                <w:sz w:val="22"/>
                <w:szCs w:val="22"/>
                <w:highlight w:val="none"/>
              </w:rPr>
              <w:t>的得</w:t>
            </w:r>
            <w:r>
              <w:rPr>
                <w:rFonts w:hint="default" w:ascii="Arial" w:hAnsi="Arial" w:eastAsia="宋体" w:cs="Arial"/>
                <w:color w:val="auto"/>
                <w:sz w:val="22"/>
                <w:szCs w:val="22"/>
                <w:highlight w:val="none"/>
                <w:lang w:val="en-US" w:eastAsia="zh-CN"/>
              </w:rPr>
              <w:t>0.2</w:t>
            </w:r>
            <w:r>
              <w:rPr>
                <w:rFonts w:hint="default" w:ascii="Arial" w:hAnsi="Arial" w:eastAsia="宋体" w:cs="Arial"/>
                <w:color w:val="auto"/>
                <w:sz w:val="22"/>
                <w:szCs w:val="22"/>
                <w:highlight w:val="none"/>
              </w:rPr>
              <w:t>分</w:t>
            </w:r>
            <w:r>
              <w:rPr>
                <w:rFonts w:hint="default" w:ascii="Arial" w:hAnsi="Arial" w:cs="Arial"/>
                <w:color w:val="auto"/>
                <w:sz w:val="22"/>
                <w:szCs w:val="22"/>
                <w:highlight w:val="none"/>
                <w:lang w:val="en-US" w:eastAsia="zh-CN"/>
              </w:rPr>
              <w:t>。本项</w:t>
            </w:r>
            <w:r>
              <w:rPr>
                <w:rFonts w:hint="default" w:ascii="Arial" w:hAnsi="Arial" w:cs="Arial"/>
                <w:color w:val="auto"/>
                <w:sz w:val="22"/>
                <w:szCs w:val="22"/>
                <w:highlight w:val="none"/>
                <w:lang w:eastAsia="zh-CN"/>
              </w:rPr>
              <w:t>最高得</w:t>
            </w:r>
            <w:r>
              <w:rPr>
                <w:rFonts w:hint="default" w:ascii="Arial" w:hAnsi="Arial" w:cs="Arial"/>
                <w:color w:val="auto"/>
                <w:sz w:val="22"/>
                <w:szCs w:val="22"/>
                <w:highlight w:val="none"/>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eastAsia="宋体" w:cs="Arial"/>
                <w:color w:val="auto"/>
                <w:sz w:val="22"/>
                <w:szCs w:val="22"/>
                <w:highlight w:val="none"/>
                <w:lang w:val="en-US" w:eastAsia="zh-CN"/>
              </w:rPr>
            </w:pPr>
            <w:r>
              <w:rPr>
                <w:rFonts w:hint="default" w:ascii="Arial" w:hAnsi="Arial" w:eastAsia="宋体" w:cs="Arial"/>
                <w:b/>
                <w:bCs/>
                <w:color w:val="auto"/>
                <w:sz w:val="22"/>
                <w:szCs w:val="22"/>
                <w:highlight w:val="none"/>
                <w:lang w:val="en-US" w:eastAsia="zh-CN"/>
              </w:rPr>
              <w:t>10.2运维负责人资质（满分3分）：</w:t>
            </w:r>
            <w:r>
              <w:rPr>
                <w:rFonts w:hint="default" w:ascii="Arial" w:hAnsi="Arial" w:eastAsia="宋体" w:cs="Arial"/>
                <w:color w:val="auto"/>
                <w:sz w:val="22"/>
                <w:szCs w:val="22"/>
                <w:highlight w:val="none"/>
                <w:lang w:val="en-US" w:eastAsia="zh-CN"/>
              </w:rPr>
              <w:t>运维负责人同时具备项目管理工程师、CCSK云计算安全认证、CISAW信息安全保障人员认证、CISP注册信息安全专业人员、ITSS信息技术服务标准认证、ITIL信息技术基础架构库认证的得3分；非同时具有上述证书的，</w:t>
            </w:r>
            <w:r>
              <w:rPr>
                <w:rFonts w:hint="default" w:ascii="Arial" w:hAnsi="Arial" w:eastAsia="宋体" w:cs="Arial"/>
                <w:color w:val="auto"/>
                <w:sz w:val="22"/>
                <w:szCs w:val="22"/>
                <w:highlight w:val="none"/>
                <w:lang w:eastAsia="zh-CN"/>
              </w:rPr>
              <w:t>每具有上述</w:t>
            </w:r>
            <w:r>
              <w:rPr>
                <w:rFonts w:hint="default" w:ascii="Arial" w:hAnsi="Arial" w:eastAsia="宋体" w:cs="Arial"/>
                <w:color w:val="auto"/>
                <w:sz w:val="22"/>
                <w:szCs w:val="22"/>
                <w:highlight w:val="none"/>
                <w:lang w:val="en-US" w:eastAsia="zh-CN"/>
              </w:rPr>
              <w:t>任</w:t>
            </w:r>
            <w:r>
              <w:rPr>
                <w:rFonts w:hint="default" w:ascii="Arial" w:hAnsi="Arial" w:eastAsia="宋体" w:cs="Arial"/>
                <w:color w:val="auto"/>
                <w:sz w:val="22"/>
                <w:szCs w:val="22"/>
                <w:highlight w:val="none"/>
                <w:lang w:eastAsia="zh-CN"/>
              </w:rPr>
              <w:t>一种证书</w:t>
            </w:r>
            <w:r>
              <w:rPr>
                <w:rFonts w:hint="default" w:ascii="Arial" w:hAnsi="Arial" w:eastAsia="宋体" w:cs="Arial"/>
                <w:color w:val="auto"/>
                <w:sz w:val="22"/>
                <w:szCs w:val="22"/>
                <w:highlight w:val="none"/>
              </w:rPr>
              <w:t>的得</w:t>
            </w:r>
            <w:r>
              <w:rPr>
                <w:rFonts w:hint="default" w:ascii="Arial" w:hAnsi="Arial" w:eastAsia="宋体" w:cs="Arial"/>
                <w:color w:val="auto"/>
                <w:sz w:val="22"/>
                <w:szCs w:val="22"/>
                <w:highlight w:val="none"/>
                <w:lang w:val="en-US" w:eastAsia="zh-CN"/>
              </w:rPr>
              <w:t>0.2</w:t>
            </w:r>
            <w:r>
              <w:rPr>
                <w:rFonts w:hint="default" w:ascii="Arial" w:hAnsi="Arial" w:eastAsia="宋体" w:cs="Arial"/>
                <w:color w:val="auto"/>
                <w:sz w:val="22"/>
                <w:szCs w:val="22"/>
                <w:highlight w:val="none"/>
              </w:rPr>
              <w:t>分</w:t>
            </w:r>
            <w:r>
              <w:rPr>
                <w:rFonts w:hint="default" w:ascii="Arial" w:hAnsi="Arial" w:cs="Arial"/>
                <w:color w:val="auto"/>
                <w:sz w:val="22"/>
                <w:szCs w:val="22"/>
                <w:highlight w:val="none"/>
                <w:lang w:val="en-US" w:eastAsia="zh-CN"/>
              </w:rPr>
              <w:t>。本项</w:t>
            </w:r>
            <w:r>
              <w:rPr>
                <w:rFonts w:hint="default" w:ascii="Arial" w:hAnsi="Arial" w:cs="Arial"/>
                <w:color w:val="auto"/>
                <w:sz w:val="22"/>
                <w:szCs w:val="22"/>
                <w:highlight w:val="none"/>
                <w:lang w:eastAsia="zh-CN"/>
              </w:rPr>
              <w:t>最高得</w:t>
            </w:r>
            <w:r>
              <w:rPr>
                <w:rFonts w:hint="default" w:ascii="Arial" w:hAnsi="Arial" w:cs="Arial"/>
                <w:color w:val="auto"/>
                <w:sz w:val="22"/>
                <w:szCs w:val="22"/>
                <w:highlight w:val="none"/>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Arial" w:hAnsi="Arial" w:eastAsia="宋体" w:cs="Arial"/>
                <w:b/>
                <w:bCs/>
                <w:color w:val="auto"/>
                <w:sz w:val="22"/>
                <w:szCs w:val="22"/>
                <w:highlight w:val="none"/>
                <w:lang w:val="en-US" w:eastAsia="zh-CN"/>
              </w:rPr>
            </w:pPr>
            <w:r>
              <w:rPr>
                <w:rFonts w:hint="default" w:ascii="Arial" w:hAnsi="Arial" w:eastAsia="宋体" w:cs="Arial"/>
                <w:color w:val="auto"/>
                <w:sz w:val="22"/>
                <w:szCs w:val="22"/>
                <w:highlight w:val="none"/>
              </w:rPr>
              <w:t>注：投标文件须附相关人员公告发布之日前三个月任意一个月的社会保险证明</w:t>
            </w:r>
            <w:r>
              <w:rPr>
                <w:rFonts w:hint="default" w:ascii="Arial" w:hAnsi="Arial" w:eastAsia="宋体" w:cs="Arial"/>
                <w:color w:val="auto"/>
                <w:sz w:val="22"/>
                <w:szCs w:val="22"/>
                <w:highlight w:val="none"/>
                <w:lang w:eastAsia="zh-CN"/>
              </w:rPr>
              <w:t>及</w:t>
            </w:r>
            <w:r>
              <w:rPr>
                <w:rFonts w:hint="default" w:ascii="Arial" w:hAnsi="Arial" w:eastAsia="宋体" w:cs="Arial"/>
                <w:color w:val="auto"/>
                <w:sz w:val="22"/>
                <w:szCs w:val="22"/>
                <w:highlight w:val="none"/>
              </w:rPr>
              <w:t>相关证书复印件。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b/>
                <w:color w:val="auto"/>
                <w:sz w:val="22"/>
                <w:szCs w:val="22"/>
                <w:highlight w:val="none"/>
                <w:lang w:bidi="ar"/>
              </w:rPr>
            </w:pPr>
          </w:p>
        </w:tc>
        <w:tc>
          <w:tcPr>
            <w:tcW w:w="83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color w:val="auto"/>
                <w:sz w:val="22"/>
                <w:szCs w:val="22"/>
                <w:highlight w:val="none"/>
                <w:lang w:val="en-US" w:eastAsia="zh-CN"/>
              </w:rPr>
            </w:pPr>
            <w:r>
              <w:rPr>
                <w:rFonts w:hint="default" w:ascii="Arial" w:hAnsi="Arial" w:cs="Arial"/>
                <w:b/>
                <w:color w:val="auto"/>
                <w:sz w:val="22"/>
                <w:szCs w:val="22"/>
                <w:highlight w:val="none"/>
                <w:lang w:val="en-US" w:eastAsia="zh-CN"/>
              </w:rPr>
              <w:t>11、政策分（1分）：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val="0"/>
                <w:bCs/>
                <w:color w:val="auto"/>
                <w:sz w:val="22"/>
                <w:szCs w:val="22"/>
                <w:highlight w:val="none"/>
                <w:lang w:val="en-US" w:eastAsia="zh-CN"/>
              </w:rPr>
            </w:pPr>
            <w:r>
              <w:rPr>
                <w:rFonts w:hint="default" w:ascii="Arial" w:hAnsi="Arial" w:cs="Arial"/>
                <w:b w:val="0"/>
                <w:bCs/>
                <w:color w:val="auto"/>
                <w:sz w:val="22"/>
                <w:szCs w:val="22"/>
                <w:highlight w:val="none"/>
                <w:lang w:val="en-US" w:eastAsia="zh-CN"/>
              </w:rPr>
              <w:t>11.1投标人是国家认定的不发达地区或少数民族地区企业的，得0.5分。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val="0"/>
                <w:bCs/>
                <w:color w:val="auto"/>
                <w:sz w:val="22"/>
                <w:szCs w:val="22"/>
                <w:highlight w:val="none"/>
                <w:lang w:val="en-US" w:eastAsia="zh-CN"/>
              </w:rPr>
            </w:pPr>
            <w:r>
              <w:rPr>
                <w:rFonts w:hint="default" w:ascii="Arial" w:hAnsi="Arial" w:cs="Arial"/>
                <w:b w:val="0"/>
                <w:bCs/>
                <w:color w:val="auto"/>
                <w:sz w:val="22"/>
                <w:szCs w:val="22"/>
                <w:highlight w:val="none"/>
                <w:lang w:val="en-US" w:eastAsia="zh-CN"/>
              </w:rPr>
              <w:t>11.2全部投标产品属于《财政部 发展改革委 生态环境部 市场监管总局关于调整优化节能产品 环境标志产品政府采购执行机制的通知》（财库〔2019〕9号）规定优先采购品目清单范围内（提供政府优先采购品目清单相关内容页（并对相关内容作圈记））且供应商提供具有国家确定的认证机构出具的、处于有效期之内的产品节能产品认证证书复印件的，得0.25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cs="Arial"/>
                <w:b w:val="0"/>
                <w:bCs/>
                <w:color w:val="auto"/>
                <w:sz w:val="22"/>
                <w:szCs w:val="22"/>
                <w:highlight w:val="none"/>
                <w:lang w:val="en-US" w:eastAsia="zh-CN"/>
              </w:rPr>
            </w:pPr>
            <w:r>
              <w:rPr>
                <w:rFonts w:hint="default" w:ascii="Arial" w:hAnsi="Arial" w:cs="Arial"/>
                <w:b w:val="0"/>
                <w:bCs/>
                <w:color w:val="auto"/>
                <w:sz w:val="22"/>
                <w:szCs w:val="22"/>
                <w:highlight w:val="none"/>
                <w:lang w:val="en-US" w:eastAsia="zh-CN"/>
              </w:rPr>
              <w:t>11.3全部投标产品属于《财政部 发展改革委 生态环境部 市场监管总局关于调整优化节能产品 环境标志产品政府采购执行机制的通知》（财库〔2019〕9号）规定优先采购品目清单范围内（提供政府优先采购品目清单相关内容页（并对相关内容作圈记））且供应商提供具有国家确定的认证机构出具的、处于有效期之内的产品环境标志产品认证证书复印件的，得0.25分。</w:t>
            </w:r>
          </w:p>
        </w:tc>
      </w:tr>
    </w:tbl>
    <w:p>
      <w:pPr>
        <w:spacing w:line="260" w:lineRule="atLeast"/>
        <w:rPr>
          <w:rFonts w:hint="default" w:ascii="Arial" w:hAnsi="Arial" w:cs="Arial"/>
          <w:color w:val="auto"/>
          <w:sz w:val="22"/>
          <w:szCs w:val="22"/>
          <w:highlight w:val="none"/>
          <w:lang w:bidi="ar"/>
        </w:rPr>
      </w:pPr>
      <w:r>
        <w:rPr>
          <w:rFonts w:hint="default" w:ascii="Arial" w:hAnsi="Arial" w:cs="Arial"/>
          <w:color w:val="auto"/>
          <w:sz w:val="22"/>
          <w:szCs w:val="22"/>
          <w:highlight w:val="none"/>
          <w:lang w:bidi="ar"/>
        </w:rPr>
        <w:t>备注：评委独立打分，每栏分值不得超出本栏规定的分值范围。</w:t>
      </w:r>
    </w:p>
    <w:p>
      <w:pPr>
        <w:pStyle w:val="20"/>
        <w:rPr>
          <w:rFonts w:hint="default" w:ascii="Arial" w:hAnsi="Arial" w:cs="Arial"/>
          <w:color w:val="auto"/>
          <w:sz w:val="22"/>
          <w:szCs w:val="22"/>
          <w:highlight w:val="none"/>
          <w:lang w:bidi="ar"/>
        </w:rPr>
      </w:pPr>
    </w:p>
    <w:p>
      <w:pPr>
        <w:pStyle w:val="4"/>
        <w:pageBreakBefore/>
        <w:numPr>
          <w:ilvl w:val="0"/>
          <w:numId w:val="0"/>
        </w:numPr>
        <w:adjustRightInd w:val="0"/>
        <w:spacing w:line="300" w:lineRule="auto"/>
        <w:ind w:left="1266" w:hanging="1266" w:hangingChars="394"/>
        <w:jc w:val="center"/>
        <w:textAlignment w:val="baseline"/>
        <w:rPr>
          <w:rFonts w:hint="default" w:ascii="Arial" w:hAnsi="Arial" w:cs="Arial"/>
          <w:bCs w:val="0"/>
          <w:color w:val="auto"/>
          <w:kern w:val="2"/>
          <w:sz w:val="32"/>
          <w:szCs w:val="32"/>
          <w:highlight w:val="none"/>
        </w:rPr>
      </w:pPr>
      <w:bookmarkStart w:id="192" w:name="_Toc304292197"/>
      <w:bookmarkStart w:id="193" w:name="_Toc50910827"/>
      <w:r>
        <w:rPr>
          <w:rFonts w:hint="default" w:ascii="Arial" w:hAnsi="Arial" w:cs="Arial"/>
          <w:bCs w:val="0"/>
          <w:color w:val="auto"/>
          <w:kern w:val="2"/>
          <w:sz w:val="32"/>
          <w:szCs w:val="32"/>
          <w:highlight w:val="none"/>
        </w:rPr>
        <w:t xml:space="preserve">第五章  </w:t>
      </w:r>
      <w:bookmarkEnd w:id="192"/>
      <w:r>
        <w:rPr>
          <w:rFonts w:hint="default" w:ascii="Arial" w:hAnsi="Arial" w:cs="Arial"/>
          <w:bCs w:val="0"/>
          <w:color w:val="auto"/>
          <w:kern w:val="2"/>
          <w:sz w:val="32"/>
          <w:szCs w:val="32"/>
          <w:highlight w:val="none"/>
        </w:rPr>
        <w:t>拟签订采购合同文本</w:t>
      </w:r>
      <w:bookmarkEnd w:id="193"/>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项目名称：                                       项目编号：</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甲方：（买方）</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乙方：（卖方）</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甲、乙双方根据</w:t>
      </w:r>
      <w:r>
        <w:rPr>
          <w:rFonts w:hint="eastAsia" w:ascii="Arial" w:hAnsi="Arial" w:cs="Arial"/>
          <w:iCs/>
          <w:color w:val="auto"/>
          <w:kern w:val="2"/>
          <w:sz w:val="22"/>
          <w:szCs w:val="22"/>
          <w:highlight w:val="none"/>
          <w:u w:val="single"/>
          <w:lang w:val="en-US" w:eastAsia="zh-CN"/>
        </w:rPr>
        <w:t xml:space="preserve">  </w:t>
      </w:r>
      <w:r>
        <w:rPr>
          <w:rFonts w:hint="eastAsia" w:ascii="Arial" w:hAnsi="Arial" w:cs="Arial"/>
          <w:iCs/>
          <w:color w:val="auto"/>
          <w:kern w:val="2"/>
          <w:sz w:val="22"/>
          <w:szCs w:val="22"/>
          <w:highlight w:val="none"/>
          <w:u w:val="single"/>
          <w:lang w:eastAsia="zh-CN"/>
        </w:rPr>
        <w:t>（采购人）</w:t>
      </w:r>
      <w:r>
        <w:rPr>
          <w:rFonts w:hint="eastAsia" w:ascii="Arial" w:hAnsi="Arial" w:cs="Arial"/>
          <w:iCs/>
          <w:color w:val="auto"/>
          <w:kern w:val="2"/>
          <w:sz w:val="22"/>
          <w:szCs w:val="22"/>
          <w:highlight w:val="none"/>
          <w:u w:val="single"/>
          <w:lang w:val="en-US" w:eastAsia="zh-CN"/>
        </w:rPr>
        <w:t xml:space="preserve">  </w:t>
      </w:r>
      <w:r>
        <w:rPr>
          <w:rFonts w:hint="default" w:ascii="Arial" w:hAnsi="Arial" w:cs="Arial"/>
          <w:iCs/>
          <w:color w:val="auto"/>
          <w:kern w:val="2"/>
          <w:sz w:val="22"/>
          <w:szCs w:val="22"/>
          <w:highlight w:val="none"/>
        </w:rPr>
        <w:t>关于</w:t>
      </w:r>
      <w:r>
        <w:rPr>
          <w:rFonts w:hint="eastAsia" w:ascii="Arial" w:hAnsi="Arial" w:cs="Arial"/>
          <w:iCs/>
          <w:color w:val="auto"/>
          <w:kern w:val="2"/>
          <w:sz w:val="22"/>
          <w:szCs w:val="22"/>
          <w:highlight w:val="none"/>
          <w:u w:val="single"/>
          <w:lang w:val="en-US" w:eastAsia="zh-CN"/>
        </w:rPr>
        <w:t xml:space="preserve"> </w:t>
      </w:r>
      <w:r>
        <w:rPr>
          <w:rFonts w:hint="eastAsia" w:ascii="Arial" w:hAnsi="Arial" w:cs="Arial"/>
          <w:iCs/>
          <w:color w:val="auto"/>
          <w:kern w:val="2"/>
          <w:sz w:val="22"/>
          <w:szCs w:val="22"/>
          <w:highlight w:val="none"/>
          <w:u w:val="single"/>
          <w:lang w:val="en-US" w:eastAsia="zh-CN"/>
        </w:rPr>
        <w:t xml:space="preserve">         </w:t>
      </w:r>
      <w:r>
        <w:rPr>
          <w:rFonts w:hint="default" w:ascii="Arial" w:hAnsi="Arial" w:cs="Arial"/>
          <w:iCs/>
          <w:color w:val="auto"/>
          <w:kern w:val="2"/>
          <w:sz w:val="22"/>
          <w:szCs w:val="22"/>
          <w:highlight w:val="none"/>
        </w:rPr>
        <w:t>项目</w:t>
      </w:r>
      <w:r>
        <w:rPr>
          <w:rFonts w:hint="default" w:ascii="Arial" w:hAnsi="Arial" w:cs="Arial"/>
          <w:iCs/>
          <w:color w:val="auto"/>
          <w:kern w:val="2"/>
          <w:sz w:val="22"/>
          <w:szCs w:val="22"/>
          <w:highlight w:val="none"/>
          <w:u w:val="single"/>
        </w:rPr>
        <w:t xml:space="preserve">  公开招标  </w:t>
      </w:r>
      <w:r>
        <w:rPr>
          <w:rFonts w:hint="default" w:ascii="Arial" w:hAnsi="Arial" w:cs="Arial"/>
          <w:iCs/>
          <w:color w:val="auto"/>
          <w:kern w:val="2"/>
          <w:sz w:val="22"/>
          <w:szCs w:val="22"/>
          <w:highlight w:val="none"/>
        </w:rPr>
        <w:t>的结果，签署本合同。</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一、货物内容</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详见乙方报价文件。</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二、合同金额</w:t>
      </w:r>
    </w:p>
    <w:p>
      <w:pPr>
        <w:pStyle w:val="43"/>
        <w:widowControl w:val="0"/>
        <w:snapToGrid w:val="0"/>
        <w:spacing w:before="0" w:beforeAutospacing="0" w:after="0" w:afterAutospacing="0" w:line="460" w:lineRule="exact"/>
        <w:ind w:left="437" w:leftChars="208" w:firstLine="63" w:firstLineChars="29"/>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1、本合同金额为（大写）：________________元（¥_______________元）人</w:t>
      </w:r>
    </w:p>
    <w:p>
      <w:pPr>
        <w:pStyle w:val="43"/>
        <w:widowControl w:val="0"/>
        <w:snapToGrid w:val="0"/>
        <w:spacing w:before="0" w:beforeAutospacing="0" w:after="0" w:afterAutospacing="0" w:line="460" w:lineRule="exact"/>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民币。</w:t>
      </w:r>
    </w:p>
    <w:p>
      <w:pPr>
        <w:spacing w:line="460" w:lineRule="exact"/>
        <w:ind w:firstLine="440" w:firstLineChars="200"/>
        <w:rPr>
          <w:rFonts w:hint="default" w:ascii="Arial" w:hAnsi="Arial" w:cs="Arial"/>
          <w:bCs/>
          <w:color w:val="auto"/>
          <w:sz w:val="22"/>
          <w:szCs w:val="22"/>
          <w:highlight w:val="none"/>
        </w:rPr>
      </w:pPr>
      <w:r>
        <w:rPr>
          <w:rFonts w:hint="default" w:ascii="Arial" w:hAnsi="Arial" w:cs="Arial"/>
          <w:bCs/>
          <w:color w:val="auto"/>
          <w:sz w:val="22"/>
          <w:szCs w:val="22"/>
          <w:highlight w:val="none"/>
        </w:rPr>
        <w:t>2、本合同为单价合同；合同价包含但不限于：</w:t>
      </w:r>
      <w:r>
        <w:rPr>
          <w:rFonts w:hint="default" w:ascii="Arial" w:hAnsi="Arial" w:cs="Arial"/>
          <w:bCs/>
          <w:color w:val="auto"/>
          <w:sz w:val="22"/>
          <w:szCs w:val="22"/>
          <w:highlight w:val="none"/>
        </w:rPr>
        <w:t>设备价格、标准附件、质保期内的备品备件、专用工具、包装运费、装卸、保险、税金、货到就位以及安装、调试、检测费、培训、保修、管理费、人员差旅费、企业利润、税金、临时水电费</w:t>
      </w:r>
      <w:r>
        <w:rPr>
          <w:rFonts w:hint="eastAsia" w:ascii="Arial" w:hAnsi="Arial" w:cs="Arial"/>
          <w:bCs/>
          <w:color w:val="auto"/>
          <w:sz w:val="22"/>
          <w:szCs w:val="22"/>
          <w:highlight w:val="none"/>
          <w:lang w:eastAsia="zh-CN"/>
        </w:rPr>
        <w:t>、中标服务费</w:t>
      </w:r>
      <w:r>
        <w:rPr>
          <w:rFonts w:hint="default" w:ascii="Arial" w:hAnsi="Arial" w:cs="Arial"/>
          <w:bCs/>
          <w:color w:val="auto"/>
          <w:sz w:val="22"/>
          <w:szCs w:val="22"/>
          <w:highlight w:val="none"/>
        </w:rPr>
        <w:t>等所有费用</w:t>
      </w:r>
      <w:r>
        <w:rPr>
          <w:rFonts w:hint="default" w:ascii="Arial" w:hAnsi="Arial" w:cs="Arial"/>
          <w:bCs/>
          <w:color w:val="auto"/>
          <w:sz w:val="22"/>
          <w:szCs w:val="22"/>
          <w:highlight w:val="none"/>
        </w:rPr>
        <w:t>。</w:t>
      </w:r>
    </w:p>
    <w:p>
      <w:pPr>
        <w:spacing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3、其它约定：</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（1）设计服务、售后服务、价格波动、政策性文件规定及合同包含的所有风险、责任等也必须在投标报价时充分考虑，包含在内。</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（2）</w:t>
      </w:r>
      <w:r>
        <w:rPr>
          <w:rFonts w:hint="default" w:ascii="Arial" w:hAnsi="Arial" w:cs="Arial"/>
          <w:iCs/>
          <w:color w:val="auto"/>
          <w:kern w:val="2"/>
          <w:sz w:val="22"/>
          <w:szCs w:val="22"/>
          <w:highlight w:val="none"/>
        </w:rPr>
        <w:t>乙</w:t>
      </w:r>
      <w:r>
        <w:rPr>
          <w:rFonts w:hint="eastAsia" w:ascii="Arial" w:hAnsi="Arial" w:cs="Arial"/>
          <w:iCs/>
          <w:color w:val="auto"/>
          <w:kern w:val="2"/>
          <w:sz w:val="22"/>
          <w:szCs w:val="22"/>
          <w:highlight w:val="none"/>
          <w:lang w:eastAsia="zh-CN"/>
        </w:rPr>
        <w:t>方</w:t>
      </w:r>
      <w:r>
        <w:rPr>
          <w:rFonts w:ascii="Arial" w:hAnsi="Arial" w:cs="Arial"/>
          <w:color w:val="auto"/>
          <w:sz w:val="22"/>
          <w:szCs w:val="22"/>
          <w:highlight w:val="none"/>
        </w:rPr>
        <w:t>须负责本招标项目通过</w:t>
      </w:r>
      <w:r>
        <w:rPr>
          <w:rFonts w:ascii="Arial" w:hAnsi="Arial" w:cs="Arial"/>
          <w:bCs/>
          <w:iCs/>
          <w:color w:val="auto"/>
          <w:sz w:val="22"/>
          <w:szCs w:val="22"/>
          <w:highlight w:val="none"/>
        </w:rPr>
        <w:t>相关质量监督部门</w:t>
      </w:r>
      <w:r>
        <w:rPr>
          <w:rFonts w:ascii="Arial" w:hAnsi="Arial" w:cs="Arial"/>
          <w:color w:val="auto"/>
          <w:sz w:val="22"/>
          <w:szCs w:val="22"/>
          <w:highlight w:val="none"/>
        </w:rPr>
        <w:t>的有关审查。</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（3）</w:t>
      </w:r>
      <w:r>
        <w:rPr>
          <w:rFonts w:hint="default" w:ascii="Arial" w:hAnsi="Arial" w:cs="Arial"/>
          <w:iCs/>
          <w:color w:val="auto"/>
          <w:kern w:val="2"/>
          <w:sz w:val="22"/>
          <w:szCs w:val="22"/>
          <w:highlight w:val="none"/>
        </w:rPr>
        <w:t>乙</w:t>
      </w:r>
      <w:r>
        <w:rPr>
          <w:rFonts w:hint="eastAsia" w:ascii="Arial" w:hAnsi="Arial" w:cs="Arial"/>
          <w:iCs/>
          <w:color w:val="auto"/>
          <w:kern w:val="2"/>
          <w:sz w:val="22"/>
          <w:szCs w:val="22"/>
          <w:highlight w:val="none"/>
          <w:lang w:eastAsia="zh-CN"/>
        </w:rPr>
        <w:t>方</w:t>
      </w:r>
      <w:r>
        <w:rPr>
          <w:rFonts w:ascii="Arial" w:hAnsi="Arial" w:cs="Arial"/>
          <w:color w:val="auto"/>
          <w:sz w:val="22"/>
          <w:szCs w:val="22"/>
          <w:highlight w:val="none"/>
        </w:rPr>
        <w:t>不得以实际采购数量、时间的变化或现场环境等理由提出综合单价增加或供货延期等任何变更投标响应的要求。</w:t>
      </w:r>
    </w:p>
    <w:p>
      <w:pPr>
        <w:spacing w:line="460" w:lineRule="exact"/>
        <w:ind w:firstLine="440" w:firstLineChars="200"/>
        <w:rPr>
          <w:rFonts w:ascii="Arial" w:hAnsi="Arial" w:cs="Arial"/>
          <w:color w:val="auto"/>
          <w:sz w:val="22"/>
          <w:szCs w:val="22"/>
          <w:highlight w:val="none"/>
        </w:rPr>
      </w:pPr>
      <w:r>
        <w:rPr>
          <w:rFonts w:ascii="Arial" w:hAnsi="Arial" w:cs="Arial"/>
          <w:color w:val="auto"/>
          <w:sz w:val="22"/>
          <w:szCs w:val="22"/>
          <w:highlight w:val="none"/>
        </w:rPr>
        <w:t>（4）当采购数量与实际使用数量不一致时，</w:t>
      </w:r>
      <w:r>
        <w:rPr>
          <w:rFonts w:hint="default" w:ascii="Arial" w:hAnsi="Arial" w:cs="Arial"/>
          <w:iCs/>
          <w:color w:val="auto"/>
          <w:kern w:val="2"/>
          <w:sz w:val="22"/>
          <w:szCs w:val="22"/>
          <w:highlight w:val="none"/>
        </w:rPr>
        <w:t>乙</w:t>
      </w:r>
      <w:r>
        <w:rPr>
          <w:rFonts w:hint="eastAsia" w:ascii="Arial" w:hAnsi="Arial" w:cs="Arial"/>
          <w:iCs/>
          <w:color w:val="auto"/>
          <w:kern w:val="2"/>
          <w:sz w:val="22"/>
          <w:szCs w:val="22"/>
          <w:highlight w:val="none"/>
          <w:lang w:eastAsia="zh-CN"/>
        </w:rPr>
        <w:t>方</w:t>
      </w:r>
      <w:r>
        <w:rPr>
          <w:rFonts w:ascii="Arial" w:hAnsi="Arial" w:cs="Arial"/>
          <w:color w:val="auto"/>
          <w:sz w:val="22"/>
          <w:szCs w:val="22"/>
          <w:highlight w:val="none"/>
        </w:rPr>
        <w:t>应根据实际使用量供货，合同的最终结算金额按实际使用量乘以成交单价进行计算。如系本合同中未包括的产品，由甲方与乙方双方协商确定价格。</w:t>
      </w:r>
    </w:p>
    <w:p>
      <w:pPr>
        <w:pStyle w:val="43"/>
        <w:widowControl w:val="0"/>
        <w:snapToGrid w:val="0"/>
        <w:spacing w:before="0" w:beforeAutospacing="0" w:after="0" w:afterAutospacing="0" w:line="460" w:lineRule="exact"/>
        <w:ind w:firstLine="440" w:firstLineChars="200"/>
        <w:jc w:val="both"/>
        <w:rPr>
          <w:rFonts w:ascii="Arial" w:hAnsi="Arial" w:cs="Arial"/>
          <w:iCs/>
          <w:color w:val="auto"/>
          <w:kern w:val="2"/>
          <w:sz w:val="22"/>
          <w:szCs w:val="22"/>
          <w:highlight w:val="none"/>
        </w:rPr>
      </w:pPr>
      <w:r>
        <w:rPr>
          <w:rFonts w:ascii="Arial" w:hAnsi="Arial" w:cs="Arial"/>
          <w:iCs/>
          <w:color w:val="auto"/>
          <w:sz w:val="22"/>
          <w:szCs w:val="22"/>
          <w:highlight w:val="none"/>
        </w:rPr>
        <w:t>（</w:t>
      </w:r>
      <w:r>
        <w:rPr>
          <w:rFonts w:hint="eastAsia" w:ascii="Arial" w:hAnsi="Arial" w:cs="Arial"/>
          <w:iCs/>
          <w:color w:val="auto"/>
          <w:sz w:val="22"/>
          <w:szCs w:val="22"/>
          <w:highlight w:val="none"/>
          <w:lang w:val="en-US" w:eastAsia="zh-CN"/>
        </w:rPr>
        <w:t>5</w:t>
      </w:r>
      <w:r>
        <w:rPr>
          <w:rFonts w:ascii="Arial" w:hAnsi="Arial" w:cs="Arial"/>
          <w:iCs/>
          <w:color w:val="auto"/>
          <w:sz w:val="22"/>
          <w:szCs w:val="22"/>
          <w:highlight w:val="none"/>
        </w:rPr>
        <w:t>）甲方有权根据需要删减设备，</w:t>
      </w:r>
      <w:r>
        <w:rPr>
          <w:rFonts w:ascii="Arial" w:hAnsi="Arial" w:cs="Arial"/>
          <w:iCs/>
          <w:color w:val="auto"/>
          <w:kern w:val="2"/>
          <w:sz w:val="22"/>
          <w:szCs w:val="22"/>
          <w:highlight w:val="none"/>
        </w:rPr>
        <w:t>乙方不得进行索赔。</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w:t>
      </w:r>
      <w:r>
        <w:rPr>
          <w:rFonts w:hint="eastAsia" w:ascii="Arial" w:hAnsi="Arial" w:cs="Arial"/>
          <w:iCs/>
          <w:color w:val="auto"/>
          <w:kern w:val="2"/>
          <w:sz w:val="22"/>
          <w:szCs w:val="22"/>
          <w:highlight w:val="none"/>
          <w:lang w:val="en-US" w:eastAsia="zh-CN"/>
        </w:rPr>
        <w:t>6</w:t>
      </w:r>
      <w:r>
        <w:rPr>
          <w:rFonts w:hint="default" w:ascii="Arial" w:hAnsi="Arial" w:cs="Arial"/>
          <w:iCs/>
          <w:color w:val="auto"/>
          <w:kern w:val="2"/>
          <w:sz w:val="22"/>
          <w:szCs w:val="22"/>
          <w:highlight w:val="none"/>
        </w:rPr>
        <w:t>）甲方招标时有约定</w:t>
      </w:r>
      <w:r>
        <w:rPr>
          <w:rFonts w:hint="eastAsia" w:ascii="Arial" w:hAnsi="Arial" w:cs="Arial"/>
          <w:iCs/>
          <w:color w:val="auto"/>
          <w:kern w:val="2"/>
          <w:sz w:val="22"/>
          <w:szCs w:val="22"/>
          <w:highlight w:val="none"/>
          <w:lang w:eastAsia="zh-CN"/>
        </w:rPr>
        <w:t>推荐</w:t>
      </w:r>
      <w:r>
        <w:rPr>
          <w:rFonts w:hint="default" w:ascii="Arial" w:hAnsi="Arial" w:cs="Arial"/>
          <w:iCs/>
          <w:color w:val="auto"/>
          <w:kern w:val="2"/>
          <w:sz w:val="22"/>
          <w:szCs w:val="22"/>
          <w:highlight w:val="none"/>
        </w:rPr>
        <w:t>品牌的，乙方应采购投标文件中选定的品牌，若因特殊原因实际采购不到的也应选择甲方招标时约定的其它</w:t>
      </w:r>
      <w:r>
        <w:rPr>
          <w:rFonts w:hint="eastAsia" w:ascii="Arial" w:hAnsi="Arial" w:cs="Arial"/>
          <w:iCs/>
          <w:color w:val="auto"/>
          <w:kern w:val="2"/>
          <w:sz w:val="22"/>
          <w:szCs w:val="22"/>
          <w:highlight w:val="none"/>
          <w:lang w:eastAsia="zh-CN"/>
        </w:rPr>
        <w:t>推荐</w:t>
      </w:r>
      <w:r>
        <w:rPr>
          <w:rFonts w:hint="default" w:ascii="Arial" w:hAnsi="Arial" w:cs="Arial"/>
          <w:iCs/>
          <w:color w:val="auto"/>
          <w:kern w:val="2"/>
          <w:sz w:val="22"/>
          <w:szCs w:val="22"/>
          <w:highlight w:val="none"/>
        </w:rPr>
        <w:t>品牌并经甲方确认；若因特殊原因其它品牌也采购不到的，乙方应选择与甲方约定品牌相同档次的品牌及以上并经甲方确认后方可采购。</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三、技术资料</w:t>
      </w:r>
    </w:p>
    <w:p>
      <w:pPr>
        <w:pStyle w:val="43"/>
        <w:widowControl w:val="0"/>
        <w:snapToGrid w:val="0"/>
        <w:spacing w:before="0" w:beforeAutospacing="0" w:after="0" w:afterAutospacing="0" w:line="460" w:lineRule="exact"/>
        <w:ind w:left="437" w:leftChars="208" w:firstLine="63" w:firstLineChars="29"/>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1.乙方应按采购文件规定的时间向甲方提供使用货物的有关技术资料。</w:t>
      </w:r>
    </w:p>
    <w:p>
      <w:pPr>
        <w:pStyle w:val="43"/>
        <w:widowControl w:val="0"/>
        <w:snapToGrid w:val="0"/>
        <w:spacing w:before="0" w:beforeAutospacing="0" w:after="0" w:afterAutospacing="0" w:line="460" w:lineRule="exact"/>
        <w:ind w:left="437" w:leftChars="208" w:firstLine="63" w:firstLineChars="29"/>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2. 没有甲方事先书面同意，乙方不得将由甲方提供的有关合同或任何合同条文、</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规格、计划、图纸、样品或资料提供给与履行本合同无关的任何其他人。即使向履行本合同有关的人员提供，也应注意保密并限于履行合同的必需范围。</w:t>
      </w:r>
    </w:p>
    <w:p>
      <w:pPr>
        <w:pStyle w:val="43"/>
        <w:widowControl w:val="0"/>
        <w:snapToGrid w:val="0"/>
        <w:spacing w:before="0" w:beforeAutospacing="0" w:after="0" w:afterAutospacing="0" w:line="460" w:lineRule="exact"/>
        <w:ind w:left="437" w:leftChars="208" w:firstLine="64" w:firstLineChars="29"/>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四、知识产权</w:t>
      </w:r>
    </w:p>
    <w:p>
      <w:pPr>
        <w:pStyle w:val="43"/>
        <w:widowControl w:val="0"/>
        <w:snapToGrid w:val="0"/>
        <w:spacing w:before="0" w:beforeAutospacing="0" w:after="0" w:afterAutospacing="0" w:line="460" w:lineRule="exact"/>
        <w:ind w:firstLine="440" w:firstLineChars="200"/>
        <w:jc w:val="both"/>
        <w:rPr>
          <w:rFonts w:hint="default" w:ascii="Arial" w:hAnsi="Arial" w:cs="Arial"/>
          <w:bCs/>
          <w:iCs/>
          <w:color w:val="auto"/>
          <w:sz w:val="22"/>
          <w:szCs w:val="22"/>
          <w:highlight w:val="none"/>
        </w:rPr>
      </w:pPr>
      <w:r>
        <w:rPr>
          <w:rFonts w:hint="default" w:ascii="Arial" w:hAnsi="Arial" w:cs="Arial"/>
          <w:iCs/>
          <w:color w:val="auto"/>
          <w:kern w:val="2"/>
          <w:sz w:val="22"/>
          <w:szCs w:val="22"/>
          <w:highlight w:val="none"/>
        </w:rPr>
        <w:t>乙方应保证所提供的货物或其任何一部分均不会侵犯任何第三方的知识产权</w:t>
      </w:r>
      <w:r>
        <w:rPr>
          <w:rFonts w:hint="default" w:ascii="Arial" w:hAnsi="Arial" w:cs="Arial"/>
          <w:bCs/>
          <w:iCs/>
          <w:color w:val="auto"/>
          <w:kern w:val="2"/>
          <w:sz w:val="22"/>
          <w:szCs w:val="22"/>
          <w:highlight w:val="none"/>
        </w:rPr>
        <w:t>。</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五、产权担保</w:t>
      </w:r>
    </w:p>
    <w:p>
      <w:pPr>
        <w:pStyle w:val="43"/>
        <w:widowControl w:val="0"/>
        <w:snapToGrid w:val="0"/>
        <w:spacing w:before="0" w:beforeAutospacing="0" w:after="0" w:afterAutospacing="0" w:line="460" w:lineRule="exact"/>
        <w:ind w:left="437" w:leftChars="208" w:firstLine="66" w:firstLineChars="3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乙方保证所交付的货物的所有权完全属于乙方且无任何抵押、查封等产权瑕疵。</w:t>
      </w:r>
    </w:p>
    <w:p>
      <w:pPr>
        <w:pStyle w:val="43"/>
        <w:widowControl w:val="0"/>
        <w:snapToGrid w:val="0"/>
        <w:spacing w:before="0" w:beforeAutospacing="0" w:after="0" w:afterAutospacing="0" w:line="460" w:lineRule="exact"/>
        <w:ind w:left="437" w:leftChars="208" w:firstLine="66" w:firstLineChars="3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六、履约保证金</w:t>
      </w:r>
    </w:p>
    <w:p>
      <w:pPr>
        <w:pStyle w:val="43"/>
        <w:widowControl w:val="0"/>
        <w:snapToGrid w:val="0"/>
        <w:spacing w:before="0" w:beforeAutospacing="0" w:after="0" w:afterAutospacing="0" w:line="460" w:lineRule="exact"/>
        <w:ind w:left="437" w:leftChars="208" w:firstLine="66" w:firstLineChars="30"/>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eastAsia="zh-CN"/>
        </w:rPr>
        <w:t>1、履约担保金额：合同总价的</w:t>
      </w:r>
      <w:r>
        <w:rPr>
          <w:rFonts w:hint="eastAsia" w:ascii="Arial" w:hAnsi="Arial" w:cs="Arial"/>
          <w:iCs/>
          <w:color w:val="auto"/>
          <w:sz w:val="22"/>
          <w:szCs w:val="22"/>
          <w:highlight w:val="none"/>
          <w:lang w:val="en-US" w:eastAsia="zh-CN"/>
        </w:rPr>
        <w:t>1</w:t>
      </w:r>
      <w:r>
        <w:rPr>
          <w:rFonts w:hint="eastAsia" w:ascii="Arial" w:hAnsi="Arial" w:cs="Arial"/>
          <w:iCs/>
          <w:color w:val="auto"/>
          <w:sz w:val="22"/>
          <w:szCs w:val="22"/>
          <w:highlight w:val="none"/>
          <w:lang w:eastAsia="zh-CN"/>
        </w:rPr>
        <w:t>％。</w:t>
      </w:r>
    </w:p>
    <w:p>
      <w:pPr>
        <w:pStyle w:val="43"/>
        <w:widowControl w:val="0"/>
        <w:snapToGrid w:val="0"/>
        <w:spacing w:before="0" w:beforeAutospacing="0" w:after="0" w:afterAutospacing="0" w:line="460" w:lineRule="exact"/>
        <w:ind w:left="437" w:leftChars="208" w:firstLine="66" w:firstLineChars="30"/>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eastAsia="zh-CN"/>
        </w:rPr>
        <w:t>2、履约担保形式：银行汇票（电汇）、网银、银行保函、保险保单形式。</w:t>
      </w:r>
    </w:p>
    <w:p>
      <w:pPr>
        <w:pStyle w:val="43"/>
        <w:widowControl w:val="0"/>
        <w:snapToGrid w:val="0"/>
        <w:spacing w:before="0" w:beforeAutospacing="0" w:after="0" w:afterAutospacing="0" w:line="460" w:lineRule="exact"/>
        <w:ind w:left="437" w:leftChars="208" w:firstLine="66" w:firstLineChars="30"/>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eastAsia="zh-CN"/>
        </w:rPr>
        <w:t>3、履约保担保提交时间：银行汇票（电汇）、网银形式的，乙方应于合同签订之</w:t>
      </w:r>
    </w:p>
    <w:p>
      <w:pPr>
        <w:pStyle w:val="43"/>
        <w:widowControl w:val="0"/>
        <w:snapToGrid w:val="0"/>
        <w:spacing w:before="0" w:beforeAutospacing="0" w:after="0" w:afterAutospacing="0" w:line="460" w:lineRule="exact"/>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eastAsia="zh-CN"/>
        </w:rPr>
        <w:t>前支付给甲方；其它形式的，乙方应于合同签订之日后10天内提交给甲方。</w:t>
      </w:r>
    </w:p>
    <w:p>
      <w:pPr>
        <w:pStyle w:val="43"/>
        <w:widowControl w:val="0"/>
        <w:numPr>
          <w:ilvl w:val="0"/>
          <w:numId w:val="0"/>
        </w:numPr>
        <w:snapToGrid w:val="0"/>
        <w:spacing w:before="0" w:beforeAutospacing="0" w:after="0" w:afterAutospacing="0" w:line="460" w:lineRule="exact"/>
        <w:ind w:leftChars="0" w:firstLine="440" w:firstLineChars="200"/>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val="en-US" w:eastAsia="zh-CN"/>
        </w:rPr>
        <w:t>4、</w:t>
      </w:r>
      <w:r>
        <w:rPr>
          <w:rFonts w:hint="eastAsia" w:ascii="Arial" w:hAnsi="Arial" w:cs="Arial"/>
          <w:iCs/>
          <w:color w:val="auto"/>
          <w:sz w:val="22"/>
          <w:szCs w:val="22"/>
          <w:highlight w:val="none"/>
          <w:lang w:eastAsia="zh-CN"/>
        </w:rPr>
        <w:t>履约担保退还：履约保证金在设备安装调试验收合格且提交验收资料后15天</w:t>
      </w:r>
    </w:p>
    <w:p>
      <w:pPr>
        <w:pStyle w:val="43"/>
        <w:widowControl w:val="0"/>
        <w:numPr>
          <w:ilvl w:val="0"/>
          <w:numId w:val="0"/>
        </w:numPr>
        <w:snapToGrid w:val="0"/>
        <w:spacing w:before="0" w:beforeAutospacing="0" w:after="0" w:afterAutospacing="0" w:line="460" w:lineRule="exact"/>
        <w:ind w:leftChars="0"/>
        <w:jc w:val="both"/>
        <w:rPr>
          <w:rFonts w:hint="eastAsia" w:ascii="Arial" w:hAnsi="Arial" w:cs="Arial"/>
          <w:iCs/>
          <w:color w:val="auto"/>
          <w:sz w:val="22"/>
          <w:szCs w:val="22"/>
          <w:highlight w:val="none"/>
          <w:lang w:eastAsia="zh-CN"/>
        </w:rPr>
      </w:pPr>
      <w:r>
        <w:rPr>
          <w:rFonts w:hint="eastAsia" w:ascii="Arial" w:hAnsi="Arial" w:cs="Arial"/>
          <w:iCs/>
          <w:color w:val="auto"/>
          <w:sz w:val="22"/>
          <w:szCs w:val="22"/>
          <w:highlight w:val="none"/>
          <w:lang w:eastAsia="zh-CN"/>
        </w:rPr>
        <w:t>内结清（无息）。</w:t>
      </w:r>
    </w:p>
    <w:p>
      <w:pPr>
        <w:pStyle w:val="43"/>
        <w:widowControl w:val="0"/>
        <w:snapToGrid w:val="0"/>
        <w:spacing w:before="0" w:beforeAutospacing="0" w:after="0" w:afterAutospacing="0" w:line="460" w:lineRule="exact"/>
        <w:ind w:left="437" w:leftChars="208" w:firstLine="66" w:firstLineChars="3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七、转包或分包</w:t>
      </w:r>
    </w:p>
    <w:p>
      <w:pPr>
        <w:snapToGrid w:val="0"/>
        <w:spacing w:line="460" w:lineRule="exact"/>
        <w:ind w:firstLine="440" w:firstLineChars="200"/>
        <w:rPr>
          <w:rFonts w:hint="default" w:ascii="Arial" w:hAnsi="Arial" w:cs="Arial"/>
          <w:iCs/>
          <w:color w:val="auto"/>
          <w:sz w:val="22"/>
          <w:szCs w:val="22"/>
          <w:highlight w:val="none"/>
        </w:rPr>
      </w:pPr>
      <w:r>
        <w:rPr>
          <w:rFonts w:hint="default" w:ascii="Arial" w:hAnsi="Arial" w:cs="Arial"/>
          <w:iCs/>
          <w:color w:val="auto"/>
          <w:sz w:val="22"/>
          <w:szCs w:val="22"/>
          <w:highlight w:val="none"/>
        </w:rPr>
        <w:t>1.本合同范围的货物，应由乙方直接供应，不得转让他人供应；</w:t>
      </w:r>
    </w:p>
    <w:p>
      <w:pPr>
        <w:snapToGrid w:val="0"/>
        <w:spacing w:line="460" w:lineRule="exact"/>
        <w:ind w:firstLine="440" w:firstLineChars="200"/>
        <w:rPr>
          <w:rFonts w:hint="default" w:ascii="Arial" w:hAnsi="Arial" w:cs="Arial"/>
          <w:iCs/>
          <w:color w:val="auto"/>
          <w:sz w:val="22"/>
          <w:szCs w:val="22"/>
          <w:highlight w:val="none"/>
        </w:rPr>
      </w:pPr>
      <w:r>
        <w:rPr>
          <w:rFonts w:hint="default" w:ascii="Arial" w:hAnsi="Arial" w:cs="Arial"/>
          <w:iCs/>
          <w:color w:val="auto"/>
          <w:sz w:val="22"/>
          <w:szCs w:val="22"/>
          <w:highlight w:val="none"/>
        </w:rPr>
        <w:t>2.除非得到甲方的书面同意，乙方不得将本合同范围的货物全部或部分分包给他人供应；</w:t>
      </w:r>
    </w:p>
    <w:p>
      <w:pPr>
        <w:snapToGrid w:val="0"/>
        <w:spacing w:line="460" w:lineRule="exact"/>
        <w:ind w:firstLine="440" w:firstLineChars="200"/>
        <w:rPr>
          <w:rFonts w:hint="default" w:ascii="Arial" w:hAnsi="Arial" w:cs="Arial"/>
          <w:iCs/>
          <w:color w:val="auto"/>
          <w:sz w:val="22"/>
          <w:szCs w:val="22"/>
          <w:highlight w:val="none"/>
        </w:rPr>
      </w:pPr>
      <w:r>
        <w:rPr>
          <w:rFonts w:hint="default" w:ascii="Arial" w:hAnsi="Arial" w:cs="Arial"/>
          <w:iCs/>
          <w:color w:val="auto"/>
          <w:sz w:val="22"/>
          <w:szCs w:val="22"/>
          <w:highlight w:val="none"/>
        </w:rPr>
        <w:t>3.如有转让和未经甲方同意的分包行为，甲方有权解除合同，没收履约保证金并追究乙方的违约责任。</w:t>
      </w:r>
    </w:p>
    <w:p>
      <w:pPr>
        <w:pStyle w:val="43"/>
        <w:widowControl w:val="0"/>
        <w:snapToGrid w:val="0"/>
        <w:spacing w:before="0" w:beforeAutospacing="0" w:after="0" w:afterAutospacing="0" w:line="460" w:lineRule="exact"/>
        <w:ind w:firstLine="442" w:firstLineChars="200"/>
        <w:jc w:val="both"/>
        <w:rPr>
          <w:rFonts w:hint="eastAsia" w:ascii="Arial" w:hAnsi="Arial" w:eastAsia="宋体" w:cs="Arial"/>
          <w:b/>
          <w:bCs/>
          <w:iCs/>
          <w:color w:val="auto"/>
          <w:sz w:val="22"/>
          <w:szCs w:val="22"/>
          <w:highlight w:val="none"/>
          <w:lang w:eastAsia="zh-CN"/>
        </w:rPr>
      </w:pPr>
      <w:r>
        <w:rPr>
          <w:rFonts w:hint="default" w:ascii="Arial" w:hAnsi="Arial" w:cs="Arial"/>
          <w:b/>
          <w:bCs/>
          <w:iCs/>
          <w:color w:val="auto"/>
          <w:kern w:val="2"/>
          <w:sz w:val="22"/>
          <w:szCs w:val="22"/>
          <w:highlight w:val="none"/>
        </w:rPr>
        <w:t>八、质保期</w:t>
      </w:r>
      <w:r>
        <w:rPr>
          <w:rFonts w:hint="eastAsia" w:ascii="Arial" w:hAnsi="Arial" w:cs="Arial"/>
          <w:b/>
          <w:bCs/>
          <w:iCs/>
          <w:color w:val="auto"/>
          <w:kern w:val="2"/>
          <w:sz w:val="22"/>
          <w:szCs w:val="22"/>
          <w:highlight w:val="none"/>
          <w:lang w:eastAsia="zh-CN"/>
        </w:rPr>
        <w:t>、系统运行期</w:t>
      </w:r>
    </w:p>
    <w:p>
      <w:pPr>
        <w:pStyle w:val="43"/>
        <w:widowControl w:val="0"/>
        <w:snapToGrid w:val="0"/>
        <w:spacing w:before="0" w:beforeAutospacing="0" w:after="0" w:afterAutospacing="0" w:line="460" w:lineRule="exact"/>
        <w:ind w:firstLine="440" w:firstLineChars="200"/>
        <w:jc w:val="both"/>
        <w:rPr>
          <w:rFonts w:hint="default" w:ascii="Arial" w:hAnsi="Arial" w:cs="Arial"/>
          <w:b w:val="0"/>
          <w:bCs w:val="0"/>
          <w:iCs/>
          <w:color w:val="auto"/>
          <w:kern w:val="2"/>
          <w:sz w:val="22"/>
          <w:szCs w:val="22"/>
          <w:highlight w:val="none"/>
          <w:u w:val="single"/>
        </w:rPr>
      </w:pPr>
      <w:r>
        <w:rPr>
          <w:rFonts w:hint="default" w:ascii="Arial" w:hAnsi="Arial" w:cs="Arial"/>
          <w:b w:val="0"/>
          <w:bCs w:val="0"/>
          <w:iCs/>
          <w:color w:val="auto"/>
          <w:kern w:val="2"/>
          <w:sz w:val="22"/>
          <w:szCs w:val="22"/>
          <w:highlight w:val="none"/>
          <w:u w:val="single"/>
        </w:rPr>
        <w:t>本项目设备的质保期、系统运行期为设备设施安装调试完毕，自验收合格之日起3年。</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九、交货期、交货方式及交货地点</w:t>
      </w:r>
    </w:p>
    <w:p>
      <w:pPr>
        <w:pStyle w:val="43"/>
        <w:widowControl w:val="0"/>
        <w:snapToGrid w:val="0"/>
        <w:spacing w:before="0" w:beforeAutospacing="0" w:after="0" w:afterAutospacing="0" w:line="460" w:lineRule="exact"/>
        <w:ind w:firstLine="440" w:firstLineChars="200"/>
        <w:jc w:val="both"/>
        <w:rPr>
          <w:rFonts w:hint="eastAsia" w:ascii="Arial" w:hAnsi="Arial" w:eastAsia="宋体" w:cs="Arial"/>
          <w:bCs/>
          <w:iCs/>
          <w:color w:val="auto"/>
          <w:sz w:val="22"/>
          <w:szCs w:val="22"/>
          <w:highlight w:val="none"/>
          <w:lang w:eastAsia="zh-CN"/>
        </w:rPr>
      </w:pPr>
      <w:r>
        <w:rPr>
          <w:rFonts w:hint="default" w:ascii="Arial" w:hAnsi="Arial" w:cs="Arial"/>
          <w:bCs/>
          <w:iCs/>
          <w:color w:val="auto"/>
          <w:kern w:val="2"/>
          <w:sz w:val="22"/>
          <w:szCs w:val="22"/>
          <w:highlight w:val="none"/>
        </w:rPr>
        <w:t>1. 交货期：</w:t>
      </w:r>
      <w:r>
        <w:rPr>
          <w:rFonts w:hint="eastAsia" w:ascii="Arial" w:hAnsi="Arial" w:cs="Arial"/>
          <w:color w:val="auto"/>
          <w:sz w:val="22"/>
          <w:szCs w:val="22"/>
          <w:highlight w:val="none"/>
          <w:lang w:eastAsia="zh-CN"/>
        </w:rPr>
        <w:t>4个月内安装调试完毕且验收合格。</w:t>
      </w:r>
    </w:p>
    <w:p>
      <w:pPr>
        <w:pStyle w:val="43"/>
        <w:widowControl w:val="0"/>
        <w:snapToGrid w:val="0"/>
        <w:spacing w:before="0" w:beforeAutospacing="0" w:after="0" w:afterAutospacing="0" w:line="460" w:lineRule="exact"/>
        <w:ind w:firstLine="440" w:firstLineChars="200"/>
        <w:jc w:val="both"/>
        <w:rPr>
          <w:rFonts w:hint="default" w:ascii="Arial" w:hAnsi="Arial" w:cs="Arial"/>
          <w:bCs/>
          <w:iCs/>
          <w:color w:val="auto"/>
          <w:sz w:val="22"/>
          <w:szCs w:val="22"/>
          <w:highlight w:val="none"/>
        </w:rPr>
      </w:pPr>
      <w:r>
        <w:rPr>
          <w:rFonts w:hint="default" w:ascii="Arial" w:hAnsi="Arial" w:cs="Arial"/>
          <w:bCs/>
          <w:iCs/>
          <w:color w:val="auto"/>
          <w:kern w:val="2"/>
          <w:sz w:val="22"/>
          <w:szCs w:val="22"/>
          <w:highlight w:val="none"/>
        </w:rPr>
        <w:t>2. 交货方式：现场交货。由乙方负责运送设备至现场卸货，并负责保管、安装、调试直至通过相关质量监督部门验收合格。</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bCs/>
          <w:iCs/>
          <w:color w:val="auto"/>
          <w:kern w:val="2"/>
          <w:sz w:val="22"/>
          <w:szCs w:val="22"/>
          <w:highlight w:val="none"/>
        </w:rPr>
        <w:t>3. 交货地点：</w:t>
      </w:r>
      <w:r>
        <w:rPr>
          <w:rFonts w:hint="default" w:ascii="Arial" w:hAnsi="Arial" w:cs="Arial"/>
          <w:iCs/>
          <w:color w:val="auto"/>
          <w:kern w:val="2"/>
          <w:sz w:val="22"/>
          <w:szCs w:val="22"/>
          <w:highlight w:val="none"/>
        </w:rPr>
        <w:t>甲方</w:t>
      </w:r>
      <w:r>
        <w:rPr>
          <w:rFonts w:hint="default" w:ascii="Arial" w:hAnsi="Arial" w:cs="Arial"/>
          <w:bCs/>
          <w:iCs/>
          <w:color w:val="auto"/>
          <w:kern w:val="2"/>
          <w:sz w:val="22"/>
          <w:szCs w:val="22"/>
          <w:highlight w:val="none"/>
        </w:rPr>
        <w:t>指定地点</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kern w:val="2"/>
          <w:sz w:val="22"/>
          <w:szCs w:val="22"/>
          <w:highlight w:val="none"/>
        </w:rPr>
      </w:pPr>
      <w:r>
        <w:rPr>
          <w:rFonts w:hint="default" w:ascii="Arial" w:hAnsi="Arial" w:cs="Arial"/>
          <w:b/>
          <w:bCs/>
          <w:iCs/>
          <w:color w:val="auto"/>
          <w:kern w:val="2"/>
          <w:sz w:val="22"/>
          <w:szCs w:val="22"/>
          <w:highlight w:val="none"/>
        </w:rPr>
        <w:t>十、货款支付：</w:t>
      </w:r>
    </w:p>
    <w:p>
      <w:pPr>
        <w:keepNext w:val="0"/>
        <w:keepLines w:val="0"/>
        <w:pageBreakBefore w:val="0"/>
        <w:widowControl/>
        <w:kinsoku/>
        <w:wordWrap/>
        <w:overflowPunct/>
        <w:topLinePunct w:val="0"/>
        <w:autoSpaceDE/>
        <w:autoSpaceDN/>
        <w:bidi w:val="0"/>
        <w:adjustRightInd/>
        <w:snapToGrid/>
        <w:spacing w:line="390" w:lineRule="exact"/>
        <w:ind w:firstLine="442" w:firstLineChars="200"/>
        <w:jc w:val="left"/>
        <w:textAlignment w:val="auto"/>
        <w:rPr>
          <w:rFonts w:hint="default" w:ascii="Arial" w:hAnsi="Arial" w:eastAsia="宋体" w:cs="Arial"/>
          <w:b/>
          <w:bCs/>
          <w:color w:val="auto"/>
          <w:sz w:val="22"/>
          <w:szCs w:val="22"/>
          <w:highlight w:val="none"/>
          <w:u w:val="single"/>
          <w:lang w:val="en-US" w:eastAsia="zh-CN"/>
        </w:rPr>
      </w:pPr>
      <w:r>
        <w:rPr>
          <w:rFonts w:hint="eastAsia" w:ascii="Arial" w:hAnsi="Arial" w:cs="Arial"/>
          <w:b/>
          <w:bCs/>
          <w:color w:val="auto"/>
          <w:sz w:val="22"/>
          <w:szCs w:val="22"/>
          <w:highlight w:val="none"/>
          <w:u w:val="single"/>
          <w:lang w:val="en-US" w:eastAsia="zh-CN"/>
        </w:rPr>
        <w:t>1、设备设施（包括：前端感知系统+传输网络系统+存储及平台扩容）付款办法：</w:t>
      </w:r>
    </w:p>
    <w:p>
      <w:pPr>
        <w:keepNext w:val="0"/>
        <w:keepLines w:val="0"/>
        <w:pageBreakBefore w:val="0"/>
        <w:widowControl/>
        <w:kinsoku/>
        <w:wordWrap/>
        <w:overflowPunct/>
        <w:topLinePunct w:val="0"/>
        <w:autoSpaceDE/>
        <w:autoSpaceDN/>
        <w:bidi w:val="0"/>
        <w:adjustRightInd/>
        <w:snapToGrid/>
        <w:spacing w:line="390" w:lineRule="exact"/>
        <w:ind w:firstLine="442" w:firstLineChars="200"/>
        <w:jc w:val="left"/>
        <w:textAlignment w:val="auto"/>
        <w:rPr>
          <w:rFonts w:hint="eastAsia" w:ascii="Arial" w:hAnsi="Arial" w:cs="Arial"/>
          <w:b/>
          <w:bCs/>
          <w:color w:val="auto"/>
          <w:sz w:val="22"/>
          <w:szCs w:val="22"/>
          <w:highlight w:val="none"/>
          <w:u w:val="single"/>
          <w:lang w:eastAsia="zh-CN"/>
        </w:rPr>
      </w:pPr>
      <w:r>
        <w:rPr>
          <w:rFonts w:hint="eastAsia" w:ascii="Arial" w:hAnsi="Arial" w:cs="Arial"/>
          <w:b/>
          <w:bCs/>
          <w:color w:val="auto"/>
          <w:sz w:val="22"/>
          <w:szCs w:val="22"/>
          <w:highlight w:val="none"/>
          <w:u w:val="single"/>
          <w:lang w:val="en-US" w:eastAsia="zh-CN"/>
        </w:rPr>
        <w:t>（1）</w:t>
      </w:r>
      <w:r>
        <w:rPr>
          <w:rFonts w:hint="default" w:ascii="Arial" w:hAnsi="Arial" w:cs="Arial"/>
          <w:b/>
          <w:bCs/>
          <w:color w:val="auto"/>
          <w:sz w:val="22"/>
          <w:szCs w:val="22"/>
          <w:highlight w:val="none"/>
          <w:u w:val="single"/>
        </w:rPr>
        <w:t>合同生效以及具备实施条件后7个工作日内支付</w:t>
      </w:r>
      <w:r>
        <w:rPr>
          <w:rFonts w:hint="eastAsia" w:ascii="Arial" w:hAnsi="Arial" w:cs="Arial"/>
          <w:b/>
          <w:bCs/>
          <w:color w:val="auto"/>
          <w:sz w:val="22"/>
          <w:szCs w:val="22"/>
          <w:highlight w:val="none"/>
          <w:u w:val="single"/>
          <w:lang w:val="en-US" w:eastAsia="zh-CN"/>
        </w:rPr>
        <w:t>至设备设施合同价</w:t>
      </w:r>
      <w:r>
        <w:rPr>
          <w:rFonts w:hint="default" w:ascii="Arial" w:hAnsi="Arial" w:cs="Arial"/>
          <w:b/>
          <w:bCs/>
          <w:color w:val="auto"/>
          <w:sz w:val="22"/>
          <w:szCs w:val="22"/>
          <w:highlight w:val="none"/>
          <w:u w:val="single"/>
        </w:rPr>
        <w:t>的</w:t>
      </w:r>
      <w:r>
        <w:rPr>
          <w:rFonts w:hint="eastAsia" w:ascii="Arial" w:hAnsi="Arial" w:cs="Arial"/>
          <w:b/>
          <w:bCs/>
          <w:color w:val="auto"/>
          <w:sz w:val="22"/>
          <w:szCs w:val="22"/>
          <w:highlight w:val="none"/>
          <w:u w:val="single"/>
          <w:lang w:val="en-US" w:eastAsia="zh-CN"/>
        </w:rPr>
        <w:t>4</w:t>
      </w:r>
      <w:r>
        <w:rPr>
          <w:rFonts w:hint="default" w:ascii="Arial" w:hAnsi="Arial" w:cs="Arial"/>
          <w:b/>
          <w:bCs/>
          <w:color w:val="auto"/>
          <w:sz w:val="22"/>
          <w:szCs w:val="22"/>
          <w:highlight w:val="none"/>
          <w:u w:val="single"/>
        </w:rPr>
        <w:t>0%</w:t>
      </w:r>
      <w:r>
        <w:rPr>
          <w:rFonts w:hint="eastAsia" w:ascii="Arial" w:hAnsi="Arial" w:cs="Arial"/>
          <w:b/>
          <w:bCs/>
          <w:color w:val="auto"/>
          <w:sz w:val="22"/>
          <w:szCs w:val="22"/>
          <w:highlight w:val="none"/>
          <w:u w:val="single"/>
          <w:lang w:val="en-US" w:eastAsia="zh-CN"/>
        </w:rPr>
        <w:t>（设备设施合同价＝合同总价-系统运行费合同价，余同）</w:t>
      </w:r>
      <w:r>
        <w:rPr>
          <w:rFonts w:hint="eastAsia" w:ascii="Arial" w:hAnsi="Arial" w:cs="Arial"/>
          <w:b/>
          <w:bCs/>
          <w:color w:val="auto"/>
          <w:sz w:val="22"/>
          <w:szCs w:val="22"/>
          <w:highlight w:val="none"/>
          <w:u w:val="single"/>
          <w:lang w:eastAsia="zh-CN"/>
        </w:rPr>
        <w:t>；</w:t>
      </w:r>
    </w:p>
    <w:p>
      <w:pPr>
        <w:keepNext w:val="0"/>
        <w:keepLines w:val="0"/>
        <w:pageBreakBefore w:val="0"/>
        <w:widowControl/>
        <w:kinsoku/>
        <w:wordWrap/>
        <w:overflowPunct/>
        <w:topLinePunct w:val="0"/>
        <w:autoSpaceDE/>
        <w:autoSpaceDN/>
        <w:bidi w:val="0"/>
        <w:adjustRightInd/>
        <w:snapToGrid/>
        <w:spacing w:line="390" w:lineRule="exact"/>
        <w:ind w:firstLine="442" w:firstLineChars="200"/>
        <w:jc w:val="left"/>
        <w:textAlignment w:val="auto"/>
        <w:rPr>
          <w:rFonts w:hint="eastAsia" w:ascii="Arial" w:hAnsi="Arial" w:cs="Arial"/>
          <w:b/>
          <w:bCs/>
          <w:color w:val="auto"/>
          <w:sz w:val="22"/>
          <w:szCs w:val="22"/>
          <w:highlight w:val="none"/>
          <w:u w:val="single"/>
          <w:lang w:eastAsia="zh-CN"/>
        </w:rPr>
      </w:pPr>
      <w:r>
        <w:rPr>
          <w:rFonts w:hint="eastAsia" w:ascii="Arial" w:hAnsi="Arial" w:cs="Arial"/>
          <w:b/>
          <w:bCs/>
          <w:color w:val="auto"/>
          <w:sz w:val="22"/>
          <w:szCs w:val="22"/>
          <w:highlight w:val="none"/>
          <w:u w:val="single"/>
          <w:lang w:val="en-US" w:eastAsia="zh-CN"/>
        </w:rPr>
        <w:t>（2）</w:t>
      </w:r>
      <w:r>
        <w:rPr>
          <w:rFonts w:hint="default" w:ascii="Arial" w:hAnsi="Arial" w:cs="Arial"/>
          <w:b/>
          <w:bCs/>
          <w:color w:val="auto"/>
          <w:sz w:val="22"/>
          <w:szCs w:val="22"/>
          <w:highlight w:val="none"/>
          <w:u w:val="single"/>
        </w:rPr>
        <w:t>全部设备</w:t>
      </w:r>
      <w:r>
        <w:rPr>
          <w:rFonts w:hint="eastAsia" w:ascii="Arial" w:hAnsi="Arial" w:cs="Arial"/>
          <w:b/>
          <w:bCs/>
          <w:color w:val="auto"/>
          <w:sz w:val="22"/>
          <w:szCs w:val="22"/>
          <w:highlight w:val="none"/>
          <w:u w:val="single"/>
          <w:lang w:val="en-US" w:eastAsia="zh-CN"/>
        </w:rPr>
        <w:t>设施</w:t>
      </w:r>
      <w:r>
        <w:rPr>
          <w:rFonts w:hint="default" w:ascii="Arial" w:hAnsi="Arial" w:cs="Arial"/>
          <w:b/>
          <w:bCs/>
          <w:color w:val="auto"/>
          <w:sz w:val="22"/>
          <w:szCs w:val="22"/>
          <w:highlight w:val="none"/>
          <w:u w:val="single"/>
        </w:rPr>
        <w:t>安装调试完成并经</w:t>
      </w:r>
      <w:r>
        <w:rPr>
          <w:rFonts w:hint="eastAsia" w:ascii="Arial" w:hAnsi="Arial" w:cs="Arial"/>
          <w:b/>
          <w:bCs/>
          <w:color w:val="auto"/>
          <w:sz w:val="22"/>
          <w:szCs w:val="22"/>
          <w:highlight w:val="none"/>
          <w:u w:val="single"/>
          <w:lang w:eastAsia="zh-CN"/>
        </w:rPr>
        <w:t>相关部门</w:t>
      </w:r>
      <w:r>
        <w:rPr>
          <w:rFonts w:hint="default" w:ascii="Arial" w:hAnsi="Arial" w:cs="Arial"/>
          <w:b/>
          <w:bCs/>
          <w:color w:val="auto"/>
          <w:sz w:val="22"/>
          <w:szCs w:val="22"/>
          <w:highlight w:val="none"/>
          <w:u w:val="single"/>
        </w:rPr>
        <w:t>验收合格出具验收</w:t>
      </w:r>
      <w:r>
        <w:rPr>
          <w:rFonts w:hint="eastAsia" w:ascii="Arial" w:hAnsi="Arial" w:cs="Arial"/>
          <w:b/>
          <w:bCs/>
          <w:color w:val="auto"/>
          <w:sz w:val="22"/>
          <w:szCs w:val="22"/>
          <w:highlight w:val="none"/>
          <w:u w:val="single"/>
          <w:lang w:eastAsia="zh-CN"/>
        </w:rPr>
        <w:t>合格</w:t>
      </w:r>
      <w:r>
        <w:rPr>
          <w:rFonts w:hint="default" w:ascii="Arial" w:hAnsi="Arial" w:cs="Arial"/>
          <w:b/>
          <w:bCs/>
          <w:color w:val="auto"/>
          <w:sz w:val="22"/>
          <w:szCs w:val="22"/>
          <w:highlight w:val="none"/>
          <w:u w:val="single"/>
        </w:rPr>
        <w:t>报告后支付至</w:t>
      </w:r>
      <w:r>
        <w:rPr>
          <w:rFonts w:hint="eastAsia" w:ascii="Arial" w:hAnsi="Arial" w:cs="Arial"/>
          <w:b/>
          <w:bCs/>
          <w:color w:val="auto"/>
          <w:sz w:val="22"/>
          <w:szCs w:val="22"/>
          <w:highlight w:val="none"/>
          <w:u w:val="single"/>
          <w:lang w:val="en-US" w:eastAsia="zh-CN"/>
        </w:rPr>
        <w:t>设备设施合同价</w:t>
      </w:r>
      <w:r>
        <w:rPr>
          <w:rFonts w:hint="default" w:ascii="Arial" w:hAnsi="Arial" w:cs="Arial"/>
          <w:b/>
          <w:bCs/>
          <w:color w:val="auto"/>
          <w:sz w:val="22"/>
          <w:szCs w:val="22"/>
          <w:highlight w:val="none"/>
          <w:u w:val="single"/>
        </w:rPr>
        <w:t>的80%</w:t>
      </w:r>
      <w:r>
        <w:rPr>
          <w:rFonts w:hint="eastAsia" w:ascii="Arial" w:hAnsi="Arial" w:cs="Arial"/>
          <w:b/>
          <w:bCs/>
          <w:color w:val="auto"/>
          <w:sz w:val="22"/>
          <w:szCs w:val="22"/>
          <w:highlight w:val="none"/>
          <w:u w:val="single"/>
          <w:lang w:eastAsia="zh-CN"/>
        </w:rPr>
        <w:t>；</w:t>
      </w:r>
    </w:p>
    <w:p>
      <w:pPr>
        <w:keepNext w:val="0"/>
        <w:keepLines w:val="0"/>
        <w:pageBreakBefore w:val="0"/>
        <w:widowControl/>
        <w:kinsoku/>
        <w:wordWrap/>
        <w:overflowPunct/>
        <w:topLinePunct w:val="0"/>
        <w:autoSpaceDE/>
        <w:autoSpaceDN/>
        <w:bidi w:val="0"/>
        <w:adjustRightInd/>
        <w:snapToGrid/>
        <w:spacing w:line="390" w:lineRule="exact"/>
        <w:ind w:firstLine="442" w:firstLineChars="200"/>
        <w:jc w:val="left"/>
        <w:textAlignment w:val="auto"/>
        <w:rPr>
          <w:rFonts w:hint="default" w:ascii="Arial" w:hAnsi="Arial" w:cs="Arial"/>
          <w:b/>
          <w:bCs/>
          <w:color w:val="auto"/>
          <w:sz w:val="22"/>
          <w:szCs w:val="22"/>
          <w:highlight w:val="none"/>
          <w:u w:val="single"/>
        </w:rPr>
      </w:pPr>
      <w:r>
        <w:rPr>
          <w:rFonts w:hint="eastAsia" w:ascii="Arial" w:hAnsi="Arial" w:cs="Arial"/>
          <w:b/>
          <w:bCs/>
          <w:color w:val="auto"/>
          <w:sz w:val="22"/>
          <w:szCs w:val="22"/>
          <w:highlight w:val="none"/>
          <w:u w:val="single"/>
          <w:lang w:val="en-US" w:eastAsia="zh-CN"/>
        </w:rPr>
        <w:t>（3）</w:t>
      </w:r>
      <w:r>
        <w:rPr>
          <w:rFonts w:hint="default" w:ascii="Arial" w:hAnsi="Arial" w:cs="Arial"/>
          <w:b/>
          <w:bCs/>
          <w:color w:val="auto"/>
          <w:sz w:val="22"/>
          <w:szCs w:val="22"/>
          <w:highlight w:val="none"/>
          <w:u w:val="single"/>
        </w:rPr>
        <w:t>审计结束后，支付至</w:t>
      </w:r>
      <w:r>
        <w:rPr>
          <w:rFonts w:hint="eastAsia" w:ascii="Arial" w:hAnsi="Arial" w:cs="Arial"/>
          <w:b/>
          <w:bCs/>
          <w:color w:val="auto"/>
          <w:sz w:val="22"/>
          <w:szCs w:val="22"/>
          <w:highlight w:val="none"/>
          <w:u w:val="single"/>
          <w:lang w:val="en-US" w:eastAsia="zh-CN"/>
        </w:rPr>
        <w:t>设备设施审计结算价</w:t>
      </w:r>
      <w:r>
        <w:rPr>
          <w:rFonts w:hint="default" w:ascii="Arial" w:hAnsi="Arial" w:cs="Arial"/>
          <w:b/>
          <w:bCs/>
          <w:color w:val="auto"/>
          <w:sz w:val="22"/>
          <w:szCs w:val="22"/>
          <w:highlight w:val="none"/>
          <w:u w:val="single"/>
        </w:rPr>
        <w:t xml:space="preserve">的100%。 </w:t>
      </w:r>
    </w:p>
    <w:p>
      <w:pPr>
        <w:snapToGrid w:val="0"/>
        <w:spacing w:line="460" w:lineRule="exact"/>
        <w:ind w:firstLine="442" w:firstLineChars="200"/>
        <w:rPr>
          <w:rFonts w:hint="eastAsia" w:ascii="Arial" w:hAnsi="Arial" w:cs="Arial"/>
          <w:b/>
          <w:bCs/>
          <w:color w:val="auto"/>
          <w:sz w:val="22"/>
          <w:szCs w:val="22"/>
          <w:highlight w:val="none"/>
          <w:u w:val="single"/>
          <w:lang w:val="en-US" w:eastAsia="zh-CN"/>
        </w:rPr>
      </w:pPr>
      <w:r>
        <w:rPr>
          <w:rFonts w:hint="eastAsia" w:ascii="Arial" w:hAnsi="Arial" w:cs="Arial"/>
          <w:b/>
          <w:bCs/>
          <w:color w:val="auto"/>
          <w:sz w:val="22"/>
          <w:szCs w:val="22"/>
          <w:highlight w:val="none"/>
          <w:u w:val="single"/>
          <w:lang w:val="en-US" w:eastAsia="zh-CN"/>
        </w:rPr>
        <w:t>2、系统运行费付款办法：设备设施验收合格之日起计三年系统运行期，系统运行期的每个年度末支付经甲方审核确认后的当年全额系统运行费合同价。</w:t>
      </w:r>
    </w:p>
    <w:p>
      <w:pPr>
        <w:snapToGrid w:val="0"/>
        <w:spacing w:line="460" w:lineRule="exact"/>
        <w:ind w:firstLine="440" w:firstLineChars="200"/>
        <w:rPr>
          <w:rFonts w:hint="default" w:ascii="Arial" w:hAnsi="Arial" w:cs="Arial"/>
          <w:color w:val="auto"/>
          <w:sz w:val="22"/>
          <w:szCs w:val="22"/>
          <w:highlight w:val="none"/>
        </w:rPr>
      </w:pPr>
      <w:r>
        <w:rPr>
          <w:rFonts w:hint="default" w:ascii="Arial" w:hAnsi="Arial" w:cs="Arial"/>
          <w:color w:val="auto"/>
          <w:sz w:val="22"/>
          <w:szCs w:val="22"/>
          <w:highlight w:val="none"/>
        </w:rPr>
        <w:t>注：以上款项支付前，乙方需向甲方提供正式增值税发票。</w:t>
      </w:r>
    </w:p>
    <w:p>
      <w:pPr>
        <w:snapToGrid w:val="0"/>
        <w:spacing w:line="460" w:lineRule="exact"/>
        <w:ind w:firstLine="442" w:firstLineChars="200"/>
        <w:rPr>
          <w:rFonts w:hint="default" w:ascii="Arial" w:hAnsi="Arial" w:cs="Arial"/>
          <w:b/>
          <w:bCs/>
          <w:iCs/>
          <w:color w:val="auto"/>
          <w:sz w:val="22"/>
          <w:szCs w:val="22"/>
          <w:highlight w:val="none"/>
        </w:rPr>
      </w:pPr>
      <w:r>
        <w:rPr>
          <w:rFonts w:hint="default" w:ascii="Arial" w:hAnsi="Arial" w:cs="Arial"/>
          <w:b/>
          <w:bCs/>
          <w:iCs/>
          <w:color w:val="auto"/>
          <w:sz w:val="22"/>
          <w:szCs w:val="22"/>
          <w:highlight w:val="none"/>
        </w:rPr>
        <w:t>十一、税费</w:t>
      </w:r>
    </w:p>
    <w:p>
      <w:pPr>
        <w:snapToGrid w:val="0"/>
        <w:spacing w:line="460" w:lineRule="exact"/>
        <w:ind w:firstLine="440" w:firstLineChars="200"/>
        <w:rPr>
          <w:rFonts w:hint="default" w:ascii="Arial" w:hAnsi="Arial" w:cs="Arial"/>
          <w:iCs/>
          <w:color w:val="auto"/>
          <w:sz w:val="22"/>
          <w:szCs w:val="22"/>
          <w:highlight w:val="none"/>
        </w:rPr>
      </w:pPr>
      <w:r>
        <w:rPr>
          <w:rFonts w:hint="default" w:ascii="Arial" w:hAnsi="Arial" w:cs="Arial"/>
          <w:iCs/>
          <w:color w:val="auto"/>
          <w:sz w:val="22"/>
          <w:szCs w:val="22"/>
          <w:highlight w:val="none"/>
        </w:rPr>
        <w:t>本合同执行中相关的一切税费均由乙方负担。</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十二、质量保证及售后服务</w:t>
      </w:r>
      <w:r>
        <w:rPr>
          <w:rFonts w:hint="eastAsia" w:ascii="Arial" w:hAnsi="Arial" w:cs="Arial"/>
          <w:b/>
          <w:bCs/>
          <w:iCs/>
          <w:color w:val="auto"/>
          <w:kern w:val="2"/>
          <w:sz w:val="22"/>
          <w:szCs w:val="22"/>
          <w:highlight w:val="none"/>
          <w:lang w:eastAsia="zh-CN"/>
        </w:rPr>
        <w:t>、系统运行期服务</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1.乙方必须确保货品及其所有配件的完整性。对于标书没有列出，而对货品的正常使用和维护必不可少的且应属于货品需求配套的部件、配件等，乙方有责任给以补充。</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2.甲方有权在货物的生成加工期间到乙方的工厂查看原料、加工工艺和货物实样，不按甲方要求的，甲方有权终止合同，一切责任由乙方承担。</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3.乙方应按采购文件规定的货物性能、技术要求、质量标准向甲方提供未经使用</w:t>
      </w:r>
    </w:p>
    <w:p>
      <w:pPr>
        <w:pStyle w:val="43"/>
        <w:widowControl w:val="0"/>
        <w:snapToGrid w:val="0"/>
        <w:spacing w:before="0" w:beforeAutospacing="0" w:after="0" w:afterAutospacing="0" w:line="460" w:lineRule="exact"/>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的全新产品。</w:t>
      </w:r>
    </w:p>
    <w:p>
      <w:pPr>
        <w:pStyle w:val="43"/>
        <w:widowControl w:val="0"/>
        <w:snapToGrid w:val="0"/>
        <w:spacing w:before="0" w:beforeAutospacing="0" w:after="0" w:afterAutospacing="0" w:line="460" w:lineRule="exact"/>
        <w:ind w:left="420" w:left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4.乙方提供的货物在质保期内因货物本身的质量问题发生故障，乙方应负责免费</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更换。对达不到技术要求者，根据实际情况，经双方协商，可按以下办法处理：</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更换：由乙方承担所发生的全部费用。</w:t>
      </w:r>
    </w:p>
    <w:p>
      <w:pPr>
        <w:pStyle w:val="43"/>
        <w:widowControl w:val="0"/>
        <w:snapToGrid w:val="0"/>
        <w:spacing w:before="0" w:beforeAutospacing="0" w:after="0" w:afterAutospacing="0" w:line="460" w:lineRule="exact"/>
        <w:ind w:firstLine="42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贬值处理：由甲乙双方合议定价。</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退货处理：乙方应退还甲方支付的合同款，同时应承担该货物的费用（运输、保险、检验、货款利息及银行手续费等）。</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5.设备</w:t>
      </w:r>
      <w:r>
        <w:rPr>
          <w:rFonts w:hint="eastAsia" w:ascii="Arial" w:hAnsi="Arial" w:cs="Arial"/>
          <w:iCs/>
          <w:color w:val="auto"/>
          <w:kern w:val="2"/>
          <w:sz w:val="22"/>
          <w:szCs w:val="22"/>
          <w:highlight w:val="none"/>
          <w:lang w:eastAsia="zh-CN"/>
        </w:rPr>
        <w:t>或系统运行有出现故障的</w:t>
      </w:r>
      <w:r>
        <w:rPr>
          <w:rFonts w:hint="default" w:ascii="Arial" w:hAnsi="Arial" w:cs="Arial"/>
          <w:iCs/>
          <w:color w:val="auto"/>
          <w:kern w:val="2"/>
          <w:sz w:val="22"/>
          <w:szCs w:val="22"/>
          <w:highlight w:val="none"/>
        </w:rPr>
        <w:t>，乙方接用户通知后2小时内响应，免费维修与更换缺陷部件的时间为乙方收到甲方通知后24小时内。</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6. 在质保期</w:t>
      </w:r>
      <w:r>
        <w:rPr>
          <w:rFonts w:hint="eastAsia" w:ascii="Arial" w:hAnsi="Arial" w:cs="Arial"/>
          <w:iCs/>
          <w:color w:val="auto"/>
          <w:kern w:val="2"/>
          <w:sz w:val="22"/>
          <w:szCs w:val="22"/>
          <w:highlight w:val="none"/>
          <w:lang w:eastAsia="zh-CN"/>
        </w:rPr>
        <w:t>、系统运行期</w:t>
      </w:r>
      <w:r>
        <w:rPr>
          <w:rFonts w:hint="default" w:ascii="Arial" w:hAnsi="Arial" w:cs="Arial"/>
          <w:iCs/>
          <w:color w:val="auto"/>
          <w:kern w:val="2"/>
          <w:sz w:val="22"/>
          <w:szCs w:val="22"/>
          <w:highlight w:val="none"/>
        </w:rPr>
        <w:t>内，乙方应对货物</w:t>
      </w:r>
      <w:r>
        <w:rPr>
          <w:rFonts w:hint="eastAsia" w:ascii="Arial" w:hAnsi="Arial" w:cs="Arial"/>
          <w:iCs/>
          <w:color w:val="auto"/>
          <w:kern w:val="2"/>
          <w:sz w:val="22"/>
          <w:szCs w:val="22"/>
          <w:highlight w:val="none"/>
          <w:lang w:eastAsia="zh-CN"/>
        </w:rPr>
        <w:t>或系统运行</w:t>
      </w:r>
      <w:r>
        <w:rPr>
          <w:rFonts w:hint="default" w:ascii="Arial" w:hAnsi="Arial" w:cs="Arial"/>
          <w:iCs/>
          <w:color w:val="auto"/>
          <w:kern w:val="2"/>
          <w:sz w:val="22"/>
          <w:szCs w:val="22"/>
          <w:highlight w:val="none"/>
        </w:rPr>
        <w:t>出现的质量及安全问题负责处理解决并承担一切费用及损失赔偿。</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7.货物免费保修期</w:t>
      </w:r>
      <w:r>
        <w:rPr>
          <w:rFonts w:hint="eastAsia" w:ascii="Arial" w:hAnsi="Arial" w:cs="Arial"/>
          <w:iCs/>
          <w:color w:val="auto"/>
          <w:kern w:val="2"/>
          <w:sz w:val="22"/>
          <w:szCs w:val="22"/>
          <w:highlight w:val="none"/>
          <w:lang w:eastAsia="zh-CN"/>
        </w:rPr>
        <w:t>、系统运行期</w:t>
      </w:r>
      <w:r>
        <w:rPr>
          <w:rFonts w:hint="default" w:ascii="Arial" w:hAnsi="Arial" w:cs="Arial"/>
          <w:iCs/>
          <w:color w:val="auto"/>
          <w:kern w:val="2"/>
          <w:sz w:val="22"/>
          <w:szCs w:val="22"/>
          <w:highlight w:val="none"/>
        </w:rPr>
        <w:t>为</w:t>
      </w:r>
      <w:r>
        <w:rPr>
          <w:rFonts w:hint="eastAsia" w:ascii="Arial" w:hAnsi="Arial" w:cs="Arial"/>
          <w:iCs/>
          <w:color w:val="auto"/>
          <w:kern w:val="2"/>
          <w:sz w:val="22"/>
          <w:szCs w:val="22"/>
          <w:highlight w:val="none"/>
          <w:u w:val="single"/>
          <w:lang w:val="en-US" w:eastAsia="zh-CN"/>
        </w:rPr>
        <w:t xml:space="preserve"> </w:t>
      </w:r>
      <w:r>
        <w:rPr>
          <w:rFonts w:hint="eastAsia" w:ascii="Arial" w:hAnsi="Arial" w:cs="Arial"/>
          <w:iCs/>
          <w:color w:val="auto"/>
          <w:kern w:val="2"/>
          <w:sz w:val="22"/>
          <w:szCs w:val="22"/>
          <w:highlight w:val="none"/>
          <w:u w:val="single"/>
          <w:lang w:val="en-US" w:eastAsia="zh-CN"/>
        </w:rPr>
        <w:t xml:space="preserve">   </w:t>
      </w:r>
      <w:r>
        <w:rPr>
          <w:rFonts w:hint="default" w:ascii="Arial" w:hAnsi="Arial" w:cs="Arial"/>
          <w:iCs/>
          <w:color w:val="auto"/>
          <w:kern w:val="2"/>
          <w:sz w:val="22"/>
          <w:szCs w:val="22"/>
          <w:highlight w:val="none"/>
        </w:rPr>
        <w:t>年，如因用户使用不当或其他意外造成损坏，仅收零件材料费。超过保修期的机器设备，终生维修，维修时只收部件成本费。</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lang w:val="en-US" w:eastAsia="zh-CN"/>
        </w:rPr>
        <w:t>8.乙方如在质保期内末履行合同约定的质量保证及规定时间内的售后维修服务等，甲方将按《浙江省政府采购供应商注册及诚信管理暂行办法》的规定上报诚信状况，乙方除承担因乙方不及时维修而由甲方自主维修的费用外，并按合同总价的20%承担违约责任，如果给甲方造成其他额外损失的还应当追加赔偿。</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十三、调试和验收</w:t>
      </w:r>
    </w:p>
    <w:p>
      <w:pPr>
        <w:pStyle w:val="43"/>
        <w:widowControl w:val="0"/>
        <w:snapToGrid w:val="0"/>
        <w:spacing w:before="0" w:beforeAutospacing="0" w:after="0" w:afterAutospacing="0" w:line="460" w:lineRule="exact"/>
        <w:ind w:firstLine="440" w:firstLineChars="200"/>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2. 乙方交货前应对产品作出全面检查和对验收文件进行整理，并列出清单，作为甲方收货验收和使用的技术条件依据，检验的结果应随货物交甲方。</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3. 甲方对乙方提供的货物在使用前进行调试时，乙方需负责安装并培训甲方的使用操作人员，并协助甲方一起调试，直到符合技术要求，甲方才做最终验收。</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4. 对技术复杂的货物，甲方有权请国家认可的专业检测机构参与初步验收及最终验收，并由其出具质量检测报告。</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5. 验收时乙方必须在现场，验收完毕后作出验收结果报告；验收费用由乙方负责。</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十四、货物包装、发运及运输</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1. 乙方应在货物发运前对其进行满足运输距离、防潮、防震、防锈和防破损装卸</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等要求包装，以保证货物安全运达甲方指定地点。</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2. 使用说明书、质量检验证明书、随配附件和工具以及清单一并附于货物内。</w:t>
      </w:r>
    </w:p>
    <w:p>
      <w:pPr>
        <w:pStyle w:val="43"/>
        <w:widowControl w:val="0"/>
        <w:snapToGrid w:val="0"/>
        <w:spacing w:before="0" w:beforeAutospacing="0" w:after="0" w:afterAutospacing="0" w:line="460" w:lineRule="exact"/>
        <w:ind w:left="437" w:leftChars="208"/>
        <w:jc w:val="both"/>
        <w:rPr>
          <w:rFonts w:hint="eastAsia" w:ascii="Arial" w:hAnsi="Arial" w:cs="Arial"/>
          <w:iCs/>
          <w:color w:val="auto"/>
          <w:kern w:val="2"/>
          <w:sz w:val="22"/>
          <w:szCs w:val="22"/>
          <w:highlight w:val="none"/>
          <w:lang w:eastAsia="zh-CN"/>
        </w:rPr>
      </w:pPr>
      <w:r>
        <w:rPr>
          <w:rFonts w:hint="default" w:ascii="Arial" w:hAnsi="Arial" w:cs="Arial"/>
          <w:iCs/>
          <w:color w:val="auto"/>
          <w:kern w:val="2"/>
          <w:sz w:val="22"/>
          <w:szCs w:val="22"/>
          <w:highlight w:val="none"/>
        </w:rPr>
        <w:t>3. 乙方在货物发运手续办理完毕后24小时内或货到甲方48小时前通知甲方</w:t>
      </w:r>
      <w:r>
        <w:rPr>
          <w:rFonts w:hint="eastAsia" w:ascii="Arial" w:hAnsi="Arial" w:cs="Arial"/>
          <w:iCs/>
          <w:color w:val="auto"/>
          <w:kern w:val="2"/>
          <w:sz w:val="22"/>
          <w:szCs w:val="22"/>
          <w:highlight w:val="none"/>
          <w:lang w:eastAsia="zh-CN"/>
        </w:rPr>
        <w:t>及监</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eastAsia" w:ascii="Arial" w:hAnsi="Arial" w:cs="Arial"/>
          <w:iCs/>
          <w:color w:val="auto"/>
          <w:kern w:val="2"/>
          <w:sz w:val="22"/>
          <w:szCs w:val="22"/>
          <w:highlight w:val="none"/>
          <w:lang w:eastAsia="zh-CN"/>
        </w:rPr>
        <w:t>理方（若有）</w:t>
      </w:r>
      <w:r>
        <w:rPr>
          <w:rFonts w:hint="default" w:ascii="Arial" w:hAnsi="Arial" w:cs="Arial"/>
          <w:iCs/>
          <w:color w:val="auto"/>
          <w:kern w:val="2"/>
          <w:sz w:val="22"/>
          <w:szCs w:val="22"/>
          <w:highlight w:val="none"/>
        </w:rPr>
        <w:t>，以准备接货。</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4. 货物在交付甲方前发生的风险均由乙方负责。</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5. 货物在规定的交付期限内由乙方送达甲方指定的地点视为交付，乙方同时需通</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知甲方货物已送达。</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十五、违约责任</w:t>
      </w:r>
    </w:p>
    <w:p>
      <w:pPr>
        <w:pStyle w:val="43"/>
        <w:widowControl w:val="0"/>
        <w:snapToGrid w:val="0"/>
        <w:spacing w:before="0" w:beforeAutospacing="0" w:after="0" w:afterAutospacing="0" w:line="460" w:lineRule="exact"/>
        <w:ind w:left="437" w:leftChars="208" w:firstLine="63" w:firstLineChars="29"/>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1. 甲方无正当理由拒收货物的，甲方向乙方偿付拒收货款总值的百分之五违约金。</w:t>
      </w:r>
    </w:p>
    <w:p>
      <w:pPr>
        <w:pStyle w:val="43"/>
        <w:widowControl w:val="0"/>
        <w:snapToGrid w:val="0"/>
        <w:spacing w:before="0" w:beforeAutospacing="0" w:after="0" w:afterAutospacing="0" w:line="460" w:lineRule="exact"/>
        <w:ind w:left="437" w:leftChars="208" w:firstLine="63" w:firstLineChars="29"/>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2. 甲方无故逾期办理货款支付手续的,甲方应按逾期付款总额每日万分之五向乙</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方支付违约金。</w:t>
      </w:r>
    </w:p>
    <w:p>
      <w:pPr>
        <w:pStyle w:val="43"/>
        <w:widowControl w:val="0"/>
        <w:numPr>
          <w:ilvl w:val="0"/>
          <w:numId w:val="29"/>
        </w:numPr>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乙方逾期交付货物的，乙方应按逾期交货总额每日千分之六向甲方支付违约金，</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 xml:space="preserve">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43"/>
        <w:widowControl w:val="0"/>
        <w:numPr>
          <w:ilvl w:val="0"/>
          <w:numId w:val="29"/>
        </w:numPr>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乙方所交的货物品种、型号、规格、技术参数、质量不符合合同规定及采购文</w:t>
      </w:r>
    </w:p>
    <w:p>
      <w:pPr>
        <w:pStyle w:val="43"/>
        <w:widowControl w:val="0"/>
        <w:snapToGrid w:val="0"/>
        <w:spacing w:before="0" w:beforeAutospacing="0" w:after="0" w:afterAutospacing="0" w:line="460" w:lineRule="exact"/>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件规定标准的，甲方有权拒收该货物，并有权选择继续履行或解除合同。甲方选择继续履行的，乙方应按甲方要求更换符合约定的货物，乙方愿意更换货物但逾期交货的，按乙方逾期交货处理。乙方拒绝更换货物的，甲方可单方面解除合同。</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5.乙方未能按本合同约定提供售后服务的</w:t>
      </w:r>
      <w:r>
        <w:rPr>
          <w:rFonts w:hint="eastAsia" w:ascii="Arial" w:hAnsi="Arial" w:cs="Arial"/>
          <w:iCs/>
          <w:color w:val="auto"/>
          <w:kern w:val="2"/>
          <w:sz w:val="22"/>
          <w:szCs w:val="22"/>
          <w:highlight w:val="none"/>
          <w:lang w:eastAsia="zh-CN"/>
        </w:rPr>
        <w:t>或保障系统正常运行的</w:t>
      </w:r>
      <w:r>
        <w:rPr>
          <w:rFonts w:hint="default" w:ascii="Arial" w:hAnsi="Arial" w:cs="Arial"/>
          <w:iCs/>
          <w:color w:val="auto"/>
          <w:kern w:val="2"/>
          <w:sz w:val="22"/>
          <w:szCs w:val="22"/>
          <w:highlight w:val="none"/>
        </w:rPr>
        <w:t>，每违反一次，应承担违约金</w:t>
      </w:r>
      <w:r>
        <w:rPr>
          <w:rFonts w:hint="default" w:ascii="Arial" w:hAnsi="Arial" w:cs="Arial"/>
          <w:iCs/>
          <w:color w:val="auto"/>
          <w:kern w:val="2"/>
          <w:sz w:val="22"/>
          <w:szCs w:val="22"/>
          <w:highlight w:val="none"/>
          <w:lang w:val="en-US" w:eastAsia="zh-CN"/>
        </w:rPr>
        <w:t>1</w:t>
      </w:r>
      <w:r>
        <w:rPr>
          <w:rFonts w:hint="default" w:ascii="Arial" w:hAnsi="Arial" w:cs="Arial"/>
          <w:iCs/>
          <w:color w:val="auto"/>
          <w:kern w:val="2"/>
          <w:sz w:val="22"/>
          <w:szCs w:val="22"/>
          <w:highlight w:val="none"/>
        </w:rPr>
        <w:t>000</w:t>
      </w:r>
      <w:r>
        <w:rPr>
          <w:rFonts w:hint="eastAsia" w:ascii="Arial" w:hAnsi="Arial" w:cs="Arial"/>
          <w:iCs/>
          <w:color w:val="auto"/>
          <w:kern w:val="2"/>
          <w:sz w:val="22"/>
          <w:szCs w:val="22"/>
          <w:highlight w:val="none"/>
          <w:lang w:val="en-US" w:eastAsia="zh-CN"/>
        </w:rPr>
        <w:t>0</w:t>
      </w:r>
      <w:r>
        <w:rPr>
          <w:rFonts w:hint="default" w:ascii="Arial" w:hAnsi="Arial" w:cs="Arial"/>
          <w:iCs/>
          <w:color w:val="auto"/>
          <w:kern w:val="2"/>
          <w:sz w:val="22"/>
          <w:szCs w:val="22"/>
          <w:highlight w:val="none"/>
        </w:rPr>
        <w:t>元，同时甲方有权另行委托第三方提供相应服务，由此产生的费用由乙方承担，甲方有权从质保金中直接扣除违约金及费用等。经甲方催告后仍未能履行的，甲方有权一次性扣除质保金。</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十六、不可抗力事件处理</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1. 在合同有效期内，任何一方因不可抗力事件导致不能履行合同，则合同履行期可延长，其延长期与不可抗力影响期相同。</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2. 不可抗力事件发生后，应立即通知对方，并寄送有关权威机构出具的证明。</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3. 不可抗力事件延续120天以上，双方应通过友好协商，确定是否继续履行合同。</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十七、诉讼</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双方在执行合同中所发生的一切争议，应通过协商解决。如协商不成，可向甲方所</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在地法院起诉。</w:t>
      </w:r>
    </w:p>
    <w:p>
      <w:pPr>
        <w:pStyle w:val="43"/>
        <w:widowControl w:val="0"/>
        <w:snapToGrid w:val="0"/>
        <w:spacing w:before="0" w:beforeAutospacing="0" w:after="0" w:afterAutospacing="0" w:line="460" w:lineRule="exact"/>
        <w:ind w:firstLine="442" w:firstLineChars="200"/>
        <w:jc w:val="both"/>
        <w:rPr>
          <w:rFonts w:hint="default" w:ascii="Arial" w:hAnsi="Arial" w:cs="Arial"/>
          <w:b/>
          <w:bCs/>
          <w:iCs/>
          <w:color w:val="auto"/>
          <w:sz w:val="22"/>
          <w:szCs w:val="22"/>
          <w:highlight w:val="none"/>
        </w:rPr>
      </w:pPr>
      <w:r>
        <w:rPr>
          <w:rFonts w:hint="default" w:ascii="Arial" w:hAnsi="Arial" w:cs="Arial"/>
          <w:b/>
          <w:bCs/>
          <w:iCs/>
          <w:color w:val="auto"/>
          <w:kern w:val="2"/>
          <w:sz w:val="22"/>
          <w:szCs w:val="22"/>
          <w:highlight w:val="none"/>
        </w:rPr>
        <w:t>十八、合同生效及其它</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1. 合同经双方法定代表人或授权代表签字并加盖单位公章后生效。</w:t>
      </w:r>
    </w:p>
    <w:p>
      <w:pPr>
        <w:pStyle w:val="43"/>
        <w:widowControl w:val="0"/>
        <w:snapToGrid w:val="0"/>
        <w:spacing w:before="0" w:beforeAutospacing="0" w:after="0" w:afterAutospacing="0" w:line="460" w:lineRule="exact"/>
        <w:ind w:left="437" w:leftChars="208"/>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2.本合同未尽事宜，遵照《</w:t>
      </w:r>
      <w:r>
        <w:rPr>
          <w:rFonts w:hint="eastAsia" w:ascii="Arial" w:hAnsi="Arial" w:cs="Arial"/>
          <w:iCs/>
          <w:color w:val="auto"/>
          <w:kern w:val="2"/>
          <w:sz w:val="22"/>
          <w:szCs w:val="22"/>
          <w:highlight w:val="none"/>
          <w:lang w:eastAsia="zh-CN"/>
        </w:rPr>
        <w:t>民法典</w:t>
      </w:r>
      <w:r>
        <w:rPr>
          <w:rFonts w:hint="default" w:ascii="Arial" w:hAnsi="Arial" w:cs="Arial"/>
          <w:iCs/>
          <w:color w:val="auto"/>
          <w:kern w:val="2"/>
          <w:sz w:val="22"/>
          <w:szCs w:val="22"/>
          <w:highlight w:val="none"/>
        </w:rPr>
        <w:t>》有关条文执行。</w:t>
      </w:r>
    </w:p>
    <w:p>
      <w:pPr>
        <w:pStyle w:val="43"/>
        <w:widowControl w:val="0"/>
        <w:snapToGrid w:val="0"/>
        <w:spacing w:before="0" w:beforeAutospacing="0" w:after="0" w:afterAutospacing="0" w:line="460" w:lineRule="exact"/>
        <w:ind w:firstLine="440" w:firstLineChars="200"/>
        <w:jc w:val="both"/>
        <w:rPr>
          <w:rFonts w:hint="default" w:ascii="Arial" w:hAnsi="Arial" w:cs="Arial"/>
          <w:iCs/>
          <w:color w:val="auto"/>
          <w:kern w:val="2"/>
          <w:sz w:val="22"/>
          <w:szCs w:val="22"/>
          <w:highlight w:val="none"/>
        </w:rPr>
      </w:pPr>
      <w:r>
        <w:rPr>
          <w:rFonts w:hint="default" w:ascii="Arial" w:hAnsi="Arial" w:cs="Arial"/>
          <w:iCs/>
          <w:color w:val="auto"/>
          <w:kern w:val="2"/>
          <w:sz w:val="22"/>
          <w:szCs w:val="22"/>
          <w:highlight w:val="none"/>
        </w:rPr>
        <w:t>3.本合同一式</w:t>
      </w:r>
      <w:r>
        <w:rPr>
          <w:rFonts w:hint="eastAsia" w:ascii="Arial" w:hAnsi="Arial" w:cs="Arial"/>
          <w:iCs/>
          <w:color w:val="auto"/>
          <w:kern w:val="2"/>
          <w:sz w:val="22"/>
          <w:szCs w:val="22"/>
          <w:highlight w:val="none"/>
          <w:lang w:eastAsia="zh-CN"/>
        </w:rPr>
        <w:t>六</w:t>
      </w:r>
      <w:r>
        <w:rPr>
          <w:rFonts w:hint="default" w:ascii="Arial" w:hAnsi="Arial" w:cs="Arial"/>
          <w:iCs/>
          <w:color w:val="auto"/>
          <w:kern w:val="2"/>
          <w:sz w:val="22"/>
          <w:szCs w:val="22"/>
          <w:highlight w:val="none"/>
        </w:rPr>
        <w:t>份，具有同等法律效力，甲方执</w:t>
      </w:r>
      <w:r>
        <w:rPr>
          <w:rFonts w:hint="eastAsia" w:ascii="Arial" w:hAnsi="Arial" w:cs="Arial"/>
          <w:iCs/>
          <w:color w:val="auto"/>
          <w:kern w:val="2"/>
          <w:sz w:val="22"/>
          <w:szCs w:val="22"/>
          <w:highlight w:val="none"/>
          <w:lang w:eastAsia="zh-CN"/>
        </w:rPr>
        <w:t>四</w:t>
      </w:r>
      <w:r>
        <w:rPr>
          <w:rFonts w:hint="default" w:ascii="Arial" w:hAnsi="Arial" w:cs="Arial"/>
          <w:iCs/>
          <w:color w:val="auto"/>
          <w:kern w:val="2"/>
          <w:sz w:val="22"/>
          <w:szCs w:val="22"/>
          <w:highlight w:val="none"/>
        </w:rPr>
        <w:t>份</w:t>
      </w:r>
      <w:r>
        <w:rPr>
          <w:rFonts w:hint="eastAsia" w:ascii="Arial" w:hAnsi="Arial" w:cs="Arial"/>
          <w:iCs/>
          <w:color w:val="auto"/>
          <w:kern w:val="2"/>
          <w:sz w:val="22"/>
          <w:szCs w:val="22"/>
          <w:highlight w:val="none"/>
          <w:lang w:eastAsia="zh-CN"/>
        </w:rPr>
        <w:t>，</w:t>
      </w:r>
      <w:r>
        <w:rPr>
          <w:rFonts w:hint="default" w:ascii="Arial" w:hAnsi="Arial" w:cs="Arial"/>
          <w:iCs/>
          <w:color w:val="auto"/>
          <w:kern w:val="2"/>
          <w:sz w:val="22"/>
          <w:szCs w:val="22"/>
          <w:highlight w:val="none"/>
        </w:rPr>
        <w:t>乙方</w:t>
      </w:r>
      <w:r>
        <w:rPr>
          <w:rFonts w:hint="eastAsia" w:ascii="Arial" w:hAnsi="Arial" w:cs="Arial"/>
          <w:iCs/>
          <w:color w:val="auto"/>
          <w:kern w:val="2"/>
          <w:sz w:val="22"/>
          <w:szCs w:val="22"/>
          <w:highlight w:val="none"/>
          <w:lang w:eastAsia="zh-CN"/>
        </w:rPr>
        <w:t>执二</w:t>
      </w:r>
      <w:r>
        <w:rPr>
          <w:rFonts w:hint="default" w:ascii="Arial" w:hAnsi="Arial" w:cs="Arial"/>
          <w:iCs/>
          <w:color w:val="auto"/>
          <w:kern w:val="2"/>
          <w:sz w:val="22"/>
          <w:szCs w:val="22"/>
          <w:highlight w:val="none"/>
        </w:rPr>
        <w:t>份。</w:t>
      </w:r>
    </w:p>
    <w:p>
      <w:pPr>
        <w:pStyle w:val="43"/>
        <w:widowControl w:val="0"/>
        <w:snapToGrid w:val="0"/>
        <w:spacing w:before="0" w:beforeAutospacing="0" w:after="0" w:afterAutospacing="0" w:line="460" w:lineRule="exact"/>
        <w:ind w:left="440" w:hanging="440" w:hangingChars="200"/>
        <w:jc w:val="center"/>
        <w:rPr>
          <w:rFonts w:hint="eastAsia" w:ascii="Arial" w:hAnsi="Arial" w:eastAsia="宋体" w:cs="Arial"/>
          <w:iCs/>
          <w:color w:val="auto"/>
          <w:kern w:val="2"/>
          <w:sz w:val="22"/>
          <w:szCs w:val="22"/>
          <w:highlight w:val="none"/>
          <w:lang w:eastAsia="zh-CN"/>
        </w:rPr>
      </w:pPr>
      <w:r>
        <w:rPr>
          <w:rFonts w:hint="eastAsia" w:ascii="Arial" w:hAnsi="Arial" w:cs="Arial"/>
          <w:iCs/>
          <w:color w:val="auto"/>
          <w:kern w:val="2"/>
          <w:sz w:val="22"/>
          <w:szCs w:val="22"/>
          <w:highlight w:val="none"/>
          <w:lang w:eastAsia="zh-CN"/>
        </w:rPr>
        <w:t>（本页以下无正文）</w:t>
      </w:r>
    </w:p>
    <w:p>
      <w:pPr>
        <w:pStyle w:val="43"/>
        <w:widowControl w:val="0"/>
        <w:snapToGrid w:val="0"/>
        <w:spacing w:before="0" w:beforeAutospacing="0" w:after="0" w:afterAutospacing="0" w:line="460" w:lineRule="exact"/>
        <w:ind w:left="440" w:hanging="440" w:hangingChars="200"/>
        <w:jc w:val="both"/>
        <w:rPr>
          <w:rFonts w:hint="default" w:ascii="Arial" w:hAnsi="Arial" w:cs="Arial"/>
          <w:iCs/>
          <w:color w:val="auto"/>
          <w:kern w:val="2"/>
          <w:sz w:val="22"/>
          <w:szCs w:val="22"/>
          <w:highlight w:val="none"/>
        </w:rPr>
      </w:pPr>
    </w:p>
    <w:p>
      <w:pPr>
        <w:pStyle w:val="43"/>
        <w:widowControl w:val="0"/>
        <w:snapToGrid w:val="0"/>
        <w:spacing w:before="0" w:beforeAutospacing="0" w:after="0" w:afterAutospacing="0" w:line="460" w:lineRule="exact"/>
        <w:ind w:left="440" w:hanging="440" w:hangingChars="200"/>
        <w:jc w:val="both"/>
        <w:rPr>
          <w:rFonts w:hint="default" w:ascii="Arial" w:hAnsi="Arial" w:cs="Arial"/>
          <w:iCs/>
          <w:color w:val="auto"/>
          <w:kern w:val="2"/>
          <w:sz w:val="22"/>
          <w:szCs w:val="22"/>
          <w:highlight w:val="none"/>
        </w:rPr>
      </w:pPr>
    </w:p>
    <w:p>
      <w:pPr>
        <w:pStyle w:val="43"/>
        <w:widowControl w:val="0"/>
        <w:snapToGrid w:val="0"/>
        <w:spacing w:before="0" w:beforeAutospacing="0" w:after="0" w:afterAutospacing="0" w:line="460" w:lineRule="exact"/>
        <w:ind w:left="440" w:hanging="440" w:hangingChars="200"/>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 xml:space="preserve">甲方：                                   乙方： </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 xml:space="preserve">地址：                                   地址： </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法定（授权）代表人：                     法定（授权）代表人：</w:t>
      </w:r>
    </w:p>
    <w:p>
      <w:pPr>
        <w:pStyle w:val="43"/>
        <w:widowControl w:val="0"/>
        <w:snapToGrid w:val="0"/>
        <w:spacing w:before="0" w:beforeAutospacing="0" w:after="0" w:afterAutospacing="0" w:line="460" w:lineRule="exact"/>
        <w:jc w:val="both"/>
        <w:rPr>
          <w:rFonts w:hint="default" w:ascii="Arial" w:hAnsi="Arial" w:cs="Arial"/>
          <w:iCs/>
          <w:color w:val="auto"/>
          <w:sz w:val="22"/>
          <w:szCs w:val="22"/>
          <w:highlight w:val="none"/>
        </w:rPr>
      </w:pPr>
      <w:r>
        <w:rPr>
          <w:rFonts w:hint="default" w:ascii="Arial" w:hAnsi="Arial" w:cs="Arial"/>
          <w:iCs/>
          <w:color w:val="auto"/>
          <w:kern w:val="2"/>
          <w:sz w:val="22"/>
          <w:szCs w:val="22"/>
          <w:highlight w:val="none"/>
        </w:rPr>
        <w:t>签字日期：      年  月  日               签字日期：      年  月  日</w:t>
      </w:r>
    </w:p>
    <w:p>
      <w:pPr>
        <w:pStyle w:val="4"/>
        <w:pageBreakBefore/>
        <w:numPr>
          <w:ilvl w:val="0"/>
          <w:numId w:val="0"/>
        </w:numPr>
        <w:adjustRightInd w:val="0"/>
        <w:spacing w:line="300" w:lineRule="auto"/>
        <w:ind w:firstLine="2642" w:firstLineChars="940"/>
        <w:jc w:val="left"/>
        <w:textAlignment w:val="baseline"/>
        <w:rPr>
          <w:rFonts w:hint="default" w:ascii="Arial" w:hAnsi="Arial" w:cs="Arial"/>
          <w:bCs w:val="0"/>
          <w:color w:val="auto"/>
          <w:kern w:val="2"/>
          <w:sz w:val="28"/>
          <w:szCs w:val="28"/>
          <w:highlight w:val="none"/>
        </w:rPr>
      </w:pPr>
      <w:bookmarkStart w:id="194" w:name="_Toc50910828"/>
      <w:r>
        <w:rPr>
          <w:rFonts w:hint="default" w:ascii="Arial" w:hAnsi="Arial" w:cs="Arial"/>
          <w:bCs w:val="0"/>
          <w:color w:val="auto"/>
          <w:kern w:val="2"/>
          <w:sz w:val="28"/>
          <w:szCs w:val="28"/>
          <w:highlight w:val="none"/>
        </w:rPr>
        <w:t>第六章　投标文件格式</w:t>
      </w:r>
      <w:bookmarkEnd w:id="194"/>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1.所有投标文件的外包装封面格式：（可选用）</w:t>
      </w:r>
    </w:p>
    <w:p>
      <w:pPr>
        <w:spacing w:line="360" w:lineRule="auto"/>
        <w:jc w:val="center"/>
        <w:rPr>
          <w:rFonts w:hint="default" w:ascii="Arial" w:hAnsi="Arial" w:cs="Arial"/>
          <w:bCs/>
          <w:color w:val="auto"/>
          <w:szCs w:val="21"/>
          <w:highlight w:val="none"/>
        </w:rPr>
      </w:pPr>
    </w:p>
    <w:p>
      <w:pPr>
        <w:spacing w:line="360" w:lineRule="auto"/>
        <w:jc w:val="center"/>
        <w:rPr>
          <w:rFonts w:hint="default" w:ascii="Arial" w:hAnsi="Arial" w:cs="Arial"/>
          <w:b/>
          <w:bCs/>
          <w:color w:val="auto"/>
          <w:szCs w:val="21"/>
          <w:highlight w:val="none"/>
        </w:rPr>
      </w:pPr>
      <w:r>
        <w:rPr>
          <w:rFonts w:hint="default" w:ascii="Arial" w:hAnsi="Arial" w:cs="Arial"/>
          <w:b/>
          <w:bCs/>
          <w:color w:val="auto"/>
          <w:szCs w:val="21"/>
          <w:highlight w:val="none"/>
        </w:rPr>
        <w:t>投 标 文 件</w:t>
      </w:r>
    </w:p>
    <w:p>
      <w:pPr>
        <w:spacing w:line="360" w:lineRule="auto"/>
        <w:rPr>
          <w:rFonts w:hint="default" w:ascii="Arial" w:hAnsi="Arial" w:cs="Arial"/>
          <w:bCs/>
          <w:color w:val="auto"/>
          <w:szCs w:val="21"/>
          <w:highlight w:val="none"/>
        </w:rPr>
      </w:pPr>
    </w:p>
    <w:p>
      <w:pPr>
        <w:spacing w:line="360" w:lineRule="auto"/>
        <w:rPr>
          <w:rFonts w:hint="default" w:ascii="Arial" w:hAnsi="Arial" w:cs="Arial"/>
          <w:bCs/>
          <w:color w:val="auto"/>
          <w:szCs w:val="21"/>
          <w:highlight w:val="none"/>
        </w:rPr>
      </w:pP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 xml:space="preserve">项目名称：        </w:t>
      </w: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 xml:space="preserve">项目编号： </w:t>
      </w: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投标文件名称：资格证明文件/报价文件/技术商务文件</w:t>
      </w:r>
    </w:p>
    <w:p>
      <w:pPr>
        <w:pStyle w:val="9"/>
        <w:spacing w:line="360" w:lineRule="auto"/>
        <w:ind w:firstLine="0"/>
        <w:rPr>
          <w:rFonts w:hint="default" w:ascii="Arial" w:hAnsi="Arial" w:cs="Arial"/>
          <w:bCs/>
          <w:color w:val="auto"/>
          <w:szCs w:val="21"/>
          <w:highlight w:val="none"/>
        </w:rPr>
      </w:pPr>
      <w:r>
        <w:rPr>
          <w:rFonts w:hint="default" w:ascii="Arial" w:hAnsi="Arial" w:cs="Arial"/>
          <w:bCs/>
          <w:color w:val="auto"/>
          <w:szCs w:val="21"/>
          <w:highlight w:val="none"/>
        </w:rPr>
        <w:t>投标人名称：</w:t>
      </w:r>
    </w:p>
    <w:p>
      <w:pPr>
        <w:pStyle w:val="9"/>
        <w:spacing w:line="360" w:lineRule="auto"/>
        <w:ind w:firstLine="0"/>
        <w:rPr>
          <w:rFonts w:hint="default" w:ascii="Arial" w:hAnsi="Arial" w:cs="Arial"/>
          <w:bCs/>
          <w:color w:val="auto"/>
          <w:szCs w:val="21"/>
          <w:highlight w:val="none"/>
        </w:rPr>
      </w:pPr>
      <w:r>
        <w:rPr>
          <w:rFonts w:hint="default" w:ascii="Arial" w:hAnsi="Arial" w:cs="Arial"/>
          <w:bCs/>
          <w:color w:val="auto"/>
          <w:szCs w:val="21"/>
          <w:highlight w:val="none"/>
        </w:rPr>
        <w:t>投标人地址：</w:t>
      </w:r>
    </w:p>
    <w:p>
      <w:pPr>
        <w:pStyle w:val="9"/>
        <w:spacing w:line="360" w:lineRule="auto"/>
        <w:ind w:firstLine="0"/>
        <w:rPr>
          <w:rFonts w:hint="default" w:ascii="Arial" w:hAnsi="Arial" w:cs="Arial"/>
          <w:bCs/>
          <w:color w:val="auto"/>
          <w:szCs w:val="21"/>
          <w:highlight w:val="none"/>
        </w:rPr>
      </w:pPr>
      <w:r>
        <w:rPr>
          <w:rFonts w:hint="default" w:ascii="Arial" w:hAnsi="Arial" w:cs="Arial"/>
          <w:bCs/>
          <w:color w:val="auto"/>
          <w:szCs w:val="21"/>
          <w:highlight w:val="none"/>
        </w:rPr>
        <w:t>法定代表人或授权代表（签字或盖章）</w:t>
      </w:r>
    </w:p>
    <w:p>
      <w:pPr>
        <w:pStyle w:val="9"/>
        <w:spacing w:line="360" w:lineRule="auto"/>
        <w:ind w:firstLine="1785" w:firstLineChars="850"/>
        <w:rPr>
          <w:rFonts w:hint="default" w:ascii="Arial" w:hAnsi="Arial" w:cs="Arial"/>
          <w:bCs/>
          <w:color w:val="auto"/>
          <w:szCs w:val="21"/>
          <w:highlight w:val="none"/>
        </w:rPr>
      </w:pPr>
      <w:r>
        <w:rPr>
          <w:rFonts w:hint="default" w:ascii="Arial" w:hAnsi="Arial" w:cs="Arial"/>
          <w:color w:val="auto"/>
          <w:szCs w:val="21"/>
          <w:highlight w:val="none"/>
        </w:rPr>
        <w:t xml:space="preserve">                开标时启封</w:t>
      </w:r>
    </w:p>
    <w:p>
      <w:pPr>
        <w:spacing w:line="360" w:lineRule="auto"/>
        <w:ind w:firstLine="3570" w:firstLineChars="1700"/>
        <w:rPr>
          <w:rFonts w:hint="default" w:ascii="Arial" w:hAnsi="Arial" w:cs="Arial"/>
          <w:bCs/>
          <w:color w:val="auto"/>
          <w:szCs w:val="21"/>
          <w:highlight w:val="none"/>
        </w:rPr>
      </w:pPr>
    </w:p>
    <w:p>
      <w:pPr>
        <w:spacing w:line="360" w:lineRule="auto"/>
        <w:ind w:firstLine="645"/>
        <w:jc w:val="center"/>
        <w:rPr>
          <w:rFonts w:hint="default" w:ascii="Arial" w:hAnsi="Arial" w:cs="Arial"/>
          <w:bCs/>
          <w:color w:val="auto"/>
          <w:szCs w:val="21"/>
          <w:highlight w:val="none"/>
        </w:rPr>
      </w:pPr>
      <w:r>
        <w:rPr>
          <w:rFonts w:hint="default" w:ascii="Arial" w:hAnsi="Arial" w:cs="Arial"/>
          <w:bCs/>
          <w:color w:val="auto"/>
          <w:szCs w:val="21"/>
          <w:highlight w:val="none"/>
        </w:rPr>
        <w:t xml:space="preserve">                        年  月  日</w:t>
      </w:r>
    </w:p>
    <w:p>
      <w:pPr>
        <w:spacing w:line="360" w:lineRule="auto"/>
        <w:jc w:val="center"/>
        <w:outlineLvl w:val="1"/>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p>
    <w:p>
      <w:pPr>
        <w:spacing w:line="360" w:lineRule="auto"/>
        <w:rPr>
          <w:rFonts w:hint="default" w:ascii="Arial" w:hAnsi="Arial" w:cs="Arial"/>
          <w:color w:val="auto"/>
          <w:szCs w:val="21"/>
          <w:highlight w:val="none"/>
        </w:rPr>
      </w:pPr>
      <w:r>
        <w:rPr>
          <w:rFonts w:hint="default" w:ascii="Arial" w:hAnsi="Arial" w:cs="Arial"/>
          <w:color w:val="auto"/>
          <w:szCs w:val="21"/>
          <w:highlight w:val="none"/>
        </w:rPr>
        <w:t>2.封面格式：（可选用）</w:t>
      </w:r>
    </w:p>
    <w:p>
      <w:pPr>
        <w:spacing w:line="360" w:lineRule="auto"/>
        <w:rPr>
          <w:rFonts w:hint="default" w:ascii="Arial" w:hAnsi="Arial" w:cs="Arial"/>
          <w:b/>
          <w:bCs/>
          <w:color w:val="auto"/>
          <w:szCs w:val="21"/>
          <w:highlight w:val="none"/>
        </w:rPr>
      </w:pPr>
      <w:r>
        <w:rPr>
          <w:rFonts w:hint="default" w:ascii="Arial" w:hAnsi="Arial" w:cs="Arial"/>
          <w:color w:val="auto"/>
          <w:szCs w:val="21"/>
          <w:highlight w:val="none"/>
        </w:rPr>
        <w:t xml:space="preserve">                                                    </w:t>
      </w:r>
      <w:r>
        <w:rPr>
          <w:rFonts w:hint="default" w:ascii="Arial" w:hAnsi="Arial" w:cs="Arial"/>
          <w:b/>
          <w:bCs/>
          <w:color w:val="auto"/>
          <w:szCs w:val="21"/>
          <w:highlight w:val="none"/>
        </w:rPr>
        <w:t>正本/或副本</w:t>
      </w:r>
    </w:p>
    <w:p>
      <w:pPr>
        <w:spacing w:line="360" w:lineRule="auto"/>
        <w:rPr>
          <w:rFonts w:hint="default" w:ascii="Arial" w:hAnsi="Arial" w:cs="Arial"/>
          <w:bCs/>
          <w:color w:val="auto"/>
          <w:szCs w:val="21"/>
          <w:highlight w:val="none"/>
        </w:rPr>
      </w:pPr>
    </w:p>
    <w:p>
      <w:pPr>
        <w:spacing w:line="360" w:lineRule="auto"/>
        <w:jc w:val="center"/>
        <w:rPr>
          <w:rFonts w:hint="default" w:ascii="Arial" w:hAnsi="Arial" w:cs="Arial"/>
          <w:bCs/>
          <w:color w:val="auto"/>
          <w:szCs w:val="21"/>
          <w:highlight w:val="none"/>
        </w:rPr>
      </w:pPr>
      <w:r>
        <w:rPr>
          <w:rFonts w:hint="default" w:ascii="Arial" w:hAnsi="Arial" w:cs="Arial"/>
          <w:b/>
          <w:bCs/>
          <w:color w:val="auto"/>
          <w:szCs w:val="21"/>
          <w:highlight w:val="none"/>
        </w:rPr>
        <w:t>投 标 文 件</w:t>
      </w:r>
    </w:p>
    <w:p>
      <w:pPr>
        <w:spacing w:line="360" w:lineRule="auto"/>
        <w:rPr>
          <w:rFonts w:hint="default" w:ascii="Arial" w:hAnsi="Arial" w:cs="Arial"/>
          <w:bCs/>
          <w:color w:val="auto"/>
          <w:szCs w:val="21"/>
          <w:highlight w:val="none"/>
        </w:rPr>
      </w:pP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 xml:space="preserve">项目名称： </w:t>
      </w: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 xml:space="preserve">项目编号：  </w:t>
      </w: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投标文件名称：资格证明文件/报价文件/技术商务文件</w:t>
      </w:r>
    </w:p>
    <w:p>
      <w:pPr>
        <w:spacing w:line="360" w:lineRule="auto"/>
        <w:rPr>
          <w:rFonts w:hint="default" w:ascii="Arial" w:hAnsi="Arial" w:cs="Arial"/>
          <w:bCs/>
          <w:color w:val="auto"/>
          <w:szCs w:val="21"/>
          <w:highlight w:val="none"/>
        </w:rPr>
      </w:pPr>
      <w:r>
        <w:rPr>
          <w:rFonts w:hint="default" w:ascii="Arial" w:hAnsi="Arial" w:cs="Arial"/>
          <w:bCs/>
          <w:color w:val="auto"/>
          <w:szCs w:val="21"/>
          <w:highlight w:val="none"/>
        </w:rPr>
        <w:t>投标人名称：</w:t>
      </w:r>
    </w:p>
    <w:p>
      <w:pPr>
        <w:pStyle w:val="9"/>
        <w:spacing w:line="360" w:lineRule="auto"/>
        <w:ind w:firstLine="0"/>
        <w:rPr>
          <w:rFonts w:hint="default" w:ascii="Arial" w:hAnsi="Arial" w:cs="Arial"/>
          <w:bCs/>
          <w:color w:val="auto"/>
          <w:szCs w:val="21"/>
          <w:highlight w:val="none"/>
        </w:rPr>
      </w:pPr>
      <w:r>
        <w:rPr>
          <w:rFonts w:hint="default" w:ascii="Arial" w:hAnsi="Arial" w:cs="Arial"/>
          <w:bCs/>
          <w:color w:val="auto"/>
          <w:szCs w:val="21"/>
          <w:highlight w:val="none"/>
        </w:rPr>
        <w:t>投标人地址：</w:t>
      </w:r>
    </w:p>
    <w:p>
      <w:pPr>
        <w:pStyle w:val="9"/>
        <w:spacing w:line="360" w:lineRule="auto"/>
        <w:ind w:firstLine="0"/>
        <w:rPr>
          <w:rFonts w:hint="default" w:ascii="Arial" w:hAnsi="Arial" w:cs="Arial"/>
          <w:bCs/>
          <w:color w:val="auto"/>
          <w:szCs w:val="21"/>
          <w:highlight w:val="none"/>
        </w:rPr>
      </w:pPr>
      <w:r>
        <w:rPr>
          <w:rFonts w:hint="default" w:ascii="Arial" w:hAnsi="Arial" w:cs="Arial"/>
          <w:bCs/>
          <w:color w:val="auto"/>
          <w:szCs w:val="21"/>
          <w:highlight w:val="none"/>
        </w:rPr>
        <w:t>法定代表人或授权代表（签字或盖章）</w:t>
      </w:r>
    </w:p>
    <w:p>
      <w:pPr>
        <w:pStyle w:val="9"/>
        <w:spacing w:line="360" w:lineRule="auto"/>
        <w:ind w:firstLine="873" w:firstLineChars="416"/>
        <w:rPr>
          <w:rFonts w:hint="default" w:ascii="Arial" w:hAnsi="Arial" w:cs="Arial"/>
          <w:color w:val="auto"/>
          <w:szCs w:val="21"/>
          <w:highlight w:val="none"/>
        </w:rPr>
      </w:pPr>
    </w:p>
    <w:p>
      <w:pPr>
        <w:spacing w:line="360" w:lineRule="auto"/>
        <w:ind w:firstLine="645"/>
        <w:jc w:val="center"/>
        <w:rPr>
          <w:rFonts w:hint="default" w:ascii="Arial" w:hAnsi="Arial" w:cs="Arial"/>
          <w:color w:val="auto"/>
          <w:highlight w:val="none"/>
        </w:rPr>
      </w:pPr>
      <w:r>
        <w:rPr>
          <w:rFonts w:hint="default" w:ascii="Arial" w:hAnsi="Arial" w:cs="Arial"/>
          <w:color w:val="auto"/>
          <w:szCs w:val="21"/>
          <w:highlight w:val="none"/>
        </w:rPr>
        <w:t xml:space="preserve">                        年  月  日</w:t>
      </w:r>
    </w:p>
    <w:p>
      <w:pPr>
        <w:pStyle w:val="5"/>
        <w:spacing w:before="0" w:after="0" w:line="240" w:lineRule="auto"/>
        <w:ind w:right="-567"/>
        <w:jc w:val="center"/>
        <w:rPr>
          <w:rFonts w:hint="default" w:ascii="Arial" w:hAnsi="Arial" w:cs="Arial"/>
          <w:color w:val="auto"/>
          <w:highlight w:val="none"/>
        </w:rPr>
      </w:pPr>
      <w:bookmarkStart w:id="195" w:name="_Toc97372565"/>
      <w:r>
        <w:rPr>
          <w:rFonts w:hint="default" w:ascii="Arial" w:hAnsi="Arial" w:eastAsia="宋体" w:cs="Arial"/>
          <w:b w:val="0"/>
          <w:color w:val="auto"/>
          <w:sz w:val="18"/>
          <w:szCs w:val="18"/>
          <w:highlight w:val="none"/>
        </w:rPr>
        <w:br w:type="page"/>
      </w:r>
      <w:bookmarkEnd w:id="195"/>
      <w:bookmarkStart w:id="196" w:name="_Toc496003216"/>
      <w:bookmarkStart w:id="197" w:name="_Toc50910829"/>
      <w:bookmarkStart w:id="198" w:name="_Toc505353794"/>
      <w:bookmarkStart w:id="199" w:name="_Toc498429649"/>
      <w:r>
        <w:rPr>
          <w:rFonts w:hint="default" w:ascii="Arial" w:hAnsi="Arial" w:eastAsia="宋体" w:cs="Arial"/>
          <w:color w:val="auto"/>
          <w:kern w:val="44"/>
          <w:highlight w:val="none"/>
        </w:rPr>
        <w:t>一、投标函</w:t>
      </w:r>
      <w:bookmarkEnd w:id="196"/>
      <w:bookmarkEnd w:id="197"/>
      <w:bookmarkEnd w:id="198"/>
      <w:bookmarkEnd w:id="199"/>
    </w:p>
    <w:p>
      <w:pPr>
        <w:spacing w:line="360" w:lineRule="exact"/>
        <w:rPr>
          <w:rFonts w:hint="default" w:ascii="Arial" w:hAnsi="Arial" w:cs="Arial"/>
          <w:color w:val="auto"/>
          <w:w w:val="80"/>
          <w:sz w:val="22"/>
          <w:szCs w:val="22"/>
          <w:highlight w:val="none"/>
        </w:rPr>
      </w:pPr>
    </w:p>
    <w:p>
      <w:pPr>
        <w:pStyle w:val="3"/>
        <w:spacing w:line="360" w:lineRule="auto"/>
        <w:ind w:firstLine="0"/>
        <w:contextualSpacing/>
        <w:rPr>
          <w:rFonts w:hint="default" w:ascii="Arial" w:hAnsi="Arial" w:cs="Arial"/>
          <w:color w:val="auto"/>
          <w:sz w:val="22"/>
          <w:szCs w:val="22"/>
          <w:highlight w:val="none"/>
          <w:u w:val="single"/>
        </w:rPr>
      </w:pPr>
      <w:r>
        <w:rPr>
          <w:rFonts w:hint="default" w:ascii="Arial" w:hAnsi="Arial" w:cs="Arial"/>
          <w:color w:val="auto"/>
          <w:sz w:val="22"/>
          <w:szCs w:val="22"/>
          <w:highlight w:val="none"/>
        </w:rPr>
        <w:t xml:space="preserve">致： </w:t>
      </w:r>
      <w:r>
        <w:rPr>
          <w:rFonts w:hint="default" w:ascii="Arial" w:hAnsi="Arial" w:cs="Arial"/>
          <w:color w:val="auto"/>
          <w:sz w:val="22"/>
          <w:szCs w:val="22"/>
          <w:highlight w:val="none"/>
          <w:u w:val="single"/>
        </w:rPr>
        <w:t xml:space="preserve">  （采购人）   </w:t>
      </w:r>
    </w:p>
    <w:p>
      <w:pPr>
        <w:pStyle w:val="3"/>
        <w:spacing w:line="360" w:lineRule="auto"/>
        <w:ind w:firstLine="490"/>
        <w:contextualSpacing/>
        <w:rPr>
          <w:rFonts w:hint="default" w:ascii="Arial" w:hAnsi="Arial" w:cs="Arial"/>
          <w:color w:val="auto"/>
          <w:sz w:val="22"/>
          <w:szCs w:val="22"/>
          <w:highlight w:val="none"/>
          <w:u w:val="single"/>
        </w:rPr>
      </w:pPr>
      <w:r>
        <w:rPr>
          <w:rFonts w:hint="default" w:ascii="Arial" w:hAnsi="Arial" w:cs="Arial"/>
          <w:color w:val="auto"/>
          <w:sz w:val="22"/>
          <w:szCs w:val="22"/>
          <w:highlight w:val="none"/>
          <w:u w:val="single"/>
        </w:rPr>
        <w:t>（投标人全称）</w:t>
      </w:r>
      <w:r>
        <w:rPr>
          <w:rFonts w:hint="default" w:ascii="Arial" w:hAnsi="Arial" w:cs="Arial"/>
          <w:color w:val="auto"/>
          <w:sz w:val="22"/>
          <w:szCs w:val="22"/>
          <w:highlight w:val="none"/>
        </w:rPr>
        <w:t>授权</w:t>
      </w:r>
      <w:r>
        <w:rPr>
          <w:rFonts w:hint="default" w:ascii="Arial" w:hAnsi="Arial" w:cs="Arial"/>
          <w:color w:val="auto"/>
          <w:sz w:val="22"/>
          <w:szCs w:val="22"/>
          <w:highlight w:val="none"/>
          <w:u w:val="single"/>
        </w:rPr>
        <w:t>（全权代表姓名、职务）</w:t>
      </w:r>
      <w:r>
        <w:rPr>
          <w:rFonts w:hint="default" w:ascii="Arial" w:hAnsi="Arial" w:cs="Arial"/>
          <w:color w:val="auto"/>
          <w:sz w:val="22"/>
          <w:szCs w:val="22"/>
          <w:highlight w:val="none"/>
        </w:rPr>
        <w:t>为本公司合法代理人，参加贵方组织的</w:t>
      </w:r>
      <w:r>
        <w:rPr>
          <w:rFonts w:hint="default" w:ascii="Arial" w:hAnsi="Arial" w:cs="Arial"/>
          <w:color w:val="auto"/>
          <w:sz w:val="22"/>
          <w:szCs w:val="22"/>
          <w:highlight w:val="none"/>
          <w:u w:val="single"/>
        </w:rPr>
        <w:t>（项目编号、采购项目名称）</w:t>
      </w:r>
      <w:r>
        <w:rPr>
          <w:rFonts w:hint="default" w:ascii="Arial" w:hAnsi="Arial" w:cs="Arial"/>
          <w:color w:val="auto"/>
          <w:sz w:val="22"/>
          <w:szCs w:val="22"/>
          <w:highlight w:val="none"/>
        </w:rPr>
        <w:t>招投标活动，代表本公司处理招投标活动中的一切事宜。在此：</w:t>
      </w:r>
    </w:p>
    <w:p>
      <w:pPr>
        <w:pStyle w:val="3"/>
        <w:tabs>
          <w:tab w:val="left" w:pos="426"/>
        </w:tabs>
        <w:spacing w:line="360" w:lineRule="auto"/>
        <w:ind w:firstLine="0"/>
        <w:contextualSpacing/>
        <w:rPr>
          <w:rFonts w:hint="default" w:ascii="Arial" w:hAnsi="Arial" w:cs="Arial"/>
          <w:color w:val="auto"/>
          <w:sz w:val="22"/>
          <w:szCs w:val="22"/>
          <w:highlight w:val="none"/>
        </w:rPr>
      </w:pPr>
      <w:r>
        <w:rPr>
          <w:rFonts w:hint="default" w:ascii="Arial" w:hAnsi="Arial" w:cs="Arial"/>
          <w:color w:val="auto"/>
          <w:sz w:val="22"/>
          <w:szCs w:val="22"/>
          <w:highlight w:val="none"/>
        </w:rPr>
        <w:t>1、提供采购文件中“投标须知”规定的全部投标文件资料。</w:t>
      </w:r>
    </w:p>
    <w:p>
      <w:pPr>
        <w:pStyle w:val="3"/>
        <w:tabs>
          <w:tab w:val="left" w:pos="426"/>
        </w:tabs>
        <w:spacing w:line="360" w:lineRule="auto"/>
        <w:ind w:firstLine="0"/>
        <w:contextualSpacing/>
        <w:rPr>
          <w:rFonts w:hint="default" w:ascii="Arial" w:hAnsi="Arial" w:cs="Arial"/>
          <w:color w:val="auto"/>
          <w:sz w:val="22"/>
          <w:szCs w:val="22"/>
          <w:highlight w:val="none"/>
        </w:rPr>
      </w:pPr>
      <w:r>
        <w:rPr>
          <w:rFonts w:hint="default" w:ascii="Arial" w:hAnsi="Arial" w:cs="Arial"/>
          <w:color w:val="auto"/>
          <w:sz w:val="22"/>
          <w:szCs w:val="22"/>
          <w:highlight w:val="none"/>
        </w:rPr>
        <w:t>2、据此函，签字代表宣布并承诺如下：</w:t>
      </w:r>
    </w:p>
    <w:p>
      <w:pPr>
        <w:pStyle w:val="3"/>
        <w:spacing w:line="360" w:lineRule="auto"/>
        <w:ind w:firstLine="220" w:firstLineChars="100"/>
        <w:contextualSpacing/>
        <w:rPr>
          <w:rFonts w:hint="default" w:ascii="Arial" w:hAnsi="Arial" w:cs="Arial"/>
          <w:color w:val="auto"/>
          <w:sz w:val="22"/>
          <w:szCs w:val="22"/>
          <w:highlight w:val="none"/>
        </w:rPr>
      </w:pPr>
      <w:r>
        <w:rPr>
          <w:rFonts w:hint="default" w:ascii="Arial" w:hAnsi="Arial" w:cs="Arial"/>
          <w:color w:val="auto"/>
          <w:sz w:val="22"/>
          <w:szCs w:val="22"/>
          <w:highlight w:val="none"/>
        </w:rPr>
        <w:t>（1）我们已详细审查全部“采购文件”，包括修改文件（如有）以及全部参考资料和有关附件，我们完全理解并同意放弃对这方面提出任何异议的权利。已经了解对于采购文件、采购过程、采购结果有依法进行询问、质疑、投诉的权利及相关渠道和要求。</w:t>
      </w:r>
    </w:p>
    <w:p>
      <w:pPr>
        <w:pStyle w:val="3"/>
        <w:spacing w:line="360" w:lineRule="auto"/>
        <w:ind w:firstLine="220" w:firstLineChars="100"/>
        <w:contextualSpacing/>
        <w:rPr>
          <w:rFonts w:hint="default" w:ascii="Arial" w:hAnsi="Arial" w:cs="Arial"/>
          <w:color w:val="auto"/>
          <w:sz w:val="22"/>
          <w:szCs w:val="22"/>
          <w:highlight w:val="none"/>
        </w:rPr>
      </w:pPr>
      <w:r>
        <w:rPr>
          <w:rFonts w:hint="default" w:ascii="Arial" w:hAnsi="Arial" w:cs="Arial"/>
          <w:color w:val="auto"/>
          <w:sz w:val="22"/>
          <w:szCs w:val="22"/>
          <w:highlight w:val="none"/>
        </w:rPr>
        <w:t>（2）本投标自开标之日起</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天内有效。</w:t>
      </w:r>
    </w:p>
    <w:p>
      <w:pPr>
        <w:pStyle w:val="3"/>
        <w:spacing w:line="360" w:lineRule="auto"/>
        <w:ind w:firstLine="220" w:firstLineChars="100"/>
        <w:contextualSpacing/>
        <w:rPr>
          <w:rFonts w:hint="default" w:ascii="Arial" w:hAnsi="Arial" w:cs="Arial"/>
          <w:color w:val="auto"/>
          <w:sz w:val="22"/>
          <w:szCs w:val="22"/>
          <w:highlight w:val="none"/>
        </w:rPr>
      </w:pPr>
      <w:r>
        <w:rPr>
          <w:rFonts w:hint="default" w:ascii="Arial" w:hAnsi="Arial" w:cs="Arial"/>
          <w:color w:val="auto"/>
          <w:sz w:val="22"/>
          <w:szCs w:val="22"/>
          <w:highlight w:val="none"/>
        </w:rPr>
        <w:t>（3）保证遵守采购文件有关条款规定。</w:t>
      </w:r>
    </w:p>
    <w:p>
      <w:pPr>
        <w:pStyle w:val="3"/>
        <w:spacing w:line="360" w:lineRule="auto"/>
        <w:ind w:firstLine="220" w:firstLineChars="100"/>
        <w:contextualSpacing/>
        <w:rPr>
          <w:rFonts w:hint="default" w:ascii="Arial" w:hAnsi="Arial" w:cs="Arial"/>
          <w:color w:val="auto"/>
          <w:sz w:val="22"/>
          <w:szCs w:val="22"/>
          <w:highlight w:val="none"/>
        </w:rPr>
      </w:pPr>
      <w:r>
        <w:rPr>
          <w:rFonts w:hint="default" w:ascii="Arial" w:hAnsi="Arial" w:cs="Arial"/>
          <w:color w:val="auto"/>
          <w:sz w:val="22"/>
          <w:szCs w:val="22"/>
          <w:highlight w:val="none"/>
        </w:rPr>
        <w:t>（4）保证在中标后忠实地执行与采购人所签署的合同，并承担合同规定的责任义务。保证在中标后按照采购文件的规定支付招标代理服务费。</w:t>
      </w:r>
    </w:p>
    <w:p>
      <w:pPr>
        <w:pStyle w:val="3"/>
        <w:spacing w:line="360" w:lineRule="auto"/>
        <w:ind w:firstLine="220" w:firstLineChars="100"/>
        <w:contextualSpacing/>
        <w:rPr>
          <w:rFonts w:hint="default" w:ascii="Arial" w:hAnsi="Arial" w:cs="Arial"/>
          <w:color w:val="auto"/>
          <w:sz w:val="22"/>
          <w:szCs w:val="22"/>
          <w:highlight w:val="none"/>
        </w:rPr>
      </w:pPr>
      <w:r>
        <w:rPr>
          <w:rFonts w:hint="default" w:ascii="Arial" w:hAnsi="Arial" w:cs="Arial"/>
          <w:color w:val="auto"/>
          <w:sz w:val="22"/>
          <w:szCs w:val="22"/>
          <w:highlight w:val="none"/>
        </w:rPr>
        <w:t>（5）承诺应贵方要求提供任何与该项目投标有关的数据、情况和技术资料。</w:t>
      </w:r>
    </w:p>
    <w:p>
      <w:pPr>
        <w:pStyle w:val="3"/>
        <w:tabs>
          <w:tab w:val="left" w:pos="426"/>
        </w:tabs>
        <w:spacing w:line="360" w:lineRule="auto"/>
        <w:ind w:firstLine="0"/>
        <w:contextualSpacing/>
        <w:rPr>
          <w:rFonts w:hint="default" w:ascii="Arial" w:hAnsi="Arial" w:cs="Arial"/>
          <w:color w:val="auto"/>
          <w:sz w:val="22"/>
          <w:szCs w:val="22"/>
          <w:highlight w:val="none"/>
        </w:rPr>
      </w:pPr>
      <w:r>
        <w:rPr>
          <w:rFonts w:hint="default" w:ascii="Arial" w:hAnsi="Arial" w:cs="Arial"/>
          <w:color w:val="auto"/>
          <w:sz w:val="22"/>
          <w:szCs w:val="22"/>
          <w:highlight w:val="none"/>
        </w:rPr>
        <w:t>3、与本投标有关的一切往来通讯请寄：</w:t>
      </w:r>
    </w:p>
    <w:p>
      <w:pPr>
        <w:pStyle w:val="3"/>
        <w:spacing w:line="360" w:lineRule="auto"/>
        <w:ind w:left="480" w:firstLine="0"/>
        <w:contextualSpacing/>
        <w:rPr>
          <w:rFonts w:hint="default" w:ascii="Arial" w:hAnsi="Arial" w:cs="Arial"/>
          <w:color w:val="auto"/>
          <w:sz w:val="22"/>
          <w:szCs w:val="22"/>
          <w:highlight w:val="none"/>
          <w:u w:val="single"/>
        </w:rPr>
      </w:pPr>
      <w:r>
        <w:rPr>
          <w:rFonts w:hint="default" w:ascii="Arial" w:hAnsi="Arial" w:cs="Arial"/>
          <w:color w:val="auto"/>
          <w:sz w:val="22"/>
          <w:szCs w:val="22"/>
          <w:highlight w:val="none"/>
        </w:rPr>
        <w:t>地址：</w:t>
      </w:r>
      <w:r>
        <w:rPr>
          <w:rFonts w:hint="default" w:ascii="Arial" w:hAnsi="Arial" w:cs="Arial"/>
          <w:color w:val="auto"/>
          <w:sz w:val="22"/>
          <w:szCs w:val="22"/>
          <w:highlight w:val="none"/>
          <w:u w:val="single"/>
        </w:rPr>
        <w:t xml:space="preserve">                                 </w:t>
      </w:r>
    </w:p>
    <w:p>
      <w:pPr>
        <w:pStyle w:val="3"/>
        <w:spacing w:line="360" w:lineRule="auto"/>
        <w:ind w:left="480" w:firstLine="0"/>
        <w:contextualSpacing/>
        <w:rPr>
          <w:rFonts w:hint="default" w:ascii="Arial" w:hAnsi="Arial" w:cs="Arial"/>
          <w:color w:val="auto"/>
          <w:sz w:val="22"/>
          <w:szCs w:val="22"/>
          <w:highlight w:val="none"/>
          <w:u w:val="single"/>
        </w:rPr>
      </w:pPr>
      <w:r>
        <w:rPr>
          <w:rFonts w:hint="default" w:ascii="Arial" w:hAnsi="Arial" w:cs="Arial"/>
          <w:color w:val="auto"/>
          <w:sz w:val="22"/>
          <w:szCs w:val="22"/>
          <w:highlight w:val="none"/>
        </w:rPr>
        <w:t>邮编：</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 xml:space="preserve">    电话：</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 xml:space="preserve">    传真：</w:t>
      </w:r>
      <w:r>
        <w:rPr>
          <w:rFonts w:hint="default" w:ascii="Arial" w:hAnsi="Arial" w:cs="Arial"/>
          <w:color w:val="auto"/>
          <w:sz w:val="22"/>
          <w:szCs w:val="22"/>
          <w:highlight w:val="none"/>
          <w:u w:val="single"/>
        </w:rPr>
        <w:t xml:space="preserve">         </w:t>
      </w:r>
    </w:p>
    <w:p>
      <w:pPr>
        <w:pStyle w:val="3"/>
        <w:spacing w:line="360" w:lineRule="auto"/>
        <w:ind w:firstLine="0"/>
        <w:contextualSpacing/>
        <w:rPr>
          <w:rFonts w:hint="default" w:ascii="Arial" w:hAnsi="Arial" w:cs="Arial"/>
          <w:color w:val="auto"/>
          <w:sz w:val="22"/>
          <w:szCs w:val="22"/>
          <w:highlight w:val="none"/>
        </w:rPr>
      </w:pPr>
    </w:p>
    <w:p>
      <w:pPr>
        <w:pStyle w:val="3"/>
        <w:spacing w:line="360" w:lineRule="auto"/>
        <w:ind w:firstLine="0"/>
        <w:contextualSpacing/>
        <w:rPr>
          <w:rFonts w:hint="default" w:ascii="Arial" w:hAnsi="Arial" w:cs="Arial"/>
          <w:color w:val="auto"/>
          <w:sz w:val="22"/>
          <w:szCs w:val="22"/>
          <w:highlight w:val="none"/>
        </w:rPr>
      </w:pPr>
    </w:p>
    <w:p>
      <w:pPr>
        <w:pStyle w:val="3"/>
        <w:spacing w:line="360" w:lineRule="auto"/>
        <w:ind w:firstLine="0"/>
        <w:contextualSpacing/>
        <w:rPr>
          <w:rFonts w:hint="default" w:ascii="Arial" w:hAnsi="Arial" w:cs="Arial"/>
          <w:color w:val="auto"/>
          <w:sz w:val="22"/>
          <w:szCs w:val="22"/>
          <w:highlight w:val="none"/>
        </w:rPr>
      </w:pPr>
    </w:p>
    <w:p>
      <w:pPr>
        <w:pStyle w:val="3"/>
        <w:spacing w:line="360" w:lineRule="auto"/>
        <w:ind w:firstLine="0"/>
        <w:contextualSpacing/>
        <w:rPr>
          <w:rFonts w:hint="default" w:ascii="Arial" w:hAnsi="Arial" w:cs="Arial"/>
          <w:color w:val="auto"/>
          <w:sz w:val="22"/>
          <w:szCs w:val="22"/>
          <w:highlight w:val="none"/>
        </w:rPr>
      </w:pPr>
    </w:p>
    <w:p>
      <w:pPr>
        <w:pStyle w:val="3"/>
        <w:tabs>
          <w:tab w:val="left" w:pos="4185"/>
        </w:tabs>
        <w:spacing w:line="360" w:lineRule="auto"/>
        <w:ind w:firstLine="330" w:firstLineChars="150"/>
        <w:contextualSpacing/>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pStyle w:val="3"/>
        <w:tabs>
          <w:tab w:val="left" w:pos="4185"/>
        </w:tabs>
        <w:spacing w:line="360" w:lineRule="auto"/>
        <w:ind w:firstLine="330" w:firstLineChars="150"/>
        <w:contextualSpacing/>
        <w:rPr>
          <w:rFonts w:hint="default" w:ascii="Arial" w:hAnsi="Arial" w:cs="Arial"/>
          <w:color w:val="auto"/>
          <w:sz w:val="22"/>
          <w:szCs w:val="22"/>
          <w:highlight w:val="none"/>
        </w:rPr>
      </w:pPr>
    </w:p>
    <w:p>
      <w:pPr>
        <w:pStyle w:val="3"/>
        <w:tabs>
          <w:tab w:val="left" w:pos="4185"/>
        </w:tabs>
        <w:spacing w:line="360" w:lineRule="auto"/>
        <w:ind w:firstLine="330" w:firstLineChars="150"/>
        <w:contextualSpacing/>
        <w:rPr>
          <w:rFonts w:hint="default" w:ascii="Arial" w:hAnsi="Arial" w:cs="Arial"/>
          <w:color w:val="auto"/>
          <w:sz w:val="22"/>
          <w:szCs w:val="22"/>
          <w:highlight w:val="none"/>
        </w:rPr>
      </w:pPr>
      <w:r>
        <w:rPr>
          <w:rFonts w:hint="default" w:ascii="Arial" w:hAnsi="Arial" w:cs="Arial"/>
          <w:color w:val="auto"/>
          <w:sz w:val="22"/>
          <w:szCs w:val="22"/>
          <w:highlight w:val="none"/>
        </w:rPr>
        <w:t>法定代表人或授权代表（签字或盖章）：</w:t>
      </w:r>
    </w:p>
    <w:p>
      <w:pPr>
        <w:pStyle w:val="3"/>
        <w:tabs>
          <w:tab w:val="left" w:pos="4841"/>
        </w:tabs>
        <w:spacing w:line="360" w:lineRule="auto"/>
        <w:ind w:firstLine="0"/>
        <w:contextualSpacing/>
        <w:rPr>
          <w:rFonts w:hint="default" w:ascii="Arial" w:hAnsi="Arial" w:cs="Arial"/>
          <w:color w:val="auto"/>
          <w:sz w:val="22"/>
          <w:szCs w:val="22"/>
          <w:highlight w:val="none"/>
        </w:rPr>
      </w:pPr>
    </w:p>
    <w:p>
      <w:pPr>
        <w:widowControl/>
        <w:adjustRightInd w:val="0"/>
        <w:spacing w:line="360" w:lineRule="auto"/>
        <w:ind w:firstLine="440" w:firstLineChars="200"/>
        <w:jc w:val="left"/>
        <w:rPr>
          <w:rFonts w:hint="default" w:ascii="Arial" w:hAnsi="Arial" w:cs="Arial"/>
          <w:color w:val="auto"/>
          <w:sz w:val="22"/>
          <w:szCs w:val="22"/>
          <w:highlight w:val="none"/>
        </w:rPr>
        <w:sectPr>
          <w:footerReference r:id="rId5" w:type="first"/>
          <w:footerReference r:id="rId4" w:type="default"/>
          <w:pgSz w:w="11906" w:h="16838"/>
          <w:pgMar w:top="1134" w:right="1797" w:bottom="1560" w:left="1797" w:header="851" w:footer="851" w:gutter="0"/>
          <w:pgBorders w:offsetFrom="page">
            <w:top w:val="none" w:sz="0" w:space="0"/>
            <w:left w:val="none" w:sz="0" w:space="0"/>
            <w:bottom w:val="none" w:sz="0" w:space="0"/>
            <w:right w:val="none" w:sz="0" w:space="0"/>
          </w:pgBorders>
          <w:cols w:space="720" w:num="1"/>
          <w:titlePg/>
          <w:docGrid w:linePitch="312" w:charSpace="0"/>
        </w:sectPr>
      </w:pPr>
      <w:r>
        <w:rPr>
          <w:rFonts w:hint="default" w:ascii="Arial" w:hAnsi="Arial" w:cs="Arial"/>
          <w:color w:val="auto"/>
          <w:sz w:val="22"/>
          <w:szCs w:val="22"/>
          <w:highlight w:val="none"/>
        </w:rPr>
        <w:t>日期：</w:t>
      </w:r>
    </w:p>
    <w:p>
      <w:pPr>
        <w:pStyle w:val="3"/>
        <w:widowControl/>
        <w:spacing w:line="360" w:lineRule="auto"/>
        <w:ind w:firstLine="0"/>
        <w:jc w:val="center"/>
        <w:rPr>
          <w:rFonts w:hint="default" w:ascii="Arial" w:hAnsi="Arial" w:cs="Arial"/>
          <w:b/>
          <w:color w:val="auto"/>
          <w:sz w:val="32"/>
          <w:szCs w:val="32"/>
          <w:highlight w:val="none"/>
        </w:rPr>
      </w:pPr>
      <w:r>
        <w:rPr>
          <w:rFonts w:hint="default" w:ascii="Arial" w:hAnsi="Arial" w:cs="Arial"/>
          <w:b/>
          <w:color w:val="auto"/>
          <w:sz w:val="32"/>
          <w:szCs w:val="32"/>
          <w:highlight w:val="none"/>
        </w:rPr>
        <w:t>二、开标一览表</w:t>
      </w:r>
    </w:p>
    <w:p>
      <w:pPr>
        <w:spacing w:line="320" w:lineRule="exact"/>
        <w:jc w:val="left"/>
        <w:rPr>
          <w:rFonts w:hint="default" w:ascii="Arial" w:hAnsi="Arial" w:cs="Arial"/>
          <w:color w:val="auto"/>
          <w:highlight w:val="none"/>
        </w:rPr>
      </w:pPr>
    </w:p>
    <w:p>
      <w:pPr>
        <w:spacing w:line="320" w:lineRule="exact"/>
        <w:jc w:val="left"/>
        <w:rPr>
          <w:rFonts w:hint="default" w:ascii="Arial" w:hAnsi="Arial" w:cs="Arial"/>
          <w:color w:val="auto"/>
          <w:szCs w:val="20"/>
          <w:highlight w:val="none"/>
        </w:rPr>
      </w:pPr>
      <w:r>
        <w:rPr>
          <w:rFonts w:hint="default" w:ascii="Arial" w:hAnsi="Arial" w:cs="Arial"/>
          <w:color w:val="auto"/>
          <w:highlight w:val="none"/>
        </w:rPr>
        <w:t xml:space="preserve">项目名称：      </w:t>
      </w:r>
      <w:r>
        <w:rPr>
          <w:rFonts w:hint="eastAsia" w:ascii="Arial" w:hAnsi="Arial" w:cs="Arial"/>
          <w:color w:val="auto"/>
          <w:highlight w:val="none"/>
          <w:lang w:val="en-US" w:eastAsia="zh-CN"/>
        </w:rPr>
        <w:t xml:space="preserve">      </w:t>
      </w:r>
      <w:r>
        <w:rPr>
          <w:rFonts w:hint="default" w:ascii="Arial" w:hAnsi="Arial" w:cs="Arial"/>
          <w:color w:val="auto"/>
          <w:highlight w:val="none"/>
        </w:rPr>
        <w:t>项目编号：</w:t>
      </w:r>
    </w:p>
    <w:p>
      <w:pPr>
        <w:spacing w:line="460" w:lineRule="exact"/>
        <w:rPr>
          <w:rFonts w:hint="default" w:ascii="Arial" w:hAnsi="Arial" w:cs="Arial"/>
          <w:color w:val="auto"/>
          <w:szCs w:val="20"/>
          <w:highlight w:val="none"/>
        </w:rPr>
      </w:pPr>
      <w:r>
        <w:rPr>
          <w:rFonts w:hint="default" w:ascii="Arial" w:hAnsi="Arial" w:cs="Arial"/>
          <w:color w:val="auto"/>
          <w:szCs w:val="20"/>
          <w:highlight w:val="none"/>
        </w:rPr>
        <w:t xml:space="preserve">                                                                        单位：元</w:t>
      </w:r>
    </w:p>
    <w:tbl>
      <w:tblPr>
        <w:tblStyle w:val="46"/>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3"/>
        <w:gridCol w:w="1609"/>
        <w:gridCol w:w="4783"/>
        <w:gridCol w:w="16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Arial" w:hAnsi="Arial" w:cs="Arial"/>
                <w:bCs/>
                <w:color w:val="auto"/>
                <w:szCs w:val="20"/>
                <w:highlight w:val="none"/>
              </w:rPr>
            </w:pPr>
            <w:r>
              <w:rPr>
                <w:rFonts w:hint="default" w:ascii="Arial" w:hAnsi="Arial" w:cs="Arial"/>
                <w:bCs/>
                <w:color w:val="auto"/>
                <w:szCs w:val="20"/>
                <w:highlight w:val="none"/>
              </w:rPr>
              <w:t>标项</w:t>
            </w:r>
          </w:p>
        </w:tc>
        <w:tc>
          <w:tcPr>
            <w:tcW w:w="160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Arial" w:hAnsi="Arial" w:cs="Arial"/>
                <w:bCs/>
                <w:color w:val="auto"/>
                <w:szCs w:val="20"/>
                <w:highlight w:val="none"/>
              </w:rPr>
            </w:pPr>
            <w:r>
              <w:rPr>
                <w:rFonts w:hint="default" w:ascii="Arial" w:hAnsi="Arial" w:cs="Arial"/>
                <w:bCs/>
                <w:color w:val="auto"/>
                <w:szCs w:val="20"/>
                <w:highlight w:val="none"/>
              </w:rPr>
              <w:t>投标项目</w:t>
            </w:r>
          </w:p>
        </w:tc>
        <w:tc>
          <w:tcPr>
            <w:tcW w:w="47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Arial" w:hAnsi="Arial" w:cs="Arial"/>
                <w:bCs/>
                <w:color w:val="auto"/>
                <w:szCs w:val="20"/>
                <w:highlight w:val="none"/>
              </w:rPr>
            </w:pPr>
            <w:r>
              <w:rPr>
                <w:rFonts w:hint="default" w:ascii="Arial" w:hAnsi="Arial" w:cs="Arial"/>
                <w:bCs/>
                <w:color w:val="auto"/>
                <w:szCs w:val="20"/>
                <w:highlight w:val="none"/>
              </w:rPr>
              <w:t>投标金额（元）</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Arial" w:hAnsi="Arial" w:cs="Arial"/>
                <w:bCs/>
                <w:color w:val="auto"/>
                <w:szCs w:val="20"/>
                <w:highlight w:val="none"/>
              </w:rPr>
            </w:pPr>
            <w:r>
              <w:rPr>
                <w:rFonts w:hint="default" w:ascii="Arial" w:hAnsi="Arial" w:cs="Arial"/>
                <w:bCs/>
                <w:color w:val="auto"/>
                <w:szCs w:val="20"/>
                <w:highlight w:val="none"/>
              </w:rPr>
              <w:t>供货期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6" w:hRule="atLeast"/>
        </w:trPr>
        <w:tc>
          <w:tcPr>
            <w:tcW w:w="993"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default" w:ascii="Arial" w:hAnsi="Arial" w:cs="Arial"/>
                <w:color w:val="auto"/>
                <w:szCs w:val="20"/>
                <w:highlight w:val="none"/>
              </w:rPr>
            </w:pPr>
            <w:r>
              <w:rPr>
                <w:rFonts w:hint="default" w:ascii="Arial" w:hAnsi="Arial" w:cs="Arial"/>
                <w:color w:val="auto"/>
                <w:szCs w:val="20"/>
                <w:highlight w:val="none"/>
              </w:rPr>
              <w:t>1</w:t>
            </w:r>
          </w:p>
        </w:tc>
        <w:tc>
          <w:tcPr>
            <w:tcW w:w="1609"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default" w:ascii="Arial" w:hAnsi="Arial" w:cs="Arial"/>
                <w:color w:val="auto"/>
                <w:szCs w:val="20"/>
                <w:highlight w:val="none"/>
              </w:rPr>
            </w:pPr>
          </w:p>
        </w:tc>
        <w:tc>
          <w:tcPr>
            <w:tcW w:w="478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default" w:ascii="Arial" w:hAnsi="Arial" w:cs="Arial"/>
                <w:color w:val="auto"/>
                <w:szCs w:val="20"/>
                <w:highlight w:val="none"/>
              </w:rPr>
            </w:pPr>
            <w:r>
              <w:rPr>
                <w:rFonts w:hint="default" w:ascii="Arial" w:hAnsi="Arial" w:cs="Arial"/>
                <w:color w:val="auto"/>
                <w:szCs w:val="20"/>
                <w:highlight w:val="none"/>
              </w:rPr>
              <w:t>小写（￥）</w:t>
            </w:r>
          </w:p>
        </w:tc>
        <w:tc>
          <w:tcPr>
            <w:tcW w:w="168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Arial" w:hAnsi="Arial" w:cs="Arial"/>
                <w:color w:val="auto"/>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2" w:hRule="atLeast"/>
        </w:trPr>
        <w:tc>
          <w:tcPr>
            <w:tcW w:w="993"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Arial" w:hAnsi="Arial" w:cs="Arial"/>
                <w:color w:val="auto"/>
                <w:szCs w:val="20"/>
                <w:highlight w:val="none"/>
              </w:rPr>
            </w:pPr>
          </w:p>
        </w:tc>
        <w:tc>
          <w:tcPr>
            <w:tcW w:w="1609"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Arial" w:hAnsi="Arial" w:cs="Arial"/>
                <w:color w:val="auto"/>
                <w:szCs w:val="20"/>
                <w:highlight w:val="none"/>
              </w:rPr>
            </w:pPr>
          </w:p>
        </w:tc>
        <w:tc>
          <w:tcPr>
            <w:tcW w:w="4783" w:type="dxa"/>
            <w:tcBorders>
              <w:top w:val="single" w:color="auto" w:sz="4" w:space="0"/>
              <w:left w:val="single" w:color="auto" w:sz="4" w:space="0"/>
              <w:right w:val="single" w:color="auto" w:sz="4" w:space="0"/>
            </w:tcBorders>
            <w:noWrap w:val="0"/>
            <w:vAlign w:val="center"/>
          </w:tcPr>
          <w:p>
            <w:pPr>
              <w:spacing w:line="460" w:lineRule="exact"/>
              <w:rPr>
                <w:rFonts w:hint="default" w:ascii="Arial" w:hAnsi="Arial" w:cs="Arial"/>
                <w:color w:val="auto"/>
                <w:szCs w:val="20"/>
                <w:highlight w:val="none"/>
              </w:rPr>
            </w:pPr>
            <w:r>
              <w:rPr>
                <w:rFonts w:hint="default" w:ascii="Arial" w:hAnsi="Arial" w:cs="Arial"/>
                <w:color w:val="auto"/>
                <w:szCs w:val="20"/>
                <w:highlight w:val="none"/>
              </w:rPr>
              <w:t>大写（人民币）</w:t>
            </w:r>
          </w:p>
        </w:tc>
        <w:tc>
          <w:tcPr>
            <w:tcW w:w="16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Arial" w:hAnsi="Arial" w:cs="Arial"/>
                <w:color w:val="auto"/>
                <w:szCs w:val="20"/>
                <w:highlight w:val="none"/>
              </w:rPr>
            </w:pPr>
          </w:p>
        </w:tc>
      </w:tr>
    </w:tbl>
    <w:p>
      <w:pPr>
        <w:spacing w:line="460" w:lineRule="exact"/>
        <w:rPr>
          <w:rFonts w:hint="default" w:ascii="Arial" w:hAnsi="Arial" w:cs="Arial"/>
          <w:color w:val="auto"/>
          <w:szCs w:val="20"/>
          <w:highlight w:val="none"/>
        </w:rPr>
      </w:pPr>
    </w:p>
    <w:p>
      <w:pPr>
        <w:spacing w:line="460" w:lineRule="exact"/>
        <w:rPr>
          <w:rFonts w:hint="default" w:ascii="Arial" w:hAnsi="Arial" w:cs="Arial"/>
          <w:color w:val="auto"/>
          <w:szCs w:val="20"/>
          <w:highlight w:val="none"/>
        </w:rPr>
      </w:pPr>
    </w:p>
    <w:p>
      <w:pPr>
        <w:widowControl/>
        <w:adjustRightInd w:val="0"/>
        <w:spacing w:line="360" w:lineRule="auto"/>
        <w:jc w:val="left"/>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widowControl/>
        <w:adjustRightInd w:val="0"/>
        <w:spacing w:line="360" w:lineRule="auto"/>
        <w:jc w:val="left"/>
        <w:rPr>
          <w:rFonts w:hint="default" w:ascii="Arial" w:hAnsi="Arial" w:cs="Arial"/>
          <w:color w:val="auto"/>
          <w:sz w:val="22"/>
          <w:szCs w:val="22"/>
          <w:highlight w:val="none"/>
        </w:rPr>
      </w:pPr>
      <w:r>
        <w:rPr>
          <w:rFonts w:hint="default" w:ascii="Arial" w:hAnsi="Arial" w:cs="Arial"/>
          <w:color w:val="auto"/>
          <w:sz w:val="22"/>
          <w:szCs w:val="22"/>
          <w:highlight w:val="none"/>
        </w:rPr>
        <w:t>法定代表人或授权代表(签字或盖章)：</w:t>
      </w:r>
    </w:p>
    <w:p>
      <w:pPr>
        <w:pStyle w:val="3"/>
        <w:widowControl/>
        <w:spacing w:line="360" w:lineRule="auto"/>
        <w:ind w:firstLine="0"/>
        <w:jc w:val="left"/>
        <w:rPr>
          <w:rFonts w:hint="default" w:ascii="Arial" w:hAnsi="Arial" w:cs="Arial"/>
          <w:b/>
          <w:color w:val="auto"/>
          <w:sz w:val="22"/>
          <w:szCs w:val="22"/>
          <w:highlight w:val="none"/>
        </w:rPr>
      </w:pPr>
      <w:r>
        <w:rPr>
          <w:rFonts w:hint="default" w:ascii="Arial" w:hAnsi="Arial" w:cs="Arial"/>
          <w:color w:val="auto"/>
          <w:sz w:val="22"/>
          <w:szCs w:val="22"/>
          <w:highlight w:val="none"/>
        </w:rPr>
        <w:t>日期：</w:t>
      </w: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ind w:firstLine="480"/>
        <w:rPr>
          <w:rFonts w:hint="default" w:ascii="Arial" w:hAnsi="Arial" w:cs="Arial"/>
          <w:color w:val="auto"/>
          <w:highlight w:val="none"/>
        </w:rPr>
      </w:pPr>
      <w:r>
        <w:rPr>
          <w:rFonts w:hint="default" w:ascii="Arial" w:hAnsi="Arial" w:cs="Arial"/>
          <w:color w:val="auto"/>
          <w:highlight w:val="none"/>
        </w:rPr>
        <w:t>备注：此表在不改变表式的情况下，可自行制作。</w:t>
      </w: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spacing w:line="460" w:lineRule="exact"/>
        <w:rPr>
          <w:rFonts w:hint="default" w:ascii="Arial" w:hAnsi="Arial" w:cs="Arial"/>
          <w:color w:val="auto"/>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Arial" w:hAnsi="Arial" w:eastAsia="宋体" w:cs="Arial"/>
          <w:b/>
          <w:color w:val="auto"/>
          <w:kern w:val="2"/>
          <w:sz w:val="32"/>
          <w:szCs w:val="32"/>
          <w:highlight w:val="none"/>
          <w:lang w:val="en-US" w:eastAsia="zh-CN" w:bidi="ar-SA"/>
        </w:rPr>
      </w:pPr>
      <w:bookmarkStart w:id="200" w:name="_Toc50910830"/>
      <w:r>
        <w:rPr>
          <w:rFonts w:hint="eastAsia" w:ascii="Arial" w:hAnsi="Arial" w:eastAsia="宋体" w:cs="Arial"/>
          <w:b/>
          <w:color w:val="auto"/>
          <w:kern w:val="2"/>
          <w:sz w:val="32"/>
          <w:szCs w:val="32"/>
          <w:highlight w:val="none"/>
          <w:lang w:val="en-US" w:eastAsia="zh-CN" w:bidi="ar-SA"/>
        </w:rPr>
        <w:t>三、分项报价表</w:t>
      </w:r>
    </w:p>
    <w:p>
      <w:pPr>
        <w:spacing w:line="320" w:lineRule="exact"/>
        <w:jc w:val="left"/>
        <w:rPr>
          <w:rFonts w:hint="default" w:ascii="Arial" w:hAnsi="Arial" w:cs="Arial"/>
          <w:color w:val="auto"/>
          <w:highlight w:val="none"/>
        </w:rPr>
      </w:pPr>
    </w:p>
    <w:p>
      <w:pPr>
        <w:pStyle w:val="2"/>
        <w:rPr>
          <w:rFonts w:hint="default"/>
          <w:color w:val="auto"/>
          <w:highlight w:val="none"/>
        </w:rPr>
      </w:pPr>
    </w:p>
    <w:p>
      <w:pPr>
        <w:spacing w:line="320" w:lineRule="exact"/>
        <w:jc w:val="left"/>
        <w:rPr>
          <w:rFonts w:hint="default" w:ascii="Arial" w:hAnsi="Arial" w:cs="Arial"/>
          <w:b/>
          <w:bCs/>
          <w:color w:val="auto"/>
          <w:highlight w:val="none"/>
        </w:rPr>
      </w:pPr>
      <w:r>
        <w:rPr>
          <w:rFonts w:hint="default" w:ascii="Arial" w:hAnsi="Arial" w:cs="Arial"/>
          <w:color w:val="auto"/>
          <w:highlight w:val="none"/>
        </w:rPr>
        <w:t>项目名称：       项目编号：</w:t>
      </w:r>
    </w:p>
    <w:tbl>
      <w:tblPr>
        <w:tblStyle w:val="46"/>
        <w:tblW w:w="97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1549"/>
        <w:gridCol w:w="2651"/>
        <w:gridCol w:w="925"/>
        <w:gridCol w:w="767"/>
        <w:gridCol w:w="1012"/>
        <w:gridCol w:w="1116"/>
        <w:gridCol w:w="1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r>
              <w:rPr>
                <w:rFonts w:hint="default" w:ascii="Arial" w:hAnsi="Arial" w:cs="Arial"/>
                <w:color w:val="auto"/>
                <w:highlight w:val="none"/>
              </w:rPr>
              <w:t>序号</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r>
              <w:rPr>
                <w:rFonts w:hint="eastAsia" w:ascii="Arial" w:hAnsi="Arial" w:cs="Arial"/>
                <w:color w:val="auto"/>
                <w:highlight w:val="none"/>
                <w:lang w:eastAsia="zh-CN"/>
              </w:rPr>
              <w:t>设备</w:t>
            </w:r>
            <w:r>
              <w:rPr>
                <w:rFonts w:hint="default" w:ascii="Arial" w:hAnsi="Arial" w:cs="Arial"/>
                <w:color w:val="auto"/>
                <w:highlight w:val="none"/>
              </w:rPr>
              <w:t>名称</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lang w:val="en-US" w:eastAsia="zh-CN"/>
              </w:rPr>
            </w:pPr>
            <w:r>
              <w:rPr>
                <w:rFonts w:hint="eastAsia" w:ascii="Arial" w:hAnsi="Arial" w:cs="Arial"/>
                <w:color w:val="auto"/>
                <w:highlight w:val="none"/>
                <w:lang w:val="en-US" w:eastAsia="zh-CN"/>
              </w:rPr>
              <w:t>投标产品技术参数</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r>
              <w:rPr>
                <w:rFonts w:hint="default" w:ascii="Arial" w:hAnsi="Arial" w:cs="Arial"/>
                <w:color w:val="auto"/>
                <w:highlight w:val="none"/>
              </w:rPr>
              <w:t>数量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宋体" w:cs="Arial"/>
                <w:color w:val="auto"/>
                <w:highlight w:val="none"/>
                <w:lang w:eastAsia="zh-CN"/>
              </w:rPr>
            </w:pPr>
            <w:r>
              <w:rPr>
                <w:rFonts w:hint="eastAsia" w:ascii="Arial" w:hAnsi="Arial" w:cs="Arial"/>
                <w:color w:val="auto"/>
                <w:highlight w:val="none"/>
                <w:lang w:eastAsia="zh-CN"/>
              </w:rPr>
              <w:t>单位</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r>
              <w:rPr>
                <w:rFonts w:hint="default" w:ascii="Arial" w:hAnsi="Arial" w:cs="Arial"/>
                <w:color w:val="auto"/>
                <w:highlight w:val="none"/>
              </w:rPr>
              <w:t>单价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宋体" w:cs="Arial"/>
                <w:color w:val="auto"/>
                <w:highlight w:val="none"/>
                <w:lang w:eastAsia="zh-CN"/>
              </w:rPr>
            </w:pPr>
            <w:r>
              <w:rPr>
                <w:rFonts w:hint="eastAsia" w:ascii="Arial" w:hAnsi="Arial" w:cs="Arial"/>
                <w:color w:val="auto"/>
                <w:highlight w:val="none"/>
                <w:lang w:eastAsia="zh-CN"/>
              </w:rPr>
              <w:t>（元）</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宋体" w:cs="Arial"/>
                <w:color w:val="auto"/>
                <w:highlight w:val="none"/>
                <w:lang w:eastAsia="zh-CN"/>
              </w:rPr>
            </w:pPr>
            <w:r>
              <w:rPr>
                <w:rFonts w:hint="eastAsia" w:ascii="Arial" w:hAnsi="Arial" w:cs="Arial"/>
                <w:color w:val="auto"/>
                <w:highlight w:val="none"/>
                <w:lang w:val="en-US" w:eastAsia="zh-CN"/>
              </w:rPr>
              <w:t>合</w:t>
            </w:r>
            <w:r>
              <w:rPr>
                <w:rFonts w:hint="default" w:ascii="Arial" w:hAnsi="Arial" w:cs="Arial"/>
                <w:color w:val="auto"/>
                <w:highlight w:val="none"/>
              </w:rPr>
              <w:t>价</w:t>
            </w:r>
            <w:r>
              <w:rPr>
                <w:rFonts w:hint="eastAsia" w:ascii="Arial" w:hAnsi="Arial" w:cs="Arial"/>
                <w:color w:val="auto"/>
                <w:highlight w:val="none"/>
                <w:lang w:eastAsia="zh-CN"/>
              </w:rPr>
              <w:t>（元）</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r>
              <w:rPr>
                <w:rFonts w:hint="eastAsia" w:ascii="Arial" w:hAnsi="Arial" w:cs="Arial"/>
                <w:color w:val="auto"/>
                <w:highlight w:val="none"/>
                <w:lang w:val="en-US" w:eastAsia="zh-CN"/>
              </w:rPr>
              <w:t>选定品牌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cs="Arial"/>
                <w:color w:val="auto"/>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eastAsia="zh-CN"/>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cs="Arial"/>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859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b/>
                <w:bCs/>
                <w:color w:val="auto"/>
                <w:highlight w:val="none"/>
              </w:rPr>
            </w:pPr>
            <w:r>
              <w:rPr>
                <w:rFonts w:hint="default" w:ascii="Arial" w:hAnsi="Arial" w:cs="Arial"/>
                <w:b/>
                <w:bCs/>
                <w:color w:val="auto"/>
                <w:highlight w:val="none"/>
              </w:rPr>
              <w:t>合计总价（大写）：</w:t>
            </w:r>
            <w:r>
              <w:rPr>
                <w:rFonts w:hint="default" w:ascii="Arial" w:hAnsi="Arial" w:cs="Arial"/>
                <w:b/>
                <w:bCs/>
                <w:color w:val="auto"/>
                <w:highlight w:val="none"/>
                <w:u w:val="single"/>
              </w:rPr>
              <w:t xml:space="preserve">                                            </w:t>
            </w:r>
            <w:r>
              <w:rPr>
                <w:rFonts w:hint="default" w:ascii="Arial" w:hAnsi="Arial" w:cs="Arial"/>
                <w:b/>
                <w:bCs/>
                <w:color w:val="auto"/>
                <w:highlight w:val="none"/>
              </w:rPr>
              <w:t>（￥</w:t>
            </w:r>
            <w:r>
              <w:rPr>
                <w:rFonts w:hint="eastAsia" w:ascii="Arial" w:hAnsi="Arial" w:cs="Arial"/>
                <w:b/>
                <w:bCs/>
                <w:color w:val="auto"/>
                <w:highlight w:val="none"/>
                <w:u w:val="single"/>
                <w:lang w:val="en-US" w:eastAsia="zh-CN"/>
              </w:rPr>
              <w:t xml:space="preserve">        </w:t>
            </w:r>
            <w:r>
              <w:rPr>
                <w:rFonts w:hint="eastAsia" w:ascii="Arial" w:hAnsi="Arial" w:cs="Arial"/>
                <w:b/>
                <w:bCs/>
                <w:color w:val="auto"/>
                <w:highlight w:val="none"/>
                <w:lang w:val="en-US" w:eastAsia="zh-CN"/>
              </w:rPr>
              <w:t>元</w:t>
            </w:r>
            <w:r>
              <w:rPr>
                <w:rFonts w:hint="default" w:ascii="Arial" w:hAnsi="Arial" w:cs="Arial"/>
                <w:b/>
                <w:bCs/>
                <w:color w:val="auto"/>
                <w:highlight w:val="none"/>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Arial" w:hAnsi="Arial" w:cs="Arial"/>
                <w:b/>
                <w:bCs/>
                <w:color w:val="auto"/>
                <w:highlight w:val="none"/>
              </w:rPr>
            </w:pPr>
          </w:p>
        </w:tc>
      </w:tr>
    </w:tbl>
    <w:p>
      <w:pPr>
        <w:spacing w:line="440" w:lineRule="exact"/>
        <w:ind w:firstLine="482"/>
        <w:rPr>
          <w:rFonts w:hint="default" w:ascii="Arial" w:hAnsi="Arial" w:cs="Arial"/>
          <w:b/>
          <w:color w:val="auto"/>
          <w:szCs w:val="21"/>
          <w:highlight w:val="none"/>
        </w:rPr>
      </w:pPr>
    </w:p>
    <w:p>
      <w:pPr>
        <w:spacing w:line="440" w:lineRule="exact"/>
        <w:ind w:firstLine="482"/>
        <w:rPr>
          <w:rFonts w:hint="default" w:ascii="Arial" w:hAnsi="Arial" w:cs="Arial"/>
          <w:b/>
          <w:color w:val="auto"/>
          <w:szCs w:val="21"/>
          <w:highlight w:val="none"/>
        </w:rPr>
      </w:pPr>
    </w:p>
    <w:p>
      <w:pPr>
        <w:widowControl/>
        <w:adjustRightInd w:val="0"/>
        <w:spacing w:line="360" w:lineRule="auto"/>
        <w:jc w:val="left"/>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widowControl/>
        <w:adjustRightInd w:val="0"/>
        <w:spacing w:line="360" w:lineRule="auto"/>
        <w:jc w:val="left"/>
        <w:rPr>
          <w:rFonts w:hint="default" w:ascii="Arial" w:hAnsi="Arial" w:cs="Arial"/>
          <w:color w:val="auto"/>
          <w:sz w:val="22"/>
          <w:szCs w:val="22"/>
          <w:highlight w:val="none"/>
        </w:rPr>
      </w:pPr>
      <w:r>
        <w:rPr>
          <w:rFonts w:hint="default" w:ascii="Arial" w:hAnsi="Arial" w:cs="Arial"/>
          <w:color w:val="auto"/>
          <w:sz w:val="22"/>
          <w:szCs w:val="22"/>
          <w:highlight w:val="none"/>
        </w:rPr>
        <w:t>法定代表人或授权代表(签字或盖章)：</w:t>
      </w:r>
    </w:p>
    <w:p>
      <w:pPr>
        <w:pStyle w:val="3"/>
        <w:widowControl/>
        <w:spacing w:line="360" w:lineRule="auto"/>
        <w:ind w:firstLine="0"/>
        <w:jc w:val="left"/>
        <w:rPr>
          <w:rFonts w:hint="default" w:ascii="Arial" w:hAnsi="Arial" w:cs="Arial"/>
          <w:color w:val="auto"/>
          <w:sz w:val="22"/>
          <w:szCs w:val="22"/>
          <w:highlight w:val="none"/>
        </w:rPr>
      </w:pPr>
      <w:r>
        <w:rPr>
          <w:rFonts w:hint="default" w:ascii="Arial" w:hAnsi="Arial" w:cs="Arial"/>
          <w:color w:val="auto"/>
          <w:sz w:val="22"/>
          <w:szCs w:val="22"/>
          <w:highlight w:val="none"/>
        </w:rPr>
        <w:t>日期：</w:t>
      </w:r>
    </w:p>
    <w:p>
      <w:pPr>
        <w:pStyle w:val="3"/>
        <w:widowControl/>
        <w:spacing w:line="360" w:lineRule="auto"/>
        <w:ind w:firstLine="0"/>
        <w:jc w:val="left"/>
        <w:rPr>
          <w:rFonts w:hint="default" w:ascii="Arial" w:hAnsi="Arial" w:cs="Arial"/>
          <w:color w:val="auto"/>
          <w:sz w:val="22"/>
          <w:szCs w:val="22"/>
          <w:highlight w:val="none"/>
        </w:rPr>
      </w:pPr>
    </w:p>
    <w:p>
      <w:pPr>
        <w:pStyle w:val="3"/>
        <w:widowControl/>
        <w:spacing w:line="360" w:lineRule="auto"/>
        <w:ind w:firstLine="0"/>
        <w:jc w:val="left"/>
        <w:rPr>
          <w:rFonts w:hint="default" w:ascii="Arial" w:hAnsi="Arial" w:cs="Arial"/>
          <w:color w:val="auto"/>
          <w:sz w:val="22"/>
          <w:szCs w:val="22"/>
          <w:highlight w:val="none"/>
        </w:rPr>
      </w:pPr>
    </w:p>
    <w:p>
      <w:pPr>
        <w:pStyle w:val="3"/>
        <w:widowControl/>
        <w:spacing w:line="360" w:lineRule="auto"/>
        <w:ind w:firstLine="0"/>
        <w:jc w:val="left"/>
        <w:rPr>
          <w:rFonts w:hint="default" w:ascii="Arial" w:hAnsi="Arial" w:cs="Arial"/>
          <w:color w:val="auto"/>
          <w:sz w:val="22"/>
          <w:szCs w:val="22"/>
          <w:highlight w:val="none"/>
        </w:rPr>
      </w:pPr>
    </w:p>
    <w:p>
      <w:pPr>
        <w:pStyle w:val="3"/>
        <w:widowControl/>
        <w:spacing w:line="360" w:lineRule="auto"/>
        <w:ind w:firstLine="0"/>
        <w:jc w:val="left"/>
        <w:rPr>
          <w:rFonts w:hint="default" w:ascii="Arial" w:hAnsi="Arial" w:cs="Arial"/>
          <w:color w:val="auto"/>
          <w:sz w:val="22"/>
          <w:szCs w:val="22"/>
          <w:highlight w:val="none"/>
        </w:rPr>
      </w:pPr>
    </w:p>
    <w:p>
      <w:pPr>
        <w:pStyle w:val="3"/>
        <w:widowControl/>
        <w:spacing w:line="360" w:lineRule="auto"/>
        <w:ind w:firstLine="0"/>
        <w:jc w:val="left"/>
        <w:rPr>
          <w:rFonts w:hint="default" w:ascii="Arial" w:hAnsi="Arial" w:cs="Arial"/>
          <w:color w:val="auto"/>
          <w:sz w:val="22"/>
          <w:szCs w:val="22"/>
          <w:highlight w:val="none"/>
        </w:rPr>
      </w:pPr>
    </w:p>
    <w:p>
      <w:pPr>
        <w:pStyle w:val="3"/>
        <w:widowControl/>
        <w:spacing w:line="360" w:lineRule="auto"/>
        <w:ind w:firstLine="0"/>
        <w:jc w:val="left"/>
        <w:rPr>
          <w:rFonts w:hint="default" w:ascii="Arial" w:hAnsi="Arial" w:cs="Arial"/>
          <w:b/>
          <w:color w:val="auto"/>
          <w:sz w:val="22"/>
          <w:szCs w:val="22"/>
          <w:highlight w:val="none"/>
        </w:rPr>
      </w:pPr>
    </w:p>
    <w:p>
      <w:pPr>
        <w:spacing w:line="440" w:lineRule="exact"/>
        <w:rPr>
          <w:rFonts w:hint="default" w:ascii="Arial" w:hAnsi="Arial" w:cs="Arial"/>
          <w:b/>
          <w:color w:val="auto"/>
          <w:szCs w:val="21"/>
          <w:highlight w:val="none"/>
        </w:rPr>
      </w:pPr>
      <w:r>
        <w:rPr>
          <w:rFonts w:hint="default" w:ascii="Arial" w:hAnsi="Arial" w:cs="Arial"/>
          <w:color w:val="auto"/>
          <w:highlight w:val="none"/>
        </w:rPr>
        <w:t>备注：此表在不改变表式的情况下，可自行制作。</w:t>
      </w:r>
    </w:p>
    <w:p>
      <w:pPr>
        <w:pStyle w:val="3"/>
        <w:widowControl/>
        <w:spacing w:line="360" w:lineRule="auto"/>
        <w:ind w:firstLine="0"/>
        <w:jc w:val="center"/>
        <w:rPr>
          <w:rFonts w:hint="default" w:ascii="Arial" w:hAnsi="Arial" w:cs="Arial"/>
          <w:b/>
          <w:color w:val="auto"/>
          <w:sz w:val="32"/>
          <w:szCs w:val="32"/>
          <w:highlight w:val="none"/>
        </w:rPr>
      </w:pPr>
    </w:p>
    <w:p>
      <w:pPr>
        <w:pStyle w:val="2"/>
        <w:rPr>
          <w:rFonts w:hint="default"/>
          <w:color w:val="auto"/>
          <w:highlight w:val="none"/>
        </w:rPr>
      </w:pPr>
    </w:p>
    <w:p>
      <w:pPr>
        <w:rPr>
          <w:rFonts w:hint="default"/>
          <w:color w:val="auto"/>
          <w:highlight w:val="none"/>
        </w:rPr>
      </w:pPr>
    </w:p>
    <w:p>
      <w:pPr>
        <w:pStyle w:val="4"/>
        <w:numPr>
          <w:ilvl w:val="0"/>
          <w:numId w:val="0"/>
        </w:numPr>
        <w:tabs>
          <w:tab w:val="left" w:pos="4068"/>
        </w:tabs>
        <w:spacing w:after="120" w:afterLines="50" w:line="360" w:lineRule="exact"/>
        <w:jc w:val="center"/>
        <w:rPr>
          <w:rFonts w:hint="eastAsia" w:ascii="Arial" w:hAnsi="Arial" w:eastAsia="宋体" w:cs="Arial"/>
          <w:color w:val="auto"/>
          <w:sz w:val="32"/>
          <w:szCs w:val="32"/>
          <w:highlight w:val="none"/>
          <w:lang w:eastAsia="zh-CN"/>
        </w:rPr>
      </w:pPr>
      <w:r>
        <w:rPr>
          <w:rFonts w:hint="default" w:ascii="Arial" w:hAnsi="Arial" w:cs="Arial"/>
          <w:color w:val="auto"/>
          <w:sz w:val="32"/>
          <w:szCs w:val="32"/>
          <w:highlight w:val="none"/>
        </w:rPr>
        <w:t>四、</w:t>
      </w:r>
      <w:bookmarkEnd w:id="200"/>
      <w:r>
        <w:rPr>
          <w:rFonts w:hint="eastAsia" w:ascii="Arial" w:hAnsi="Arial" w:cs="Arial"/>
          <w:color w:val="auto"/>
          <w:sz w:val="32"/>
          <w:szCs w:val="32"/>
          <w:highlight w:val="none"/>
          <w:lang w:eastAsia="zh-CN"/>
        </w:rPr>
        <w:t>投标人声明</w:t>
      </w:r>
    </w:p>
    <w:p>
      <w:pPr>
        <w:spacing w:line="360" w:lineRule="auto"/>
        <w:jc w:val="center"/>
        <w:outlineLvl w:val="1"/>
        <w:rPr>
          <w:rFonts w:hint="default" w:ascii="Arial" w:hAnsi="Arial" w:cs="Arial"/>
          <w:b/>
          <w:bCs/>
          <w:color w:val="auto"/>
          <w:szCs w:val="21"/>
          <w:highlight w:val="none"/>
        </w:rPr>
      </w:pPr>
    </w:p>
    <w:p>
      <w:pPr>
        <w:snapToGrid w:val="0"/>
        <w:spacing w:line="440" w:lineRule="exact"/>
        <w:rPr>
          <w:rFonts w:ascii="宋体" w:hAnsi="宋体"/>
          <w:color w:val="auto"/>
          <w:sz w:val="22"/>
          <w:szCs w:val="22"/>
          <w:highlight w:val="none"/>
        </w:rPr>
      </w:pPr>
      <w:bookmarkStart w:id="201" w:name="_Toc505353797"/>
      <w:bookmarkStart w:id="202" w:name="_Toc496003220"/>
      <w:bookmarkStart w:id="203" w:name="_Toc498429653"/>
      <w:r>
        <w:rPr>
          <w:rFonts w:hint="eastAsia" w:ascii="宋体" w:hAnsi="宋体"/>
          <w:color w:val="auto"/>
          <w:sz w:val="22"/>
          <w:szCs w:val="22"/>
          <w:highlight w:val="none"/>
        </w:rPr>
        <w:t>致：</w:t>
      </w:r>
      <w:r>
        <w:rPr>
          <w:rFonts w:hint="eastAsia" w:ascii="宋体" w:hAnsi="宋体"/>
          <w:color w:val="auto"/>
          <w:sz w:val="22"/>
          <w:szCs w:val="22"/>
          <w:highlight w:val="none"/>
          <w:u w:val="single"/>
        </w:rPr>
        <w:t>（采购人、采购代理机构名称）</w:t>
      </w:r>
    </w:p>
    <w:p>
      <w:pPr>
        <w:snapToGrid w:val="0"/>
        <w:spacing w:line="440" w:lineRule="exact"/>
        <w:ind w:firstLine="660" w:firstLineChars="300"/>
        <w:jc w:val="left"/>
        <w:rPr>
          <w:rFonts w:ascii="宋体" w:hAnsi="宋体"/>
          <w:color w:val="auto"/>
          <w:sz w:val="22"/>
          <w:szCs w:val="22"/>
          <w:highlight w:val="none"/>
        </w:rPr>
      </w:pPr>
      <w:r>
        <w:rPr>
          <w:rFonts w:hint="eastAsia" w:ascii="宋体" w:hAnsi="宋体"/>
          <w:color w:val="auto"/>
          <w:sz w:val="22"/>
          <w:szCs w:val="22"/>
          <w:highlight w:val="none"/>
          <w:u w:val="single"/>
        </w:rPr>
        <w:t>（投标人名称）</w:t>
      </w:r>
      <w:r>
        <w:rPr>
          <w:rFonts w:hint="eastAsia" w:ascii="宋体" w:hAnsi="宋体"/>
          <w:color w:val="auto"/>
          <w:sz w:val="22"/>
          <w:szCs w:val="22"/>
          <w:highlight w:val="none"/>
        </w:rPr>
        <w:t>系中华人民共和国合法企业，经营地址</w:t>
      </w: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p>
      <w:pPr>
        <w:snapToGrid w:val="0"/>
        <w:spacing w:line="440" w:lineRule="exact"/>
        <w:ind w:left="210" w:leftChars="100" w:firstLine="455" w:firstLineChars="207"/>
        <w:rPr>
          <w:rFonts w:hint="eastAsia" w:ascii="宋体" w:hAnsi="宋体"/>
          <w:color w:val="auto"/>
          <w:sz w:val="22"/>
          <w:szCs w:val="22"/>
          <w:highlight w:val="none"/>
        </w:rPr>
      </w:pPr>
      <w:r>
        <w:rPr>
          <w:rFonts w:hint="eastAsia" w:ascii="宋体" w:hAnsi="宋体"/>
          <w:color w:val="auto"/>
          <w:sz w:val="22"/>
          <w:szCs w:val="22"/>
          <w:highlight w:val="none"/>
        </w:rPr>
        <w:t>我</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（姓名）   </w:t>
      </w:r>
      <w:r>
        <w:rPr>
          <w:rFonts w:hint="eastAsia" w:ascii="宋体" w:hAnsi="宋体"/>
          <w:color w:val="auto"/>
          <w:sz w:val="22"/>
          <w:szCs w:val="22"/>
          <w:highlight w:val="none"/>
        </w:rPr>
        <w:t>系</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（投标人名称）    </w:t>
      </w:r>
      <w:r>
        <w:rPr>
          <w:rFonts w:hint="eastAsia" w:ascii="宋体" w:hAnsi="宋体"/>
          <w:color w:val="auto"/>
          <w:sz w:val="22"/>
          <w:szCs w:val="22"/>
          <w:highlight w:val="none"/>
        </w:rPr>
        <w:t>的法定代表人，我方愿意参加贵方组织</w:t>
      </w:r>
    </w:p>
    <w:p>
      <w:pPr>
        <w:snapToGrid w:val="0"/>
        <w:spacing w:line="440" w:lineRule="exact"/>
        <w:rPr>
          <w:rFonts w:ascii="宋体" w:hAnsi="宋体"/>
          <w:color w:val="auto"/>
          <w:sz w:val="22"/>
          <w:szCs w:val="22"/>
          <w:highlight w:val="none"/>
        </w:rPr>
      </w:pPr>
      <w:r>
        <w:rPr>
          <w:rFonts w:hint="eastAsia" w:ascii="宋体" w:hAnsi="宋体"/>
          <w:color w:val="auto"/>
          <w:sz w:val="22"/>
          <w:szCs w:val="22"/>
          <w:highlight w:val="none"/>
        </w:rPr>
        <w:t>的</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项目的投标，为便于贵方公正、择优地确定中标人，我方就本次投标有关事项郑重声明如下：</w:t>
      </w:r>
    </w:p>
    <w:p>
      <w:pPr>
        <w:snapToGrid w:val="0"/>
        <w:spacing w:line="440" w:lineRule="exact"/>
        <w:ind w:firstLine="440" w:firstLineChars="200"/>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w:t>
      </w:r>
      <w:r>
        <w:rPr>
          <w:rFonts w:ascii="宋体" w:hAnsi="宋体"/>
          <w:color w:val="auto"/>
          <w:sz w:val="22"/>
          <w:szCs w:val="22"/>
          <w:highlight w:val="none"/>
        </w:rPr>
        <w:t>我方向贵方提交的所有投标文件、资料都是准确的和真实的</w:t>
      </w:r>
      <w:r>
        <w:rPr>
          <w:rFonts w:hint="eastAsia" w:ascii="宋体" w:hAnsi="宋体"/>
          <w:color w:val="auto"/>
          <w:sz w:val="22"/>
          <w:szCs w:val="22"/>
          <w:highlight w:val="none"/>
        </w:rPr>
        <w:t>。</w:t>
      </w:r>
    </w:p>
    <w:p>
      <w:pPr>
        <w:spacing w:line="50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w:t>
      </w:r>
      <w:r>
        <w:rPr>
          <w:rFonts w:ascii="宋体" w:hAnsi="宋体"/>
          <w:color w:val="auto"/>
          <w:sz w:val="22"/>
          <w:szCs w:val="22"/>
          <w:highlight w:val="none"/>
        </w:rPr>
        <w:t>我方不是采购人的附属机构；在获知本项目采购信息后，与采购人聘请的为此项目提供咨询服务的公司及其附属机构没有任何联系</w:t>
      </w:r>
      <w:r>
        <w:rPr>
          <w:rFonts w:hint="eastAsia" w:ascii="宋体" w:hAnsi="宋体"/>
          <w:color w:val="auto"/>
          <w:sz w:val="22"/>
          <w:szCs w:val="22"/>
          <w:highlight w:val="none"/>
        </w:rPr>
        <w:t>，未为本采购项目提供整体设计、规范编制或者项目管理、监理、检测等服务</w:t>
      </w:r>
      <w:r>
        <w:rPr>
          <w:rFonts w:ascii="宋体" w:hAnsi="宋体"/>
          <w:color w:val="auto"/>
          <w:sz w:val="22"/>
          <w:szCs w:val="22"/>
          <w:highlight w:val="none"/>
        </w:rPr>
        <w:t>。</w:t>
      </w:r>
    </w:p>
    <w:p>
      <w:pPr>
        <w:spacing w:line="500" w:lineRule="exact"/>
        <w:ind w:firstLine="440" w:firstLineChars="200"/>
        <w:rPr>
          <w:rFonts w:hint="eastAsia" w:ascii="宋体" w:hAnsi="宋体" w:cs="Arial"/>
          <w:color w:val="auto"/>
          <w:sz w:val="22"/>
          <w:szCs w:val="22"/>
          <w:highlight w:val="none"/>
        </w:rPr>
      </w:pPr>
      <w:r>
        <w:rPr>
          <w:rFonts w:hint="eastAsia" w:ascii="宋体" w:hAnsi="宋体"/>
          <w:color w:val="auto"/>
          <w:sz w:val="22"/>
          <w:szCs w:val="22"/>
          <w:highlight w:val="none"/>
        </w:rPr>
        <w:t>3.我方承诺</w:t>
      </w:r>
      <w:r>
        <w:rPr>
          <w:rFonts w:ascii="宋体" w:hAnsi="宋体"/>
          <w:color w:val="auto"/>
          <w:sz w:val="22"/>
          <w:szCs w:val="22"/>
          <w:highlight w:val="none"/>
        </w:rPr>
        <w:t>符合</w:t>
      </w:r>
      <w:r>
        <w:rPr>
          <w:rFonts w:hint="eastAsia" w:ascii="宋体" w:hAnsi="宋体"/>
          <w:color w:val="auto"/>
          <w:sz w:val="22"/>
          <w:szCs w:val="22"/>
          <w:highlight w:val="none"/>
        </w:rPr>
        <w:t>《中华人民共和国</w:t>
      </w:r>
      <w:r>
        <w:rPr>
          <w:rFonts w:ascii="宋体" w:hAnsi="宋体"/>
          <w:color w:val="auto"/>
          <w:sz w:val="22"/>
          <w:szCs w:val="22"/>
          <w:highlight w:val="none"/>
        </w:rPr>
        <w:t>政府采购法</w:t>
      </w:r>
      <w:r>
        <w:rPr>
          <w:rFonts w:hint="eastAsia" w:ascii="宋体" w:hAnsi="宋体"/>
          <w:color w:val="auto"/>
          <w:sz w:val="22"/>
          <w:szCs w:val="22"/>
          <w:highlight w:val="none"/>
        </w:rPr>
        <w:t>》</w:t>
      </w:r>
      <w:r>
        <w:rPr>
          <w:rFonts w:ascii="宋体" w:hAnsi="宋体" w:cs="Arial"/>
          <w:color w:val="auto"/>
          <w:sz w:val="22"/>
          <w:szCs w:val="22"/>
          <w:highlight w:val="none"/>
        </w:rPr>
        <w:t>第二十二条</w:t>
      </w:r>
      <w:r>
        <w:rPr>
          <w:rFonts w:hint="eastAsia" w:ascii="宋体" w:hAnsi="宋体" w:cs="Arial"/>
          <w:color w:val="auto"/>
          <w:sz w:val="22"/>
          <w:szCs w:val="22"/>
          <w:highlight w:val="none"/>
        </w:rPr>
        <w:t>第一款</w:t>
      </w:r>
      <w:r>
        <w:rPr>
          <w:rFonts w:ascii="宋体" w:hAnsi="宋体" w:cs="Arial"/>
          <w:color w:val="auto"/>
          <w:sz w:val="22"/>
          <w:szCs w:val="22"/>
          <w:highlight w:val="none"/>
        </w:rPr>
        <w:t>规定的投标人资格条件</w:t>
      </w:r>
      <w:r>
        <w:rPr>
          <w:rFonts w:hint="eastAsia" w:ascii="宋体" w:hAnsi="宋体" w:cs="Arial"/>
          <w:color w:val="auto"/>
          <w:sz w:val="22"/>
          <w:szCs w:val="22"/>
          <w:highlight w:val="none"/>
        </w:rPr>
        <w:t xml:space="preserve">： </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）具有独立承担民事责任的能力；</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）具有良好的商业信誉和健全的财务会计制度；</w:t>
      </w:r>
    </w:p>
    <w:p>
      <w:pPr>
        <w:spacing w:line="44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3</w:t>
      </w:r>
      <w:r>
        <w:rPr>
          <w:rFonts w:hint="eastAsia" w:ascii="宋体" w:hAnsi="宋体" w:cs="宋体"/>
          <w:color w:val="auto"/>
          <w:sz w:val="22"/>
          <w:szCs w:val="22"/>
          <w:highlight w:val="none"/>
        </w:rPr>
        <w:t>）具有履行合同所必需的设备和专业技术能力；</w:t>
      </w:r>
    </w:p>
    <w:p>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（4）有依法缴纳税收和社会保障资金的良好记录；</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w:t>
      </w:r>
      <w:r>
        <w:rPr>
          <w:rFonts w:ascii="宋体" w:hAnsi="宋体" w:cs="宋体"/>
          <w:color w:val="auto"/>
          <w:sz w:val="22"/>
          <w:szCs w:val="22"/>
          <w:highlight w:val="none"/>
        </w:rPr>
        <w:t>5</w:t>
      </w:r>
      <w:r>
        <w:rPr>
          <w:rFonts w:hint="eastAsia" w:ascii="宋体" w:hAnsi="宋体" w:cs="宋体"/>
          <w:color w:val="auto"/>
          <w:sz w:val="22"/>
          <w:szCs w:val="22"/>
          <w:highlight w:val="none"/>
        </w:rPr>
        <w:t>）参加政府采购活动前三年内，</w:t>
      </w:r>
      <w:r>
        <w:rPr>
          <w:rFonts w:ascii="宋体" w:hAnsi="宋体" w:cs="宋体"/>
          <w:color w:val="auto"/>
          <w:kern w:val="0"/>
          <w:sz w:val="22"/>
          <w:szCs w:val="22"/>
          <w:highlight w:val="none"/>
        </w:rPr>
        <w:t>在经营活动中没有重大违法记录</w:t>
      </w:r>
      <w:r>
        <w:rPr>
          <w:rFonts w:hint="eastAsia" w:ascii="宋体" w:hAnsi="宋体" w:cs="宋体"/>
          <w:color w:val="auto"/>
          <w:kern w:val="0"/>
          <w:sz w:val="22"/>
          <w:szCs w:val="22"/>
          <w:highlight w:val="none"/>
        </w:rPr>
        <w:t>（包括因违法经营受到刑事处罚或者责令停产停业、吊销许可证或者执照、较大数额罚款等行政处罚）</w:t>
      </w:r>
      <w:r>
        <w:rPr>
          <w:rFonts w:hint="eastAsia" w:ascii="宋体" w:hAnsi="宋体" w:cs="宋体"/>
          <w:color w:val="auto"/>
          <w:sz w:val="22"/>
          <w:szCs w:val="22"/>
          <w:highlight w:val="none"/>
        </w:rPr>
        <w:t>。</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hAnsi="宋体"/>
          <w:color w:val="auto"/>
          <w:sz w:val="22"/>
          <w:szCs w:val="22"/>
          <w:highlight w:val="none"/>
        </w:rPr>
        <w:t>.</w:t>
      </w:r>
      <w:r>
        <w:rPr>
          <w:rFonts w:hint="eastAsia" w:ascii="宋体" w:hAnsi="宋体" w:cs="宋体"/>
          <w:color w:val="auto"/>
          <w:sz w:val="22"/>
          <w:szCs w:val="22"/>
          <w:highlight w:val="none"/>
        </w:rPr>
        <w:t>我方承诺</w:t>
      </w:r>
      <w:r>
        <w:rPr>
          <w:rFonts w:ascii="Arial" w:hAnsi="Arial" w:cs="Arial"/>
          <w:color w:val="auto"/>
          <w:sz w:val="22"/>
          <w:szCs w:val="22"/>
          <w:highlight w:val="none"/>
        </w:rPr>
        <w:t>未被“信用中国”（www.creditchina.gov.cn）、中国政府采购网（www.ccgp.gov.cn）列入失信被执行人、重大税收违法案件当事人名单、政府采购严重违法失信行为记录名单。</w:t>
      </w:r>
    </w:p>
    <w:p>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如出现我方未符合</w:t>
      </w:r>
      <w:r>
        <w:rPr>
          <w:rFonts w:hint="eastAsia" w:ascii="宋体" w:hAnsi="宋体" w:cs="Arial"/>
          <w:color w:val="auto"/>
          <w:sz w:val="22"/>
          <w:szCs w:val="22"/>
          <w:highlight w:val="none"/>
        </w:rPr>
        <w:t>本项目合格投标人的资格要求的我方愿意接受按虚假投标进行的相应处罚，承担相应的后果。</w:t>
      </w:r>
    </w:p>
    <w:p>
      <w:pPr>
        <w:snapToGrid w:val="0"/>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5.以上事项如有虚假或隐瞒，我方愿意承担一切后果，并不再寻求任何旨在减轻或免除法律责任的辩解。</w:t>
      </w:r>
    </w:p>
    <w:p>
      <w:pPr>
        <w:pStyle w:val="9"/>
        <w:ind w:left="0" w:leftChars="0" w:firstLine="0" w:firstLineChars="0"/>
        <w:rPr>
          <w:color w:val="auto"/>
          <w:highlight w:val="none"/>
        </w:rPr>
      </w:pPr>
    </w:p>
    <w:p>
      <w:pPr>
        <w:spacing w:line="440" w:lineRule="exact"/>
        <w:contextualSpacing/>
        <w:outlineLvl w:val="1"/>
        <w:rPr>
          <w:rFonts w:ascii="Arial" w:hAnsi="Arial" w:cs="Arial"/>
          <w:color w:val="auto"/>
          <w:sz w:val="22"/>
          <w:szCs w:val="22"/>
          <w:highlight w:val="none"/>
        </w:rPr>
      </w:pPr>
      <w:bookmarkStart w:id="204" w:name="_Toc945"/>
      <w:bookmarkStart w:id="205" w:name="_Toc9572"/>
      <w:r>
        <w:rPr>
          <w:rFonts w:ascii="Arial" w:hAnsi="Arial" w:cs="Arial"/>
          <w:color w:val="auto"/>
          <w:sz w:val="22"/>
          <w:szCs w:val="22"/>
          <w:highlight w:val="none"/>
        </w:rPr>
        <w:t>投标人（盖章）：</w:t>
      </w:r>
      <w:bookmarkEnd w:id="204"/>
      <w:bookmarkEnd w:id="205"/>
    </w:p>
    <w:p>
      <w:pPr>
        <w:spacing w:line="440" w:lineRule="exact"/>
        <w:contextualSpacing/>
        <w:outlineLvl w:val="1"/>
        <w:rPr>
          <w:rFonts w:ascii="Arial" w:hAnsi="Arial" w:cs="Arial"/>
          <w:color w:val="auto"/>
          <w:sz w:val="22"/>
          <w:szCs w:val="22"/>
          <w:highlight w:val="none"/>
        </w:rPr>
      </w:pPr>
      <w:bookmarkStart w:id="206" w:name="_Toc22009"/>
      <w:bookmarkStart w:id="207" w:name="_Toc19812"/>
      <w:r>
        <w:rPr>
          <w:rFonts w:ascii="Arial" w:hAnsi="Arial" w:cs="Arial"/>
          <w:color w:val="auto"/>
          <w:sz w:val="22"/>
          <w:szCs w:val="22"/>
          <w:highlight w:val="none"/>
        </w:rPr>
        <w:t>法定代表人或授权代表（签字或盖章）：</w:t>
      </w:r>
      <w:bookmarkEnd w:id="206"/>
      <w:bookmarkEnd w:id="207"/>
    </w:p>
    <w:p>
      <w:pPr>
        <w:spacing w:line="440" w:lineRule="exact"/>
        <w:contextualSpacing/>
        <w:outlineLvl w:val="1"/>
        <w:rPr>
          <w:rFonts w:ascii="Arial" w:hAnsi="Arial" w:cs="Arial"/>
          <w:b/>
          <w:color w:val="auto"/>
          <w:sz w:val="22"/>
          <w:szCs w:val="22"/>
          <w:highlight w:val="none"/>
        </w:rPr>
      </w:pPr>
      <w:bookmarkStart w:id="208" w:name="_Toc24068"/>
      <w:bookmarkStart w:id="209" w:name="_Toc3098"/>
      <w:r>
        <w:rPr>
          <w:rFonts w:ascii="Arial" w:hAnsi="Arial" w:cs="Arial"/>
          <w:color w:val="auto"/>
          <w:sz w:val="22"/>
          <w:szCs w:val="22"/>
          <w:highlight w:val="none"/>
        </w:rPr>
        <w:t>日期：</w:t>
      </w:r>
      <w:bookmarkEnd w:id="208"/>
      <w:bookmarkEnd w:id="209"/>
      <w:r>
        <w:rPr>
          <w:rFonts w:ascii="Arial" w:hAnsi="Arial" w:cs="Arial"/>
          <w:b/>
          <w:color w:val="auto"/>
          <w:sz w:val="22"/>
          <w:szCs w:val="22"/>
          <w:highlight w:val="none"/>
        </w:rPr>
        <w:t xml:space="preserve"> </w:t>
      </w:r>
    </w:p>
    <w:p>
      <w:pPr>
        <w:spacing w:line="360" w:lineRule="auto"/>
        <w:contextualSpacing/>
        <w:outlineLvl w:val="1"/>
        <w:rPr>
          <w:rFonts w:hint="default" w:ascii="Arial" w:hAnsi="Arial" w:cs="Arial"/>
          <w:b/>
          <w:color w:val="auto"/>
          <w:sz w:val="18"/>
          <w:szCs w:val="18"/>
          <w:highlight w:val="none"/>
        </w:rPr>
      </w:pPr>
    </w:p>
    <w:p>
      <w:pPr>
        <w:spacing w:line="360" w:lineRule="auto"/>
        <w:contextualSpacing/>
        <w:outlineLvl w:val="1"/>
        <w:rPr>
          <w:rFonts w:hint="default" w:ascii="Arial" w:hAnsi="Arial" w:cs="Arial"/>
          <w:b/>
          <w:color w:val="auto"/>
          <w:sz w:val="18"/>
          <w:szCs w:val="18"/>
          <w:highlight w:val="none"/>
        </w:rPr>
      </w:pPr>
    </w:p>
    <w:p>
      <w:pPr>
        <w:spacing w:line="360" w:lineRule="auto"/>
        <w:contextualSpacing/>
        <w:outlineLvl w:val="1"/>
        <w:rPr>
          <w:rFonts w:hint="default" w:ascii="Arial" w:hAnsi="Arial" w:cs="Arial"/>
          <w:b/>
          <w:color w:val="auto"/>
          <w:sz w:val="18"/>
          <w:szCs w:val="18"/>
          <w:highlight w:val="none"/>
        </w:rPr>
      </w:pPr>
    </w:p>
    <w:p>
      <w:pPr>
        <w:spacing w:line="360" w:lineRule="auto"/>
        <w:contextualSpacing/>
        <w:outlineLvl w:val="1"/>
        <w:rPr>
          <w:rFonts w:hint="default" w:ascii="Arial" w:hAnsi="Arial" w:cs="Arial"/>
          <w:b/>
          <w:color w:val="auto"/>
          <w:sz w:val="18"/>
          <w:szCs w:val="18"/>
          <w:highlight w:val="none"/>
        </w:rPr>
      </w:pPr>
    </w:p>
    <w:p>
      <w:pPr>
        <w:spacing w:line="360" w:lineRule="auto"/>
        <w:contextualSpacing/>
        <w:jc w:val="center"/>
        <w:outlineLvl w:val="1"/>
        <w:rPr>
          <w:rFonts w:hint="default" w:ascii="Arial" w:hAnsi="Arial" w:cs="Arial"/>
          <w:color w:val="auto"/>
          <w:highlight w:val="none"/>
        </w:rPr>
      </w:pPr>
      <w:bookmarkStart w:id="210" w:name="_Toc50910838"/>
      <w:r>
        <w:rPr>
          <w:rFonts w:hint="eastAsia" w:ascii="Arial" w:hAnsi="Arial" w:cs="Arial"/>
          <w:b/>
          <w:bCs/>
          <w:color w:val="auto"/>
          <w:kern w:val="44"/>
          <w:sz w:val="32"/>
          <w:szCs w:val="32"/>
          <w:highlight w:val="none"/>
          <w:lang w:eastAsia="zh-CN"/>
        </w:rPr>
        <w:t>五</w:t>
      </w:r>
      <w:r>
        <w:rPr>
          <w:rFonts w:hint="default" w:ascii="Arial" w:hAnsi="Arial" w:cs="Arial"/>
          <w:b/>
          <w:bCs/>
          <w:color w:val="auto"/>
          <w:kern w:val="44"/>
          <w:sz w:val="32"/>
          <w:szCs w:val="32"/>
          <w:highlight w:val="none"/>
        </w:rPr>
        <w:t>、技术条款响应（偏离）表</w:t>
      </w:r>
      <w:bookmarkEnd w:id="201"/>
      <w:bookmarkEnd w:id="202"/>
      <w:bookmarkEnd w:id="203"/>
      <w:bookmarkEnd w:id="210"/>
    </w:p>
    <w:p>
      <w:pPr>
        <w:pStyle w:val="3"/>
        <w:tabs>
          <w:tab w:val="right" w:pos="8847"/>
        </w:tabs>
        <w:spacing w:line="500" w:lineRule="exact"/>
        <w:ind w:firstLine="0"/>
        <w:rPr>
          <w:rFonts w:hint="default" w:ascii="Arial" w:hAnsi="Arial" w:cs="Arial"/>
          <w:color w:val="auto"/>
          <w:sz w:val="22"/>
          <w:szCs w:val="22"/>
          <w:highlight w:val="none"/>
          <w:u w:val="single"/>
        </w:rPr>
      </w:pPr>
      <w:r>
        <w:rPr>
          <w:rFonts w:hint="default" w:ascii="Arial" w:hAnsi="Arial" w:cs="Arial"/>
          <w:color w:val="auto"/>
          <w:sz w:val="22"/>
          <w:szCs w:val="22"/>
          <w:highlight w:val="none"/>
        </w:rPr>
        <w:t xml:space="preserve"> 项目名称：</w:t>
      </w:r>
    </w:p>
    <w:tbl>
      <w:tblPr>
        <w:tblStyle w:val="46"/>
        <w:tblW w:w="9214"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3756"/>
        <w:gridCol w:w="3757"/>
        <w:gridCol w:w="9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序号</w:t>
            </w:r>
          </w:p>
        </w:tc>
        <w:tc>
          <w:tcPr>
            <w:tcW w:w="3756"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招标需求中的技术条款</w:t>
            </w:r>
          </w:p>
        </w:tc>
        <w:tc>
          <w:tcPr>
            <w:tcW w:w="3757"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《投标文件》技术响应</w:t>
            </w:r>
          </w:p>
        </w:tc>
        <w:tc>
          <w:tcPr>
            <w:tcW w:w="992"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1</w:t>
            </w:r>
          </w:p>
        </w:tc>
        <w:tc>
          <w:tcPr>
            <w:tcW w:w="3756" w:type="dxa"/>
            <w:tcBorders>
              <w:top w:val="single" w:color="auto" w:sz="4" w:space="0"/>
            </w:tcBorders>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2</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3</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4</w:t>
            </w:r>
          </w:p>
        </w:tc>
        <w:tc>
          <w:tcPr>
            <w:tcW w:w="3756" w:type="dxa"/>
            <w:noWrap w:val="0"/>
            <w:tcMar>
              <w:left w:w="0" w:type="dxa"/>
              <w:right w:w="0" w:type="dxa"/>
            </w:tcMar>
            <w:vAlign w:val="center"/>
          </w:tcPr>
          <w:p>
            <w:pPr>
              <w:tabs>
                <w:tab w:val="left" w:pos="851"/>
              </w:tabs>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5</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6</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r>
              <w:rPr>
                <w:rFonts w:hint="default" w:ascii="Arial" w:hAnsi="Arial" w:cs="Arial"/>
                <w:color w:val="auto"/>
                <w:sz w:val="22"/>
                <w:szCs w:val="22"/>
                <w:highlight w:val="none"/>
              </w:rPr>
              <w:t>……</w:t>
            </w: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7</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bl>
    <w:p>
      <w:pPr>
        <w:pStyle w:val="3"/>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备注：1、列明采购文件的第二章招标需求中的技术条款与投标文件对应响应，并说明偏离状况；</w:t>
      </w:r>
    </w:p>
    <w:p>
      <w:pPr>
        <w:pStyle w:val="3"/>
        <w:numPr>
          <w:ilvl w:val="0"/>
          <w:numId w:val="30"/>
        </w:numPr>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无偏离应在本表空白处醒目地注明“无技术条款偏离”的字样。</w:t>
      </w:r>
    </w:p>
    <w:p>
      <w:pPr>
        <w:pStyle w:val="3"/>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3、本表格供参考，投标人可根据项目实际情况自拟（增减）表格。</w:t>
      </w:r>
    </w:p>
    <w:p>
      <w:pPr>
        <w:spacing w:line="500" w:lineRule="exact"/>
        <w:ind w:right="420" w:firstLine="4180" w:firstLineChars="1900"/>
        <w:rPr>
          <w:rFonts w:hint="default" w:ascii="Arial" w:hAnsi="Arial" w:cs="Arial"/>
          <w:color w:val="auto"/>
          <w:sz w:val="22"/>
          <w:szCs w:val="22"/>
          <w:highlight w:val="none"/>
        </w:rPr>
      </w:pPr>
    </w:p>
    <w:p>
      <w:pPr>
        <w:spacing w:line="500" w:lineRule="exact"/>
        <w:ind w:right="420"/>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spacing w:line="500" w:lineRule="exact"/>
        <w:rPr>
          <w:rFonts w:hint="default" w:ascii="Arial" w:hAnsi="Arial" w:cs="Arial"/>
          <w:color w:val="auto"/>
          <w:sz w:val="22"/>
          <w:szCs w:val="22"/>
          <w:highlight w:val="none"/>
        </w:rPr>
      </w:pPr>
    </w:p>
    <w:p>
      <w:pPr>
        <w:spacing w:line="500" w:lineRule="exact"/>
        <w:rPr>
          <w:rFonts w:hint="default" w:ascii="Arial" w:hAnsi="Arial" w:cs="Arial"/>
          <w:color w:val="auto"/>
          <w:sz w:val="22"/>
          <w:szCs w:val="22"/>
          <w:highlight w:val="none"/>
          <w:u w:val="single"/>
        </w:rPr>
      </w:pPr>
      <w:r>
        <w:rPr>
          <w:rFonts w:hint="default" w:ascii="Arial" w:hAnsi="Arial" w:cs="Arial"/>
          <w:color w:val="auto"/>
          <w:sz w:val="22"/>
          <w:szCs w:val="22"/>
          <w:highlight w:val="none"/>
        </w:rPr>
        <w:t>法定代表人或授权代表（签字或盖章）：</w:t>
      </w:r>
    </w:p>
    <w:p>
      <w:pPr>
        <w:spacing w:line="500" w:lineRule="exact"/>
        <w:rPr>
          <w:rFonts w:hint="default" w:ascii="Arial" w:hAnsi="Arial" w:cs="Arial"/>
          <w:color w:val="auto"/>
          <w:sz w:val="22"/>
          <w:szCs w:val="22"/>
          <w:highlight w:val="none"/>
        </w:rPr>
      </w:pPr>
    </w:p>
    <w:p>
      <w:pPr>
        <w:spacing w:line="500" w:lineRule="exact"/>
        <w:rPr>
          <w:rFonts w:hint="default" w:ascii="Arial" w:hAnsi="Arial" w:cs="Arial"/>
          <w:color w:val="auto"/>
          <w:sz w:val="22"/>
          <w:szCs w:val="22"/>
          <w:highlight w:val="none"/>
        </w:rPr>
      </w:pPr>
      <w:r>
        <w:rPr>
          <w:rFonts w:hint="default" w:ascii="Arial" w:hAnsi="Arial" w:cs="Arial"/>
          <w:color w:val="auto"/>
          <w:sz w:val="22"/>
          <w:szCs w:val="22"/>
          <w:highlight w:val="none"/>
        </w:rPr>
        <w:t>日期：</w:t>
      </w:r>
      <w:bookmarkStart w:id="211" w:name="_Toc196402988"/>
    </w:p>
    <w:p>
      <w:pPr>
        <w:spacing w:line="360" w:lineRule="auto"/>
        <w:contextualSpacing/>
        <w:jc w:val="center"/>
        <w:outlineLvl w:val="1"/>
        <w:rPr>
          <w:rFonts w:hint="default" w:ascii="Arial" w:hAnsi="Arial" w:cs="Arial"/>
          <w:color w:val="auto"/>
          <w:highlight w:val="none"/>
        </w:rPr>
      </w:pPr>
      <w:r>
        <w:rPr>
          <w:rFonts w:hint="default" w:ascii="Arial" w:hAnsi="Arial" w:cs="Arial"/>
          <w:color w:val="auto"/>
          <w:sz w:val="22"/>
          <w:szCs w:val="22"/>
          <w:highlight w:val="none"/>
        </w:rPr>
        <w:br w:type="page"/>
      </w:r>
      <w:bookmarkEnd w:id="211"/>
      <w:bookmarkStart w:id="212" w:name="_Toc50910839"/>
      <w:bookmarkStart w:id="213" w:name="_Toc496003222"/>
      <w:bookmarkStart w:id="214" w:name="_Toc498429655"/>
      <w:bookmarkStart w:id="215" w:name="_Toc505353799"/>
      <w:r>
        <w:rPr>
          <w:rFonts w:hint="eastAsia" w:ascii="Arial" w:hAnsi="Arial" w:cs="Arial"/>
          <w:b/>
          <w:bCs/>
          <w:color w:val="auto"/>
          <w:kern w:val="44"/>
          <w:sz w:val="32"/>
          <w:szCs w:val="32"/>
          <w:highlight w:val="none"/>
          <w:lang w:eastAsia="zh-CN"/>
        </w:rPr>
        <w:t>六</w:t>
      </w:r>
      <w:r>
        <w:rPr>
          <w:rFonts w:hint="default" w:ascii="Arial" w:hAnsi="Arial" w:cs="Arial"/>
          <w:b/>
          <w:bCs/>
          <w:color w:val="auto"/>
          <w:kern w:val="44"/>
          <w:sz w:val="32"/>
          <w:szCs w:val="32"/>
          <w:highlight w:val="none"/>
        </w:rPr>
        <w:t>、商务条款响应（偏离）表</w:t>
      </w:r>
      <w:bookmarkEnd w:id="212"/>
    </w:p>
    <w:p>
      <w:pPr>
        <w:pStyle w:val="3"/>
        <w:tabs>
          <w:tab w:val="right" w:pos="8847"/>
        </w:tabs>
        <w:spacing w:line="500" w:lineRule="exact"/>
        <w:ind w:firstLine="0"/>
        <w:rPr>
          <w:rFonts w:hint="default" w:ascii="Arial" w:hAnsi="Arial" w:cs="Arial"/>
          <w:color w:val="auto"/>
          <w:sz w:val="22"/>
          <w:szCs w:val="22"/>
          <w:highlight w:val="none"/>
          <w:u w:val="single"/>
        </w:rPr>
      </w:pPr>
      <w:r>
        <w:rPr>
          <w:rFonts w:hint="default" w:ascii="Arial" w:hAnsi="Arial" w:cs="Arial"/>
          <w:color w:val="auto"/>
          <w:sz w:val="22"/>
          <w:szCs w:val="22"/>
          <w:highlight w:val="none"/>
        </w:rPr>
        <w:t xml:space="preserve"> 项目名称：</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09"/>
        <w:gridCol w:w="3756"/>
        <w:gridCol w:w="3757"/>
        <w:gridCol w:w="99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序号</w:t>
            </w:r>
          </w:p>
        </w:tc>
        <w:tc>
          <w:tcPr>
            <w:tcW w:w="3756"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《采购文件》商务要求</w:t>
            </w:r>
          </w:p>
        </w:tc>
        <w:tc>
          <w:tcPr>
            <w:tcW w:w="3757"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《投标文件》商务响应</w:t>
            </w:r>
          </w:p>
        </w:tc>
        <w:tc>
          <w:tcPr>
            <w:tcW w:w="992" w:type="dxa"/>
            <w:tcBorders>
              <w:top w:val="single" w:color="auto" w:sz="4" w:space="0"/>
              <w:bottom w:val="single" w:color="auto" w:sz="4" w:space="0"/>
            </w:tcBorders>
            <w:noWrap w:val="0"/>
            <w:tcMar>
              <w:left w:w="0" w:type="dxa"/>
              <w:right w:w="0" w:type="dxa"/>
            </w:tcMar>
            <w:vAlign w:val="center"/>
          </w:tcPr>
          <w:p>
            <w:pPr>
              <w:pStyle w:val="3"/>
              <w:spacing w:line="500" w:lineRule="exact"/>
              <w:ind w:firstLine="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说明</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1</w:t>
            </w:r>
          </w:p>
        </w:tc>
        <w:tc>
          <w:tcPr>
            <w:tcW w:w="3756" w:type="dxa"/>
            <w:tcBorders>
              <w:top w:val="single" w:color="auto" w:sz="4" w:space="0"/>
            </w:tcBorders>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tcBorders>
              <w:top w:val="single" w:color="auto" w:sz="4" w:space="0"/>
            </w:tcBorders>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2</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3</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4</w:t>
            </w:r>
          </w:p>
        </w:tc>
        <w:tc>
          <w:tcPr>
            <w:tcW w:w="3756" w:type="dxa"/>
            <w:noWrap w:val="0"/>
            <w:tcMar>
              <w:left w:w="0" w:type="dxa"/>
              <w:right w:w="0" w:type="dxa"/>
            </w:tcMar>
            <w:vAlign w:val="center"/>
          </w:tcPr>
          <w:p>
            <w:pPr>
              <w:tabs>
                <w:tab w:val="left" w:pos="851"/>
              </w:tabs>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5</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6</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r>
              <w:rPr>
                <w:rFonts w:hint="default" w:ascii="Arial" w:hAnsi="Arial" w:cs="Arial"/>
                <w:color w:val="auto"/>
                <w:sz w:val="22"/>
                <w:szCs w:val="22"/>
                <w:highlight w:val="none"/>
              </w:rPr>
              <w:t>……</w:t>
            </w: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7</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709"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w:t>
            </w:r>
          </w:p>
        </w:tc>
        <w:tc>
          <w:tcPr>
            <w:tcW w:w="3756" w:type="dxa"/>
            <w:noWrap w:val="0"/>
            <w:tcMar>
              <w:left w:w="0" w:type="dxa"/>
              <w:right w:w="0" w:type="dxa"/>
            </w:tcMar>
            <w:vAlign w:val="center"/>
          </w:tcPr>
          <w:p>
            <w:pPr>
              <w:spacing w:line="500" w:lineRule="exact"/>
              <w:contextualSpacing/>
              <w:rPr>
                <w:rFonts w:hint="default" w:ascii="Arial" w:hAnsi="Arial" w:cs="Arial"/>
                <w:color w:val="auto"/>
                <w:sz w:val="22"/>
                <w:szCs w:val="22"/>
                <w:highlight w:val="none"/>
              </w:rPr>
            </w:pPr>
          </w:p>
        </w:tc>
        <w:tc>
          <w:tcPr>
            <w:tcW w:w="3757"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c>
          <w:tcPr>
            <w:tcW w:w="992" w:type="dxa"/>
            <w:noWrap w:val="0"/>
            <w:tcMar>
              <w:left w:w="0" w:type="dxa"/>
              <w:right w:w="0" w:type="dxa"/>
            </w:tcMar>
            <w:vAlign w:val="center"/>
          </w:tcPr>
          <w:p>
            <w:pPr>
              <w:spacing w:line="500" w:lineRule="exact"/>
              <w:contextualSpacing/>
              <w:jc w:val="center"/>
              <w:rPr>
                <w:rFonts w:hint="default" w:ascii="Arial" w:hAnsi="Arial" w:cs="Arial"/>
                <w:color w:val="auto"/>
                <w:sz w:val="22"/>
                <w:szCs w:val="22"/>
                <w:highlight w:val="none"/>
              </w:rPr>
            </w:pPr>
          </w:p>
        </w:tc>
      </w:tr>
    </w:tbl>
    <w:p>
      <w:pPr>
        <w:pStyle w:val="3"/>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备注：1、列明采购文件的商务要求与投标文件对应响应，并说明偏离状况；</w:t>
      </w:r>
    </w:p>
    <w:p>
      <w:pPr>
        <w:pStyle w:val="3"/>
        <w:numPr>
          <w:ilvl w:val="0"/>
          <w:numId w:val="30"/>
        </w:numPr>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无偏离应在本表空白处醒目地注明“无商务条款偏离”的字样。</w:t>
      </w:r>
    </w:p>
    <w:p>
      <w:pPr>
        <w:pStyle w:val="3"/>
        <w:spacing w:line="500" w:lineRule="exact"/>
        <w:ind w:firstLine="0"/>
        <w:rPr>
          <w:rFonts w:hint="default" w:ascii="Arial" w:hAnsi="Arial" w:cs="Arial"/>
          <w:color w:val="auto"/>
          <w:sz w:val="22"/>
          <w:szCs w:val="22"/>
          <w:highlight w:val="none"/>
        </w:rPr>
      </w:pPr>
      <w:r>
        <w:rPr>
          <w:rFonts w:hint="default" w:ascii="Arial" w:hAnsi="Arial" w:cs="Arial"/>
          <w:color w:val="auto"/>
          <w:sz w:val="22"/>
          <w:szCs w:val="22"/>
          <w:highlight w:val="none"/>
        </w:rPr>
        <w:t>3、本表格供参考，投标人可根据项目实际情况自拟（增减）表格。</w:t>
      </w:r>
    </w:p>
    <w:p>
      <w:pPr>
        <w:spacing w:line="500" w:lineRule="exact"/>
        <w:ind w:right="420" w:firstLine="4180" w:firstLineChars="1900"/>
        <w:rPr>
          <w:rFonts w:hint="default" w:ascii="Arial" w:hAnsi="Arial" w:cs="Arial"/>
          <w:color w:val="auto"/>
          <w:sz w:val="22"/>
          <w:szCs w:val="22"/>
          <w:highlight w:val="none"/>
        </w:rPr>
      </w:pPr>
    </w:p>
    <w:p>
      <w:pPr>
        <w:spacing w:line="500" w:lineRule="exact"/>
        <w:ind w:right="420"/>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spacing w:line="500" w:lineRule="exact"/>
        <w:rPr>
          <w:rFonts w:hint="default" w:ascii="Arial" w:hAnsi="Arial" w:cs="Arial"/>
          <w:color w:val="auto"/>
          <w:sz w:val="22"/>
          <w:szCs w:val="22"/>
          <w:highlight w:val="none"/>
        </w:rPr>
      </w:pPr>
    </w:p>
    <w:p>
      <w:pPr>
        <w:spacing w:line="500" w:lineRule="exact"/>
        <w:rPr>
          <w:rFonts w:hint="default" w:ascii="Arial" w:hAnsi="Arial" w:cs="Arial"/>
          <w:color w:val="auto"/>
          <w:sz w:val="22"/>
          <w:szCs w:val="22"/>
          <w:highlight w:val="none"/>
          <w:u w:val="single"/>
        </w:rPr>
      </w:pPr>
      <w:r>
        <w:rPr>
          <w:rFonts w:hint="default" w:ascii="Arial" w:hAnsi="Arial" w:cs="Arial"/>
          <w:color w:val="auto"/>
          <w:sz w:val="22"/>
          <w:szCs w:val="22"/>
          <w:highlight w:val="none"/>
        </w:rPr>
        <w:t>法定代表人或授权代表（签字或盖章）：</w:t>
      </w:r>
    </w:p>
    <w:p>
      <w:pPr>
        <w:spacing w:line="500" w:lineRule="exact"/>
        <w:rPr>
          <w:rFonts w:hint="default" w:ascii="Arial" w:hAnsi="Arial" w:cs="Arial"/>
          <w:color w:val="auto"/>
          <w:sz w:val="22"/>
          <w:szCs w:val="22"/>
          <w:highlight w:val="none"/>
        </w:rPr>
      </w:pPr>
    </w:p>
    <w:p>
      <w:pPr>
        <w:spacing w:line="500" w:lineRule="exact"/>
        <w:rPr>
          <w:rFonts w:hint="default" w:ascii="Arial" w:hAnsi="Arial" w:cs="Arial"/>
          <w:color w:val="auto"/>
          <w:sz w:val="22"/>
          <w:szCs w:val="22"/>
          <w:highlight w:val="none"/>
        </w:rPr>
      </w:pPr>
      <w:r>
        <w:rPr>
          <w:rFonts w:hint="default" w:ascii="Arial" w:hAnsi="Arial" w:cs="Arial"/>
          <w:color w:val="auto"/>
          <w:sz w:val="22"/>
          <w:szCs w:val="22"/>
          <w:highlight w:val="none"/>
        </w:rPr>
        <w:t>日期：</w:t>
      </w:r>
    </w:p>
    <w:p>
      <w:pPr>
        <w:spacing w:line="360" w:lineRule="auto"/>
        <w:jc w:val="center"/>
        <w:rPr>
          <w:rFonts w:hint="default" w:ascii="Arial" w:hAnsi="Arial" w:cs="Arial"/>
          <w:color w:val="auto"/>
          <w:sz w:val="32"/>
          <w:szCs w:val="32"/>
          <w:highlight w:val="none"/>
        </w:rPr>
      </w:pPr>
      <w:r>
        <w:rPr>
          <w:rFonts w:hint="default" w:ascii="Arial" w:hAnsi="Arial" w:cs="Arial"/>
          <w:color w:val="auto"/>
          <w:sz w:val="22"/>
          <w:szCs w:val="22"/>
          <w:highlight w:val="none"/>
        </w:rPr>
        <w:br w:type="page"/>
      </w:r>
      <w:r>
        <w:rPr>
          <w:rFonts w:hint="eastAsia" w:ascii="Arial" w:hAnsi="Arial" w:cs="Arial"/>
          <w:b/>
          <w:bCs/>
          <w:color w:val="auto"/>
          <w:kern w:val="44"/>
          <w:sz w:val="32"/>
          <w:szCs w:val="32"/>
          <w:highlight w:val="none"/>
          <w:lang w:eastAsia="zh-CN"/>
        </w:rPr>
        <w:t>七</w:t>
      </w:r>
      <w:r>
        <w:rPr>
          <w:rFonts w:hint="default" w:ascii="Arial" w:hAnsi="Arial" w:cs="Arial"/>
          <w:b/>
          <w:bCs/>
          <w:color w:val="auto"/>
          <w:kern w:val="44"/>
          <w:sz w:val="32"/>
          <w:szCs w:val="32"/>
          <w:highlight w:val="none"/>
        </w:rPr>
        <w:t>、法定代表人授权书</w:t>
      </w:r>
      <w:bookmarkEnd w:id="213"/>
      <w:bookmarkEnd w:id="214"/>
      <w:bookmarkEnd w:id="215"/>
    </w:p>
    <w:p>
      <w:pPr>
        <w:pStyle w:val="3"/>
        <w:ind w:firstLine="0"/>
        <w:jc w:val="center"/>
        <w:rPr>
          <w:rFonts w:hint="default" w:ascii="Arial" w:hAnsi="Arial" w:cs="Arial"/>
          <w:color w:val="auto"/>
          <w:w w:val="80"/>
          <w:highlight w:val="none"/>
        </w:rPr>
      </w:pPr>
    </w:p>
    <w:p>
      <w:pPr>
        <w:pStyle w:val="3"/>
        <w:ind w:firstLine="0"/>
        <w:rPr>
          <w:rFonts w:hint="default" w:ascii="Arial" w:hAnsi="Arial" w:cs="Arial"/>
          <w:color w:val="auto"/>
          <w:w w:val="80"/>
          <w:highlight w:val="none"/>
        </w:rPr>
      </w:pPr>
    </w:p>
    <w:p>
      <w:pPr>
        <w:pStyle w:val="3"/>
        <w:spacing w:line="360" w:lineRule="auto"/>
        <w:ind w:firstLine="0"/>
        <w:rPr>
          <w:rFonts w:hint="default" w:ascii="Arial" w:hAnsi="Arial" w:cs="Arial"/>
          <w:color w:val="auto"/>
          <w:sz w:val="22"/>
          <w:szCs w:val="22"/>
          <w:highlight w:val="none"/>
        </w:rPr>
      </w:pPr>
      <w:r>
        <w:rPr>
          <w:rFonts w:hint="default" w:ascii="Arial" w:hAnsi="Arial" w:cs="Arial"/>
          <w:color w:val="auto"/>
          <w:sz w:val="22"/>
          <w:szCs w:val="22"/>
          <w:highlight w:val="none"/>
        </w:rPr>
        <w:t>致：采购人</w:t>
      </w:r>
    </w:p>
    <w:p>
      <w:pPr>
        <w:pStyle w:val="3"/>
        <w:spacing w:line="360" w:lineRule="auto"/>
        <w:ind w:firstLine="0"/>
        <w:rPr>
          <w:rFonts w:hint="default" w:ascii="Arial" w:hAnsi="Arial" w:cs="Arial"/>
          <w:color w:val="auto"/>
          <w:sz w:val="22"/>
          <w:szCs w:val="22"/>
          <w:highlight w:val="none"/>
        </w:rPr>
      </w:pPr>
    </w:p>
    <w:p>
      <w:pPr>
        <w:pStyle w:val="3"/>
        <w:spacing w:before="120" w:beforeLines="50" w:after="120" w:afterLines="50" w:line="480" w:lineRule="auto"/>
        <w:ind w:right="340" w:firstLine="516"/>
        <w:rPr>
          <w:rFonts w:hint="default" w:ascii="Arial" w:hAnsi="Arial" w:cs="Arial"/>
          <w:color w:val="auto"/>
          <w:sz w:val="22"/>
          <w:szCs w:val="22"/>
          <w:highlight w:val="none"/>
        </w:rPr>
      </w:pPr>
      <w:r>
        <w:rPr>
          <w:rFonts w:hint="default" w:ascii="Arial" w:hAnsi="Arial" w:cs="Arial"/>
          <w:color w:val="auto"/>
          <w:sz w:val="22"/>
          <w:szCs w:val="22"/>
          <w:highlight w:val="none"/>
          <w:u w:val="single"/>
        </w:rPr>
        <w:t>（投标人全称）</w:t>
      </w:r>
      <w:r>
        <w:rPr>
          <w:rFonts w:hint="default" w:ascii="Arial" w:hAnsi="Arial" w:cs="Arial"/>
          <w:color w:val="auto"/>
          <w:sz w:val="22"/>
          <w:szCs w:val="22"/>
          <w:highlight w:val="none"/>
        </w:rPr>
        <w:t>法定代表人</w:t>
      </w:r>
      <w:r>
        <w:rPr>
          <w:rFonts w:hint="default" w:ascii="Arial" w:hAnsi="Arial" w:cs="Arial"/>
          <w:color w:val="auto"/>
          <w:sz w:val="22"/>
          <w:szCs w:val="22"/>
          <w:highlight w:val="none"/>
          <w:u w:val="single"/>
        </w:rPr>
        <w:t>（姓名、职务）</w:t>
      </w:r>
      <w:r>
        <w:rPr>
          <w:rFonts w:hint="default" w:ascii="Arial" w:hAnsi="Arial" w:cs="Arial"/>
          <w:color w:val="auto"/>
          <w:sz w:val="22"/>
          <w:szCs w:val="22"/>
          <w:highlight w:val="none"/>
        </w:rPr>
        <w:t>授权</w:t>
      </w:r>
      <w:r>
        <w:rPr>
          <w:rFonts w:hint="default" w:ascii="Arial" w:hAnsi="Arial" w:cs="Arial"/>
          <w:color w:val="auto"/>
          <w:sz w:val="22"/>
          <w:szCs w:val="22"/>
          <w:highlight w:val="none"/>
          <w:u w:val="single"/>
        </w:rPr>
        <w:t>（授权代表姓名、职务）</w:t>
      </w:r>
      <w:r>
        <w:rPr>
          <w:rFonts w:hint="default" w:ascii="Arial" w:hAnsi="Arial" w:cs="Arial"/>
          <w:color w:val="auto"/>
          <w:sz w:val="22"/>
          <w:szCs w:val="22"/>
          <w:highlight w:val="none"/>
        </w:rPr>
        <w:t>为本公司合法代理人，参加贵采购代理机构组织的</w:t>
      </w:r>
      <w:r>
        <w:rPr>
          <w:rFonts w:hint="default" w:ascii="Arial" w:hAnsi="Arial" w:cs="Arial"/>
          <w:color w:val="auto"/>
          <w:sz w:val="22"/>
          <w:szCs w:val="22"/>
          <w:highlight w:val="none"/>
          <w:u w:val="single"/>
        </w:rPr>
        <w:t xml:space="preserve">        (项目名称)                      </w:t>
      </w:r>
      <w:r>
        <w:rPr>
          <w:rFonts w:hint="default" w:ascii="Arial" w:hAnsi="Arial" w:cs="Arial"/>
          <w:color w:val="auto"/>
          <w:sz w:val="22"/>
          <w:szCs w:val="22"/>
          <w:highlight w:val="none"/>
        </w:rPr>
        <w:t>项目的招标投标活动，全权代表本公司处理招标投标活动中的一切事宜。</w:t>
      </w:r>
    </w:p>
    <w:p>
      <w:pPr>
        <w:pStyle w:val="3"/>
        <w:spacing w:before="120" w:beforeLines="50" w:after="120" w:afterLines="50" w:line="480" w:lineRule="auto"/>
        <w:ind w:firstLine="426"/>
        <w:rPr>
          <w:rFonts w:hint="default" w:ascii="Arial" w:hAnsi="Arial" w:cs="Arial"/>
          <w:color w:val="auto"/>
          <w:sz w:val="22"/>
          <w:szCs w:val="22"/>
          <w:highlight w:val="none"/>
          <w:u w:val="single"/>
        </w:rPr>
      </w:pPr>
      <w:r>
        <w:rPr>
          <w:rFonts w:hint="default" w:ascii="Arial" w:hAnsi="Arial" w:cs="Arial"/>
          <w:color w:val="auto"/>
          <w:sz w:val="22"/>
          <w:szCs w:val="22"/>
          <w:highlight w:val="none"/>
        </w:rPr>
        <w:t>本授权书于</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年</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月</w:t>
      </w:r>
      <w:r>
        <w:rPr>
          <w:rFonts w:hint="default" w:ascii="Arial" w:hAnsi="Arial" w:cs="Arial"/>
          <w:color w:val="auto"/>
          <w:sz w:val="22"/>
          <w:szCs w:val="22"/>
          <w:highlight w:val="none"/>
          <w:u w:val="single"/>
        </w:rPr>
        <w:t xml:space="preserve">   </w:t>
      </w:r>
      <w:r>
        <w:rPr>
          <w:rFonts w:hint="default" w:ascii="Arial" w:hAnsi="Arial" w:cs="Arial"/>
          <w:color w:val="auto"/>
          <w:sz w:val="22"/>
          <w:szCs w:val="22"/>
          <w:highlight w:val="none"/>
        </w:rPr>
        <w:t>日签字生效，特此声明。</w:t>
      </w:r>
    </w:p>
    <w:p>
      <w:pPr>
        <w:spacing w:line="360" w:lineRule="auto"/>
        <w:contextualSpacing/>
        <w:rPr>
          <w:rFonts w:hint="default" w:ascii="Arial" w:hAnsi="Arial" w:cs="Arial"/>
          <w:bCs/>
          <w:color w:val="auto"/>
          <w:sz w:val="22"/>
          <w:szCs w:val="22"/>
          <w:highlight w:val="none"/>
        </w:rPr>
      </w:pPr>
      <w:r>
        <w:rPr>
          <w:rFonts w:hint="default" w:ascii="Arial" w:hAnsi="Arial" w:cs="Arial"/>
          <w:bCs/>
          <w:color w:val="auto"/>
          <w:sz w:val="22"/>
          <w:szCs w:val="22"/>
          <w:highlight w:val="none"/>
        </w:rPr>
        <w:t>（后附被授权人身份证正反面复印件，加盖公章）。</w:t>
      </w:r>
    </w:p>
    <w:p>
      <w:pPr>
        <w:pStyle w:val="3"/>
        <w:spacing w:line="480" w:lineRule="auto"/>
        <w:ind w:firstLine="0"/>
        <w:rPr>
          <w:rFonts w:hint="default" w:ascii="Arial" w:hAnsi="Arial" w:cs="Arial"/>
          <w:color w:val="auto"/>
          <w:sz w:val="22"/>
          <w:szCs w:val="22"/>
          <w:highlight w:val="none"/>
        </w:rPr>
      </w:pPr>
    </w:p>
    <w:p>
      <w:pPr>
        <w:pStyle w:val="3"/>
        <w:spacing w:line="480" w:lineRule="auto"/>
        <w:ind w:firstLine="0"/>
        <w:rPr>
          <w:rFonts w:hint="default" w:ascii="Arial" w:hAnsi="Arial" w:cs="Arial"/>
          <w:color w:val="auto"/>
          <w:sz w:val="22"/>
          <w:szCs w:val="22"/>
          <w:highlight w:val="none"/>
        </w:rPr>
      </w:pPr>
    </w:p>
    <w:p>
      <w:pPr>
        <w:pStyle w:val="3"/>
        <w:spacing w:line="360" w:lineRule="auto"/>
        <w:ind w:left="3969" w:firstLine="0"/>
        <w:rPr>
          <w:rFonts w:hint="default" w:ascii="Arial" w:hAnsi="Arial" w:cs="Arial"/>
          <w:color w:val="auto"/>
          <w:sz w:val="22"/>
          <w:szCs w:val="22"/>
          <w:highlight w:val="none"/>
        </w:rPr>
      </w:pPr>
      <w:r>
        <w:rPr>
          <w:rFonts w:hint="default" w:ascii="Arial" w:hAnsi="Arial" w:cs="Arial"/>
          <w:color w:val="auto"/>
          <w:sz w:val="22"/>
          <w:szCs w:val="22"/>
          <w:highlight w:val="none"/>
        </w:rPr>
        <w:t>法定代表人（签字或盖章）：</w:t>
      </w:r>
    </w:p>
    <w:p>
      <w:pPr>
        <w:pStyle w:val="3"/>
        <w:spacing w:line="360" w:lineRule="auto"/>
        <w:ind w:firstLine="0"/>
        <w:rPr>
          <w:rFonts w:hint="default" w:ascii="Arial" w:hAnsi="Arial" w:cs="Arial"/>
          <w:color w:val="auto"/>
          <w:sz w:val="22"/>
          <w:szCs w:val="22"/>
          <w:highlight w:val="none"/>
        </w:rPr>
      </w:pPr>
    </w:p>
    <w:p>
      <w:pPr>
        <w:pStyle w:val="3"/>
        <w:spacing w:line="360" w:lineRule="auto"/>
        <w:ind w:left="3969" w:firstLine="0"/>
        <w:rPr>
          <w:rFonts w:hint="default" w:ascii="Arial" w:hAnsi="Arial" w:cs="Arial"/>
          <w:color w:val="auto"/>
          <w:sz w:val="22"/>
          <w:szCs w:val="22"/>
          <w:highlight w:val="none"/>
        </w:rPr>
      </w:pPr>
      <w:r>
        <w:rPr>
          <w:rFonts w:hint="default" w:ascii="Arial" w:hAnsi="Arial" w:cs="Arial"/>
          <w:color w:val="auto"/>
          <w:sz w:val="22"/>
          <w:szCs w:val="22"/>
          <w:highlight w:val="none"/>
        </w:rPr>
        <w:t>投标人（盖章）：</w:t>
      </w:r>
    </w:p>
    <w:p>
      <w:pPr>
        <w:pStyle w:val="3"/>
        <w:spacing w:line="360" w:lineRule="auto"/>
        <w:ind w:firstLine="0"/>
        <w:rPr>
          <w:rFonts w:hint="default" w:ascii="Arial" w:hAnsi="Arial" w:cs="Arial"/>
          <w:color w:val="auto"/>
          <w:sz w:val="22"/>
          <w:szCs w:val="22"/>
          <w:highlight w:val="none"/>
        </w:rPr>
      </w:pPr>
    </w:p>
    <w:p>
      <w:pPr>
        <w:pStyle w:val="3"/>
        <w:spacing w:line="360" w:lineRule="auto"/>
        <w:ind w:left="3969" w:firstLine="0"/>
        <w:rPr>
          <w:rFonts w:hint="default" w:ascii="Arial" w:hAnsi="Arial" w:cs="Arial"/>
          <w:color w:val="auto"/>
          <w:sz w:val="22"/>
          <w:szCs w:val="22"/>
          <w:highlight w:val="none"/>
        </w:rPr>
      </w:pPr>
      <w:r>
        <w:rPr>
          <w:rFonts w:hint="default" w:ascii="Arial" w:hAnsi="Arial" w:cs="Arial"/>
          <w:color w:val="auto"/>
          <w:sz w:val="22"/>
          <w:szCs w:val="22"/>
          <w:highlight w:val="none"/>
        </w:rPr>
        <w:t>日期：</w:t>
      </w:r>
    </w:p>
    <w:p>
      <w:pPr>
        <w:pStyle w:val="3"/>
        <w:spacing w:line="360" w:lineRule="auto"/>
        <w:ind w:firstLine="0"/>
        <w:rPr>
          <w:rFonts w:hint="default" w:ascii="Arial" w:hAnsi="Arial" w:cs="Arial"/>
          <w:color w:val="auto"/>
          <w:sz w:val="22"/>
          <w:szCs w:val="22"/>
          <w:highlight w:val="none"/>
        </w:rPr>
      </w:pPr>
    </w:p>
    <w:p>
      <w:pPr>
        <w:pStyle w:val="3"/>
        <w:spacing w:line="360" w:lineRule="auto"/>
        <w:ind w:firstLine="0"/>
        <w:rPr>
          <w:rFonts w:hint="default" w:ascii="Arial" w:hAnsi="Arial" w:cs="Arial"/>
          <w:color w:val="auto"/>
          <w:sz w:val="22"/>
          <w:szCs w:val="22"/>
          <w:highlight w:val="none"/>
        </w:rPr>
      </w:pPr>
      <w:r>
        <w:rPr>
          <w:rFonts w:hint="default" w:ascii="Arial" w:hAnsi="Arial" w:cs="Arial"/>
          <w:color w:val="auto"/>
          <w:sz w:val="22"/>
          <w:szCs w:val="22"/>
          <w:highlight w:val="none"/>
        </w:rPr>
        <w:t>附：</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授权代表姓名（印刷体）：</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职务：</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授权代表（签字或盖章）：</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详细通讯地址：</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传真：</w:t>
      </w:r>
    </w:p>
    <w:p>
      <w:pPr>
        <w:pStyle w:val="3"/>
        <w:spacing w:before="60" w:after="60" w:line="360" w:lineRule="auto"/>
        <w:ind w:left="306" w:firstLine="0"/>
        <w:rPr>
          <w:rFonts w:hint="default" w:ascii="Arial" w:hAnsi="Arial" w:cs="Arial"/>
          <w:color w:val="auto"/>
          <w:sz w:val="22"/>
          <w:szCs w:val="22"/>
          <w:highlight w:val="none"/>
        </w:rPr>
      </w:pPr>
      <w:r>
        <w:rPr>
          <w:rFonts w:hint="default" w:ascii="Arial" w:hAnsi="Arial" w:cs="Arial"/>
          <w:color w:val="auto"/>
          <w:sz w:val="22"/>
          <w:szCs w:val="22"/>
          <w:highlight w:val="none"/>
        </w:rPr>
        <w:t>电话：</w:t>
      </w:r>
    </w:p>
    <w:p>
      <w:pPr>
        <w:rPr>
          <w:rFonts w:hint="default" w:ascii="Arial" w:hAnsi="Arial" w:cs="Arial"/>
          <w:color w:val="auto"/>
          <w:sz w:val="22"/>
          <w:szCs w:val="22"/>
          <w:highlight w:val="none"/>
        </w:rPr>
      </w:pPr>
    </w:p>
    <w:p>
      <w:pPr>
        <w:pStyle w:val="2"/>
        <w:rPr>
          <w:rFonts w:hint="default"/>
          <w:color w:val="auto"/>
          <w:highlight w:val="none"/>
        </w:rPr>
      </w:pPr>
    </w:p>
    <w:p>
      <w:pPr>
        <w:pStyle w:val="4"/>
        <w:numPr>
          <w:ilvl w:val="0"/>
          <w:numId w:val="0"/>
        </w:numPr>
        <w:tabs>
          <w:tab w:val="left" w:pos="4068"/>
        </w:tabs>
        <w:spacing w:after="120" w:afterLines="50" w:line="360" w:lineRule="exact"/>
        <w:jc w:val="left"/>
        <w:rPr>
          <w:rFonts w:hint="eastAsia" w:ascii="Arial" w:hAnsi="Arial" w:cs="Arial"/>
          <w:b/>
          <w:bCs/>
          <w:color w:val="auto"/>
          <w:sz w:val="22"/>
          <w:szCs w:val="22"/>
          <w:highlight w:val="none"/>
          <w:lang w:val="en-US" w:eastAsia="zh-CN"/>
        </w:rPr>
      </w:pPr>
      <w:r>
        <w:rPr>
          <w:rFonts w:hint="eastAsia" w:ascii="Arial" w:hAnsi="Arial" w:cs="Arial"/>
          <w:b/>
          <w:bCs/>
          <w:color w:val="auto"/>
          <w:sz w:val="22"/>
          <w:szCs w:val="22"/>
          <w:highlight w:val="none"/>
          <w:lang w:val="en-US" w:eastAsia="zh-CN"/>
        </w:rPr>
        <w:t>注：银行、保险、石油石化、电力、电信、移动、联通等行业，以分公司名义参加投标的，则法定代表人可为分公司负责人。</w:t>
      </w:r>
    </w:p>
    <w:p>
      <w:pPr>
        <w:pStyle w:val="4"/>
        <w:numPr>
          <w:ilvl w:val="0"/>
          <w:numId w:val="0"/>
        </w:numPr>
        <w:tabs>
          <w:tab w:val="left" w:pos="4068"/>
        </w:tabs>
        <w:spacing w:after="120" w:afterLines="50" w:line="360" w:lineRule="exact"/>
        <w:jc w:val="center"/>
        <w:rPr>
          <w:rFonts w:hint="default" w:ascii="Arial" w:hAnsi="Arial" w:cs="Arial"/>
          <w:b w:val="0"/>
          <w:color w:val="auto"/>
          <w:sz w:val="24"/>
          <w:highlight w:val="none"/>
        </w:rPr>
      </w:pPr>
      <w:r>
        <w:rPr>
          <w:rFonts w:hint="default" w:ascii="Arial" w:hAnsi="Arial" w:cs="Arial"/>
          <w:color w:val="auto"/>
          <w:w w:val="80"/>
          <w:sz w:val="22"/>
          <w:szCs w:val="22"/>
          <w:highlight w:val="none"/>
        </w:rPr>
        <w:br w:type="page"/>
      </w:r>
      <w:bookmarkStart w:id="216" w:name="_Toc498429656"/>
      <w:bookmarkStart w:id="217" w:name="_Toc505353800"/>
      <w:bookmarkStart w:id="218" w:name="_Toc50910840"/>
      <w:r>
        <w:rPr>
          <w:rFonts w:hint="eastAsia" w:ascii="Arial" w:hAnsi="Arial" w:cs="Arial"/>
          <w:color w:val="auto"/>
          <w:sz w:val="32"/>
          <w:szCs w:val="32"/>
          <w:highlight w:val="none"/>
          <w:lang w:eastAsia="zh-CN"/>
        </w:rPr>
        <w:t>八</w:t>
      </w:r>
      <w:r>
        <w:rPr>
          <w:rFonts w:hint="default" w:ascii="Arial" w:hAnsi="Arial" w:cs="Arial"/>
          <w:color w:val="auto"/>
          <w:sz w:val="32"/>
          <w:szCs w:val="32"/>
          <w:highlight w:val="none"/>
        </w:rPr>
        <w:t>、法定代表人身份证明书</w:t>
      </w:r>
      <w:bookmarkEnd w:id="216"/>
      <w:bookmarkEnd w:id="217"/>
      <w:bookmarkEnd w:id="218"/>
    </w:p>
    <w:p>
      <w:pPr>
        <w:spacing w:line="360" w:lineRule="auto"/>
        <w:rPr>
          <w:rFonts w:hint="default" w:ascii="Arial" w:hAnsi="Arial" w:cs="Arial"/>
          <w:bCs/>
          <w:color w:val="auto"/>
          <w:szCs w:val="21"/>
          <w:highlight w:val="none"/>
        </w:rPr>
      </w:pPr>
    </w:p>
    <w:p>
      <w:pPr>
        <w:spacing w:line="360" w:lineRule="auto"/>
        <w:contextualSpacing/>
        <w:rPr>
          <w:rFonts w:hint="default" w:ascii="Arial" w:hAnsi="Arial" w:cs="Arial"/>
          <w:bCs/>
          <w:color w:val="auto"/>
          <w:sz w:val="24"/>
          <w:highlight w:val="none"/>
        </w:rPr>
      </w:pPr>
    </w:p>
    <w:p>
      <w:pPr>
        <w:spacing w:line="360" w:lineRule="auto"/>
        <w:contextualSpacing/>
        <w:rPr>
          <w:rFonts w:hint="default" w:ascii="Arial" w:hAnsi="Arial" w:cs="Arial"/>
          <w:bCs/>
          <w:color w:val="auto"/>
          <w:sz w:val="24"/>
          <w:highlight w:val="none"/>
          <w:u w:val="single"/>
        </w:rPr>
      </w:pPr>
      <w:r>
        <w:rPr>
          <w:rFonts w:hint="default" w:ascii="Arial" w:hAnsi="Arial" w:cs="Arial"/>
          <w:bCs/>
          <w:color w:val="auto"/>
          <w:sz w:val="24"/>
          <w:highlight w:val="none"/>
        </w:rPr>
        <w:t>单位名称：</w:t>
      </w:r>
      <w:r>
        <w:rPr>
          <w:rFonts w:hint="default" w:ascii="Arial" w:hAnsi="Arial" w:cs="Arial"/>
          <w:bCs/>
          <w:color w:val="auto"/>
          <w:sz w:val="24"/>
          <w:highlight w:val="none"/>
          <w:u w:val="single"/>
        </w:rPr>
        <w:t xml:space="preserve">                                                                </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地    址：</w:t>
      </w:r>
      <w:r>
        <w:rPr>
          <w:rFonts w:hint="default" w:ascii="Arial" w:hAnsi="Arial" w:cs="Arial"/>
          <w:bCs/>
          <w:color w:val="auto"/>
          <w:sz w:val="24"/>
          <w:highlight w:val="none"/>
          <w:u w:val="single"/>
        </w:rPr>
        <w:t xml:space="preserve">                                                                </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姓    名：</w:t>
      </w:r>
      <w:r>
        <w:rPr>
          <w:rFonts w:hint="default" w:ascii="Arial" w:hAnsi="Arial" w:cs="Arial"/>
          <w:bCs/>
          <w:color w:val="auto"/>
          <w:sz w:val="24"/>
          <w:highlight w:val="none"/>
          <w:u w:val="single"/>
        </w:rPr>
        <w:t xml:space="preserve">                          </w:t>
      </w:r>
      <w:r>
        <w:rPr>
          <w:rFonts w:hint="default" w:ascii="Arial" w:hAnsi="Arial" w:cs="Arial"/>
          <w:bCs/>
          <w:color w:val="auto"/>
          <w:sz w:val="24"/>
          <w:highlight w:val="none"/>
        </w:rPr>
        <w:t xml:space="preserve">  性    别：</w:t>
      </w:r>
      <w:r>
        <w:rPr>
          <w:rFonts w:hint="default" w:ascii="Arial" w:hAnsi="Arial" w:cs="Arial"/>
          <w:bCs/>
          <w:color w:val="auto"/>
          <w:sz w:val="24"/>
          <w:highlight w:val="none"/>
          <w:u w:val="single"/>
        </w:rPr>
        <w:t xml:space="preserve">                          </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年    龄：</w:t>
      </w:r>
      <w:r>
        <w:rPr>
          <w:rFonts w:hint="default" w:ascii="Arial" w:hAnsi="Arial" w:cs="Arial"/>
          <w:bCs/>
          <w:color w:val="auto"/>
          <w:sz w:val="24"/>
          <w:highlight w:val="none"/>
          <w:u w:val="single"/>
        </w:rPr>
        <w:t xml:space="preserve">                          </w:t>
      </w:r>
      <w:r>
        <w:rPr>
          <w:rFonts w:hint="default" w:ascii="Arial" w:hAnsi="Arial" w:cs="Arial"/>
          <w:bCs/>
          <w:color w:val="auto"/>
          <w:sz w:val="24"/>
          <w:highlight w:val="none"/>
        </w:rPr>
        <w:t xml:space="preserve">  职    务：</w:t>
      </w:r>
      <w:r>
        <w:rPr>
          <w:rFonts w:hint="default" w:ascii="Arial" w:hAnsi="Arial" w:cs="Arial"/>
          <w:bCs/>
          <w:color w:val="auto"/>
          <w:sz w:val="24"/>
          <w:highlight w:val="none"/>
          <w:u w:val="single"/>
        </w:rPr>
        <w:t xml:space="preserve">                          </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身份证号码：</w:t>
      </w:r>
      <w:r>
        <w:rPr>
          <w:rFonts w:hint="default" w:ascii="Arial" w:hAnsi="Arial" w:cs="Arial"/>
          <w:bCs/>
          <w:color w:val="auto"/>
          <w:sz w:val="24"/>
          <w:highlight w:val="none"/>
          <w:u w:val="single"/>
        </w:rPr>
        <w:t xml:space="preserve">                     </w:t>
      </w:r>
      <w:r>
        <w:rPr>
          <w:rFonts w:hint="default" w:ascii="Arial" w:hAnsi="Arial" w:cs="Arial"/>
          <w:bCs/>
          <w:color w:val="auto"/>
          <w:sz w:val="24"/>
          <w:highlight w:val="none"/>
        </w:rPr>
        <w:t>系</w:t>
      </w:r>
      <w:r>
        <w:rPr>
          <w:rFonts w:hint="default" w:ascii="Arial" w:hAnsi="Arial" w:cs="Arial"/>
          <w:bCs/>
          <w:color w:val="auto"/>
          <w:sz w:val="24"/>
          <w:highlight w:val="none"/>
          <w:u w:val="single"/>
        </w:rPr>
        <w:t xml:space="preserve">               </w:t>
      </w:r>
      <w:r>
        <w:rPr>
          <w:rFonts w:hint="default" w:ascii="Arial" w:hAnsi="Arial" w:cs="Arial"/>
          <w:bCs/>
          <w:color w:val="auto"/>
          <w:sz w:val="24"/>
          <w:highlight w:val="none"/>
        </w:rPr>
        <w:t>（投标人单位全称）的法定代表人。</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 xml:space="preserve">    特此证明。</w:t>
      </w:r>
    </w:p>
    <w:p>
      <w:pPr>
        <w:spacing w:line="360" w:lineRule="auto"/>
        <w:contextualSpacing/>
        <w:rPr>
          <w:rFonts w:hint="default" w:ascii="Arial" w:hAnsi="Arial" w:cs="Arial"/>
          <w:bCs/>
          <w:color w:val="auto"/>
          <w:sz w:val="24"/>
          <w:highlight w:val="none"/>
        </w:rPr>
      </w:pP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（后附法定代表人身份证正反面复印件，加盖公章）</w:t>
      </w:r>
    </w:p>
    <w:p>
      <w:pPr>
        <w:spacing w:line="360" w:lineRule="auto"/>
        <w:contextualSpacing/>
        <w:rPr>
          <w:rFonts w:hint="default" w:ascii="Arial" w:hAnsi="Arial" w:cs="Arial"/>
          <w:bCs/>
          <w:color w:val="auto"/>
          <w:sz w:val="24"/>
          <w:highlight w:val="none"/>
        </w:rPr>
      </w:pPr>
    </w:p>
    <w:p>
      <w:pPr>
        <w:spacing w:line="360" w:lineRule="auto"/>
        <w:contextualSpacing/>
        <w:rPr>
          <w:rFonts w:hint="default" w:ascii="Arial" w:hAnsi="Arial" w:cs="Arial"/>
          <w:bCs/>
          <w:color w:val="auto"/>
          <w:sz w:val="24"/>
          <w:highlight w:val="none"/>
        </w:rPr>
      </w:pPr>
    </w:p>
    <w:p>
      <w:pPr>
        <w:spacing w:line="360" w:lineRule="auto"/>
        <w:contextualSpacing/>
        <w:rPr>
          <w:rFonts w:hint="default" w:ascii="Arial" w:hAnsi="Arial" w:cs="Arial"/>
          <w:bCs/>
          <w:color w:val="auto"/>
          <w:sz w:val="24"/>
          <w:highlight w:val="none"/>
        </w:rPr>
      </w:pP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投标人（盖章）：</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法定代表人（签字或盖章）：</w:t>
      </w:r>
    </w:p>
    <w:p>
      <w:pPr>
        <w:spacing w:line="360" w:lineRule="auto"/>
        <w:contextualSpacing/>
        <w:rPr>
          <w:rFonts w:hint="default" w:ascii="Arial" w:hAnsi="Arial" w:cs="Arial"/>
          <w:bCs/>
          <w:color w:val="auto"/>
          <w:sz w:val="24"/>
          <w:highlight w:val="none"/>
        </w:rPr>
      </w:pPr>
      <w:r>
        <w:rPr>
          <w:rFonts w:hint="default" w:ascii="Arial" w:hAnsi="Arial" w:cs="Arial"/>
          <w:bCs/>
          <w:color w:val="auto"/>
          <w:sz w:val="24"/>
          <w:highlight w:val="none"/>
        </w:rPr>
        <w:t>日期：</w:t>
      </w: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default"/>
          <w:color w:val="auto"/>
          <w:highlight w:val="none"/>
        </w:rPr>
      </w:pPr>
    </w:p>
    <w:p>
      <w:pPr>
        <w:rPr>
          <w:rFonts w:hint="default" w:ascii="Arial" w:hAnsi="Arial" w:cs="Arial"/>
          <w:bCs/>
          <w:color w:val="auto"/>
          <w:sz w:val="24"/>
          <w:highlight w:val="none"/>
        </w:rPr>
      </w:pPr>
    </w:p>
    <w:p>
      <w:pPr>
        <w:pStyle w:val="2"/>
        <w:rPr>
          <w:rFonts w:hint="default"/>
          <w:color w:val="auto"/>
          <w:highlight w:val="none"/>
        </w:rPr>
      </w:pPr>
    </w:p>
    <w:p>
      <w:pPr>
        <w:rPr>
          <w:rFonts w:hint="default" w:ascii="Arial" w:hAnsi="Arial" w:cs="Arial"/>
          <w:bCs/>
          <w:color w:val="auto"/>
          <w:sz w:val="24"/>
          <w:highlight w:val="none"/>
        </w:rPr>
      </w:pPr>
    </w:p>
    <w:p>
      <w:pPr>
        <w:pStyle w:val="2"/>
        <w:rPr>
          <w:rFonts w:hint="default" w:ascii="Arial" w:hAnsi="Arial" w:cs="Arial"/>
          <w:bCs/>
          <w:color w:val="auto"/>
          <w:sz w:val="24"/>
          <w:highlight w:val="none"/>
        </w:rPr>
      </w:pPr>
    </w:p>
    <w:p>
      <w:pPr>
        <w:rPr>
          <w:rFonts w:hint="eastAsia" w:eastAsia="宋体"/>
          <w:color w:val="auto"/>
          <w:highlight w:val="none"/>
          <w:lang w:eastAsia="zh-CN"/>
        </w:rPr>
        <w:sectPr>
          <w:footerReference r:id="rId7" w:type="first"/>
          <w:footerReference r:id="rId6" w:type="default"/>
          <w:pgSz w:w="11907" w:h="16840"/>
          <w:pgMar w:top="1134" w:right="1531" w:bottom="1134" w:left="1531" w:header="425" w:footer="709" w:gutter="0"/>
          <w:pgBorders w:offsetFrom="page">
            <w:top w:val="none" w:sz="0" w:space="0"/>
            <w:left w:val="none" w:sz="0" w:space="0"/>
            <w:bottom w:val="none" w:sz="0" w:space="0"/>
            <w:right w:val="none" w:sz="0" w:space="0"/>
          </w:pgBorders>
          <w:cols w:space="720" w:num="1"/>
          <w:docGrid w:linePitch="285" w:charSpace="0"/>
        </w:sectPr>
      </w:pPr>
      <w:r>
        <w:rPr>
          <w:rFonts w:hint="eastAsia" w:ascii="Arial" w:hAnsi="Arial" w:cs="Arial"/>
          <w:b/>
          <w:bCs/>
          <w:color w:val="auto"/>
          <w:sz w:val="22"/>
          <w:szCs w:val="22"/>
          <w:highlight w:val="none"/>
          <w:lang w:val="en-US" w:eastAsia="zh-CN"/>
        </w:rPr>
        <w:t>注：银行、保险、石油石化、电力、电信、移动、联通等行业，以分公司名义参加投标的，则法定代表人可为分公司负责人。</w:t>
      </w:r>
    </w:p>
    <w:p>
      <w:pPr>
        <w:pStyle w:val="4"/>
        <w:numPr>
          <w:ilvl w:val="0"/>
          <w:numId w:val="0"/>
        </w:numPr>
        <w:tabs>
          <w:tab w:val="left" w:pos="4068"/>
        </w:tabs>
        <w:spacing w:after="120" w:afterLines="50" w:line="360" w:lineRule="exact"/>
        <w:ind w:leftChars="0"/>
        <w:jc w:val="center"/>
        <w:rPr>
          <w:rFonts w:hint="eastAsia" w:ascii="Arial" w:hAnsi="Arial" w:cs="Arial"/>
          <w:b/>
          <w:bCs/>
          <w:color w:val="auto"/>
          <w:sz w:val="32"/>
          <w:szCs w:val="32"/>
          <w:highlight w:val="none"/>
        </w:rPr>
      </w:pPr>
      <w:bookmarkStart w:id="219" w:name="_Toc505353801"/>
      <w:bookmarkStart w:id="220" w:name="_Toc498429657"/>
      <w:bookmarkStart w:id="221" w:name="_Toc50910843"/>
      <w:bookmarkStart w:id="222" w:name="_Toc496003223"/>
      <w:r>
        <w:rPr>
          <w:rFonts w:hint="eastAsia" w:ascii="Arial" w:hAnsi="Arial" w:cs="Arial"/>
          <w:color w:val="auto"/>
          <w:sz w:val="32"/>
          <w:szCs w:val="32"/>
          <w:highlight w:val="none"/>
          <w:lang w:eastAsia="zh-CN"/>
        </w:rPr>
        <w:t>九、</w:t>
      </w:r>
      <w:r>
        <w:rPr>
          <w:rFonts w:hint="default" w:ascii="Arial" w:hAnsi="Arial" w:cs="Arial"/>
          <w:color w:val="auto"/>
          <w:sz w:val="32"/>
          <w:szCs w:val="32"/>
          <w:highlight w:val="none"/>
        </w:rPr>
        <w:t>中小企业声</w:t>
      </w:r>
      <w:r>
        <w:rPr>
          <w:rFonts w:hint="default" w:ascii="Arial" w:hAnsi="Arial" w:cs="Arial"/>
          <w:b/>
          <w:bCs/>
          <w:color w:val="auto"/>
          <w:sz w:val="32"/>
          <w:szCs w:val="32"/>
          <w:highlight w:val="none"/>
        </w:rPr>
        <w:t>明函</w:t>
      </w:r>
      <w:bookmarkEnd w:id="219"/>
      <w:bookmarkEnd w:id="220"/>
      <w:bookmarkEnd w:id="221"/>
      <w:bookmarkEnd w:id="222"/>
      <w:bookmarkStart w:id="223" w:name="_Toc505353802"/>
      <w:bookmarkStart w:id="224" w:name="_Toc50910844"/>
      <w:r>
        <w:rPr>
          <w:rFonts w:hint="eastAsia" w:ascii="Arial" w:hAnsi="Arial" w:cs="Arial"/>
          <w:b/>
          <w:bCs/>
          <w:color w:val="auto"/>
          <w:sz w:val="32"/>
          <w:szCs w:val="32"/>
          <w:highlight w:val="none"/>
        </w:rPr>
        <w:t>（货物）</w:t>
      </w:r>
    </w:p>
    <w:p>
      <w:pPr>
        <w:numPr>
          <w:ilvl w:val="0"/>
          <w:numId w:val="0"/>
        </w:numPr>
        <w:ind w:leftChars="0"/>
        <w:rPr>
          <w:rFonts w:hint="eastAsia" w:eastAsia="宋体"/>
          <w:color w:val="auto"/>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textAlignment w:val="auto"/>
        <w:rPr>
          <w:rFonts w:hint="eastAsia"/>
          <w:color w:val="auto"/>
          <w:sz w:val="21"/>
          <w:szCs w:val="21"/>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本公司郑重声明，根据《政府采购促进中小企业发展管理办法》（财库﹝2020﹞46 号）的规定，本公司参加</w:t>
      </w:r>
      <w:r>
        <w:rPr>
          <w:rFonts w:hint="eastAsia"/>
          <w:color w:val="auto"/>
          <w:sz w:val="24"/>
          <w:szCs w:val="24"/>
          <w:highlight w:val="none"/>
          <w:u w:val="single"/>
        </w:rPr>
        <w:t>（单位名称）</w:t>
      </w:r>
      <w:r>
        <w:rPr>
          <w:rFonts w:hint="eastAsia"/>
          <w:color w:val="auto"/>
          <w:sz w:val="24"/>
          <w:szCs w:val="24"/>
          <w:highlight w:val="none"/>
        </w:rPr>
        <w:t>的</w:t>
      </w:r>
      <w:r>
        <w:rPr>
          <w:rFonts w:hint="eastAsia"/>
          <w:color w:val="auto"/>
          <w:sz w:val="24"/>
          <w:szCs w:val="24"/>
          <w:highlight w:val="none"/>
          <w:u w:val="single"/>
        </w:rPr>
        <w:t>（项目名称）</w:t>
      </w:r>
      <w:r>
        <w:rPr>
          <w:rFonts w:hint="eastAsia"/>
          <w:color w:val="auto"/>
          <w:sz w:val="24"/>
          <w:szCs w:val="24"/>
          <w:highlight w:val="none"/>
        </w:rPr>
        <w:t>采购活动，提供的货物全部由符合政策要求的中小企业制造。相关企业（含签订分包意向协议的中小企业）的具体情况如下：</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1. </w:t>
      </w:r>
      <w:r>
        <w:rPr>
          <w:rFonts w:hint="eastAsia"/>
          <w:color w:val="auto"/>
          <w:sz w:val="24"/>
          <w:szCs w:val="24"/>
          <w:highlight w:val="none"/>
          <w:u w:val="single"/>
        </w:rPr>
        <w:t>（标的名称）</w:t>
      </w:r>
      <w:r>
        <w:rPr>
          <w:rFonts w:hint="eastAsia"/>
          <w:color w:val="auto"/>
          <w:sz w:val="24"/>
          <w:szCs w:val="24"/>
          <w:highlight w:val="none"/>
        </w:rPr>
        <w:t xml:space="preserve"> ，属于</w:t>
      </w:r>
      <w:r>
        <w:rPr>
          <w:rFonts w:hint="eastAsia"/>
          <w:color w:val="auto"/>
          <w:sz w:val="24"/>
          <w:szCs w:val="24"/>
          <w:highlight w:val="none"/>
          <w:u w:val="single"/>
        </w:rPr>
        <w:t>（采购文件中明确的所属行业）</w:t>
      </w:r>
      <w:r>
        <w:rPr>
          <w:rFonts w:hint="eastAsia"/>
          <w:color w:val="auto"/>
          <w:sz w:val="24"/>
          <w:szCs w:val="24"/>
          <w:highlight w:val="none"/>
        </w:rPr>
        <w:t>行业；制造商为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rPr>
        <w:t>（中型企业</w:t>
      </w:r>
      <w:r>
        <w:rPr>
          <w:rFonts w:hint="eastAsia"/>
          <w:color w:val="auto"/>
          <w:sz w:val="24"/>
          <w:szCs w:val="24"/>
          <w:highlight w:val="none"/>
          <w:u w:val="single"/>
          <w:lang w:val="en-US" w:eastAsia="zh-CN"/>
        </w:rPr>
        <w:t>/</w:t>
      </w:r>
      <w:r>
        <w:rPr>
          <w:rFonts w:hint="eastAsia"/>
          <w:color w:val="auto"/>
          <w:sz w:val="24"/>
          <w:szCs w:val="24"/>
          <w:highlight w:val="none"/>
          <w:u w:val="single"/>
        </w:rPr>
        <w:t>小型企业</w:t>
      </w:r>
      <w:r>
        <w:rPr>
          <w:rFonts w:hint="eastAsia"/>
          <w:color w:val="auto"/>
          <w:sz w:val="24"/>
          <w:szCs w:val="24"/>
          <w:highlight w:val="none"/>
          <w:u w:val="single"/>
          <w:lang w:val="en-US" w:eastAsia="zh-CN"/>
        </w:rPr>
        <w:t>/</w:t>
      </w:r>
      <w:r>
        <w:rPr>
          <w:rFonts w:hint="eastAsia"/>
          <w:color w:val="auto"/>
          <w:sz w:val="24"/>
          <w:szCs w:val="24"/>
          <w:highlight w:val="none"/>
          <w:u w:val="single"/>
        </w:rPr>
        <w:t>微型企业）</w:t>
      </w:r>
      <w:r>
        <w:rPr>
          <w:rFonts w:hint="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 xml:space="preserve">2.  </w:t>
      </w:r>
      <w:r>
        <w:rPr>
          <w:rFonts w:hint="eastAsia"/>
          <w:color w:val="auto"/>
          <w:sz w:val="24"/>
          <w:szCs w:val="24"/>
          <w:highlight w:val="none"/>
          <w:u w:val="single"/>
        </w:rPr>
        <w:t>（标的名称）</w:t>
      </w:r>
      <w:r>
        <w:rPr>
          <w:rFonts w:hint="eastAsia"/>
          <w:color w:val="auto"/>
          <w:sz w:val="24"/>
          <w:szCs w:val="24"/>
          <w:highlight w:val="none"/>
        </w:rPr>
        <w:t xml:space="preserve"> ，属于</w:t>
      </w:r>
      <w:r>
        <w:rPr>
          <w:rFonts w:hint="eastAsia"/>
          <w:color w:val="auto"/>
          <w:sz w:val="24"/>
          <w:szCs w:val="24"/>
          <w:highlight w:val="none"/>
          <w:u w:val="single"/>
        </w:rPr>
        <w:t>（采购文件中明确的所属行业）</w:t>
      </w:r>
      <w:r>
        <w:rPr>
          <w:rFonts w:hint="eastAsia"/>
          <w:color w:val="auto"/>
          <w:sz w:val="24"/>
          <w:szCs w:val="24"/>
          <w:highlight w:val="none"/>
        </w:rPr>
        <w:t>行业；制造商为</w:t>
      </w:r>
      <w:r>
        <w:rPr>
          <w:rFonts w:hint="eastAsia"/>
          <w:color w:val="auto"/>
          <w:sz w:val="24"/>
          <w:szCs w:val="24"/>
          <w:highlight w:val="none"/>
          <w:u w:val="single"/>
        </w:rPr>
        <w:t>（企业名称）</w:t>
      </w:r>
      <w:r>
        <w:rPr>
          <w:rFonts w:hint="eastAsia"/>
          <w:color w:val="auto"/>
          <w:sz w:val="24"/>
          <w:szCs w:val="24"/>
          <w:highlight w:val="none"/>
        </w:rPr>
        <w:t>，从业人员</w:t>
      </w:r>
      <w:r>
        <w:rPr>
          <w:rFonts w:hint="eastAsia"/>
          <w:color w:val="auto"/>
          <w:sz w:val="24"/>
          <w:szCs w:val="24"/>
          <w:highlight w:val="none"/>
          <w:u w:val="single"/>
          <w:lang w:val="en-US" w:eastAsia="zh-CN"/>
        </w:rPr>
        <w:t xml:space="preserve">      </w:t>
      </w:r>
      <w:r>
        <w:rPr>
          <w:rFonts w:hint="eastAsia"/>
          <w:color w:val="auto"/>
          <w:sz w:val="24"/>
          <w:szCs w:val="24"/>
          <w:highlight w:val="none"/>
        </w:rPr>
        <w:t>人，营业收入为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万元，资产总额为</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rPr>
        <w:t>万元，属于</w:t>
      </w:r>
      <w:r>
        <w:rPr>
          <w:rFonts w:hint="eastAsia"/>
          <w:color w:val="auto"/>
          <w:sz w:val="24"/>
          <w:szCs w:val="24"/>
          <w:highlight w:val="none"/>
          <w:u w:val="single"/>
        </w:rPr>
        <w:t>（中型企业</w:t>
      </w:r>
      <w:r>
        <w:rPr>
          <w:rFonts w:hint="eastAsia"/>
          <w:color w:val="auto"/>
          <w:sz w:val="24"/>
          <w:szCs w:val="24"/>
          <w:highlight w:val="none"/>
          <w:u w:val="single"/>
          <w:lang w:val="en-US" w:eastAsia="zh-CN"/>
        </w:rPr>
        <w:t>/</w:t>
      </w:r>
      <w:r>
        <w:rPr>
          <w:rFonts w:hint="eastAsia"/>
          <w:color w:val="auto"/>
          <w:sz w:val="24"/>
          <w:szCs w:val="24"/>
          <w:highlight w:val="none"/>
          <w:u w:val="single"/>
        </w:rPr>
        <w:t>小型企业</w:t>
      </w:r>
      <w:r>
        <w:rPr>
          <w:rFonts w:hint="eastAsia"/>
          <w:color w:val="auto"/>
          <w:sz w:val="24"/>
          <w:szCs w:val="24"/>
          <w:highlight w:val="none"/>
          <w:u w:val="single"/>
          <w:lang w:val="en-US" w:eastAsia="zh-CN"/>
        </w:rPr>
        <w:t>/</w:t>
      </w:r>
      <w:r>
        <w:rPr>
          <w:rFonts w:hint="eastAsia"/>
          <w:color w:val="auto"/>
          <w:sz w:val="24"/>
          <w:szCs w:val="24"/>
          <w:highlight w:val="none"/>
          <w:u w:val="single"/>
        </w:rPr>
        <w:t>微型企业）</w:t>
      </w:r>
      <w:r>
        <w:rPr>
          <w:rFonts w:hint="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500" w:firstLineChars="2500"/>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500" w:firstLineChars="2500"/>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500" w:firstLineChars="2500"/>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500" w:firstLineChars="2500"/>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企业名称（盖章）：</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480" w:firstLineChars="200"/>
        <w:jc w:val="right"/>
        <w:textAlignment w:val="auto"/>
        <w:rPr>
          <w:rFonts w:hint="eastAsia"/>
          <w:color w:val="auto"/>
          <w:sz w:val="24"/>
          <w:szCs w:val="24"/>
          <w:highlight w:val="none"/>
        </w:rPr>
      </w:pPr>
      <w:r>
        <w:rPr>
          <w:rFonts w:hint="eastAsia"/>
          <w:color w:val="auto"/>
          <w:sz w:val="24"/>
          <w:szCs w:val="24"/>
          <w:highlight w:val="none"/>
        </w:rPr>
        <w:t>日 期：</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r>
        <w:rPr>
          <w:rFonts w:hint="eastAsia"/>
          <w:color w:val="auto"/>
          <w:sz w:val="22"/>
          <w:szCs w:val="22"/>
          <w:highlight w:val="none"/>
          <w:lang w:eastAsia="zh-CN"/>
        </w:rPr>
        <w:t>注：</w:t>
      </w:r>
      <w:r>
        <w:rPr>
          <w:rFonts w:hint="eastAsia"/>
          <w:color w:val="auto"/>
          <w:sz w:val="22"/>
          <w:szCs w:val="22"/>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color w:val="auto"/>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b/>
          <w:bCs/>
          <w:color w:val="auto"/>
          <w:sz w:val="21"/>
          <w:szCs w:val="21"/>
          <w:highlight w:val="none"/>
        </w:rPr>
      </w:pPr>
    </w:p>
    <w:p>
      <w:pPr>
        <w:pStyle w:val="5"/>
        <w:spacing w:before="0" w:after="0" w:line="240" w:lineRule="auto"/>
        <w:ind w:right="-567"/>
        <w:jc w:val="center"/>
        <w:rPr>
          <w:rFonts w:hint="default" w:ascii="Arial" w:hAnsi="Arial" w:cs="Arial"/>
          <w:color w:val="auto"/>
          <w:highlight w:val="none"/>
        </w:rPr>
      </w:pPr>
      <w:r>
        <w:rPr>
          <w:rFonts w:hint="default" w:ascii="Arial" w:hAnsi="Arial" w:eastAsia="宋体" w:cs="Arial"/>
          <w:bCs w:val="0"/>
          <w:color w:val="auto"/>
          <w:sz w:val="30"/>
          <w:szCs w:val="30"/>
          <w:highlight w:val="none"/>
        </w:rPr>
        <w:t>十、残疾人福利性单位声明函</w:t>
      </w:r>
      <w:bookmarkEnd w:id="223"/>
      <w:bookmarkEnd w:id="224"/>
    </w:p>
    <w:p>
      <w:pPr>
        <w:pStyle w:val="3"/>
        <w:spacing w:line="360" w:lineRule="auto"/>
        <w:ind w:firstLine="0"/>
        <w:jc w:val="center"/>
        <w:rPr>
          <w:rFonts w:hint="default" w:ascii="Arial" w:hAnsi="Arial" w:cs="Arial"/>
          <w:b/>
          <w:color w:val="auto"/>
          <w:sz w:val="28"/>
          <w:szCs w:val="28"/>
          <w:highlight w:val="none"/>
        </w:rPr>
      </w:pPr>
    </w:p>
    <w:p>
      <w:pPr>
        <w:pStyle w:val="3"/>
        <w:spacing w:line="360" w:lineRule="auto"/>
        <w:ind w:firstLine="0"/>
        <w:jc w:val="center"/>
        <w:rPr>
          <w:rFonts w:hint="default" w:ascii="Arial" w:hAnsi="Arial" w:cs="Arial"/>
          <w:b/>
          <w:color w:val="auto"/>
          <w:sz w:val="28"/>
          <w:szCs w:val="28"/>
          <w:highlight w:val="none"/>
        </w:rPr>
      </w:pPr>
    </w:p>
    <w:p>
      <w:pPr>
        <w:spacing w:line="360" w:lineRule="auto"/>
        <w:ind w:firstLine="480" w:firstLineChars="200"/>
        <w:contextualSpacing/>
        <w:rPr>
          <w:rFonts w:hint="default" w:ascii="Arial" w:hAnsi="Arial" w:cs="Arial"/>
          <w:color w:val="auto"/>
          <w:sz w:val="24"/>
          <w:highlight w:val="none"/>
        </w:rPr>
      </w:pPr>
      <w:r>
        <w:rPr>
          <w:rFonts w:hint="default" w:ascii="Arial" w:hAnsi="Arial" w:cs="Arial"/>
          <w:color w:val="auto"/>
          <w:sz w:val="24"/>
          <w:highlight w:val="none"/>
        </w:rPr>
        <w:t>本单位郑重声明，根据《财政部 民政部 中国残疾人联合会关于促进残疾人就业政府采购政策的通知》（财库〔2018〕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hint="default" w:ascii="Arial" w:hAnsi="Arial" w:cs="Arial"/>
          <w:color w:val="auto"/>
          <w:sz w:val="24"/>
          <w:highlight w:val="none"/>
        </w:rPr>
      </w:pPr>
      <w:r>
        <w:rPr>
          <w:rFonts w:hint="default" w:ascii="Arial" w:hAnsi="Arial" w:cs="Arial"/>
          <w:color w:val="auto"/>
          <w:sz w:val="24"/>
          <w:highlight w:val="none"/>
        </w:rPr>
        <w:t>本单位对上述声明的真实性负责。如有虚假，将依法承担相应责任。</w:t>
      </w:r>
    </w:p>
    <w:p>
      <w:pPr>
        <w:spacing w:line="360" w:lineRule="auto"/>
        <w:ind w:firstLine="504" w:firstLineChars="200"/>
        <w:contextualSpacing/>
        <w:rPr>
          <w:rFonts w:hint="default" w:ascii="Arial" w:hAnsi="Arial" w:cs="Arial"/>
          <w:color w:val="auto"/>
          <w:spacing w:val="6"/>
          <w:sz w:val="24"/>
          <w:highlight w:val="none"/>
        </w:rPr>
      </w:pPr>
    </w:p>
    <w:p>
      <w:pPr>
        <w:spacing w:line="360" w:lineRule="auto"/>
        <w:ind w:firstLine="504" w:firstLineChars="200"/>
        <w:contextualSpacing/>
        <w:rPr>
          <w:rFonts w:hint="default" w:ascii="Arial" w:hAnsi="Arial" w:cs="Arial"/>
          <w:color w:val="auto"/>
          <w:spacing w:val="6"/>
          <w:sz w:val="24"/>
          <w:highlight w:val="none"/>
        </w:rPr>
      </w:pPr>
    </w:p>
    <w:p>
      <w:pPr>
        <w:tabs>
          <w:tab w:val="left" w:pos="4860"/>
        </w:tabs>
        <w:spacing w:line="360" w:lineRule="auto"/>
        <w:ind w:right="1560" w:firstLine="504" w:firstLineChars="200"/>
        <w:contextualSpacing/>
        <w:jc w:val="center"/>
        <w:rPr>
          <w:rFonts w:hint="default" w:ascii="Arial" w:hAnsi="Arial" w:cs="Arial"/>
          <w:color w:val="auto"/>
          <w:spacing w:val="6"/>
          <w:sz w:val="24"/>
          <w:highlight w:val="none"/>
        </w:rPr>
      </w:pPr>
      <w:r>
        <w:rPr>
          <w:rFonts w:hint="default" w:ascii="Arial" w:hAnsi="Arial" w:cs="Arial"/>
          <w:color w:val="auto"/>
          <w:spacing w:val="6"/>
          <w:sz w:val="24"/>
          <w:highlight w:val="none"/>
        </w:rPr>
        <w:t xml:space="preserve">                                企业名称（盖章）： </w:t>
      </w:r>
    </w:p>
    <w:p>
      <w:pPr>
        <w:spacing w:line="360" w:lineRule="auto"/>
        <w:contextualSpacing/>
        <w:jc w:val="left"/>
        <w:rPr>
          <w:rFonts w:hint="default" w:ascii="Arial" w:hAnsi="Arial" w:cs="Arial"/>
          <w:color w:val="auto"/>
          <w:spacing w:val="6"/>
          <w:sz w:val="24"/>
          <w:highlight w:val="none"/>
        </w:rPr>
      </w:pPr>
      <w:r>
        <w:rPr>
          <w:rFonts w:hint="default" w:ascii="Arial" w:hAnsi="Arial" w:cs="Arial"/>
          <w:color w:val="auto"/>
          <w:spacing w:val="6"/>
          <w:sz w:val="24"/>
          <w:highlight w:val="none"/>
        </w:rPr>
        <w:t xml:space="preserve">                                            日  期：</w:t>
      </w:r>
    </w:p>
    <w:p>
      <w:pPr>
        <w:adjustRightInd w:val="0"/>
        <w:snapToGrid w:val="0"/>
        <w:spacing w:line="360" w:lineRule="auto"/>
        <w:rPr>
          <w:rFonts w:hint="default" w:ascii="Arial" w:hAnsi="Arial" w:cs="Arial"/>
          <w:b/>
          <w:bCs/>
          <w:color w:val="auto"/>
          <w:spacing w:val="6"/>
          <w:szCs w:val="21"/>
          <w:highlight w:val="none"/>
        </w:rPr>
      </w:pPr>
    </w:p>
    <w:p>
      <w:pPr>
        <w:adjustRightInd w:val="0"/>
        <w:snapToGrid w:val="0"/>
        <w:spacing w:line="360" w:lineRule="auto"/>
        <w:rPr>
          <w:rFonts w:hint="default" w:ascii="Arial" w:hAnsi="Arial" w:cs="Arial"/>
          <w:b/>
          <w:bCs/>
          <w:color w:val="auto"/>
          <w:spacing w:val="6"/>
          <w:szCs w:val="21"/>
          <w:highlight w:val="none"/>
        </w:rPr>
      </w:pPr>
    </w:p>
    <w:p>
      <w:pPr>
        <w:adjustRightInd w:val="0"/>
        <w:snapToGrid w:val="0"/>
        <w:spacing w:line="360" w:lineRule="auto"/>
        <w:rPr>
          <w:rFonts w:hint="default" w:ascii="Arial" w:hAnsi="Arial" w:cs="Arial"/>
          <w:b/>
          <w:bCs/>
          <w:color w:val="auto"/>
          <w:spacing w:val="6"/>
          <w:szCs w:val="21"/>
          <w:highlight w:val="none"/>
        </w:rPr>
      </w:pPr>
      <w:r>
        <w:rPr>
          <w:rFonts w:hint="default" w:ascii="Arial" w:hAnsi="Arial" w:cs="Arial"/>
          <w:b/>
          <w:bCs/>
          <w:color w:val="auto"/>
          <w:spacing w:val="6"/>
          <w:szCs w:val="21"/>
          <w:highlight w:val="none"/>
        </w:rPr>
        <w:t>注：</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1、如供应商为非残疾人福利性单位的可不提供本声明函。</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2、享受政府采购支持政策的残疾人福利性单位应当同时满足以下条件：</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（一）安置的残疾人占本单位在职职工人数的比例不低于25%（含25%），并且安置的残疾人人数不少于10人（含10人）；</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（二）依法与安置的每位残疾人签订了一年以上（含一年）的劳动合同或服务协议；</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（三）为安置的每位残疾人按月足额缴纳了基本养老保险、基本医疗保险、失业保险、工伤保险和生育保险等社会保险费；</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（四）通过银行等金融机构向安置的每位残疾人，按月支付了不低于单位所在区县适用的经省级人民政府批准的月最低工资标准的工资；</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rPr>
          <w:rFonts w:hint="default" w:ascii="Arial" w:hAnsi="Arial" w:cs="Arial"/>
          <w:color w:val="auto"/>
          <w:spacing w:val="6"/>
          <w:szCs w:val="21"/>
          <w:highlight w:val="none"/>
        </w:rPr>
      </w:pPr>
      <w:r>
        <w:rPr>
          <w:rFonts w:hint="default" w:ascii="Arial" w:hAnsi="Arial" w:cs="Arial"/>
          <w:color w:val="auto"/>
          <w:spacing w:val="6"/>
          <w:szCs w:val="21"/>
          <w:highlight w:val="none"/>
        </w:rPr>
        <w:t>（六）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adjustRightInd w:val="0"/>
        <w:snapToGrid w:val="0"/>
        <w:spacing w:line="360" w:lineRule="auto"/>
        <w:rPr>
          <w:rFonts w:hint="default" w:ascii="Arial" w:hAnsi="Arial" w:cs="Arial"/>
          <w:color w:val="auto"/>
          <w:spacing w:val="6"/>
          <w:szCs w:val="21"/>
          <w:highlight w:val="none"/>
        </w:rPr>
      </w:pPr>
    </w:p>
    <w:p>
      <w:pPr>
        <w:adjustRightInd w:val="0"/>
        <w:snapToGrid w:val="0"/>
        <w:spacing w:line="360" w:lineRule="auto"/>
        <w:rPr>
          <w:rFonts w:hint="default" w:ascii="Arial" w:hAnsi="Arial" w:cs="Arial"/>
          <w:color w:val="auto"/>
          <w:spacing w:val="6"/>
          <w:szCs w:val="21"/>
          <w:highlight w:val="none"/>
        </w:rPr>
      </w:pPr>
    </w:p>
    <w:p>
      <w:pPr>
        <w:adjustRightInd w:val="0"/>
        <w:snapToGrid w:val="0"/>
        <w:spacing w:line="360" w:lineRule="auto"/>
        <w:rPr>
          <w:rFonts w:hint="default" w:ascii="Arial" w:hAnsi="Arial" w:cs="Arial"/>
          <w:color w:val="auto"/>
          <w:spacing w:val="6"/>
          <w:szCs w:val="21"/>
          <w:highlight w:val="none"/>
        </w:rPr>
      </w:pPr>
    </w:p>
    <w:p>
      <w:pPr>
        <w:rPr>
          <w:rFonts w:hint="default" w:ascii="Arial" w:hAnsi="Arial" w:cs="Arial"/>
          <w:b/>
          <w:color w:val="auto"/>
          <w:sz w:val="18"/>
          <w:szCs w:val="18"/>
          <w:highlight w:val="none"/>
        </w:rPr>
      </w:pPr>
      <w:r>
        <w:rPr>
          <w:rFonts w:hint="default" w:ascii="Arial" w:hAnsi="Arial" w:cs="Arial"/>
          <w:b/>
          <w:color w:val="auto"/>
          <w:sz w:val="18"/>
          <w:szCs w:val="18"/>
          <w:highlight w:val="none"/>
        </w:rPr>
        <w:t xml:space="preserve"> </w:t>
      </w:r>
    </w:p>
    <w:p>
      <w:pPr>
        <w:spacing w:line="360" w:lineRule="auto"/>
        <w:contextualSpacing/>
        <w:jc w:val="center"/>
        <w:rPr>
          <w:rFonts w:hint="default" w:ascii="Arial" w:hAnsi="Arial" w:cs="Arial"/>
          <w:b/>
          <w:color w:val="auto"/>
          <w:sz w:val="30"/>
          <w:szCs w:val="30"/>
          <w:highlight w:val="none"/>
        </w:rPr>
      </w:pPr>
      <w:r>
        <w:rPr>
          <w:rFonts w:hint="default" w:ascii="Arial" w:hAnsi="Arial" w:cs="Arial"/>
          <w:b/>
          <w:color w:val="auto"/>
          <w:sz w:val="30"/>
          <w:szCs w:val="30"/>
          <w:highlight w:val="none"/>
        </w:rPr>
        <w:t>十</w:t>
      </w:r>
      <w:r>
        <w:rPr>
          <w:rFonts w:hint="eastAsia" w:ascii="Arial" w:hAnsi="Arial" w:cs="Arial"/>
          <w:b/>
          <w:color w:val="auto"/>
          <w:sz w:val="30"/>
          <w:szCs w:val="30"/>
          <w:highlight w:val="none"/>
          <w:lang w:eastAsia="zh-CN"/>
        </w:rPr>
        <w:t>一</w:t>
      </w:r>
      <w:r>
        <w:rPr>
          <w:rFonts w:hint="default" w:ascii="Arial" w:hAnsi="Arial" w:cs="Arial"/>
          <w:b/>
          <w:color w:val="auto"/>
          <w:sz w:val="30"/>
          <w:szCs w:val="30"/>
          <w:highlight w:val="none"/>
        </w:rPr>
        <w:t>、技术商务分自评表</w:t>
      </w:r>
    </w:p>
    <w:tbl>
      <w:tblPr>
        <w:tblStyle w:val="46"/>
        <w:tblpPr w:leftFromText="180" w:rightFromText="180" w:vertAnchor="text" w:horzAnchor="margin" w:tblpXSpec="center" w:tblpY="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66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序号</w:t>
            </w:r>
          </w:p>
        </w:tc>
        <w:tc>
          <w:tcPr>
            <w:tcW w:w="6663"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评分项目</w:t>
            </w:r>
          </w:p>
        </w:tc>
        <w:tc>
          <w:tcPr>
            <w:tcW w:w="992"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自评分</w:t>
            </w:r>
          </w:p>
        </w:tc>
        <w:tc>
          <w:tcPr>
            <w:tcW w:w="1276"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restart"/>
            <w:noWrap w:val="0"/>
            <w:vAlign w:val="center"/>
          </w:tcPr>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技</w:t>
            </w:r>
          </w:p>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术</w:t>
            </w:r>
          </w:p>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商</w:t>
            </w:r>
          </w:p>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务</w:t>
            </w:r>
          </w:p>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分</w:t>
            </w:r>
          </w:p>
          <w:p>
            <w:pPr>
              <w:snapToGrid w:val="0"/>
              <w:contextualSpacing/>
              <w:jc w:val="center"/>
              <w:rPr>
                <w:rFonts w:hint="default" w:ascii="Arial" w:hAnsi="Arial" w:cs="Arial"/>
                <w:color w:val="auto"/>
                <w:sz w:val="22"/>
                <w:szCs w:val="22"/>
                <w:highlight w:val="none"/>
              </w:rPr>
            </w:pPr>
            <w:r>
              <w:rPr>
                <w:rFonts w:hint="default" w:ascii="Arial" w:hAnsi="Arial" w:cs="Arial"/>
                <w:color w:val="auto"/>
                <w:sz w:val="22"/>
                <w:szCs w:val="22"/>
                <w:highlight w:val="none"/>
              </w:rPr>
              <w:t>70分</w:t>
            </w:r>
          </w:p>
        </w:tc>
        <w:tc>
          <w:tcPr>
            <w:tcW w:w="6663" w:type="dxa"/>
            <w:noWrap w:val="0"/>
            <w:vAlign w:val="center"/>
          </w:tcPr>
          <w:p>
            <w:pPr>
              <w:widowControl/>
              <w:spacing w:line="420" w:lineRule="exact"/>
              <w:jc w:val="left"/>
              <w:rPr>
                <w:rFonts w:hint="default" w:ascii="Arial" w:hAnsi="Arial" w:cs="Arial"/>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widowControl/>
              <w:spacing w:line="420" w:lineRule="exact"/>
              <w:jc w:val="left"/>
              <w:rPr>
                <w:rFonts w:hint="default" w:ascii="Arial" w:hAnsi="Arial" w:cs="Arial"/>
                <w:b/>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widowControl/>
              <w:spacing w:line="420" w:lineRule="exact"/>
              <w:jc w:val="left"/>
              <w:rPr>
                <w:rFonts w:hint="default" w:ascii="Arial" w:hAnsi="Arial" w:cs="Arial"/>
                <w:b/>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spacing w:line="420" w:lineRule="exact"/>
              <w:rPr>
                <w:rFonts w:hint="default" w:ascii="Arial" w:hAnsi="Arial" w:cs="Arial"/>
                <w:bCs/>
                <w:color w:val="auto"/>
                <w:sz w:val="22"/>
                <w:szCs w:val="22"/>
                <w:highlight w:val="none"/>
                <w:lang w:bidi="ar"/>
              </w:rPr>
            </w:pPr>
          </w:p>
        </w:tc>
        <w:tc>
          <w:tcPr>
            <w:tcW w:w="992"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widowControl/>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tabs>
                <w:tab w:val="left" w:pos="0"/>
              </w:tabs>
              <w:spacing w:line="420" w:lineRule="exact"/>
              <w:rPr>
                <w:rFonts w:hint="default" w:ascii="Arial" w:hAnsi="Arial" w:cs="Arial"/>
                <w:b/>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autoSpaceDE w:val="0"/>
              <w:autoSpaceDN w:val="0"/>
              <w:snapToGrid w:val="0"/>
              <w:spacing w:line="420" w:lineRule="exact"/>
              <w:contextualSpacing/>
              <w:rPr>
                <w:rFonts w:hint="default" w:ascii="Arial" w:hAnsi="Arial" w:cs="Arial"/>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autoSpaceDE w:val="0"/>
              <w:autoSpaceDN w:val="0"/>
              <w:snapToGrid w:val="0"/>
              <w:spacing w:line="420" w:lineRule="exact"/>
              <w:contextualSpacing/>
              <w:rPr>
                <w:rFonts w:hint="default" w:ascii="Arial" w:hAnsi="Arial" w:cs="Arial"/>
                <w:b/>
                <w:color w:val="auto"/>
                <w:sz w:val="22"/>
                <w:szCs w:val="22"/>
                <w:highlight w:val="none"/>
                <w:lang w:bidi="ar"/>
              </w:rPr>
            </w:pPr>
          </w:p>
        </w:tc>
        <w:tc>
          <w:tcPr>
            <w:tcW w:w="992" w:type="dxa"/>
            <w:noWrap w:val="0"/>
            <w:vAlign w:val="center"/>
          </w:tcPr>
          <w:p>
            <w:pPr>
              <w:autoSpaceDE w:val="0"/>
              <w:autoSpaceDN w:val="0"/>
              <w:snapToGrid w:val="0"/>
              <w:spacing w:line="400" w:lineRule="exact"/>
              <w:contextualSpacing/>
              <w:jc w:val="center"/>
              <w:rPr>
                <w:rFonts w:hint="default" w:ascii="Arial" w:hAnsi="Arial" w:cs="Arial"/>
                <w:bCs/>
                <w:color w:val="auto"/>
                <w:sz w:val="22"/>
                <w:szCs w:val="22"/>
                <w:highlight w:val="none"/>
              </w:rPr>
            </w:pPr>
          </w:p>
        </w:tc>
        <w:tc>
          <w:tcPr>
            <w:tcW w:w="1276" w:type="dxa"/>
            <w:noWrap w:val="0"/>
            <w:vAlign w:val="center"/>
          </w:tcPr>
          <w:p>
            <w:pPr>
              <w:autoSpaceDE w:val="0"/>
              <w:autoSpaceDN w:val="0"/>
              <w:snapToGrid w:val="0"/>
              <w:spacing w:line="400" w:lineRule="exact"/>
              <w:contextualSpacing/>
              <w:jc w:val="center"/>
              <w:rPr>
                <w:rFonts w:hint="default" w:ascii="Arial" w:hAnsi="Arial" w:cs="Arial"/>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autoSpaceDE w:val="0"/>
              <w:autoSpaceDN w:val="0"/>
              <w:snapToGrid w:val="0"/>
              <w:spacing w:line="420" w:lineRule="exact"/>
              <w:contextualSpacing/>
              <w:rPr>
                <w:rFonts w:hint="default" w:ascii="Arial" w:hAnsi="Arial" w:cs="Arial"/>
                <w:b/>
                <w:color w:val="auto"/>
                <w:sz w:val="22"/>
                <w:szCs w:val="22"/>
                <w:highlight w:val="none"/>
                <w:lang w:bidi="ar"/>
              </w:rPr>
            </w:pPr>
          </w:p>
        </w:tc>
        <w:tc>
          <w:tcPr>
            <w:tcW w:w="992" w:type="dxa"/>
            <w:noWrap w:val="0"/>
            <w:vAlign w:val="center"/>
          </w:tcPr>
          <w:p>
            <w:pPr>
              <w:spacing w:line="400" w:lineRule="exact"/>
              <w:contextualSpacing/>
              <w:jc w:val="center"/>
              <w:rPr>
                <w:rFonts w:hint="default" w:ascii="Arial" w:hAnsi="Arial" w:cs="Arial"/>
                <w:color w:val="auto"/>
                <w:kern w:val="0"/>
                <w:sz w:val="22"/>
                <w:szCs w:val="22"/>
                <w:highlight w:val="none"/>
              </w:rPr>
            </w:pPr>
          </w:p>
        </w:tc>
        <w:tc>
          <w:tcPr>
            <w:tcW w:w="1276" w:type="dxa"/>
            <w:noWrap w:val="0"/>
            <w:vAlign w:val="center"/>
          </w:tcPr>
          <w:p>
            <w:pPr>
              <w:spacing w:line="400" w:lineRule="exact"/>
              <w:contextualSpacing/>
              <w:jc w:val="center"/>
              <w:rPr>
                <w:rFonts w:hint="default"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autoSpaceDE w:val="0"/>
              <w:autoSpaceDN w:val="0"/>
              <w:snapToGrid w:val="0"/>
              <w:spacing w:line="420" w:lineRule="exact"/>
              <w:contextualSpacing/>
              <w:rPr>
                <w:rFonts w:hint="default" w:ascii="Arial" w:hAnsi="Arial" w:cs="Arial"/>
                <w:b/>
                <w:color w:val="auto"/>
                <w:sz w:val="22"/>
                <w:szCs w:val="22"/>
                <w:highlight w:val="none"/>
                <w:lang w:bidi="ar"/>
              </w:rPr>
            </w:pPr>
          </w:p>
        </w:tc>
        <w:tc>
          <w:tcPr>
            <w:tcW w:w="992" w:type="dxa"/>
            <w:noWrap w:val="0"/>
            <w:vAlign w:val="center"/>
          </w:tcPr>
          <w:p>
            <w:pPr>
              <w:spacing w:line="400" w:lineRule="exact"/>
              <w:contextualSpacing/>
              <w:jc w:val="center"/>
              <w:rPr>
                <w:rFonts w:hint="default" w:ascii="Arial" w:hAnsi="Arial" w:cs="Arial"/>
                <w:color w:val="auto"/>
                <w:kern w:val="0"/>
                <w:sz w:val="22"/>
                <w:szCs w:val="22"/>
                <w:highlight w:val="none"/>
              </w:rPr>
            </w:pPr>
          </w:p>
        </w:tc>
        <w:tc>
          <w:tcPr>
            <w:tcW w:w="1276" w:type="dxa"/>
            <w:noWrap w:val="0"/>
            <w:vAlign w:val="center"/>
          </w:tcPr>
          <w:p>
            <w:pPr>
              <w:spacing w:line="400" w:lineRule="exact"/>
              <w:contextualSpacing/>
              <w:jc w:val="center"/>
              <w:rPr>
                <w:rFonts w:hint="default"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trPr>
        <w:tc>
          <w:tcPr>
            <w:tcW w:w="675" w:type="dxa"/>
            <w:vMerge w:val="continue"/>
            <w:noWrap w:val="0"/>
            <w:textDirection w:val="tbRlV"/>
            <w:vAlign w:val="center"/>
          </w:tcPr>
          <w:p>
            <w:pPr>
              <w:snapToGrid w:val="0"/>
              <w:spacing w:line="400" w:lineRule="exact"/>
              <w:contextualSpacing/>
              <w:jc w:val="center"/>
              <w:rPr>
                <w:rFonts w:hint="default" w:ascii="Arial" w:hAnsi="Arial" w:cs="Arial"/>
                <w:color w:val="auto"/>
                <w:sz w:val="22"/>
                <w:szCs w:val="22"/>
                <w:highlight w:val="none"/>
              </w:rPr>
            </w:pPr>
          </w:p>
        </w:tc>
        <w:tc>
          <w:tcPr>
            <w:tcW w:w="6663" w:type="dxa"/>
            <w:noWrap w:val="0"/>
            <w:vAlign w:val="center"/>
          </w:tcPr>
          <w:p>
            <w:pPr>
              <w:autoSpaceDE w:val="0"/>
              <w:autoSpaceDN w:val="0"/>
              <w:snapToGrid w:val="0"/>
              <w:spacing w:line="420" w:lineRule="exact"/>
              <w:contextualSpacing/>
              <w:rPr>
                <w:rFonts w:hint="default" w:ascii="Arial" w:hAnsi="Arial" w:cs="Arial"/>
                <w:bCs/>
                <w:color w:val="auto"/>
                <w:sz w:val="22"/>
                <w:szCs w:val="22"/>
                <w:highlight w:val="none"/>
              </w:rPr>
            </w:pPr>
          </w:p>
        </w:tc>
        <w:tc>
          <w:tcPr>
            <w:tcW w:w="992" w:type="dxa"/>
            <w:noWrap w:val="0"/>
            <w:vAlign w:val="center"/>
          </w:tcPr>
          <w:p>
            <w:pPr>
              <w:spacing w:line="400" w:lineRule="exact"/>
              <w:contextualSpacing/>
              <w:jc w:val="center"/>
              <w:rPr>
                <w:rFonts w:hint="default" w:ascii="Arial" w:hAnsi="Arial" w:cs="Arial"/>
                <w:color w:val="auto"/>
                <w:kern w:val="0"/>
                <w:sz w:val="22"/>
                <w:szCs w:val="22"/>
                <w:highlight w:val="none"/>
              </w:rPr>
            </w:pPr>
          </w:p>
        </w:tc>
        <w:tc>
          <w:tcPr>
            <w:tcW w:w="1276" w:type="dxa"/>
            <w:noWrap w:val="0"/>
            <w:vAlign w:val="center"/>
          </w:tcPr>
          <w:p>
            <w:pPr>
              <w:spacing w:line="400" w:lineRule="exact"/>
              <w:contextualSpacing/>
              <w:jc w:val="center"/>
              <w:rPr>
                <w:rFonts w:hint="default" w:ascii="Arial" w:hAnsi="Arial" w:cs="Arial"/>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0" w:hRule="atLeast"/>
        </w:trPr>
        <w:tc>
          <w:tcPr>
            <w:tcW w:w="7338" w:type="dxa"/>
            <w:gridSpan w:val="2"/>
            <w:noWrap w:val="0"/>
            <w:vAlign w:val="center"/>
          </w:tcPr>
          <w:p>
            <w:pPr>
              <w:autoSpaceDE w:val="0"/>
              <w:autoSpaceDN w:val="0"/>
              <w:snapToGrid w:val="0"/>
              <w:spacing w:line="420" w:lineRule="exact"/>
              <w:contextualSpacing/>
              <w:jc w:val="center"/>
              <w:rPr>
                <w:rFonts w:hint="default" w:ascii="Arial" w:hAnsi="Arial" w:cs="Arial"/>
                <w:bCs/>
                <w:color w:val="auto"/>
                <w:sz w:val="22"/>
                <w:szCs w:val="22"/>
                <w:highlight w:val="none"/>
              </w:rPr>
            </w:pPr>
            <w:r>
              <w:rPr>
                <w:rFonts w:hint="default" w:ascii="Arial" w:hAnsi="Arial" w:cs="Arial"/>
                <w:bCs/>
                <w:color w:val="auto"/>
                <w:sz w:val="22"/>
                <w:szCs w:val="22"/>
                <w:highlight w:val="none"/>
              </w:rPr>
              <w:t>合计</w:t>
            </w:r>
          </w:p>
        </w:tc>
        <w:tc>
          <w:tcPr>
            <w:tcW w:w="992" w:type="dxa"/>
            <w:noWrap w:val="0"/>
            <w:vAlign w:val="center"/>
          </w:tcPr>
          <w:p>
            <w:pPr>
              <w:spacing w:line="400" w:lineRule="exact"/>
              <w:contextualSpacing/>
              <w:jc w:val="center"/>
              <w:rPr>
                <w:rFonts w:hint="default" w:ascii="Arial" w:hAnsi="Arial" w:cs="Arial"/>
                <w:color w:val="auto"/>
                <w:kern w:val="0"/>
                <w:sz w:val="22"/>
                <w:szCs w:val="22"/>
                <w:highlight w:val="none"/>
              </w:rPr>
            </w:pPr>
          </w:p>
        </w:tc>
        <w:tc>
          <w:tcPr>
            <w:tcW w:w="1276" w:type="dxa"/>
            <w:noWrap w:val="0"/>
            <w:vAlign w:val="center"/>
          </w:tcPr>
          <w:p>
            <w:pPr>
              <w:spacing w:line="400" w:lineRule="exact"/>
              <w:contextualSpacing/>
              <w:jc w:val="center"/>
              <w:rPr>
                <w:rFonts w:hint="default" w:ascii="Arial" w:hAnsi="Arial" w:cs="Arial"/>
                <w:color w:val="auto"/>
                <w:kern w:val="0"/>
                <w:sz w:val="22"/>
                <w:szCs w:val="22"/>
                <w:highlight w:val="none"/>
              </w:rPr>
            </w:pPr>
          </w:p>
        </w:tc>
      </w:tr>
    </w:tbl>
    <w:p>
      <w:pPr>
        <w:spacing w:line="360" w:lineRule="auto"/>
        <w:contextualSpacing/>
        <w:jc w:val="left"/>
        <w:rPr>
          <w:rFonts w:hint="default" w:ascii="Arial" w:hAnsi="Arial" w:cs="Arial"/>
          <w:color w:val="auto"/>
          <w:spacing w:val="6"/>
          <w:sz w:val="24"/>
          <w:highlight w:val="none"/>
        </w:rPr>
      </w:pPr>
    </w:p>
    <w:p>
      <w:pPr>
        <w:spacing w:line="360" w:lineRule="auto"/>
        <w:contextualSpacing/>
        <w:rPr>
          <w:rFonts w:hint="default" w:ascii="Arial" w:hAnsi="Arial" w:cs="Arial"/>
          <w:color w:val="auto"/>
          <w:highlight w:val="none"/>
        </w:rPr>
      </w:pPr>
    </w:p>
    <w:p>
      <w:pPr>
        <w:spacing w:line="660" w:lineRule="exact"/>
        <w:rPr>
          <w:rFonts w:hint="default" w:ascii="Arial" w:hAnsi="Arial" w:cs="Arial"/>
          <w:color w:val="auto"/>
          <w:highlight w:val="none"/>
        </w:rPr>
      </w:pPr>
    </w:p>
    <w:sectPr>
      <w:pgSz w:w="11906" w:h="16838"/>
      <w:pgMar w:top="1134" w:right="1797" w:bottom="1134" w:left="1797" w:header="851" w:footer="851" w:gutter="0"/>
      <w:pgBorders w:offsetFrom="page">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7" w:usb1="00000000" w:usb2="00000000" w:usb3="00000000" w:csb0="00000093" w:csb1="00000000"/>
  </w:font>
  <w:font w:name="ヒラギノ角ゴ Pro W3">
    <w:altName w:val="Malgun Gothic Semilight"/>
    <w:panose1 w:val="D3CC000072C900000000"/>
    <w:charset w:val="8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rPr>
                              <w:rStyle w:val="50"/>
                            </w:rPr>
                            <w:instrText xml:space="preserve"> PAGE  </w:instrText>
                          </w:r>
                          <w:r>
                            <w:fldChar w:fldCharType="separate"/>
                          </w:r>
                          <w:r>
                            <w:rPr>
                              <w:rStyle w:val="50"/>
                              <w:lang/>
                            </w:rPr>
                            <w:t>59</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YQ7uHSAQAAowMAAA4AAABkcnMvZTJvRG9jLnhtbK1TS27bMBDd F8gdCO5ryQbSCoLloIWRoEDRFkhzAJoiLQL8gUNb8gXaG3TVTfc9l8/RISU5QbLJohtqhjN8M+/N aH0zGE2OIoBytqHLRUmJsNy1yu4b+vD99m1FCURmW6adFQ09CaA3m6s3697XYuU6p1sRCIJYqHvf 0C5GXxcF8E4YBgvnhcWgdMGwiG7YF21gPaIbXazK8l3Ru9D64LgAwNvtGKQTYngNoJNScbF1/GCE jSNqEJpFpASd8kA3uVspBY9fpQQRiW4oMo35xCJo79JZbNas3gfmO8WnFthrWnjGyTBlsegFassi I4egXkAZxYMDJ+OCO1OMRLIiyGJZPtPmvmNeZC4oNfiL6PD/YPmX47dAVNvQFSWWGRz4+dfP8++/ 5z8/yDLJ03uoMeveY14cProBl2a+B7xMrAcZTPoiH4JxFPd0EVcMkfD0qFpVVYkhjrHZQfzi8bkP EO+EMyQZDQ04vSwqO36GOKbOKamadbdK6zxBbUmPqNfV++v84hJCdG2xSGIxdpusOOyGidrOtSdk 1uMKNNTixlOiP1lUOG3LbITZ2M3GwQe17/I6pVbAfzhEbCd3mSqMsFNhnF3mOe1ZWo6nfs56/Lc2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thDu4dIBAACjAwAADgAAAAAAAAABACAAAAAi AQAAZHJzL2Uyb0RvYy54bWxQSwUGAAAAAAYABgBZAQAAZgUAAAAA ">
              <v:fill on="f" focussize="0,0"/>
              <v:stroke on="f" weight="1.25pt"/>
              <v:imagedata o:title=""/>
              <o:lock v:ext="edit" aspectratio="f"/>
              <v:textbox inset="0mm,0mm,0mm,0mm" style="mso-fit-shape-to-text:t;">
                <w:txbxContent>
                  <w:p>
                    <w:pPr>
                      <w:pStyle w:val="32"/>
                    </w:pPr>
                    <w:r>
                      <w:fldChar w:fldCharType="begin"/>
                    </w:r>
                    <w:r>
                      <w:rPr>
                        <w:rStyle w:val="50"/>
                      </w:rPr>
                      <w:instrText xml:space="preserve"> PAGE  </w:instrText>
                    </w:r>
                    <w:r>
                      <w:fldChar w:fldCharType="separate"/>
                    </w:r>
                    <w:r>
                      <w:rPr>
                        <w:rStyle w:val="50"/>
                        <w:lang/>
                      </w:rPr>
                      <w:t>59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rPr>
                              <w:rStyle w:val="50"/>
                            </w:rPr>
                            <w:instrText xml:space="preserve"> PAGE  </w:instrText>
                          </w:r>
                          <w:r>
                            <w:fldChar w:fldCharType="separate"/>
                          </w:r>
                          <w:r>
                            <w:rPr>
                              <w:rStyle w:val="50"/>
                              <w:lang/>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Pe76mrSAQAAowMAAA4AAABkcnMvZTJvRG9jLnhtbK1TS27bMBDd F8gdCO5rKQbcCoLloIWRoEDRFkhzAJoiLQL8gUNb8gXaG3TVTfc9l8/RISU5QbLJohtqhjN8M+/N aH0zGE2OIoBytqHXi5ISYblrld039OH77duKEojMtkw7Kxp6EkBvNldv1r2vxdJ1TrciEASxUPe+ oV2Mvi4K4J0wDBbOC4tB6YJhEd2wL9rAekQ3uliW5buid6H1wXEBgLfbMUgnxPAaQCel4mLr+MEI G0fUIDSLSAk65YFucrdSCh6/SgkiEt1QZBrziUXQ3qWz2KxZvQ/Md4pPLbDXtPCMk2HKYtEL1JZF Rg5BvYAyigcHTsYFd6YYiWRFkMV1+Uyb+455kbmg1OAvosP/g+Vfjt8CUW1DV5RYZnDg518/z7// nv/8IKskT++hxqx7j3lx+OgGXJr5HvAysR5kMOmLfAjGUdzTRVwxRMLTo2pZVSWGOMZmB/GLx+c+ QLwTzpBkNDTg9LKo7PgZ4pg6p6Rq1t0qrfMEtSU9oq6q96v84hJCdG2xSGIxdpusOOyGidrOtSdk 1uMKNNTixlOiP1lUOG3LbITZ2M3GwQe17/I6pVbAfzhEbCd3mSqMsFNhnF3mOe1ZWo6nfs56/Lc2 /w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97vqatIBAACjAwAADgAAAAAAAAABACAAAAAi AQAAZHJzL2Uyb0RvYy54bWxQSwUGAAAAAAYABgBZAQAAZgUAAAAA ">
              <v:fill on="f" focussize="0,0"/>
              <v:stroke on="f" weight="1.25pt"/>
              <v:imagedata o:title=""/>
              <o:lock v:ext="edit" aspectratio="f"/>
              <v:textbox inset="0mm,0mm,0mm,0mm" style="mso-fit-shape-to-text:t;">
                <w:txbxContent>
                  <w:p>
                    <w:pPr>
                      <w:pStyle w:val="32"/>
                    </w:pPr>
                    <w:r>
                      <w:fldChar w:fldCharType="begin"/>
                    </w:r>
                    <w:r>
                      <w:rPr>
                        <w:rStyle w:val="50"/>
                      </w:rPr>
                      <w:instrText xml:space="preserve"> PAGE  </w:instrText>
                    </w:r>
                    <w:r>
                      <w:fldChar w:fldCharType="separate"/>
                    </w:r>
                    <w:r>
                      <w:rPr>
                        <w:rStyle w:val="50"/>
                        <w:lang/>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Mns3SLSAQAAowMAAA4AAABkcnMvZTJvRG9jLnhtbK1TS27bMBDd F8gdCO5jKQbiCoLloIWRIEDRFkh7AJoiLQL8gUNb8gXaG3TVTfc9l8/RISU5RbrJohtqhjN8M+/N aH03GE2OIoBytqE3i5ISYblrld039OuX++uKEojMtkw7Kxp6EkDvNldv1r2vxdJ1TrciEASxUPe+ oV2Mvi4K4J0wDBbOC4tB6YJhEd2wL9rAekQ3uliW5aroXWh9cFwA4O12DNIJMbwG0EmpuNg6fjDC xhE1CM0iUoJOeaCb3K2UgsdPUoKIRDcUmcZ8YhG0d+ksNmtW7wPzneJTC+w1LbzgZJiyWPQCtWWR kUNQ/0AZxYMDJ+OCO1OMRLIiyOKmfKHNU8e8yFxQavAX0eH/wfKPx8+BqLahK0osMzjw84/v55+/ z7++kVWSp/dQY9aTx7w4vHcDLs18D3iZWA8ymPRFPgTjKO7pIq4YIuHpUbWsqhJDHGOzg/jF83Mf ID4IZ0gyGhpwellUdvwAcUydU1I16+6V1nmC2pIeUW+rt7f5xSWE6NpikcRi7DZZcdgNE7Wda0/I rMcVaKjFjadEP1pUOG3LbITZ2M3GwQe17/I6pVbAvztEbCd3mSqMsFNhnF3mOe1ZWo6//Zz1/G9t /gB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yezdItIBAACjAwAADgAAAAAAAAABACAAAAAi AQAAZHJzL2Uyb0RvYy54bWxQSwUGAAAAAAYABgBZAQAAZgUAAAAA ">
              <v:fill on="f" focussize="0,0"/>
              <v:stroke on="f" weight="1.25pt"/>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pPr>
                          <w:r>
                            <w:fldChar w:fldCharType="begin"/>
                          </w:r>
                          <w:r>
                            <w:rPr>
                              <w:rStyle w:val="50"/>
                            </w:rPr>
                            <w:instrText xml:space="preserve"> PAGE  </w:instrText>
                          </w:r>
                          <w:r>
                            <w:fldChar w:fldCharType="separate"/>
                          </w:r>
                          <w:r>
                            <w:rPr>
                              <w:rStyle w:val="50"/>
                              <w:lang/>
                            </w:rPr>
                            <w:t>81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IsVhPrSAQAAowMAAA4AAABkcnMvZTJvRG9jLnhtbK1TS27bMBDd F+gdCO5rKQ7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VwmeXoPNWbde8yLwyc34NLM94CXifUgg0lf5EMwjuIez+KKIRKeHlXLqioxxDE2O4hfPD33 AeKtcIYko6EBp5dFZYfPEMfUOSVVs+5GaZ0nqC3pEfWq+nCVX5xDiK4tFkksxm6TFYftMFHbuvaI zHpcgYZa3HhK9J1FhdO2zEaYje1s7H1Quy6vU2oF/M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xWE+tIBAACjAwAADgAAAAAAAAABACAAAAAi AQAAZHJzL2Uyb0RvYy54bWxQSwUGAAAAAAYABgBZAQAAZgUAAAAA ">
              <v:fill on="f" focussize="0,0"/>
              <v:stroke on="f" weight="1.25pt"/>
              <v:imagedata o:title=""/>
              <o:lock v:ext="edit" aspectratio="f"/>
              <v:textbox inset="0mm,0mm,0mm,0mm" style="mso-fit-shape-to-text:t;">
                <w:txbxContent>
                  <w:p>
                    <w:pPr>
                      <w:pStyle w:val="32"/>
                    </w:pPr>
                    <w:r>
                      <w:fldChar w:fldCharType="begin"/>
                    </w:r>
                    <w:r>
                      <w:rPr>
                        <w:rStyle w:val="50"/>
                      </w:rPr>
                      <w:instrText xml:space="preserve"> PAGE  </w:instrText>
                    </w:r>
                    <w:r>
                      <w:fldChar w:fldCharType="separate"/>
                    </w:r>
                    <w:r>
                      <w:rPr>
                        <w:rStyle w:val="50"/>
                        <w:lang/>
                      </w:rP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KLKOTSAQAAowMAAA4AAABkcnMvZTJvRG9jLnhtbK1TS27bMBDd F+gdCO5rKUbSCoLloIWRIEDRFkhyAJoiLQL8gUNb8gXaG3TVTfc9l8/RISU5QbrJohtqhjN8M+/N aHU9GE0OIoBytqEXi5ISYblrld019PHh5l1FCURmW6adFQ09CqDX67dvVr2vxdJ1TrciEASxUPe+ oV2Mvi4K4J0wDBbOC4tB6YJhEd2wK9rAekQ3uliW5fuid6H1wXEBgLebMUgnxPAaQCel4mLj+N4I G0fUIDSLSAk65YGuc7dSCh6/SgkiEt1QZBrziUXQ3qazWK9YvQvMd4pPLbDXtPCCk2HKYtEz1IZF RvZB/QNlFA8OnIwL7kwxEsmKIIuL8oU29x3zInNBqcGfRYf/B8u/HL4FotqGXlJimcGBn37+OP36 c/r9nVwmeXoPNWbde8yLwyc34NLM94CXifUgg0lf5EMwjuIez+KKIRKeHlXLqioxxDE2O4hfPD33 AeKtcIYko6EBp5dFZYfPEMfUOSVVs+5GaZ0nqC3pEfWq+nCVX5xDiK4tFkksxm6TFYftMFHbuvaI zHpcgYZa3HhK9J1FhdO2zEaYje1s7H1Quy6vU2oF/Md9xHZyl6nCCDsVxtllntOepeV47uesp39r /Rd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AAAAAZHJzL1BLAQIUABQAAAAIAIdO4kBoaYJL0wAAAAUBAAAPAAAAAAAAAAEAIAAAACIAAABk cnMvZG93bnJldi54bWxQSwECFAAUAAAACACHTuJAIoso5NIBAACjAwAADgAAAAAAAAABACAAAAAi AQAAZHJzL2Uyb0RvYy54bWxQSwUGAAAAAAYABgBZAQAAZgUAAAAA ">
              <v:fill on="f" focussize="0,0"/>
              <v:stroke on="f" weight="1.25pt"/>
              <v:imagedata o:title=""/>
              <o:lock v:ext="edit" aspectratio="f"/>
              <v:textbox inset="0mm,0mm,0mm,0mm" style="mso-fit-shape-to-text:t;">
                <w:txbxContent>
                  <w:p>
                    <w:pPr>
                      <w:pStyle w:val="32"/>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lang/>
                      </w:rPr>
                      <w:t>76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8BBB2"/>
    <w:multiLevelType w:val="singleLevel"/>
    <w:tmpl w:val="91A8BBB2"/>
    <w:lvl w:ilvl="0" w:tentative="0">
      <w:start w:val="1"/>
      <w:numFmt w:val="chineseCounting"/>
      <w:suff w:val="nothing"/>
      <w:lvlText w:val="%1、"/>
      <w:lvlJc w:val="left"/>
      <w:rPr>
        <w:rFonts w:hint="eastAsia" w:cs="Times New Roman"/>
      </w:rPr>
    </w:lvl>
  </w:abstractNum>
  <w:abstractNum w:abstractNumId="1">
    <w:nsid w:val="A93F94A4"/>
    <w:multiLevelType w:val="singleLevel"/>
    <w:tmpl w:val="A93F94A4"/>
    <w:lvl w:ilvl="0" w:tentative="0">
      <w:start w:val="5"/>
      <w:numFmt w:val="decimal"/>
      <w:suff w:val="nothing"/>
      <w:lvlText w:val="%1、"/>
      <w:lvlJc w:val="left"/>
    </w:lvl>
  </w:abstractNum>
  <w:abstractNum w:abstractNumId="2">
    <w:nsid w:val="D710F098"/>
    <w:multiLevelType w:val="singleLevel"/>
    <w:tmpl w:val="D710F098"/>
    <w:lvl w:ilvl="0" w:tentative="0">
      <w:start w:val="1"/>
      <w:numFmt w:val="decimal"/>
      <w:suff w:val="nothing"/>
      <w:lvlText w:val="%1、"/>
      <w:lvlJc w:val="left"/>
    </w:lvl>
  </w:abstractNum>
  <w:abstractNum w:abstractNumId="3">
    <w:nsid w:val="EB33C75D"/>
    <w:multiLevelType w:val="singleLevel"/>
    <w:tmpl w:val="EB33C75D"/>
    <w:lvl w:ilvl="0" w:tentative="0">
      <w:start w:val="1"/>
      <w:numFmt w:val="decimal"/>
      <w:suff w:val="nothing"/>
      <w:lvlText w:val="%1、"/>
      <w:lvlJc w:val="left"/>
    </w:lvl>
  </w:abstractNum>
  <w:abstractNum w:abstractNumId="4">
    <w:nsid w:val="00000002"/>
    <w:multiLevelType w:val="multilevel"/>
    <w:tmpl w:val="00000002"/>
    <w:lvl w:ilvl="0" w:tentative="0">
      <w:start w:val="1"/>
      <w:numFmt w:val="none"/>
      <w:pStyle w:val="245"/>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1"/>
      <w:numFmt w:val="none"/>
      <w:pStyle w:val="155"/>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none"/>
      <w:pStyle w:val="189"/>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1"/>
    <w:multiLevelType w:val="multilevel"/>
    <w:tmpl w:val="0000001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57"/>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8">
    <w:nsid w:val="00000016"/>
    <w:multiLevelType w:val="multilevel"/>
    <w:tmpl w:val="00000016"/>
    <w:lvl w:ilvl="0" w:tentative="0">
      <w:start w:val="1"/>
      <w:numFmt w:val="decimal"/>
      <w:pStyle w:val="230"/>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9">
    <w:nsid w:val="00000017"/>
    <w:multiLevelType w:val="multilevel"/>
    <w:tmpl w:val="00000017"/>
    <w:lvl w:ilvl="0" w:tentative="0">
      <w:start w:val="5"/>
      <w:numFmt w:val="japaneseCounting"/>
      <w:pStyle w:val="4"/>
      <w:lvlText w:val="第%1章、"/>
      <w:lvlJc w:val="left"/>
      <w:pPr>
        <w:tabs>
          <w:tab w:val="left" w:pos="5220"/>
        </w:tabs>
        <w:ind w:left="4530" w:hanging="1110"/>
      </w:pPr>
      <w:rPr>
        <w:rFonts w:hint="eastAsia"/>
      </w:rPr>
    </w:lvl>
    <w:lvl w:ilvl="1" w:tentative="0">
      <w:start w:val="1"/>
      <w:numFmt w:val="decimal"/>
      <w:lvlText w:val="%2."/>
      <w:lvlJc w:val="left"/>
      <w:pPr>
        <w:tabs>
          <w:tab w:val="left" w:pos="4200"/>
        </w:tabs>
        <w:ind w:left="4200" w:hanging="360"/>
      </w:pPr>
      <w:rPr>
        <w:rFonts w:hint="eastAsia"/>
      </w:rPr>
    </w:lvl>
    <w:lvl w:ilvl="2" w:tentative="0">
      <w:start w:val="1"/>
      <w:numFmt w:val="upperLetter"/>
      <w:lvlText w:val="%3."/>
      <w:lvlJc w:val="left"/>
      <w:pPr>
        <w:tabs>
          <w:tab w:val="left" w:pos="4620"/>
        </w:tabs>
        <w:ind w:left="4620" w:hanging="360"/>
      </w:pPr>
      <w:rPr>
        <w:rFonts w:hint="eastAsia"/>
      </w:rPr>
    </w:lvl>
    <w:lvl w:ilvl="3" w:tentative="0">
      <w:start w:val="1"/>
      <w:numFmt w:val="japaneseCounting"/>
      <w:lvlText w:val="%4、"/>
      <w:lvlJc w:val="left"/>
      <w:pPr>
        <w:tabs>
          <w:tab w:val="left" w:pos="5400"/>
        </w:tabs>
        <w:ind w:left="5400" w:hanging="720"/>
      </w:pPr>
      <w:rPr>
        <w:rFonts w:hint="eastAsia"/>
      </w:rPr>
    </w:lvl>
    <w:lvl w:ilvl="4" w:tentative="0">
      <w:start w:val="1"/>
      <w:numFmt w:val="decimal"/>
      <w:lvlText w:val="%5."/>
      <w:lvlJc w:val="left"/>
      <w:pPr>
        <w:tabs>
          <w:tab w:val="left" w:pos="5520"/>
        </w:tabs>
        <w:ind w:left="5520" w:hanging="420"/>
      </w:pPr>
      <w:rPr>
        <w:rFonts w:hint="eastAsia"/>
      </w:rPr>
    </w:lvl>
    <w:lvl w:ilvl="5" w:tentative="0">
      <w:start w:val="1"/>
      <w:numFmt w:val="lowerRoman"/>
      <w:lvlText w:val="%6."/>
      <w:lvlJc w:val="right"/>
      <w:pPr>
        <w:tabs>
          <w:tab w:val="left" w:pos="5940"/>
        </w:tabs>
        <w:ind w:left="5940" w:hanging="420"/>
      </w:pPr>
    </w:lvl>
    <w:lvl w:ilvl="6" w:tentative="0">
      <w:start w:val="1"/>
      <w:numFmt w:val="decimal"/>
      <w:lvlText w:val="%7."/>
      <w:lvlJc w:val="left"/>
      <w:pPr>
        <w:tabs>
          <w:tab w:val="left" w:pos="6360"/>
        </w:tabs>
        <w:ind w:left="6360" w:hanging="420"/>
      </w:pPr>
    </w:lvl>
    <w:lvl w:ilvl="7" w:tentative="0">
      <w:start w:val="1"/>
      <w:numFmt w:val="lowerLetter"/>
      <w:lvlText w:val="%8)"/>
      <w:lvlJc w:val="left"/>
      <w:pPr>
        <w:tabs>
          <w:tab w:val="left" w:pos="6780"/>
        </w:tabs>
        <w:ind w:left="6780" w:hanging="420"/>
      </w:pPr>
    </w:lvl>
    <w:lvl w:ilvl="8" w:tentative="0">
      <w:start w:val="1"/>
      <w:numFmt w:val="lowerRoman"/>
      <w:lvlText w:val="%9."/>
      <w:lvlJc w:val="right"/>
      <w:pPr>
        <w:tabs>
          <w:tab w:val="left" w:pos="7200"/>
        </w:tabs>
        <w:ind w:left="7200" w:hanging="420"/>
      </w:pPr>
    </w:lvl>
  </w:abstractNum>
  <w:abstractNum w:abstractNumId="10">
    <w:nsid w:val="0000001A"/>
    <w:multiLevelType w:val="multilevel"/>
    <w:tmpl w:val="0000001A"/>
    <w:lvl w:ilvl="0" w:tentative="0">
      <w:start w:val="1"/>
      <w:numFmt w:val="none"/>
      <w:pStyle w:val="17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decimal"/>
      <w:pStyle w:val="25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1C"/>
    <w:multiLevelType w:val="singleLevel"/>
    <w:tmpl w:val="0000001C"/>
    <w:lvl w:ilvl="0" w:tentative="0">
      <w:start w:val="2"/>
      <w:numFmt w:val="decimal"/>
      <w:suff w:val="nothing"/>
      <w:lvlText w:val="%1."/>
      <w:lvlJc w:val="left"/>
      <w:rPr>
        <w:rFonts w:cs="Times New Roman"/>
      </w:rPr>
    </w:lvl>
  </w:abstractNum>
  <w:abstractNum w:abstractNumId="13">
    <w:nsid w:val="0000001E"/>
    <w:multiLevelType w:val="multilevel"/>
    <w:tmpl w:val="0000001E"/>
    <w:lvl w:ilvl="0" w:tentative="0">
      <w:start w:val="1"/>
      <w:numFmt w:val="decimal"/>
      <w:lvlText w:val="%1."/>
      <w:lvlJc w:val="left"/>
      <w:pPr>
        <w:tabs>
          <w:tab w:val="left" w:pos="420"/>
        </w:tabs>
        <w:ind w:left="420" w:hanging="420"/>
      </w:pPr>
      <w:rPr>
        <w:rFonts w:hint="eastAsia"/>
      </w:rPr>
    </w:lvl>
    <w:lvl w:ilvl="1" w:tentative="0">
      <w:start w:val="1"/>
      <w:numFmt w:val="lowerLetter"/>
      <w:pStyle w:val="141"/>
      <w:lvlText w:val="%2)"/>
      <w:lvlJc w:val="left"/>
      <w:pPr>
        <w:tabs>
          <w:tab w:val="left" w:pos="93"/>
        </w:tabs>
        <w:ind w:left="93" w:hanging="420"/>
      </w:pPr>
    </w:lvl>
    <w:lvl w:ilvl="2" w:tentative="0">
      <w:start w:val="1"/>
      <w:numFmt w:val="lowerRoman"/>
      <w:lvlText w:val="%3."/>
      <w:lvlJc w:val="right"/>
      <w:pPr>
        <w:tabs>
          <w:tab w:val="left" w:pos="513"/>
        </w:tabs>
        <w:ind w:left="513" w:hanging="420"/>
      </w:pPr>
    </w:lvl>
    <w:lvl w:ilvl="3" w:tentative="0">
      <w:start w:val="1"/>
      <w:numFmt w:val="decimal"/>
      <w:lvlText w:val="%4."/>
      <w:lvlJc w:val="left"/>
      <w:pPr>
        <w:tabs>
          <w:tab w:val="left" w:pos="933"/>
        </w:tabs>
        <w:ind w:left="933" w:hanging="420"/>
      </w:pPr>
    </w:lvl>
    <w:lvl w:ilvl="4" w:tentative="0">
      <w:start w:val="1"/>
      <w:numFmt w:val="lowerLetter"/>
      <w:lvlText w:val="%5)"/>
      <w:lvlJc w:val="left"/>
      <w:pPr>
        <w:tabs>
          <w:tab w:val="left" w:pos="1353"/>
        </w:tabs>
        <w:ind w:left="1353" w:hanging="420"/>
      </w:pPr>
    </w:lvl>
    <w:lvl w:ilvl="5" w:tentative="0">
      <w:start w:val="1"/>
      <w:numFmt w:val="lowerRoman"/>
      <w:lvlText w:val="%6."/>
      <w:lvlJc w:val="right"/>
      <w:pPr>
        <w:tabs>
          <w:tab w:val="left" w:pos="1773"/>
        </w:tabs>
        <w:ind w:left="1773" w:hanging="420"/>
      </w:pPr>
    </w:lvl>
    <w:lvl w:ilvl="6" w:tentative="0">
      <w:start w:val="1"/>
      <w:numFmt w:val="decimal"/>
      <w:lvlText w:val="%7."/>
      <w:lvlJc w:val="left"/>
      <w:pPr>
        <w:tabs>
          <w:tab w:val="left" w:pos="2193"/>
        </w:tabs>
        <w:ind w:left="2193" w:hanging="420"/>
      </w:pPr>
    </w:lvl>
    <w:lvl w:ilvl="7" w:tentative="0">
      <w:start w:val="1"/>
      <w:numFmt w:val="lowerLetter"/>
      <w:lvlText w:val="%8)"/>
      <w:lvlJc w:val="left"/>
      <w:pPr>
        <w:tabs>
          <w:tab w:val="left" w:pos="2613"/>
        </w:tabs>
        <w:ind w:left="2613" w:hanging="420"/>
      </w:pPr>
    </w:lvl>
    <w:lvl w:ilvl="8" w:tentative="0">
      <w:start w:val="1"/>
      <w:numFmt w:val="lowerRoman"/>
      <w:lvlText w:val="%9."/>
      <w:lvlJc w:val="right"/>
      <w:pPr>
        <w:tabs>
          <w:tab w:val="left" w:pos="3033"/>
        </w:tabs>
        <w:ind w:left="3033" w:hanging="420"/>
      </w:pPr>
    </w:lvl>
  </w:abstractNum>
  <w:abstractNum w:abstractNumId="14">
    <w:nsid w:val="0000002C"/>
    <w:multiLevelType w:val="multilevel"/>
    <w:tmpl w:val="0000002C"/>
    <w:lvl w:ilvl="0" w:tentative="0">
      <w:start w:val="1"/>
      <w:numFmt w:val="none"/>
      <w:pStyle w:val="283"/>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D"/>
    <w:multiLevelType w:val="multilevel"/>
    <w:tmpl w:val="0000002D"/>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F"/>
    <w:multiLevelType w:val="singleLevel"/>
    <w:tmpl w:val="0000002F"/>
    <w:lvl w:ilvl="0" w:tentative="0">
      <w:start w:val="1"/>
      <w:numFmt w:val="decimal"/>
      <w:suff w:val="nothing"/>
      <w:lvlText w:val="（%1）"/>
      <w:lvlJc w:val="left"/>
      <w:pPr>
        <w:ind w:left="0" w:firstLine="400"/>
      </w:pPr>
      <w:rPr>
        <w:rFonts w:hint="default"/>
      </w:rPr>
    </w:lvl>
  </w:abstractNum>
  <w:abstractNum w:abstractNumId="17">
    <w:nsid w:val="00000030"/>
    <w:multiLevelType w:val="multilevel"/>
    <w:tmpl w:val="00000030"/>
    <w:lvl w:ilvl="0" w:tentative="0">
      <w:start w:val="1"/>
      <w:numFmt w:val="none"/>
      <w:pStyle w:val="28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31"/>
    <w:multiLevelType w:val="multilevel"/>
    <w:tmpl w:val="00000031"/>
    <w:lvl w:ilvl="0" w:tentative="0">
      <w:start w:val="1"/>
      <w:numFmt w:val="decimal"/>
      <w:pStyle w:val="271"/>
      <w:lvlText w:val="%1."/>
      <w:lvlJc w:val="left"/>
      <w:pPr>
        <w:tabs>
          <w:tab w:val="left" w:pos="780"/>
        </w:tabs>
        <w:ind w:left="780" w:hanging="42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117"/>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00000035"/>
    <w:multiLevelType w:val="multilevel"/>
    <w:tmpl w:val="0000003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8"/>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20">
    <w:nsid w:val="00000036"/>
    <w:multiLevelType w:val="singleLevel"/>
    <w:tmpl w:val="00000036"/>
    <w:lvl w:ilvl="0" w:tentative="0">
      <w:start w:val="7"/>
      <w:numFmt w:val="chineseCounting"/>
      <w:suff w:val="nothing"/>
      <w:lvlText w:val="（%1）"/>
      <w:lvlJc w:val="left"/>
    </w:lvl>
  </w:abstractNum>
  <w:abstractNum w:abstractNumId="21">
    <w:nsid w:val="00000038"/>
    <w:multiLevelType w:val="multilevel"/>
    <w:tmpl w:val="00000038"/>
    <w:lvl w:ilvl="0" w:tentative="0">
      <w:start w:val="1"/>
      <w:numFmt w:val="none"/>
      <w:pStyle w:val="27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39"/>
    <w:multiLevelType w:val="multilevel"/>
    <w:tmpl w:val="00000039"/>
    <w:lvl w:ilvl="0" w:tentative="0">
      <w:start w:val="1"/>
      <w:numFmt w:val="decimal"/>
      <w:pStyle w:val="27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0000003A"/>
    <w:multiLevelType w:val="multilevel"/>
    <w:tmpl w:val="0000003A"/>
    <w:lvl w:ilvl="0" w:tentative="0">
      <w:start w:val="1"/>
      <w:numFmt w:val="decimal"/>
      <w:lvlText w:val="%1."/>
      <w:lvlJc w:val="left"/>
      <w:pPr>
        <w:tabs>
          <w:tab w:val="left" w:pos="425"/>
        </w:tabs>
        <w:ind w:left="425" w:hanging="425"/>
      </w:pPr>
      <w:rPr>
        <w:rFonts w:hint="eastAsia"/>
      </w:rPr>
    </w:lvl>
    <w:lvl w:ilvl="1" w:tentative="0">
      <w:start w:val="1"/>
      <w:numFmt w:val="decimal"/>
      <w:lvlText w:val="3.%2."/>
      <w:lvlJc w:val="left"/>
      <w:pPr>
        <w:tabs>
          <w:tab w:val="left" w:pos="567"/>
        </w:tabs>
        <w:ind w:left="567" w:hanging="567"/>
      </w:pPr>
      <w:rPr>
        <w:rFonts w:hint="eastAsia"/>
        <w:b w:val="0"/>
        <w:i w:val="0"/>
      </w:rPr>
    </w:lvl>
    <w:lvl w:ilvl="2" w:tentative="0">
      <w:start w:val="1"/>
      <w:numFmt w:val="decimal"/>
      <w:lvlText w:val="4.3.%3."/>
      <w:lvlJc w:val="left"/>
      <w:pPr>
        <w:tabs>
          <w:tab w:val="left" w:pos="709"/>
        </w:tabs>
        <w:ind w:left="709" w:hanging="709"/>
      </w:pPr>
      <w:rPr>
        <w:rFonts w:hint="eastAsia"/>
      </w:rPr>
    </w:lvl>
    <w:lvl w:ilvl="3" w:tentative="0">
      <w:start w:val="1"/>
      <w:numFmt w:val="decimal"/>
      <w:pStyle w:val="15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40"/>
    <w:multiLevelType w:val="singleLevel"/>
    <w:tmpl w:val="00000040"/>
    <w:lvl w:ilvl="0" w:tentative="0">
      <w:start w:val="1"/>
      <w:numFmt w:val="decimal"/>
      <w:pStyle w:val="22"/>
      <w:lvlText w:val="%1."/>
      <w:lvlJc w:val="left"/>
      <w:pPr>
        <w:tabs>
          <w:tab w:val="left" w:pos="1200"/>
        </w:tabs>
        <w:ind w:left="1200" w:hanging="360"/>
      </w:pPr>
    </w:lvl>
  </w:abstractNum>
  <w:abstractNum w:abstractNumId="25">
    <w:nsid w:val="00000048"/>
    <w:multiLevelType w:val="singleLevel"/>
    <w:tmpl w:val="00000048"/>
    <w:lvl w:ilvl="0" w:tentative="0">
      <w:start w:val="1"/>
      <w:numFmt w:val="decimal"/>
      <w:suff w:val="nothing"/>
      <w:lvlText w:val="%1、"/>
      <w:lvlJc w:val="left"/>
      <w:pPr>
        <w:ind w:left="0" w:firstLine="400"/>
      </w:pPr>
      <w:rPr>
        <w:rFonts w:hint="default"/>
      </w:rPr>
    </w:lvl>
  </w:abstractNum>
  <w:abstractNum w:abstractNumId="26">
    <w:nsid w:val="00000053"/>
    <w:multiLevelType w:val="singleLevel"/>
    <w:tmpl w:val="00000053"/>
    <w:lvl w:ilvl="0" w:tentative="0">
      <w:start w:val="1"/>
      <w:numFmt w:val="decimal"/>
      <w:suff w:val="nothing"/>
      <w:lvlText w:val="%1、"/>
      <w:lvlJc w:val="left"/>
      <w:pPr>
        <w:ind w:left="0" w:firstLine="400"/>
      </w:pPr>
      <w:rPr>
        <w:rFonts w:hint="default"/>
      </w:rPr>
    </w:lvl>
  </w:abstractNum>
  <w:abstractNum w:abstractNumId="27">
    <w:nsid w:val="00000057"/>
    <w:multiLevelType w:val="singleLevel"/>
    <w:tmpl w:val="00000057"/>
    <w:lvl w:ilvl="0" w:tentative="0">
      <w:start w:val="1"/>
      <w:numFmt w:val="decimal"/>
      <w:suff w:val="nothing"/>
      <w:lvlText w:val="%1、"/>
      <w:lvlJc w:val="left"/>
      <w:pPr>
        <w:ind w:left="0" w:firstLine="400"/>
      </w:pPr>
      <w:rPr>
        <w:rFonts w:hint="default"/>
      </w:rPr>
    </w:lvl>
  </w:abstractNum>
  <w:abstractNum w:abstractNumId="28">
    <w:nsid w:val="06FFE4C0"/>
    <w:multiLevelType w:val="multilevel"/>
    <w:tmpl w:val="06FFE4C0"/>
    <w:lvl w:ilvl="0" w:tentative="0">
      <w:start w:val="1"/>
      <w:numFmt w:val="decimal"/>
      <w:suff w:val="nothing"/>
      <w:lvlText w:val="（%1）"/>
      <w:lvlJc w:val="left"/>
      <w:pPr>
        <w:tabs>
          <w:tab w:val="left" w:pos="0"/>
        </w:tabs>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9">
    <w:nsid w:val="47153BA9"/>
    <w:multiLevelType w:val="multilevel"/>
    <w:tmpl w:val="47153BA9"/>
    <w:lvl w:ilvl="0" w:tentative="0">
      <w:start w:val="5"/>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19"/>
  </w:num>
  <w:num w:numId="3">
    <w:abstractNumId w:val="24"/>
  </w:num>
  <w:num w:numId="4">
    <w:abstractNumId w:val="15"/>
  </w:num>
  <w:num w:numId="5">
    <w:abstractNumId w:val="18"/>
  </w:num>
  <w:num w:numId="6">
    <w:abstractNumId w:val="13"/>
  </w:num>
  <w:num w:numId="7">
    <w:abstractNumId w:val="5"/>
  </w:num>
  <w:num w:numId="8">
    <w:abstractNumId w:val="23"/>
  </w:num>
  <w:num w:numId="9">
    <w:abstractNumId w:val="7"/>
  </w:num>
  <w:num w:numId="10">
    <w:abstractNumId w:val="10"/>
  </w:num>
  <w:num w:numId="11">
    <w:abstractNumId w:val="6"/>
  </w:num>
  <w:num w:numId="12">
    <w:abstractNumId w:val="8"/>
  </w:num>
  <w:num w:numId="13">
    <w:abstractNumId w:val="4"/>
  </w:num>
  <w:num w:numId="14">
    <w:abstractNumId w:val="11"/>
  </w:num>
  <w:num w:numId="15">
    <w:abstractNumId w:val="21"/>
  </w:num>
  <w:num w:numId="16">
    <w:abstractNumId w:val="22"/>
  </w:num>
  <w:num w:numId="17">
    <w:abstractNumId w:val="14"/>
  </w:num>
  <w:num w:numId="18">
    <w:abstractNumId w:val="17"/>
  </w:num>
  <w:num w:numId="19">
    <w:abstractNumId w:val="0"/>
  </w:num>
  <w:num w:numId="20">
    <w:abstractNumId w:val="20"/>
  </w:num>
  <w:num w:numId="21">
    <w:abstractNumId w:val="28"/>
  </w:num>
  <w:num w:numId="22">
    <w:abstractNumId w:val="26"/>
  </w:num>
  <w:num w:numId="23">
    <w:abstractNumId w:val="16"/>
  </w:num>
  <w:num w:numId="24">
    <w:abstractNumId w:val="25"/>
  </w:num>
  <w:num w:numId="25">
    <w:abstractNumId w:val="27"/>
  </w:num>
  <w:num w:numId="26">
    <w:abstractNumId w:val="29"/>
    <w:lvlOverride w:ilvl="0">
      <w:startOverride w:val="5"/>
    </w:lvlOverride>
  </w:num>
  <w:num w:numId="27">
    <w:abstractNumId w:val="3"/>
  </w:num>
  <w:num w:numId="28">
    <w:abstractNumId w:val="1"/>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MDk2ZjY5MTA0MmNhZDI3NWI4OTcyMDZlNzZmNWVlODQ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AA4"/>
    <w:rsid w:val="000023AC"/>
    <w:rsid w:val="0000331A"/>
    <w:rsid w:val="00013C95"/>
    <w:rsid w:val="0003105A"/>
    <w:rsid w:val="000645E6"/>
    <w:rsid w:val="00065E18"/>
    <w:rsid w:val="00066ACE"/>
    <w:rsid w:val="00080766"/>
    <w:rsid w:val="000941F9"/>
    <w:rsid w:val="000B5F36"/>
    <w:rsid w:val="000D3E9D"/>
    <w:rsid w:val="000D6298"/>
    <w:rsid w:val="000F14CC"/>
    <w:rsid w:val="00105507"/>
    <w:rsid w:val="00105C9C"/>
    <w:rsid w:val="00111B33"/>
    <w:rsid w:val="00145D89"/>
    <w:rsid w:val="001512F0"/>
    <w:rsid w:val="00177A14"/>
    <w:rsid w:val="001868E3"/>
    <w:rsid w:val="001B7393"/>
    <w:rsid w:val="001C4992"/>
    <w:rsid w:val="001E086A"/>
    <w:rsid w:val="001E1425"/>
    <w:rsid w:val="00224892"/>
    <w:rsid w:val="0024060E"/>
    <w:rsid w:val="00264BA7"/>
    <w:rsid w:val="00272051"/>
    <w:rsid w:val="00285E93"/>
    <w:rsid w:val="00286545"/>
    <w:rsid w:val="00291BF9"/>
    <w:rsid w:val="002C6466"/>
    <w:rsid w:val="002E2C60"/>
    <w:rsid w:val="002F0655"/>
    <w:rsid w:val="002F350A"/>
    <w:rsid w:val="003149EB"/>
    <w:rsid w:val="00316296"/>
    <w:rsid w:val="00325C85"/>
    <w:rsid w:val="003477E2"/>
    <w:rsid w:val="00362254"/>
    <w:rsid w:val="00386D38"/>
    <w:rsid w:val="00392DEC"/>
    <w:rsid w:val="00394AD6"/>
    <w:rsid w:val="003A7E54"/>
    <w:rsid w:val="003D1B14"/>
    <w:rsid w:val="003D50CE"/>
    <w:rsid w:val="00413830"/>
    <w:rsid w:val="0043696F"/>
    <w:rsid w:val="00444BE2"/>
    <w:rsid w:val="00455568"/>
    <w:rsid w:val="00494757"/>
    <w:rsid w:val="004B55FD"/>
    <w:rsid w:val="004F1656"/>
    <w:rsid w:val="00503C0B"/>
    <w:rsid w:val="005123D7"/>
    <w:rsid w:val="00541E57"/>
    <w:rsid w:val="00543137"/>
    <w:rsid w:val="00553781"/>
    <w:rsid w:val="005759C6"/>
    <w:rsid w:val="00584CCB"/>
    <w:rsid w:val="00590B88"/>
    <w:rsid w:val="005A206F"/>
    <w:rsid w:val="005A5950"/>
    <w:rsid w:val="005B4E41"/>
    <w:rsid w:val="005B6607"/>
    <w:rsid w:val="005D2841"/>
    <w:rsid w:val="005D42C3"/>
    <w:rsid w:val="005E15A9"/>
    <w:rsid w:val="00612800"/>
    <w:rsid w:val="00647208"/>
    <w:rsid w:val="00656918"/>
    <w:rsid w:val="0066175E"/>
    <w:rsid w:val="00670C4E"/>
    <w:rsid w:val="006745C1"/>
    <w:rsid w:val="00694630"/>
    <w:rsid w:val="006A23BF"/>
    <w:rsid w:val="006B208D"/>
    <w:rsid w:val="006B4C92"/>
    <w:rsid w:val="006B4F6A"/>
    <w:rsid w:val="006C076C"/>
    <w:rsid w:val="006C30E7"/>
    <w:rsid w:val="006C5327"/>
    <w:rsid w:val="006E616A"/>
    <w:rsid w:val="006E63F6"/>
    <w:rsid w:val="006F1B33"/>
    <w:rsid w:val="006F5A07"/>
    <w:rsid w:val="006F685F"/>
    <w:rsid w:val="0070294D"/>
    <w:rsid w:val="00716CDF"/>
    <w:rsid w:val="00723D17"/>
    <w:rsid w:val="0075137B"/>
    <w:rsid w:val="007560A5"/>
    <w:rsid w:val="00792F0C"/>
    <w:rsid w:val="007B524B"/>
    <w:rsid w:val="007C4EEA"/>
    <w:rsid w:val="007E1283"/>
    <w:rsid w:val="007F396F"/>
    <w:rsid w:val="0080329F"/>
    <w:rsid w:val="00804ACD"/>
    <w:rsid w:val="0083714C"/>
    <w:rsid w:val="008544C3"/>
    <w:rsid w:val="00855294"/>
    <w:rsid w:val="0086700B"/>
    <w:rsid w:val="00875672"/>
    <w:rsid w:val="00876671"/>
    <w:rsid w:val="008972D0"/>
    <w:rsid w:val="008B7C0D"/>
    <w:rsid w:val="008D17E9"/>
    <w:rsid w:val="008F1E8B"/>
    <w:rsid w:val="00933EC3"/>
    <w:rsid w:val="0094700E"/>
    <w:rsid w:val="00963B60"/>
    <w:rsid w:val="00976DD5"/>
    <w:rsid w:val="00995400"/>
    <w:rsid w:val="009B03C0"/>
    <w:rsid w:val="009C3168"/>
    <w:rsid w:val="009F452C"/>
    <w:rsid w:val="00A12D07"/>
    <w:rsid w:val="00A31B92"/>
    <w:rsid w:val="00A46C54"/>
    <w:rsid w:val="00A52BDC"/>
    <w:rsid w:val="00A55F7B"/>
    <w:rsid w:val="00A711A7"/>
    <w:rsid w:val="00A92679"/>
    <w:rsid w:val="00AC4627"/>
    <w:rsid w:val="00AF1264"/>
    <w:rsid w:val="00B23BC5"/>
    <w:rsid w:val="00B452FA"/>
    <w:rsid w:val="00B7529A"/>
    <w:rsid w:val="00B93961"/>
    <w:rsid w:val="00C01DAB"/>
    <w:rsid w:val="00C16774"/>
    <w:rsid w:val="00C239B4"/>
    <w:rsid w:val="00C23F3B"/>
    <w:rsid w:val="00C35937"/>
    <w:rsid w:val="00C36597"/>
    <w:rsid w:val="00C55B85"/>
    <w:rsid w:val="00C6342A"/>
    <w:rsid w:val="00C634BD"/>
    <w:rsid w:val="00C92CEA"/>
    <w:rsid w:val="00CB6874"/>
    <w:rsid w:val="00CC3828"/>
    <w:rsid w:val="00CD414A"/>
    <w:rsid w:val="00CF3BD8"/>
    <w:rsid w:val="00D02B7A"/>
    <w:rsid w:val="00DA6C87"/>
    <w:rsid w:val="00DB25DE"/>
    <w:rsid w:val="00DD7F5A"/>
    <w:rsid w:val="00E05306"/>
    <w:rsid w:val="00E05BCD"/>
    <w:rsid w:val="00E125D8"/>
    <w:rsid w:val="00E22F88"/>
    <w:rsid w:val="00E570CF"/>
    <w:rsid w:val="00EA323A"/>
    <w:rsid w:val="00EC0E47"/>
    <w:rsid w:val="00F07A2A"/>
    <w:rsid w:val="00F14D63"/>
    <w:rsid w:val="00F248FC"/>
    <w:rsid w:val="00F277EC"/>
    <w:rsid w:val="00F27BD4"/>
    <w:rsid w:val="00F533A8"/>
    <w:rsid w:val="00F6733B"/>
    <w:rsid w:val="00F86A03"/>
    <w:rsid w:val="00F9069A"/>
    <w:rsid w:val="00F96456"/>
    <w:rsid w:val="00F97EED"/>
    <w:rsid w:val="00FA1794"/>
    <w:rsid w:val="00FC098D"/>
    <w:rsid w:val="00FC1161"/>
    <w:rsid w:val="00FC1368"/>
    <w:rsid w:val="00FE26F3"/>
    <w:rsid w:val="01181E79"/>
    <w:rsid w:val="01183E14"/>
    <w:rsid w:val="01187DC4"/>
    <w:rsid w:val="011A44CD"/>
    <w:rsid w:val="01250557"/>
    <w:rsid w:val="012975D7"/>
    <w:rsid w:val="016F2AF0"/>
    <w:rsid w:val="01873735"/>
    <w:rsid w:val="01A4097A"/>
    <w:rsid w:val="01A91763"/>
    <w:rsid w:val="01AA0BBC"/>
    <w:rsid w:val="01AD3DB9"/>
    <w:rsid w:val="01BF2986"/>
    <w:rsid w:val="01C2043A"/>
    <w:rsid w:val="01D11E55"/>
    <w:rsid w:val="01D55246"/>
    <w:rsid w:val="01D56C59"/>
    <w:rsid w:val="01FA71A6"/>
    <w:rsid w:val="02073446"/>
    <w:rsid w:val="021415D5"/>
    <w:rsid w:val="021C03A7"/>
    <w:rsid w:val="022A698F"/>
    <w:rsid w:val="02306473"/>
    <w:rsid w:val="02553CB7"/>
    <w:rsid w:val="02782890"/>
    <w:rsid w:val="02787DD1"/>
    <w:rsid w:val="027E36BB"/>
    <w:rsid w:val="02923124"/>
    <w:rsid w:val="02A446C3"/>
    <w:rsid w:val="02DC0AAB"/>
    <w:rsid w:val="02F839E3"/>
    <w:rsid w:val="03153109"/>
    <w:rsid w:val="032A5E84"/>
    <w:rsid w:val="033D0AA8"/>
    <w:rsid w:val="03586729"/>
    <w:rsid w:val="036F6683"/>
    <w:rsid w:val="038E2053"/>
    <w:rsid w:val="038F5F56"/>
    <w:rsid w:val="03A74C54"/>
    <w:rsid w:val="03AA6C5B"/>
    <w:rsid w:val="03B824DF"/>
    <w:rsid w:val="03F74D12"/>
    <w:rsid w:val="03FC78CA"/>
    <w:rsid w:val="040F2533"/>
    <w:rsid w:val="042435DE"/>
    <w:rsid w:val="043B25C3"/>
    <w:rsid w:val="04450209"/>
    <w:rsid w:val="04542ECE"/>
    <w:rsid w:val="047B31EB"/>
    <w:rsid w:val="048B752B"/>
    <w:rsid w:val="04B84691"/>
    <w:rsid w:val="04BE780C"/>
    <w:rsid w:val="04CD082D"/>
    <w:rsid w:val="04CD3BBF"/>
    <w:rsid w:val="04D122B2"/>
    <w:rsid w:val="04E01EBF"/>
    <w:rsid w:val="04EF6F01"/>
    <w:rsid w:val="05002CB2"/>
    <w:rsid w:val="050548A3"/>
    <w:rsid w:val="051F5C89"/>
    <w:rsid w:val="052670BB"/>
    <w:rsid w:val="0563405D"/>
    <w:rsid w:val="0565398F"/>
    <w:rsid w:val="05820813"/>
    <w:rsid w:val="0586084D"/>
    <w:rsid w:val="059741A6"/>
    <w:rsid w:val="05A42CCC"/>
    <w:rsid w:val="05B26CEB"/>
    <w:rsid w:val="05B97A4E"/>
    <w:rsid w:val="05F75327"/>
    <w:rsid w:val="06130A34"/>
    <w:rsid w:val="06427675"/>
    <w:rsid w:val="06453CBC"/>
    <w:rsid w:val="06617F80"/>
    <w:rsid w:val="066672D4"/>
    <w:rsid w:val="066C2F78"/>
    <w:rsid w:val="06833C7B"/>
    <w:rsid w:val="0697107A"/>
    <w:rsid w:val="06A03CAA"/>
    <w:rsid w:val="06EF543C"/>
    <w:rsid w:val="06F908AC"/>
    <w:rsid w:val="070954E4"/>
    <w:rsid w:val="071F2BE9"/>
    <w:rsid w:val="072C1770"/>
    <w:rsid w:val="07527615"/>
    <w:rsid w:val="07683F67"/>
    <w:rsid w:val="076E79CB"/>
    <w:rsid w:val="077412F6"/>
    <w:rsid w:val="077A22E6"/>
    <w:rsid w:val="07952721"/>
    <w:rsid w:val="079B389E"/>
    <w:rsid w:val="07C3129A"/>
    <w:rsid w:val="07C31A4F"/>
    <w:rsid w:val="07C7737A"/>
    <w:rsid w:val="07F94F91"/>
    <w:rsid w:val="07FE2E9C"/>
    <w:rsid w:val="082272B3"/>
    <w:rsid w:val="082C1FDE"/>
    <w:rsid w:val="083752E1"/>
    <w:rsid w:val="08377C1A"/>
    <w:rsid w:val="08583CAD"/>
    <w:rsid w:val="086B1808"/>
    <w:rsid w:val="0876274C"/>
    <w:rsid w:val="08A806B4"/>
    <w:rsid w:val="08AE2323"/>
    <w:rsid w:val="08B9769E"/>
    <w:rsid w:val="08C411CD"/>
    <w:rsid w:val="08D02619"/>
    <w:rsid w:val="08D55871"/>
    <w:rsid w:val="08E049BC"/>
    <w:rsid w:val="08EE58E0"/>
    <w:rsid w:val="08F5308F"/>
    <w:rsid w:val="08F54ED0"/>
    <w:rsid w:val="09015D59"/>
    <w:rsid w:val="09021122"/>
    <w:rsid w:val="091343F8"/>
    <w:rsid w:val="0950490F"/>
    <w:rsid w:val="096A3117"/>
    <w:rsid w:val="09BE6507"/>
    <w:rsid w:val="09CD100F"/>
    <w:rsid w:val="09D91A07"/>
    <w:rsid w:val="0A006FDF"/>
    <w:rsid w:val="0A14435B"/>
    <w:rsid w:val="0A194FFE"/>
    <w:rsid w:val="0A2D2344"/>
    <w:rsid w:val="0A486EEE"/>
    <w:rsid w:val="0A5145BC"/>
    <w:rsid w:val="0A58291D"/>
    <w:rsid w:val="0A857F2F"/>
    <w:rsid w:val="0AA94E19"/>
    <w:rsid w:val="0AB218AA"/>
    <w:rsid w:val="0ACE7483"/>
    <w:rsid w:val="0AD32586"/>
    <w:rsid w:val="0AE66E19"/>
    <w:rsid w:val="0AF12519"/>
    <w:rsid w:val="0B002C6C"/>
    <w:rsid w:val="0B09495F"/>
    <w:rsid w:val="0B3529CD"/>
    <w:rsid w:val="0B7523DE"/>
    <w:rsid w:val="0BA114D0"/>
    <w:rsid w:val="0BD0318F"/>
    <w:rsid w:val="0BD20C5B"/>
    <w:rsid w:val="0BF35D9F"/>
    <w:rsid w:val="0BFC2E14"/>
    <w:rsid w:val="0BFE3EA2"/>
    <w:rsid w:val="0C090077"/>
    <w:rsid w:val="0C3741F7"/>
    <w:rsid w:val="0C376BB3"/>
    <w:rsid w:val="0C8F4552"/>
    <w:rsid w:val="0CA36677"/>
    <w:rsid w:val="0CC40B46"/>
    <w:rsid w:val="0CC46471"/>
    <w:rsid w:val="0CE0046E"/>
    <w:rsid w:val="0D0D39EB"/>
    <w:rsid w:val="0D360E8D"/>
    <w:rsid w:val="0D3B18D3"/>
    <w:rsid w:val="0D3C48B7"/>
    <w:rsid w:val="0D586F58"/>
    <w:rsid w:val="0D5F3580"/>
    <w:rsid w:val="0DA012C6"/>
    <w:rsid w:val="0DA2390D"/>
    <w:rsid w:val="0DD75CB3"/>
    <w:rsid w:val="0DE64813"/>
    <w:rsid w:val="0DF642E0"/>
    <w:rsid w:val="0E017C7A"/>
    <w:rsid w:val="0E0C149E"/>
    <w:rsid w:val="0E1B6329"/>
    <w:rsid w:val="0E492BD4"/>
    <w:rsid w:val="0E5A69B0"/>
    <w:rsid w:val="0E63401E"/>
    <w:rsid w:val="0E667C74"/>
    <w:rsid w:val="0EC23A86"/>
    <w:rsid w:val="0EE836E2"/>
    <w:rsid w:val="0F2058B5"/>
    <w:rsid w:val="0F365769"/>
    <w:rsid w:val="0F5519A7"/>
    <w:rsid w:val="0F63471F"/>
    <w:rsid w:val="0F6915C0"/>
    <w:rsid w:val="0F7D50F0"/>
    <w:rsid w:val="0F99612F"/>
    <w:rsid w:val="0FC16513"/>
    <w:rsid w:val="0FCF4F54"/>
    <w:rsid w:val="10186D73"/>
    <w:rsid w:val="102A539B"/>
    <w:rsid w:val="103238BC"/>
    <w:rsid w:val="104B07EC"/>
    <w:rsid w:val="10734798"/>
    <w:rsid w:val="10D3159C"/>
    <w:rsid w:val="10DD519B"/>
    <w:rsid w:val="10FB37AB"/>
    <w:rsid w:val="11294D53"/>
    <w:rsid w:val="11391D74"/>
    <w:rsid w:val="11466755"/>
    <w:rsid w:val="1148121D"/>
    <w:rsid w:val="11684E69"/>
    <w:rsid w:val="118C5AF0"/>
    <w:rsid w:val="11AE56FA"/>
    <w:rsid w:val="11B042DD"/>
    <w:rsid w:val="11B46EDF"/>
    <w:rsid w:val="11BA2B20"/>
    <w:rsid w:val="11C42DA5"/>
    <w:rsid w:val="11C55B99"/>
    <w:rsid w:val="11D10352"/>
    <w:rsid w:val="11DE6BFE"/>
    <w:rsid w:val="12043C94"/>
    <w:rsid w:val="122B690C"/>
    <w:rsid w:val="123C676E"/>
    <w:rsid w:val="127E7712"/>
    <w:rsid w:val="12925BED"/>
    <w:rsid w:val="12C21D64"/>
    <w:rsid w:val="12CF0A88"/>
    <w:rsid w:val="12D54F49"/>
    <w:rsid w:val="12E7715B"/>
    <w:rsid w:val="1319132A"/>
    <w:rsid w:val="132436DB"/>
    <w:rsid w:val="13251C62"/>
    <w:rsid w:val="133842C8"/>
    <w:rsid w:val="133B79DD"/>
    <w:rsid w:val="1350031C"/>
    <w:rsid w:val="138902B1"/>
    <w:rsid w:val="13965FB1"/>
    <w:rsid w:val="13BA0090"/>
    <w:rsid w:val="13CE4F0F"/>
    <w:rsid w:val="13D27577"/>
    <w:rsid w:val="13E76F72"/>
    <w:rsid w:val="13FA7550"/>
    <w:rsid w:val="141A67CE"/>
    <w:rsid w:val="145A7BD8"/>
    <w:rsid w:val="145F20AA"/>
    <w:rsid w:val="14756F9A"/>
    <w:rsid w:val="148E3A0F"/>
    <w:rsid w:val="149C2959"/>
    <w:rsid w:val="14A14114"/>
    <w:rsid w:val="14BB6127"/>
    <w:rsid w:val="14E679B7"/>
    <w:rsid w:val="14F411F4"/>
    <w:rsid w:val="15392394"/>
    <w:rsid w:val="153B2AA2"/>
    <w:rsid w:val="1550084D"/>
    <w:rsid w:val="155F65E9"/>
    <w:rsid w:val="159561CD"/>
    <w:rsid w:val="159E5049"/>
    <w:rsid w:val="15D828FD"/>
    <w:rsid w:val="15E3498F"/>
    <w:rsid w:val="1625140F"/>
    <w:rsid w:val="166B3154"/>
    <w:rsid w:val="167202DA"/>
    <w:rsid w:val="167C71B8"/>
    <w:rsid w:val="16AD7148"/>
    <w:rsid w:val="16CD4F84"/>
    <w:rsid w:val="16D96D9B"/>
    <w:rsid w:val="17126271"/>
    <w:rsid w:val="17282F5D"/>
    <w:rsid w:val="176F4A90"/>
    <w:rsid w:val="177B4ABC"/>
    <w:rsid w:val="17AB5CA4"/>
    <w:rsid w:val="17D2650F"/>
    <w:rsid w:val="17F27FD3"/>
    <w:rsid w:val="17F835F5"/>
    <w:rsid w:val="17FD7F23"/>
    <w:rsid w:val="181B0B66"/>
    <w:rsid w:val="18263BA0"/>
    <w:rsid w:val="183549D8"/>
    <w:rsid w:val="1838143A"/>
    <w:rsid w:val="186A685F"/>
    <w:rsid w:val="187421A3"/>
    <w:rsid w:val="18824E7F"/>
    <w:rsid w:val="189D76D8"/>
    <w:rsid w:val="18B67135"/>
    <w:rsid w:val="18B90996"/>
    <w:rsid w:val="18C76E4E"/>
    <w:rsid w:val="18D1096C"/>
    <w:rsid w:val="18F66A38"/>
    <w:rsid w:val="190574F4"/>
    <w:rsid w:val="19321B6A"/>
    <w:rsid w:val="194E19F6"/>
    <w:rsid w:val="196168F3"/>
    <w:rsid w:val="19781961"/>
    <w:rsid w:val="197A6279"/>
    <w:rsid w:val="19B1032E"/>
    <w:rsid w:val="19BA043D"/>
    <w:rsid w:val="19CC01C1"/>
    <w:rsid w:val="1A1D5ADD"/>
    <w:rsid w:val="1A251467"/>
    <w:rsid w:val="1A275DCE"/>
    <w:rsid w:val="1A282203"/>
    <w:rsid w:val="1A444013"/>
    <w:rsid w:val="1A701244"/>
    <w:rsid w:val="1A71390E"/>
    <w:rsid w:val="1A791043"/>
    <w:rsid w:val="1A9D225B"/>
    <w:rsid w:val="1ACB39A1"/>
    <w:rsid w:val="1ACB7935"/>
    <w:rsid w:val="1ACC286E"/>
    <w:rsid w:val="1ACF77E6"/>
    <w:rsid w:val="1AFB244F"/>
    <w:rsid w:val="1B1845BE"/>
    <w:rsid w:val="1B1A396B"/>
    <w:rsid w:val="1B3622A1"/>
    <w:rsid w:val="1B5558CE"/>
    <w:rsid w:val="1B6430AC"/>
    <w:rsid w:val="1B762687"/>
    <w:rsid w:val="1B7B0307"/>
    <w:rsid w:val="1B9A1472"/>
    <w:rsid w:val="1BA027E4"/>
    <w:rsid w:val="1BD022FE"/>
    <w:rsid w:val="1BF95D9D"/>
    <w:rsid w:val="1C084790"/>
    <w:rsid w:val="1C0865E3"/>
    <w:rsid w:val="1C183BC6"/>
    <w:rsid w:val="1C334CA2"/>
    <w:rsid w:val="1C390375"/>
    <w:rsid w:val="1C3A578D"/>
    <w:rsid w:val="1C4735EB"/>
    <w:rsid w:val="1C544792"/>
    <w:rsid w:val="1C6560BF"/>
    <w:rsid w:val="1C8C1C42"/>
    <w:rsid w:val="1C8F533C"/>
    <w:rsid w:val="1CA2008E"/>
    <w:rsid w:val="1CA214E5"/>
    <w:rsid w:val="1CA87ADA"/>
    <w:rsid w:val="1CAC48F9"/>
    <w:rsid w:val="1CC1551D"/>
    <w:rsid w:val="1CC8217A"/>
    <w:rsid w:val="1CD056D5"/>
    <w:rsid w:val="1CDB303E"/>
    <w:rsid w:val="1CDD0333"/>
    <w:rsid w:val="1CE4673C"/>
    <w:rsid w:val="1CEE2D5A"/>
    <w:rsid w:val="1D030590"/>
    <w:rsid w:val="1D0E0A7A"/>
    <w:rsid w:val="1D0F73E6"/>
    <w:rsid w:val="1D762492"/>
    <w:rsid w:val="1DB0252E"/>
    <w:rsid w:val="1DB02693"/>
    <w:rsid w:val="1E130CEC"/>
    <w:rsid w:val="1E55084C"/>
    <w:rsid w:val="1E674EC9"/>
    <w:rsid w:val="1E677F04"/>
    <w:rsid w:val="1E803D02"/>
    <w:rsid w:val="1E856E9A"/>
    <w:rsid w:val="1E9A10CD"/>
    <w:rsid w:val="1EAF74DB"/>
    <w:rsid w:val="1EC101F5"/>
    <w:rsid w:val="1EE5200F"/>
    <w:rsid w:val="1EF347FC"/>
    <w:rsid w:val="1F061878"/>
    <w:rsid w:val="1F237A52"/>
    <w:rsid w:val="1F390DA8"/>
    <w:rsid w:val="1F550637"/>
    <w:rsid w:val="1F881F5E"/>
    <w:rsid w:val="1F90600D"/>
    <w:rsid w:val="1FAB601C"/>
    <w:rsid w:val="1FB959CF"/>
    <w:rsid w:val="1FC3057D"/>
    <w:rsid w:val="1FC9574E"/>
    <w:rsid w:val="1FD57BF4"/>
    <w:rsid w:val="1FD62EA8"/>
    <w:rsid w:val="1FEE203E"/>
    <w:rsid w:val="200F569D"/>
    <w:rsid w:val="20291735"/>
    <w:rsid w:val="204C2068"/>
    <w:rsid w:val="20823EE5"/>
    <w:rsid w:val="20D1731C"/>
    <w:rsid w:val="20DA5E47"/>
    <w:rsid w:val="20E4132F"/>
    <w:rsid w:val="20F7705F"/>
    <w:rsid w:val="210222A6"/>
    <w:rsid w:val="21120704"/>
    <w:rsid w:val="21142605"/>
    <w:rsid w:val="212A3F1A"/>
    <w:rsid w:val="213A5618"/>
    <w:rsid w:val="215A7E99"/>
    <w:rsid w:val="21756AC6"/>
    <w:rsid w:val="21864C34"/>
    <w:rsid w:val="218D4C60"/>
    <w:rsid w:val="21A13955"/>
    <w:rsid w:val="21C217DF"/>
    <w:rsid w:val="21C61248"/>
    <w:rsid w:val="21C80C35"/>
    <w:rsid w:val="21D35CC7"/>
    <w:rsid w:val="21DF5078"/>
    <w:rsid w:val="220019A8"/>
    <w:rsid w:val="222354FA"/>
    <w:rsid w:val="22287B30"/>
    <w:rsid w:val="2288736A"/>
    <w:rsid w:val="228D0965"/>
    <w:rsid w:val="229A352D"/>
    <w:rsid w:val="22A02D92"/>
    <w:rsid w:val="22A5210D"/>
    <w:rsid w:val="22A82FDA"/>
    <w:rsid w:val="22AB7720"/>
    <w:rsid w:val="22AD5B46"/>
    <w:rsid w:val="22C70938"/>
    <w:rsid w:val="22F5479F"/>
    <w:rsid w:val="22F60C55"/>
    <w:rsid w:val="23054775"/>
    <w:rsid w:val="23223BAB"/>
    <w:rsid w:val="234D2FA0"/>
    <w:rsid w:val="236A4DA3"/>
    <w:rsid w:val="237731A2"/>
    <w:rsid w:val="23802724"/>
    <w:rsid w:val="238706C0"/>
    <w:rsid w:val="23B53DED"/>
    <w:rsid w:val="23C21021"/>
    <w:rsid w:val="23D2381D"/>
    <w:rsid w:val="23ED590E"/>
    <w:rsid w:val="23EE7424"/>
    <w:rsid w:val="23F23E14"/>
    <w:rsid w:val="241E6508"/>
    <w:rsid w:val="24225B37"/>
    <w:rsid w:val="242E5EA6"/>
    <w:rsid w:val="24637B8A"/>
    <w:rsid w:val="246F042F"/>
    <w:rsid w:val="24746352"/>
    <w:rsid w:val="248621A1"/>
    <w:rsid w:val="24931379"/>
    <w:rsid w:val="251E227E"/>
    <w:rsid w:val="252049AD"/>
    <w:rsid w:val="252465B1"/>
    <w:rsid w:val="25380C13"/>
    <w:rsid w:val="254B01CA"/>
    <w:rsid w:val="254D02CD"/>
    <w:rsid w:val="2555354C"/>
    <w:rsid w:val="256C2261"/>
    <w:rsid w:val="2577149D"/>
    <w:rsid w:val="257E239E"/>
    <w:rsid w:val="25B3247B"/>
    <w:rsid w:val="25B76F24"/>
    <w:rsid w:val="25B80238"/>
    <w:rsid w:val="25BD098A"/>
    <w:rsid w:val="25C404BA"/>
    <w:rsid w:val="25D061FB"/>
    <w:rsid w:val="25E47E17"/>
    <w:rsid w:val="25F0182E"/>
    <w:rsid w:val="25FC70DB"/>
    <w:rsid w:val="261A72AD"/>
    <w:rsid w:val="262247B0"/>
    <w:rsid w:val="26240E67"/>
    <w:rsid w:val="262A40A3"/>
    <w:rsid w:val="264612B7"/>
    <w:rsid w:val="26612D98"/>
    <w:rsid w:val="266E0E2B"/>
    <w:rsid w:val="26777219"/>
    <w:rsid w:val="26864C53"/>
    <w:rsid w:val="268D24E9"/>
    <w:rsid w:val="26CA6145"/>
    <w:rsid w:val="26F02B3D"/>
    <w:rsid w:val="26F50D10"/>
    <w:rsid w:val="2707788B"/>
    <w:rsid w:val="27121AD5"/>
    <w:rsid w:val="272E2666"/>
    <w:rsid w:val="274F29DF"/>
    <w:rsid w:val="275A4F8A"/>
    <w:rsid w:val="27A97ACF"/>
    <w:rsid w:val="27AF778B"/>
    <w:rsid w:val="27BB2B0D"/>
    <w:rsid w:val="27E57740"/>
    <w:rsid w:val="27F01253"/>
    <w:rsid w:val="27F407A3"/>
    <w:rsid w:val="280523DC"/>
    <w:rsid w:val="28180371"/>
    <w:rsid w:val="28254B0D"/>
    <w:rsid w:val="282C21CF"/>
    <w:rsid w:val="2843460E"/>
    <w:rsid w:val="284674D4"/>
    <w:rsid w:val="286A3DDE"/>
    <w:rsid w:val="28713506"/>
    <w:rsid w:val="28745EC8"/>
    <w:rsid w:val="287635FA"/>
    <w:rsid w:val="2881534A"/>
    <w:rsid w:val="288D6F2C"/>
    <w:rsid w:val="28A7658E"/>
    <w:rsid w:val="28D5619D"/>
    <w:rsid w:val="28ED2217"/>
    <w:rsid w:val="28F44173"/>
    <w:rsid w:val="291352A0"/>
    <w:rsid w:val="292C5C53"/>
    <w:rsid w:val="2935006B"/>
    <w:rsid w:val="293E4D8F"/>
    <w:rsid w:val="29492003"/>
    <w:rsid w:val="295C546A"/>
    <w:rsid w:val="296544AF"/>
    <w:rsid w:val="299D5350"/>
    <w:rsid w:val="29B1435F"/>
    <w:rsid w:val="29CA43F8"/>
    <w:rsid w:val="29DB0120"/>
    <w:rsid w:val="29DD1CFA"/>
    <w:rsid w:val="29E54CA1"/>
    <w:rsid w:val="29F87B9B"/>
    <w:rsid w:val="2A281E37"/>
    <w:rsid w:val="2A375715"/>
    <w:rsid w:val="2A6D0934"/>
    <w:rsid w:val="2A91122C"/>
    <w:rsid w:val="2A9A2C60"/>
    <w:rsid w:val="2AA3444D"/>
    <w:rsid w:val="2AD27129"/>
    <w:rsid w:val="2ADA67CE"/>
    <w:rsid w:val="2AE64075"/>
    <w:rsid w:val="2B09549C"/>
    <w:rsid w:val="2B35044C"/>
    <w:rsid w:val="2B36001A"/>
    <w:rsid w:val="2B3869FB"/>
    <w:rsid w:val="2B7A1E33"/>
    <w:rsid w:val="2B86406E"/>
    <w:rsid w:val="2B8838C8"/>
    <w:rsid w:val="2B9F2B18"/>
    <w:rsid w:val="2BEC41C3"/>
    <w:rsid w:val="2BF20827"/>
    <w:rsid w:val="2BFE1BD3"/>
    <w:rsid w:val="2C1E65FC"/>
    <w:rsid w:val="2C1F1122"/>
    <w:rsid w:val="2C293065"/>
    <w:rsid w:val="2C2E1460"/>
    <w:rsid w:val="2C2E4F21"/>
    <w:rsid w:val="2C340B54"/>
    <w:rsid w:val="2C381FB2"/>
    <w:rsid w:val="2C4C4655"/>
    <w:rsid w:val="2C5855C7"/>
    <w:rsid w:val="2C5872A6"/>
    <w:rsid w:val="2C612A52"/>
    <w:rsid w:val="2C6405FF"/>
    <w:rsid w:val="2C6D50C5"/>
    <w:rsid w:val="2C804530"/>
    <w:rsid w:val="2C8425B8"/>
    <w:rsid w:val="2C9146C1"/>
    <w:rsid w:val="2CA66707"/>
    <w:rsid w:val="2CEE7D5C"/>
    <w:rsid w:val="2D1E29E6"/>
    <w:rsid w:val="2D201552"/>
    <w:rsid w:val="2D27356D"/>
    <w:rsid w:val="2D3A5B89"/>
    <w:rsid w:val="2D6D1A79"/>
    <w:rsid w:val="2D8017AD"/>
    <w:rsid w:val="2D8E5DA6"/>
    <w:rsid w:val="2DA05D7C"/>
    <w:rsid w:val="2DA16C5D"/>
    <w:rsid w:val="2DAA59C0"/>
    <w:rsid w:val="2DB4357F"/>
    <w:rsid w:val="2DBE7FF9"/>
    <w:rsid w:val="2DC64F51"/>
    <w:rsid w:val="2DE05EAA"/>
    <w:rsid w:val="2E1A0733"/>
    <w:rsid w:val="2E52436C"/>
    <w:rsid w:val="2E5A0251"/>
    <w:rsid w:val="2E5E7EBA"/>
    <w:rsid w:val="2E7A2527"/>
    <w:rsid w:val="2E7C2D49"/>
    <w:rsid w:val="2E88092B"/>
    <w:rsid w:val="2E9B7B97"/>
    <w:rsid w:val="2EB24F1F"/>
    <w:rsid w:val="2EC4165A"/>
    <w:rsid w:val="2ED068C4"/>
    <w:rsid w:val="2EE54759"/>
    <w:rsid w:val="2F0D1573"/>
    <w:rsid w:val="2F1C7686"/>
    <w:rsid w:val="2F4A6973"/>
    <w:rsid w:val="2F6C03E8"/>
    <w:rsid w:val="2F717F03"/>
    <w:rsid w:val="2F941182"/>
    <w:rsid w:val="2FB26B56"/>
    <w:rsid w:val="2FBA3640"/>
    <w:rsid w:val="2FDA1422"/>
    <w:rsid w:val="2FDD0BCB"/>
    <w:rsid w:val="2FF43D8C"/>
    <w:rsid w:val="300C21A3"/>
    <w:rsid w:val="300C3A24"/>
    <w:rsid w:val="300D3D5A"/>
    <w:rsid w:val="303B4FA0"/>
    <w:rsid w:val="30413A57"/>
    <w:rsid w:val="30597964"/>
    <w:rsid w:val="30876A3D"/>
    <w:rsid w:val="308C19C9"/>
    <w:rsid w:val="30B45BBB"/>
    <w:rsid w:val="30C67365"/>
    <w:rsid w:val="30EF2938"/>
    <w:rsid w:val="30F51E9E"/>
    <w:rsid w:val="310B3DAA"/>
    <w:rsid w:val="310C3ACF"/>
    <w:rsid w:val="312649A7"/>
    <w:rsid w:val="313532D3"/>
    <w:rsid w:val="318548AA"/>
    <w:rsid w:val="319B4F69"/>
    <w:rsid w:val="31A869C8"/>
    <w:rsid w:val="31B77767"/>
    <w:rsid w:val="31BF0F4C"/>
    <w:rsid w:val="31CE301A"/>
    <w:rsid w:val="31DE000E"/>
    <w:rsid w:val="31EB0A68"/>
    <w:rsid w:val="320736FE"/>
    <w:rsid w:val="32075A46"/>
    <w:rsid w:val="3209648D"/>
    <w:rsid w:val="32124016"/>
    <w:rsid w:val="321A63BC"/>
    <w:rsid w:val="32534864"/>
    <w:rsid w:val="32776206"/>
    <w:rsid w:val="328D5F10"/>
    <w:rsid w:val="32A82391"/>
    <w:rsid w:val="32C253C3"/>
    <w:rsid w:val="330D7252"/>
    <w:rsid w:val="332575D7"/>
    <w:rsid w:val="33267E53"/>
    <w:rsid w:val="334E5624"/>
    <w:rsid w:val="33544164"/>
    <w:rsid w:val="3356628D"/>
    <w:rsid w:val="33C1739A"/>
    <w:rsid w:val="33DE7411"/>
    <w:rsid w:val="33ED3E97"/>
    <w:rsid w:val="345A7FEE"/>
    <w:rsid w:val="347903B5"/>
    <w:rsid w:val="348F4B6C"/>
    <w:rsid w:val="34A26016"/>
    <w:rsid w:val="34A41828"/>
    <w:rsid w:val="34B01EA0"/>
    <w:rsid w:val="34C039B2"/>
    <w:rsid w:val="34C90EE9"/>
    <w:rsid w:val="34E87920"/>
    <w:rsid w:val="34FE0C59"/>
    <w:rsid w:val="350231E6"/>
    <w:rsid w:val="352976E5"/>
    <w:rsid w:val="35375567"/>
    <w:rsid w:val="355F614C"/>
    <w:rsid w:val="35816E7A"/>
    <w:rsid w:val="35B917EF"/>
    <w:rsid w:val="35BF5D53"/>
    <w:rsid w:val="35DB440C"/>
    <w:rsid w:val="35EE4D4D"/>
    <w:rsid w:val="36020A40"/>
    <w:rsid w:val="361C730F"/>
    <w:rsid w:val="365E42F2"/>
    <w:rsid w:val="36C160C8"/>
    <w:rsid w:val="36D97AA9"/>
    <w:rsid w:val="36DA2ABF"/>
    <w:rsid w:val="36E55159"/>
    <w:rsid w:val="37082AEF"/>
    <w:rsid w:val="373646D5"/>
    <w:rsid w:val="375764A0"/>
    <w:rsid w:val="3766010B"/>
    <w:rsid w:val="376B35DE"/>
    <w:rsid w:val="37976919"/>
    <w:rsid w:val="37A90A63"/>
    <w:rsid w:val="37B85C10"/>
    <w:rsid w:val="37BB0924"/>
    <w:rsid w:val="37CA0345"/>
    <w:rsid w:val="37CB6951"/>
    <w:rsid w:val="37D45798"/>
    <w:rsid w:val="37DC51B7"/>
    <w:rsid w:val="37DE5A4E"/>
    <w:rsid w:val="37E455C0"/>
    <w:rsid w:val="37F57CFF"/>
    <w:rsid w:val="37F85A78"/>
    <w:rsid w:val="383365C2"/>
    <w:rsid w:val="38341B11"/>
    <w:rsid w:val="38354640"/>
    <w:rsid w:val="384903D9"/>
    <w:rsid w:val="3855617D"/>
    <w:rsid w:val="38BD5293"/>
    <w:rsid w:val="38E32EC1"/>
    <w:rsid w:val="394560B1"/>
    <w:rsid w:val="395B064A"/>
    <w:rsid w:val="395C29A9"/>
    <w:rsid w:val="3982706D"/>
    <w:rsid w:val="39885D3C"/>
    <w:rsid w:val="3994159F"/>
    <w:rsid w:val="39A17DC5"/>
    <w:rsid w:val="39A75D4F"/>
    <w:rsid w:val="39AE7A49"/>
    <w:rsid w:val="39B43A2D"/>
    <w:rsid w:val="39E45C35"/>
    <w:rsid w:val="39F370B4"/>
    <w:rsid w:val="3A0172E4"/>
    <w:rsid w:val="3A090D63"/>
    <w:rsid w:val="3A203167"/>
    <w:rsid w:val="3A2313AD"/>
    <w:rsid w:val="3A282BE0"/>
    <w:rsid w:val="3A28546A"/>
    <w:rsid w:val="3A29186B"/>
    <w:rsid w:val="3A6E2D00"/>
    <w:rsid w:val="3A6E4A80"/>
    <w:rsid w:val="3A7A39B3"/>
    <w:rsid w:val="3A7A623B"/>
    <w:rsid w:val="3AAF17FE"/>
    <w:rsid w:val="3ABC0E83"/>
    <w:rsid w:val="3ACF4E73"/>
    <w:rsid w:val="3AE55D36"/>
    <w:rsid w:val="3AED6570"/>
    <w:rsid w:val="3B3B1E05"/>
    <w:rsid w:val="3B47271C"/>
    <w:rsid w:val="3B4A719F"/>
    <w:rsid w:val="3B4D472E"/>
    <w:rsid w:val="3B5B2784"/>
    <w:rsid w:val="3B6647B6"/>
    <w:rsid w:val="3B671809"/>
    <w:rsid w:val="3B7C738E"/>
    <w:rsid w:val="3B8C5839"/>
    <w:rsid w:val="3BCB370E"/>
    <w:rsid w:val="3C1A101E"/>
    <w:rsid w:val="3C20680D"/>
    <w:rsid w:val="3C2C4AED"/>
    <w:rsid w:val="3C396ED9"/>
    <w:rsid w:val="3C420B83"/>
    <w:rsid w:val="3C4A7707"/>
    <w:rsid w:val="3C553CA7"/>
    <w:rsid w:val="3C8B0949"/>
    <w:rsid w:val="3CDD39A0"/>
    <w:rsid w:val="3CE55D9E"/>
    <w:rsid w:val="3CFC0D29"/>
    <w:rsid w:val="3D057880"/>
    <w:rsid w:val="3D2D35C6"/>
    <w:rsid w:val="3D2F177C"/>
    <w:rsid w:val="3D462AF6"/>
    <w:rsid w:val="3D6960EF"/>
    <w:rsid w:val="3D7525E9"/>
    <w:rsid w:val="3D831F82"/>
    <w:rsid w:val="3D9E34FC"/>
    <w:rsid w:val="3DB4660B"/>
    <w:rsid w:val="3DC86770"/>
    <w:rsid w:val="3DC95185"/>
    <w:rsid w:val="3DD448ED"/>
    <w:rsid w:val="3DFA282C"/>
    <w:rsid w:val="3DFF3146"/>
    <w:rsid w:val="3E042A24"/>
    <w:rsid w:val="3E083C8F"/>
    <w:rsid w:val="3E2553F0"/>
    <w:rsid w:val="3E336221"/>
    <w:rsid w:val="3E3E3891"/>
    <w:rsid w:val="3E8D7033"/>
    <w:rsid w:val="3E93404A"/>
    <w:rsid w:val="3EA257C4"/>
    <w:rsid w:val="3EAE1197"/>
    <w:rsid w:val="3EB40C19"/>
    <w:rsid w:val="3EBA43F3"/>
    <w:rsid w:val="3EC16174"/>
    <w:rsid w:val="3EC2335D"/>
    <w:rsid w:val="3EE57EC4"/>
    <w:rsid w:val="3EEC56CD"/>
    <w:rsid w:val="3EFB2345"/>
    <w:rsid w:val="3F0E1CEB"/>
    <w:rsid w:val="3F1B0DDC"/>
    <w:rsid w:val="3F276140"/>
    <w:rsid w:val="3F2811EF"/>
    <w:rsid w:val="3F2F1677"/>
    <w:rsid w:val="3F352368"/>
    <w:rsid w:val="3F493BDC"/>
    <w:rsid w:val="3F6E03CF"/>
    <w:rsid w:val="3F7803A4"/>
    <w:rsid w:val="3F7E5E33"/>
    <w:rsid w:val="3F985A08"/>
    <w:rsid w:val="3FA52F89"/>
    <w:rsid w:val="3FA6159B"/>
    <w:rsid w:val="3FB452DD"/>
    <w:rsid w:val="3FC46C58"/>
    <w:rsid w:val="3FC76475"/>
    <w:rsid w:val="3FDD6C5B"/>
    <w:rsid w:val="3FF756AA"/>
    <w:rsid w:val="3FFF0554"/>
    <w:rsid w:val="3FFF47B3"/>
    <w:rsid w:val="40463F7D"/>
    <w:rsid w:val="404D0AD9"/>
    <w:rsid w:val="404E6B95"/>
    <w:rsid w:val="4054657E"/>
    <w:rsid w:val="4067213C"/>
    <w:rsid w:val="408B6889"/>
    <w:rsid w:val="4092567B"/>
    <w:rsid w:val="40B47CB2"/>
    <w:rsid w:val="40B77555"/>
    <w:rsid w:val="40BC4E18"/>
    <w:rsid w:val="40C87B34"/>
    <w:rsid w:val="40EA138C"/>
    <w:rsid w:val="40EE1532"/>
    <w:rsid w:val="4117594E"/>
    <w:rsid w:val="41251DFC"/>
    <w:rsid w:val="413367B1"/>
    <w:rsid w:val="4167274E"/>
    <w:rsid w:val="41964E89"/>
    <w:rsid w:val="41A35274"/>
    <w:rsid w:val="41D37222"/>
    <w:rsid w:val="41D43F1E"/>
    <w:rsid w:val="41DA3E59"/>
    <w:rsid w:val="41F97B45"/>
    <w:rsid w:val="421F7169"/>
    <w:rsid w:val="42384462"/>
    <w:rsid w:val="424E5818"/>
    <w:rsid w:val="424E6E67"/>
    <w:rsid w:val="4292201A"/>
    <w:rsid w:val="42C2102B"/>
    <w:rsid w:val="42C726FE"/>
    <w:rsid w:val="42D66B7A"/>
    <w:rsid w:val="42DA082D"/>
    <w:rsid w:val="42E80ADC"/>
    <w:rsid w:val="42F953C6"/>
    <w:rsid w:val="430143FD"/>
    <w:rsid w:val="430637D1"/>
    <w:rsid w:val="430C2A8E"/>
    <w:rsid w:val="430D6A67"/>
    <w:rsid w:val="43340344"/>
    <w:rsid w:val="433C05ED"/>
    <w:rsid w:val="4348181F"/>
    <w:rsid w:val="435B2D69"/>
    <w:rsid w:val="435F053D"/>
    <w:rsid w:val="43635386"/>
    <w:rsid w:val="4365259B"/>
    <w:rsid w:val="43732CFA"/>
    <w:rsid w:val="43864D9A"/>
    <w:rsid w:val="43B06A17"/>
    <w:rsid w:val="43B31CBC"/>
    <w:rsid w:val="43E11760"/>
    <w:rsid w:val="44055F4E"/>
    <w:rsid w:val="440C41E6"/>
    <w:rsid w:val="4420465F"/>
    <w:rsid w:val="4447405A"/>
    <w:rsid w:val="44560723"/>
    <w:rsid w:val="445B22AB"/>
    <w:rsid w:val="44702D4F"/>
    <w:rsid w:val="44807B5C"/>
    <w:rsid w:val="44893BCF"/>
    <w:rsid w:val="44BA6190"/>
    <w:rsid w:val="44F1783F"/>
    <w:rsid w:val="45285B77"/>
    <w:rsid w:val="45680B86"/>
    <w:rsid w:val="45C30A90"/>
    <w:rsid w:val="45DC7CC7"/>
    <w:rsid w:val="460B40FC"/>
    <w:rsid w:val="4616695A"/>
    <w:rsid w:val="464E494E"/>
    <w:rsid w:val="466744DF"/>
    <w:rsid w:val="46735CC9"/>
    <w:rsid w:val="46783795"/>
    <w:rsid w:val="4681328B"/>
    <w:rsid w:val="46BE3094"/>
    <w:rsid w:val="46BE47CB"/>
    <w:rsid w:val="46CB60CC"/>
    <w:rsid w:val="46D178BE"/>
    <w:rsid w:val="46D7612C"/>
    <w:rsid w:val="46E52088"/>
    <w:rsid w:val="46F55331"/>
    <w:rsid w:val="4715608A"/>
    <w:rsid w:val="473A7248"/>
    <w:rsid w:val="47404D80"/>
    <w:rsid w:val="47874818"/>
    <w:rsid w:val="478B4B7E"/>
    <w:rsid w:val="478F567E"/>
    <w:rsid w:val="47A10022"/>
    <w:rsid w:val="47D25F4D"/>
    <w:rsid w:val="47D4007F"/>
    <w:rsid w:val="47DC187E"/>
    <w:rsid w:val="47E04DE8"/>
    <w:rsid w:val="480928E2"/>
    <w:rsid w:val="482A6F06"/>
    <w:rsid w:val="48686B37"/>
    <w:rsid w:val="48764737"/>
    <w:rsid w:val="48840691"/>
    <w:rsid w:val="48AD77AC"/>
    <w:rsid w:val="48B94946"/>
    <w:rsid w:val="49283C5D"/>
    <w:rsid w:val="492A297C"/>
    <w:rsid w:val="493470F7"/>
    <w:rsid w:val="494E1F9B"/>
    <w:rsid w:val="494F3FD7"/>
    <w:rsid w:val="495A4420"/>
    <w:rsid w:val="496658A3"/>
    <w:rsid w:val="498D2D71"/>
    <w:rsid w:val="499D73FA"/>
    <w:rsid w:val="49A510C6"/>
    <w:rsid w:val="49AB718A"/>
    <w:rsid w:val="49C50D14"/>
    <w:rsid w:val="49DA3130"/>
    <w:rsid w:val="49E24B4A"/>
    <w:rsid w:val="49E3734E"/>
    <w:rsid w:val="4A025725"/>
    <w:rsid w:val="4A1E786C"/>
    <w:rsid w:val="4A20299F"/>
    <w:rsid w:val="4A501ECB"/>
    <w:rsid w:val="4A567870"/>
    <w:rsid w:val="4A6A4E2B"/>
    <w:rsid w:val="4A6C1834"/>
    <w:rsid w:val="4AA77F21"/>
    <w:rsid w:val="4AA8358C"/>
    <w:rsid w:val="4AB67254"/>
    <w:rsid w:val="4ACA2715"/>
    <w:rsid w:val="4AE20905"/>
    <w:rsid w:val="4AE93DF5"/>
    <w:rsid w:val="4B357544"/>
    <w:rsid w:val="4B4F200F"/>
    <w:rsid w:val="4B654986"/>
    <w:rsid w:val="4B817F32"/>
    <w:rsid w:val="4B8B3058"/>
    <w:rsid w:val="4BAA2258"/>
    <w:rsid w:val="4BD3110B"/>
    <w:rsid w:val="4C09543E"/>
    <w:rsid w:val="4C0C5D76"/>
    <w:rsid w:val="4C104B60"/>
    <w:rsid w:val="4C2F2ED9"/>
    <w:rsid w:val="4C427D66"/>
    <w:rsid w:val="4C553105"/>
    <w:rsid w:val="4C675072"/>
    <w:rsid w:val="4C683902"/>
    <w:rsid w:val="4C6B6B20"/>
    <w:rsid w:val="4C7C1809"/>
    <w:rsid w:val="4C94363D"/>
    <w:rsid w:val="4CC53578"/>
    <w:rsid w:val="4D052A9F"/>
    <w:rsid w:val="4D0A7CCD"/>
    <w:rsid w:val="4D1C3343"/>
    <w:rsid w:val="4D234FBE"/>
    <w:rsid w:val="4D5D520F"/>
    <w:rsid w:val="4D7413E7"/>
    <w:rsid w:val="4DA605BE"/>
    <w:rsid w:val="4DAE1F07"/>
    <w:rsid w:val="4DCA712A"/>
    <w:rsid w:val="4DDA0876"/>
    <w:rsid w:val="4DE5072F"/>
    <w:rsid w:val="4DF140B9"/>
    <w:rsid w:val="4E002247"/>
    <w:rsid w:val="4E014C3F"/>
    <w:rsid w:val="4E0A0649"/>
    <w:rsid w:val="4E392DED"/>
    <w:rsid w:val="4E722362"/>
    <w:rsid w:val="4E76592D"/>
    <w:rsid w:val="4E89095F"/>
    <w:rsid w:val="4EAA351B"/>
    <w:rsid w:val="4EB11D07"/>
    <w:rsid w:val="4EB172AF"/>
    <w:rsid w:val="4EB17552"/>
    <w:rsid w:val="4EB234FA"/>
    <w:rsid w:val="4EB7186D"/>
    <w:rsid w:val="4ED66727"/>
    <w:rsid w:val="4F285929"/>
    <w:rsid w:val="4F336227"/>
    <w:rsid w:val="4F5648CA"/>
    <w:rsid w:val="4F6E697F"/>
    <w:rsid w:val="4F72040A"/>
    <w:rsid w:val="4F7705F2"/>
    <w:rsid w:val="4F7A4239"/>
    <w:rsid w:val="4F812D64"/>
    <w:rsid w:val="4FA064EF"/>
    <w:rsid w:val="4FB26A05"/>
    <w:rsid w:val="4FC15471"/>
    <w:rsid w:val="4FDC7366"/>
    <w:rsid w:val="4FE05C37"/>
    <w:rsid w:val="4FFA2956"/>
    <w:rsid w:val="50067FDB"/>
    <w:rsid w:val="500E42DA"/>
    <w:rsid w:val="50226F57"/>
    <w:rsid w:val="50550696"/>
    <w:rsid w:val="506658BB"/>
    <w:rsid w:val="506952B6"/>
    <w:rsid w:val="50746A3A"/>
    <w:rsid w:val="50840DA9"/>
    <w:rsid w:val="50A55552"/>
    <w:rsid w:val="50A95114"/>
    <w:rsid w:val="50B9218F"/>
    <w:rsid w:val="50CB4497"/>
    <w:rsid w:val="50CD5F1D"/>
    <w:rsid w:val="50D25797"/>
    <w:rsid w:val="50E02EF0"/>
    <w:rsid w:val="50E30836"/>
    <w:rsid w:val="50F43794"/>
    <w:rsid w:val="51402A22"/>
    <w:rsid w:val="514600BB"/>
    <w:rsid w:val="5180327A"/>
    <w:rsid w:val="518D24A4"/>
    <w:rsid w:val="51B958EB"/>
    <w:rsid w:val="51C8776D"/>
    <w:rsid w:val="51D21F29"/>
    <w:rsid w:val="51DF0E38"/>
    <w:rsid w:val="51E65789"/>
    <w:rsid w:val="51EC53F1"/>
    <w:rsid w:val="526B275E"/>
    <w:rsid w:val="526E32C3"/>
    <w:rsid w:val="52724BC0"/>
    <w:rsid w:val="52781616"/>
    <w:rsid w:val="52836E94"/>
    <w:rsid w:val="529C03E0"/>
    <w:rsid w:val="52C8721B"/>
    <w:rsid w:val="531353D8"/>
    <w:rsid w:val="531E48BB"/>
    <w:rsid w:val="53340301"/>
    <w:rsid w:val="53372FD6"/>
    <w:rsid w:val="534704F3"/>
    <w:rsid w:val="534A6078"/>
    <w:rsid w:val="535379F7"/>
    <w:rsid w:val="5355194F"/>
    <w:rsid w:val="535A326E"/>
    <w:rsid w:val="53602134"/>
    <w:rsid w:val="53661684"/>
    <w:rsid w:val="537076F9"/>
    <w:rsid w:val="53724F50"/>
    <w:rsid w:val="5392186F"/>
    <w:rsid w:val="539C642B"/>
    <w:rsid w:val="53A62DA1"/>
    <w:rsid w:val="541D4F52"/>
    <w:rsid w:val="542C03EE"/>
    <w:rsid w:val="542F0D9F"/>
    <w:rsid w:val="544B3A4C"/>
    <w:rsid w:val="545F59A1"/>
    <w:rsid w:val="547A7181"/>
    <w:rsid w:val="548D46D7"/>
    <w:rsid w:val="548D753E"/>
    <w:rsid w:val="54A16DB5"/>
    <w:rsid w:val="54FB5570"/>
    <w:rsid w:val="55244E49"/>
    <w:rsid w:val="55540A9E"/>
    <w:rsid w:val="55696864"/>
    <w:rsid w:val="556C6B8C"/>
    <w:rsid w:val="557477B6"/>
    <w:rsid w:val="558463F3"/>
    <w:rsid w:val="559417B7"/>
    <w:rsid w:val="559A4B04"/>
    <w:rsid w:val="55C36173"/>
    <w:rsid w:val="56275413"/>
    <w:rsid w:val="562C7E40"/>
    <w:rsid w:val="5630780C"/>
    <w:rsid w:val="563643F3"/>
    <w:rsid w:val="563C5731"/>
    <w:rsid w:val="565A3956"/>
    <w:rsid w:val="56AF431C"/>
    <w:rsid w:val="56D2161E"/>
    <w:rsid w:val="57280844"/>
    <w:rsid w:val="578618A0"/>
    <w:rsid w:val="579848ED"/>
    <w:rsid w:val="57B9668F"/>
    <w:rsid w:val="57C3028C"/>
    <w:rsid w:val="57E37FE4"/>
    <w:rsid w:val="57EE6898"/>
    <w:rsid w:val="57EF5526"/>
    <w:rsid w:val="57F45430"/>
    <w:rsid w:val="581C6697"/>
    <w:rsid w:val="582D65EE"/>
    <w:rsid w:val="583B43BC"/>
    <w:rsid w:val="5840462C"/>
    <w:rsid w:val="584D6154"/>
    <w:rsid w:val="58620480"/>
    <w:rsid w:val="586A3DFC"/>
    <w:rsid w:val="586F083C"/>
    <w:rsid w:val="58A212BF"/>
    <w:rsid w:val="58B87DFD"/>
    <w:rsid w:val="58F16E20"/>
    <w:rsid w:val="590A06FD"/>
    <w:rsid w:val="595443F3"/>
    <w:rsid w:val="596924C0"/>
    <w:rsid w:val="5976060B"/>
    <w:rsid w:val="59A06542"/>
    <w:rsid w:val="59A660ED"/>
    <w:rsid w:val="59C67D05"/>
    <w:rsid w:val="59D15B42"/>
    <w:rsid w:val="59DA3C08"/>
    <w:rsid w:val="59FF094C"/>
    <w:rsid w:val="5A543B08"/>
    <w:rsid w:val="5A552CEF"/>
    <w:rsid w:val="5A566F41"/>
    <w:rsid w:val="5A775565"/>
    <w:rsid w:val="5A825170"/>
    <w:rsid w:val="5A8258B2"/>
    <w:rsid w:val="5A86499A"/>
    <w:rsid w:val="5A8F39A1"/>
    <w:rsid w:val="5A9A4E1E"/>
    <w:rsid w:val="5AA21210"/>
    <w:rsid w:val="5AB226A7"/>
    <w:rsid w:val="5ABA0707"/>
    <w:rsid w:val="5ABB0E8C"/>
    <w:rsid w:val="5AD16577"/>
    <w:rsid w:val="5ADE2173"/>
    <w:rsid w:val="5ADF6521"/>
    <w:rsid w:val="5AF65E71"/>
    <w:rsid w:val="5B3772BE"/>
    <w:rsid w:val="5B3B6C0E"/>
    <w:rsid w:val="5B4C649F"/>
    <w:rsid w:val="5B875D99"/>
    <w:rsid w:val="5B887277"/>
    <w:rsid w:val="5BC32BB9"/>
    <w:rsid w:val="5BD063FA"/>
    <w:rsid w:val="5BD61486"/>
    <w:rsid w:val="5BE15F96"/>
    <w:rsid w:val="5BE2704B"/>
    <w:rsid w:val="5BE460BD"/>
    <w:rsid w:val="5BE9353B"/>
    <w:rsid w:val="5C390FDD"/>
    <w:rsid w:val="5C460D0B"/>
    <w:rsid w:val="5C49753D"/>
    <w:rsid w:val="5C4F2548"/>
    <w:rsid w:val="5C621A10"/>
    <w:rsid w:val="5C930C7D"/>
    <w:rsid w:val="5CBB4CF8"/>
    <w:rsid w:val="5CE57E13"/>
    <w:rsid w:val="5CE934CB"/>
    <w:rsid w:val="5CE96E49"/>
    <w:rsid w:val="5CF67F00"/>
    <w:rsid w:val="5D010609"/>
    <w:rsid w:val="5D095F44"/>
    <w:rsid w:val="5D102FBA"/>
    <w:rsid w:val="5D25605D"/>
    <w:rsid w:val="5D364450"/>
    <w:rsid w:val="5D4B431E"/>
    <w:rsid w:val="5D4C5614"/>
    <w:rsid w:val="5D4D6932"/>
    <w:rsid w:val="5D537656"/>
    <w:rsid w:val="5D86027C"/>
    <w:rsid w:val="5D8F4A80"/>
    <w:rsid w:val="5DAD0825"/>
    <w:rsid w:val="5DC94848"/>
    <w:rsid w:val="5DCC5C89"/>
    <w:rsid w:val="5DEE7D39"/>
    <w:rsid w:val="5E0378B2"/>
    <w:rsid w:val="5E0F3DBE"/>
    <w:rsid w:val="5E66516F"/>
    <w:rsid w:val="5E811961"/>
    <w:rsid w:val="5E8C09A3"/>
    <w:rsid w:val="5E9216BA"/>
    <w:rsid w:val="5EA25F2F"/>
    <w:rsid w:val="5EA81F4E"/>
    <w:rsid w:val="5EA92612"/>
    <w:rsid w:val="5ED760C3"/>
    <w:rsid w:val="5EE7742A"/>
    <w:rsid w:val="5EEB2B6E"/>
    <w:rsid w:val="5EEC738E"/>
    <w:rsid w:val="5EF02E90"/>
    <w:rsid w:val="5EF81622"/>
    <w:rsid w:val="5F0D0354"/>
    <w:rsid w:val="5F180F96"/>
    <w:rsid w:val="5F184A1A"/>
    <w:rsid w:val="5F40279C"/>
    <w:rsid w:val="5F4C2E1D"/>
    <w:rsid w:val="5F663146"/>
    <w:rsid w:val="5F740723"/>
    <w:rsid w:val="5F80670D"/>
    <w:rsid w:val="5F813393"/>
    <w:rsid w:val="5F896EBD"/>
    <w:rsid w:val="5F9F74B9"/>
    <w:rsid w:val="5FB14CFC"/>
    <w:rsid w:val="5FB65452"/>
    <w:rsid w:val="5FCB6281"/>
    <w:rsid w:val="5FD71BB4"/>
    <w:rsid w:val="5FE54CE7"/>
    <w:rsid w:val="600922EE"/>
    <w:rsid w:val="60294ED2"/>
    <w:rsid w:val="606C30BE"/>
    <w:rsid w:val="60867C11"/>
    <w:rsid w:val="60945ABB"/>
    <w:rsid w:val="609762A8"/>
    <w:rsid w:val="60C1031D"/>
    <w:rsid w:val="60C17590"/>
    <w:rsid w:val="610B388B"/>
    <w:rsid w:val="613621B8"/>
    <w:rsid w:val="613F29D2"/>
    <w:rsid w:val="615A0776"/>
    <w:rsid w:val="61653EAE"/>
    <w:rsid w:val="619B32E6"/>
    <w:rsid w:val="61A40638"/>
    <w:rsid w:val="61A43811"/>
    <w:rsid w:val="61B50223"/>
    <w:rsid w:val="61E37C54"/>
    <w:rsid w:val="61EA6863"/>
    <w:rsid w:val="623C4C85"/>
    <w:rsid w:val="624B025A"/>
    <w:rsid w:val="624F2F3B"/>
    <w:rsid w:val="6255240C"/>
    <w:rsid w:val="626B7739"/>
    <w:rsid w:val="627142EA"/>
    <w:rsid w:val="627778C3"/>
    <w:rsid w:val="627C09A4"/>
    <w:rsid w:val="62981C6B"/>
    <w:rsid w:val="62AB5C63"/>
    <w:rsid w:val="62AC5932"/>
    <w:rsid w:val="62EA23DE"/>
    <w:rsid w:val="63021F2A"/>
    <w:rsid w:val="63031DFD"/>
    <w:rsid w:val="630E19B2"/>
    <w:rsid w:val="630F5452"/>
    <w:rsid w:val="6330664B"/>
    <w:rsid w:val="634B48EF"/>
    <w:rsid w:val="637D46DD"/>
    <w:rsid w:val="6384541E"/>
    <w:rsid w:val="63AA3CCC"/>
    <w:rsid w:val="63BF1F2A"/>
    <w:rsid w:val="63E5081D"/>
    <w:rsid w:val="63F14EEB"/>
    <w:rsid w:val="640850BC"/>
    <w:rsid w:val="6409152B"/>
    <w:rsid w:val="642A4D80"/>
    <w:rsid w:val="6430702A"/>
    <w:rsid w:val="6435031E"/>
    <w:rsid w:val="643A5DF4"/>
    <w:rsid w:val="64571464"/>
    <w:rsid w:val="646845C2"/>
    <w:rsid w:val="647964A6"/>
    <w:rsid w:val="648327DF"/>
    <w:rsid w:val="6485380B"/>
    <w:rsid w:val="648722D0"/>
    <w:rsid w:val="648810A4"/>
    <w:rsid w:val="64CF2F6B"/>
    <w:rsid w:val="64E955E3"/>
    <w:rsid w:val="64FD7179"/>
    <w:rsid w:val="6508490C"/>
    <w:rsid w:val="65181FEF"/>
    <w:rsid w:val="653058BF"/>
    <w:rsid w:val="65562030"/>
    <w:rsid w:val="655F24F8"/>
    <w:rsid w:val="657E4680"/>
    <w:rsid w:val="65870920"/>
    <w:rsid w:val="658C6668"/>
    <w:rsid w:val="659A7156"/>
    <w:rsid w:val="65AD43D5"/>
    <w:rsid w:val="65DA54AF"/>
    <w:rsid w:val="65E608F9"/>
    <w:rsid w:val="660426F5"/>
    <w:rsid w:val="661338DD"/>
    <w:rsid w:val="661921CC"/>
    <w:rsid w:val="661B412E"/>
    <w:rsid w:val="663510F6"/>
    <w:rsid w:val="66405464"/>
    <w:rsid w:val="664B18FA"/>
    <w:rsid w:val="6666514E"/>
    <w:rsid w:val="66800F63"/>
    <w:rsid w:val="66907F5E"/>
    <w:rsid w:val="669D5519"/>
    <w:rsid w:val="66A66C28"/>
    <w:rsid w:val="66A92D7C"/>
    <w:rsid w:val="66EB37C3"/>
    <w:rsid w:val="674A2E9D"/>
    <w:rsid w:val="675C607D"/>
    <w:rsid w:val="678C5835"/>
    <w:rsid w:val="678D2DEF"/>
    <w:rsid w:val="67BA195F"/>
    <w:rsid w:val="67BD092C"/>
    <w:rsid w:val="67C21DF2"/>
    <w:rsid w:val="67CF3713"/>
    <w:rsid w:val="68116653"/>
    <w:rsid w:val="684C3F22"/>
    <w:rsid w:val="6871699C"/>
    <w:rsid w:val="68AA46D8"/>
    <w:rsid w:val="68B60F35"/>
    <w:rsid w:val="68B81485"/>
    <w:rsid w:val="68BD6738"/>
    <w:rsid w:val="68CA6F52"/>
    <w:rsid w:val="68D26B94"/>
    <w:rsid w:val="68DA4532"/>
    <w:rsid w:val="68EC2D78"/>
    <w:rsid w:val="68FF7324"/>
    <w:rsid w:val="690E6F9F"/>
    <w:rsid w:val="697322F3"/>
    <w:rsid w:val="698D17AA"/>
    <w:rsid w:val="6991551A"/>
    <w:rsid w:val="69CF3010"/>
    <w:rsid w:val="69D245E8"/>
    <w:rsid w:val="69E00902"/>
    <w:rsid w:val="6A103325"/>
    <w:rsid w:val="6A1412F3"/>
    <w:rsid w:val="6A1B26A8"/>
    <w:rsid w:val="6A1C2E97"/>
    <w:rsid w:val="6A22553E"/>
    <w:rsid w:val="6A3B166E"/>
    <w:rsid w:val="6A5715C8"/>
    <w:rsid w:val="6A666B4D"/>
    <w:rsid w:val="6A883869"/>
    <w:rsid w:val="6A942907"/>
    <w:rsid w:val="6A9919BE"/>
    <w:rsid w:val="6AC173B6"/>
    <w:rsid w:val="6AE61698"/>
    <w:rsid w:val="6AEE1E9B"/>
    <w:rsid w:val="6AF5064F"/>
    <w:rsid w:val="6AFA4DF9"/>
    <w:rsid w:val="6B1E2E00"/>
    <w:rsid w:val="6B213223"/>
    <w:rsid w:val="6B2572C5"/>
    <w:rsid w:val="6B5E5961"/>
    <w:rsid w:val="6B6407EA"/>
    <w:rsid w:val="6B676FA0"/>
    <w:rsid w:val="6B8F69CA"/>
    <w:rsid w:val="6B9D272E"/>
    <w:rsid w:val="6BDD1E4E"/>
    <w:rsid w:val="6BDF13AA"/>
    <w:rsid w:val="6BEB66B7"/>
    <w:rsid w:val="6BF630BA"/>
    <w:rsid w:val="6C054B5C"/>
    <w:rsid w:val="6C6835A3"/>
    <w:rsid w:val="6C6E43C0"/>
    <w:rsid w:val="6C711422"/>
    <w:rsid w:val="6C9512FE"/>
    <w:rsid w:val="6C995A65"/>
    <w:rsid w:val="6CC05C1A"/>
    <w:rsid w:val="6CCD27C7"/>
    <w:rsid w:val="6CFF4FAB"/>
    <w:rsid w:val="6D0E4CF8"/>
    <w:rsid w:val="6D146747"/>
    <w:rsid w:val="6D2F7384"/>
    <w:rsid w:val="6D3E05E9"/>
    <w:rsid w:val="6D4267B0"/>
    <w:rsid w:val="6D50795D"/>
    <w:rsid w:val="6D606EC6"/>
    <w:rsid w:val="6D7777CF"/>
    <w:rsid w:val="6D824164"/>
    <w:rsid w:val="6D9047A4"/>
    <w:rsid w:val="6D97384B"/>
    <w:rsid w:val="6D9E55C2"/>
    <w:rsid w:val="6DB7126D"/>
    <w:rsid w:val="6DBB15EB"/>
    <w:rsid w:val="6DD6338B"/>
    <w:rsid w:val="6DDB7D5E"/>
    <w:rsid w:val="6DDE491B"/>
    <w:rsid w:val="6DE2716C"/>
    <w:rsid w:val="6DEA3942"/>
    <w:rsid w:val="6DF37BEA"/>
    <w:rsid w:val="6E8D64EF"/>
    <w:rsid w:val="6EC8379B"/>
    <w:rsid w:val="6EDD0D06"/>
    <w:rsid w:val="6EE025A1"/>
    <w:rsid w:val="6F1A5C40"/>
    <w:rsid w:val="6F283E13"/>
    <w:rsid w:val="6F485144"/>
    <w:rsid w:val="6F4C7065"/>
    <w:rsid w:val="6F59311A"/>
    <w:rsid w:val="6F6777E7"/>
    <w:rsid w:val="6FA36CDC"/>
    <w:rsid w:val="7000585A"/>
    <w:rsid w:val="700716A0"/>
    <w:rsid w:val="701F4FE0"/>
    <w:rsid w:val="70336169"/>
    <w:rsid w:val="70386944"/>
    <w:rsid w:val="704160CB"/>
    <w:rsid w:val="704A56A3"/>
    <w:rsid w:val="70596C6F"/>
    <w:rsid w:val="705A48DE"/>
    <w:rsid w:val="705C7E9F"/>
    <w:rsid w:val="707B3132"/>
    <w:rsid w:val="70854ABD"/>
    <w:rsid w:val="70980E77"/>
    <w:rsid w:val="70D0103C"/>
    <w:rsid w:val="70E361FF"/>
    <w:rsid w:val="712B5935"/>
    <w:rsid w:val="7162553A"/>
    <w:rsid w:val="71866BB5"/>
    <w:rsid w:val="71DB52A3"/>
    <w:rsid w:val="720421B5"/>
    <w:rsid w:val="72130F9B"/>
    <w:rsid w:val="722A7728"/>
    <w:rsid w:val="723A4B82"/>
    <w:rsid w:val="724C24B7"/>
    <w:rsid w:val="725743A1"/>
    <w:rsid w:val="726D5F53"/>
    <w:rsid w:val="726E2FE5"/>
    <w:rsid w:val="729D6F86"/>
    <w:rsid w:val="72AF5071"/>
    <w:rsid w:val="72CE2DB4"/>
    <w:rsid w:val="72E50A06"/>
    <w:rsid w:val="72F94F84"/>
    <w:rsid w:val="731C54D9"/>
    <w:rsid w:val="73377353"/>
    <w:rsid w:val="736723CB"/>
    <w:rsid w:val="73B85500"/>
    <w:rsid w:val="73C4014A"/>
    <w:rsid w:val="73ED5A77"/>
    <w:rsid w:val="73F01478"/>
    <w:rsid w:val="743C0E2B"/>
    <w:rsid w:val="74484221"/>
    <w:rsid w:val="744D4A53"/>
    <w:rsid w:val="746B1C8F"/>
    <w:rsid w:val="746C130E"/>
    <w:rsid w:val="74832712"/>
    <w:rsid w:val="74837157"/>
    <w:rsid w:val="748E3A83"/>
    <w:rsid w:val="74937A03"/>
    <w:rsid w:val="74A86629"/>
    <w:rsid w:val="74AF794E"/>
    <w:rsid w:val="74D109DB"/>
    <w:rsid w:val="74D36F6A"/>
    <w:rsid w:val="74D3701A"/>
    <w:rsid w:val="74DF11CF"/>
    <w:rsid w:val="74F44F94"/>
    <w:rsid w:val="753B0853"/>
    <w:rsid w:val="753E3024"/>
    <w:rsid w:val="75763E5F"/>
    <w:rsid w:val="757D0BB3"/>
    <w:rsid w:val="75853359"/>
    <w:rsid w:val="75906A20"/>
    <w:rsid w:val="759774B8"/>
    <w:rsid w:val="75AE78F2"/>
    <w:rsid w:val="75BA3DEC"/>
    <w:rsid w:val="760A5804"/>
    <w:rsid w:val="762141FA"/>
    <w:rsid w:val="762E08DA"/>
    <w:rsid w:val="763F1986"/>
    <w:rsid w:val="765A756B"/>
    <w:rsid w:val="767C5A43"/>
    <w:rsid w:val="76A9006E"/>
    <w:rsid w:val="77095A2D"/>
    <w:rsid w:val="77113761"/>
    <w:rsid w:val="771F127C"/>
    <w:rsid w:val="772166C6"/>
    <w:rsid w:val="77367627"/>
    <w:rsid w:val="773735E4"/>
    <w:rsid w:val="77642C84"/>
    <w:rsid w:val="776C1A27"/>
    <w:rsid w:val="77720B34"/>
    <w:rsid w:val="7783599B"/>
    <w:rsid w:val="7788113E"/>
    <w:rsid w:val="779354F4"/>
    <w:rsid w:val="77C62243"/>
    <w:rsid w:val="77C63CEC"/>
    <w:rsid w:val="77CA2E17"/>
    <w:rsid w:val="77CB65A6"/>
    <w:rsid w:val="77EA10FA"/>
    <w:rsid w:val="77F02EA7"/>
    <w:rsid w:val="78085411"/>
    <w:rsid w:val="782235A4"/>
    <w:rsid w:val="782251C1"/>
    <w:rsid w:val="78282E88"/>
    <w:rsid w:val="78933F38"/>
    <w:rsid w:val="78D002D4"/>
    <w:rsid w:val="78DB1BC5"/>
    <w:rsid w:val="78DD06BA"/>
    <w:rsid w:val="78FF201C"/>
    <w:rsid w:val="79024A5A"/>
    <w:rsid w:val="79033EE2"/>
    <w:rsid w:val="79084AA5"/>
    <w:rsid w:val="790F06CD"/>
    <w:rsid w:val="79154D72"/>
    <w:rsid w:val="7919798C"/>
    <w:rsid w:val="792837C5"/>
    <w:rsid w:val="792F099A"/>
    <w:rsid w:val="792F1D41"/>
    <w:rsid w:val="792F54C8"/>
    <w:rsid w:val="795057B6"/>
    <w:rsid w:val="795D167D"/>
    <w:rsid w:val="795E45D1"/>
    <w:rsid w:val="796C167A"/>
    <w:rsid w:val="796E5590"/>
    <w:rsid w:val="798A4C81"/>
    <w:rsid w:val="79B13DDB"/>
    <w:rsid w:val="79D42428"/>
    <w:rsid w:val="79F1721D"/>
    <w:rsid w:val="79F94942"/>
    <w:rsid w:val="7A0C2986"/>
    <w:rsid w:val="7A165070"/>
    <w:rsid w:val="7A2D0EA7"/>
    <w:rsid w:val="7A344A7E"/>
    <w:rsid w:val="7A401D8D"/>
    <w:rsid w:val="7A4A7CDA"/>
    <w:rsid w:val="7A514063"/>
    <w:rsid w:val="7A682981"/>
    <w:rsid w:val="7A722FCC"/>
    <w:rsid w:val="7A7474E7"/>
    <w:rsid w:val="7A795231"/>
    <w:rsid w:val="7AB03053"/>
    <w:rsid w:val="7AB13BAB"/>
    <w:rsid w:val="7AB3029C"/>
    <w:rsid w:val="7AED7CAB"/>
    <w:rsid w:val="7B072192"/>
    <w:rsid w:val="7B101906"/>
    <w:rsid w:val="7B2D6582"/>
    <w:rsid w:val="7B3C75A8"/>
    <w:rsid w:val="7B480473"/>
    <w:rsid w:val="7B503B94"/>
    <w:rsid w:val="7B712036"/>
    <w:rsid w:val="7B7375AE"/>
    <w:rsid w:val="7BB274C7"/>
    <w:rsid w:val="7BB31BED"/>
    <w:rsid w:val="7BB45F5C"/>
    <w:rsid w:val="7BB62C89"/>
    <w:rsid w:val="7BC50E51"/>
    <w:rsid w:val="7BD03580"/>
    <w:rsid w:val="7BEF5BE9"/>
    <w:rsid w:val="7BF37D15"/>
    <w:rsid w:val="7BF64CAB"/>
    <w:rsid w:val="7C03638C"/>
    <w:rsid w:val="7C37394B"/>
    <w:rsid w:val="7C4A4162"/>
    <w:rsid w:val="7C707886"/>
    <w:rsid w:val="7C87671D"/>
    <w:rsid w:val="7CA50F33"/>
    <w:rsid w:val="7CA73C2D"/>
    <w:rsid w:val="7CA87C61"/>
    <w:rsid w:val="7CC80CE1"/>
    <w:rsid w:val="7CCC41BE"/>
    <w:rsid w:val="7CDB6A7C"/>
    <w:rsid w:val="7CEA1D6C"/>
    <w:rsid w:val="7CEA3B1A"/>
    <w:rsid w:val="7D225061"/>
    <w:rsid w:val="7D472D1A"/>
    <w:rsid w:val="7D5A02B2"/>
    <w:rsid w:val="7D8530F3"/>
    <w:rsid w:val="7DD301B6"/>
    <w:rsid w:val="7E4F4C06"/>
    <w:rsid w:val="7E543797"/>
    <w:rsid w:val="7E5C0AE2"/>
    <w:rsid w:val="7E6F0D0E"/>
    <w:rsid w:val="7E8A2F7F"/>
    <w:rsid w:val="7ECA191F"/>
    <w:rsid w:val="7ECC725E"/>
    <w:rsid w:val="7EDD67A6"/>
    <w:rsid w:val="7EE4195D"/>
    <w:rsid w:val="7EEE2A6D"/>
    <w:rsid w:val="7EF8667F"/>
    <w:rsid w:val="7F007624"/>
    <w:rsid w:val="7F1112BB"/>
    <w:rsid w:val="7F213F4D"/>
    <w:rsid w:val="7F30683E"/>
    <w:rsid w:val="7F336C7D"/>
    <w:rsid w:val="7F5F5486"/>
    <w:rsid w:val="7F793B97"/>
    <w:rsid w:val="7FB31941"/>
    <w:rsid w:val="7FDD3A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99"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6" w:lineRule="auto"/>
      <w:outlineLvl w:val="0"/>
    </w:pPr>
    <w:rPr>
      <w:b/>
      <w:bCs/>
      <w:kern w:val="44"/>
      <w:sz w:val="44"/>
      <w:szCs w:val="44"/>
    </w:rPr>
  </w:style>
  <w:style w:type="paragraph" w:styleId="5">
    <w:name w:val="heading 2"/>
    <w:basedOn w:val="1"/>
    <w:next w:val="1"/>
    <w:link w:val="55"/>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qFormat/>
    <w:uiPriority w:val="0"/>
    <w:pPr>
      <w:keepNext/>
      <w:keepLines/>
      <w:adjustRightInd w:val="0"/>
      <w:spacing w:before="260" w:beforeLines="0" w:after="260" w:afterLines="0" w:line="416" w:lineRule="atLeast"/>
      <w:textAlignment w:val="baseline"/>
      <w:outlineLvl w:val="2"/>
    </w:pPr>
    <w:rPr>
      <w:b/>
      <w:bCs/>
      <w:kern w:val="0"/>
      <w:sz w:val="32"/>
      <w:szCs w:val="32"/>
    </w:rPr>
  </w:style>
  <w:style w:type="paragraph" w:styleId="7">
    <w:name w:val="heading 4"/>
    <w:basedOn w:val="1"/>
    <w:next w:val="1"/>
    <w:link w:val="56"/>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8">
    <w:name w:val="heading 5"/>
    <w:basedOn w:val="1"/>
    <w:next w:val="9"/>
    <w:qFormat/>
    <w:uiPriority w:val="0"/>
    <w:pPr>
      <w:keepNext/>
      <w:keepLines/>
      <w:numPr>
        <w:ilvl w:val="4"/>
        <w:numId w:val="2"/>
      </w:numPr>
      <w:spacing w:before="280" w:beforeLines="0" w:after="290" w:afterLines="0" w:line="372" w:lineRule="auto"/>
      <w:outlineLvl w:val="4"/>
    </w:pPr>
    <w:rPr>
      <w:b/>
      <w:sz w:val="28"/>
      <w:szCs w:val="20"/>
    </w:rPr>
  </w:style>
  <w:style w:type="paragraph" w:styleId="10">
    <w:name w:val="heading 6"/>
    <w:basedOn w:val="1"/>
    <w:next w:val="9"/>
    <w:qFormat/>
    <w:uiPriority w:val="0"/>
    <w:pPr>
      <w:keepNext/>
      <w:keepLines/>
      <w:numPr>
        <w:ilvl w:val="5"/>
        <w:numId w:val="2"/>
      </w:numPr>
      <w:spacing w:before="240" w:beforeLines="0" w:after="64" w:afterLines="0" w:line="317" w:lineRule="auto"/>
      <w:outlineLvl w:val="5"/>
    </w:pPr>
    <w:rPr>
      <w:rFonts w:ascii="Arial" w:hAnsi="Arial" w:eastAsia="黑体"/>
      <w:b/>
      <w:sz w:val="24"/>
      <w:szCs w:val="20"/>
    </w:rPr>
  </w:style>
  <w:style w:type="paragraph" w:styleId="11">
    <w:name w:val="heading 7"/>
    <w:basedOn w:val="1"/>
    <w:next w:val="9"/>
    <w:qFormat/>
    <w:uiPriority w:val="0"/>
    <w:pPr>
      <w:keepNext/>
      <w:keepLines/>
      <w:numPr>
        <w:ilvl w:val="6"/>
        <w:numId w:val="2"/>
      </w:numPr>
      <w:spacing w:before="240" w:beforeLines="0" w:after="64" w:afterLines="0" w:line="317" w:lineRule="auto"/>
      <w:outlineLvl w:val="6"/>
    </w:pPr>
    <w:rPr>
      <w:b/>
      <w:sz w:val="24"/>
      <w:szCs w:val="20"/>
    </w:rPr>
  </w:style>
  <w:style w:type="paragraph" w:styleId="12">
    <w:name w:val="heading 8"/>
    <w:basedOn w:val="1"/>
    <w:next w:val="9"/>
    <w:qFormat/>
    <w:uiPriority w:val="0"/>
    <w:pPr>
      <w:keepNext/>
      <w:keepLines/>
      <w:numPr>
        <w:ilvl w:val="7"/>
        <w:numId w:val="2"/>
      </w:numPr>
      <w:spacing w:before="240" w:beforeLines="0" w:after="64" w:afterLines="0" w:line="317" w:lineRule="auto"/>
      <w:outlineLvl w:val="7"/>
    </w:pPr>
    <w:rPr>
      <w:rFonts w:ascii="Arial" w:hAnsi="Arial" w:eastAsia="黑体"/>
      <w:sz w:val="24"/>
      <w:szCs w:val="20"/>
    </w:rPr>
  </w:style>
  <w:style w:type="paragraph" w:styleId="13">
    <w:name w:val="heading 9"/>
    <w:basedOn w:val="1"/>
    <w:next w:val="9"/>
    <w:qFormat/>
    <w:uiPriority w:val="0"/>
    <w:pPr>
      <w:keepNext/>
      <w:keepLines/>
      <w:numPr>
        <w:ilvl w:val="8"/>
        <w:numId w:val="2"/>
      </w:numPr>
      <w:spacing w:before="240" w:beforeLines="0" w:after="64" w:afterLines="0" w:line="317" w:lineRule="auto"/>
      <w:outlineLvl w:val="8"/>
    </w:pPr>
    <w:rPr>
      <w:rFonts w:ascii="Arial" w:hAnsi="Arial" w:eastAsia="黑体"/>
      <w:szCs w:val="20"/>
    </w:rPr>
  </w:style>
  <w:style w:type="character" w:default="1" w:styleId="48">
    <w:name w:val="Default Paragraph Font"/>
    <w:uiPriority w:val="0"/>
  </w:style>
  <w:style w:type="table" w:default="1" w:styleId="4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6"/>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54"/>
    <w:uiPriority w:val="0"/>
    <w:pPr>
      <w:spacing w:line="200" w:lineRule="exact"/>
      <w:ind w:firstLine="301"/>
    </w:pPr>
    <w:rPr>
      <w:sz w:val="24"/>
      <w:szCs w:val="20"/>
    </w:rPr>
  </w:style>
  <w:style w:type="paragraph" w:styleId="9">
    <w:name w:val="Normal Indent"/>
    <w:basedOn w:val="1"/>
    <w:link w:val="57"/>
    <w:qFormat/>
    <w:uiPriority w:val="0"/>
    <w:pPr>
      <w:ind w:firstLine="420"/>
    </w:pPr>
    <w:rPr>
      <w:szCs w:val="20"/>
    </w:rPr>
  </w:style>
  <w:style w:type="paragraph" w:styleId="14">
    <w:name w:val="toc 7"/>
    <w:basedOn w:val="1"/>
    <w:next w:val="1"/>
    <w:uiPriority w:val="0"/>
    <w:pPr>
      <w:ind w:left="1260"/>
      <w:jc w:val="left"/>
    </w:pPr>
    <w:rPr>
      <w:sz w:val="18"/>
      <w:szCs w:val="18"/>
    </w:rPr>
  </w:style>
  <w:style w:type="paragraph" w:styleId="15">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58"/>
    <w:uiPriority w:val="0"/>
    <w:pPr>
      <w:shd w:val="clear" w:color="auto" w:fill="000080"/>
    </w:pPr>
    <w:rPr>
      <w:rFonts w:eastAsia="宋体"/>
    </w:rPr>
  </w:style>
  <w:style w:type="paragraph" w:styleId="18">
    <w:name w:val="annotation text"/>
    <w:basedOn w:val="1"/>
    <w:link w:val="59"/>
    <w:uiPriority w:val="0"/>
    <w:pPr>
      <w:jc w:val="left"/>
    </w:pPr>
    <w:rPr>
      <w:rFonts w:eastAsia="宋体"/>
      <w:szCs w:val="20"/>
    </w:rPr>
  </w:style>
  <w:style w:type="paragraph" w:styleId="19">
    <w:name w:val="Body Text 3"/>
    <w:basedOn w:val="1"/>
    <w:link w:val="60"/>
    <w:uiPriority w:val="0"/>
    <w:pPr>
      <w:snapToGrid w:val="0"/>
      <w:spacing w:before="50" w:beforeLines="0" w:after="50" w:afterLines="0"/>
    </w:pPr>
    <w:rPr>
      <w:rFonts w:hAnsi="宋体"/>
      <w:b/>
      <w:bCs/>
      <w:sz w:val="24"/>
      <w:szCs w:val="20"/>
    </w:rPr>
  </w:style>
  <w:style w:type="paragraph" w:styleId="20">
    <w:name w:val="Body Text"/>
    <w:basedOn w:val="1"/>
    <w:next w:val="21"/>
    <w:link w:val="61"/>
    <w:uiPriority w:val="99"/>
    <w:pPr>
      <w:spacing w:after="120" w:afterLines="0"/>
    </w:pPr>
  </w:style>
  <w:style w:type="paragraph" w:styleId="21">
    <w:name w:val="Body Text First Indent"/>
    <w:basedOn w:val="20"/>
    <w:next w:val="1"/>
    <w:link w:val="62"/>
    <w:uiPriority w:val="99"/>
    <w:pPr>
      <w:ind w:firstLine="420" w:firstLineChars="100"/>
    </w:pPr>
    <w:rPr>
      <w:sz w:val="21"/>
    </w:rPr>
  </w:style>
  <w:style w:type="paragraph" w:styleId="22">
    <w:name w:val="List Number 3"/>
    <w:basedOn w:val="1"/>
    <w:uiPriority w:val="0"/>
    <w:pPr>
      <w:numPr>
        <w:ilvl w:val="0"/>
        <w:numId w:val="3"/>
      </w:numPr>
    </w:pPr>
  </w:style>
  <w:style w:type="paragraph" w:styleId="23">
    <w:name w:val="List 2"/>
    <w:basedOn w:val="1"/>
    <w:uiPriority w:val="0"/>
    <w:pPr>
      <w:ind w:left="100" w:leftChars="200" w:hanging="200" w:hangingChars="200"/>
    </w:pPr>
    <w:rPr>
      <w:sz w:val="28"/>
    </w:rPr>
  </w:style>
  <w:style w:type="paragraph" w:styleId="24">
    <w:name w:val="Block Text"/>
    <w:basedOn w:val="1"/>
    <w:uiPriority w:val="0"/>
    <w:pPr>
      <w:spacing w:before="120" w:beforeLines="0" w:after="120" w:afterLines="0" w:line="360" w:lineRule="auto"/>
      <w:ind w:left="630" w:right="202"/>
    </w:pPr>
    <w:rPr>
      <w:rFonts w:ascii="宋体"/>
      <w:szCs w:val="20"/>
    </w:rPr>
  </w:style>
  <w:style w:type="paragraph" w:styleId="25">
    <w:name w:val="toc 5"/>
    <w:basedOn w:val="1"/>
    <w:next w:val="1"/>
    <w:uiPriority w:val="0"/>
    <w:pPr>
      <w:ind w:left="840"/>
      <w:jc w:val="left"/>
    </w:pPr>
    <w:rPr>
      <w:sz w:val="18"/>
      <w:szCs w:val="18"/>
    </w:rPr>
  </w:style>
  <w:style w:type="paragraph" w:styleId="26">
    <w:name w:val="toc 3"/>
    <w:basedOn w:val="1"/>
    <w:next w:val="1"/>
    <w:uiPriority w:val="39"/>
    <w:pPr>
      <w:ind w:left="840" w:leftChars="400"/>
    </w:pPr>
  </w:style>
  <w:style w:type="paragraph" w:styleId="27">
    <w:name w:val="Plain Text"/>
    <w:basedOn w:val="1"/>
    <w:link w:val="63"/>
    <w:qFormat/>
    <w:uiPriority w:val="0"/>
    <w:pPr>
      <w:spacing w:before="156" w:beforeLines="50" w:after="156" w:afterLines="50" w:line="400" w:lineRule="exact"/>
    </w:pPr>
    <w:rPr>
      <w:rFonts w:hint="eastAsia" w:ascii="宋体" w:hAnsi="Courier New" w:eastAsia="宋体"/>
      <w:sz w:val="24"/>
    </w:rPr>
  </w:style>
  <w:style w:type="paragraph" w:styleId="28">
    <w:name w:val="toc 8"/>
    <w:basedOn w:val="1"/>
    <w:next w:val="1"/>
    <w:uiPriority w:val="0"/>
    <w:pPr>
      <w:ind w:left="1470"/>
      <w:jc w:val="left"/>
    </w:pPr>
    <w:rPr>
      <w:sz w:val="18"/>
      <w:szCs w:val="18"/>
    </w:rPr>
  </w:style>
  <w:style w:type="paragraph" w:styleId="29">
    <w:name w:val="Date"/>
    <w:basedOn w:val="1"/>
    <w:next w:val="1"/>
    <w:uiPriority w:val="0"/>
    <w:pPr>
      <w:ind w:leftChars="2500"/>
    </w:pPr>
    <w:rPr>
      <w:rFonts w:eastAsia="楷体_GB2312"/>
      <w:sz w:val="32"/>
      <w:szCs w:val="20"/>
    </w:rPr>
  </w:style>
  <w:style w:type="paragraph" w:styleId="30">
    <w:name w:val="Body Text Indent 2"/>
    <w:basedOn w:val="1"/>
    <w:uiPriority w:val="0"/>
    <w:pPr>
      <w:snapToGrid w:val="0"/>
      <w:ind w:firstLine="542" w:firstLineChars="225"/>
    </w:pPr>
    <w:rPr>
      <w:rFonts w:ascii="仿宋_GB2312" w:hAnsi="宋体" w:cs="Arial"/>
      <w:b/>
      <w:bCs/>
      <w:color w:val="000000"/>
      <w:sz w:val="24"/>
    </w:rPr>
  </w:style>
  <w:style w:type="paragraph" w:styleId="31">
    <w:name w:val="Balloon Text"/>
    <w:basedOn w:val="1"/>
    <w:uiPriority w:val="0"/>
    <w:rPr>
      <w:sz w:val="18"/>
      <w:szCs w:val="18"/>
    </w:rPr>
  </w:style>
  <w:style w:type="paragraph" w:styleId="32">
    <w:name w:val="footer"/>
    <w:basedOn w:val="1"/>
    <w:link w:val="64"/>
    <w:uiPriority w:val="0"/>
    <w:pPr>
      <w:tabs>
        <w:tab w:val="center" w:pos="4153"/>
        <w:tab w:val="right" w:pos="8306"/>
      </w:tabs>
      <w:snapToGrid w:val="0"/>
      <w:jc w:val="left"/>
    </w:pPr>
    <w:rPr>
      <w:rFonts w:eastAsia="黑体"/>
      <w:snapToGrid w:val="0"/>
      <w:kern w:val="0"/>
      <w:sz w:val="18"/>
      <w:szCs w:val="18"/>
    </w:rPr>
  </w:style>
  <w:style w:type="paragraph" w:styleId="33">
    <w:name w:val="header"/>
    <w:basedOn w:val="1"/>
    <w:link w:val="65"/>
    <w:uiPriority w:val="0"/>
    <w:pPr>
      <w:pBdr>
        <w:bottom w:val="single" w:color="auto" w:sz="6" w:space="1"/>
      </w:pBdr>
      <w:tabs>
        <w:tab w:val="center" w:pos="4153"/>
        <w:tab w:val="right" w:pos="8306"/>
      </w:tabs>
      <w:snapToGrid w:val="0"/>
      <w:jc w:val="center"/>
    </w:pPr>
    <w:rPr>
      <w:rFonts w:hint="eastAsia" w:ascii="仿宋_GB2312"/>
      <w:sz w:val="18"/>
      <w:szCs w:val="20"/>
    </w:rPr>
  </w:style>
  <w:style w:type="paragraph" w:styleId="34">
    <w:name w:val="toc 1"/>
    <w:basedOn w:val="1"/>
    <w:next w:val="1"/>
    <w:uiPriority w:val="39"/>
    <w:pPr>
      <w:tabs>
        <w:tab w:val="left" w:pos="1050"/>
        <w:tab w:val="right" w:leader="dot" w:pos="8302"/>
      </w:tabs>
    </w:pPr>
  </w:style>
  <w:style w:type="paragraph" w:styleId="35">
    <w:name w:val="toc 4"/>
    <w:basedOn w:val="1"/>
    <w:next w:val="1"/>
    <w:uiPriority w:val="0"/>
    <w:pPr>
      <w:ind w:left="630"/>
      <w:jc w:val="left"/>
    </w:pPr>
    <w:rPr>
      <w:sz w:val="18"/>
      <w:szCs w:val="18"/>
    </w:rPr>
  </w:style>
  <w:style w:type="paragraph" w:styleId="36">
    <w:name w:val="List"/>
    <w:basedOn w:val="1"/>
    <w:uiPriority w:val="0"/>
    <w:pPr>
      <w:ind w:left="200" w:hanging="200" w:hangingChars="200"/>
    </w:pPr>
    <w:rPr>
      <w:sz w:val="28"/>
    </w:rPr>
  </w:style>
  <w:style w:type="paragraph" w:styleId="37">
    <w:name w:val="toc 6"/>
    <w:basedOn w:val="1"/>
    <w:next w:val="1"/>
    <w:uiPriority w:val="0"/>
    <w:pPr>
      <w:ind w:left="1050"/>
      <w:jc w:val="left"/>
    </w:pPr>
    <w:rPr>
      <w:sz w:val="18"/>
      <w:szCs w:val="18"/>
    </w:rPr>
  </w:style>
  <w:style w:type="paragraph" w:styleId="38">
    <w:name w:val="Body Text Indent 3"/>
    <w:basedOn w:val="1"/>
    <w:link w:val="66"/>
    <w:uiPriority w:val="99"/>
    <w:pPr>
      <w:snapToGrid w:val="0"/>
      <w:ind w:firstLine="480" w:firstLineChars="200"/>
      <w:jc w:val="left"/>
    </w:pPr>
    <w:rPr>
      <w:rFonts w:ascii="仿宋_GB2312" w:hAnsi="宋体" w:eastAsia="仿宋_GB2312"/>
      <w:color w:val="000000"/>
      <w:sz w:val="24"/>
    </w:rPr>
  </w:style>
  <w:style w:type="paragraph" w:styleId="39">
    <w:name w:val="toc 2"/>
    <w:basedOn w:val="1"/>
    <w:next w:val="1"/>
    <w:uiPriority w:val="39"/>
    <w:pPr>
      <w:ind w:left="420" w:leftChars="200"/>
    </w:pPr>
  </w:style>
  <w:style w:type="paragraph" w:styleId="40">
    <w:name w:val="toc 9"/>
    <w:basedOn w:val="1"/>
    <w:next w:val="1"/>
    <w:uiPriority w:val="0"/>
    <w:pPr>
      <w:ind w:left="1680"/>
      <w:jc w:val="left"/>
    </w:pPr>
    <w:rPr>
      <w:sz w:val="18"/>
      <w:szCs w:val="18"/>
    </w:rPr>
  </w:style>
  <w:style w:type="paragraph" w:styleId="41">
    <w:name w:val="Body Text 2"/>
    <w:basedOn w:val="1"/>
    <w:uiPriority w:val="0"/>
    <w:pPr>
      <w:widowControl/>
      <w:snapToGrid w:val="0"/>
      <w:spacing w:before="50" w:beforeLines="0" w:after="156" w:afterLines="50" w:line="400" w:lineRule="exact"/>
      <w:jc w:val="left"/>
    </w:pPr>
    <w:rPr>
      <w:rFonts w:ascii="宋体" w:hAnsi="宋体"/>
      <w:color w:val="000000"/>
      <w:sz w:val="24"/>
    </w:rPr>
  </w:style>
  <w:style w:type="paragraph" w:styleId="42">
    <w:name w:val="HTML Preformatted"/>
    <w:basedOn w:val="1"/>
    <w:link w:val="6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3">
    <w:name w:val="Normal (Web)"/>
    <w:basedOn w:val="1"/>
    <w:qFormat/>
    <w:uiPriority w:val="99"/>
    <w:pPr>
      <w:widowControl/>
      <w:spacing w:before="100" w:beforeLines="0" w:beforeAutospacing="1" w:after="100" w:afterLines="0" w:afterAutospacing="1"/>
      <w:jc w:val="left"/>
    </w:pPr>
    <w:rPr>
      <w:kern w:val="0"/>
      <w:sz w:val="24"/>
    </w:rPr>
  </w:style>
  <w:style w:type="paragraph" w:styleId="44">
    <w:name w:val="Title"/>
    <w:basedOn w:val="1"/>
    <w:link w:val="68"/>
    <w:qFormat/>
    <w:uiPriority w:val="0"/>
    <w:pPr>
      <w:adjustRightInd w:val="0"/>
      <w:snapToGrid w:val="0"/>
      <w:spacing w:before="100" w:beforeLines="0" w:beforeAutospacing="1" w:after="100" w:afterLines="0" w:afterAutospacing="1" w:line="400" w:lineRule="atLeast"/>
      <w:jc w:val="center"/>
      <w:outlineLvl w:val="0"/>
    </w:pPr>
    <w:rPr>
      <w:rFonts w:ascii="宋体" w:hAnsi="宋体" w:eastAsia="宋体" w:cs="Arial"/>
      <w:b/>
      <w:bCs/>
      <w:sz w:val="44"/>
      <w:szCs w:val="32"/>
    </w:rPr>
  </w:style>
  <w:style w:type="paragraph" w:styleId="45">
    <w:name w:val="annotation subject"/>
    <w:basedOn w:val="18"/>
    <w:next w:val="18"/>
    <w:link w:val="69"/>
    <w:uiPriority w:val="0"/>
    <w:rPr>
      <w:b/>
      <w:bCs/>
      <w:szCs w:val="24"/>
    </w:rPr>
  </w:style>
  <w:style w:type="table" w:styleId="47">
    <w:name w:val="Table Grid"/>
    <w:basedOn w:val="46"/>
    <w:qFormat/>
    <w:uiPriority w:val="0"/>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uiPriority w:val="0"/>
    <w:rPr>
      <w:rFonts w:hint="default" w:ascii="Times New Roman"/>
    </w:rPr>
  </w:style>
  <w:style w:type="character" w:styleId="51">
    <w:name w:val="FollowedHyperlink"/>
    <w:uiPriority w:val="99"/>
    <w:rPr>
      <w:color w:val="954F72"/>
      <w:u w:val="single"/>
    </w:rPr>
  </w:style>
  <w:style w:type="character" w:styleId="52">
    <w:name w:val="Hyperlink"/>
    <w:uiPriority w:val="99"/>
    <w:rPr>
      <w:color w:val="333333"/>
      <w:u w:val="none"/>
    </w:rPr>
  </w:style>
  <w:style w:type="character" w:styleId="53">
    <w:name w:val="annotation reference"/>
    <w:uiPriority w:val="0"/>
    <w:rPr>
      <w:sz w:val="21"/>
      <w:szCs w:val="21"/>
    </w:rPr>
  </w:style>
  <w:style w:type="character" w:customStyle="1" w:styleId="54">
    <w:name w:val="正文文本缩进 Char"/>
    <w:link w:val="3"/>
    <w:uiPriority w:val="0"/>
    <w:rPr>
      <w:rFonts w:ascii="宋体" w:hAnsi="Courier New"/>
      <w:spacing w:val="-4"/>
      <w:kern w:val="2"/>
      <w:sz w:val="18"/>
    </w:rPr>
  </w:style>
  <w:style w:type="character" w:customStyle="1" w:styleId="55">
    <w:name w:val="标题 2 Char"/>
    <w:link w:val="5"/>
    <w:uiPriority w:val="0"/>
    <w:rPr>
      <w:rFonts w:ascii="Arial" w:hAnsi="Arial" w:eastAsia="黑体"/>
      <w:b/>
      <w:bCs/>
      <w:kern w:val="2"/>
      <w:sz w:val="32"/>
      <w:szCs w:val="32"/>
    </w:rPr>
  </w:style>
  <w:style w:type="character" w:customStyle="1" w:styleId="56">
    <w:name w:val="标题 4 Char"/>
    <w:link w:val="7"/>
    <w:uiPriority w:val="0"/>
    <w:rPr>
      <w:rFonts w:ascii="Arial" w:hAnsi="Arial" w:eastAsia="黑体"/>
      <w:b/>
      <w:bCs/>
      <w:kern w:val="2"/>
      <w:sz w:val="28"/>
      <w:szCs w:val="28"/>
      <w:lang w:val="en-US" w:eastAsia="zh-CN" w:bidi="ar-SA"/>
    </w:rPr>
  </w:style>
  <w:style w:type="character" w:customStyle="1" w:styleId="57">
    <w:name w:val="正文缩进 Char"/>
    <w:link w:val="9"/>
    <w:qFormat/>
    <w:uiPriority w:val="0"/>
    <w:rPr>
      <w:kern w:val="2"/>
      <w:sz w:val="21"/>
    </w:rPr>
  </w:style>
  <w:style w:type="character" w:customStyle="1" w:styleId="58">
    <w:name w:val="文档结构图 Char"/>
    <w:link w:val="17"/>
    <w:uiPriority w:val="0"/>
    <w:rPr>
      <w:rFonts w:eastAsia="宋体"/>
      <w:kern w:val="2"/>
      <w:sz w:val="21"/>
      <w:szCs w:val="24"/>
      <w:lang w:val="en-US" w:eastAsia="zh-CN" w:bidi="ar-SA"/>
    </w:rPr>
  </w:style>
  <w:style w:type="character" w:customStyle="1" w:styleId="59">
    <w:name w:val="批注文字 Char"/>
    <w:link w:val="18"/>
    <w:uiPriority w:val="0"/>
    <w:rPr>
      <w:rFonts w:eastAsia="宋体"/>
      <w:kern w:val="2"/>
      <w:sz w:val="21"/>
      <w:lang w:val="en-US" w:eastAsia="zh-CN" w:bidi="ar-SA"/>
    </w:rPr>
  </w:style>
  <w:style w:type="character" w:customStyle="1" w:styleId="60">
    <w:name w:val="正文文本 3 Char"/>
    <w:link w:val="19"/>
    <w:uiPriority w:val="0"/>
    <w:rPr>
      <w:rFonts w:hAnsi="宋体" w:eastAsia="仿宋_GB2312"/>
      <w:b/>
      <w:bCs/>
      <w:kern w:val="2"/>
      <w:sz w:val="24"/>
      <w:lang w:val="en-US" w:eastAsia="zh-CN" w:bidi="ar-SA"/>
    </w:rPr>
  </w:style>
  <w:style w:type="character" w:customStyle="1" w:styleId="61">
    <w:name w:val="正文文本 Char"/>
    <w:link w:val="20"/>
    <w:uiPriority w:val="99"/>
    <w:rPr>
      <w:kern w:val="2"/>
      <w:sz w:val="21"/>
      <w:szCs w:val="24"/>
    </w:rPr>
  </w:style>
  <w:style w:type="character" w:customStyle="1" w:styleId="62">
    <w:name w:val="正文首行缩进 Char"/>
    <w:basedOn w:val="61"/>
    <w:link w:val="21"/>
    <w:uiPriority w:val="99"/>
  </w:style>
  <w:style w:type="character" w:customStyle="1" w:styleId="63">
    <w:name w:val="纯文本 Char1"/>
    <w:link w:val="27"/>
    <w:uiPriority w:val="0"/>
    <w:rPr>
      <w:rFonts w:hint="eastAsia" w:ascii="宋体" w:hAnsi="Courier New" w:eastAsia="宋体" w:cs="宋体"/>
      <w:kern w:val="2"/>
      <w:sz w:val="24"/>
      <w:szCs w:val="24"/>
    </w:rPr>
  </w:style>
  <w:style w:type="character" w:customStyle="1" w:styleId="64">
    <w:name w:val="页脚 Char"/>
    <w:link w:val="32"/>
    <w:uiPriority w:val="99"/>
    <w:rPr>
      <w:rFonts w:eastAsia="黑体"/>
      <w:snapToGrid w:val="0"/>
      <w:sz w:val="18"/>
      <w:szCs w:val="18"/>
      <w:lang w:val="en-US" w:eastAsia="zh-CN" w:bidi="ar-SA"/>
    </w:rPr>
  </w:style>
  <w:style w:type="character" w:customStyle="1" w:styleId="65">
    <w:name w:val="页眉 Char"/>
    <w:link w:val="33"/>
    <w:uiPriority w:val="99"/>
    <w:rPr>
      <w:rFonts w:hint="eastAsia" w:ascii="仿宋_GB2312" w:eastAsia="仿宋_GB2312" w:cs="仿宋_GB2312"/>
      <w:kern w:val="2"/>
      <w:sz w:val="18"/>
    </w:rPr>
  </w:style>
  <w:style w:type="character" w:customStyle="1" w:styleId="66">
    <w:name w:val="正文文本缩进 3 Char"/>
    <w:link w:val="38"/>
    <w:uiPriority w:val="99"/>
    <w:rPr>
      <w:rFonts w:ascii="仿宋_GB2312" w:hAnsi="宋体"/>
      <w:color w:val="000000"/>
      <w:kern w:val="2"/>
      <w:sz w:val="24"/>
      <w:szCs w:val="24"/>
    </w:rPr>
  </w:style>
  <w:style w:type="character" w:customStyle="1" w:styleId="67">
    <w:name w:val="HTML 预设格式 Char"/>
    <w:link w:val="42"/>
    <w:uiPriority w:val="0"/>
    <w:rPr>
      <w:rFonts w:ascii="黑体" w:hAnsi="Courier New" w:eastAsia="黑体" w:cs="Courier New"/>
    </w:rPr>
  </w:style>
  <w:style w:type="character" w:customStyle="1" w:styleId="68">
    <w:name w:val="标题 Char"/>
    <w:link w:val="44"/>
    <w:uiPriority w:val="0"/>
    <w:rPr>
      <w:rFonts w:ascii="宋体" w:hAnsi="宋体" w:eastAsia="宋体" w:cs="Arial"/>
      <w:b/>
      <w:bCs/>
      <w:kern w:val="2"/>
      <w:sz w:val="44"/>
      <w:szCs w:val="32"/>
      <w:lang w:val="en-US" w:eastAsia="zh-CN" w:bidi="ar-SA"/>
    </w:rPr>
  </w:style>
  <w:style w:type="character" w:customStyle="1" w:styleId="69">
    <w:name w:val="批注主题 Char"/>
    <w:link w:val="45"/>
    <w:uiPriority w:val="0"/>
    <w:rPr>
      <w:rFonts w:eastAsia="宋体"/>
      <w:b/>
      <w:bCs/>
      <w:kern w:val="2"/>
      <w:sz w:val="21"/>
      <w:szCs w:val="24"/>
      <w:lang w:val="en-US" w:eastAsia="zh-CN" w:bidi="ar-SA"/>
    </w:rPr>
  </w:style>
  <w:style w:type="paragraph" w:customStyle="1" w:styleId="70">
    <w:name w:val="正文首行缩进1"/>
    <w:basedOn w:val="20"/>
    <w:qFormat/>
    <w:uiPriority w:val="0"/>
    <w:pPr>
      <w:spacing w:line="500" w:lineRule="exact"/>
      <w:ind w:firstLine="420"/>
    </w:pPr>
    <w:rPr>
      <w:sz w:val="28"/>
    </w:rPr>
  </w:style>
  <w:style w:type="paragraph" w:customStyle="1" w:styleId="71">
    <w:name w:val="*正文"/>
    <w:basedOn w:val="72"/>
    <w:next w:val="1"/>
    <w:qFormat/>
    <w:uiPriority w:val="0"/>
    <w:pPr>
      <w:spacing w:line="360" w:lineRule="auto"/>
      <w:ind w:firstLine="200" w:firstLineChars="200"/>
    </w:pPr>
    <w:rPr>
      <w:rFonts w:eastAsia="仿宋_GB2312"/>
      <w:sz w:val="28"/>
    </w:rPr>
  </w:style>
  <w:style w:type="paragraph" w:customStyle="1" w:styleId="72">
    <w:name w:val="内容文本"/>
    <w:basedOn w:val="73"/>
    <w:qFormat/>
    <w:uiPriority w:val="0"/>
    <w:pPr>
      <w:jc w:val="left"/>
    </w:pPr>
    <w:rPr>
      <w:rFonts w:ascii="宋体"/>
      <w:lang w:eastAsia="en-US" w:bidi="en-US"/>
    </w:rPr>
  </w:style>
  <w:style w:type="paragraph" w:styleId="73">
    <w:name w:val="List Paragraph"/>
    <w:basedOn w:val="1"/>
    <w:qFormat/>
    <w:uiPriority w:val="34"/>
    <w:pPr>
      <w:ind w:firstLine="420" w:firstLineChars="200"/>
    </w:pPr>
  </w:style>
  <w:style w:type="character" w:customStyle="1" w:styleId="74">
    <w:name w:val="font91"/>
    <w:uiPriority w:val="0"/>
    <w:rPr>
      <w:rFonts w:ascii="Symbol" w:hAnsi="Symbol" w:cs="Symbol"/>
      <w:color w:val="000000"/>
      <w:sz w:val="21"/>
      <w:szCs w:val="21"/>
      <w:u w:val="none"/>
    </w:rPr>
  </w:style>
  <w:style w:type="character" w:customStyle="1" w:styleId="75">
    <w:name w:val="font122"/>
    <w:uiPriority w:val="0"/>
    <w:rPr>
      <w:rFonts w:hint="eastAsia" w:ascii="宋体" w:hAnsi="宋体" w:eastAsia="宋体" w:cs="宋体"/>
      <w:color w:val="000000"/>
      <w:sz w:val="18"/>
      <w:szCs w:val="18"/>
      <w:u w:val="none"/>
    </w:rPr>
  </w:style>
  <w:style w:type="character" w:customStyle="1" w:styleId="76">
    <w:name w:val="font31"/>
    <w:uiPriority w:val="0"/>
    <w:rPr>
      <w:sz w:val="18"/>
      <w:szCs w:val="18"/>
    </w:rPr>
  </w:style>
  <w:style w:type="character" w:customStyle="1" w:styleId="77">
    <w:name w:val="font81"/>
    <w:uiPriority w:val="0"/>
    <w:rPr>
      <w:rFonts w:hint="eastAsia" w:ascii="宋体" w:hAnsi="宋体" w:eastAsia="宋体" w:cs="宋体"/>
      <w:color w:val="000000"/>
      <w:sz w:val="24"/>
      <w:szCs w:val="24"/>
      <w:u w:val="none"/>
    </w:rPr>
  </w:style>
  <w:style w:type="character" w:customStyle="1" w:styleId="78">
    <w:name w:val="aa1"/>
    <w:basedOn w:val="48"/>
    <w:uiPriority w:val="0"/>
  </w:style>
  <w:style w:type="character" w:customStyle="1" w:styleId="79">
    <w:name w:val="font111"/>
    <w:uiPriority w:val="0"/>
    <w:rPr>
      <w:rFonts w:hint="eastAsia" w:ascii="宋体" w:hAnsi="宋体" w:eastAsia="宋体" w:cs="宋体"/>
      <w:color w:val="000000"/>
      <w:sz w:val="21"/>
      <w:szCs w:val="21"/>
      <w:u w:val="none"/>
    </w:rPr>
  </w:style>
  <w:style w:type="character" w:customStyle="1" w:styleId="80">
    <w:name w:val="font41"/>
    <w:uiPriority w:val="0"/>
    <w:rPr>
      <w:rFonts w:hint="eastAsia" w:ascii="黑体" w:hAnsi="宋体" w:eastAsia="黑体" w:cs="黑体"/>
      <w:color w:val="000000"/>
      <w:sz w:val="24"/>
      <w:szCs w:val="24"/>
      <w:u w:val="none"/>
    </w:rPr>
  </w:style>
  <w:style w:type="character" w:customStyle="1" w:styleId="81">
    <w:name w:val="font112"/>
    <w:uiPriority w:val="0"/>
    <w:rPr>
      <w:rFonts w:hint="eastAsia" w:ascii="宋体" w:hAnsi="宋体" w:eastAsia="宋体" w:cs="宋体"/>
      <w:color w:val="000000"/>
      <w:sz w:val="21"/>
      <w:szCs w:val="21"/>
      <w:u w:val="none"/>
    </w:rPr>
  </w:style>
  <w:style w:type="character" w:customStyle="1" w:styleId="82">
    <w:name w:val="正文文本 3 Char1"/>
    <w:uiPriority w:val="0"/>
    <w:rPr>
      <w:kern w:val="2"/>
      <w:sz w:val="16"/>
      <w:szCs w:val="16"/>
    </w:rPr>
  </w:style>
  <w:style w:type="character" w:customStyle="1" w:styleId="83">
    <w:name w:val="Char1 Char Char"/>
    <w:link w:val="84"/>
    <w:uiPriority w:val="0"/>
    <w:rPr>
      <w:rFonts w:ascii="Tahoma" w:hAnsi="Tahoma" w:eastAsia="宋体"/>
      <w:kern w:val="2"/>
      <w:sz w:val="24"/>
      <w:lang w:val="en-US" w:eastAsia="zh-CN" w:bidi="ar-SA"/>
    </w:rPr>
  </w:style>
  <w:style w:type="paragraph" w:customStyle="1" w:styleId="84">
    <w:name w:val="Char1"/>
    <w:basedOn w:val="1"/>
    <w:link w:val="83"/>
    <w:uiPriority w:val="0"/>
    <w:rPr>
      <w:rFonts w:ascii="Tahoma" w:hAnsi="Tahoma" w:eastAsia="宋体"/>
      <w:sz w:val="24"/>
      <w:szCs w:val="20"/>
    </w:rPr>
  </w:style>
  <w:style w:type="character" w:customStyle="1" w:styleId="85">
    <w:name w:val="Table Text Char Char Char Char"/>
    <w:uiPriority w:val="0"/>
    <w:rPr>
      <w:rFonts w:ascii="Arial" w:hAnsi="Arial" w:eastAsia="宋体" w:cs="Arial"/>
      <w:kern w:val="2"/>
      <w:sz w:val="18"/>
      <w:szCs w:val="18"/>
      <w:lang w:val="en-US" w:eastAsia="zh-CN" w:bidi="ar-SA"/>
    </w:rPr>
  </w:style>
  <w:style w:type="character" w:customStyle="1" w:styleId="86">
    <w:name w:val="font21"/>
    <w:uiPriority w:val="0"/>
    <w:rPr>
      <w:rFonts w:hint="eastAsia" w:ascii="宋体" w:hAnsi="宋体" w:eastAsia="宋体" w:cs="宋体"/>
      <w:color w:val="000000"/>
      <w:sz w:val="24"/>
      <w:szCs w:val="24"/>
      <w:u w:val="none"/>
    </w:rPr>
  </w:style>
  <w:style w:type="character" w:customStyle="1" w:styleId="87">
    <w:name w:val="15"/>
    <w:uiPriority w:val="0"/>
    <w:rPr>
      <w:rFonts w:hint="default" w:ascii="Times New Roman" w:hAnsi="Times New Roman" w:cs="Times New Roman"/>
      <w:color w:val="0000FF"/>
      <w:u w:val="single"/>
    </w:rPr>
  </w:style>
  <w:style w:type="character" w:customStyle="1" w:styleId="88">
    <w:name w:val="font71"/>
    <w:uiPriority w:val="0"/>
    <w:rPr>
      <w:rFonts w:hint="eastAsia" w:ascii="宋体" w:hAnsi="宋体" w:eastAsia="宋体" w:cs="宋体"/>
      <w:color w:val="000000"/>
      <w:sz w:val="21"/>
      <w:szCs w:val="21"/>
      <w:u w:val="none"/>
      <w:vertAlign w:val="superscript"/>
    </w:rPr>
  </w:style>
  <w:style w:type="character" w:customStyle="1" w:styleId="89">
    <w:name w:val="text1"/>
    <w:uiPriority w:val="0"/>
    <w:rPr>
      <w:color w:val="000000"/>
      <w:sz w:val="24"/>
      <w:szCs w:val="24"/>
    </w:rPr>
  </w:style>
  <w:style w:type="character" w:customStyle="1" w:styleId="90">
    <w:name w:val="font01"/>
    <w:uiPriority w:val="0"/>
    <w:rPr>
      <w:rFonts w:hint="default" w:ascii="Calibri" w:hAnsi="Calibri" w:cs="Calibri"/>
      <w:color w:val="000000"/>
      <w:sz w:val="19"/>
      <w:szCs w:val="19"/>
      <w:u w:val="none"/>
    </w:rPr>
  </w:style>
  <w:style w:type="character" w:customStyle="1" w:styleId="91">
    <w:name w:val="批注文字 Char1"/>
    <w:uiPriority w:val="0"/>
    <w:rPr>
      <w:kern w:val="2"/>
      <w:sz w:val="21"/>
    </w:rPr>
  </w:style>
  <w:style w:type="character" w:customStyle="1" w:styleId="92">
    <w:name w:val="标题 41"/>
    <w:aliases w:val="H41,Ref Heading 14,rh14,Heading sql1,sect 1.2.3.44,h41,heading 41,sect 1.2.3.413,Ref Heading 113,rh113,sect 1.2.3.421,Ref Heading 121,rh121,sect 1.2.3.4111,Ref Heading 1111,rh1111,sect 1.2.3.431,Ref Heading 131,rh131,sect 1.2.3.4121,rh1121,PIM 41"/>
    <w:uiPriority w:val="0"/>
  </w:style>
  <w:style w:type="character" w:customStyle="1" w:styleId="93">
    <w:name w:val="c_title1"/>
    <w:uiPriority w:val="0"/>
    <w:rPr>
      <w:rFonts w:hint="eastAsia" w:ascii="黑体" w:eastAsia="黑体"/>
      <w:color w:val="03005C"/>
      <w:sz w:val="30"/>
      <w:szCs w:val="30"/>
      <w:u w:val="none"/>
    </w:rPr>
  </w:style>
  <w:style w:type="character" w:customStyle="1" w:styleId="94">
    <w:name w:val="纯文本 Char"/>
    <w:uiPriority w:val="0"/>
    <w:rPr>
      <w:rFonts w:ascii="宋体" w:hAnsi="Courier New" w:eastAsia="宋体"/>
      <w:kern w:val="2"/>
      <w:sz w:val="24"/>
      <w:szCs w:val="24"/>
      <w:lang w:val="en-US" w:eastAsia="zh-CN" w:bidi="ar-SA"/>
    </w:rPr>
  </w:style>
  <w:style w:type="character" w:customStyle="1" w:styleId="95">
    <w:name w:val="font101"/>
    <w:uiPriority w:val="0"/>
    <w:rPr>
      <w:rFonts w:hint="default" w:ascii="Arial" w:hAnsi="Arial" w:cs="Arial"/>
      <w:color w:val="000000"/>
      <w:sz w:val="24"/>
      <w:szCs w:val="24"/>
      <w:u w:val="none"/>
    </w:rPr>
  </w:style>
  <w:style w:type="character" w:customStyle="1" w:styleId="96">
    <w:name w:val="正文文本 Char1"/>
    <w:uiPriority w:val="99"/>
    <w:rPr>
      <w:kern w:val="2"/>
      <w:sz w:val="21"/>
      <w:szCs w:val="24"/>
    </w:rPr>
  </w:style>
  <w:style w:type="character" w:customStyle="1" w:styleId="97">
    <w:name w:val="标题 1 Char Char"/>
    <w:uiPriority w:val="0"/>
    <w:rPr>
      <w:rFonts w:eastAsia="宋体"/>
      <w:b/>
      <w:kern w:val="44"/>
      <w:sz w:val="32"/>
      <w:lang w:val="en-US" w:eastAsia="zh-CN" w:bidi="ar-SA"/>
    </w:rPr>
  </w:style>
  <w:style w:type="character" w:customStyle="1" w:styleId="98">
    <w:name w:val="font121"/>
    <w:uiPriority w:val="0"/>
    <w:rPr>
      <w:rFonts w:hint="eastAsia" w:ascii="宋体" w:hAnsi="宋体" w:eastAsia="宋体" w:cs="宋体"/>
      <w:color w:val="000000"/>
      <w:sz w:val="18"/>
      <w:szCs w:val="18"/>
      <w:u w:val="none"/>
    </w:rPr>
  </w:style>
  <w:style w:type="character" w:customStyle="1" w:styleId="99">
    <w:name w:val="正文文本缩进 Char1"/>
    <w:uiPriority w:val="0"/>
    <w:rPr>
      <w:rFonts w:hint="default" w:ascii="Times New Roman"/>
      <w:kern w:val="2"/>
      <w:sz w:val="24"/>
    </w:rPr>
  </w:style>
  <w:style w:type="character" w:customStyle="1" w:styleId="100">
    <w:name w:val="chs1"/>
    <w:uiPriority w:val="0"/>
    <w:rPr>
      <w:rFonts w:hint="default" w:ascii="_x000B__x000C_" w:hAnsi="_x000B__x000C_"/>
      <w:sz w:val="18"/>
      <w:szCs w:val="18"/>
    </w:rPr>
  </w:style>
  <w:style w:type="character" w:customStyle="1" w:styleId="101">
    <w:name w:val="a41"/>
    <w:uiPriority w:val="0"/>
    <w:rPr>
      <w:color w:val="666666"/>
      <w:sz w:val="26"/>
      <w:szCs w:val="26"/>
    </w:rPr>
  </w:style>
  <w:style w:type="character" w:customStyle="1" w:styleId="102">
    <w:name w:val="tpc_content1"/>
    <w:uiPriority w:val="0"/>
    <w:rPr>
      <w:sz w:val="20"/>
      <w:szCs w:val="20"/>
    </w:rPr>
  </w:style>
  <w:style w:type="character" w:customStyle="1" w:styleId="103">
    <w:name w:val="正文首行缩进 Char1"/>
    <w:uiPriority w:val="0"/>
    <w:rPr>
      <w:kern w:val="2"/>
      <w:sz w:val="21"/>
      <w:szCs w:val="24"/>
    </w:rPr>
  </w:style>
  <w:style w:type="character" w:customStyle="1" w:styleId="104">
    <w:name w:val="页眉 Char1"/>
    <w:uiPriority w:val="0"/>
    <w:rPr>
      <w:kern w:val="2"/>
      <w:sz w:val="18"/>
      <w:szCs w:val="18"/>
    </w:rPr>
  </w:style>
  <w:style w:type="character" w:customStyle="1" w:styleId="105">
    <w:name w:val="page number"/>
    <w:uiPriority w:val="0"/>
    <w:rPr>
      <w:rFonts w:hint="default" w:ascii="Times New Roman"/>
    </w:rPr>
  </w:style>
  <w:style w:type="character" w:customStyle="1" w:styleId="106">
    <w:name w:val="layui-laypage-curr"/>
    <w:basedOn w:val="48"/>
    <w:uiPriority w:val="0"/>
  </w:style>
  <w:style w:type="character" w:customStyle="1" w:styleId="107">
    <w:name w:val="16"/>
    <w:uiPriority w:val="0"/>
    <w:rPr>
      <w:rFonts w:hint="default" w:ascii="Times New Roman" w:hAnsi="Times New Roman" w:cs="Times New Roman"/>
      <w:color w:val="0000FF"/>
      <w:u w:val="single"/>
    </w:rPr>
  </w:style>
  <w:style w:type="character" w:customStyle="1" w:styleId="108">
    <w:name w:val="t_tag"/>
    <w:basedOn w:val="48"/>
    <w:uiPriority w:val="0"/>
  </w:style>
  <w:style w:type="character" w:customStyle="1" w:styleId="109">
    <w:name w:val="font51"/>
    <w:uiPriority w:val="0"/>
    <w:rPr>
      <w:rFonts w:hint="default" w:ascii="Times New Roman" w:hAnsi="Times New Roman" w:cs="Times New Roman"/>
      <w:color w:val="000000"/>
      <w:sz w:val="21"/>
      <w:szCs w:val="21"/>
      <w:u w:val="none"/>
    </w:rPr>
  </w:style>
  <w:style w:type="character" w:customStyle="1" w:styleId="110">
    <w:name w:val="font61"/>
    <w:basedOn w:val="48"/>
    <w:uiPriority w:val="0"/>
    <w:rPr>
      <w:rFonts w:hint="eastAsia" w:ascii="宋体" w:hAnsi="宋体" w:eastAsia="宋体" w:cs="宋体"/>
      <w:b/>
      <w:color w:val="000000"/>
      <w:sz w:val="18"/>
      <w:szCs w:val="18"/>
      <w:u w:val="none"/>
    </w:rPr>
  </w:style>
  <w:style w:type="character" w:customStyle="1" w:styleId="111">
    <w:name w:val="页脚 Char1"/>
    <w:uiPriority w:val="0"/>
    <w:rPr>
      <w:kern w:val="2"/>
      <w:sz w:val="18"/>
      <w:szCs w:val="18"/>
    </w:rPr>
  </w:style>
  <w:style w:type="character" w:customStyle="1" w:styleId="112">
    <w:name w:val="z21"/>
    <w:uiPriority w:val="0"/>
    <w:rPr>
      <w:color w:val="000000"/>
      <w:sz w:val="18"/>
      <w:szCs w:val="18"/>
    </w:rPr>
  </w:style>
  <w:style w:type="character" w:customStyle="1" w:styleId="113">
    <w:name w:val="H4"/>
    <w:aliases w:val="Ref Heading 1,rh1,Heading sql,sect 1.2.3.4,h4,heading 4,sect 1.2.3.41,Ref Heading 11,rh11,sect 1.2.3.42,Ref Heading 12,rh12,sect 1.2.3.411,Ref Heading 111,rh111,sect 1.2.3.43,Ref Heading 13,rh13,sect 1.2.3.412,Ref Heading 112,rh112,PIM 4,(一)"/>
    <w:uiPriority w:val="0"/>
  </w:style>
  <w:style w:type="character" w:customStyle="1" w:styleId="114">
    <w:name w:val="样式 标题 1合同标题卷标题H1h1Level 1 Topic HeadingH11H12H111H13H1... Char Char"/>
    <w:uiPriority w:val="0"/>
    <w:rPr>
      <w:rFonts w:ascii="宋体" w:hAnsi="宋体" w:eastAsia="宋体"/>
      <w:b/>
      <w:bCs/>
      <w:kern w:val="44"/>
      <w:sz w:val="24"/>
      <w:szCs w:val="44"/>
      <w:lang w:val="en-US" w:eastAsia="zh-CN" w:bidi="ar-SA"/>
    </w:rPr>
  </w:style>
  <w:style w:type="character" w:customStyle="1" w:styleId="115">
    <w:name w:val="en"/>
    <w:basedOn w:val="48"/>
    <w:uiPriority w:val="0"/>
  </w:style>
  <w:style w:type="paragraph" w:customStyle="1" w:styleId="116">
    <w:name w:val="二级条标题"/>
    <w:basedOn w:val="117"/>
    <w:next w:val="118"/>
    <w:uiPriority w:val="0"/>
    <w:pPr>
      <w:numPr>
        <w:ilvl w:val="3"/>
        <w:numId w:val="4"/>
      </w:numPr>
      <w:ind w:left="2310" w:firstLine="0"/>
      <w:outlineLvl w:val="3"/>
    </w:pPr>
  </w:style>
  <w:style w:type="paragraph" w:customStyle="1" w:styleId="117">
    <w:name w:val="一级条标题"/>
    <w:next w:val="118"/>
    <w:uiPriority w:val="0"/>
    <w:pPr>
      <w:numPr>
        <w:ilvl w:val="2"/>
        <w:numId w:val="5"/>
      </w:numPr>
      <w:ind w:left="0" w:firstLine="0"/>
      <w:outlineLvl w:val="2"/>
    </w:pPr>
    <w:rPr>
      <w:rFonts w:eastAsia="黑体"/>
      <w:sz w:val="21"/>
      <w:lang w:val="en-US" w:eastAsia="zh-CN" w:bidi="ar-SA"/>
    </w:rPr>
  </w:style>
  <w:style w:type="paragraph" w:customStyle="1" w:styleId="118">
    <w:name w:val="段"/>
    <w:uiPriority w:val="0"/>
    <w:pPr>
      <w:autoSpaceDE w:val="0"/>
      <w:autoSpaceDN w:val="0"/>
      <w:ind w:firstLine="200" w:firstLineChars="200"/>
      <w:jc w:val="both"/>
    </w:pPr>
    <w:rPr>
      <w:rFonts w:ascii="宋体"/>
      <w:sz w:val="21"/>
      <w:lang w:val="en-US" w:eastAsia="zh-CN" w:bidi="ar-SA"/>
    </w:rPr>
  </w:style>
  <w:style w:type="paragraph" w:customStyle="1" w:styleId="119">
    <w:name w:val="font6"/>
    <w:basedOn w:val="1"/>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120">
    <w:name w:val="三级条标题"/>
    <w:basedOn w:val="116"/>
    <w:next w:val="118"/>
    <w:uiPriority w:val="0"/>
    <w:pPr>
      <w:numPr>
        <w:ilvl w:val="3"/>
        <w:numId w:val="0"/>
      </w:numPr>
      <w:outlineLvl w:val="4"/>
    </w:pPr>
  </w:style>
  <w:style w:type="paragraph" w:customStyle="1" w:styleId="121">
    <w:name w:val="xl4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22">
    <w:name w:val="xl92"/>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eastAsia="Arial Unicode MS"/>
      <w:kern w:val="0"/>
      <w:sz w:val="24"/>
    </w:rPr>
  </w:style>
  <w:style w:type="paragraph" w:customStyle="1" w:styleId="123">
    <w:name w:val="xl53"/>
    <w:basedOn w:val="1"/>
    <w:uiPriority w:val="0"/>
    <w:pPr>
      <w:widowControl/>
      <w:pBdr>
        <w:left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124">
    <w:name w:val="封面标准文稿编辑信息"/>
    <w:uiPriority w:val="0"/>
    <w:pPr>
      <w:spacing w:before="180" w:line="180" w:lineRule="exact"/>
      <w:jc w:val="center"/>
    </w:pPr>
    <w:rPr>
      <w:rFonts w:ascii="宋体"/>
      <w:sz w:val="21"/>
      <w:lang w:val="en-US" w:eastAsia="zh-CN" w:bidi="ar-SA"/>
    </w:rPr>
  </w:style>
  <w:style w:type="paragraph" w:customStyle="1" w:styleId="125">
    <w:name w:val="xl4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textAlignment w:val="center"/>
    </w:pPr>
    <w:rPr>
      <w:rFonts w:eastAsia="Arial Unicode MS"/>
      <w:color w:val="000000"/>
      <w:kern w:val="0"/>
      <w:sz w:val="24"/>
    </w:rPr>
  </w:style>
  <w:style w:type="paragraph" w:customStyle="1" w:styleId="126">
    <w:name w:val="封面标准代替信息"/>
    <w:basedOn w:val="127"/>
    <w:uiPriority w:val="0"/>
    <w:pPr>
      <w:spacing w:before="57" w:beforeLines="0"/>
    </w:pPr>
    <w:rPr>
      <w:rFonts w:ascii="宋体"/>
      <w:sz w:val="21"/>
    </w:rPr>
  </w:style>
  <w:style w:type="paragraph" w:customStyle="1" w:styleId="127">
    <w:name w:val="封面标准号2"/>
    <w:basedOn w:val="128"/>
    <w:uiPriority w:val="0"/>
    <w:pPr>
      <w:adjustRightInd w:val="0"/>
      <w:spacing w:before="357" w:beforeLines="0" w:line="280" w:lineRule="exact"/>
    </w:pPr>
  </w:style>
  <w:style w:type="paragraph" w:customStyle="1" w:styleId="12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29">
    <w:name w:val="xl5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right"/>
    </w:pPr>
    <w:rPr>
      <w:rFonts w:ascii="Arial Unicode MS" w:hAnsi="Arial Unicode MS" w:eastAsia="Arial Unicode MS" w:cs="Arial Unicode MS"/>
      <w:kern w:val="0"/>
      <w:sz w:val="24"/>
    </w:rPr>
  </w:style>
  <w:style w:type="paragraph" w:customStyle="1" w:styleId="130">
    <w:name w:val="五级条标题"/>
    <w:basedOn w:val="131"/>
    <w:next w:val="118"/>
    <w:uiPriority w:val="0"/>
    <w:pPr>
      <w:outlineLvl w:val="6"/>
    </w:pPr>
  </w:style>
  <w:style w:type="paragraph" w:customStyle="1" w:styleId="131">
    <w:name w:val="四级条标题"/>
    <w:basedOn w:val="120"/>
    <w:next w:val="118"/>
    <w:uiPriority w:val="0"/>
    <w:pPr>
      <w:tabs>
        <w:tab w:val="clear" w:pos="1680"/>
      </w:tabs>
      <w:outlineLvl w:val="5"/>
    </w:pPr>
  </w:style>
  <w:style w:type="paragraph" w:customStyle="1" w:styleId="132">
    <w:name w:val="发布部门"/>
    <w:next w:val="118"/>
    <w:uiPriority w:val="0"/>
    <w:pPr>
      <w:jc w:val="center"/>
    </w:pPr>
    <w:rPr>
      <w:rFonts w:ascii="宋体"/>
      <w:b/>
      <w:spacing w:val="20"/>
      <w:w w:val="135"/>
      <w:sz w:val="36"/>
      <w:lang w:val="en-US" w:eastAsia="zh-CN" w:bidi="ar-SA"/>
    </w:rPr>
  </w:style>
  <w:style w:type="paragraph" w:customStyle="1" w:styleId="133">
    <w:name w:val="xl91"/>
    <w:basedOn w:val="1"/>
    <w:uiPriority w:val="0"/>
    <w:pPr>
      <w:widowControl/>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34">
    <w:name w:val="font9"/>
    <w:basedOn w:val="1"/>
    <w:uiPriority w:val="0"/>
    <w:pPr>
      <w:widowControl/>
      <w:spacing w:before="100" w:beforeLines="0" w:beforeAutospacing="1" w:after="100" w:afterLines="0" w:afterAutospacing="1"/>
      <w:jc w:val="left"/>
    </w:pPr>
    <w:rPr>
      <w:rFonts w:hint="eastAsia" w:ascii="宋体" w:hAnsi="宋体" w:cs="Arial Unicode MS"/>
      <w:color w:val="000000"/>
      <w:kern w:val="0"/>
      <w:sz w:val="24"/>
    </w:rPr>
  </w:style>
  <w:style w:type="paragraph" w:customStyle="1" w:styleId="135">
    <w:name w:val="标准小四"/>
    <w:basedOn w:val="1"/>
    <w:uiPriority w:val="0"/>
    <w:pPr>
      <w:spacing w:line="360" w:lineRule="auto"/>
      <w:ind w:firstLine="480" w:firstLineChars="200"/>
    </w:pPr>
    <w:rPr>
      <w:rFonts w:ascii="Arial" w:hAnsi="Arial"/>
      <w:sz w:val="24"/>
      <w:szCs w:val="21"/>
    </w:rPr>
  </w:style>
  <w:style w:type="paragraph" w:customStyle="1" w:styleId="136">
    <w:name w:val="xl52"/>
    <w:basedOn w:val="1"/>
    <w:uiPriority w:val="0"/>
    <w:pPr>
      <w:widowControl/>
      <w:pBdr>
        <w:left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37">
    <w:name w:val="xl4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138">
    <w:name w:val="正文－恩普"/>
    <w:basedOn w:val="9"/>
    <w:uiPriority w:val="0"/>
    <w:pPr>
      <w:widowControl/>
      <w:spacing w:after="156" w:afterLines="50" w:line="360" w:lineRule="auto"/>
      <w:ind w:firstLine="480" w:firstLineChars="200"/>
      <w:jc w:val="left"/>
    </w:pPr>
    <w:rPr>
      <w:kern w:val="0"/>
      <w:sz w:val="24"/>
    </w:rPr>
  </w:style>
  <w:style w:type="paragraph" w:customStyle="1" w:styleId="139">
    <w:name w:val="xl8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140">
    <w:name w:val="第四部分  评标方法"/>
    <w:basedOn w:val="1"/>
    <w:uiPriority w:val="0"/>
    <w:pPr>
      <w:spacing w:line="400" w:lineRule="exact"/>
      <w:ind w:firstLine="2249" w:firstLineChars="700"/>
    </w:pPr>
    <w:rPr>
      <w:rFonts w:ascii="楷体_GB2312" w:eastAsia="楷体_GB2312"/>
      <w:b/>
      <w:sz w:val="32"/>
      <w:szCs w:val="32"/>
    </w:rPr>
  </w:style>
  <w:style w:type="paragraph" w:customStyle="1" w:styleId="141">
    <w:name w:val="附录章标题"/>
    <w:next w:val="118"/>
    <w:uiPriority w:val="0"/>
    <w:pPr>
      <w:numPr>
        <w:ilvl w:val="1"/>
        <w:numId w:val="6"/>
      </w:numPr>
      <w:wordWrap w:val="0"/>
      <w:overflowPunct w:val="0"/>
      <w:autoSpaceDE w:val="0"/>
      <w:spacing w:before="156" w:beforeLines="50" w:after="156" w:afterLines="50"/>
      <w:ind w:left="420"/>
      <w:jc w:val="both"/>
      <w:textAlignment w:val="baseline"/>
      <w:outlineLvl w:val="1"/>
    </w:pPr>
    <w:rPr>
      <w:rFonts w:ascii="黑体" w:eastAsia="黑体"/>
      <w:kern w:val="21"/>
      <w:sz w:val="21"/>
      <w:lang w:val="en-US" w:eastAsia="zh-CN" w:bidi="ar-SA"/>
    </w:rPr>
  </w:style>
  <w:style w:type="paragraph" w:customStyle="1" w:styleId="142">
    <w:name w:val="xl9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143">
    <w:name w:val="Table Text Char Char"/>
    <w:uiPriority w:val="0"/>
    <w:pPr>
      <w:snapToGrid w:val="0"/>
      <w:spacing w:before="80" w:after="80"/>
    </w:pPr>
    <w:rPr>
      <w:rFonts w:ascii="Arial" w:hAnsi="Arial" w:cs="Arial"/>
      <w:kern w:val="2"/>
      <w:sz w:val="18"/>
      <w:szCs w:val="18"/>
      <w:lang w:val="en-US" w:eastAsia="zh-CN" w:bidi="ar-SA"/>
    </w:rPr>
  </w:style>
  <w:style w:type="paragraph" w:customStyle="1" w:styleId="144">
    <w:name w:val="xl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kern w:val="0"/>
      <w:sz w:val="24"/>
    </w:rPr>
  </w:style>
  <w:style w:type="paragraph" w:customStyle="1" w:styleId="145">
    <w:name w:val=" Char2"/>
    <w:basedOn w:val="1"/>
    <w:uiPriority w:val="0"/>
    <w:rPr>
      <w:rFonts w:ascii="仿宋_GB2312" w:eastAsia="仿宋_GB2312"/>
      <w:b/>
      <w:sz w:val="32"/>
      <w:szCs w:val="32"/>
    </w:rPr>
  </w:style>
  <w:style w:type="paragraph" w:customStyle="1" w:styleId="146">
    <w:name w:val="字母编号列项（一级）"/>
    <w:uiPriority w:val="0"/>
    <w:pPr>
      <w:ind w:left="840" w:leftChars="200" w:hanging="420" w:hangingChars="200"/>
      <w:jc w:val="both"/>
    </w:pPr>
    <w:rPr>
      <w:rFonts w:ascii="宋体"/>
      <w:sz w:val="21"/>
      <w:lang w:val="en-US" w:eastAsia="zh-CN" w:bidi="ar-SA"/>
    </w:rPr>
  </w:style>
  <w:style w:type="paragraph" w:customStyle="1" w:styleId="147">
    <w:name w:val="xl51"/>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148">
    <w:name w:val="font11"/>
    <w:basedOn w:val="1"/>
    <w:uiPriority w:val="0"/>
    <w:pPr>
      <w:widowControl/>
      <w:spacing w:before="100" w:beforeLines="0" w:beforeAutospacing="1" w:after="100" w:afterLines="0" w:afterAutospacing="1"/>
      <w:jc w:val="left"/>
    </w:pPr>
    <w:rPr>
      <w:rFonts w:eastAsia="Arial Unicode MS"/>
      <w:kern w:val="0"/>
      <w:sz w:val="24"/>
    </w:rPr>
  </w:style>
  <w:style w:type="paragraph" w:customStyle="1" w:styleId="149">
    <w:name w:val="xl81"/>
    <w:basedOn w:val="1"/>
    <w:uiPriority w:val="0"/>
    <w:pPr>
      <w:widowControl/>
      <w:pBdr>
        <w:top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50">
    <w:name w:val="xl60"/>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51">
    <w:name w:val="xl34"/>
    <w:basedOn w:val="1"/>
    <w:uiPriority w:val="0"/>
    <w:pPr>
      <w:widowControl/>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152">
    <w:name w:val="font5"/>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53">
    <w:name w:val="xl29"/>
    <w:basedOn w:val="1"/>
    <w:uiPriority w:val="0"/>
    <w:pPr>
      <w:widowControl/>
      <w:spacing w:before="100" w:beforeLines="0" w:beforeAutospacing="1" w:after="100" w:afterLines="0" w:afterAutospacing="1"/>
      <w:jc w:val="center"/>
    </w:pPr>
    <w:rPr>
      <w:rFonts w:ascii="Arial Unicode MS" w:hAnsi="Arial Unicode MS" w:eastAsia="Arial Unicode MS"/>
      <w:kern w:val="0"/>
      <w:sz w:val="24"/>
    </w:rPr>
  </w:style>
  <w:style w:type="paragraph" w:customStyle="1" w:styleId="154">
    <w:name w:val="xl9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155">
    <w:name w:val="注："/>
    <w:next w:val="118"/>
    <w:uiPriority w:val="0"/>
    <w:pPr>
      <w:widowControl w:val="0"/>
      <w:numPr>
        <w:ilvl w:val="0"/>
        <w:numId w:val="7"/>
      </w:numPr>
      <w:autoSpaceDE w:val="0"/>
      <w:autoSpaceDN w:val="0"/>
      <w:jc w:val="both"/>
    </w:pPr>
    <w:rPr>
      <w:rFonts w:ascii="宋体"/>
      <w:sz w:val="18"/>
      <w:lang w:val="en-US" w:eastAsia="zh-CN" w:bidi="ar-SA"/>
    </w:rPr>
  </w:style>
  <w:style w:type="paragraph" w:customStyle="1" w:styleId="156">
    <w:name w:val="附录二级条标题"/>
    <w:basedOn w:val="157"/>
    <w:next w:val="118"/>
    <w:uiPriority w:val="0"/>
    <w:pPr>
      <w:numPr>
        <w:ilvl w:val="3"/>
        <w:numId w:val="8"/>
      </w:numPr>
      <w:ind w:left="1155" w:firstLine="0"/>
      <w:outlineLvl w:val="3"/>
    </w:pPr>
  </w:style>
  <w:style w:type="paragraph" w:customStyle="1" w:styleId="157">
    <w:name w:val="附录一级条标题"/>
    <w:basedOn w:val="141"/>
    <w:next w:val="118"/>
    <w:uiPriority w:val="0"/>
    <w:pPr>
      <w:numPr>
        <w:ilvl w:val="2"/>
        <w:numId w:val="9"/>
      </w:numPr>
      <w:tabs>
        <w:tab w:val="clear" w:pos="93"/>
      </w:tabs>
      <w:autoSpaceDN w:val="0"/>
      <w:spacing w:before="0" w:beforeLines="0" w:after="0" w:afterLines="0"/>
      <w:ind w:firstLine="0"/>
      <w:outlineLvl w:val="2"/>
    </w:pPr>
  </w:style>
  <w:style w:type="paragraph" w:customStyle="1" w:styleId="158">
    <w:name w:val="样式 标题 3 + 左侧:  0 厘米 首行缩进:  0 厘米"/>
    <w:basedOn w:val="6"/>
    <w:uiPriority w:val="0"/>
    <w:pPr>
      <w:numPr>
        <w:ilvl w:val="0"/>
        <w:numId w:val="0"/>
      </w:numPr>
      <w:tabs>
        <w:tab w:val="left" w:pos="720"/>
      </w:tabs>
      <w:adjustRightInd/>
      <w:spacing w:before="240" w:beforeLines="0" w:after="120" w:afterLines="0" w:line="520" w:lineRule="atLeast"/>
      <w:ind w:leftChars="267" w:hangingChars="57"/>
      <w:textAlignment w:val="auto"/>
    </w:pPr>
    <w:rPr>
      <w:snapToGrid w:val="0"/>
      <w:kern w:val="24"/>
      <w:sz w:val="28"/>
      <w:szCs w:val="20"/>
    </w:rPr>
  </w:style>
  <w:style w:type="paragraph" w:customStyle="1" w:styleId="159">
    <w:name w:val="列出段落2"/>
    <w:basedOn w:val="1"/>
    <w:uiPriority w:val="99"/>
    <w:pPr>
      <w:ind w:firstLine="420" w:firstLineChars="200"/>
    </w:pPr>
    <w:rPr>
      <w:rFonts w:ascii="Calibri" w:hAnsi="Calibri" w:cs="Calibri"/>
      <w:szCs w:val="21"/>
    </w:rPr>
  </w:style>
  <w:style w:type="paragraph" w:customStyle="1" w:styleId="160">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161">
    <w:name w:val="标准小三"/>
    <w:basedOn w:val="1"/>
    <w:uiPriority w:val="0"/>
    <w:pPr>
      <w:spacing w:line="700" w:lineRule="exact"/>
      <w:ind w:firstLine="200" w:firstLineChars="200"/>
    </w:pPr>
    <w:rPr>
      <w:rFonts w:ascii="宋体" w:hAnsi="Arial" w:eastAsia="仿宋_GB2312"/>
      <w:snapToGrid w:val="0"/>
      <w:kern w:val="0"/>
      <w:sz w:val="30"/>
      <w:szCs w:val="32"/>
    </w:rPr>
  </w:style>
  <w:style w:type="paragraph" w:customStyle="1" w:styleId="162">
    <w:name w:val="xl4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63">
    <w:name w:val="默认段落字体 Para Char Char Char1 Char"/>
    <w:basedOn w:val="1"/>
    <w:uiPriority w:val="0"/>
    <w:pPr>
      <w:spacing w:line="240" w:lineRule="atLeast"/>
      <w:ind w:left="420" w:firstLine="420"/>
    </w:pPr>
    <w:rPr>
      <w:sz w:val="24"/>
    </w:rPr>
  </w:style>
  <w:style w:type="paragraph" w:customStyle="1" w:styleId="164">
    <w:name w:val="xl63"/>
    <w:basedOn w:val="1"/>
    <w:uiPriority w:val="0"/>
    <w:pPr>
      <w:widowControl/>
      <w:pBdr>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165">
    <w:name w:val="font12"/>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66">
    <w:name w:val="须知二级小标题"/>
    <w:basedOn w:val="1"/>
    <w:uiPriority w:val="0"/>
    <w:pPr>
      <w:spacing w:line="400" w:lineRule="exact"/>
      <w:ind w:firstLine="399" w:firstLineChars="190"/>
    </w:pPr>
    <w:rPr>
      <w:rFonts w:ascii="宋体" w:hAnsi="宋体" w:cs="宋体"/>
      <w:kern w:val="0"/>
      <w:szCs w:val="21"/>
    </w:rPr>
  </w:style>
  <w:style w:type="paragraph" w:customStyle="1" w:styleId="167">
    <w:name w:val="默认段落字体 Para Char Char Char Char Char Char Char Char Char1 Char Char Char Char"/>
    <w:basedOn w:val="1"/>
    <w:uiPriority w:val="0"/>
    <w:rPr>
      <w:rFonts w:ascii="Tahoma" w:hAnsi="Tahoma"/>
      <w:sz w:val="24"/>
      <w:szCs w:val="20"/>
    </w:rPr>
  </w:style>
  <w:style w:type="paragraph" w:customStyle="1" w:styleId="168">
    <w:name w:val="xl77"/>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right"/>
      <w:textAlignment w:val="center"/>
    </w:pPr>
    <w:rPr>
      <w:rFonts w:ascii="Arial Unicode MS" w:hAnsi="Arial Unicode MS" w:eastAsia="Arial Unicode MS" w:cs="Arial Unicode MS"/>
      <w:kern w:val="0"/>
      <w:sz w:val="24"/>
    </w:rPr>
  </w:style>
  <w:style w:type="paragraph" w:customStyle="1" w:styleId="169">
    <w:name w:val="封面标准英文名称"/>
    <w:uiPriority w:val="0"/>
    <w:pPr>
      <w:widowControl w:val="0"/>
      <w:spacing w:before="370" w:line="400" w:lineRule="exact"/>
      <w:jc w:val="center"/>
    </w:pPr>
    <w:rPr>
      <w:sz w:val="28"/>
      <w:lang w:val="en-US" w:eastAsia="zh-CN" w:bidi="ar-SA"/>
    </w:rPr>
  </w:style>
  <w:style w:type="paragraph" w:customStyle="1" w:styleId="170">
    <w:name w:val="xl61"/>
    <w:basedOn w:val="1"/>
    <w:uiPriority w:val="0"/>
    <w:pPr>
      <w:widowControl/>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36"/>
      <w:szCs w:val="36"/>
    </w:rPr>
  </w:style>
  <w:style w:type="paragraph" w:customStyle="1" w:styleId="171">
    <w:name w:val="目次、标准名称标题"/>
    <w:basedOn w:val="172"/>
    <w:next w:val="118"/>
    <w:uiPriority w:val="0"/>
    <w:pPr>
      <w:spacing w:line="460" w:lineRule="exact"/>
    </w:pPr>
  </w:style>
  <w:style w:type="paragraph" w:customStyle="1" w:styleId="172">
    <w:name w:val="前言、引言标题"/>
    <w:next w:val="1"/>
    <w:uiPriority w:val="0"/>
    <w:pPr>
      <w:shd w:val="clear" w:color="FFFFFF" w:fill="FFFFFF"/>
      <w:spacing w:before="640" w:after="560"/>
      <w:jc w:val="center"/>
      <w:outlineLvl w:val="0"/>
    </w:pPr>
    <w:rPr>
      <w:rFonts w:ascii="黑体" w:eastAsia="黑体"/>
      <w:sz w:val="32"/>
      <w:lang w:val="en-US" w:eastAsia="zh-CN" w:bidi="ar-SA"/>
    </w:rPr>
  </w:style>
  <w:style w:type="paragraph" w:customStyle="1" w:styleId="173">
    <w:name w:val="xl94"/>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174">
    <w:name w:val="xl69"/>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pPr>
    <w:rPr>
      <w:rFonts w:ascii="Arial Unicode MS" w:hAnsi="Arial Unicode MS" w:eastAsia="Arial Unicode MS" w:cs="Arial Unicode MS"/>
      <w:b/>
      <w:bCs/>
      <w:kern w:val="0"/>
      <w:sz w:val="24"/>
    </w:rPr>
  </w:style>
  <w:style w:type="paragraph" w:customStyle="1" w:styleId="175">
    <w:name w:val=" Char Char Char Char"/>
    <w:basedOn w:val="1"/>
    <w:uiPriority w:val="0"/>
    <w:pPr>
      <w:tabs>
        <w:tab w:val="left" w:pos="0"/>
      </w:tabs>
      <w:adjustRightInd w:val="0"/>
      <w:snapToGrid w:val="0"/>
      <w:spacing w:before="468" w:beforeLines="150" w:after="312" w:afterLines="100" w:line="360" w:lineRule="auto"/>
      <w:ind w:firstLine="192" w:firstLineChars="192"/>
    </w:pPr>
    <w:rPr>
      <w:sz w:val="28"/>
    </w:rPr>
  </w:style>
  <w:style w:type="paragraph" w:customStyle="1" w:styleId="176">
    <w:name w:val="列项●（二级）"/>
    <w:uiPriority w:val="0"/>
    <w:pPr>
      <w:numPr>
        <w:ilvl w:val="0"/>
        <w:numId w:val="10"/>
      </w:numPr>
      <w:tabs>
        <w:tab w:val="left" w:pos="840"/>
        <w:tab w:val="clear" w:pos="760"/>
      </w:tabs>
      <w:ind w:left="600" w:leftChars="400" w:hanging="200" w:hangingChars="200"/>
      <w:jc w:val="both"/>
    </w:pPr>
    <w:rPr>
      <w:rFonts w:ascii="宋体"/>
      <w:sz w:val="21"/>
      <w:lang w:val="en-US" w:eastAsia="zh-CN" w:bidi="ar-SA"/>
    </w:rPr>
  </w:style>
  <w:style w:type="paragraph" w:customStyle="1" w:styleId="177">
    <w:name w:val="Char"/>
    <w:basedOn w:val="1"/>
    <w:uiPriority w:val="0"/>
    <w:rPr>
      <w:szCs w:val="20"/>
    </w:rPr>
  </w:style>
  <w:style w:type="paragraph" w:customStyle="1" w:styleId="178">
    <w:name w:val="实施日期"/>
    <w:basedOn w:val="179"/>
    <w:uiPriority w:val="0"/>
    <w:pPr>
      <w:jc w:val="right"/>
    </w:pPr>
  </w:style>
  <w:style w:type="paragraph" w:customStyle="1" w:styleId="179">
    <w:name w:val="发布日期"/>
    <w:uiPriority w:val="0"/>
    <w:rPr>
      <w:rFonts w:eastAsia="黑体"/>
      <w:sz w:val="28"/>
      <w:lang w:val="en-US" w:eastAsia="zh-CN" w:bidi="ar-SA"/>
    </w:rPr>
  </w:style>
  <w:style w:type="paragraph" w:customStyle="1" w:styleId="180">
    <w:name w:val="xl78"/>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right"/>
      <w:textAlignment w:val="center"/>
    </w:pPr>
    <w:rPr>
      <w:rFonts w:ascii="Arial Unicode MS" w:hAnsi="Arial Unicode MS" w:eastAsia="Arial Unicode MS" w:cs="Arial Unicode MS"/>
      <w:kern w:val="0"/>
      <w:sz w:val="24"/>
    </w:rPr>
  </w:style>
  <w:style w:type="paragraph" w:customStyle="1" w:styleId="181">
    <w:name w:val="xl68"/>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pPr>
    <w:rPr>
      <w:rFonts w:ascii="Arial Unicode MS" w:hAnsi="Arial Unicode MS" w:eastAsia="Arial Unicode MS" w:cs="Arial Unicode MS"/>
      <w:b/>
      <w:bCs/>
      <w:kern w:val="0"/>
      <w:sz w:val="24"/>
    </w:rPr>
  </w:style>
  <w:style w:type="paragraph" w:customStyle="1" w:styleId="182">
    <w:name w:val="font8"/>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183">
    <w:name w:val=" Char"/>
    <w:basedOn w:val="1"/>
    <w:uiPriority w:val="0"/>
    <w:pPr>
      <w:ind w:firstLine="200" w:firstLineChars="200"/>
    </w:pPr>
    <w:rPr>
      <w:rFonts w:ascii="幼圆" w:hAnsi="幼圆" w:eastAsia="幼圆" w:cs="幼圆"/>
      <w:sz w:val="24"/>
      <w:szCs w:val="20"/>
    </w:rPr>
  </w:style>
  <w:style w:type="paragraph" w:customStyle="1" w:styleId="184">
    <w:name w:val="xl84"/>
    <w:basedOn w:val="1"/>
    <w:uiPriority w:val="0"/>
    <w:pPr>
      <w:widowControl/>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185">
    <w:name w:val="msonormalcxspmiddle"/>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86">
    <w:name w:val="xl5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color w:val="000000"/>
      <w:kern w:val="0"/>
      <w:sz w:val="24"/>
    </w:rPr>
  </w:style>
  <w:style w:type="paragraph" w:customStyle="1" w:styleId="187">
    <w:name w:val="xl2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88">
    <w:name w:val="xl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189">
    <w:name w:val="列项◆（三级）"/>
    <w:uiPriority w:val="0"/>
    <w:pPr>
      <w:numPr>
        <w:ilvl w:val="0"/>
        <w:numId w:val="11"/>
      </w:numPr>
      <w:ind w:left="800" w:leftChars="600" w:hanging="200" w:hangingChars="200"/>
    </w:pPr>
    <w:rPr>
      <w:rFonts w:ascii="宋体"/>
      <w:sz w:val="21"/>
      <w:lang w:val="en-US" w:eastAsia="zh-CN" w:bidi="ar-SA"/>
    </w:rPr>
  </w:style>
  <w:style w:type="paragraph" w:customStyle="1" w:styleId="190">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kern w:val="0"/>
      <w:sz w:val="24"/>
    </w:rPr>
  </w:style>
  <w:style w:type="paragraph" w:customStyle="1" w:styleId="191">
    <w:name w:val="Char Char Char Char Char Char Char Char Char Char"/>
    <w:basedOn w:val="1"/>
    <w:uiPriority w:val="0"/>
    <w:pPr>
      <w:adjustRightInd w:val="0"/>
      <w:spacing w:line="360" w:lineRule="auto"/>
    </w:pPr>
  </w:style>
  <w:style w:type="paragraph" w:customStyle="1" w:styleId="192">
    <w:name w:val="xl9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193">
    <w:name w:val="xl8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194">
    <w:name w:val="xl56"/>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195">
    <w:name w:val="Blockquote"/>
    <w:basedOn w:val="1"/>
    <w:uiPriority w:val="0"/>
    <w:pPr>
      <w:autoSpaceDE w:val="0"/>
      <w:autoSpaceDN w:val="0"/>
      <w:adjustRightInd w:val="0"/>
      <w:spacing w:before="100" w:beforeLines="0" w:after="100" w:afterLines="0"/>
      <w:ind w:left="360" w:right="360"/>
      <w:jc w:val="left"/>
    </w:pPr>
    <w:rPr>
      <w:kern w:val="0"/>
      <w:szCs w:val="20"/>
    </w:rPr>
  </w:style>
  <w:style w:type="paragraph" w:customStyle="1" w:styleId="196">
    <w:name w:val="_Style 117"/>
    <w:basedOn w:val="1"/>
    <w:next w:val="1"/>
    <w:uiPriority w:val="0"/>
    <w:pPr>
      <w:spacing w:line="360" w:lineRule="auto"/>
      <w:ind w:firstLine="600"/>
    </w:pPr>
    <w:rPr>
      <w:sz w:val="24"/>
    </w:rPr>
  </w:style>
  <w:style w:type="paragraph" w:customStyle="1" w:styleId="197">
    <w:name w:val="样式 正文2 + 仿宋_GB2312 黑色 段前: 0 磅 行距: 固定值 23 磅"/>
    <w:basedOn w:val="198"/>
    <w:uiPriority w:val="0"/>
    <w:pPr>
      <w:spacing w:before="0" w:beforeLines="0" w:line="360" w:lineRule="exact"/>
      <w:ind w:left="-107" w:leftChars="-51" w:firstLine="0" w:firstLineChars="0"/>
      <w:jc w:val="center"/>
    </w:pPr>
    <w:rPr>
      <w:rFonts w:ascii="仿宋_GB2312" w:hAnsi="仿宋_GB2312" w:eastAsia="仿宋_GB2312" w:cs="宋体"/>
      <w:sz w:val="21"/>
      <w:szCs w:val="21"/>
    </w:rPr>
  </w:style>
  <w:style w:type="paragraph" w:customStyle="1" w:styleId="198">
    <w:name w:val="正文2"/>
    <w:basedOn w:val="1"/>
    <w:uiPriority w:val="0"/>
    <w:pPr>
      <w:spacing w:before="156" w:beforeLines="0" w:line="360" w:lineRule="auto"/>
      <w:ind w:firstLine="510" w:firstLineChars="200"/>
    </w:pPr>
    <w:rPr>
      <w:sz w:val="24"/>
    </w:rPr>
  </w:style>
  <w:style w:type="paragraph" w:customStyle="1" w:styleId="199">
    <w:name w:val="Char Char Char Char Char Char Char"/>
    <w:basedOn w:val="1"/>
    <w:uiPriority w:val="0"/>
    <w:rPr>
      <w:szCs w:val="20"/>
    </w:rPr>
  </w:style>
  <w:style w:type="paragraph" w:customStyle="1" w:styleId="200">
    <w:name w:val="xl6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01">
    <w:name w:val="列项——（一级）"/>
    <w:uiPriority w:val="0"/>
    <w:pPr>
      <w:widowControl w:val="0"/>
      <w:numPr>
        <w:ilvl w:val="0"/>
        <w:numId w:val="3"/>
      </w:numPr>
      <w:jc w:val="both"/>
    </w:pPr>
    <w:rPr>
      <w:rFonts w:ascii="宋体"/>
      <w:sz w:val="21"/>
      <w:lang w:val="en-US" w:eastAsia="zh-CN" w:bidi="ar-SA"/>
    </w:rPr>
  </w:style>
  <w:style w:type="paragraph" w:customStyle="1" w:styleId="202">
    <w:name w:val="4"/>
    <w:basedOn w:val="1"/>
    <w:next w:val="1"/>
    <w:uiPriority w:val="0"/>
    <w:pPr>
      <w:spacing w:line="360" w:lineRule="auto"/>
      <w:ind w:firstLine="600"/>
    </w:pPr>
    <w:rPr>
      <w:sz w:val="24"/>
    </w:rPr>
  </w:style>
  <w:style w:type="paragraph" w:customStyle="1" w:styleId="203">
    <w:name w:val="xl4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204">
    <w:name w:val="Deckblattdaten"/>
    <w:basedOn w:val="1"/>
    <w:uiPriority w:val="0"/>
    <w:pPr>
      <w:widowControl/>
      <w:tabs>
        <w:tab w:val="left" w:pos="2552"/>
      </w:tabs>
      <w:jc w:val="left"/>
    </w:pPr>
    <w:rPr>
      <w:rFonts w:ascii="Arial" w:hAnsi="Arial"/>
      <w:b/>
      <w:kern w:val="0"/>
      <w:sz w:val="20"/>
      <w:szCs w:val="20"/>
      <w:lang w:val="de-DE"/>
    </w:rPr>
  </w:style>
  <w:style w:type="paragraph" w:customStyle="1" w:styleId="205">
    <w:name w:val="纯文本1"/>
    <w:basedOn w:val="1"/>
    <w:qFormat/>
    <w:uiPriority w:val="0"/>
    <w:pPr>
      <w:spacing w:beforeLines="50" w:afterLines="50" w:line="400" w:lineRule="exact"/>
    </w:pPr>
    <w:rPr>
      <w:rFonts w:ascii="宋体" w:hAnsi="Courier New"/>
      <w:sz w:val="24"/>
    </w:rPr>
  </w:style>
  <w:style w:type="paragraph" w:customStyle="1" w:styleId="206">
    <w:name w:val="正文段"/>
    <w:basedOn w:val="1"/>
    <w:uiPriority w:val="0"/>
    <w:pPr>
      <w:widowControl/>
      <w:snapToGrid w:val="0"/>
      <w:spacing w:after="156" w:afterLines="50"/>
      <w:ind w:firstLine="200" w:firstLineChars="200"/>
    </w:pPr>
    <w:rPr>
      <w:kern w:val="0"/>
      <w:sz w:val="24"/>
      <w:szCs w:val="20"/>
    </w:rPr>
  </w:style>
  <w:style w:type="paragraph" w:customStyle="1" w:styleId="207">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color w:val="000000"/>
      <w:kern w:val="0"/>
      <w:sz w:val="24"/>
    </w:rPr>
  </w:style>
  <w:style w:type="paragraph" w:customStyle="1" w:styleId="208">
    <w:name w:val="正文1"/>
    <w:basedOn w:val="1"/>
    <w:uiPriority w:val="0"/>
    <w:pPr>
      <w:widowControl/>
    </w:pPr>
    <w:rPr>
      <w:szCs w:val="21"/>
    </w:rPr>
  </w:style>
  <w:style w:type="paragraph" w:customStyle="1" w:styleId="209">
    <w:name w:val="font13"/>
    <w:basedOn w:val="1"/>
    <w:uiPriority w:val="0"/>
    <w:pPr>
      <w:widowControl/>
      <w:spacing w:before="100" w:beforeLines="0" w:beforeAutospacing="1" w:after="100" w:afterLines="0" w:afterAutospacing="1"/>
      <w:jc w:val="left"/>
    </w:pPr>
    <w:rPr>
      <w:rFonts w:eastAsia="Arial Unicode MS"/>
      <w:b/>
      <w:bCs/>
      <w:kern w:val="0"/>
      <w:sz w:val="24"/>
    </w:rPr>
  </w:style>
  <w:style w:type="paragraph" w:customStyle="1" w:styleId="210">
    <w:name w:val="xl9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eastAsia="Arial Unicode MS"/>
      <w:kern w:val="0"/>
      <w:sz w:val="24"/>
    </w:rPr>
  </w:style>
  <w:style w:type="paragraph" w:customStyle="1" w:styleId="211">
    <w:name w:val="xl2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12">
    <w:name w:val="xl4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213">
    <w:name w:val="报告正文"/>
    <w:basedOn w:val="1"/>
    <w:next w:val="1"/>
    <w:uiPriority w:val="0"/>
    <w:pPr>
      <w:spacing w:line="360" w:lineRule="auto"/>
      <w:ind w:firstLine="200" w:firstLineChars="200"/>
      <w:jc w:val="left"/>
    </w:pPr>
    <w:rPr>
      <w:rFonts w:ascii="仿宋_GB2312" w:hAnsi="Courier New" w:eastAsia="仿宋_GB2312" w:cs="宋体"/>
      <w:sz w:val="28"/>
      <w:szCs w:val="28"/>
    </w:rPr>
  </w:style>
  <w:style w:type="paragraph" w:customStyle="1" w:styleId="214">
    <w:name w:val="5"/>
    <w:basedOn w:val="1"/>
    <w:next w:val="1"/>
    <w:uiPriority w:val="0"/>
  </w:style>
  <w:style w:type="paragraph" w:customStyle="1" w:styleId="215">
    <w:name w:val="xl25"/>
    <w:basedOn w:val="1"/>
    <w:uiPriority w:val="0"/>
    <w:pPr>
      <w:widowControl/>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16">
    <w:name w:val="xl4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217">
    <w:name w:val=" Char1 Char Char Char"/>
    <w:basedOn w:val="1"/>
    <w:uiPriority w:val="0"/>
    <w:pPr>
      <w:tabs>
        <w:tab w:val="left" w:pos="840"/>
      </w:tabs>
      <w:ind w:left="840" w:hanging="420"/>
    </w:pPr>
    <w:rPr>
      <w:sz w:val="24"/>
    </w:rPr>
  </w:style>
  <w:style w:type="paragraph" w:customStyle="1" w:styleId="218">
    <w:name w:val="xl64"/>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19">
    <w:name w:val="标准书眉一"/>
    <w:uiPriority w:val="0"/>
    <w:pPr>
      <w:jc w:val="both"/>
    </w:pPr>
    <w:rPr>
      <w:lang w:val="en-US" w:eastAsia="zh-CN" w:bidi="ar-SA"/>
    </w:rPr>
  </w:style>
  <w:style w:type="paragraph" w:customStyle="1" w:styleId="220">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21">
    <w:name w:val="xl66"/>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22">
    <w:name w:val="xl54"/>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color w:val="000000"/>
      <w:kern w:val="0"/>
      <w:sz w:val="24"/>
    </w:rPr>
  </w:style>
  <w:style w:type="paragraph" w:customStyle="1" w:styleId="223">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24">
    <w:name w:val="List Paragraph"/>
    <w:basedOn w:val="1"/>
    <w:uiPriority w:val="0"/>
    <w:pPr>
      <w:ind w:firstLine="420" w:firstLineChars="200"/>
    </w:pPr>
    <w:rPr>
      <w:rFonts w:ascii="Calibri" w:hAnsi="Calibri"/>
      <w:szCs w:val="22"/>
    </w:rPr>
  </w:style>
  <w:style w:type="paragraph" w:customStyle="1" w:styleId="225">
    <w:name w:val="文字"/>
    <w:basedOn w:val="1"/>
    <w:uiPriority w:val="0"/>
    <w:pPr>
      <w:tabs>
        <w:tab w:val="left" w:pos="8520"/>
      </w:tabs>
      <w:spacing w:line="312" w:lineRule="auto"/>
      <w:ind w:right="-210" w:firstLine="556"/>
    </w:pPr>
    <w:rPr>
      <w:rFonts w:ascii="宋体"/>
      <w:sz w:val="28"/>
      <w:szCs w:val="20"/>
    </w:rPr>
  </w:style>
  <w:style w:type="paragraph" w:customStyle="1" w:styleId="226">
    <w:name w:val="xl7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eastAsia="Arial Unicode MS"/>
      <w:kern w:val="0"/>
      <w:sz w:val="24"/>
    </w:rPr>
  </w:style>
  <w:style w:type="paragraph" w:customStyle="1" w:styleId="227">
    <w:name w:val="样式1"/>
    <w:basedOn w:val="7"/>
    <w:uiPriority w:val="0"/>
  </w:style>
  <w:style w:type="paragraph" w:customStyle="1" w:styleId="228">
    <w:name w:val="样式 标题 1合同标题卷标题H1h1Level 1 Topic HeadingH11H12H111H13H1..."/>
    <w:uiPriority w:val="0"/>
    <w:rPr>
      <w:rFonts w:ascii="宋体" w:hAnsi="宋体"/>
      <w:b/>
      <w:bCs/>
      <w:kern w:val="44"/>
      <w:sz w:val="24"/>
      <w:szCs w:val="44"/>
      <w:lang w:val="en-US" w:eastAsia="zh-CN" w:bidi="ar-SA"/>
    </w:rPr>
  </w:style>
  <w:style w:type="paragraph" w:customStyle="1" w:styleId="229">
    <w:name w:val="p0"/>
    <w:basedOn w:val="1"/>
    <w:uiPriority w:val="0"/>
    <w:pPr>
      <w:widowControl/>
    </w:pPr>
    <w:rPr>
      <w:kern w:val="0"/>
      <w:szCs w:val="21"/>
    </w:rPr>
  </w:style>
  <w:style w:type="paragraph" w:customStyle="1" w:styleId="230">
    <w:name w:val="附录标识"/>
    <w:basedOn w:val="172"/>
    <w:uiPriority w:val="0"/>
    <w:pPr>
      <w:numPr>
        <w:ilvl w:val="0"/>
        <w:numId w:val="12"/>
      </w:numPr>
      <w:tabs>
        <w:tab w:val="left" w:pos="360"/>
        <w:tab w:val="left" w:pos="6405"/>
        <w:tab w:val="clear" w:pos="900"/>
      </w:tabs>
      <w:spacing w:after="200" w:afterLines="0"/>
      <w:ind w:left="0" w:firstLine="0"/>
    </w:pPr>
    <w:rPr>
      <w:sz w:val="21"/>
    </w:rPr>
  </w:style>
  <w:style w:type="paragraph" w:customStyle="1" w:styleId="231">
    <w:name w:val="xl93"/>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232">
    <w:name w:val=" Char1"/>
    <w:basedOn w:val="1"/>
    <w:uiPriority w:val="0"/>
    <w:rPr>
      <w:rFonts w:ascii="Tahoma" w:hAnsi="Tahoma"/>
      <w:sz w:val="24"/>
      <w:szCs w:val="20"/>
    </w:rPr>
  </w:style>
  <w:style w:type="paragraph" w:customStyle="1" w:styleId="233">
    <w:name w:val="xl57"/>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34">
    <w:name w:val="Hanging"/>
    <w:basedOn w:val="1"/>
    <w:uiPriority w:val="0"/>
    <w:pPr>
      <w:widowControl/>
      <w:overflowPunct w:val="0"/>
      <w:autoSpaceDE w:val="0"/>
      <w:autoSpaceDN w:val="0"/>
      <w:adjustRightInd w:val="0"/>
      <w:ind w:left="270" w:hanging="270"/>
      <w:jc w:val="left"/>
      <w:textAlignment w:val="baseline"/>
    </w:pPr>
    <w:rPr>
      <w:rFonts w:ascii="Arial" w:hAnsi="Arial"/>
      <w:kern w:val="0"/>
      <w:sz w:val="20"/>
      <w:szCs w:val="20"/>
      <w:lang w:eastAsia="en-US"/>
    </w:rPr>
  </w:style>
  <w:style w:type="paragraph" w:customStyle="1" w:styleId="235">
    <w:name w:val="样式 样式 样式 标题 2 + 左  1 字符 + 左侧:  1 字符 + 左  0 字符"/>
    <w:basedOn w:val="1"/>
    <w:uiPriority w:val="0"/>
    <w:pPr>
      <w:keepNext/>
      <w:keepLines/>
      <w:spacing w:before="120" w:beforeLines="0" w:after="120" w:afterLines="0" w:line="520" w:lineRule="atLeast"/>
      <w:outlineLvl w:val="1"/>
    </w:pPr>
    <w:rPr>
      <w:b/>
      <w:bCs/>
      <w:sz w:val="24"/>
    </w:rPr>
  </w:style>
  <w:style w:type="paragraph" w:customStyle="1" w:styleId="236">
    <w:name w:val="xl5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eastAsia="Arial Unicode MS"/>
      <w:kern w:val="0"/>
      <w:sz w:val="24"/>
    </w:rPr>
  </w:style>
  <w:style w:type="paragraph" w:customStyle="1" w:styleId="237">
    <w:name w:val="xl80"/>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238">
    <w:name w:val="xl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eastAsia="Arial Unicode MS"/>
      <w:kern w:val="0"/>
      <w:sz w:val="24"/>
    </w:rPr>
  </w:style>
  <w:style w:type="paragraph" w:customStyle="1" w:styleId="239">
    <w:name w:val="列出段落11"/>
    <w:basedOn w:val="1"/>
    <w:uiPriority w:val="0"/>
    <w:pPr>
      <w:ind w:firstLine="420" w:firstLineChars="200"/>
    </w:pPr>
    <w:rPr>
      <w:rFonts w:ascii="Calibri" w:hAnsi="Calibri" w:cs="黑体"/>
      <w:szCs w:val="21"/>
    </w:rPr>
  </w:style>
  <w:style w:type="paragraph" w:customStyle="1" w:styleId="240">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eastAsia="Arial Unicode MS"/>
      <w:kern w:val="0"/>
      <w:sz w:val="24"/>
    </w:rPr>
  </w:style>
  <w:style w:type="paragraph" w:customStyle="1" w:styleId="241">
    <w:name w:val="xl95"/>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ascii="Arial Unicode MS" w:hAnsi="Arial Unicode MS" w:eastAsia="Arial Unicode MS" w:cs="Arial Unicode MS"/>
      <w:kern w:val="0"/>
      <w:sz w:val="24"/>
    </w:rPr>
  </w:style>
  <w:style w:type="paragraph" w:customStyle="1" w:styleId="242">
    <w:name w:val="xl8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43">
    <w:name w:val="样式3"/>
    <w:basedOn w:val="1"/>
    <w:uiPriority w:val="0"/>
    <w:pPr>
      <w:autoSpaceDE w:val="0"/>
      <w:autoSpaceDN w:val="0"/>
      <w:adjustRightInd w:val="0"/>
      <w:snapToGrid w:val="0"/>
      <w:spacing w:before="60" w:beforeLines="0" w:after="60" w:afterLines="0"/>
      <w:jc w:val="center"/>
      <w:textAlignment w:val="bottom"/>
    </w:pPr>
    <w:rPr>
      <w:rFonts w:ascii="宋体"/>
      <w:spacing w:val="6"/>
      <w:kern w:val="0"/>
    </w:rPr>
  </w:style>
  <w:style w:type="paragraph" w:customStyle="1" w:styleId="244">
    <w:name w:val="font0"/>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45">
    <w:name w:val="注×："/>
    <w:uiPriority w:val="0"/>
    <w:pPr>
      <w:widowControl w:val="0"/>
      <w:numPr>
        <w:ilvl w:val="0"/>
        <w:numId w:val="13"/>
      </w:numPr>
      <w:tabs>
        <w:tab w:val="left" w:pos="630"/>
        <w:tab w:val="clear" w:pos="900"/>
      </w:tabs>
      <w:autoSpaceDE w:val="0"/>
      <w:autoSpaceDN w:val="0"/>
      <w:jc w:val="both"/>
    </w:pPr>
    <w:rPr>
      <w:rFonts w:ascii="宋体"/>
      <w:sz w:val="18"/>
      <w:lang w:val="en-US" w:eastAsia="zh-CN" w:bidi="ar-SA"/>
    </w:rPr>
  </w:style>
  <w:style w:type="paragraph" w:customStyle="1" w:styleId="246">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247">
    <w:name w:val="正文文字缩进4字符"/>
    <w:basedOn w:val="1"/>
    <w:next w:val="9"/>
    <w:uiPriority w:val="0"/>
    <w:pPr>
      <w:ind w:firstLine="420" w:firstLineChars="200"/>
    </w:pPr>
  </w:style>
  <w:style w:type="paragraph" w:customStyle="1" w:styleId="248">
    <w:name w:val="xl73"/>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49">
    <w:name w:val="xl75"/>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50">
    <w:name w:val="xl3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51">
    <w:name w:val="章标题"/>
    <w:next w:val="118"/>
    <w:uiPriority w:val="0"/>
    <w:pPr>
      <w:numPr>
        <w:ilvl w:val="1"/>
        <w:numId w:val="3"/>
      </w:numPr>
      <w:tabs>
        <w:tab w:val="left" w:pos="1200"/>
      </w:tabs>
      <w:spacing w:before="156" w:beforeLines="50" w:after="156" w:afterLines="50"/>
      <w:ind w:left="0" w:firstLine="0"/>
      <w:jc w:val="both"/>
      <w:outlineLvl w:val="1"/>
    </w:pPr>
    <w:rPr>
      <w:rFonts w:ascii="黑体" w:eastAsia="黑体"/>
      <w:sz w:val="21"/>
      <w:lang w:val="en-US" w:eastAsia="zh-CN" w:bidi="ar-SA"/>
    </w:rPr>
  </w:style>
  <w:style w:type="paragraph" w:customStyle="1" w:styleId="252">
    <w:name w:val="Proposals body"/>
    <w:basedOn w:val="1"/>
    <w:next w:val="1"/>
    <w:uiPriority w:val="0"/>
    <w:pPr>
      <w:widowControl/>
      <w:spacing w:line="360" w:lineRule="auto"/>
      <w:jc w:val="left"/>
    </w:pPr>
    <w:rPr>
      <w:rFonts w:ascii="宋体"/>
      <w:snapToGrid w:val="0"/>
      <w:color w:val="000000"/>
      <w:kern w:val="0"/>
      <w:sz w:val="24"/>
      <w:szCs w:val="20"/>
    </w:rPr>
  </w:style>
  <w:style w:type="paragraph" w:customStyle="1" w:styleId="253">
    <w:name w:val="xl62"/>
    <w:basedOn w:val="1"/>
    <w:uiPriority w:val="0"/>
    <w:pPr>
      <w:widowControl/>
      <w:pBdr>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54">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55">
    <w:name w:val="xl67"/>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56">
    <w:name w:val="正文表标题"/>
    <w:next w:val="118"/>
    <w:uiPriority w:val="0"/>
    <w:pPr>
      <w:numPr>
        <w:ilvl w:val="0"/>
        <w:numId w:val="14"/>
      </w:numPr>
      <w:jc w:val="center"/>
    </w:pPr>
    <w:rPr>
      <w:rFonts w:ascii="黑体" w:eastAsia="黑体"/>
      <w:sz w:val="21"/>
      <w:lang w:val="en-US" w:eastAsia="zh-CN" w:bidi="ar-SA"/>
    </w:rPr>
  </w:style>
  <w:style w:type="paragraph" w:customStyle="1" w:styleId="257">
    <w:name w:val="xl3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color w:val="000000"/>
      <w:kern w:val="0"/>
      <w:sz w:val="24"/>
    </w:rPr>
  </w:style>
  <w:style w:type="paragraph" w:customStyle="1" w:styleId="258">
    <w:name w:val="xl74"/>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59">
    <w:name w:val="xl9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pPr>
    <w:rPr>
      <w:rFonts w:eastAsia="Arial Unicode MS"/>
      <w:kern w:val="0"/>
      <w:sz w:val="24"/>
    </w:rPr>
  </w:style>
  <w:style w:type="paragraph" w:customStyle="1" w:styleId="260">
    <w:name w:val=" Char Char Char Char Char Char Char Char Char Char"/>
    <w:basedOn w:val="1"/>
    <w:uiPriority w:val="0"/>
    <w:pPr>
      <w:adjustRightInd w:val="0"/>
      <w:spacing w:line="360" w:lineRule="auto"/>
    </w:pPr>
  </w:style>
  <w:style w:type="paragraph" w:customStyle="1" w:styleId="261">
    <w:name w:val="font10"/>
    <w:basedOn w:val="1"/>
    <w:uiPriority w:val="0"/>
    <w:pPr>
      <w:widowControl/>
      <w:spacing w:before="100" w:beforeLines="0" w:beforeAutospacing="1" w:after="100" w:afterLines="0" w:afterAutospacing="1"/>
      <w:jc w:val="left"/>
    </w:pPr>
    <w:rPr>
      <w:rFonts w:hint="eastAsia" w:ascii="宋体" w:hAnsi="宋体" w:cs="Arial Unicode MS"/>
      <w:kern w:val="0"/>
      <w:sz w:val="24"/>
    </w:rPr>
  </w:style>
  <w:style w:type="paragraph" w:customStyle="1" w:styleId="262">
    <w:name w:val="xl3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kern w:val="0"/>
      <w:sz w:val="24"/>
    </w:rPr>
  </w:style>
  <w:style w:type="paragraph" w:customStyle="1" w:styleId="263">
    <w:name w:val=" Char Char Char Char Char Char Char Char Char Char Char Char1 Char"/>
    <w:basedOn w:val="17"/>
    <w:uiPriority w:val="0"/>
    <w:rPr>
      <w:rFonts w:ascii="Tahoma" w:hAnsi="Tahoma"/>
      <w:sz w:val="24"/>
    </w:rPr>
  </w:style>
  <w:style w:type="paragraph" w:customStyle="1" w:styleId="264">
    <w:name w:val="Plain Text"/>
    <w:basedOn w:val="1"/>
    <w:uiPriority w:val="0"/>
    <w:pPr>
      <w:spacing w:before="156" w:beforeLines="50" w:after="156" w:afterLines="50" w:line="400" w:lineRule="exact"/>
    </w:pPr>
    <w:rPr>
      <w:rFonts w:ascii="宋体" w:hAnsi="Courier New" w:eastAsia="宋体"/>
      <w:kern w:val="2"/>
      <w:sz w:val="24"/>
      <w:szCs w:val="24"/>
      <w:lang w:val="en-US" w:eastAsia="zh-CN"/>
    </w:rPr>
  </w:style>
  <w:style w:type="paragraph" w:customStyle="1" w:styleId="265">
    <w:name w:val="xl8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6">
    <w:name w:val="xl3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textAlignment w:val="center"/>
    </w:pPr>
    <w:rPr>
      <w:rFonts w:ascii="Arial Unicode MS" w:hAnsi="Arial Unicode MS" w:eastAsia="Arial Unicode MS" w:cs="Arial Unicode MS"/>
      <w:b/>
      <w:bCs/>
      <w:kern w:val="0"/>
      <w:sz w:val="24"/>
    </w:rPr>
  </w:style>
  <w:style w:type="paragraph" w:customStyle="1" w:styleId="267">
    <w:name w:val="xl50"/>
    <w:basedOn w:val="1"/>
    <w:uiPriority w:val="0"/>
    <w:pPr>
      <w:widowControl/>
      <w:pBdr>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color w:val="000000"/>
      <w:kern w:val="0"/>
      <w:sz w:val="24"/>
    </w:rPr>
  </w:style>
  <w:style w:type="paragraph" w:customStyle="1" w:styleId="268">
    <w:name w:val="xl70"/>
    <w:basedOn w:val="1"/>
    <w:uiPriority w:val="0"/>
    <w:pPr>
      <w:widowControl/>
      <w:pBdr>
        <w:top w:val="single" w:color="auto" w:sz="4" w:space="0"/>
        <w:left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9">
    <w:name w:val="封面正文"/>
    <w:uiPriority w:val="0"/>
    <w:pPr>
      <w:jc w:val="both"/>
    </w:pPr>
    <w:rPr>
      <w:lang w:val="en-US" w:eastAsia="zh-CN" w:bidi="ar-SA"/>
    </w:rPr>
  </w:style>
  <w:style w:type="paragraph" w:customStyle="1" w:styleId="270">
    <w:name w:val="xl72"/>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71">
    <w:name w:val="Item List in Table"/>
    <w:uiPriority w:val="0"/>
    <w:pPr>
      <w:numPr>
        <w:ilvl w:val="0"/>
        <w:numId w:val="5"/>
      </w:numPr>
      <w:spacing w:before="40" w:after="40"/>
      <w:jc w:val="both"/>
    </w:pPr>
    <w:rPr>
      <w:rFonts w:ascii="Arial" w:hAnsi="Arial" w:cs="Arial"/>
      <w:sz w:val="18"/>
      <w:szCs w:val="18"/>
      <w:lang w:val="en-US" w:eastAsia="zh-CN" w:bidi="ar-SA"/>
    </w:rPr>
  </w:style>
  <w:style w:type="paragraph" w:customStyle="1" w:styleId="272">
    <w:name w:val="附录表标题"/>
    <w:next w:val="118"/>
    <w:uiPriority w:val="0"/>
    <w:pPr>
      <w:numPr>
        <w:ilvl w:val="0"/>
        <w:numId w:val="15"/>
      </w:numPr>
      <w:jc w:val="center"/>
      <w:textAlignment w:val="baseline"/>
    </w:pPr>
    <w:rPr>
      <w:rFonts w:ascii="黑体" w:eastAsia="黑体"/>
      <w:kern w:val="21"/>
      <w:sz w:val="21"/>
      <w:lang w:val="en-US" w:eastAsia="zh-CN" w:bidi="ar-SA"/>
    </w:rPr>
  </w:style>
  <w:style w:type="paragraph" w:customStyle="1" w:styleId="273">
    <w:name w:val="标准正文"/>
    <w:basedOn w:val="1"/>
    <w:uiPriority w:val="0"/>
    <w:pPr>
      <w:spacing w:line="240" w:lineRule="atLeast"/>
      <w:ind w:firstLine="200" w:firstLineChars="200"/>
    </w:pPr>
    <w:rPr>
      <w:szCs w:val="21"/>
    </w:rPr>
  </w:style>
  <w:style w:type="paragraph" w:customStyle="1" w:styleId="274">
    <w:name w:val="自由格式 A"/>
    <w:uiPriority w:val="0"/>
    <w:rPr>
      <w:rFonts w:ascii="Helvetica" w:hAnsi="Helvetica" w:eastAsia="ヒラギノ角ゴ Pro W3"/>
      <w:color w:val="000000"/>
      <w:sz w:val="24"/>
      <w:lang w:val="en-US" w:eastAsia="zh-CN" w:bidi="ar-SA"/>
    </w:rPr>
  </w:style>
  <w:style w:type="paragraph" w:customStyle="1" w:styleId="275">
    <w:name w:val=" Char Char Char Char Char Char"/>
    <w:basedOn w:val="1"/>
    <w:uiPriority w:val="0"/>
    <w:pPr>
      <w:ind w:firstLine="200" w:firstLineChars="200"/>
    </w:pPr>
    <w:rPr>
      <w:rFonts w:ascii="Tahoma" w:hAnsi="Tahoma"/>
      <w:sz w:val="24"/>
      <w:szCs w:val="20"/>
    </w:rPr>
  </w:style>
  <w:style w:type="paragraph" w:customStyle="1" w:styleId="276">
    <w:name w:val="xl3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77">
    <w:name w:val="标准书脚_奇数页"/>
    <w:uiPriority w:val="0"/>
    <w:pPr>
      <w:spacing w:before="120"/>
      <w:jc w:val="right"/>
    </w:pPr>
    <w:rPr>
      <w:sz w:val="18"/>
      <w:lang w:val="en-US" w:eastAsia="zh-CN" w:bidi="ar-SA"/>
    </w:rPr>
  </w:style>
  <w:style w:type="paragraph" w:customStyle="1" w:styleId="278">
    <w:name w:val="正文图标题"/>
    <w:next w:val="118"/>
    <w:uiPriority w:val="0"/>
    <w:pPr>
      <w:numPr>
        <w:ilvl w:val="0"/>
        <w:numId w:val="16"/>
      </w:numPr>
      <w:jc w:val="center"/>
    </w:pPr>
    <w:rPr>
      <w:rFonts w:ascii="黑体" w:eastAsia="黑体"/>
      <w:sz w:val="21"/>
      <w:lang w:val="en-US" w:eastAsia="zh-CN" w:bidi="ar-SA"/>
    </w:rPr>
  </w:style>
  <w:style w:type="paragraph" w:customStyle="1" w:styleId="279">
    <w:name w:val="Char Char Char Char Char Char"/>
    <w:basedOn w:val="1"/>
    <w:next w:val="4"/>
    <w:uiPriority w:val="0"/>
    <w:pPr>
      <w:widowControl/>
      <w:spacing w:before="100" w:beforeAutospacing="1" w:after="100" w:afterAutospacing="1" w:line="420" w:lineRule="auto"/>
      <w:jc w:val="left"/>
      <w:textAlignment w:val="top"/>
    </w:pPr>
    <w:rPr>
      <w:szCs w:val="20"/>
    </w:rPr>
  </w:style>
  <w:style w:type="paragraph" w:customStyle="1" w:styleId="280">
    <w:name w:val="xl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color w:val="000000"/>
      <w:kern w:val="0"/>
      <w:sz w:val="24"/>
    </w:rPr>
  </w:style>
  <w:style w:type="paragraph" w:customStyle="1" w:styleId="281">
    <w:name w:val="xl76"/>
    <w:basedOn w:val="1"/>
    <w:uiPriority w:val="0"/>
    <w:pPr>
      <w:widowControl/>
      <w:pBdr>
        <w:top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82">
    <w:name w:val="xl4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left"/>
    </w:pPr>
    <w:rPr>
      <w:rFonts w:ascii="Arial Unicode MS" w:hAnsi="Arial Unicode MS" w:eastAsia="Arial Unicode MS" w:cs="Arial Unicode MS"/>
      <w:kern w:val="0"/>
      <w:sz w:val="24"/>
    </w:rPr>
  </w:style>
  <w:style w:type="paragraph" w:customStyle="1" w:styleId="283">
    <w:name w:val="附录图标题"/>
    <w:next w:val="118"/>
    <w:uiPriority w:val="0"/>
    <w:pPr>
      <w:numPr>
        <w:ilvl w:val="0"/>
        <w:numId w:val="17"/>
      </w:numPr>
      <w:jc w:val="center"/>
    </w:pPr>
    <w:rPr>
      <w:rFonts w:ascii="黑体" w:eastAsia="黑体"/>
      <w:sz w:val="21"/>
      <w:lang w:val="en-US" w:eastAsia="zh-CN" w:bidi="ar-SA"/>
    </w:rPr>
  </w:style>
  <w:style w:type="paragraph" w:customStyle="1" w:styleId="284">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285">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286">
    <w:name w:val="示例"/>
    <w:next w:val="118"/>
    <w:uiPriority w:val="0"/>
    <w:pPr>
      <w:numPr>
        <w:ilvl w:val="0"/>
        <w:numId w:val="18"/>
      </w:numPr>
      <w:tabs>
        <w:tab w:val="left" w:pos="816"/>
        <w:tab w:val="clear" w:pos="1120"/>
      </w:tabs>
      <w:ind w:firstLine="419" w:firstLineChars="233"/>
      <w:jc w:val="both"/>
    </w:pPr>
    <w:rPr>
      <w:rFonts w:ascii="宋体"/>
      <w:sz w:val="18"/>
      <w:lang w:val="en-US" w:eastAsia="zh-CN" w:bidi="ar-SA"/>
    </w:rPr>
  </w:style>
  <w:style w:type="paragraph" w:customStyle="1" w:styleId="287">
    <w:name w:val="xl3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b/>
      <w:bCs/>
      <w:kern w:val="0"/>
      <w:sz w:val="24"/>
    </w:rPr>
  </w:style>
  <w:style w:type="paragraph" w:customStyle="1" w:styleId="288">
    <w:name w:val="Default"/>
    <w:uiPriority w:val="0"/>
    <w:pPr>
      <w:widowControl w:val="0"/>
      <w:autoSpaceDE w:val="0"/>
      <w:autoSpaceDN w:val="0"/>
      <w:adjustRightInd w:val="0"/>
    </w:pPr>
    <w:rPr>
      <w:color w:val="000000"/>
      <w:sz w:val="24"/>
      <w:szCs w:val="24"/>
      <w:lang w:val="en-US" w:eastAsia="zh-CN" w:bidi="ar-SA"/>
    </w:rPr>
  </w:style>
  <w:style w:type="paragraph" w:customStyle="1" w:styleId="289">
    <w:name w:val="font7"/>
    <w:basedOn w:val="1"/>
    <w:uiPriority w:val="0"/>
    <w:pPr>
      <w:widowControl/>
      <w:spacing w:before="100" w:beforeLines="0" w:beforeAutospacing="1" w:after="100" w:afterLines="0" w:afterAutospacing="1"/>
      <w:jc w:val="left"/>
    </w:pPr>
    <w:rPr>
      <w:rFonts w:hint="eastAsia" w:ascii="宋体" w:hAnsi="宋体" w:cs="Arial Unicode MS"/>
      <w:b/>
      <w:bCs/>
      <w:kern w:val="0"/>
      <w:sz w:val="24"/>
    </w:rPr>
  </w:style>
  <w:style w:type="paragraph" w:customStyle="1" w:styleId="290">
    <w:name w:val="xl71"/>
    <w:basedOn w:val="1"/>
    <w:uiPriority w:val="0"/>
    <w:pPr>
      <w:widowControl/>
      <w:pBdr>
        <w:top w:val="single" w:color="auto" w:sz="4" w:space="0"/>
        <w:bottom w:val="single" w:color="auto" w:sz="4" w:space="0"/>
      </w:pBdr>
      <w:shd w:val="clear" w:color="auto" w:fill="FFFFFF"/>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numbering.xml" Type="http://schemas.openxmlformats.org/officeDocument/2006/relationships/numbering"/><Relationship Id="rId12"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37395</Words>
  <Characters>40937</Characters>
  <Lines>422</Lines>
  <Paragraphs>119</Paragraphs>
  <TotalTime>0</TotalTime>
  <ScaleCrop>false</ScaleCrop>
  <LinksUpToDate>false</LinksUpToDate>
  <CharactersWithSpaces>42561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2020-09-13T08:04:00Z</dcterms:created>
  <dc:creator>黄旭明</dc:creator>
  <cp:lastModifiedBy>WPS_1701756769</cp:lastModifiedBy>
  <cp:lastPrinted>2021-09-14T07:25:39Z</cp:lastPrinted>
  <dcterms:modified xsi:type="dcterms:W3CDTF">2024-02-22T06:33:16Z</dcterms:modified>
  <cp:revision>18</cp:revision>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106D166C6A874F9EA793E48379CA4A22_13</vt:lpwstr>
  </property>
</Properties>
</file>