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20" w:beforeLines="50" w:line="360" w:lineRule="auto"/>
        <w:jc w:val="center"/>
        <w:rPr>
          <w:rFonts w:ascii="Arial" w:hAnsi="Arial" w:cs="Arial"/>
          <w:b/>
          <w:color w:val="auto"/>
          <w:sz w:val="36"/>
          <w:szCs w:val="36"/>
          <w:highlight w:val="none"/>
        </w:rPr>
      </w:pPr>
      <w:bookmarkStart w:id="0" w:name="_Toc196020140"/>
      <w:bookmarkStart w:id="1" w:name="_Toc304292159"/>
      <w:r>
        <w:rPr>
          <w:color w:val="auto"/>
          <w:highlight w:val="none"/>
        </w:rPr>
        <w:drawing>
          <wp:inline distT="0" distB="0" distL="114300" distR="114300">
            <wp:extent cx="5948680" cy="8405495"/>
            <wp:effectExtent l="0" t="0" r="1397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48680" cy="8405495"/>
                    </a:xfrm>
                    <a:prstGeom prst="rect">
                      <a:avLst/>
                    </a:prstGeom>
                    <a:noFill/>
                    <a:ln>
                      <a:noFill/>
                    </a:ln>
                  </pic:spPr>
                </pic:pic>
              </a:graphicData>
            </a:graphic>
          </wp:inline>
        </w:drawing>
      </w:r>
    </w:p>
    <w:p>
      <w:pPr>
        <w:snapToGrid w:val="0"/>
        <w:spacing w:before="120" w:beforeLines="50" w:line="360" w:lineRule="auto"/>
        <w:jc w:val="center"/>
        <w:rPr>
          <w:rFonts w:ascii="Arial" w:hAnsi="Arial" w:cs="Arial"/>
          <w:b/>
          <w:color w:val="auto"/>
          <w:sz w:val="44"/>
          <w:szCs w:val="36"/>
          <w:highlight w:val="none"/>
        </w:rPr>
      </w:pPr>
    </w:p>
    <w:p>
      <w:pPr>
        <w:snapToGrid w:val="0"/>
        <w:spacing w:before="120" w:beforeLines="50" w:line="360" w:lineRule="auto"/>
        <w:jc w:val="center"/>
        <w:rPr>
          <w:rFonts w:ascii="Arial" w:hAnsi="Arial" w:cs="Arial"/>
          <w:b/>
          <w:color w:val="auto"/>
          <w:sz w:val="36"/>
          <w:szCs w:val="36"/>
          <w:highlight w:val="none"/>
        </w:rPr>
      </w:pPr>
      <w:r>
        <w:rPr>
          <w:rFonts w:ascii="Arial" w:hAnsi="Arial" w:cs="Arial"/>
          <w:b/>
          <w:color w:val="auto"/>
          <w:sz w:val="44"/>
          <w:szCs w:val="36"/>
          <w:highlight w:val="none"/>
        </w:rPr>
        <w:t>目    录</w:t>
      </w:r>
      <w:bookmarkEnd w:id="0"/>
    </w:p>
    <w:p>
      <w:pPr>
        <w:spacing w:line="300" w:lineRule="auto"/>
        <w:jc w:val="center"/>
        <w:rPr>
          <w:rFonts w:ascii="Arial" w:hAnsi="Arial" w:cs="Arial"/>
          <w:color w:val="auto"/>
          <w:sz w:val="52"/>
          <w:szCs w:val="52"/>
          <w:highlight w:val="none"/>
        </w:rPr>
      </w:pPr>
    </w:p>
    <w:p>
      <w:pPr>
        <w:pStyle w:val="32"/>
        <w:spacing w:line="480" w:lineRule="auto"/>
        <w:rPr>
          <w:rFonts w:ascii="Arial" w:hAnsi="Arial" w:cs="Arial"/>
          <w:color w:val="auto"/>
          <w:sz w:val="28"/>
          <w:szCs w:val="28"/>
          <w:highlight w:val="none"/>
        </w:rPr>
      </w:pPr>
      <w:r>
        <w:rPr>
          <w:rFonts w:ascii="Arial" w:hAnsi="Arial" w:cs="Arial"/>
          <w:color w:val="auto"/>
          <w:highlight w:val="none"/>
        </w:rPr>
        <w:fldChar w:fldCharType="begin"/>
      </w:r>
      <w:r>
        <w:rPr>
          <w:rStyle w:val="50"/>
          <w:rFonts w:ascii="Arial" w:hAnsi="Arial" w:cs="Arial"/>
          <w:color w:val="auto"/>
          <w:highlight w:val="none"/>
        </w:rPr>
        <w:instrText xml:space="preserve"> TOC \o "1-3"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"_Toc436330179" </w:instrText>
      </w:r>
      <w:r>
        <w:rPr>
          <w:color w:val="auto"/>
          <w:highlight w:val="none"/>
        </w:rPr>
        <w:fldChar w:fldCharType="separate"/>
      </w:r>
      <w:r>
        <w:rPr>
          <w:rStyle w:val="50"/>
          <w:rFonts w:ascii="Arial" w:hAnsi="Arial" w:cs="Arial"/>
          <w:color w:val="auto"/>
          <w:sz w:val="28"/>
          <w:szCs w:val="28"/>
          <w:highlight w:val="none"/>
        </w:rPr>
        <w:t>第一章  公开招标采购公告</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_Toc436330179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2</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32"/>
        <w:spacing w:line="480" w:lineRule="auto"/>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"_Toc436330180" </w:instrText>
      </w:r>
      <w:r>
        <w:rPr>
          <w:color w:val="auto"/>
          <w:highlight w:val="none"/>
        </w:rPr>
        <w:fldChar w:fldCharType="separate"/>
      </w:r>
      <w:r>
        <w:rPr>
          <w:rStyle w:val="50"/>
          <w:rFonts w:ascii="Arial" w:hAnsi="Arial" w:cs="Arial"/>
          <w:color w:val="auto"/>
          <w:sz w:val="28"/>
          <w:szCs w:val="28"/>
          <w:highlight w:val="none"/>
        </w:rPr>
        <w:t>第二章  招标</w:t>
      </w:r>
      <w:r>
        <w:rPr>
          <w:rStyle w:val="50"/>
          <w:rFonts w:hint="eastAsia" w:ascii="Arial" w:hAnsi="Arial" w:cs="Arial"/>
          <w:color w:val="auto"/>
          <w:sz w:val="28"/>
          <w:szCs w:val="28"/>
          <w:highlight w:val="none"/>
        </w:rPr>
        <w:t>采购</w:t>
      </w:r>
      <w:r>
        <w:rPr>
          <w:rStyle w:val="50"/>
          <w:rFonts w:ascii="Arial" w:hAnsi="Arial" w:cs="Arial"/>
          <w:color w:val="auto"/>
          <w:sz w:val="28"/>
          <w:szCs w:val="28"/>
          <w:highlight w:val="none"/>
        </w:rPr>
        <w:t>需求</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_Toc436330180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5</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32"/>
        <w:spacing w:line="480" w:lineRule="auto"/>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"_Toc436330193" </w:instrText>
      </w:r>
      <w:r>
        <w:rPr>
          <w:color w:val="auto"/>
          <w:highlight w:val="none"/>
        </w:rPr>
        <w:fldChar w:fldCharType="separate"/>
      </w:r>
      <w:r>
        <w:rPr>
          <w:rStyle w:val="50"/>
          <w:rFonts w:ascii="Arial" w:hAnsi="Arial" w:cs="Arial"/>
          <w:color w:val="auto"/>
          <w:sz w:val="28"/>
          <w:szCs w:val="28"/>
          <w:highlight w:val="none"/>
        </w:rPr>
        <w:t>第三章  投标人须知</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_Toc436330193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5</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32"/>
        <w:spacing w:line="480" w:lineRule="auto"/>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"_Toc436330233" </w:instrText>
      </w:r>
      <w:r>
        <w:rPr>
          <w:color w:val="auto"/>
          <w:highlight w:val="none"/>
        </w:rPr>
        <w:fldChar w:fldCharType="separate"/>
      </w:r>
      <w:r>
        <w:rPr>
          <w:rStyle w:val="50"/>
          <w:rFonts w:ascii="Arial" w:hAnsi="Arial" w:cs="Arial"/>
          <w:color w:val="auto"/>
          <w:sz w:val="28"/>
          <w:szCs w:val="28"/>
          <w:highlight w:val="none"/>
        </w:rPr>
        <w:t>第四章  评标办法及评分标准</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_Toc436330233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24</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32"/>
        <w:spacing w:line="480" w:lineRule="auto"/>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"_Toc436330235" </w:instrText>
      </w:r>
      <w:r>
        <w:rPr>
          <w:color w:val="auto"/>
          <w:highlight w:val="none"/>
        </w:rPr>
        <w:fldChar w:fldCharType="separate"/>
      </w:r>
      <w:r>
        <w:rPr>
          <w:rStyle w:val="50"/>
          <w:rFonts w:ascii="Arial" w:hAnsi="Arial" w:cs="Arial"/>
          <w:color w:val="auto"/>
          <w:sz w:val="28"/>
          <w:szCs w:val="28"/>
          <w:highlight w:val="none"/>
        </w:rPr>
        <w:t xml:space="preserve">第五章  </w:t>
      </w:r>
      <w:bookmarkStart w:id="2" w:name="_Hlt436330240"/>
      <w:r>
        <w:rPr>
          <w:rStyle w:val="50"/>
          <w:rFonts w:ascii="Arial" w:hAnsi="Arial" w:cs="Arial"/>
          <w:color w:val="auto"/>
          <w:sz w:val="28"/>
          <w:szCs w:val="28"/>
          <w:highlight w:val="none"/>
        </w:rPr>
        <w:t>拟签订的合同主要文本</w:t>
      </w:r>
      <w:r>
        <w:rPr>
          <w:rStyle w:val="50"/>
          <w:rFonts w:ascii="Arial" w:hAnsi="Arial" w:cs="Arial"/>
          <w:color w:val="auto"/>
          <w:sz w:val="28"/>
          <w:szCs w:val="28"/>
          <w:highlight w:val="none"/>
        </w:rPr>
        <w:tab/>
      </w:r>
      <w:bookmarkEnd w:id="2"/>
      <w:r>
        <w:rPr>
          <w:rFonts w:ascii="Arial" w:hAnsi="Arial" w:cs="Arial"/>
          <w:color w:val="auto"/>
          <w:sz w:val="28"/>
          <w:szCs w:val="28"/>
          <w:highlight w:val="none"/>
        </w:rPr>
        <w:fldChar w:fldCharType="begin"/>
      </w:r>
      <w:r>
        <w:rPr>
          <w:rStyle w:val="50"/>
          <w:rFonts w:ascii="Arial" w:hAnsi="Arial" w:cs="Arial"/>
          <w:color w:val="auto"/>
          <w:sz w:val="28"/>
          <w:szCs w:val="28"/>
          <w:highlight w:val="none"/>
        </w:rPr>
        <w:instrText xml:space="preserve"> PAGEREF _Toc436330235 \h </w:instrText>
      </w:r>
      <w:r>
        <w:rPr>
          <w:rFonts w:ascii="Arial" w:hAnsi="Arial" w:cs="Arial"/>
          <w:color w:val="auto"/>
          <w:sz w:val="28"/>
          <w:szCs w:val="28"/>
          <w:highlight w:val="none"/>
        </w:rPr>
        <w:fldChar w:fldCharType="separate"/>
      </w:r>
      <w:r>
        <w:rPr>
          <w:rStyle w:val="50"/>
          <w:rFonts w:ascii="Arial" w:hAnsi="Arial" w:cs="Arial"/>
          <w:color w:val="auto"/>
          <w:sz w:val="28"/>
          <w:szCs w:val="28"/>
          <w:highlight w:val="none"/>
        </w:rPr>
        <w:t>28</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32"/>
        <w:spacing w:line="480" w:lineRule="auto"/>
        <w:rPr>
          <w:rFonts w:ascii="Arial" w:hAnsi="Arial" w:cs="Arial"/>
          <w:color w:val="auto"/>
          <w:sz w:val="24"/>
          <w:highlight w:val="none"/>
        </w:rPr>
      </w:pPr>
      <w:r>
        <w:rPr>
          <w:color w:val="auto"/>
          <w:highlight w:val="none"/>
        </w:rPr>
        <w:fldChar w:fldCharType="begin"/>
      </w:r>
      <w:r>
        <w:rPr>
          <w:color w:val="auto"/>
          <w:highlight w:val="none"/>
        </w:rPr>
        <w:instrText xml:space="preserve"> HYPERLINK \l "_Toc436330236" </w:instrText>
      </w:r>
      <w:r>
        <w:rPr>
          <w:color w:val="auto"/>
          <w:highlight w:val="none"/>
        </w:rPr>
        <w:fldChar w:fldCharType="separate"/>
      </w:r>
      <w:r>
        <w:rPr>
          <w:rStyle w:val="50"/>
          <w:rFonts w:ascii="Arial" w:hAnsi="Arial" w:cs="Arial"/>
          <w:color w:val="auto"/>
          <w:sz w:val="28"/>
          <w:szCs w:val="28"/>
          <w:highlight w:val="none"/>
        </w:rPr>
        <w:t>第六章　投标文件格</w:t>
      </w:r>
      <w:bookmarkStart w:id="3" w:name="_Hlt436330239"/>
      <w:r>
        <w:rPr>
          <w:rStyle w:val="50"/>
          <w:rFonts w:ascii="Arial" w:hAnsi="Arial" w:cs="Arial"/>
          <w:color w:val="auto"/>
          <w:sz w:val="28"/>
          <w:szCs w:val="28"/>
          <w:highlight w:val="none"/>
        </w:rPr>
        <w:t>式</w:t>
      </w:r>
      <w:bookmarkEnd w:id="3"/>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_Toc436330236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38</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pPr>
        <w:pStyle w:val="32"/>
        <w:spacing w:line="360" w:lineRule="auto"/>
        <w:rPr>
          <w:rFonts w:ascii="Arial" w:hAnsi="Arial" w:cs="Arial"/>
          <w:color w:val="auto"/>
          <w:sz w:val="24"/>
          <w:highlight w:val="none"/>
        </w:rPr>
      </w:pPr>
    </w:p>
    <w:p>
      <w:pPr>
        <w:pStyle w:val="32"/>
        <w:spacing w:line="360" w:lineRule="auto"/>
        <w:rPr>
          <w:rFonts w:ascii="Arial" w:hAnsi="Arial" w:cs="Arial"/>
          <w:color w:val="auto"/>
          <w:sz w:val="24"/>
          <w:highlight w:val="none"/>
        </w:rPr>
      </w:pPr>
    </w:p>
    <w:p>
      <w:pPr>
        <w:pStyle w:val="32"/>
        <w:rPr>
          <w:rStyle w:val="50"/>
          <w:rFonts w:ascii="Arial" w:hAnsi="Arial" w:cs="Arial"/>
          <w:color w:val="auto"/>
          <w:szCs w:val="21"/>
          <w:highlight w:val="none"/>
        </w:rPr>
      </w:pPr>
      <w:r>
        <w:rPr>
          <w:rFonts w:ascii="Arial" w:hAnsi="Arial" w:cs="Arial"/>
          <w:color w:val="auto"/>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pageBreakBefore/>
        <w:adjustRightInd w:val="0"/>
        <w:spacing w:before="0" w:line="300" w:lineRule="auto"/>
        <w:ind w:left="0" w:firstLine="0"/>
        <w:jc w:val="center"/>
        <w:textAlignment w:val="baseline"/>
        <w:rPr>
          <w:rFonts w:ascii="Arial" w:hAnsi="Arial" w:cs="Arial"/>
          <w:bCs w:val="0"/>
          <w:color w:val="auto"/>
          <w:kern w:val="2"/>
          <w:sz w:val="32"/>
          <w:szCs w:val="32"/>
          <w:highlight w:val="none"/>
        </w:rPr>
      </w:pPr>
      <w:bookmarkStart w:id="4" w:name="_Toc436330179"/>
      <w:r>
        <w:rPr>
          <w:rFonts w:ascii="Arial" w:hAnsi="Arial" w:cs="Arial"/>
          <w:bCs w:val="0"/>
          <w:color w:val="auto"/>
          <w:kern w:val="2"/>
          <w:sz w:val="32"/>
          <w:szCs w:val="32"/>
          <w:highlight w:val="none"/>
        </w:rPr>
        <w:t xml:space="preserve">第一章 </w:t>
      </w:r>
      <w:bookmarkEnd w:id="1"/>
      <w:bookmarkEnd w:id="4"/>
      <w:r>
        <w:rPr>
          <w:rFonts w:ascii="Arial" w:hAnsi="Arial" w:cs="Arial"/>
          <w:bCs w:val="0"/>
          <w:color w:val="auto"/>
          <w:kern w:val="2"/>
          <w:sz w:val="32"/>
          <w:szCs w:val="32"/>
          <w:highlight w:val="none"/>
        </w:rPr>
        <w:t>公开招标采购公告</w:t>
      </w:r>
    </w:p>
    <w:p>
      <w:pPr>
        <w:widowControl/>
        <w:spacing w:line="440" w:lineRule="exact"/>
        <w:ind w:right="36" w:rightChars="17"/>
        <w:jc w:val="left"/>
        <w:rPr>
          <w:rFonts w:ascii="Arial" w:hAnsi="Arial" w:cs="Arial"/>
          <w:b/>
          <w:bCs/>
          <w:color w:val="auto"/>
          <w:sz w:val="22"/>
          <w:szCs w:val="22"/>
          <w:highlight w:val="none"/>
        </w:rPr>
      </w:pPr>
      <w:r>
        <w:rPr>
          <w:rFonts w:ascii="Arial" w:hAnsi="Arial" w:cs="Arial"/>
          <w:color w:val="auto"/>
          <w:sz w:val="22"/>
          <w:szCs w:val="22"/>
          <w:highlight w:val="none"/>
        </w:rPr>
        <w:t>发布日期：</w:t>
      </w:r>
      <w:r>
        <w:rPr>
          <w:rFonts w:ascii="Arial" w:hAnsi="Arial" w:cs="Arial"/>
          <w:b/>
          <w:bCs/>
          <w:color w:val="auto"/>
          <w:sz w:val="22"/>
          <w:szCs w:val="22"/>
          <w:highlight w:val="none"/>
        </w:rPr>
        <w:t>201</w:t>
      </w:r>
      <w:r>
        <w:rPr>
          <w:rFonts w:hint="eastAsia" w:ascii="Arial" w:hAnsi="Arial" w:cs="Arial"/>
          <w:b/>
          <w:bCs/>
          <w:color w:val="auto"/>
          <w:sz w:val="22"/>
          <w:szCs w:val="22"/>
          <w:highlight w:val="none"/>
        </w:rPr>
        <w:t>9</w:t>
      </w:r>
      <w:r>
        <w:rPr>
          <w:rFonts w:ascii="Arial" w:hAnsi="Arial" w:cs="Arial"/>
          <w:b/>
          <w:bCs/>
          <w:color w:val="auto"/>
          <w:sz w:val="22"/>
          <w:szCs w:val="22"/>
          <w:highlight w:val="none"/>
        </w:rPr>
        <w:t>年</w:t>
      </w:r>
      <w:r>
        <w:rPr>
          <w:rFonts w:hint="eastAsia" w:ascii="Arial" w:hAnsi="Arial" w:cs="Arial"/>
          <w:b/>
          <w:bCs/>
          <w:color w:val="auto"/>
          <w:sz w:val="22"/>
          <w:szCs w:val="22"/>
          <w:highlight w:val="none"/>
          <w:lang w:val="en-US" w:eastAsia="zh-CN"/>
        </w:rPr>
        <w:t>11</w:t>
      </w:r>
      <w:r>
        <w:rPr>
          <w:rFonts w:ascii="Arial" w:hAnsi="Arial" w:cs="Arial"/>
          <w:b/>
          <w:bCs/>
          <w:color w:val="auto"/>
          <w:sz w:val="22"/>
          <w:szCs w:val="22"/>
          <w:highlight w:val="none"/>
        </w:rPr>
        <w:t>月</w:t>
      </w:r>
      <w:r>
        <w:rPr>
          <w:rFonts w:hint="eastAsia" w:ascii="Arial" w:hAnsi="Arial" w:cs="Arial"/>
          <w:b/>
          <w:bCs/>
          <w:color w:val="auto"/>
          <w:sz w:val="22"/>
          <w:szCs w:val="22"/>
          <w:highlight w:val="none"/>
          <w:lang w:val="en-US" w:eastAsia="zh-CN"/>
        </w:rPr>
        <w:t>18</w:t>
      </w:r>
      <w:r>
        <w:rPr>
          <w:rFonts w:ascii="Arial" w:hAnsi="Arial" w:cs="Arial"/>
          <w:b/>
          <w:bCs/>
          <w:color w:val="auto"/>
          <w:sz w:val="22"/>
          <w:szCs w:val="22"/>
          <w:highlight w:val="none"/>
        </w:rPr>
        <w:t>日</w:t>
      </w:r>
    </w:p>
    <w:p>
      <w:pPr>
        <w:widowControl/>
        <w:spacing w:line="440" w:lineRule="exact"/>
        <w:ind w:right="36" w:rightChars="17"/>
        <w:jc w:val="left"/>
        <w:rPr>
          <w:rFonts w:ascii="Arial" w:hAnsi="Arial" w:cs="Arial"/>
          <w:color w:val="auto"/>
          <w:sz w:val="22"/>
          <w:szCs w:val="22"/>
          <w:highlight w:val="none"/>
        </w:rPr>
      </w:pPr>
      <w:r>
        <w:rPr>
          <w:rFonts w:ascii="Arial" w:hAnsi="Arial" w:cs="Arial"/>
          <w:color w:val="auto"/>
          <w:sz w:val="22"/>
          <w:szCs w:val="22"/>
          <w:highlight w:val="none"/>
        </w:rPr>
        <w:t>公告期限：</w:t>
      </w:r>
      <w:r>
        <w:rPr>
          <w:rFonts w:ascii="Arial" w:hAnsi="Arial" w:cs="Arial"/>
          <w:b/>
          <w:bCs/>
          <w:color w:val="auto"/>
          <w:sz w:val="22"/>
          <w:szCs w:val="22"/>
          <w:highlight w:val="none"/>
        </w:rPr>
        <w:t>201</w:t>
      </w:r>
      <w:r>
        <w:rPr>
          <w:rFonts w:hint="eastAsia" w:ascii="Arial" w:hAnsi="Arial" w:cs="Arial"/>
          <w:b/>
          <w:bCs/>
          <w:color w:val="auto"/>
          <w:sz w:val="22"/>
          <w:szCs w:val="22"/>
          <w:highlight w:val="none"/>
        </w:rPr>
        <w:t>9</w:t>
      </w:r>
      <w:r>
        <w:rPr>
          <w:rFonts w:ascii="Arial" w:hAnsi="Arial" w:cs="Arial"/>
          <w:b/>
          <w:bCs/>
          <w:color w:val="auto"/>
          <w:sz w:val="22"/>
          <w:szCs w:val="22"/>
          <w:highlight w:val="none"/>
        </w:rPr>
        <w:t>年</w:t>
      </w:r>
      <w:r>
        <w:rPr>
          <w:rFonts w:hint="eastAsia" w:ascii="Arial" w:hAnsi="Arial" w:cs="Arial"/>
          <w:b/>
          <w:bCs/>
          <w:color w:val="auto"/>
          <w:sz w:val="22"/>
          <w:szCs w:val="22"/>
          <w:highlight w:val="none"/>
          <w:lang w:val="en-US" w:eastAsia="zh-CN"/>
        </w:rPr>
        <w:t>11</w:t>
      </w:r>
      <w:r>
        <w:rPr>
          <w:rFonts w:ascii="Arial" w:hAnsi="Arial" w:cs="Arial"/>
          <w:b/>
          <w:bCs/>
          <w:color w:val="auto"/>
          <w:sz w:val="22"/>
          <w:szCs w:val="22"/>
          <w:highlight w:val="none"/>
        </w:rPr>
        <w:t>月</w:t>
      </w:r>
      <w:r>
        <w:rPr>
          <w:rFonts w:hint="eastAsia" w:ascii="Arial" w:hAnsi="Arial" w:cs="Arial"/>
          <w:b/>
          <w:bCs/>
          <w:color w:val="auto"/>
          <w:sz w:val="22"/>
          <w:szCs w:val="22"/>
          <w:highlight w:val="none"/>
          <w:lang w:val="en-US" w:eastAsia="zh-CN"/>
        </w:rPr>
        <w:t>18</w:t>
      </w:r>
      <w:r>
        <w:rPr>
          <w:rFonts w:ascii="Arial" w:hAnsi="Arial" w:cs="Arial"/>
          <w:b/>
          <w:bCs/>
          <w:color w:val="auto"/>
          <w:sz w:val="22"/>
          <w:szCs w:val="22"/>
          <w:highlight w:val="none"/>
        </w:rPr>
        <w:t>日－201</w:t>
      </w:r>
      <w:r>
        <w:rPr>
          <w:rFonts w:hint="eastAsia" w:ascii="Arial" w:hAnsi="Arial" w:cs="Arial"/>
          <w:b/>
          <w:bCs/>
          <w:color w:val="auto"/>
          <w:sz w:val="22"/>
          <w:szCs w:val="22"/>
          <w:highlight w:val="none"/>
        </w:rPr>
        <w:t>9</w:t>
      </w:r>
      <w:r>
        <w:rPr>
          <w:rFonts w:ascii="Arial" w:hAnsi="Arial" w:cs="Arial"/>
          <w:b/>
          <w:bCs/>
          <w:color w:val="auto"/>
          <w:sz w:val="22"/>
          <w:szCs w:val="22"/>
          <w:highlight w:val="none"/>
        </w:rPr>
        <w:t>年</w:t>
      </w:r>
      <w:r>
        <w:rPr>
          <w:rFonts w:hint="eastAsia" w:ascii="Arial" w:hAnsi="Arial" w:cs="Arial"/>
          <w:b/>
          <w:bCs/>
          <w:color w:val="auto"/>
          <w:sz w:val="22"/>
          <w:szCs w:val="22"/>
          <w:highlight w:val="none"/>
          <w:lang w:val="en-US" w:eastAsia="zh-CN"/>
        </w:rPr>
        <w:t>11</w:t>
      </w:r>
      <w:r>
        <w:rPr>
          <w:rFonts w:ascii="Arial" w:hAnsi="Arial" w:cs="Arial"/>
          <w:b/>
          <w:bCs/>
          <w:color w:val="auto"/>
          <w:sz w:val="22"/>
          <w:szCs w:val="22"/>
          <w:highlight w:val="none"/>
        </w:rPr>
        <w:t>月</w:t>
      </w:r>
      <w:r>
        <w:rPr>
          <w:rFonts w:hint="eastAsia" w:ascii="Arial" w:hAnsi="Arial" w:cs="Arial"/>
          <w:b/>
          <w:bCs/>
          <w:color w:val="auto"/>
          <w:sz w:val="22"/>
          <w:szCs w:val="22"/>
          <w:highlight w:val="none"/>
          <w:lang w:val="en-US" w:eastAsia="zh-CN"/>
        </w:rPr>
        <w:t>25</w:t>
      </w:r>
      <w:r>
        <w:rPr>
          <w:rFonts w:ascii="Arial" w:hAnsi="Arial" w:cs="Arial"/>
          <w:b/>
          <w:bCs/>
          <w:color w:val="auto"/>
          <w:sz w:val="22"/>
          <w:szCs w:val="22"/>
          <w:highlight w:val="none"/>
        </w:rPr>
        <w:t>日</w:t>
      </w:r>
    </w:p>
    <w:p>
      <w:pPr>
        <w:widowControl/>
        <w:spacing w:line="440" w:lineRule="exact"/>
        <w:ind w:right="36" w:rightChars="17"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根据《中华人民共和国政府采购法》、《中华人民共和国政府采购法实施条例》及《政府采购货物和服务招标投标管理办法》等规定，经</w:t>
      </w:r>
      <w:r>
        <w:rPr>
          <w:rFonts w:hint="eastAsia" w:ascii="Arial" w:hAnsi="Arial" w:cs="Arial"/>
          <w:color w:val="auto"/>
          <w:sz w:val="22"/>
          <w:szCs w:val="22"/>
          <w:highlight w:val="none"/>
          <w:u w:val="single"/>
        </w:rPr>
        <w:t>宁波东钱湖旅游度假区政府采购管理办公室</w:t>
      </w:r>
      <w:r>
        <w:rPr>
          <w:rFonts w:ascii="Arial" w:hAnsi="Arial" w:cs="Arial"/>
          <w:color w:val="auto"/>
          <w:sz w:val="22"/>
          <w:szCs w:val="22"/>
          <w:highlight w:val="none"/>
        </w:rPr>
        <w:t>批准，现就</w:t>
      </w:r>
      <w:r>
        <w:rPr>
          <w:rFonts w:hint="eastAsia" w:ascii="Arial" w:hAnsi="Arial" w:cs="Arial"/>
          <w:color w:val="auto"/>
          <w:sz w:val="22"/>
          <w:szCs w:val="22"/>
          <w:highlight w:val="none"/>
          <w:u w:val="single"/>
        </w:rPr>
        <w:t>2020年—2022年东钱湖农村剩余电流动作保护器安装（换装）服务项目</w:t>
      </w:r>
      <w:r>
        <w:rPr>
          <w:rFonts w:ascii="Arial" w:hAnsi="Arial" w:cs="Arial"/>
          <w:color w:val="auto"/>
          <w:sz w:val="22"/>
          <w:szCs w:val="22"/>
          <w:highlight w:val="none"/>
        </w:rPr>
        <w:t>进行国内公开招标采购，欢迎符合要求且具有服务能力的供应商前来投标。</w:t>
      </w:r>
    </w:p>
    <w:p>
      <w:pPr>
        <w:widowControl/>
        <w:numPr>
          <w:ilvl w:val="0"/>
          <w:numId w:val="1"/>
        </w:numPr>
        <w:spacing w:line="440" w:lineRule="exact"/>
        <w:ind w:firstLine="442"/>
        <w:jc w:val="left"/>
        <w:rPr>
          <w:rFonts w:ascii="Arial" w:hAnsi="Arial" w:cs="Arial"/>
          <w:color w:val="auto"/>
          <w:sz w:val="22"/>
          <w:szCs w:val="22"/>
          <w:highlight w:val="none"/>
        </w:rPr>
      </w:pPr>
      <w:r>
        <w:rPr>
          <w:rFonts w:ascii="Arial" w:hAnsi="Arial" w:cs="Arial"/>
          <w:b/>
          <w:color w:val="auto"/>
          <w:sz w:val="22"/>
          <w:szCs w:val="22"/>
          <w:highlight w:val="none"/>
        </w:rPr>
        <w:t>项目编号：</w:t>
      </w:r>
      <w:r>
        <w:rPr>
          <w:rFonts w:hint="eastAsia" w:ascii="Arial" w:hAnsi="Arial" w:cs="Arial"/>
          <w:b/>
          <w:color w:val="auto"/>
          <w:sz w:val="22"/>
          <w:szCs w:val="22"/>
          <w:highlight w:val="none"/>
        </w:rPr>
        <w:t>GZZB2019-100</w:t>
      </w:r>
    </w:p>
    <w:p>
      <w:pPr>
        <w:widowControl/>
        <w:numPr>
          <w:ilvl w:val="0"/>
          <w:numId w:val="1"/>
        </w:numPr>
        <w:spacing w:line="440" w:lineRule="exact"/>
        <w:ind w:firstLine="440" w:firstLineChars="200"/>
        <w:jc w:val="left"/>
        <w:rPr>
          <w:rFonts w:ascii="Arial" w:hAnsi="Arial" w:cs="Arial"/>
          <w:b/>
          <w:color w:val="auto"/>
          <w:sz w:val="22"/>
          <w:szCs w:val="22"/>
          <w:highlight w:val="none"/>
        </w:rPr>
      </w:pPr>
      <w:r>
        <w:rPr>
          <w:rFonts w:ascii="Arial" w:hAnsi="Arial" w:cs="Arial"/>
          <w:color w:val="auto"/>
          <w:sz w:val="22"/>
          <w:szCs w:val="22"/>
          <w:highlight w:val="none"/>
        </w:rPr>
        <w:t>采购组织类型：</w:t>
      </w:r>
      <w:r>
        <w:rPr>
          <w:rFonts w:ascii="Arial" w:hAnsi="Arial" w:cs="Arial"/>
          <w:bCs/>
          <w:color w:val="auto"/>
          <w:sz w:val="22"/>
          <w:szCs w:val="22"/>
          <w:highlight w:val="none"/>
        </w:rPr>
        <w:t>分散委托采购</w:t>
      </w:r>
    </w:p>
    <w:p>
      <w:pPr>
        <w:widowControl/>
        <w:numPr>
          <w:ilvl w:val="0"/>
          <w:numId w:val="1"/>
        </w:numPr>
        <w:spacing w:line="440" w:lineRule="exact"/>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采购方式、用途：</w:t>
      </w:r>
      <w:r>
        <w:rPr>
          <w:rFonts w:ascii="Arial" w:hAnsi="Arial" w:cs="Arial"/>
          <w:bCs/>
          <w:color w:val="auto"/>
          <w:sz w:val="22"/>
          <w:szCs w:val="22"/>
          <w:highlight w:val="none"/>
        </w:rPr>
        <w:t>公开招标、确定</w:t>
      </w:r>
      <w:r>
        <w:rPr>
          <w:rFonts w:hint="eastAsia" w:ascii="Arial" w:hAnsi="Arial" w:cs="Arial"/>
          <w:bCs/>
          <w:color w:val="auto"/>
          <w:sz w:val="22"/>
          <w:szCs w:val="22"/>
          <w:highlight w:val="none"/>
        </w:rPr>
        <w:t>2020年—2022年东钱湖农村剩余电流动作保护器安装（换装）服务项目</w:t>
      </w:r>
      <w:r>
        <w:rPr>
          <w:rFonts w:ascii="Arial" w:hAnsi="Arial" w:cs="Arial"/>
          <w:bCs/>
          <w:color w:val="auto"/>
          <w:sz w:val="22"/>
          <w:szCs w:val="22"/>
          <w:highlight w:val="none"/>
        </w:rPr>
        <w:t>的承包商</w:t>
      </w:r>
    </w:p>
    <w:p>
      <w:pPr>
        <w:widowControl/>
        <w:spacing w:line="440" w:lineRule="exact"/>
        <w:ind w:left="420" w:leftChars="200"/>
        <w:jc w:val="left"/>
        <w:rPr>
          <w:rFonts w:ascii="Arial" w:hAnsi="Arial" w:cs="Arial"/>
          <w:b/>
          <w:color w:val="auto"/>
          <w:sz w:val="22"/>
          <w:szCs w:val="22"/>
          <w:highlight w:val="none"/>
        </w:rPr>
      </w:pPr>
      <w:r>
        <w:rPr>
          <w:rFonts w:ascii="Arial" w:hAnsi="Arial" w:cs="Arial"/>
          <w:b/>
          <w:color w:val="auto"/>
          <w:sz w:val="22"/>
          <w:szCs w:val="22"/>
          <w:highlight w:val="none"/>
        </w:rPr>
        <w:t>四、项目概况：子包号、采购内容、服务期限、最高限价及采购需求等</w:t>
      </w:r>
    </w:p>
    <w:tbl>
      <w:tblPr>
        <w:tblStyle w:val="44"/>
        <w:tblW w:w="9356"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441"/>
        <w:gridCol w:w="1499"/>
        <w:gridCol w:w="2257"/>
        <w:gridCol w:w="1388"/>
        <w:gridCol w:w="1331"/>
        <w:gridCol w:w="2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614" w:hRule="atLeast"/>
        </w:trPr>
        <w:tc>
          <w:tcPr>
            <w:tcW w:w="441" w:type="dxa"/>
            <w:vAlign w:val="center"/>
          </w:tcPr>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子包号</w:t>
            </w:r>
          </w:p>
        </w:tc>
        <w:tc>
          <w:tcPr>
            <w:tcW w:w="1499" w:type="dxa"/>
            <w:vAlign w:val="center"/>
          </w:tcPr>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采购</w:t>
            </w:r>
          </w:p>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内容</w:t>
            </w:r>
          </w:p>
        </w:tc>
        <w:tc>
          <w:tcPr>
            <w:tcW w:w="2257" w:type="dxa"/>
            <w:vAlign w:val="center"/>
          </w:tcPr>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服务期限</w:t>
            </w:r>
          </w:p>
        </w:tc>
        <w:tc>
          <w:tcPr>
            <w:tcW w:w="1388" w:type="dxa"/>
            <w:vAlign w:val="center"/>
          </w:tcPr>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采购</w:t>
            </w:r>
          </w:p>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预算</w:t>
            </w:r>
          </w:p>
        </w:tc>
        <w:tc>
          <w:tcPr>
            <w:tcW w:w="1331" w:type="dxa"/>
            <w:vAlign w:val="center"/>
          </w:tcPr>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最高</w:t>
            </w:r>
          </w:p>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限价</w:t>
            </w:r>
          </w:p>
        </w:tc>
        <w:tc>
          <w:tcPr>
            <w:tcW w:w="2440" w:type="dxa"/>
            <w:vAlign w:val="center"/>
          </w:tcPr>
          <w:p>
            <w:pPr>
              <w:kinsoku w:val="0"/>
              <w:spacing w:line="260" w:lineRule="exact"/>
              <w:jc w:val="center"/>
              <w:rPr>
                <w:rFonts w:ascii="Arial" w:hAnsi="Arial" w:cs="Arial"/>
                <w:color w:val="auto"/>
                <w:szCs w:val="21"/>
                <w:highlight w:val="none"/>
              </w:rPr>
            </w:pPr>
            <w:r>
              <w:rPr>
                <w:rFonts w:ascii="Arial" w:hAnsi="Arial" w:cs="Arial"/>
                <w:color w:val="auto"/>
                <w:szCs w:val="21"/>
                <w:highlight w:val="none"/>
              </w:rPr>
              <w:t>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1185" w:hRule="atLeast"/>
        </w:trPr>
        <w:tc>
          <w:tcPr>
            <w:tcW w:w="441" w:type="dxa"/>
            <w:vAlign w:val="center"/>
          </w:tcPr>
          <w:p>
            <w:pPr>
              <w:kinsoku w:val="0"/>
              <w:spacing w:line="240" w:lineRule="exact"/>
              <w:jc w:val="center"/>
              <w:rPr>
                <w:rFonts w:ascii="Arial" w:hAnsi="Arial" w:cs="Arial"/>
                <w:color w:val="auto"/>
                <w:kern w:val="0"/>
                <w:szCs w:val="21"/>
                <w:highlight w:val="none"/>
              </w:rPr>
            </w:pPr>
            <w:r>
              <w:rPr>
                <w:rFonts w:ascii="Arial" w:hAnsi="Arial" w:cs="Arial"/>
                <w:color w:val="auto"/>
                <w:szCs w:val="21"/>
                <w:highlight w:val="none"/>
              </w:rPr>
              <w:t>子包1</w:t>
            </w:r>
          </w:p>
        </w:tc>
        <w:tc>
          <w:tcPr>
            <w:tcW w:w="1499" w:type="dxa"/>
            <w:vAlign w:val="center"/>
          </w:tcPr>
          <w:p>
            <w:pPr>
              <w:kinsoku w:val="0"/>
              <w:spacing w:line="240" w:lineRule="exact"/>
              <w:jc w:val="left"/>
              <w:rPr>
                <w:rFonts w:ascii="Arial" w:hAnsi="Arial" w:cs="Arial"/>
                <w:color w:val="auto"/>
                <w:kern w:val="0"/>
                <w:szCs w:val="21"/>
                <w:highlight w:val="none"/>
              </w:rPr>
            </w:pPr>
            <w:r>
              <w:rPr>
                <w:rFonts w:hint="eastAsia" w:ascii="Arial" w:hAnsi="Arial" w:cs="Arial"/>
                <w:color w:val="auto"/>
                <w:szCs w:val="21"/>
                <w:highlight w:val="none"/>
              </w:rPr>
              <w:t>2020年—2022年东钱湖农村剩余电流动作保护器安装（换装）服务项目</w:t>
            </w:r>
          </w:p>
        </w:tc>
        <w:tc>
          <w:tcPr>
            <w:tcW w:w="2257" w:type="dxa"/>
            <w:vAlign w:val="center"/>
          </w:tcPr>
          <w:p>
            <w:pPr>
              <w:kinsoku w:val="0"/>
              <w:spacing w:line="240" w:lineRule="exact"/>
              <w:jc w:val="left"/>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lang w:eastAsia="zh-CN"/>
              </w:rPr>
              <w:t>总期限为三年，合同一年一签。第一年自合同签订之日起计算。后一年合同的签订以采购人根据中标人在上一年度的合同履约、考核情况及财政资金审批情况决定是否续签。</w:t>
            </w:r>
          </w:p>
        </w:tc>
        <w:tc>
          <w:tcPr>
            <w:tcW w:w="1388" w:type="dxa"/>
            <w:vAlign w:val="center"/>
          </w:tcPr>
          <w:p>
            <w:pPr>
              <w:kinsoku w:val="0"/>
              <w:spacing w:line="24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 xml:space="preserve"> 90万元/3年（30万元/年）</w:t>
            </w:r>
          </w:p>
        </w:tc>
        <w:tc>
          <w:tcPr>
            <w:tcW w:w="1331" w:type="dxa"/>
            <w:vAlign w:val="center"/>
          </w:tcPr>
          <w:p>
            <w:pPr>
              <w:kinsoku w:val="0"/>
              <w:spacing w:line="24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881625元/3年（293875元/年）</w:t>
            </w:r>
          </w:p>
        </w:tc>
        <w:tc>
          <w:tcPr>
            <w:tcW w:w="2440" w:type="dxa"/>
            <w:vAlign w:val="center"/>
          </w:tcPr>
          <w:p>
            <w:pPr>
              <w:kinsoku w:val="0"/>
              <w:spacing w:line="240" w:lineRule="exact"/>
              <w:jc w:val="left"/>
              <w:rPr>
                <w:rFonts w:ascii="Arial" w:hAnsi="Arial" w:cs="Arial"/>
                <w:color w:val="auto"/>
                <w:kern w:val="0"/>
                <w:szCs w:val="21"/>
                <w:highlight w:val="none"/>
              </w:rPr>
            </w:pPr>
            <w:r>
              <w:rPr>
                <w:rFonts w:hint="eastAsia" w:ascii="Arial" w:hAnsi="Arial" w:cs="Arial"/>
                <w:bCs/>
                <w:color w:val="auto"/>
                <w:szCs w:val="21"/>
                <w:highlight w:val="none"/>
                <w:lang w:val="en-US" w:eastAsia="zh-CN"/>
              </w:rPr>
              <w:t>供应商</w:t>
            </w:r>
            <w:r>
              <w:rPr>
                <w:rFonts w:hint="eastAsia" w:ascii="Arial" w:hAnsi="Arial" w:cs="Arial"/>
                <w:bCs/>
                <w:color w:val="auto"/>
                <w:szCs w:val="21"/>
                <w:highlight w:val="none"/>
              </w:rPr>
              <w:t>需承担合同期内的东钱湖镇农村剩余电流动作保护器表后电力维护服务，</w:t>
            </w:r>
            <w:r>
              <w:rPr>
                <w:rFonts w:ascii="Arial" w:hAnsi="Arial" w:cs="Arial"/>
                <w:bCs/>
                <w:color w:val="auto"/>
                <w:szCs w:val="21"/>
                <w:highlight w:val="none"/>
              </w:rPr>
              <w:t>具体详见招标采购文件第二章 招标</w:t>
            </w:r>
            <w:r>
              <w:rPr>
                <w:rFonts w:hint="eastAsia" w:ascii="Arial" w:hAnsi="Arial" w:cs="Arial"/>
                <w:bCs/>
                <w:color w:val="auto"/>
                <w:szCs w:val="21"/>
                <w:highlight w:val="none"/>
              </w:rPr>
              <w:t>采购</w:t>
            </w:r>
            <w:r>
              <w:rPr>
                <w:rFonts w:ascii="Arial" w:hAnsi="Arial" w:cs="Arial"/>
                <w:bCs/>
                <w:color w:val="auto"/>
                <w:szCs w:val="21"/>
                <w:highlight w:val="none"/>
              </w:rPr>
              <w:t>需求。</w:t>
            </w:r>
          </w:p>
        </w:tc>
      </w:tr>
    </w:tbl>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★五、投标人的合格资格要求</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1、符合《中华人民共和国政府采购法》第二十二条规定的投标人资格条件：</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（1）具有独立承担民事责任的能力；</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（2）具有良好的商业信誉和健全的财务会计制度；</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（3）具有履行合同所必需的设备和专业技术能力；</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（4）有依法缴纳税收和社会保障资金的良好记录；</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（5）参加政府采购活动前三年内，在经营活动中没有重大违法记录；</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（6）法律、行政法规规定的其他条件；</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2、投标人特定资格条件为：</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（1）投标人同时具有电力工程施工总承包三级及以上资质（或输变电工程专业承包三级及以上资质）和五级及以上承装(修、试)电力设施许可证。</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（2）</w:t>
      </w:r>
      <w:r>
        <w:rPr>
          <w:rFonts w:ascii="黑体" w:hAnsi="黑体" w:eastAsia="黑体" w:cs="黑体"/>
          <w:b/>
          <w:bCs/>
          <w:color w:val="auto"/>
          <w:sz w:val="22"/>
          <w:szCs w:val="22"/>
          <w:highlight w:val="none"/>
          <w:u w:val="singl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（3）</w:t>
      </w:r>
      <w:r>
        <w:rPr>
          <w:rFonts w:ascii="黑体" w:hAnsi="黑体" w:eastAsia="黑体" w:cs="黑体"/>
          <w:b/>
          <w:bCs/>
          <w:color w:val="auto"/>
          <w:sz w:val="22"/>
          <w:szCs w:val="22"/>
          <w:highlight w:val="none"/>
          <w:u w:val="singl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widowControl/>
        <w:spacing w:line="440" w:lineRule="exact"/>
        <w:ind w:firstLine="442" w:firstLineChars="200"/>
        <w:jc w:val="left"/>
        <w:rPr>
          <w:rFonts w:ascii="黑体" w:hAnsi="黑体" w:eastAsia="黑体" w:cs="黑体"/>
          <w:b/>
          <w:bCs/>
          <w:color w:val="auto"/>
          <w:sz w:val="22"/>
          <w:szCs w:val="22"/>
          <w:highlight w:val="none"/>
          <w:u w:val="single"/>
        </w:rPr>
      </w:pPr>
      <w:r>
        <w:rPr>
          <w:rFonts w:hint="eastAsia" w:ascii="黑体" w:hAnsi="黑体" w:eastAsia="黑体" w:cs="黑体"/>
          <w:b/>
          <w:bCs/>
          <w:color w:val="auto"/>
          <w:sz w:val="22"/>
          <w:szCs w:val="22"/>
          <w:highlight w:val="none"/>
          <w:u w:val="single"/>
        </w:rPr>
        <w:t>（4）</w:t>
      </w:r>
      <w:r>
        <w:rPr>
          <w:rFonts w:ascii="黑体" w:hAnsi="黑体" w:eastAsia="黑体" w:cs="黑体"/>
          <w:b/>
          <w:bCs/>
          <w:color w:val="auto"/>
          <w:sz w:val="22"/>
          <w:szCs w:val="22"/>
          <w:highlight w:val="none"/>
          <w:u w:val="single"/>
        </w:rPr>
        <w:t>本项目不接受联合体投标。</w:t>
      </w:r>
    </w:p>
    <w:p>
      <w:pPr>
        <w:widowControl/>
        <w:spacing w:line="440" w:lineRule="exact"/>
        <w:ind w:firstLine="442" w:firstLineChars="200"/>
        <w:jc w:val="left"/>
        <w:rPr>
          <w:rFonts w:ascii="Arial" w:hAnsi="Arial" w:cs="Arial"/>
          <w:color w:val="auto"/>
          <w:sz w:val="22"/>
          <w:szCs w:val="22"/>
          <w:highlight w:val="none"/>
        </w:rPr>
      </w:pPr>
      <w:r>
        <w:rPr>
          <w:rFonts w:ascii="Arial" w:hAnsi="Arial" w:cs="Arial"/>
          <w:b/>
          <w:bCs/>
          <w:color w:val="auto"/>
          <w:sz w:val="22"/>
          <w:szCs w:val="22"/>
          <w:highlight w:val="none"/>
        </w:rPr>
        <w:t>六、招标采购文件的</w:t>
      </w:r>
      <w:r>
        <w:rPr>
          <w:rFonts w:hint="eastAsia" w:ascii="Arial" w:hAnsi="Arial" w:cs="Arial"/>
          <w:b/>
          <w:bCs/>
          <w:color w:val="auto"/>
          <w:sz w:val="22"/>
          <w:szCs w:val="22"/>
          <w:highlight w:val="none"/>
        </w:rPr>
        <w:t>获取</w:t>
      </w:r>
      <w:r>
        <w:rPr>
          <w:rFonts w:ascii="Arial" w:hAnsi="Arial" w:cs="Arial"/>
          <w:color w:val="auto"/>
          <w:sz w:val="22"/>
          <w:szCs w:val="22"/>
          <w:highlight w:val="none"/>
        </w:rPr>
        <w:t>：</w:t>
      </w:r>
    </w:p>
    <w:p>
      <w:pPr>
        <w:widowControl/>
        <w:spacing w:line="440" w:lineRule="exact"/>
        <w:ind w:firstLine="442" w:firstLineChars="200"/>
        <w:jc w:val="left"/>
        <w:rPr>
          <w:rFonts w:ascii="Arial" w:hAnsi="Arial" w:cs="Arial"/>
          <w:b/>
          <w:bCs/>
          <w:color w:val="auto"/>
          <w:sz w:val="22"/>
          <w:szCs w:val="22"/>
          <w:highlight w:val="none"/>
          <w:u w:val="single"/>
        </w:rPr>
      </w:pPr>
      <w:r>
        <w:rPr>
          <w:rFonts w:hint="eastAsia" w:ascii="Arial" w:hAnsi="Arial" w:cs="Arial"/>
          <w:b/>
          <w:bCs/>
          <w:color w:val="auto"/>
          <w:sz w:val="22"/>
          <w:szCs w:val="22"/>
          <w:highlight w:val="none"/>
        </w:rPr>
        <w:t>1、报名时间：</w:t>
      </w:r>
      <w:r>
        <w:rPr>
          <w:rFonts w:hint="eastAsia" w:ascii="Arial" w:hAnsi="Arial" w:cs="Arial"/>
          <w:b/>
          <w:bCs/>
          <w:color w:val="auto"/>
          <w:sz w:val="22"/>
          <w:szCs w:val="22"/>
          <w:highlight w:val="none"/>
          <w:u w:val="single"/>
        </w:rPr>
        <w:t>2019年11月18日－2019年11月25日17：00止（北京时间）。</w:t>
      </w:r>
    </w:p>
    <w:p>
      <w:pPr>
        <w:widowControl/>
        <w:spacing w:line="440" w:lineRule="exact"/>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lang w:bidi="ar"/>
        </w:rPr>
        <w:t>2</w:t>
      </w:r>
      <w:r>
        <w:rPr>
          <w:rFonts w:hint="eastAsia" w:ascii="Arial" w:hAnsi="Arial" w:cs="Arial"/>
          <w:b/>
          <w:color w:val="auto"/>
          <w:sz w:val="22"/>
          <w:szCs w:val="22"/>
          <w:highlight w:val="none"/>
          <w:lang w:bidi="ar"/>
        </w:rPr>
        <w:t>、报名方式：本项目实行网上报名，不接受现场报名。供应商直接登陆“浙江政府采购云平台”（</w:t>
      </w:r>
      <w:r>
        <w:rPr>
          <w:rFonts w:ascii="Arial" w:hAnsi="Arial" w:cs="Arial"/>
          <w:b/>
          <w:color w:val="auto"/>
          <w:sz w:val="22"/>
          <w:szCs w:val="22"/>
          <w:highlight w:val="none"/>
          <w:lang w:bidi="ar"/>
        </w:rPr>
        <w:t>http://www.zcy.gov.cn/</w:t>
      </w:r>
      <w:r>
        <w:rPr>
          <w:rFonts w:hint="eastAsia" w:ascii="Arial" w:hAnsi="Arial" w:cs="Arial"/>
          <w:b/>
          <w:color w:val="auto"/>
          <w:sz w:val="22"/>
          <w:szCs w:val="22"/>
          <w:highlight w:val="none"/>
          <w:lang w:bidi="ar"/>
        </w:rPr>
        <w:t>）进行网上报名并下载电子采购文件。</w:t>
      </w:r>
    </w:p>
    <w:p>
      <w:pPr>
        <w:widowControl/>
        <w:spacing w:line="440" w:lineRule="exact"/>
        <w:ind w:firstLine="442" w:firstLineChars="200"/>
        <w:jc w:val="left"/>
        <w:rPr>
          <w:rFonts w:ascii="Arial" w:hAnsi="Arial" w:cs="Arial"/>
          <w:b/>
          <w:color w:val="auto"/>
          <w:sz w:val="22"/>
          <w:szCs w:val="22"/>
          <w:highlight w:val="none"/>
        </w:rPr>
      </w:pPr>
      <w:r>
        <w:rPr>
          <w:rFonts w:hint="eastAsia" w:ascii="Arial" w:hAnsi="Arial" w:cs="Arial"/>
          <w:b/>
          <w:color w:val="auto"/>
          <w:sz w:val="22"/>
          <w:szCs w:val="22"/>
          <w:highlight w:val="none"/>
          <w:lang w:bidi="ar"/>
        </w:rPr>
        <w:t>《供应商网上报名操作指南》网址：浙江政府采购网，位置：“首页</w:t>
      </w:r>
      <w:r>
        <w:rPr>
          <w:rFonts w:ascii="Arial" w:hAnsi="Arial" w:cs="Arial"/>
          <w:b/>
          <w:color w:val="auto"/>
          <w:sz w:val="22"/>
          <w:szCs w:val="22"/>
          <w:highlight w:val="none"/>
          <w:lang w:bidi="ar"/>
        </w:rPr>
        <w:t>-</w:t>
      </w:r>
      <w:r>
        <w:rPr>
          <w:rFonts w:hint="eastAsia" w:ascii="Arial" w:hAnsi="Arial" w:cs="Arial"/>
          <w:b/>
          <w:color w:val="auto"/>
          <w:sz w:val="22"/>
          <w:szCs w:val="22"/>
          <w:highlight w:val="none"/>
          <w:lang w:bidi="ar"/>
        </w:rPr>
        <w:t>办事指南</w:t>
      </w:r>
      <w:r>
        <w:rPr>
          <w:rFonts w:ascii="Arial" w:hAnsi="Arial" w:cs="Arial"/>
          <w:b/>
          <w:color w:val="auto"/>
          <w:sz w:val="22"/>
          <w:szCs w:val="22"/>
          <w:highlight w:val="none"/>
          <w:lang w:bidi="ar"/>
        </w:rPr>
        <w:t>-</w:t>
      </w:r>
      <w:r>
        <w:rPr>
          <w:rFonts w:hint="eastAsia" w:ascii="Arial" w:hAnsi="Arial" w:cs="Arial"/>
          <w:b/>
          <w:color w:val="auto"/>
          <w:sz w:val="22"/>
          <w:szCs w:val="22"/>
          <w:highlight w:val="none"/>
          <w:lang w:bidi="ar"/>
        </w:rPr>
        <w:t>省采中心</w:t>
      </w:r>
      <w:r>
        <w:rPr>
          <w:rFonts w:ascii="Arial" w:hAnsi="Arial" w:cs="Arial"/>
          <w:b/>
          <w:color w:val="auto"/>
          <w:sz w:val="22"/>
          <w:szCs w:val="22"/>
          <w:highlight w:val="none"/>
          <w:lang w:bidi="ar"/>
        </w:rPr>
        <w:t>-</w:t>
      </w:r>
      <w:r>
        <w:rPr>
          <w:rFonts w:hint="eastAsia" w:ascii="Arial" w:hAnsi="Arial" w:cs="Arial"/>
          <w:b/>
          <w:color w:val="auto"/>
          <w:sz w:val="22"/>
          <w:szCs w:val="22"/>
          <w:highlight w:val="none"/>
          <w:lang w:bidi="ar"/>
        </w:rPr>
        <w:t>网上报名”（</w:t>
      </w:r>
      <w:r>
        <w:rPr>
          <w:rFonts w:ascii="Arial" w:hAnsi="Arial" w:cs="Arial"/>
          <w:b/>
          <w:color w:val="auto"/>
          <w:sz w:val="22"/>
          <w:szCs w:val="22"/>
          <w:highlight w:val="none"/>
          <w:lang w:bidi="ar"/>
        </w:rPr>
        <w:t>http://www.zjzfcg.gov.cn/bs_other/2018-03-30/12002.html</w:t>
      </w:r>
      <w:r>
        <w:rPr>
          <w:rFonts w:hint="eastAsia" w:ascii="Arial" w:hAnsi="Arial" w:cs="Arial"/>
          <w:b/>
          <w:color w:val="auto"/>
          <w:sz w:val="22"/>
          <w:szCs w:val="22"/>
          <w:highlight w:val="none"/>
          <w:lang w:bidi="ar"/>
        </w:rPr>
        <w:t>）。</w:t>
      </w:r>
    </w:p>
    <w:p>
      <w:pPr>
        <w:widowControl/>
        <w:spacing w:line="440" w:lineRule="exact"/>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lang w:bidi="ar"/>
        </w:rPr>
        <w:t>3</w:t>
      </w:r>
      <w:r>
        <w:rPr>
          <w:rFonts w:hint="eastAsia" w:ascii="Arial" w:hAnsi="Arial" w:cs="Arial"/>
          <w:b/>
          <w:color w:val="auto"/>
          <w:sz w:val="22"/>
          <w:szCs w:val="22"/>
          <w:highlight w:val="none"/>
          <w:lang w:bidi="ar"/>
        </w:rPr>
        <w:t>、投标人已按照《浙江省政府采购供应商注册及诚信管理暂行办法》的规定在“浙江政府采购网</w:t>
      </w:r>
      <w:r>
        <w:rPr>
          <w:rFonts w:ascii="Arial" w:hAnsi="Arial" w:cs="Arial"/>
          <w:b/>
          <w:color w:val="auto"/>
          <w:sz w:val="22"/>
          <w:szCs w:val="22"/>
          <w:highlight w:val="none"/>
          <w:lang w:bidi="ar"/>
        </w:rPr>
        <w:t>(http://www.zjzfcg.gov.cn)</w:t>
      </w:r>
      <w:r>
        <w:rPr>
          <w:rFonts w:hint="eastAsia" w:ascii="Arial" w:hAnsi="Arial" w:cs="Arial"/>
          <w:b/>
          <w:color w:val="auto"/>
          <w:sz w:val="22"/>
          <w:szCs w:val="22"/>
          <w:highlight w:val="none"/>
          <w:lang w:bidi="ar"/>
        </w:rPr>
        <w:t>”政采云平台注册登记的，成为浙江省政府采购注册供应商。如未注册的供应商，请注意注册所需时间。</w:t>
      </w:r>
    </w:p>
    <w:p>
      <w:pPr>
        <w:widowControl/>
        <w:spacing w:line="440" w:lineRule="exact"/>
        <w:ind w:firstLine="442" w:firstLineChars="200"/>
        <w:jc w:val="left"/>
        <w:rPr>
          <w:rFonts w:ascii="宋体" w:cs="Arial"/>
          <w:b/>
          <w:bCs/>
          <w:color w:val="auto"/>
          <w:sz w:val="22"/>
          <w:szCs w:val="22"/>
          <w:highlight w:val="none"/>
        </w:rPr>
      </w:pPr>
      <w:r>
        <w:rPr>
          <w:rFonts w:ascii="Arial" w:hAnsi="Arial" w:cs="Arial"/>
          <w:b/>
          <w:bCs/>
          <w:color w:val="auto"/>
          <w:sz w:val="22"/>
          <w:szCs w:val="22"/>
          <w:highlight w:val="none"/>
        </w:rPr>
        <w:t>4</w:t>
      </w:r>
      <w:r>
        <w:rPr>
          <w:rFonts w:hint="eastAsia" w:ascii="宋体" w:hAnsi="宋体" w:cs="Arial"/>
          <w:b/>
          <w:bCs/>
          <w:color w:val="auto"/>
          <w:sz w:val="22"/>
          <w:szCs w:val="22"/>
          <w:highlight w:val="none"/>
        </w:rPr>
        <w:t>、</w:t>
      </w:r>
      <w:r>
        <w:rPr>
          <w:rFonts w:hint="eastAsia" w:ascii="Arial" w:hAnsi="Arial" w:cs="Arial"/>
          <w:b/>
          <w:bCs/>
          <w:color w:val="auto"/>
          <w:sz w:val="22"/>
          <w:szCs w:val="22"/>
          <w:highlight w:val="none"/>
        </w:rPr>
        <w:t>招标采购文件售价：每套</w:t>
      </w:r>
      <w:r>
        <w:rPr>
          <w:rFonts w:ascii="Arial" w:hAnsi="Arial" w:cs="Arial"/>
          <w:b/>
          <w:bCs/>
          <w:color w:val="auto"/>
          <w:sz w:val="22"/>
          <w:szCs w:val="22"/>
          <w:highlight w:val="none"/>
        </w:rPr>
        <w:t>500</w:t>
      </w:r>
      <w:r>
        <w:rPr>
          <w:rFonts w:hint="eastAsia" w:ascii="宋体" w:hAnsi="宋体" w:cs="Arial"/>
          <w:b/>
          <w:bCs/>
          <w:color w:val="auto"/>
          <w:sz w:val="22"/>
          <w:szCs w:val="22"/>
          <w:highlight w:val="none"/>
        </w:rPr>
        <w:t>元人民币，售后不退，且于报名时间截止前将</w:t>
      </w:r>
      <w:r>
        <w:rPr>
          <w:rFonts w:hint="eastAsia" w:ascii="Arial" w:hAnsi="Arial" w:cs="Arial"/>
          <w:b/>
          <w:bCs/>
          <w:color w:val="auto"/>
          <w:sz w:val="22"/>
          <w:szCs w:val="22"/>
          <w:highlight w:val="none"/>
        </w:rPr>
        <w:t>招标采购文件费用打入以下账户（以实际到账时间为准），反之则其投标被拒绝</w:t>
      </w:r>
      <w:r>
        <w:rPr>
          <w:rFonts w:hint="eastAsia" w:ascii="宋体" w:hAnsi="宋体" w:cs="Arial"/>
          <w:b/>
          <w:bCs/>
          <w:color w:val="auto"/>
          <w:sz w:val="22"/>
          <w:szCs w:val="22"/>
          <w:highlight w:val="none"/>
        </w:rPr>
        <w:t>；</w:t>
      </w:r>
    </w:p>
    <w:p>
      <w:pPr>
        <w:widowControl/>
        <w:spacing w:line="440" w:lineRule="exact"/>
        <w:ind w:firstLine="442" w:firstLineChars="200"/>
        <w:jc w:val="left"/>
        <w:rPr>
          <w:rFonts w:ascii="宋体" w:cs="Arial"/>
          <w:b/>
          <w:bCs/>
          <w:color w:val="auto"/>
          <w:sz w:val="22"/>
          <w:szCs w:val="22"/>
          <w:highlight w:val="none"/>
        </w:rPr>
      </w:pPr>
      <w:r>
        <w:rPr>
          <w:rFonts w:hint="eastAsia" w:ascii="宋体" w:hAnsi="宋体" w:cs="Arial"/>
          <w:b/>
          <w:bCs/>
          <w:color w:val="auto"/>
          <w:sz w:val="22"/>
          <w:szCs w:val="22"/>
          <w:highlight w:val="none"/>
        </w:rPr>
        <w:t>开户银行：宁波银行西门支行</w:t>
      </w:r>
    </w:p>
    <w:p>
      <w:pPr>
        <w:widowControl/>
        <w:spacing w:line="440" w:lineRule="exact"/>
        <w:ind w:firstLine="442" w:firstLineChars="200"/>
        <w:jc w:val="left"/>
        <w:rPr>
          <w:rFonts w:ascii="宋体" w:cs="Arial"/>
          <w:b/>
          <w:bCs/>
          <w:color w:val="auto"/>
          <w:sz w:val="22"/>
          <w:szCs w:val="22"/>
          <w:highlight w:val="none"/>
        </w:rPr>
      </w:pPr>
      <w:r>
        <w:rPr>
          <w:rFonts w:hint="eastAsia" w:ascii="宋体" w:hAnsi="宋体" w:cs="Arial"/>
          <w:b/>
          <w:bCs/>
          <w:color w:val="auto"/>
          <w:sz w:val="22"/>
          <w:szCs w:val="22"/>
          <w:highlight w:val="none"/>
        </w:rPr>
        <w:t>帐号：</w:t>
      </w:r>
      <w:r>
        <w:rPr>
          <w:rFonts w:ascii="宋体" w:hAnsi="宋体" w:cs="Arial"/>
          <w:b/>
          <w:bCs/>
          <w:color w:val="auto"/>
          <w:sz w:val="22"/>
          <w:szCs w:val="22"/>
          <w:highlight w:val="none"/>
        </w:rPr>
        <w:t>22010122000119736</w:t>
      </w:r>
    </w:p>
    <w:p>
      <w:pPr>
        <w:widowControl/>
        <w:spacing w:line="440" w:lineRule="exact"/>
        <w:ind w:firstLine="442" w:firstLineChars="200"/>
        <w:jc w:val="left"/>
        <w:rPr>
          <w:rFonts w:ascii="宋体" w:cs="Arial"/>
          <w:b/>
          <w:bCs/>
          <w:color w:val="auto"/>
          <w:sz w:val="22"/>
          <w:szCs w:val="22"/>
          <w:highlight w:val="none"/>
        </w:rPr>
      </w:pPr>
      <w:r>
        <w:rPr>
          <w:rFonts w:hint="eastAsia" w:ascii="宋体" w:hAnsi="宋体" w:cs="Arial"/>
          <w:b/>
          <w:bCs/>
          <w:color w:val="auto"/>
          <w:sz w:val="22"/>
          <w:szCs w:val="22"/>
          <w:highlight w:val="none"/>
        </w:rPr>
        <w:t>名称：宁波高专建设监理有限公司</w:t>
      </w:r>
    </w:p>
    <w:p>
      <w:pPr>
        <w:widowControl/>
        <w:spacing w:line="440" w:lineRule="exact"/>
        <w:ind w:firstLine="442" w:firstLineChars="200"/>
        <w:jc w:val="left"/>
        <w:rPr>
          <w:rFonts w:ascii="黑体" w:hAnsi="黑体" w:eastAsia="黑体" w:cs="黑体"/>
          <w:b/>
          <w:color w:val="auto"/>
          <w:sz w:val="22"/>
          <w:szCs w:val="22"/>
          <w:highlight w:val="none"/>
        </w:rPr>
      </w:pPr>
      <w:r>
        <w:rPr>
          <w:rFonts w:hint="eastAsia" w:ascii="黑体" w:hAnsi="黑体" w:eastAsia="黑体" w:cs="黑体"/>
          <w:b/>
          <w:color w:val="auto"/>
          <w:sz w:val="22"/>
          <w:szCs w:val="22"/>
          <w:highlight w:val="none"/>
        </w:rPr>
        <w:t>★七、投标保证金：</w:t>
      </w:r>
      <w:r>
        <w:rPr>
          <w:rFonts w:hint="eastAsia" w:ascii="黑体" w:hAnsi="黑体" w:eastAsia="黑体" w:cs="黑体"/>
          <w:b/>
          <w:color w:val="auto"/>
          <w:sz w:val="22"/>
          <w:szCs w:val="22"/>
          <w:highlight w:val="none"/>
          <w:u w:val="single"/>
        </w:rPr>
        <w:t>16000</w:t>
      </w:r>
      <w:r>
        <w:rPr>
          <w:rFonts w:hint="eastAsia" w:ascii="黑体" w:hAnsi="黑体" w:eastAsia="黑体" w:cs="黑体"/>
          <w:b/>
          <w:color w:val="auto"/>
          <w:sz w:val="22"/>
          <w:szCs w:val="22"/>
          <w:highlight w:val="none"/>
        </w:rPr>
        <w:t>元人民币。</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投标人应于</w:t>
      </w:r>
      <w:r>
        <w:rPr>
          <w:rFonts w:hint="eastAsia" w:ascii="Arial" w:hAnsi="Arial" w:cs="Arial"/>
          <w:b/>
          <w:bCs/>
          <w:color w:val="auto"/>
          <w:sz w:val="22"/>
          <w:szCs w:val="22"/>
          <w:highlight w:val="none"/>
          <w:u w:val="single"/>
        </w:rPr>
        <w:t>2019年</w:t>
      </w:r>
      <w:r>
        <w:rPr>
          <w:rFonts w:hint="eastAsia" w:ascii="Arial" w:hAnsi="Arial" w:cs="Arial"/>
          <w:b/>
          <w:bCs/>
          <w:color w:val="auto"/>
          <w:sz w:val="22"/>
          <w:szCs w:val="22"/>
          <w:highlight w:val="none"/>
          <w:u w:val="single"/>
          <w:lang w:val="en-US" w:eastAsia="zh-CN"/>
        </w:rPr>
        <w:t>12</w:t>
      </w:r>
      <w:r>
        <w:rPr>
          <w:rFonts w:hint="eastAsia" w:ascii="Arial" w:hAnsi="Arial" w:cs="Arial"/>
          <w:b/>
          <w:bCs/>
          <w:color w:val="auto"/>
          <w:sz w:val="22"/>
          <w:szCs w:val="22"/>
          <w:highlight w:val="none"/>
          <w:u w:val="single"/>
        </w:rPr>
        <w:t>月</w:t>
      </w:r>
      <w:r>
        <w:rPr>
          <w:rFonts w:hint="eastAsia" w:ascii="Arial" w:hAnsi="Arial" w:cs="Arial"/>
          <w:b/>
          <w:bCs/>
          <w:color w:val="auto"/>
          <w:sz w:val="22"/>
          <w:szCs w:val="22"/>
          <w:highlight w:val="none"/>
          <w:u w:val="single"/>
          <w:lang w:val="en-US" w:eastAsia="zh-CN"/>
        </w:rPr>
        <w:t>9</w:t>
      </w:r>
      <w:r>
        <w:rPr>
          <w:rFonts w:hint="eastAsia" w:ascii="Arial" w:hAnsi="Arial" w:cs="Arial"/>
          <w:b/>
          <w:bCs/>
          <w:color w:val="auto"/>
          <w:sz w:val="22"/>
          <w:szCs w:val="22"/>
          <w:highlight w:val="none"/>
          <w:u w:val="single"/>
        </w:rPr>
        <w:t>日14：00时</w:t>
      </w:r>
      <w:r>
        <w:rPr>
          <w:rFonts w:hint="eastAsia" w:ascii="黑体" w:hAnsi="黑体" w:eastAsia="黑体" w:cs="黑体"/>
          <w:color w:val="auto"/>
          <w:sz w:val="22"/>
          <w:szCs w:val="22"/>
          <w:highlight w:val="none"/>
        </w:rPr>
        <w:t>（北京时间）前将投标保证金以支票、汇票、电汇形式交至宁波东钱湖旅游度假区行政服务中心（公共资源交易中心）保证金户。</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户名：宁波东钱湖旅游度假区行政服务中心（公共资源交易中心）保证金户</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银行账号：3901150229000126725；</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开户银行：工行宁波东钱湖支行；</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汇款底单必须备注：</w:t>
      </w:r>
      <w:r>
        <w:rPr>
          <w:rFonts w:hint="eastAsia" w:ascii="黑体" w:hAnsi="黑体" w:eastAsia="黑体" w:cs="黑体"/>
          <w:b/>
          <w:bCs/>
          <w:color w:val="auto"/>
          <w:sz w:val="22"/>
          <w:szCs w:val="22"/>
          <w:highlight w:val="none"/>
          <w:u w:val="single"/>
        </w:rPr>
        <w:t>DQHZFCG20191060G(本项目交易登记号)</w:t>
      </w:r>
      <w:r>
        <w:rPr>
          <w:rFonts w:hint="eastAsia" w:ascii="黑体" w:hAnsi="黑体" w:eastAsia="黑体" w:cs="黑体"/>
          <w:color w:val="auto"/>
          <w:sz w:val="22"/>
          <w:szCs w:val="22"/>
          <w:highlight w:val="none"/>
        </w:rPr>
        <w:t>， 切记！</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联系电话：0574-83013242。</w:t>
      </w:r>
    </w:p>
    <w:p>
      <w:pPr>
        <w:widowControl/>
        <w:spacing w:line="440" w:lineRule="exact"/>
        <w:ind w:firstLine="440" w:firstLineChars="200"/>
        <w:jc w:val="left"/>
        <w:rPr>
          <w:rFonts w:ascii="黑体" w:hAnsi="黑体" w:eastAsia="黑体" w:cs="黑体"/>
          <w:color w:val="auto"/>
          <w:sz w:val="22"/>
          <w:szCs w:val="22"/>
          <w:highlight w:val="none"/>
        </w:rPr>
      </w:pPr>
      <w:r>
        <w:rPr>
          <w:rFonts w:hint="eastAsia" w:ascii="黑体" w:hAnsi="黑体" w:eastAsia="黑体" w:cs="黑体"/>
          <w:color w:val="auto"/>
          <w:sz w:val="22"/>
          <w:szCs w:val="22"/>
          <w:highlight w:val="none"/>
        </w:rPr>
        <w:t>★</w:t>
      </w:r>
      <w:r>
        <w:rPr>
          <w:rFonts w:hint="eastAsia" w:ascii="黑体" w:hAnsi="黑体" w:eastAsia="黑体" w:cs="黑体"/>
          <w:b/>
          <w:bCs/>
          <w:color w:val="auto"/>
          <w:sz w:val="22"/>
          <w:szCs w:val="22"/>
          <w:highlight w:val="none"/>
        </w:rPr>
        <w:t>八</w:t>
      </w:r>
      <w:r>
        <w:rPr>
          <w:rFonts w:hint="eastAsia" w:ascii="黑体" w:hAnsi="黑体" w:eastAsia="黑体" w:cs="黑体"/>
          <w:b/>
          <w:bCs/>
          <w:color w:val="auto"/>
          <w:sz w:val="22"/>
          <w:szCs w:val="22"/>
          <w:highlight w:val="none"/>
          <w:lang w:eastAsia="zh-CN"/>
        </w:rPr>
        <w:t>、</w:t>
      </w:r>
      <w:r>
        <w:rPr>
          <w:rFonts w:hint="eastAsia" w:ascii="黑体" w:hAnsi="黑体" w:eastAsia="黑体" w:cs="黑体"/>
          <w:b/>
          <w:bCs/>
          <w:color w:val="auto"/>
          <w:sz w:val="22"/>
          <w:szCs w:val="22"/>
          <w:highlight w:val="none"/>
        </w:rPr>
        <w:t>投标截止时间和</w:t>
      </w:r>
      <w:bookmarkStart w:id="113" w:name="_GoBack"/>
      <w:bookmarkEnd w:id="113"/>
      <w:r>
        <w:rPr>
          <w:rFonts w:hint="eastAsia" w:ascii="黑体" w:hAnsi="黑体" w:eastAsia="黑体" w:cs="黑体"/>
          <w:b/>
          <w:bCs/>
          <w:color w:val="auto"/>
          <w:sz w:val="22"/>
          <w:szCs w:val="22"/>
          <w:highlight w:val="none"/>
        </w:rPr>
        <w:t>地点</w:t>
      </w:r>
      <w:r>
        <w:rPr>
          <w:rFonts w:hint="eastAsia" w:ascii="黑体" w:hAnsi="黑体" w:eastAsia="黑体" w:cs="黑体"/>
          <w:color w:val="auto"/>
          <w:sz w:val="22"/>
          <w:szCs w:val="22"/>
          <w:highlight w:val="none"/>
        </w:rPr>
        <w:t>：</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投标人应于</w:t>
      </w:r>
      <w:r>
        <w:rPr>
          <w:rFonts w:hint="eastAsia" w:ascii="Arial" w:hAnsi="Arial" w:cs="Arial"/>
          <w:b/>
          <w:bCs/>
          <w:color w:val="auto"/>
          <w:sz w:val="22"/>
          <w:szCs w:val="22"/>
          <w:highlight w:val="none"/>
          <w:u w:val="single"/>
        </w:rPr>
        <w:t>2019年12月</w:t>
      </w:r>
      <w:r>
        <w:rPr>
          <w:rFonts w:hint="eastAsia" w:ascii="Arial" w:hAnsi="Arial" w:cs="Arial"/>
          <w:b/>
          <w:bCs/>
          <w:color w:val="auto"/>
          <w:sz w:val="22"/>
          <w:szCs w:val="22"/>
          <w:highlight w:val="none"/>
          <w:u w:val="single"/>
          <w:lang w:val="en-US" w:eastAsia="zh-CN"/>
        </w:rPr>
        <w:t>10</w:t>
      </w:r>
      <w:r>
        <w:rPr>
          <w:rFonts w:hint="eastAsia" w:ascii="Arial" w:hAnsi="Arial" w:cs="Arial"/>
          <w:b/>
          <w:bCs/>
          <w:color w:val="auto"/>
          <w:sz w:val="22"/>
          <w:szCs w:val="22"/>
          <w:highlight w:val="none"/>
          <w:u w:val="single"/>
        </w:rPr>
        <w:t>日1</w:t>
      </w:r>
      <w:r>
        <w:rPr>
          <w:rFonts w:hint="eastAsia" w:ascii="Arial" w:hAnsi="Arial" w:cs="Arial"/>
          <w:b/>
          <w:bCs/>
          <w:color w:val="auto"/>
          <w:sz w:val="22"/>
          <w:szCs w:val="22"/>
          <w:highlight w:val="none"/>
          <w:u w:val="single"/>
          <w:lang w:val="en-US" w:eastAsia="zh-CN"/>
        </w:rPr>
        <w:t>4</w:t>
      </w:r>
      <w:r>
        <w:rPr>
          <w:rFonts w:ascii="Arial" w:hAnsi="Arial" w:cs="Arial"/>
          <w:b/>
          <w:bCs/>
          <w:color w:val="auto"/>
          <w:sz w:val="22"/>
          <w:szCs w:val="22"/>
          <w:highlight w:val="none"/>
          <w:u w:val="single"/>
        </w:rPr>
        <w:t>时</w:t>
      </w:r>
      <w:r>
        <w:rPr>
          <w:rFonts w:hint="eastAsia" w:ascii="Arial" w:hAnsi="Arial" w:cs="Arial"/>
          <w:b/>
          <w:bCs/>
          <w:color w:val="auto"/>
          <w:sz w:val="22"/>
          <w:szCs w:val="22"/>
          <w:highlight w:val="none"/>
          <w:u w:val="single"/>
          <w:lang w:val="en-US" w:eastAsia="zh-CN"/>
        </w:rPr>
        <w:t>0</w:t>
      </w:r>
      <w:r>
        <w:rPr>
          <w:rFonts w:hint="eastAsia" w:ascii="Arial" w:hAnsi="Arial" w:cs="Arial"/>
          <w:b/>
          <w:bCs/>
          <w:color w:val="auto"/>
          <w:sz w:val="22"/>
          <w:szCs w:val="22"/>
          <w:highlight w:val="none"/>
          <w:u w:val="single"/>
        </w:rPr>
        <w:t>0</w:t>
      </w:r>
      <w:r>
        <w:rPr>
          <w:rFonts w:ascii="Arial" w:hAnsi="Arial" w:cs="Arial"/>
          <w:b/>
          <w:bCs/>
          <w:color w:val="auto"/>
          <w:sz w:val="22"/>
          <w:szCs w:val="22"/>
          <w:highlight w:val="none"/>
          <w:u w:val="single"/>
        </w:rPr>
        <w:t>分</w:t>
      </w:r>
      <w:r>
        <w:rPr>
          <w:rFonts w:hint="eastAsia" w:ascii="Arial" w:hAnsi="Arial" w:cs="Arial"/>
          <w:b/>
          <w:bCs/>
          <w:color w:val="auto"/>
          <w:sz w:val="22"/>
          <w:szCs w:val="22"/>
          <w:highlight w:val="none"/>
          <w:u w:val="single"/>
        </w:rPr>
        <w:t>（北京时间）</w:t>
      </w:r>
      <w:r>
        <w:rPr>
          <w:rFonts w:ascii="Arial" w:hAnsi="Arial" w:cs="Arial"/>
          <w:color w:val="auto"/>
          <w:sz w:val="22"/>
          <w:szCs w:val="22"/>
          <w:highlight w:val="none"/>
        </w:rPr>
        <w:t>前将投标文件密封送交</w:t>
      </w:r>
      <w:r>
        <w:rPr>
          <w:rFonts w:hint="eastAsia" w:ascii="Arial" w:hAnsi="Arial" w:cs="Arial"/>
          <w:color w:val="auto"/>
          <w:sz w:val="22"/>
          <w:szCs w:val="22"/>
          <w:highlight w:val="none"/>
        </w:rPr>
        <w:t>至</w:t>
      </w:r>
      <w:r>
        <w:rPr>
          <w:rFonts w:hint="eastAsia" w:ascii="Arial" w:hAnsi="Arial" w:cs="Arial"/>
          <w:b/>
          <w:bCs/>
          <w:color w:val="auto"/>
          <w:sz w:val="22"/>
          <w:szCs w:val="22"/>
          <w:highlight w:val="none"/>
          <w:u w:val="single"/>
        </w:rPr>
        <w:t>宁波东钱湖旅游度假区公共资源交易中心5楼开标大厅（地址：东钱湖玉泉南路302号5楼,具体受理场所安排详见电子指示屏幕）</w:t>
      </w:r>
      <w:r>
        <w:rPr>
          <w:rFonts w:ascii="Arial" w:hAnsi="Arial" w:cs="Arial"/>
          <w:color w:val="auto"/>
          <w:sz w:val="22"/>
          <w:szCs w:val="22"/>
          <w:highlight w:val="none"/>
        </w:rPr>
        <w:t>，逾期送达或未密封将予以拒收。</w:t>
      </w:r>
    </w:p>
    <w:p>
      <w:pPr>
        <w:widowControl/>
        <w:spacing w:line="440" w:lineRule="exact"/>
        <w:ind w:firstLine="442" w:firstLineChars="200"/>
        <w:jc w:val="left"/>
        <w:rPr>
          <w:rFonts w:ascii="黑体" w:hAnsi="黑体" w:eastAsia="黑体" w:cs="黑体"/>
          <w:color w:val="auto"/>
          <w:sz w:val="22"/>
          <w:szCs w:val="22"/>
          <w:highlight w:val="none"/>
        </w:rPr>
      </w:pPr>
      <w:r>
        <w:rPr>
          <w:rFonts w:hint="eastAsia" w:ascii="黑体" w:hAnsi="黑体" w:eastAsia="黑体" w:cs="黑体"/>
          <w:b/>
          <w:bCs/>
          <w:color w:val="auto"/>
          <w:sz w:val="22"/>
          <w:szCs w:val="22"/>
          <w:highlight w:val="none"/>
        </w:rPr>
        <w:t>★</w:t>
      </w:r>
      <w:r>
        <w:rPr>
          <w:rFonts w:hint="eastAsia" w:ascii="黑体" w:hAnsi="黑体" w:eastAsia="黑体" w:cs="黑体"/>
          <w:b/>
          <w:bCs/>
          <w:color w:val="auto"/>
          <w:sz w:val="22"/>
          <w:szCs w:val="22"/>
          <w:highlight w:val="none"/>
          <w:lang w:val="en-US" w:eastAsia="zh-CN"/>
        </w:rPr>
        <w:t>九</w:t>
      </w:r>
      <w:r>
        <w:rPr>
          <w:rFonts w:hint="eastAsia" w:ascii="黑体" w:hAnsi="黑体" w:eastAsia="黑体" w:cs="黑体"/>
          <w:b/>
          <w:bCs/>
          <w:color w:val="auto"/>
          <w:sz w:val="22"/>
          <w:szCs w:val="22"/>
          <w:highlight w:val="none"/>
        </w:rPr>
        <w:t>、开标时间及地点</w:t>
      </w:r>
      <w:r>
        <w:rPr>
          <w:rFonts w:hint="eastAsia" w:ascii="黑体" w:hAnsi="黑体" w:eastAsia="黑体" w:cs="黑体"/>
          <w:color w:val="auto"/>
          <w:sz w:val="22"/>
          <w:szCs w:val="22"/>
          <w:highlight w:val="none"/>
        </w:rPr>
        <w:t>：</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同投标截止时间和地点，投标人可以派授权代表出席开标会议。</w:t>
      </w:r>
    </w:p>
    <w:p>
      <w:pPr>
        <w:widowControl/>
        <w:spacing w:line="440" w:lineRule="exact"/>
        <w:ind w:firstLine="442" w:firstLineChars="200"/>
        <w:jc w:val="left"/>
        <w:rPr>
          <w:rFonts w:ascii="Arial" w:hAnsi="Arial" w:cs="Arial"/>
          <w:b/>
          <w:bCs/>
          <w:color w:val="auto"/>
          <w:sz w:val="22"/>
          <w:szCs w:val="22"/>
          <w:highlight w:val="none"/>
        </w:rPr>
      </w:pPr>
      <w:r>
        <w:rPr>
          <w:rFonts w:hint="eastAsia" w:ascii="Arial" w:hAnsi="Arial" w:cs="Arial"/>
          <w:b/>
          <w:bCs/>
          <w:color w:val="auto"/>
          <w:sz w:val="22"/>
          <w:szCs w:val="22"/>
          <w:highlight w:val="none"/>
          <w:lang w:val="en-US" w:eastAsia="zh-CN"/>
        </w:rPr>
        <w:t>十</w:t>
      </w:r>
      <w:r>
        <w:rPr>
          <w:rFonts w:ascii="Arial" w:hAnsi="Arial" w:cs="Arial"/>
          <w:b/>
          <w:bCs/>
          <w:color w:val="auto"/>
          <w:sz w:val="22"/>
          <w:szCs w:val="22"/>
          <w:highlight w:val="none"/>
        </w:rPr>
        <w:t>、落实的政策：</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《政府采购促进中小企业发展暂行办法》（财库[2011]181号）、《关于政府采购支持监狱企业发展有关问题的通知》(财库[2014]68号)。</w:t>
      </w:r>
    </w:p>
    <w:p>
      <w:pPr>
        <w:widowControl/>
        <w:spacing w:line="440" w:lineRule="exact"/>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十</w:t>
      </w:r>
      <w:r>
        <w:rPr>
          <w:rFonts w:hint="eastAsia" w:ascii="Arial" w:hAnsi="Arial" w:cs="Arial"/>
          <w:b/>
          <w:color w:val="auto"/>
          <w:sz w:val="22"/>
          <w:szCs w:val="22"/>
          <w:highlight w:val="none"/>
          <w:lang w:val="en-US" w:eastAsia="zh-CN"/>
        </w:rPr>
        <w:t>一</w:t>
      </w:r>
      <w:r>
        <w:rPr>
          <w:rFonts w:ascii="Arial" w:hAnsi="Arial" w:cs="Arial"/>
          <w:b/>
          <w:color w:val="auto"/>
          <w:sz w:val="22"/>
          <w:szCs w:val="22"/>
          <w:highlight w:val="none"/>
        </w:rPr>
        <w:t>、</w:t>
      </w:r>
      <w:r>
        <w:rPr>
          <w:rFonts w:hint="eastAsia" w:ascii="Arial" w:hAnsi="Arial" w:cs="Arial"/>
          <w:b/>
          <w:color w:val="auto"/>
          <w:sz w:val="22"/>
          <w:szCs w:val="22"/>
          <w:highlight w:val="none"/>
        </w:rPr>
        <w:t>其他事项：</w:t>
      </w:r>
    </w:p>
    <w:p>
      <w:pPr>
        <w:widowControl/>
        <w:spacing w:line="440" w:lineRule="exact"/>
        <w:ind w:firstLine="420"/>
        <w:jc w:val="left"/>
        <w:rPr>
          <w:rFonts w:ascii="Arial" w:hAnsi="Arial" w:cs="Arial"/>
          <w:bCs/>
          <w:color w:val="auto"/>
          <w:sz w:val="22"/>
          <w:szCs w:val="22"/>
          <w:highlight w:val="none"/>
        </w:rPr>
      </w:pPr>
      <w:r>
        <w:rPr>
          <w:rFonts w:hint="eastAsia" w:ascii="Arial" w:hAnsi="Arial" w:cs="Arial"/>
          <w:bCs/>
          <w:color w:val="auto"/>
          <w:sz w:val="22"/>
          <w:szCs w:val="22"/>
          <w:highlight w:val="none"/>
        </w:rPr>
        <w:t>本次政府采购活动有关信息在“浙江政府采购网（www.zjzfcg.gov.cn）”、“宁波东钱湖旅游度假区公共资源交易中心网”网站上公布，公布信息视同送达所有潜在竞标人。</w:t>
      </w:r>
    </w:p>
    <w:p>
      <w:pPr>
        <w:widowControl/>
        <w:spacing w:line="440" w:lineRule="exact"/>
        <w:ind w:firstLine="420"/>
        <w:jc w:val="left"/>
        <w:rPr>
          <w:rFonts w:ascii="Arial" w:hAnsi="Arial" w:cs="Arial"/>
          <w:b/>
          <w:color w:val="auto"/>
          <w:sz w:val="22"/>
          <w:szCs w:val="22"/>
          <w:highlight w:val="none"/>
        </w:rPr>
      </w:pPr>
      <w:r>
        <w:rPr>
          <w:rFonts w:ascii="Arial" w:hAnsi="Arial" w:cs="Arial"/>
          <w:b/>
          <w:color w:val="auto"/>
          <w:sz w:val="22"/>
          <w:szCs w:val="22"/>
          <w:highlight w:val="none"/>
        </w:rPr>
        <w:t>十</w:t>
      </w:r>
      <w:r>
        <w:rPr>
          <w:rFonts w:hint="eastAsia" w:ascii="Arial" w:hAnsi="Arial" w:cs="Arial"/>
          <w:b/>
          <w:color w:val="auto"/>
          <w:sz w:val="22"/>
          <w:szCs w:val="22"/>
          <w:highlight w:val="none"/>
          <w:lang w:val="en-US" w:eastAsia="zh-CN"/>
        </w:rPr>
        <w:t>二</w:t>
      </w:r>
      <w:r>
        <w:rPr>
          <w:rFonts w:ascii="Arial" w:hAnsi="Arial" w:cs="Arial"/>
          <w:b/>
          <w:color w:val="auto"/>
          <w:sz w:val="22"/>
          <w:szCs w:val="22"/>
          <w:highlight w:val="none"/>
        </w:rPr>
        <w:t>、</w:t>
      </w:r>
      <w:r>
        <w:rPr>
          <w:rFonts w:hint="eastAsia" w:ascii="Arial" w:hAnsi="Arial" w:cs="Arial"/>
          <w:b/>
          <w:color w:val="auto"/>
          <w:sz w:val="22"/>
          <w:szCs w:val="22"/>
          <w:highlight w:val="none"/>
        </w:rPr>
        <w:t>联系方式</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采购人：</w:t>
      </w:r>
      <w:r>
        <w:rPr>
          <w:rFonts w:hint="eastAsia" w:ascii="Arial" w:hAnsi="Arial" w:cs="Arial"/>
          <w:color w:val="auto"/>
          <w:sz w:val="22"/>
          <w:szCs w:val="22"/>
          <w:highlight w:val="none"/>
        </w:rPr>
        <w:t>宁波市鄞州区东钱湖镇人民政府</w:t>
      </w:r>
    </w:p>
    <w:p>
      <w:pPr>
        <w:spacing w:line="44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地址：</w:t>
      </w:r>
      <w:r>
        <w:rPr>
          <w:rFonts w:hint="eastAsia" w:ascii="Arial" w:hAnsi="Arial" w:cs="Arial"/>
          <w:color w:val="auto"/>
          <w:sz w:val="22"/>
          <w:szCs w:val="22"/>
          <w:highlight w:val="none"/>
        </w:rPr>
        <w:t>东钱湖镇</w:t>
      </w:r>
    </w:p>
    <w:p>
      <w:pPr>
        <w:spacing w:line="44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联系人：陶先生</w:t>
      </w:r>
    </w:p>
    <w:p>
      <w:pPr>
        <w:spacing w:line="44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联系电话：</w:t>
      </w:r>
      <w:r>
        <w:rPr>
          <w:rFonts w:ascii="Arial" w:hAnsi="Arial" w:cs="Arial"/>
          <w:color w:val="auto"/>
          <w:sz w:val="22"/>
          <w:szCs w:val="22"/>
          <w:highlight w:val="none"/>
        </w:rPr>
        <w:t>0574-</w:t>
      </w:r>
      <w:r>
        <w:rPr>
          <w:rFonts w:hint="eastAsia" w:ascii="Arial" w:hAnsi="Arial" w:cs="Arial"/>
          <w:color w:val="auto"/>
          <w:sz w:val="22"/>
          <w:szCs w:val="22"/>
          <w:highlight w:val="none"/>
          <w:lang w:val="en-US" w:eastAsia="zh-CN"/>
        </w:rPr>
        <w:t>88497538</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采购代理机构：宁波高专建设监理有限公司</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地址：宁波市鄞州区前河南路88号15楼01-06</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联系人：王芸、沈滋炜</w:t>
      </w:r>
    </w:p>
    <w:p>
      <w:pPr>
        <w:widowControl/>
        <w:spacing w:line="44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电话/传真：0574-87298497</w:t>
      </w:r>
    </w:p>
    <w:p>
      <w:pPr>
        <w:widowControl/>
        <w:spacing w:line="440" w:lineRule="exact"/>
        <w:ind w:firstLine="442" w:firstLineChars="200"/>
        <w:jc w:val="left"/>
        <w:rPr>
          <w:rFonts w:ascii="Arial" w:hAnsi="Arial" w:cs="Arial"/>
          <w:b/>
          <w:bCs/>
          <w:color w:val="auto"/>
          <w:sz w:val="22"/>
          <w:szCs w:val="22"/>
          <w:highlight w:val="none"/>
        </w:rPr>
      </w:pPr>
      <w:r>
        <w:rPr>
          <w:rFonts w:hint="eastAsia" w:ascii="Arial" w:hAnsi="Arial" w:cs="Arial"/>
          <w:b/>
          <w:bCs/>
          <w:color w:val="auto"/>
          <w:sz w:val="22"/>
          <w:szCs w:val="22"/>
          <w:highlight w:val="none"/>
        </w:rPr>
        <w:t>政府采购监督管理部门及投诉受理部门：宁波东钱湖旅游度假区政府采购管理办公室；</w:t>
      </w:r>
    </w:p>
    <w:p>
      <w:pPr>
        <w:widowControl/>
        <w:spacing w:line="440" w:lineRule="exact"/>
        <w:ind w:firstLine="442" w:firstLineChars="200"/>
        <w:jc w:val="left"/>
        <w:rPr>
          <w:rFonts w:ascii="Arial" w:hAnsi="Arial" w:cs="Arial"/>
          <w:color w:val="auto"/>
          <w:sz w:val="22"/>
          <w:szCs w:val="22"/>
          <w:highlight w:val="none"/>
        </w:rPr>
      </w:pPr>
      <w:r>
        <w:rPr>
          <w:rFonts w:hint="eastAsia" w:ascii="Arial" w:hAnsi="Arial" w:cs="Arial"/>
          <w:b/>
          <w:bCs/>
          <w:color w:val="auto"/>
          <w:sz w:val="22"/>
          <w:szCs w:val="22"/>
          <w:highlight w:val="none"/>
        </w:rPr>
        <w:t>联系电话：0574-89283710。</w:t>
      </w:r>
    </w:p>
    <w:p>
      <w:pPr>
        <w:pStyle w:val="2"/>
        <w:pageBreakBefore/>
        <w:numPr>
          <w:ilvl w:val="0"/>
          <w:numId w:val="2"/>
        </w:numPr>
        <w:adjustRightInd w:val="0"/>
        <w:spacing w:line="300" w:lineRule="auto"/>
        <w:textAlignment w:val="baseline"/>
        <w:rPr>
          <w:rFonts w:ascii="Arial" w:hAnsi="Arial" w:cs="Arial"/>
          <w:bCs w:val="0"/>
          <w:color w:val="auto"/>
          <w:kern w:val="2"/>
          <w:sz w:val="32"/>
          <w:szCs w:val="32"/>
          <w:highlight w:val="none"/>
        </w:rPr>
      </w:pPr>
      <w:bookmarkStart w:id="5" w:name="_Toc436330180"/>
      <w:r>
        <w:rPr>
          <w:rFonts w:ascii="Arial" w:hAnsi="Arial" w:cs="Arial"/>
          <w:bCs w:val="0"/>
          <w:color w:val="auto"/>
          <w:kern w:val="2"/>
          <w:sz w:val="32"/>
          <w:szCs w:val="32"/>
          <w:highlight w:val="none"/>
        </w:rPr>
        <w:t>招标</w:t>
      </w:r>
      <w:r>
        <w:rPr>
          <w:rFonts w:hint="eastAsia" w:ascii="Arial" w:hAnsi="Arial" w:cs="Arial"/>
          <w:bCs w:val="0"/>
          <w:color w:val="auto"/>
          <w:kern w:val="2"/>
          <w:sz w:val="32"/>
          <w:szCs w:val="32"/>
          <w:highlight w:val="none"/>
        </w:rPr>
        <w:t>采购</w:t>
      </w:r>
      <w:r>
        <w:rPr>
          <w:rFonts w:ascii="Arial" w:hAnsi="Arial" w:cs="Arial"/>
          <w:bCs w:val="0"/>
          <w:color w:val="auto"/>
          <w:kern w:val="2"/>
          <w:sz w:val="32"/>
          <w:szCs w:val="32"/>
          <w:highlight w:val="none"/>
        </w:rPr>
        <w:t>需求</w:t>
      </w:r>
      <w:bookmarkEnd w:id="5"/>
      <w:bookmarkStart w:id="6" w:name="_Toc317685547"/>
      <w:bookmarkStart w:id="7" w:name="_Toc436330182"/>
      <w:bookmarkStart w:id="8" w:name="_Toc436330181"/>
      <w:bookmarkStart w:id="9" w:name="_Toc304292171"/>
    </w:p>
    <w:bookmarkEnd w:id="6"/>
    <w:bookmarkEnd w:id="7"/>
    <w:bookmarkEnd w:id="8"/>
    <w:bookmarkEnd w:id="9"/>
    <w:p>
      <w:pPr>
        <w:adjustRightInd w:val="0"/>
        <w:snapToGrid w:val="0"/>
        <w:spacing w:before="160" w:line="400" w:lineRule="exact"/>
        <w:ind w:firstLine="442" w:firstLineChars="200"/>
        <w:outlineLvl w:val="1"/>
        <w:rPr>
          <w:rFonts w:ascii="Arial" w:hAnsi="Arial" w:cs="宋体"/>
          <w:b/>
          <w:color w:val="auto"/>
          <w:sz w:val="22"/>
          <w:szCs w:val="22"/>
          <w:highlight w:val="none"/>
          <w:lang w:bidi="ar"/>
        </w:rPr>
      </w:pPr>
      <w:bookmarkStart w:id="10" w:name="_Toc20303321"/>
      <w:bookmarkStart w:id="11" w:name="_Toc436330193"/>
      <w:r>
        <w:rPr>
          <w:rFonts w:hint="eastAsia" w:ascii="Arial" w:hAnsi="Arial" w:cs="宋体"/>
          <w:b/>
          <w:color w:val="auto"/>
          <w:sz w:val="22"/>
          <w:szCs w:val="22"/>
          <w:highlight w:val="none"/>
          <w:lang w:bidi="ar"/>
        </w:rPr>
        <w:t>一、</w:t>
      </w:r>
      <w:bookmarkEnd w:id="10"/>
      <w:bookmarkStart w:id="12" w:name="_Toc20303322"/>
      <w:r>
        <w:rPr>
          <w:rFonts w:hint="eastAsia" w:ascii="Arial" w:hAnsi="Arial" w:cs="宋体"/>
          <w:b/>
          <w:color w:val="auto"/>
          <w:sz w:val="22"/>
          <w:szCs w:val="22"/>
          <w:highlight w:val="none"/>
          <w:lang w:bidi="ar"/>
        </w:rPr>
        <w:t>采购清单</w:t>
      </w:r>
    </w:p>
    <w:tbl>
      <w:tblPr>
        <w:tblStyle w:val="44"/>
        <w:tblW w:w="7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2536"/>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村名</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电流保护器</w:t>
            </w:r>
            <w:r>
              <w:rPr>
                <w:rFonts w:hint="eastAsia" w:ascii="Arial" w:hAnsi="Arial" w:cs="Arial"/>
                <w:color w:val="auto"/>
                <w:sz w:val="22"/>
                <w:szCs w:val="22"/>
                <w:highlight w:val="none"/>
                <w:lang w:val="en-US" w:eastAsia="zh-CN"/>
              </w:rPr>
              <w:t>服务</w:t>
            </w:r>
            <w:r>
              <w:rPr>
                <w:rFonts w:hint="eastAsia" w:ascii="Arial" w:hAnsi="Arial" w:cs="Arial"/>
                <w:color w:val="auto"/>
                <w:sz w:val="22"/>
                <w:szCs w:val="22"/>
                <w:highlight w:val="none"/>
              </w:rPr>
              <w:t>总</w:t>
            </w:r>
            <w:r>
              <w:rPr>
                <w:rFonts w:hint="eastAsia" w:ascii="Arial" w:hAnsi="Arial" w:cs="Arial"/>
                <w:color w:val="auto"/>
                <w:sz w:val="22"/>
                <w:szCs w:val="22"/>
                <w:highlight w:val="none"/>
                <w:lang w:val="en-US" w:eastAsia="zh-CN"/>
              </w:rPr>
              <w:t>数量</w:t>
            </w:r>
          </w:p>
        </w:tc>
        <w:tc>
          <w:tcPr>
            <w:tcW w:w="2970"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城杨村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515只</w:t>
            </w:r>
          </w:p>
        </w:tc>
        <w:tc>
          <w:tcPr>
            <w:tcW w:w="2970" w:type="dxa"/>
            <w:vMerge w:val="restart"/>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单价最高限价：25元/只/年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殷湾村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1428只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俞塘村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794只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韩岭村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1036只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象坎村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280只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郭家峙村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755只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绿野村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438只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洋山村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297只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利民村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984只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陶公村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953只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莫枝村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1581只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东村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555只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西村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414只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前堰头村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746只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下王村</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979只</w:t>
            </w:r>
          </w:p>
        </w:tc>
        <w:tc>
          <w:tcPr>
            <w:tcW w:w="2970" w:type="dxa"/>
            <w:vMerge w:val="continue"/>
            <w:vAlign w:val="center"/>
          </w:tcPr>
          <w:p>
            <w:pPr>
              <w:widowControl/>
              <w:ind w:firstLine="440" w:firstLineChars="200"/>
              <w:jc w:val="center"/>
              <w:rPr>
                <w:rFonts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47"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合计</w:t>
            </w:r>
          </w:p>
        </w:tc>
        <w:tc>
          <w:tcPr>
            <w:tcW w:w="2536"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11755只</w:t>
            </w:r>
          </w:p>
        </w:tc>
        <w:tc>
          <w:tcPr>
            <w:tcW w:w="2970" w:type="dxa"/>
            <w:vAlign w:val="center"/>
          </w:tcPr>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293875元/年</w:t>
            </w:r>
          </w:p>
          <w:p>
            <w:pPr>
              <w:widowControl/>
              <w:jc w:val="center"/>
              <w:rPr>
                <w:rFonts w:ascii="Arial" w:hAnsi="Arial" w:cs="Arial"/>
                <w:color w:val="auto"/>
                <w:sz w:val="22"/>
                <w:szCs w:val="22"/>
                <w:highlight w:val="none"/>
              </w:rPr>
            </w:pPr>
            <w:r>
              <w:rPr>
                <w:rFonts w:hint="eastAsia" w:ascii="Arial" w:hAnsi="Arial" w:cs="Arial"/>
                <w:color w:val="auto"/>
                <w:sz w:val="22"/>
                <w:szCs w:val="22"/>
                <w:highlight w:val="none"/>
              </w:rPr>
              <w:t>（881625元/3年）</w:t>
            </w:r>
          </w:p>
        </w:tc>
      </w:tr>
    </w:tbl>
    <w:p>
      <w:pPr>
        <w:adjustRightInd w:val="0"/>
        <w:snapToGrid w:val="0"/>
        <w:spacing w:line="360" w:lineRule="auto"/>
        <w:outlineLvl w:val="1"/>
        <w:rPr>
          <w:rFonts w:ascii="Arial" w:hAnsi="Arial" w:cs="宋体"/>
          <w:b/>
          <w:color w:val="auto"/>
          <w:sz w:val="22"/>
          <w:szCs w:val="22"/>
          <w:highlight w:val="none"/>
          <w:lang w:bidi="ar"/>
        </w:rPr>
      </w:pPr>
    </w:p>
    <w:p>
      <w:pPr>
        <w:adjustRightInd w:val="0"/>
        <w:snapToGrid w:val="0"/>
        <w:spacing w:line="410" w:lineRule="exact"/>
        <w:ind w:firstLine="442" w:firstLineChars="200"/>
        <w:outlineLvl w:val="1"/>
        <w:rPr>
          <w:rFonts w:ascii="Arial" w:hAnsi="Arial" w:cs="Arial"/>
          <w:color w:val="auto"/>
          <w:sz w:val="22"/>
          <w:szCs w:val="22"/>
          <w:highlight w:val="none"/>
        </w:rPr>
      </w:pPr>
      <w:r>
        <w:rPr>
          <w:rFonts w:hint="eastAsia" w:ascii="Arial" w:hAnsi="Arial" w:cs="Arial"/>
          <w:b/>
          <w:color w:val="auto"/>
          <w:sz w:val="22"/>
          <w:szCs w:val="22"/>
          <w:highlight w:val="none"/>
        </w:rPr>
        <w:t>二、服务范围：</w:t>
      </w:r>
      <w:r>
        <w:rPr>
          <w:rFonts w:hint="eastAsia" w:ascii="Arial" w:hAnsi="Arial" w:cs="Arial"/>
          <w:color w:val="auto"/>
          <w:sz w:val="22"/>
          <w:szCs w:val="22"/>
          <w:highlight w:val="none"/>
        </w:rPr>
        <w:t>中标人需承担合同期内的东钱湖镇农村剩余电流动作保护器表后电力维护服务，根据 2019年统计的东钱湖镇辖区范围内农村居民家庭漏电保护器</w:t>
      </w:r>
      <w:r>
        <w:rPr>
          <w:rFonts w:hint="eastAsia" w:ascii="Arial" w:hAnsi="Arial" w:cs="Arial"/>
          <w:color w:val="auto"/>
          <w:sz w:val="22"/>
          <w:szCs w:val="22"/>
          <w:highlight w:val="none"/>
          <w:lang w:val="en-US" w:eastAsia="zh-CN"/>
        </w:rPr>
        <w:t>服务</w:t>
      </w:r>
      <w:r>
        <w:rPr>
          <w:rFonts w:hint="eastAsia" w:ascii="Arial" w:hAnsi="Arial" w:cs="Arial"/>
          <w:color w:val="auto"/>
          <w:sz w:val="22"/>
          <w:szCs w:val="22"/>
          <w:highlight w:val="none"/>
        </w:rPr>
        <w:t>数量约11755只。</w:t>
      </w:r>
    </w:p>
    <w:p>
      <w:pPr>
        <w:spacing w:line="410" w:lineRule="exact"/>
        <w:ind w:firstLine="442" w:firstLineChars="200"/>
        <w:rPr>
          <w:rFonts w:ascii="Arial" w:hAnsi="Arial" w:cs="Arial"/>
          <w:b/>
          <w:color w:val="auto"/>
          <w:sz w:val="22"/>
          <w:szCs w:val="22"/>
          <w:highlight w:val="none"/>
        </w:rPr>
      </w:pPr>
      <w:r>
        <w:rPr>
          <w:rFonts w:hint="eastAsia" w:ascii="Arial" w:hAnsi="Arial" w:cs="Arial"/>
          <w:b/>
          <w:color w:val="auto"/>
          <w:sz w:val="22"/>
          <w:szCs w:val="22"/>
          <w:highlight w:val="none"/>
        </w:rPr>
        <w:t>三、采购要求：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w:t>
      </w:r>
      <w:r>
        <w:rPr>
          <w:rFonts w:hint="eastAsia" w:ascii="Arial" w:hAnsi="Arial" w:cs="Arial"/>
          <w:color w:val="auto"/>
          <w:sz w:val="22"/>
          <w:szCs w:val="22"/>
          <w:highlight w:val="none"/>
          <w:lang w:val="en-US" w:eastAsia="zh-CN"/>
        </w:rPr>
        <w:t>中标</w:t>
      </w:r>
      <w:r>
        <w:rPr>
          <w:rFonts w:hint="eastAsia" w:ascii="Arial" w:hAnsi="Arial" w:cs="Arial"/>
          <w:color w:val="auto"/>
          <w:sz w:val="22"/>
          <w:szCs w:val="22"/>
          <w:highlight w:val="none"/>
        </w:rPr>
        <w:t>人</w:t>
      </w:r>
      <w:r>
        <w:rPr>
          <w:rFonts w:hint="eastAsia" w:ascii="Arial" w:hAnsi="Arial" w:cs="Arial"/>
          <w:color w:val="auto"/>
          <w:sz w:val="22"/>
          <w:szCs w:val="22"/>
          <w:highlight w:val="none"/>
          <w:lang w:val="en-US" w:eastAsia="zh-CN"/>
        </w:rPr>
        <w:t>应</w:t>
      </w:r>
      <w:r>
        <w:rPr>
          <w:rFonts w:hint="eastAsia" w:ascii="Arial" w:hAnsi="Arial" w:cs="Arial"/>
          <w:color w:val="auto"/>
          <w:sz w:val="22"/>
          <w:szCs w:val="22"/>
          <w:highlight w:val="none"/>
        </w:rPr>
        <w:t>成立的服务场所不得小于 60 平方米，需配置零配件及耗材仓库。</w:t>
      </w:r>
    </w:p>
    <w:p>
      <w:pPr>
        <w:spacing w:line="410" w:lineRule="exact"/>
        <w:rPr>
          <w:rFonts w:hint="eastAsia" w:ascii="Arial" w:hAnsi="Arial" w:cs="Arial"/>
          <w:color w:val="auto"/>
          <w:sz w:val="22"/>
          <w:szCs w:val="22"/>
          <w:highlight w:val="none"/>
          <w:lang w:val="en-US" w:eastAsia="zh-CN"/>
        </w:rPr>
      </w:pPr>
      <w:r>
        <w:rPr>
          <w:rFonts w:hint="eastAsia" w:ascii="Arial" w:hAnsi="Arial" w:cs="Arial"/>
          <w:color w:val="auto"/>
          <w:sz w:val="22"/>
          <w:szCs w:val="22"/>
          <w:highlight w:val="none"/>
        </w:rPr>
        <w:t>需设有 24 小时 值班室，</w:t>
      </w:r>
      <w:r>
        <w:rPr>
          <w:rFonts w:hint="eastAsia" w:ascii="Arial" w:hAnsi="Arial" w:cs="Arial"/>
          <w:color w:val="auto"/>
          <w:sz w:val="22"/>
          <w:szCs w:val="22"/>
          <w:highlight w:val="none"/>
          <w:lang w:val="en-US" w:eastAsia="zh-CN"/>
        </w:rPr>
        <w:t>且设立24小时服务电话并在全镇范围内广泛公布</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lang w:val="en-US" w:eastAsia="zh-CN"/>
        </w:rPr>
        <w:t>出现故障时，应在1小时内到达现场。</w:t>
      </w:r>
    </w:p>
    <w:p>
      <w:pPr>
        <w:spacing w:line="410" w:lineRule="exact"/>
        <w:rPr>
          <w:rFonts w:hint="eastAsia" w:ascii="Arial" w:hAnsi="Arial" w:cs="Arial"/>
          <w:color w:val="auto"/>
          <w:sz w:val="22"/>
          <w:szCs w:val="22"/>
          <w:highlight w:val="none"/>
          <w:lang w:val="en-US" w:eastAsia="zh-CN"/>
        </w:rPr>
      </w:pPr>
      <w:r>
        <w:rPr>
          <w:rFonts w:hint="eastAsia" w:ascii="Arial" w:hAnsi="Arial" w:cs="Arial"/>
          <w:color w:val="auto"/>
          <w:sz w:val="22"/>
          <w:szCs w:val="22"/>
          <w:highlight w:val="none"/>
          <w:lang w:val="en-US" w:eastAsia="zh-CN"/>
        </w:rPr>
        <w:t xml:space="preserve">    2、中标</w:t>
      </w:r>
      <w:r>
        <w:rPr>
          <w:rFonts w:hint="eastAsia" w:ascii="Arial" w:hAnsi="Arial" w:cs="Arial"/>
          <w:color w:val="auto"/>
          <w:sz w:val="22"/>
          <w:szCs w:val="22"/>
          <w:highlight w:val="none"/>
        </w:rPr>
        <w:t>人</w:t>
      </w:r>
      <w:r>
        <w:rPr>
          <w:rFonts w:hint="eastAsia" w:ascii="Arial" w:hAnsi="Arial" w:cs="Arial"/>
          <w:color w:val="auto"/>
          <w:sz w:val="22"/>
          <w:szCs w:val="22"/>
          <w:highlight w:val="none"/>
          <w:lang w:val="en-US" w:eastAsia="zh-CN"/>
        </w:rPr>
        <w:t>负责指导农村居民及保护器定期试跳，至少每半年进行一次安全检查。</w:t>
      </w:r>
    </w:p>
    <w:p>
      <w:pPr>
        <w:spacing w:line="410" w:lineRule="exact"/>
        <w:rPr>
          <w:rFonts w:ascii="Arial" w:hAnsi="Arial" w:cs="Arial"/>
          <w:color w:val="auto"/>
          <w:sz w:val="22"/>
          <w:szCs w:val="22"/>
          <w:highlight w:val="none"/>
        </w:rPr>
      </w:pPr>
      <w:r>
        <w:rPr>
          <w:rFonts w:hint="eastAsia" w:ascii="Arial" w:hAnsi="Arial" w:cs="Arial"/>
          <w:color w:val="auto"/>
          <w:sz w:val="22"/>
          <w:szCs w:val="22"/>
          <w:highlight w:val="none"/>
          <w:lang w:val="en-US" w:eastAsia="zh-CN"/>
        </w:rPr>
        <w:t xml:space="preserve">    3</w:t>
      </w:r>
      <w:r>
        <w:rPr>
          <w:rFonts w:hint="eastAsia" w:ascii="Arial" w:hAnsi="Arial" w:cs="Arial"/>
          <w:color w:val="auto"/>
          <w:sz w:val="22"/>
          <w:szCs w:val="22"/>
          <w:highlight w:val="none"/>
        </w:rPr>
        <w:t>、中标人需根据本项目作业要求按要求配置作业人员及相应的作业设备（包括</w:t>
      </w:r>
      <w:r>
        <w:rPr>
          <w:rFonts w:hint="eastAsia" w:ascii="Arial" w:hAnsi="Arial" w:cs="Arial"/>
          <w:color w:val="auto"/>
          <w:sz w:val="22"/>
          <w:szCs w:val="22"/>
          <w:highlight w:val="none"/>
          <w:lang w:val="en-US" w:eastAsia="zh-CN"/>
        </w:rPr>
        <w:t>车辆、</w:t>
      </w:r>
      <w:r>
        <w:rPr>
          <w:rFonts w:hint="eastAsia" w:ascii="Arial" w:hAnsi="Arial" w:cs="Arial"/>
          <w:color w:val="auto"/>
          <w:sz w:val="22"/>
          <w:szCs w:val="22"/>
          <w:highlight w:val="none"/>
        </w:rPr>
        <w:t>工具</w:t>
      </w:r>
      <w:r>
        <w:rPr>
          <w:rFonts w:hint="eastAsia" w:ascii="Arial" w:hAnsi="Arial" w:cs="Arial"/>
          <w:color w:val="auto"/>
          <w:sz w:val="22"/>
          <w:szCs w:val="22"/>
          <w:highlight w:val="none"/>
          <w:lang w:val="en-US" w:eastAsia="zh-CN"/>
        </w:rPr>
        <w:t>等</w:t>
      </w:r>
      <w:r>
        <w:rPr>
          <w:rFonts w:hint="eastAsia" w:ascii="Arial" w:hAnsi="Arial" w:cs="Arial"/>
          <w:color w:val="auto"/>
          <w:sz w:val="22"/>
          <w:szCs w:val="22"/>
          <w:highlight w:val="none"/>
        </w:rPr>
        <w:t>），设备使用过程中产生的费用、 人工费、配置的相关设施、仓库等所产生的费用均由中标人承担。拟配置的作业人员</w:t>
      </w:r>
      <w:r>
        <w:rPr>
          <w:rFonts w:hint="eastAsia" w:ascii="Arial" w:hAnsi="Arial" w:cs="Arial"/>
          <w:color w:val="auto"/>
          <w:sz w:val="22"/>
          <w:szCs w:val="22"/>
          <w:highlight w:val="none"/>
          <w:lang w:val="en-US" w:eastAsia="zh-CN"/>
        </w:rPr>
        <w:t>需提交上岗证的专业服务人员名单（</w:t>
      </w:r>
      <w:r>
        <w:rPr>
          <w:rFonts w:hint="eastAsia" w:ascii="Arial" w:hAnsi="Arial" w:cs="Arial"/>
          <w:color w:val="auto"/>
          <w:sz w:val="22"/>
          <w:szCs w:val="22"/>
          <w:highlight w:val="none"/>
        </w:rPr>
        <w:t>需具有电工证上岗证书，特种作业人需具有特种作业人员操作证</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rPr>
        <w:t>。人员的配置需按不低于 2000 户/人（以电表为准）标准配置，人工费用由中标人承担。</w:t>
      </w:r>
      <w:r>
        <w:rPr>
          <w:rFonts w:hint="eastAsia" w:ascii="Arial" w:hAnsi="Arial" w:cs="Arial"/>
          <w:color w:val="auto"/>
          <w:sz w:val="22"/>
          <w:szCs w:val="22"/>
          <w:highlight w:val="none"/>
          <w:lang w:val="en-US" w:eastAsia="zh-CN"/>
        </w:rPr>
        <w:t>中标人对于一线操作员工应购买相关保险，费用由中标人支付。</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lang w:val="en-US" w:eastAsia="zh-CN"/>
        </w:rPr>
        <w:t>4</w:t>
      </w:r>
      <w:r>
        <w:rPr>
          <w:rFonts w:hint="eastAsia" w:ascii="Arial" w:hAnsi="Arial" w:cs="Arial"/>
          <w:color w:val="auto"/>
          <w:sz w:val="22"/>
          <w:szCs w:val="22"/>
          <w:highlight w:val="none"/>
        </w:rPr>
        <w:t>、作业要求：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4.1 安全管理考核要求：合同履行期间，投标人应严格落实各项安全措施，执行供电部门的各项安全规定，配备足够、合格的防坠、防触电等安全 防护用具。施工人员必须经培训合格后方可上岗，并按照《电力安全工作规程》的规定着装，使用合格的绝缘工器具。投标人在合同履行期间的安全管理应以实现人身伤亡“零事故”为目标，同时严格执行建设部建办[2005]89号文关于《建筑工程安全防护、文明施工措施费用及使用管理规定》，并保证不发生以下几种事故：1）不发生人身重伤及以上事故；2） 不发生机械设备事故；3）不发生负同等及以上责任的一般交通事故；4）不发生火灾事故；5）不发生环境污染事故；6）不发生因工程建设而造成的停电事故。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采购人将不定期对施工现场进行检查监督，对发生下列不安全行为的，处以如下违约罚款：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（1）进入施工现场不戴安全帽或不规范着装，每发现一人次扣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（2）高空作业不系安全带，每发现一人次扣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（3）高空随意抛物，每次扣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（4）安全隔离网、安全隔离护栏等安全设施不符合规范要求，每次扣 200 元；</w:t>
      </w:r>
    </w:p>
    <w:p>
      <w:pPr>
        <w:spacing w:line="410" w:lineRule="exact"/>
        <w:ind w:left="441" w:leftChars="210"/>
        <w:rPr>
          <w:rFonts w:ascii="Arial" w:hAnsi="Arial" w:cs="Arial"/>
          <w:color w:val="auto"/>
          <w:sz w:val="22"/>
          <w:szCs w:val="22"/>
          <w:highlight w:val="none"/>
        </w:rPr>
      </w:pPr>
      <w:r>
        <w:rPr>
          <w:rFonts w:hint="eastAsia" w:ascii="Arial" w:hAnsi="Arial" w:cs="Arial"/>
          <w:color w:val="auto"/>
          <w:sz w:val="22"/>
          <w:szCs w:val="22"/>
          <w:highlight w:val="none"/>
        </w:rPr>
        <w:t>（5）无证乱接施工电源，配电箱不安装触电保护器或失效，使用铜丝等替代保险</w:t>
      </w:r>
    </w:p>
    <w:p>
      <w:pPr>
        <w:spacing w:line="410" w:lineRule="exact"/>
        <w:rPr>
          <w:rFonts w:ascii="Arial" w:hAnsi="Arial" w:cs="Arial"/>
          <w:color w:val="auto"/>
          <w:sz w:val="22"/>
          <w:szCs w:val="22"/>
          <w:highlight w:val="none"/>
        </w:rPr>
      </w:pPr>
      <w:r>
        <w:rPr>
          <w:rFonts w:hint="eastAsia" w:ascii="Arial" w:hAnsi="Arial" w:cs="Arial"/>
          <w:color w:val="auto"/>
          <w:sz w:val="22"/>
          <w:szCs w:val="22"/>
          <w:highlight w:val="none"/>
        </w:rPr>
        <w:t>丝，未对配电箱、电动工器具等进行定 期检查、试验并记录等，每次扣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（6）不按规定办理工作票、施工作业票、危险点预控卡、不按施工作业指导书施工，每次扣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（7）施工现场孔洞无盖板、高空平台作业处边缘无栏杆等无防摔跌等保护措施，每次扣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（8）施工前不进行安全交底，每次扣 500 元，交底不签字，每人次扣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（9）收到事故隐患通知单后，不按期整改，每次扣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（10）不按规定组织安全检查，不及时上报安全检查情况，每次扣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（11）不按“四不放过”原则处理恶性未遂事故，不及时上报事故报告或隐瞒事故，每次扣 1000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（12）施工道路上堆放物品或占用道路，设备材料未定置存放，每次扣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（13）车辆不按规定乱停放（包括施工车辆、自行车、人力车），每次扣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（14）职工（包括民工）未经安全教育而参加施工，每次扣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（15）违反消防治安管理条例，消防措施未到位等，每次扣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（16）未做好成品保护工作，每次扣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（17）违反安全规定，进行野蛮冒险作业的第一次发现当即处以 500 元违约款。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（18）乙方进行野蛮作业虽经签发整改书，但仍未按要求整改的，每发现一次处以 3000-5000 元违约款；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（19）违反其他安全文明规定，酌情处罚；当上述违纪现象多次重复出现或情节特别严重的将处以 300—5000 元惩罚性违 约款。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（20）对作业安全存在事故隐患的，经一次整改仍不符合要求的，采购人有权终止合同。 对于其他未提及事项，将按照国网宁波供电公司安全管理有关规定以及《营销计量项目外施单位考核管理办法（试行）》 进行考核。</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 过程管理考核要求：采购人将严格按照《宁波电业局营销计量项目外施单位考核管理办法（试行）》的有关要求，对中标人进行过程管理与考核（详见附件）。</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4.2.1 投标人开工前须向采购人进行书面开工申请，经审核同意后方可施工，严禁未经批准私自开工。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4.2.2 合同履行期间，投标人不得未经采购人审核批准，擅自修改施工方案。确需修改的，一般应在施工前 3 天报项目管理 单位审批。</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4.2.3 合同履行期间，投标方应配合采购人规范做好“换表预先告知制”、“施工预先告知制”和“施工现场工完场清制”， 并提前做好客户告知、解释等工作，及时化解项目实施过程中的各类服务投诉事件。对需停电安装用户，应按停限电管理 办法的规定程序通知用户。</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4.2.4 合同履行期间，投标人应协助采购人做好采集系统建设前期台区与用户关系核对、前期资料整理与后期系统流程录入、 营销系统数据核对及竣工资料整理与编制等相关配合工作，一般要求后台常驻人员维持在 2-3 人（人员需责任心强，计算 机运用熟练）。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4.2.5 投标人在合同履行期间应根据《电力安全工作规程》等规程、规定要求，规范做好相关安全措施（保证作业安全和施 工质量的组织措施和技术措施等），防范安全作业风险。</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4.2.6 投标人应严格执行采购人有关甲供物资的领退管理规定，不得违规变卖、盗用或恶意毁损甲方物资（含通讯 SIM 卡）。 发生上述事件时，中标人应计价赔偿；对情节严重者，采购人有权终止合同，并报相关主管部门追究其相应的法律责任。</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4.2.7 投标人应按照相关技术标准、规范施工，倾力提高施工人员服务技能，确保工程质量优良。当服务质量存在批量质量 隐患时，应停工整顿，经采购人确认整改合格后方可予以复工。对因投标人操作不规范、接线不正确等不当作业引起的计 量差错、设备损坏以及运行异常等事件，投标人除负责实际赔偿外，还应承担因此引起的其他损失。</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4.3 采集数据完整率考核要求：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在采集终端、智能表安装施工完成后，投标方应在施工结束后 3 天内进行自验收，自验收要求抄表成功率无线不低于 99.5%、 载波不低于 99%，否则应视为自验收不合格。自验收完成后应出具自验收报告，对于自验收不合格的，应在 1 天内予以返工修复。具体考核要求按照国网宁波供电公司《营销计量项目外施单位考核管理 办法（试行）》执行。</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4.4 质量考核要求：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4.4.1 投标人在合同履行期间中应严格执行有关规章制度，包括省公司浙电营字[2012]105  号《关于进一步电能表申校及换 装服务行为的通知》，Q/GDW-11-295-2011《电能计量装置安装接线工艺标准》，Q/GDW-11-151-2009《装表接电工作标准》， 浙电营字〔2013〕35 号《电力营销一线员工作业一本通》“装表接电”部分，《浙江省电力公司用电信息采集系统现场安装 作业规范》、《浙江省电力公司用电信息采集系统（载波）安装调试规范（试行）》、《浙江省低压电力用户用电信息采集系 统施工验收标准（试行）》等。</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4.4.2 采集系统现场安装主要包括采集箱、采集终端等设备的安装、电能表更换、485  通讯线缆的敷设、连接以及其他附属 设备安装等。采集终端设备安装、调试及各项功能应满足《浙江省电力公司用电信息采集系统现场安装作业规范》、《浙江 省电力公司用电信息采集系统（载波）安装调试规范（试行）》、《浙江省低压电力用户用电信息采集系统施工验收标准（试 行）》等规范要求：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（一）、无线采集模式安装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 外置采集箱安装高度符合要求，位置应避开烟道出风口，不妨碍行人和车辆正常通行；根据周边环境，采用合理的方 式固定于墙面或其他合适的位置，有利于无线通讯和维护检查。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2、采集终端安装必须按图施工，接线正确，电气连接可靠，接触良好；配线整齐美观，导线无损伤，线头导体无外露， 绝缘良好。安装位置选择合理，安装牢固不松动。</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 电能表按图正确接线，安装垂直牢固，电气连接可靠，配线整齐美观，导线无损伤、绝缘良好。</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 485 线缆选择符合项目技术要求，电表和采集器的 485 口接线方式正确。线缆敷设路径符合相关技术规定，转角处满 足转弯半径要求，屏蔽电缆单端接地；表箱内绞线固定方式合理。不同楼道（单元）连接的电缆二端，装设标志牌或其他 标志，标志牌或其他标志的字迹清晰且不宜脱落。</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 电缆管（PVC 管）安装平直牢固、排列整齐，管子弯曲处，无明显折皱、凹扁等现象。管与管之间采用套管连接时， 套管长度宜为管外径的 1.5 倍～3 倍。</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6、 采集终端与主站通讯测试正常。</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7、 孔洞应封堵良好，工器件无遗留；安装工艺质量符合有关标准要求。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（二）、载波采集模式安装 集中器安装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1、集中器原则上安装在配变台区总电能表箱（柜）处。当计量箱（柜）处通讯质量较差时或安装位置不足等其他原因时， 应另安装集中器表箱，集中器、联合接线盒安装在该表箱内。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2、集中器电源线参照三相电能表安装线材取材。原则上，电源取自电能表联合接线盒，按电压 A、B、C、N 相序，导线 相色按黄、绿、红、黑接入集中器接线桩。对于只有一台变压器的台区，如果联合接线盒处无线信号不能满足要求，可选 择适当位置安装，电源取自低压母线或主干线。</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3、集中器天线应固定安装，必要时天线可伸出箱体，确保通讯信号良好。 采集器安装：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1）载波采集器宜安装在电能表箱内，并固定在导轨上，用户表箱安装位置不足时，宜采用外置采集箱，采集器安装在该 采集箱内。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2）采集器电源宜通过熔断器（或开关）与表箱进线开关下桩头火线与零线连接。采集器通过 RS-485 总线同低压电能 表 RS-485 连接，所有电能表和采集器的 RS-485 口宜采用串接方式。</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3）同一个台区内所有采集器、集中器必须为同厂家同芯片，不同厂家不同芯片不得混用。</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（三）采集箱安装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1、集中器安装地点应有利于无线通信，且便于维护检查。对于明装表箱，采集箱安装位置应尽量靠近表箱；采集箱箱底 离地面或台阶的垂直距离宜不小于 2.5m。对由于现场实际不能满足条件的，应做好采集箱的防触电措施（同类建筑，采集 器的箱内安装位置应统一）。若为铁制采集箱，箱体及其附件应可靠接地。</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2、表箱与表箱间连接导线，须通过 PVC 管或线槽进行铺设，PVC 管或线槽交叉、丁字、十字应采用二通、三通、四通进 行连接。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3、强、弱电通道不得合用管道、线槽，强、弱电通道距离应宜不小于 0.1m，并与其他弱电线路应有有效的分隔措施；通 道与地面的最小距离宜不小于 2.7m。</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（四）RS-485 线的安装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1、RS-485 线宜采用 BV-0.3 及以上的单芯双绞线作为计量电能表 RS-485 接口间的连接线，特征阻抗 120 欧姆。</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2、双绞线的敷设，做到横平竖直，无交叉，双绞线弯曲半径不小于线芯直径的 20 倍；多根双绞线须扎紧，无明显松动现 象；双绞线应采用线卡或螺钉固定在表箱背板上；除末端表外，连接其余电能表时，剥去合适的绝缘长度后，线芯导体绞 接后与对应的端子连接；双绞线应尽可能远离电能表进出线，以减少电源进出线对通信的干扰，并防止一次回路串入通讯 回路。</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（五）电能表更换与安装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1、电能表安装应垂直，牢固可靠，电能表倾斜度要小于 1 度。</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2、安装完成后，电能表通电检查正常（含与采集器），不得存在缺相、逆相序等情况。</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3、电能表端钮盖应加封完备；</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4、相邻单相电能表，垂直中心距应不小于 250mm，水平中心距应不小于 150mm 或侧面水平距离应不小于 30mm；电能 表外侧距箱壁不小于 60mm 。</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5、每只电能表轮换、表箱改造和每处采集系统建设施工均应在施工前后进行拍照存档并及时提交。</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2.4.3 计量箱改造主要包括电能计量箱的更换与安装、相关附属线路的重新敷设和连接以及其他附属设备的安装等。计量箱 及其附属线路的改造应满足 Q/GDW-11-295-2011《电能计量装置安装接线工艺标准》，Q/GDW-11-151-2009《装表接电工作 标准》，浙电营字〔2013〕35 号《电力营销一线员工作业一本通》“装表接电”部分等规范的要求：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1、计量箱安装高度符合要求，计量箱观察窗中心线宜距安装地面 1.8 米左右，位置应避开烟道出风口，不妨碍行人和车辆 正常通行；根据周边环境，采用合理的方式固定于墙面或其他合适的位置，有利于无线通讯和对箱内设备的维护检查。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2、计量箱安装应垂直牢固，垂直度允许偏差应保证在 1.5‰以内；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3、计量箱安装必须按图施工，接线正确，电气连接可靠，接触良好；箱内配线整齐美观，导线无损伤，线头导体无 外露，绝缘良好。安装位置选择合理，安装牢固不松动。</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4、计量箱外连接电缆应排列整齐，固定可靠，无机械损伤；进出线开孔与导管管径适配，箱内电缆头无外漏；线缆 接入端子处松紧适度，轻轻拉动不脱落。</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5、计量箱内不同电压等级、交流、直流线路及强弱电间导线应分别绑扎，且有标识。</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6、金属箱箱体应可靠接地，标识清晰；</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7、装有电器的可开启门，门和框架的接地端子间应用裸编织铜线连接。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8、计量箱箱门的开闭应灵活，开启角度不小于 90 度；</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9、计量箱更换和安装完毕后，相关孔洞应封堵良好，工器件无遗留；安装工艺质量符合有关标准要求。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2.4.4 质量相关考核要求按照国网宁波供电公司《营销计量项目外施单位考核管理办法（试行）》执行。</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 验收管理考核要求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4.5.1 投标人应在开展作业时同步开展相关资料编制工作，相关资料应完整、准确，且能全面正确反映作业过程的实际情况。 相关资料的所有线条、字迹、图表、数据等必须工整、清楚、干净、无涂改，标注、签证等需完整，并按规定装订成册； 投标人应在申请服务验收时，向采购人同步提交相关资料。</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4.5.2 采购人对服务质量进行验收。对验收发现的质量缺陷或问题，中标人应在 7 个工作日内整改完成。对施工缺陷较多、 范围较广的内容，无法在规定期限内整改完毕的，应事先征得采购人同意后，方可予以延期。</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4.5.3 对验收管理各项工作的考核按照《国网宁波供电公司营销计量项目外施单位考核管理办法（试行）》的有关要求。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4.6 其他要求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4.6.1 新建台区需确保台区全覆盖率达到 100%，每台无线采集器平均接入户数不少于 10 户。每减少 1 户，扣减年度服务经 费金额的 1%。</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4.6.2 合同履行期间，在采购人内网电脑或中标人自带但接入采购人内网的电脑进行操作，应严格遵守《国网宁波供电公司 信息内网使用准则》。若发生一次违规外联事件，按合同价款 10%处以违约金，并依次翻倍，最高不超过合同价款的 50%。</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 违约、索赔和争议</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4.7.1  履约保证金为</w:t>
      </w:r>
      <w:r>
        <w:rPr>
          <w:rFonts w:hint="eastAsia" w:ascii="Arial" w:hAnsi="Arial" w:cs="Arial"/>
          <w:b/>
          <w:color w:val="auto"/>
          <w:sz w:val="22"/>
          <w:szCs w:val="22"/>
          <w:highlight w:val="none"/>
          <w:u w:val="single"/>
        </w:rPr>
        <w:t>合同总价的 5%。</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4.7.2 中标人的服务质量经采购人或相关主管部门验收，每出现一次不能达到合格的，中标人应无条件返工，并承担由此引 起的一切责任和给采购人造成的经济损失，并扣除每月服务经费的 2％。承包人被相关主管部门每通报批评一次，扣罚人 民币 2000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4.7.3  中标人应严格执行建设部建办[2005]89  号文关于《建筑工程安全防护、文明施工措施费用及使用管理规定》和国家 电网《电力安全工作规程》。</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4.7.4 未按采购人要求，派驻后台常驻人员 2-3 人协助招标方做好采集系统建设前期台区与用户关系核对、前期资料整理 与后期系统流程录入、营销系统数据核对及竣工资料整理与编制等相关配合工作的按扣罚一年度服务经费的 3%。</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4.7.5 作业过程中发生的材料、设备、操作等施工质量事故和人身伤亡事故等，均由中标人负责，采购人不负任何责任。合 同履行期间中标人须依法办理好施工人员人身意外伤亡保险。</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4.8 甲供材料清单：采集终端、智能电能表、电能计量箱、外置采集箱、布电线、低压电力电缆、低压开关、漏电保护器 等。</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5、费用的支付：</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（1）根据考核情况，</w:t>
      </w:r>
      <w:r>
        <w:rPr>
          <w:rFonts w:hint="eastAsia" w:ascii="Arial" w:hAnsi="Arial" w:cs="Arial"/>
          <w:color w:val="auto"/>
          <w:sz w:val="22"/>
          <w:szCs w:val="22"/>
          <w:highlight w:val="none"/>
          <w:lang w:val="en-US" w:eastAsia="zh-CN"/>
        </w:rPr>
        <w:t>每半年</w:t>
      </w:r>
      <w:r>
        <w:rPr>
          <w:rFonts w:hint="eastAsia" w:ascii="Arial" w:hAnsi="Arial" w:cs="Arial"/>
          <w:color w:val="auto"/>
          <w:sz w:val="22"/>
          <w:szCs w:val="22"/>
          <w:highlight w:val="none"/>
        </w:rPr>
        <w:t>支付</w:t>
      </w:r>
      <w:r>
        <w:rPr>
          <w:rFonts w:hint="eastAsia" w:ascii="Arial" w:hAnsi="Arial" w:cs="Arial"/>
          <w:color w:val="auto"/>
          <w:sz w:val="22"/>
          <w:szCs w:val="22"/>
          <w:highlight w:val="none"/>
          <w:lang w:val="en-US" w:eastAsia="zh-CN"/>
        </w:rPr>
        <w:t>一次</w:t>
      </w:r>
      <w:r>
        <w:rPr>
          <w:rFonts w:hint="eastAsia" w:ascii="Arial" w:hAnsi="Arial" w:cs="Arial"/>
          <w:color w:val="auto"/>
          <w:sz w:val="22"/>
          <w:szCs w:val="22"/>
          <w:highlight w:val="none"/>
        </w:rPr>
        <w:t>，每</w:t>
      </w:r>
      <w:r>
        <w:rPr>
          <w:rFonts w:hint="eastAsia" w:ascii="Arial" w:hAnsi="Arial" w:cs="Arial"/>
          <w:color w:val="auto"/>
          <w:sz w:val="22"/>
          <w:szCs w:val="22"/>
          <w:highlight w:val="none"/>
          <w:lang w:val="en-US" w:eastAsia="zh-CN"/>
        </w:rPr>
        <w:t>半年</w:t>
      </w:r>
      <w:r>
        <w:rPr>
          <w:rFonts w:hint="eastAsia" w:ascii="Arial" w:hAnsi="Arial" w:cs="Arial"/>
          <w:color w:val="auto"/>
          <w:sz w:val="22"/>
          <w:szCs w:val="22"/>
          <w:highlight w:val="none"/>
        </w:rPr>
        <w:t>支付本</w:t>
      </w:r>
      <w:r>
        <w:rPr>
          <w:rFonts w:hint="eastAsia" w:ascii="Arial" w:hAnsi="Arial" w:cs="Arial"/>
          <w:color w:val="auto"/>
          <w:sz w:val="22"/>
          <w:szCs w:val="22"/>
          <w:highlight w:val="none"/>
          <w:lang w:val="en-US" w:eastAsia="zh-CN"/>
        </w:rPr>
        <w:t>半年</w:t>
      </w:r>
      <w:r>
        <w:rPr>
          <w:rFonts w:hint="eastAsia" w:ascii="Arial" w:hAnsi="Arial" w:cs="Arial"/>
          <w:color w:val="auto"/>
          <w:sz w:val="22"/>
          <w:szCs w:val="22"/>
          <w:highlight w:val="none"/>
        </w:rPr>
        <w:t>付款的 90%；考核扣除的金额不再支付。</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（2）合同服务期满后根据年度考核情况结算支付余款。</w:t>
      </w:r>
    </w:p>
    <w:p>
      <w:pPr>
        <w:spacing w:line="360" w:lineRule="auto"/>
        <w:rPr>
          <w:rFonts w:ascii="Arial" w:hAnsi="Arial" w:cs="Arial"/>
          <w:color w:val="auto"/>
          <w:sz w:val="22"/>
          <w:szCs w:val="22"/>
          <w:highlight w:val="none"/>
        </w:rPr>
      </w:pPr>
    </w:p>
    <w:p>
      <w:pPr>
        <w:adjustRightInd w:val="0"/>
        <w:snapToGrid w:val="0"/>
        <w:spacing w:line="360" w:lineRule="auto"/>
        <w:outlineLvl w:val="1"/>
        <w:rPr>
          <w:rFonts w:ascii="Arial" w:hAnsi="Arial" w:cs="Arial"/>
          <w:color w:val="auto"/>
          <w:sz w:val="22"/>
          <w:szCs w:val="22"/>
          <w:highlight w:val="none"/>
        </w:rPr>
      </w:pPr>
    </w:p>
    <w:p>
      <w:pPr>
        <w:adjustRightInd w:val="0"/>
        <w:snapToGrid w:val="0"/>
        <w:spacing w:line="360" w:lineRule="auto"/>
        <w:outlineLvl w:val="1"/>
        <w:rPr>
          <w:rFonts w:ascii="Arial" w:hAnsi="Arial" w:cs="Arial"/>
          <w:color w:val="auto"/>
          <w:sz w:val="22"/>
          <w:szCs w:val="22"/>
          <w:highlight w:val="none"/>
        </w:rPr>
      </w:pPr>
    </w:p>
    <w:bookmarkEnd w:id="12"/>
    <w:p>
      <w:pPr>
        <w:pStyle w:val="2"/>
        <w:pageBreakBefore/>
        <w:adjustRightInd w:val="0"/>
        <w:spacing w:before="0" w:after="0" w:line="500" w:lineRule="exact"/>
        <w:ind w:left="0" w:firstLine="0"/>
        <w:jc w:val="center"/>
        <w:textAlignment w:val="baseline"/>
        <w:rPr>
          <w:rFonts w:ascii="Arial" w:hAnsi="Arial" w:cs="Arial"/>
          <w:color w:val="auto"/>
          <w:kern w:val="2"/>
          <w:sz w:val="32"/>
          <w:szCs w:val="32"/>
          <w:highlight w:val="none"/>
        </w:rPr>
      </w:pPr>
      <w:r>
        <w:rPr>
          <w:rFonts w:ascii="Arial" w:hAnsi="Arial" w:cs="Arial"/>
          <w:color w:val="auto"/>
          <w:kern w:val="2"/>
          <w:sz w:val="32"/>
          <w:szCs w:val="32"/>
          <w:highlight w:val="none"/>
        </w:rPr>
        <w:t>第三章 投标人须知</w:t>
      </w:r>
      <w:bookmarkEnd w:id="11"/>
    </w:p>
    <w:p>
      <w:pPr>
        <w:snapToGrid w:val="0"/>
        <w:spacing w:line="500" w:lineRule="exact"/>
        <w:ind w:left="238"/>
        <w:jc w:val="center"/>
        <w:outlineLvl w:val="1"/>
        <w:rPr>
          <w:rFonts w:ascii="Arial" w:hAnsi="Arial" w:cs="Arial"/>
          <w:b/>
          <w:color w:val="auto"/>
          <w:sz w:val="28"/>
          <w:szCs w:val="28"/>
          <w:highlight w:val="none"/>
        </w:rPr>
      </w:pPr>
      <w:bookmarkStart w:id="13" w:name="_Toc436330194"/>
      <w:bookmarkStart w:id="14" w:name="_Toc304292176"/>
      <w:bookmarkStart w:id="15" w:name="_Toc317685557"/>
      <w:r>
        <w:rPr>
          <w:rFonts w:ascii="Arial" w:hAnsi="Arial" w:cs="Arial"/>
          <w:b/>
          <w:color w:val="auto"/>
          <w:sz w:val="28"/>
          <w:szCs w:val="28"/>
          <w:highlight w:val="none"/>
        </w:rPr>
        <w:t>前附表</w:t>
      </w:r>
      <w:bookmarkEnd w:id="13"/>
      <w:bookmarkEnd w:id="14"/>
      <w:bookmarkEnd w:id="15"/>
    </w:p>
    <w:tbl>
      <w:tblPr>
        <w:tblStyle w:val="44"/>
        <w:tblW w:w="8380" w:type="dxa"/>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721" w:type="dxa"/>
            <w:vAlign w:val="center"/>
          </w:tcPr>
          <w:p>
            <w:pPr>
              <w:spacing w:line="320" w:lineRule="exact"/>
              <w:jc w:val="center"/>
              <w:rPr>
                <w:rFonts w:ascii="Arial" w:hAnsi="Arial" w:cs="Arial"/>
                <w:b/>
                <w:bCs/>
                <w:color w:val="auto"/>
                <w:sz w:val="22"/>
                <w:szCs w:val="22"/>
                <w:highlight w:val="none"/>
              </w:rPr>
            </w:pPr>
            <w:r>
              <w:rPr>
                <w:rFonts w:ascii="Arial" w:hAnsi="Arial" w:cs="Arial"/>
                <w:b/>
                <w:bCs/>
                <w:color w:val="auto"/>
                <w:sz w:val="22"/>
                <w:szCs w:val="22"/>
                <w:highlight w:val="none"/>
              </w:rPr>
              <w:t>序号</w:t>
            </w:r>
          </w:p>
        </w:tc>
        <w:tc>
          <w:tcPr>
            <w:tcW w:w="7659" w:type="dxa"/>
            <w:vAlign w:val="center"/>
          </w:tcPr>
          <w:p>
            <w:pPr>
              <w:spacing w:line="320" w:lineRule="exact"/>
              <w:jc w:val="center"/>
              <w:rPr>
                <w:rFonts w:ascii="Arial" w:hAnsi="Arial" w:cs="Arial"/>
                <w:b/>
                <w:bCs/>
                <w:color w:val="auto"/>
                <w:sz w:val="22"/>
                <w:szCs w:val="22"/>
                <w:highlight w:val="none"/>
              </w:rPr>
            </w:pPr>
            <w:r>
              <w:rPr>
                <w:rFonts w:ascii="Arial" w:hAnsi="Arial" w:cs="Arial"/>
                <w:b/>
                <w:bCs/>
                <w:color w:val="auto"/>
                <w:sz w:val="22"/>
                <w:szCs w:val="22"/>
                <w:highlight w:val="none"/>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项目名称：</w:t>
            </w:r>
            <w:r>
              <w:rPr>
                <w:rFonts w:hint="eastAsia" w:ascii="Arial" w:hAnsi="Arial" w:cs="Arial"/>
                <w:color w:val="auto"/>
                <w:sz w:val="22"/>
                <w:szCs w:val="22"/>
                <w:highlight w:val="none"/>
              </w:rPr>
              <w:t>2020年—2022年东钱湖农村剩余电流动作保护器安装（换装）服务项目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2</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采购人：</w:t>
            </w:r>
            <w:r>
              <w:rPr>
                <w:rFonts w:hint="eastAsia" w:ascii="Arial" w:hAnsi="Arial" w:cs="Arial"/>
                <w:color w:val="auto"/>
                <w:sz w:val="22"/>
                <w:szCs w:val="22"/>
                <w:highlight w:val="none"/>
              </w:rPr>
              <w:t>宁波市鄞州区东钱湖镇人民政府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3</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采购代理机构：宁波高专建设监理有限公司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★4</w:t>
            </w:r>
          </w:p>
        </w:tc>
        <w:tc>
          <w:tcPr>
            <w:tcW w:w="7659" w:type="dxa"/>
            <w:vAlign w:val="center"/>
          </w:tcPr>
          <w:p>
            <w:pPr>
              <w:spacing w:line="320" w:lineRule="exact"/>
              <w:rPr>
                <w:rFonts w:ascii="Arial" w:hAnsi="Arial" w:cs="Arial"/>
                <w:b/>
                <w:bCs/>
                <w:color w:val="auto"/>
                <w:sz w:val="22"/>
                <w:szCs w:val="22"/>
                <w:highlight w:val="none"/>
              </w:rPr>
            </w:pPr>
            <w:r>
              <w:rPr>
                <w:rFonts w:ascii="Arial" w:hAnsi="Arial" w:cs="Arial"/>
                <w:color w:val="auto"/>
                <w:sz w:val="22"/>
                <w:szCs w:val="22"/>
                <w:highlight w:val="none"/>
              </w:rPr>
              <w:t>合格投标人：见本项目公开招标采购文件《公开招标采购公告》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★5</w:t>
            </w:r>
          </w:p>
        </w:tc>
        <w:tc>
          <w:tcPr>
            <w:tcW w:w="7659" w:type="dxa"/>
            <w:vAlign w:val="center"/>
          </w:tcPr>
          <w:p>
            <w:pPr>
              <w:spacing w:line="320" w:lineRule="exact"/>
              <w:rPr>
                <w:rFonts w:ascii="Arial" w:hAnsi="Arial" w:cs="Arial"/>
                <w:color w:val="auto"/>
                <w:sz w:val="22"/>
                <w:szCs w:val="22"/>
                <w:highlight w:val="none"/>
              </w:rPr>
            </w:pPr>
            <w:r>
              <w:rPr>
                <w:rFonts w:ascii="Arial" w:hAnsi="Arial" w:cs="Arial"/>
                <w:bCs/>
                <w:color w:val="auto"/>
                <w:sz w:val="22"/>
                <w:szCs w:val="22"/>
                <w:highlight w:val="none"/>
              </w:rPr>
              <w:t>服务期限：</w:t>
            </w:r>
            <w:r>
              <w:rPr>
                <w:rFonts w:hint="eastAsia" w:ascii="Arial" w:hAnsi="Arial" w:cs="Arial"/>
                <w:bCs/>
                <w:color w:val="auto"/>
                <w:sz w:val="22"/>
                <w:szCs w:val="22"/>
                <w:highlight w:val="none"/>
                <w:lang w:eastAsia="zh-CN"/>
              </w:rPr>
              <w:t>总期限为三年，合同一年一签。第一年自合同签订之日起计算。后一年合同的签订以采购人根据中标人在上一年度的合同履约、考核情况及财政资金审批情况决定是否续签。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6</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投标报价及费用：</w:t>
            </w:r>
          </w:p>
          <w:p>
            <w:pPr>
              <w:numPr>
                <w:ilvl w:val="0"/>
                <w:numId w:val="3"/>
              </w:numPr>
              <w:spacing w:line="320" w:lineRule="exact"/>
              <w:rPr>
                <w:rFonts w:ascii="Arial" w:hAnsi="Arial" w:cs="Arial"/>
                <w:bCs/>
                <w:color w:val="auto"/>
                <w:sz w:val="22"/>
                <w:szCs w:val="22"/>
                <w:highlight w:val="none"/>
              </w:rPr>
            </w:pPr>
            <w:r>
              <w:rPr>
                <w:rFonts w:ascii="Arial" w:hAnsi="Arial" w:cs="Arial"/>
                <w:bCs/>
                <w:color w:val="auto"/>
                <w:sz w:val="22"/>
                <w:szCs w:val="22"/>
                <w:highlight w:val="none"/>
              </w:rPr>
              <w:t>投标人的投标报价应以人民币进行报价，包含但不限于：</w:t>
            </w:r>
            <w:r>
              <w:rPr>
                <w:rFonts w:hint="eastAsia" w:ascii="Arial" w:hAnsi="Arial" w:cs="Arial"/>
                <w:bCs/>
                <w:color w:val="auto"/>
                <w:sz w:val="22"/>
                <w:szCs w:val="22"/>
                <w:highlight w:val="none"/>
              </w:rPr>
              <w:t>人工费（包含按国家规定应交的社保、补贴，相关保险等费用），设备使用费， 设施及仓库配置的费用，管理费，税金，合理利润、税费、中标服务费等所有费用</w:t>
            </w:r>
            <w:r>
              <w:rPr>
                <w:rFonts w:ascii="Arial" w:hAnsi="Arial" w:cs="Arial"/>
                <w:bCs/>
                <w:color w:val="auto"/>
                <w:sz w:val="22"/>
                <w:szCs w:val="22"/>
                <w:highlight w:val="none"/>
              </w:rPr>
              <w:t>。</w:t>
            </w:r>
          </w:p>
          <w:p>
            <w:pPr>
              <w:spacing w:line="320" w:lineRule="exact"/>
              <w:rPr>
                <w:rFonts w:ascii="Arial" w:hAnsi="Arial" w:cs="Arial"/>
                <w:b/>
                <w:bCs/>
                <w:color w:val="auto"/>
                <w:sz w:val="22"/>
                <w:szCs w:val="22"/>
                <w:highlight w:val="none"/>
                <w:u w:val="single"/>
              </w:rPr>
            </w:pPr>
            <w:r>
              <w:rPr>
                <w:rFonts w:ascii="Arial" w:hAnsi="Arial" w:cs="Arial"/>
                <w:b/>
                <w:color w:val="auto"/>
                <w:sz w:val="22"/>
                <w:szCs w:val="22"/>
                <w:highlight w:val="none"/>
                <w:u w:val="single"/>
              </w:rPr>
              <w:t>★</w:t>
            </w:r>
            <w:r>
              <w:rPr>
                <w:rFonts w:ascii="Arial" w:hAnsi="Arial" w:cs="Arial"/>
                <w:b/>
                <w:bCs/>
                <w:color w:val="auto"/>
                <w:sz w:val="22"/>
                <w:szCs w:val="22"/>
                <w:highlight w:val="none"/>
                <w:u w:val="single"/>
              </w:rPr>
              <w:t>2、</w:t>
            </w:r>
            <w:r>
              <w:rPr>
                <w:rFonts w:ascii="Arial" w:hAnsi="Arial" w:cs="Arial"/>
                <w:b/>
                <w:color w:val="auto"/>
                <w:sz w:val="22"/>
                <w:szCs w:val="22"/>
                <w:highlight w:val="none"/>
                <w:u w:val="single"/>
              </w:rPr>
              <w:t>本项目最高限价：</w:t>
            </w:r>
            <w:r>
              <w:rPr>
                <w:rFonts w:hint="eastAsia" w:ascii="Arial" w:hAnsi="Arial" w:cs="Arial"/>
                <w:b/>
                <w:color w:val="auto"/>
                <w:sz w:val="22"/>
                <w:szCs w:val="22"/>
                <w:highlight w:val="none"/>
                <w:u w:val="single"/>
              </w:rPr>
              <w:t>总价</w:t>
            </w:r>
            <w:r>
              <w:rPr>
                <w:rFonts w:ascii="Arial" w:hAnsi="Arial" w:cs="Arial"/>
                <w:b/>
                <w:color w:val="auto"/>
                <w:sz w:val="22"/>
                <w:szCs w:val="22"/>
                <w:highlight w:val="none"/>
                <w:u w:val="single"/>
              </w:rPr>
              <w:t>人民币</w:t>
            </w:r>
            <w:r>
              <w:rPr>
                <w:rFonts w:hint="eastAsia" w:ascii="Arial" w:hAnsi="Arial" w:cs="Arial"/>
                <w:b/>
                <w:bCs/>
                <w:color w:val="auto"/>
                <w:sz w:val="22"/>
                <w:szCs w:val="22"/>
                <w:highlight w:val="none"/>
                <w:u w:val="single"/>
              </w:rPr>
              <w:t>881625元/3年（293875元/年）</w:t>
            </w:r>
            <w:r>
              <w:rPr>
                <w:rFonts w:hint="eastAsia" w:ascii="Arial" w:hAnsi="Arial" w:cs="Arial"/>
                <w:b/>
                <w:bCs/>
                <w:color w:val="auto"/>
                <w:sz w:val="22"/>
                <w:szCs w:val="22"/>
                <w:highlight w:val="none"/>
                <w:u w:val="single"/>
                <w:lang w:eastAsia="zh-CN"/>
              </w:rPr>
              <w:t>，</w:t>
            </w:r>
            <w:r>
              <w:rPr>
                <w:rFonts w:hint="eastAsia" w:ascii="Arial" w:hAnsi="Arial" w:cs="Arial"/>
                <w:b/>
                <w:bCs/>
                <w:color w:val="auto"/>
                <w:sz w:val="22"/>
                <w:szCs w:val="22"/>
                <w:highlight w:val="none"/>
                <w:u w:val="single"/>
              </w:rPr>
              <w:t>单价25元/只/年。</w:t>
            </w:r>
            <w:r>
              <w:rPr>
                <w:rFonts w:ascii="Arial" w:hAnsi="Arial" w:cs="Arial"/>
                <w:b/>
                <w:bCs/>
                <w:color w:val="auto"/>
                <w:sz w:val="22"/>
                <w:szCs w:val="22"/>
                <w:highlight w:val="none"/>
                <w:u w:val="single"/>
              </w:rPr>
              <w:t>投标报价超过上述最高限价的，作无效标处理。</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3</w:t>
            </w:r>
            <w:r>
              <w:rPr>
                <w:rFonts w:ascii="Arial" w:hAnsi="Arial" w:cs="Arial"/>
                <w:color w:val="auto"/>
                <w:sz w:val="22"/>
                <w:szCs w:val="22"/>
                <w:highlight w:val="none"/>
              </w:rPr>
              <w:t>、不论投标结果如何，投标人均应自行承担所有与投标有关的全部费用。</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4</w:t>
            </w:r>
            <w:r>
              <w:rPr>
                <w:rFonts w:ascii="Arial" w:hAnsi="Arial" w:cs="Arial"/>
                <w:color w:val="auto"/>
                <w:sz w:val="22"/>
                <w:szCs w:val="22"/>
                <w:highlight w:val="none"/>
              </w:rPr>
              <w:t>、其它：</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（1）售后服务、价格波动、政策性文件规定及合同包含的所有风险、责任等也必须在投标报价时充分考虑，包含在内。</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（2）中标人须负责本招标项目通过相关部门的有关审查。</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（3）投标人不得以实际采购数量、时间的变化或现场环境等理由提出综合单价增加或供货延期等任何变更投标响应的要求。</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（4）当采购数量与实际使用数量不一致时，中标人应根据实际使用量供货，合同的最终结算金额按实际使用量乘以成交单价进行计算。如系本合同中未包括的产品，由甲方与乙方双方协商确定价格。</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（5）中标服务费的收取标准：代理机构参照国家发改委发改办价格[2003]857号通知和原国家计[2002]1980号文件规定的服务招标费率标准，按照中标金额向中标人收取招标服务费。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★7</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投标保证金提交：</w:t>
            </w:r>
            <w:r>
              <w:rPr>
                <w:rFonts w:hint="eastAsia" w:ascii="Arial" w:hAnsi="Arial" w:cs="Arial"/>
                <w:color w:val="auto"/>
                <w:sz w:val="22"/>
                <w:szCs w:val="22"/>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8</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现场踏勘：请投标人自行踏勘现场。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★9</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投标文件</w:t>
            </w:r>
            <w:r>
              <w:rPr>
                <w:rFonts w:hint="eastAsia" w:ascii="Arial" w:hAnsi="Arial" w:cs="Arial"/>
                <w:color w:val="auto"/>
                <w:sz w:val="22"/>
                <w:szCs w:val="22"/>
                <w:highlight w:val="none"/>
              </w:rPr>
              <w:t>书面</w:t>
            </w:r>
            <w:r>
              <w:rPr>
                <w:rFonts w:ascii="Arial" w:hAnsi="Arial" w:cs="Arial"/>
                <w:color w:val="auto"/>
                <w:sz w:val="22"/>
                <w:szCs w:val="22"/>
                <w:highlight w:val="none"/>
              </w:rPr>
              <w:t>组成：</w:t>
            </w:r>
          </w:p>
          <w:p>
            <w:pPr>
              <w:spacing w:line="320" w:lineRule="exact"/>
              <w:rPr>
                <w:rFonts w:ascii="Arial" w:hAnsi="Arial" w:cs="Arial"/>
                <w:color w:val="auto"/>
                <w:sz w:val="22"/>
                <w:szCs w:val="22"/>
                <w:highlight w:val="none"/>
              </w:rPr>
            </w:pPr>
            <w:r>
              <w:rPr>
                <w:rFonts w:hint="eastAsia" w:ascii="Arial" w:hAnsi="Arial" w:cs="Arial"/>
                <w:color w:val="auto"/>
                <w:sz w:val="22"/>
                <w:szCs w:val="22"/>
                <w:highlight w:val="none"/>
              </w:rPr>
              <w:t>包括：</w:t>
            </w:r>
            <w:r>
              <w:rPr>
                <w:rFonts w:ascii="Arial" w:hAnsi="Arial" w:cs="Arial"/>
                <w:b/>
                <w:bCs/>
                <w:color w:val="auto"/>
                <w:sz w:val="22"/>
                <w:szCs w:val="22"/>
                <w:highlight w:val="none"/>
                <w:u w:val="single"/>
              </w:rPr>
              <w:t>资格证明文件、报价文件、技术商务文件正本各1份；副本各</w:t>
            </w:r>
            <w:r>
              <w:rPr>
                <w:rFonts w:hint="eastAsia" w:ascii="Arial" w:hAnsi="Arial" w:cs="Arial"/>
                <w:b/>
                <w:bCs/>
                <w:color w:val="auto"/>
                <w:sz w:val="22"/>
                <w:szCs w:val="22"/>
                <w:highlight w:val="none"/>
                <w:u w:val="single"/>
              </w:rPr>
              <w:t>4</w:t>
            </w:r>
            <w:r>
              <w:rPr>
                <w:rFonts w:ascii="Arial" w:hAnsi="Arial" w:cs="Arial"/>
                <w:b/>
                <w:bCs/>
                <w:color w:val="auto"/>
                <w:sz w:val="22"/>
                <w:szCs w:val="22"/>
                <w:highlight w:val="none"/>
                <w:u w:val="singl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★10</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投标截止时间及地点：详见招标采购文件第一章 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★11</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开标时间及地点：详见招标采购文件第一章 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12</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评标办法及评分标准：详见招标采购文件第四章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13</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中标结果公示：评标结束后，经采购人确认后，中标结果公示于</w:t>
            </w:r>
            <w:r>
              <w:rPr>
                <w:rFonts w:hint="eastAsia" w:ascii="Arial" w:hAnsi="Arial" w:cs="Arial"/>
                <w:color w:val="auto"/>
                <w:sz w:val="22"/>
                <w:szCs w:val="22"/>
                <w:highlight w:val="none"/>
              </w:rPr>
              <w:t xml:space="preserve"> “浙江政府采购网（www.zjzfcg.gov.cn）”、“宁波东钱湖旅游度假区公共资源交易中心网”。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4</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5</w:t>
            </w:r>
          </w:p>
        </w:tc>
        <w:tc>
          <w:tcPr>
            <w:tcW w:w="7659" w:type="dxa"/>
            <w:vAlign w:val="center"/>
          </w:tcPr>
          <w:p>
            <w:pPr>
              <w:spacing w:line="320" w:lineRule="exact"/>
              <w:rPr>
                <w:rFonts w:ascii="Arial" w:hAnsi="Arial" w:cs="Arial"/>
                <w:bCs/>
                <w:color w:val="auto"/>
                <w:sz w:val="22"/>
                <w:szCs w:val="22"/>
                <w:highlight w:val="none"/>
              </w:rPr>
            </w:pPr>
            <w:r>
              <w:rPr>
                <w:rFonts w:ascii="Arial" w:hAnsi="Arial" w:cs="Arial"/>
                <w:bCs/>
                <w:color w:val="auto"/>
                <w:sz w:val="22"/>
                <w:szCs w:val="22"/>
                <w:highlight w:val="none"/>
              </w:rPr>
              <w:t>履约保证金的收取及退还：</w:t>
            </w:r>
          </w:p>
          <w:p>
            <w:pPr>
              <w:spacing w:line="320" w:lineRule="exact"/>
              <w:rPr>
                <w:rFonts w:ascii="Arial" w:hAnsi="Arial" w:cs="Arial"/>
                <w:color w:val="auto"/>
                <w:sz w:val="22"/>
                <w:szCs w:val="22"/>
                <w:highlight w:val="none"/>
              </w:rPr>
            </w:pPr>
            <w:r>
              <w:rPr>
                <w:rFonts w:ascii="Arial" w:hAnsi="Arial" w:cs="Arial"/>
                <w:bCs/>
                <w:color w:val="auto"/>
                <w:sz w:val="22"/>
                <w:szCs w:val="22"/>
                <w:highlight w:val="none"/>
              </w:rPr>
              <w:t>1、履约保证金的收取：合同金额的5％；履约保证金形式：银行汇票（电汇）、网银、保函</w:t>
            </w:r>
            <w:r>
              <w:rPr>
                <w:rFonts w:hint="eastAsia" w:ascii="Arial" w:hAnsi="Arial" w:cs="Arial"/>
                <w:bCs/>
                <w:color w:val="auto"/>
                <w:sz w:val="22"/>
                <w:szCs w:val="22"/>
                <w:highlight w:val="none"/>
              </w:rPr>
              <w:t>、保单</w:t>
            </w:r>
            <w:r>
              <w:rPr>
                <w:rFonts w:ascii="Arial" w:hAnsi="Arial" w:cs="Arial"/>
                <w:bCs/>
                <w:color w:val="auto"/>
                <w:sz w:val="22"/>
                <w:szCs w:val="22"/>
                <w:highlight w:val="none"/>
              </w:rPr>
              <w:t>等非现金形式。</w:t>
            </w:r>
            <w:r>
              <w:rPr>
                <w:rFonts w:ascii="Arial" w:hAnsi="Arial" w:cs="Arial"/>
                <w:color w:val="auto"/>
                <w:sz w:val="22"/>
                <w:szCs w:val="22"/>
                <w:highlight w:val="none"/>
              </w:rPr>
              <w:t>在签订合同之前支付给采购人。</w:t>
            </w:r>
          </w:p>
          <w:p>
            <w:pPr>
              <w:spacing w:line="320" w:lineRule="exact"/>
              <w:rPr>
                <w:rFonts w:ascii="Arial" w:hAnsi="Arial" w:cs="Arial"/>
                <w:color w:val="auto"/>
                <w:sz w:val="22"/>
                <w:szCs w:val="22"/>
                <w:highlight w:val="none"/>
              </w:rPr>
            </w:pPr>
            <w:r>
              <w:rPr>
                <w:rFonts w:ascii="Arial" w:hAnsi="Arial" w:cs="Arial"/>
                <w:bCs/>
                <w:color w:val="auto"/>
                <w:sz w:val="22"/>
                <w:szCs w:val="22"/>
                <w:highlight w:val="none"/>
              </w:rPr>
              <w:t>2、</w:t>
            </w:r>
            <w:r>
              <w:rPr>
                <w:rFonts w:ascii="Arial" w:hAnsi="Arial" w:cs="Arial"/>
                <w:color w:val="auto"/>
                <w:sz w:val="22"/>
                <w:szCs w:val="22"/>
                <w:highlight w:val="none"/>
              </w:rPr>
              <w:t>履约保证金的退取：待中标人完成合同履约后</w:t>
            </w:r>
            <w:r>
              <w:rPr>
                <w:rFonts w:hint="eastAsia" w:ascii="Arial" w:hAnsi="Arial" w:cs="Arial"/>
                <w:color w:val="auto"/>
                <w:sz w:val="22"/>
                <w:szCs w:val="22"/>
                <w:highlight w:val="none"/>
              </w:rPr>
              <w:t>10内</w:t>
            </w:r>
            <w:r>
              <w:rPr>
                <w:rFonts w:ascii="Arial" w:hAnsi="Arial" w:cs="Arial"/>
                <w:color w:val="auto"/>
                <w:sz w:val="22"/>
                <w:szCs w:val="22"/>
                <w:highlight w:val="none"/>
              </w:rPr>
              <w:t>无息返还（如在合同履约期间未完全履行合同内容的，采购人将视其情节严重程度给予相应处罚，直至没收其履约保证金，采购人保留终止合同的权利）。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6</w:t>
            </w:r>
          </w:p>
        </w:tc>
        <w:tc>
          <w:tcPr>
            <w:tcW w:w="7659" w:type="dxa"/>
            <w:vAlign w:val="center"/>
          </w:tcPr>
          <w:p>
            <w:pPr>
              <w:spacing w:line="320" w:lineRule="exact"/>
              <w:rPr>
                <w:rFonts w:ascii="Arial" w:hAnsi="Arial" w:cs="Arial"/>
                <w:bCs/>
                <w:color w:val="auto"/>
                <w:sz w:val="22"/>
                <w:szCs w:val="22"/>
                <w:highlight w:val="none"/>
              </w:rPr>
            </w:pPr>
            <w:r>
              <w:rPr>
                <w:rFonts w:ascii="Arial" w:hAnsi="Arial" w:cs="Arial"/>
                <w:color w:val="auto"/>
                <w:sz w:val="22"/>
                <w:szCs w:val="22"/>
                <w:highlight w:val="none"/>
              </w:rPr>
              <w:t>采购资金来源：预算资金。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7</w:t>
            </w:r>
          </w:p>
        </w:tc>
        <w:tc>
          <w:tcPr>
            <w:tcW w:w="7659" w:type="dxa"/>
            <w:vAlign w:val="center"/>
          </w:tcPr>
          <w:p>
            <w:pPr>
              <w:spacing w:line="320" w:lineRule="exact"/>
              <w:rPr>
                <w:rFonts w:ascii="Arial" w:hAnsi="Arial" w:cs="Arial"/>
                <w:bCs/>
                <w:color w:val="auto"/>
                <w:sz w:val="22"/>
                <w:szCs w:val="22"/>
                <w:highlight w:val="none"/>
              </w:rPr>
            </w:pPr>
            <w:r>
              <w:rPr>
                <w:rFonts w:ascii="Arial" w:hAnsi="Arial" w:cs="Arial"/>
                <w:bCs/>
                <w:color w:val="auto"/>
                <w:sz w:val="22"/>
                <w:szCs w:val="22"/>
                <w:highlight w:val="none"/>
              </w:rPr>
              <w:t>付款方式：</w:t>
            </w:r>
          </w:p>
          <w:p>
            <w:pPr>
              <w:numPr>
                <w:ilvl w:val="0"/>
                <w:numId w:val="4"/>
              </w:numPr>
              <w:spacing w:line="320" w:lineRule="exact"/>
              <w:rPr>
                <w:rFonts w:hint="eastAsia" w:ascii="Arial" w:hAnsi="Arial" w:cs="Arial"/>
                <w:bCs/>
                <w:color w:val="auto"/>
                <w:sz w:val="22"/>
                <w:szCs w:val="22"/>
                <w:highlight w:val="none"/>
              </w:rPr>
            </w:pPr>
            <w:r>
              <w:rPr>
                <w:rFonts w:hint="eastAsia" w:ascii="Arial" w:hAnsi="Arial" w:cs="Arial"/>
                <w:bCs/>
                <w:color w:val="auto"/>
                <w:sz w:val="22"/>
                <w:szCs w:val="22"/>
                <w:highlight w:val="none"/>
              </w:rPr>
              <w:t>根据考核情况，每半年支付一次，每半年支付本半年付款的 90%；考核扣除的金额不再支付。</w:t>
            </w:r>
          </w:p>
          <w:p>
            <w:pPr>
              <w:numPr>
                <w:ilvl w:val="0"/>
                <w:numId w:val="0"/>
              </w:numPr>
              <w:spacing w:line="320" w:lineRule="exact"/>
              <w:rPr>
                <w:rFonts w:ascii="Arial" w:hAnsi="Arial" w:cs="Arial"/>
                <w:color w:val="auto"/>
                <w:sz w:val="22"/>
                <w:szCs w:val="22"/>
                <w:highlight w:val="none"/>
              </w:rPr>
            </w:pPr>
            <w:r>
              <w:rPr>
                <w:rFonts w:hint="eastAsia" w:ascii="Arial" w:hAnsi="Arial" w:cs="Arial"/>
                <w:bCs/>
                <w:color w:val="auto"/>
                <w:sz w:val="22"/>
                <w:szCs w:val="22"/>
                <w:highlight w:val="none"/>
              </w:rPr>
              <w:t>（2）合同服务期满后根据年度考核情况结算支付余款。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1" w:type="dxa"/>
            <w:vAlign w:val="center"/>
          </w:tcPr>
          <w:p>
            <w:pPr>
              <w:spacing w:line="320" w:lineRule="exact"/>
              <w:jc w:val="center"/>
              <w:rPr>
                <w:rFonts w:ascii="Arial" w:hAnsi="Arial" w:cs="Arial"/>
                <w:color w:val="auto"/>
                <w:sz w:val="22"/>
                <w:szCs w:val="22"/>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8</w:t>
            </w:r>
          </w:p>
        </w:tc>
        <w:tc>
          <w:tcPr>
            <w:tcW w:w="7659" w:type="dxa"/>
            <w:vAlign w:val="center"/>
          </w:tcPr>
          <w:p>
            <w:pPr>
              <w:spacing w:line="320" w:lineRule="exact"/>
              <w:rPr>
                <w:rFonts w:ascii="Arial" w:hAnsi="Arial" w:cs="Arial"/>
                <w:color w:val="auto"/>
                <w:sz w:val="22"/>
                <w:szCs w:val="22"/>
                <w:highlight w:val="none"/>
              </w:rPr>
            </w:pPr>
            <w:r>
              <w:rPr>
                <w:rFonts w:ascii="Arial" w:hAnsi="Arial" w:cs="Arial"/>
                <w:color w:val="auto"/>
                <w:sz w:val="22"/>
                <w:szCs w:val="22"/>
                <w:highlight w:val="none"/>
              </w:rPr>
              <w:t>投标文件有效期：自投标截止日起90天。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1" w:type="dxa"/>
            <w:vAlign w:val="center"/>
          </w:tcPr>
          <w:p>
            <w:pPr>
              <w:spacing w:line="320" w:lineRule="exact"/>
              <w:jc w:val="center"/>
              <w:rPr>
                <w:rFonts w:ascii="Arial" w:hAnsi="Arial" w:cs="Arial"/>
                <w:color w:val="auto"/>
                <w:sz w:val="22"/>
                <w:szCs w:val="22"/>
                <w:highlight w:val="none"/>
              </w:rPr>
            </w:pPr>
            <w:r>
              <w:rPr>
                <w:rFonts w:hint="eastAsia" w:ascii="Arial" w:hAnsi="Arial" w:cs="Arial"/>
                <w:color w:val="auto"/>
                <w:sz w:val="22"/>
                <w:szCs w:val="22"/>
                <w:highlight w:val="none"/>
              </w:rPr>
              <w:t>19</w:t>
            </w:r>
          </w:p>
        </w:tc>
        <w:tc>
          <w:tcPr>
            <w:tcW w:w="7659" w:type="dxa"/>
            <w:vAlign w:val="center"/>
          </w:tcPr>
          <w:p>
            <w:pPr>
              <w:spacing w:line="320" w:lineRule="exact"/>
              <w:rPr>
                <w:rFonts w:ascii="Arial" w:hAnsi="Arial" w:cs="Arial"/>
                <w:color w:val="auto"/>
                <w:sz w:val="22"/>
                <w:szCs w:val="22"/>
                <w:highlight w:val="none"/>
              </w:rPr>
            </w:pPr>
            <w:r>
              <w:rPr>
                <w:rFonts w:ascii="Arial" w:hAnsi="Arial" w:cs="Arial"/>
                <w:bCs/>
                <w:color w:val="auto"/>
                <w:sz w:val="22"/>
                <w:szCs w:val="22"/>
                <w:highlight w:val="none"/>
              </w:rPr>
              <w:t>特别说明：</w:t>
            </w:r>
            <w:r>
              <w:rPr>
                <w:rFonts w:ascii="Arial" w:hAnsi="Arial" w:cs="Arial"/>
                <w:color w:val="auto"/>
                <w:sz w:val="22"/>
                <w:szCs w:val="22"/>
                <w:highlight w:val="none"/>
              </w:rPr>
              <w:t>本项目非专门面向中小企业或微型企业采购。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1" w:type="dxa"/>
            <w:vAlign w:val="center"/>
          </w:tcPr>
          <w:p>
            <w:pPr>
              <w:spacing w:line="320" w:lineRule="exact"/>
              <w:jc w:val="center"/>
              <w:rPr>
                <w:rFonts w:ascii="Arial" w:hAnsi="Arial" w:cs="Arial"/>
                <w:color w:val="auto"/>
                <w:sz w:val="22"/>
                <w:szCs w:val="22"/>
                <w:highlight w:val="none"/>
              </w:rPr>
            </w:pPr>
            <w:r>
              <w:rPr>
                <w:rFonts w:hint="eastAsia" w:ascii="Arial" w:hAnsi="Arial" w:cs="Arial"/>
                <w:color w:val="auto"/>
                <w:sz w:val="22"/>
                <w:szCs w:val="22"/>
                <w:highlight w:val="none"/>
              </w:rPr>
              <w:t>20</w:t>
            </w:r>
          </w:p>
        </w:tc>
        <w:tc>
          <w:tcPr>
            <w:tcW w:w="7659" w:type="dxa"/>
            <w:vAlign w:val="center"/>
          </w:tcPr>
          <w:p>
            <w:pPr>
              <w:spacing w:line="320" w:lineRule="exact"/>
              <w:rPr>
                <w:rFonts w:ascii="Arial" w:hAnsi="Arial" w:cs="Arial"/>
                <w:b/>
                <w:color w:val="auto"/>
                <w:sz w:val="22"/>
                <w:szCs w:val="22"/>
                <w:highlight w:val="none"/>
              </w:rPr>
            </w:pPr>
            <w:r>
              <w:rPr>
                <w:rFonts w:ascii="Arial" w:hAnsi="Arial" w:cs="Arial"/>
                <w:color w:val="auto"/>
                <w:sz w:val="22"/>
                <w:szCs w:val="22"/>
                <w:highlight w:val="none"/>
              </w:rPr>
              <w:t>解释：本招标采购文件的解释权属于采购代理机构。</w:t>
            </w:r>
          </w:p>
        </w:tc>
      </w:tr>
    </w:tbl>
    <w:p>
      <w:pPr>
        <w:widowControl/>
        <w:spacing w:line="360" w:lineRule="auto"/>
        <w:jc w:val="left"/>
        <w:outlineLvl w:val="1"/>
        <w:rPr>
          <w:rFonts w:ascii="Arial" w:hAnsi="Arial" w:cs="Arial"/>
          <w:b/>
          <w:color w:val="auto"/>
          <w:sz w:val="22"/>
          <w:szCs w:val="22"/>
          <w:highlight w:val="none"/>
        </w:rPr>
      </w:pPr>
      <w:bookmarkStart w:id="16" w:name="_Toc436330195"/>
      <w:bookmarkStart w:id="17" w:name="_Toc317685558"/>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一、总则</w:t>
      </w:r>
      <w:bookmarkEnd w:id="16"/>
      <w:bookmarkEnd w:id="17"/>
    </w:p>
    <w:p>
      <w:pPr>
        <w:widowControl/>
        <w:spacing w:line="360" w:lineRule="auto"/>
        <w:ind w:firstLine="442" w:firstLineChars="200"/>
        <w:jc w:val="left"/>
        <w:rPr>
          <w:rFonts w:ascii="Arial" w:hAnsi="Arial" w:cs="Arial"/>
          <w:color w:val="auto"/>
          <w:sz w:val="22"/>
          <w:szCs w:val="22"/>
          <w:highlight w:val="none"/>
        </w:rPr>
      </w:pPr>
      <w:bookmarkStart w:id="18" w:name="_Toc317685559"/>
      <w:bookmarkStart w:id="19" w:name="_Toc304292177"/>
      <w:r>
        <w:rPr>
          <w:rFonts w:ascii="Arial" w:hAnsi="Arial" w:cs="Arial"/>
          <w:b/>
          <w:color w:val="auto"/>
          <w:sz w:val="22"/>
          <w:szCs w:val="22"/>
          <w:highlight w:val="none"/>
        </w:rPr>
        <w:t>（一）适用范围</w:t>
      </w:r>
      <w:bookmarkEnd w:id="18"/>
      <w:bookmarkEnd w:id="19"/>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本招标采购文件适用于本项目的招标、投标、资格审查、评标、定标、考核、验收、合同履约、付款等行为（法律、法规另有规定的，从其规定）。</w:t>
      </w:r>
      <w:bookmarkStart w:id="20" w:name="_Toc304292178"/>
      <w:bookmarkStart w:id="21" w:name="_Toc317685560"/>
      <w:bookmarkStart w:id="22" w:name="_Toc436330196"/>
    </w:p>
    <w:p>
      <w:pPr>
        <w:widowControl/>
        <w:spacing w:line="360" w:lineRule="auto"/>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（二）定义</w:t>
      </w:r>
      <w:bookmarkEnd w:id="20"/>
      <w:bookmarkEnd w:id="21"/>
      <w:bookmarkEnd w:id="22"/>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1.“采购人”、“采购代理机构”系指（详见《公开招标采购公告》）。</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2.“投标人”系指响应招标、参加投标竞争的法人、其他组织或者自然人，即供应商。</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3.“产品或服务”系指招标采购文件规定投标人须承担的各项义务。</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4.“项目”系指投标人按招标采购文件规定向采购人提供的产品和服务。</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5.“书面形式”包括信函、传真、电报等。</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6.“★”系指招标采购文件的实质性要求条款。</w:t>
      </w:r>
      <w:bookmarkStart w:id="23" w:name="_Toc436330197"/>
      <w:bookmarkStart w:id="24" w:name="_Toc317685561"/>
      <w:bookmarkStart w:id="25" w:name="_Toc304292179"/>
    </w:p>
    <w:p>
      <w:pPr>
        <w:widowControl/>
        <w:spacing w:line="360" w:lineRule="auto"/>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（三）招标方式</w:t>
      </w:r>
      <w:bookmarkEnd w:id="23"/>
      <w:bookmarkEnd w:id="24"/>
      <w:bookmarkEnd w:id="25"/>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本次招标采用公开招标方式进行。</w:t>
      </w:r>
      <w:bookmarkStart w:id="26" w:name="_Toc304292180"/>
      <w:bookmarkStart w:id="27" w:name="_Toc317685562"/>
      <w:bookmarkStart w:id="28" w:name="_Toc436330198"/>
    </w:p>
    <w:p>
      <w:pPr>
        <w:widowControl/>
        <w:spacing w:line="360" w:lineRule="auto"/>
        <w:jc w:val="left"/>
        <w:rPr>
          <w:rFonts w:ascii="Arial" w:hAnsi="Arial" w:cs="Arial"/>
          <w:b/>
          <w:color w:val="auto"/>
          <w:sz w:val="22"/>
          <w:szCs w:val="22"/>
          <w:highlight w:val="none"/>
        </w:rPr>
      </w:pPr>
      <w:r>
        <w:rPr>
          <w:rFonts w:ascii="Arial" w:hAnsi="Arial" w:cs="Arial"/>
          <w:b/>
          <w:color w:val="auto"/>
          <w:sz w:val="22"/>
          <w:szCs w:val="22"/>
          <w:highlight w:val="none"/>
        </w:rPr>
        <w:t xml:space="preserve">    （四）投标委托</w:t>
      </w:r>
      <w:bookmarkEnd w:id="26"/>
      <w:bookmarkEnd w:id="27"/>
      <w:bookmarkEnd w:id="28"/>
    </w:p>
    <w:p>
      <w:pPr>
        <w:widowControl/>
        <w:spacing w:line="360" w:lineRule="auto"/>
        <w:ind w:firstLine="442" w:firstLineChars="200"/>
        <w:jc w:val="left"/>
        <w:rPr>
          <w:rFonts w:ascii="Arial" w:hAnsi="Arial" w:cs="Arial"/>
          <w:b/>
          <w:color w:val="auto"/>
          <w:sz w:val="22"/>
          <w:szCs w:val="22"/>
          <w:highlight w:val="none"/>
          <w:u w:val="single"/>
        </w:rPr>
      </w:pPr>
      <w:bookmarkStart w:id="29" w:name="_Toc436330199"/>
      <w:r>
        <w:rPr>
          <w:rFonts w:ascii="Arial" w:hAnsi="Arial" w:cs="Arial"/>
          <w:b/>
          <w:color w:val="auto"/>
          <w:sz w:val="22"/>
          <w:szCs w:val="22"/>
          <w:highlight w:val="none"/>
          <w:u w:val="single"/>
        </w:rPr>
        <w:t>★投标人代表须为投标人法定代表人或本单位的法定代表人授权代表。提交投标文件时，投标人代表须携带身份证明原件供查验，如为法定代表人授权代表参加投标的还须携带法定代表人出具的授权委托书原件供查验。提交投标文件时，未能出具上述资料的，投标文件将被拒收。</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文件中附法定代表人身份证正反面复印件，如投标人代表不是法定代表人，投标文件中还须有法定代表人出具的授权委托书（投标文件正本用原件，格式见第六章投标文件格式中的相应内容）及法定代表人授权代表身份证正反面复印件。</w:t>
      </w:r>
    </w:p>
    <w:p>
      <w:pPr>
        <w:widowControl/>
        <w:spacing w:line="360" w:lineRule="auto"/>
        <w:ind w:firstLine="442" w:firstLineChars="200"/>
        <w:jc w:val="left"/>
        <w:rPr>
          <w:rFonts w:ascii="Arial" w:hAnsi="Arial" w:cs="Arial"/>
          <w:b/>
          <w:color w:val="auto"/>
          <w:sz w:val="22"/>
          <w:szCs w:val="22"/>
          <w:highlight w:val="none"/>
        </w:rPr>
      </w:pPr>
      <w:r>
        <w:rPr>
          <w:rFonts w:ascii="Arial" w:hAnsi="Arial" w:cs="Arial"/>
          <w:b/>
          <w:bCs/>
          <w:color w:val="auto"/>
          <w:sz w:val="22"/>
          <w:szCs w:val="22"/>
          <w:highlight w:val="none"/>
        </w:rPr>
        <w:t>（五）</w:t>
      </w:r>
      <w:bookmarkEnd w:id="29"/>
      <w:r>
        <w:rPr>
          <w:rFonts w:ascii="Arial" w:hAnsi="Arial" w:cs="Arial"/>
          <w:b/>
          <w:color w:val="auto"/>
          <w:sz w:val="22"/>
          <w:szCs w:val="22"/>
          <w:highlight w:val="none"/>
        </w:rPr>
        <w:t>投标费用</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bookmarkStart w:id="30" w:name="_Toc436330200"/>
      <w:r>
        <w:rPr>
          <w:rFonts w:ascii="Arial" w:hAnsi="Arial" w:cs="Arial"/>
          <w:color w:val="auto"/>
          <w:sz w:val="22"/>
          <w:szCs w:val="22"/>
          <w:highlight w:val="none"/>
        </w:rPr>
        <w:t>不论投标结果如何，投标人均应自行承担所有与投标有关的全部费用（招标采购文件有相反规定除外）。</w:t>
      </w:r>
    </w:p>
    <w:p>
      <w:pPr>
        <w:widowControl/>
        <w:spacing w:line="360" w:lineRule="auto"/>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（六）联合体投标</w:t>
      </w:r>
      <w:bookmarkEnd w:id="30"/>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本项目不接受联合体投标。</w:t>
      </w:r>
      <w:bookmarkStart w:id="31" w:name="_Toc317685564"/>
      <w:bookmarkStart w:id="32" w:name="_Toc436330201"/>
    </w:p>
    <w:p>
      <w:pPr>
        <w:widowControl/>
        <w:numPr>
          <w:ilvl w:val="0"/>
          <w:numId w:val="5"/>
        </w:numPr>
        <w:spacing w:line="360" w:lineRule="auto"/>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转包与分包</w:t>
      </w:r>
      <w:bookmarkEnd w:id="31"/>
      <w:bookmarkEnd w:id="32"/>
    </w:p>
    <w:p>
      <w:pPr>
        <w:widowControl/>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★本项目不允许转包，不可以采取分包方式履行合同。</w:t>
      </w:r>
    </w:p>
    <w:p>
      <w:pPr>
        <w:widowControl/>
        <w:spacing w:line="360" w:lineRule="auto"/>
        <w:ind w:firstLine="433" w:firstLineChars="196"/>
        <w:jc w:val="left"/>
        <w:outlineLvl w:val="1"/>
        <w:rPr>
          <w:rFonts w:ascii="Arial" w:hAnsi="Arial" w:cs="Arial"/>
          <w:b/>
          <w:color w:val="auto"/>
          <w:sz w:val="22"/>
          <w:szCs w:val="22"/>
          <w:highlight w:val="none"/>
        </w:rPr>
      </w:pPr>
      <w:bookmarkStart w:id="33" w:name="_Toc317685565"/>
      <w:bookmarkStart w:id="34" w:name="_Toc304292182"/>
      <w:bookmarkStart w:id="35" w:name="_Toc436330202"/>
      <w:r>
        <w:rPr>
          <w:rFonts w:ascii="Arial" w:hAnsi="Arial" w:cs="Arial"/>
          <w:b/>
          <w:color w:val="auto"/>
          <w:sz w:val="22"/>
          <w:szCs w:val="22"/>
          <w:highlight w:val="none"/>
        </w:rPr>
        <w:t>（八）特别说明：</w:t>
      </w:r>
      <w:bookmarkEnd w:id="33"/>
      <w:bookmarkEnd w:id="34"/>
      <w:bookmarkEnd w:id="35"/>
    </w:p>
    <w:p>
      <w:pPr>
        <w:widowControl/>
        <w:spacing w:line="360" w:lineRule="auto"/>
        <w:ind w:firstLine="442" w:firstLineChars="200"/>
        <w:jc w:val="left"/>
        <w:rPr>
          <w:rFonts w:ascii="Arial" w:hAnsi="Arial" w:cs="Arial"/>
          <w:b/>
          <w:bCs/>
          <w:color w:val="auto"/>
          <w:sz w:val="22"/>
          <w:szCs w:val="22"/>
          <w:highlight w:val="none"/>
        </w:rPr>
      </w:pPr>
      <w:bookmarkStart w:id="36" w:name="_Toc304292183"/>
      <w:bookmarkStart w:id="37" w:name="_Toc436330203"/>
      <w:bookmarkStart w:id="38" w:name="_Toc317685566"/>
      <w:r>
        <w:rPr>
          <w:rFonts w:ascii="Arial" w:hAnsi="Arial" w:cs="Arial"/>
          <w:b/>
          <w:bCs/>
          <w:color w:val="auto"/>
          <w:sz w:val="22"/>
          <w:szCs w:val="22"/>
          <w:highlight w:val="none"/>
        </w:rPr>
        <w:t>1.投标人投标所使用的投标人的资格、信誉、荣誉、业绩与企业认证必须为本法人所拥有。</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★2.投标人应仔细阅读招标采购文件的所有内容，按照招标采购文件的要求提交投标文件，并对所提供的全部资料的真实性承担法律责任。</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3.投标人在投标活动中提供任何虚假材料，其投标无效，并报监管部门查处；中标后发现的，中标投标人须依照《中华人民共和国消费者权益保护法》第49条之规定双倍赔偿采购人，且民事赔偿并不免除违法投标人的行政与刑事责任。</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4.法律和国务院行政法规规定或授权有关部门规定供应商或产品进入市场须先行取得相关认证或许可的，投标人须提供相应的认证或许可证明材料。未能提供相应的认证或许可证明材料或者虽经认证、许可但认证或许可证明材料已经失效的投标人不能被确认为中标人。</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5、针对货物采购的特别说明：</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bookmarkEnd w:id="36"/>
    <w:bookmarkEnd w:id="37"/>
    <w:bookmarkEnd w:id="38"/>
    <w:p>
      <w:pPr>
        <w:widowControl/>
        <w:spacing w:line="360" w:lineRule="auto"/>
        <w:ind w:firstLine="442" w:firstLineChars="200"/>
        <w:jc w:val="left"/>
        <w:rPr>
          <w:rFonts w:ascii="Arial" w:hAnsi="Arial" w:cs="Arial"/>
          <w:bCs/>
          <w:color w:val="auto"/>
          <w:sz w:val="22"/>
          <w:szCs w:val="22"/>
          <w:highlight w:val="none"/>
        </w:rPr>
      </w:pPr>
      <w:r>
        <w:rPr>
          <w:rFonts w:ascii="Arial" w:hAnsi="Arial" w:cs="Arial"/>
          <w:b/>
          <w:color w:val="auto"/>
          <w:sz w:val="22"/>
          <w:szCs w:val="22"/>
          <w:highlight w:val="none"/>
        </w:rPr>
        <w:t>（九）质疑和投诉</w:t>
      </w:r>
    </w:p>
    <w:p>
      <w:pPr>
        <w:widowControl/>
        <w:spacing w:line="360" w:lineRule="auto"/>
        <w:ind w:firstLine="440" w:firstLineChars="200"/>
        <w:jc w:val="left"/>
        <w:rPr>
          <w:rFonts w:ascii="Arial" w:hAnsi="Arial" w:cs="Arial"/>
          <w:bCs/>
          <w:color w:val="auto"/>
          <w:sz w:val="22"/>
          <w:szCs w:val="22"/>
          <w:highlight w:val="none"/>
        </w:rPr>
      </w:pPr>
      <w:r>
        <w:rPr>
          <w:rFonts w:ascii="Arial" w:hAnsi="Arial" w:cs="Arial"/>
          <w:bCs/>
          <w:color w:val="auto"/>
          <w:sz w:val="22"/>
          <w:szCs w:val="22"/>
          <w:highlight w:val="none"/>
        </w:rPr>
        <w:t>1.投标人认为招标采购过程或中标结果使自己的合法权益受到损害的，须在应知其利益受损之日起七个工作日内以书面形式向采购人或代理机构提出质疑</w:t>
      </w:r>
      <w:r>
        <w:rPr>
          <w:rFonts w:ascii="Arial" w:hAnsi="Arial" w:cs="Arial"/>
          <w:b/>
          <w:bCs/>
          <w:color w:val="auto"/>
          <w:sz w:val="22"/>
          <w:szCs w:val="22"/>
          <w:highlight w:val="none"/>
        </w:rPr>
        <w:t>（注：投标人须在法定质疑期内一次性提出针对同一采购程序环节的质疑）</w:t>
      </w:r>
      <w:r>
        <w:rPr>
          <w:rFonts w:ascii="Arial" w:hAnsi="Arial" w:cs="Arial"/>
          <w:bCs/>
          <w:color w:val="auto"/>
          <w:sz w:val="22"/>
          <w:szCs w:val="22"/>
          <w:highlight w:val="none"/>
        </w:rPr>
        <w:t>。投标人对采购人或代理机构的质疑答复不满意或者采购人或代理机构未在规定期限内作出答复的，投标人可以在答复期满后15个工作日内向政府采购活动监督管理部门提起投诉。质疑、投诉均须采用书面形式（需符合财政部令第94号政府采购质疑和投诉办法要求），质疑、投诉资料均应明确阐述招标采购过程、中标结果使自己合法权益受到损害的实质性内容，提供相关事实、依据和证据及其来源或线索，便于有关单位调查、答复和处理。</w:t>
      </w:r>
    </w:p>
    <w:p>
      <w:pPr>
        <w:widowControl/>
        <w:spacing w:line="360" w:lineRule="auto"/>
        <w:ind w:firstLine="440" w:firstLineChars="200"/>
        <w:jc w:val="left"/>
        <w:rPr>
          <w:rFonts w:ascii="Arial" w:hAnsi="Arial" w:cs="Arial"/>
          <w:bCs/>
          <w:color w:val="auto"/>
          <w:sz w:val="22"/>
          <w:szCs w:val="22"/>
          <w:highlight w:val="none"/>
        </w:rPr>
      </w:pPr>
      <w:r>
        <w:rPr>
          <w:rFonts w:ascii="Arial" w:hAnsi="Arial" w:cs="Arial"/>
          <w:bCs/>
          <w:color w:val="auto"/>
          <w:sz w:val="22"/>
          <w:szCs w:val="22"/>
          <w:highlight w:val="none"/>
        </w:rPr>
        <w:t>2.供应商对招标采购文件有质疑的，须在应知其利益受到损害之日起七个工作日内以书面形式提出，应知其利益受到损害之日的截止时间为采购文件公告期满之日，采购文件公告期限为：</w:t>
      </w:r>
      <w:r>
        <w:rPr>
          <w:rFonts w:ascii="Arial" w:hAnsi="Arial" w:cs="Arial"/>
          <w:bCs/>
          <w:color w:val="auto"/>
          <w:sz w:val="22"/>
          <w:szCs w:val="22"/>
          <w:highlight w:val="none"/>
          <w:u w:val="single"/>
        </w:rPr>
        <w:t>自本招标采购文件规定的指定媒体最先发布公告之日起算5个工作日（具体详见本公开招标采购公告）</w:t>
      </w:r>
      <w:r>
        <w:rPr>
          <w:rFonts w:ascii="Arial" w:hAnsi="Arial" w:cs="Arial"/>
          <w:bCs/>
          <w:color w:val="auto"/>
          <w:sz w:val="22"/>
          <w:szCs w:val="22"/>
          <w:highlight w:val="none"/>
        </w:rPr>
        <w:t>，逾期提出的质疑将不予受理。对采购文件的质疑、投诉均须采用书面形式（需符合财政部令第94号政府采购质疑和投诉办法要求），质疑、投诉资料均应明确阐述采购文件使自己合法权益受到损害的实质性内容，提供相关事实、依据和证据及其来源或线索，便于有关单位调查、答复和处理。</w:t>
      </w:r>
    </w:p>
    <w:p>
      <w:pPr>
        <w:widowControl/>
        <w:spacing w:line="360" w:lineRule="auto"/>
        <w:ind w:firstLine="440" w:firstLineChars="200"/>
        <w:jc w:val="left"/>
        <w:rPr>
          <w:rFonts w:ascii="Arial" w:hAnsi="Arial" w:cs="Arial"/>
          <w:bCs/>
          <w:color w:val="auto"/>
          <w:sz w:val="22"/>
          <w:szCs w:val="22"/>
          <w:highlight w:val="none"/>
        </w:rPr>
      </w:pPr>
      <w:r>
        <w:rPr>
          <w:rFonts w:ascii="Arial" w:hAnsi="Arial" w:cs="Arial"/>
          <w:bCs/>
          <w:color w:val="auto"/>
          <w:sz w:val="22"/>
          <w:szCs w:val="22"/>
          <w:highlight w:val="none"/>
        </w:rPr>
        <w:t>3. 接收书面质疑文件的方式：质疑人可通过送达、邮寄、传真的形式提交书面质疑文件，通过邮寄方式提交的书面质疑文件以被质疑人签收邮件之日为收到书面质疑文件之日，通过传真方式提交的书面质疑文件以被质疑人收到书面质疑文件原件之日为收到书面质疑文件之日，被质疑人处理质疑联系部门：代理机构招标采购部，联系人：沈滋炜，联系电话/传真：0574-87298497，通讯地址：宁波市鄞州区前河南路88号新洲银座1501-6室。</w:t>
      </w:r>
    </w:p>
    <w:p>
      <w:pPr>
        <w:widowControl/>
        <w:spacing w:line="360" w:lineRule="auto"/>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（十）关于知识产权</w:t>
      </w:r>
    </w:p>
    <w:p>
      <w:pPr>
        <w:widowControl/>
        <w:spacing w:line="360" w:lineRule="auto"/>
        <w:ind w:firstLine="440" w:firstLineChars="200"/>
        <w:jc w:val="left"/>
        <w:rPr>
          <w:rFonts w:ascii="Arial" w:hAnsi="Arial" w:cs="Arial"/>
          <w:bCs/>
          <w:color w:val="auto"/>
          <w:sz w:val="22"/>
          <w:szCs w:val="22"/>
          <w:highlight w:val="none"/>
        </w:rPr>
      </w:pPr>
      <w:r>
        <w:rPr>
          <w:rFonts w:ascii="Arial" w:hAnsi="Arial" w:cs="Arial"/>
          <w:bCs/>
          <w:color w:val="auto"/>
          <w:sz w:val="22"/>
          <w:szCs w:val="22"/>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40" w:firstLineChars="200"/>
        <w:jc w:val="left"/>
        <w:rPr>
          <w:rFonts w:ascii="Arial" w:hAnsi="Arial" w:cs="Arial"/>
          <w:bCs/>
          <w:color w:val="auto"/>
          <w:sz w:val="22"/>
          <w:szCs w:val="22"/>
          <w:highlight w:val="none"/>
        </w:rPr>
      </w:pPr>
      <w:r>
        <w:rPr>
          <w:rFonts w:ascii="Arial" w:hAnsi="Arial" w:cs="Arial"/>
          <w:bCs/>
          <w:color w:val="auto"/>
          <w:sz w:val="22"/>
          <w:szCs w:val="22"/>
          <w:highlight w:val="none"/>
        </w:rPr>
        <w:t>2.投标报价应包含所有应向所有权人支付的专利权、商标权或其它知识产权的一切相关费用。</w:t>
      </w:r>
    </w:p>
    <w:p>
      <w:pPr>
        <w:pStyle w:val="25"/>
        <w:widowControl/>
        <w:spacing w:beforeLines="0" w:afterLines="0" w:line="360" w:lineRule="auto"/>
        <w:ind w:firstLine="440" w:firstLineChars="200"/>
        <w:jc w:val="left"/>
        <w:rPr>
          <w:rFonts w:hint="default" w:ascii="Arial" w:hAnsi="Arial" w:cs="Arial"/>
          <w:bCs/>
          <w:color w:val="auto"/>
          <w:sz w:val="22"/>
          <w:szCs w:val="22"/>
          <w:highlight w:val="none"/>
        </w:rPr>
      </w:pPr>
      <w:r>
        <w:rPr>
          <w:rFonts w:ascii="Arial" w:hAnsi="Arial" w:cs="Arial"/>
          <w:bCs/>
          <w:color w:val="auto"/>
          <w:sz w:val="22"/>
          <w:szCs w:val="22"/>
          <w:highlight w:val="none"/>
        </w:rPr>
        <w:t>3.系统软件、通用软件必须是具有在中国境内的合法使用权或版权的正版软件，涉及到第三方提出侵权或知识产权的起诉及支付版税等费用由投标人承担所有责任及费用。</w:t>
      </w:r>
    </w:p>
    <w:p>
      <w:pPr>
        <w:widowControl/>
        <w:spacing w:line="360" w:lineRule="auto"/>
        <w:jc w:val="left"/>
        <w:outlineLvl w:val="1"/>
        <w:rPr>
          <w:rFonts w:ascii="Arial" w:hAnsi="Arial" w:cs="Arial"/>
          <w:b/>
          <w:color w:val="auto"/>
          <w:sz w:val="22"/>
          <w:szCs w:val="22"/>
          <w:highlight w:val="none"/>
        </w:rPr>
      </w:pPr>
      <w:bookmarkStart w:id="39" w:name="_Toc436330204"/>
      <w:bookmarkStart w:id="40" w:name="_Toc317685567"/>
      <w:bookmarkStart w:id="41" w:name="_Toc304292184"/>
      <w:r>
        <w:rPr>
          <w:rFonts w:ascii="Arial" w:hAnsi="Arial" w:cs="Arial"/>
          <w:b/>
          <w:color w:val="auto"/>
          <w:sz w:val="22"/>
          <w:szCs w:val="22"/>
          <w:highlight w:val="none"/>
        </w:rPr>
        <w:t>二、</w:t>
      </w:r>
      <w:bookmarkEnd w:id="39"/>
      <w:bookmarkEnd w:id="40"/>
      <w:bookmarkEnd w:id="41"/>
      <w:bookmarkStart w:id="42" w:name="_Toc436330205"/>
      <w:bookmarkStart w:id="43" w:name="_Toc317685568"/>
      <w:r>
        <w:rPr>
          <w:rFonts w:ascii="Arial" w:hAnsi="Arial" w:cs="Arial"/>
          <w:b/>
          <w:color w:val="auto"/>
          <w:sz w:val="22"/>
          <w:szCs w:val="22"/>
          <w:highlight w:val="none"/>
        </w:rPr>
        <w:t>公开招标采购文件</w:t>
      </w:r>
    </w:p>
    <w:p>
      <w:pPr>
        <w:widowControl/>
        <w:spacing w:line="360" w:lineRule="auto"/>
        <w:ind w:firstLine="442" w:firstLineChars="200"/>
        <w:jc w:val="left"/>
        <w:outlineLvl w:val="1"/>
        <w:rPr>
          <w:rFonts w:ascii="Arial" w:hAnsi="Arial" w:cs="Arial"/>
          <w:b/>
          <w:color w:val="auto"/>
          <w:sz w:val="22"/>
          <w:szCs w:val="22"/>
          <w:highlight w:val="none"/>
        </w:rPr>
      </w:pPr>
      <w:r>
        <w:rPr>
          <w:rFonts w:ascii="Arial" w:hAnsi="Arial" w:cs="Arial"/>
          <w:b/>
          <w:color w:val="auto"/>
          <w:sz w:val="22"/>
          <w:szCs w:val="22"/>
          <w:highlight w:val="none"/>
        </w:rPr>
        <w:t>（一）招标采购文件的构成。本招标采购文件由以下部分组成：</w:t>
      </w:r>
      <w:bookmarkEnd w:id="42"/>
      <w:bookmarkEnd w:id="43"/>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1.公开招标采购公告</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2.招标需求</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3.投标人须知</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4.评标办法及评分标准</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5.拟签订的采购合同文本</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6.投标文件格式</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7.招标采购文件的澄清、答复、修改、补充的内容</w:t>
      </w:r>
      <w:bookmarkStart w:id="44" w:name="_Toc317685569"/>
      <w:bookmarkStart w:id="45" w:name="_Toc436330206"/>
    </w:p>
    <w:p>
      <w:pPr>
        <w:widowControl/>
        <w:spacing w:line="360" w:lineRule="auto"/>
        <w:ind w:firstLine="442" w:firstLineChars="200"/>
        <w:jc w:val="left"/>
        <w:rPr>
          <w:rFonts w:ascii="Arial" w:hAnsi="Arial" w:cs="Arial"/>
          <w:b/>
          <w:color w:val="auto"/>
          <w:sz w:val="22"/>
          <w:szCs w:val="22"/>
          <w:highlight w:val="none"/>
        </w:rPr>
      </w:pPr>
      <w:r>
        <w:rPr>
          <w:rFonts w:ascii="Arial" w:hAnsi="Arial" w:cs="Arial"/>
          <w:b/>
          <w:color w:val="auto"/>
          <w:sz w:val="22"/>
          <w:szCs w:val="22"/>
          <w:highlight w:val="none"/>
        </w:rPr>
        <w:t>（二）投标人的风险</w:t>
      </w:r>
      <w:bookmarkEnd w:id="44"/>
      <w:bookmarkEnd w:id="45"/>
    </w:p>
    <w:p>
      <w:pPr>
        <w:pStyle w:val="36"/>
        <w:widowControl/>
        <w:spacing w:line="360" w:lineRule="auto"/>
        <w:ind w:firstLine="440"/>
        <w:rPr>
          <w:rFonts w:ascii="Arial" w:hAnsi="Arial" w:eastAsia="宋体" w:cs="Arial"/>
          <w:color w:val="auto"/>
          <w:sz w:val="22"/>
          <w:szCs w:val="22"/>
          <w:highlight w:val="none"/>
        </w:rPr>
      </w:pPr>
      <w:bookmarkStart w:id="46" w:name="_Toc317685570"/>
      <w:bookmarkStart w:id="47" w:name="_Toc436330207"/>
      <w:r>
        <w:rPr>
          <w:rFonts w:ascii="Arial" w:hAnsi="Arial" w:eastAsia="宋体" w:cs="Arial"/>
          <w:color w:val="auto"/>
          <w:sz w:val="22"/>
          <w:szCs w:val="22"/>
          <w:highlight w:val="none"/>
        </w:rPr>
        <w:t>1.投标人应详细阅读招标采购文件中的全部内容和要求，按照招标采购文件的要求提交投标文件，没有按照招标采购文件要求提供投标文件和资料导致的风险由投标人承担，并对所提供的全部资料的真实性承担法律责任。</w:t>
      </w:r>
    </w:p>
    <w:p>
      <w:pPr>
        <w:pStyle w:val="36"/>
        <w:widowControl/>
        <w:spacing w:line="360" w:lineRule="auto"/>
        <w:ind w:firstLine="440"/>
        <w:rPr>
          <w:rFonts w:ascii="Arial" w:hAnsi="Arial" w:eastAsia="宋体" w:cs="Arial"/>
          <w:color w:val="auto"/>
          <w:sz w:val="22"/>
          <w:szCs w:val="22"/>
          <w:highlight w:val="none"/>
        </w:rPr>
      </w:pPr>
      <w:r>
        <w:rPr>
          <w:rFonts w:ascii="Arial" w:hAnsi="Arial" w:eastAsia="宋体" w:cs="Arial"/>
          <w:color w:val="auto"/>
          <w:sz w:val="22"/>
          <w:szCs w:val="22"/>
          <w:highlight w:val="none"/>
        </w:rPr>
        <w:t>2.无论因何种原因导致本次采购活动终止致投标人损失的，相关责任人均不承担任何责任。</w:t>
      </w:r>
    </w:p>
    <w:p>
      <w:pPr>
        <w:pStyle w:val="36"/>
        <w:widowControl/>
        <w:snapToGrid/>
        <w:spacing w:line="360" w:lineRule="auto"/>
        <w:ind w:firstLine="442"/>
        <w:rPr>
          <w:rFonts w:ascii="Arial" w:hAnsi="Arial" w:eastAsia="宋体" w:cs="Arial"/>
          <w:b/>
          <w:color w:val="auto"/>
          <w:sz w:val="22"/>
          <w:szCs w:val="22"/>
          <w:highlight w:val="none"/>
        </w:rPr>
      </w:pPr>
      <w:r>
        <w:rPr>
          <w:rFonts w:ascii="Arial" w:hAnsi="Arial" w:eastAsia="宋体" w:cs="Arial"/>
          <w:b/>
          <w:color w:val="auto"/>
          <w:sz w:val="22"/>
          <w:szCs w:val="22"/>
          <w:highlight w:val="none"/>
        </w:rPr>
        <w:t>（三）招标采购文件的澄清与修改</w:t>
      </w:r>
      <w:bookmarkEnd w:id="46"/>
      <w:bookmarkEnd w:id="47"/>
    </w:p>
    <w:p>
      <w:pPr>
        <w:pStyle w:val="36"/>
        <w:widowControl/>
        <w:spacing w:line="360" w:lineRule="auto"/>
        <w:ind w:firstLine="440"/>
        <w:rPr>
          <w:rFonts w:ascii="Arial" w:hAnsi="Arial" w:eastAsia="宋体" w:cs="Arial"/>
          <w:bCs/>
          <w:color w:val="auto"/>
          <w:sz w:val="22"/>
          <w:szCs w:val="22"/>
          <w:highlight w:val="none"/>
        </w:rPr>
      </w:pPr>
      <w:bookmarkStart w:id="48" w:name="_Toc317685571"/>
      <w:bookmarkStart w:id="49" w:name="_Toc304292185"/>
      <w:bookmarkStart w:id="50" w:name="_Toc436330209"/>
      <w:r>
        <w:rPr>
          <w:rFonts w:ascii="Arial" w:hAnsi="Arial" w:eastAsia="宋体" w:cs="Arial"/>
          <w:bCs/>
          <w:color w:val="auto"/>
          <w:sz w:val="22"/>
          <w:szCs w:val="22"/>
          <w:highlight w:val="none"/>
        </w:rPr>
        <w:t>1.采购人或者采购代理机构可以对已发出的招标采购文件进行必要的澄清或者修改，但不得改变采购标的和资格条件。澄清或者修改应当在原公告发布媒体上发布澄清公告。澄清或者修改的内容为招标采购文件的组成部分。</w:t>
      </w:r>
    </w:p>
    <w:p>
      <w:pPr>
        <w:pStyle w:val="36"/>
        <w:widowControl/>
        <w:spacing w:line="360" w:lineRule="auto"/>
        <w:ind w:firstLine="440"/>
        <w:rPr>
          <w:rFonts w:ascii="Arial" w:hAnsi="Arial" w:eastAsia="宋体" w:cs="Arial"/>
          <w:bCs/>
          <w:color w:val="auto"/>
          <w:sz w:val="22"/>
          <w:szCs w:val="22"/>
          <w:highlight w:val="none"/>
        </w:rPr>
      </w:pPr>
      <w:r>
        <w:rPr>
          <w:rFonts w:ascii="Arial" w:hAnsi="Arial" w:eastAsia="宋体" w:cs="Arial"/>
          <w:bCs/>
          <w:color w:val="auto"/>
          <w:sz w:val="22"/>
          <w:szCs w:val="22"/>
          <w:highlight w:val="none"/>
        </w:rPr>
        <w:t>澄清或者修改的内容可能影响投标文件编制的，采购人或者采购代理机构应当在投标截止时间至少15日前，以书面形式通知所有获取招标采购文件的潜在投标人；不足15日的，采购人或者采购代理机构应当顺延提交投标文件的截止时间。</w:t>
      </w:r>
    </w:p>
    <w:p>
      <w:pPr>
        <w:pStyle w:val="36"/>
        <w:widowControl/>
        <w:spacing w:line="360" w:lineRule="auto"/>
        <w:ind w:firstLine="440"/>
        <w:rPr>
          <w:rFonts w:ascii="Arial" w:hAnsi="Arial" w:eastAsia="宋体" w:cs="Arial"/>
          <w:bCs/>
          <w:color w:val="auto"/>
          <w:sz w:val="22"/>
          <w:szCs w:val="22"/>
          <w:highlight w:val="none"/>
        </w:rPr>
      </w:pPr>
      <w:r>
        <w:rPr>
          <w:rFonts w:ascii="Arial" w:hAnsi="Arial" w:eastAsia="宋体" w:cs="Arial"/>
          <w:bCs/>
          <w:color w:val="auto"/>
          <w:sz w:val="22"/>
          <w:szCs w:val="22"/>
          <w:highlight w:val="none"/>
        </w:rPr>
        <w:t>2.采购代理机构必须以书面形式答复投标人要求澄清的问题，并将不包含问题来源的答复书面通知所有购买招标采购文件的投标人；除书面答复以外的其他澄清方式及澄清内容均无效。</w:t>
      </w:r>
    </w:p>
    <w:p>
      <w:pPr>
        <w:pStyle w:val="36"/>
        <w:widowControl/>
        <w:spacing w:line="360" w:lineRule="auto"/>
        <w:ind w:firstLine="440"/>
        <w:rPr>
          <w:rFonts w:ascii="Arial" w:hAnsi="Arial" w:eastAsia="宋体" w:cs="Arial"/>
          <w:bCs/>
          <w:color w:val="auto"/>
          <w:sz w:val="22"/>
          <w:szCs w:val="22"/>
          <w:highlight w:val="none"/>
        </w:rPr>
      </w:pPr>
      <w:r>
        <w:rPr>
          <w:rFonts w:ascii="Arial" w:hAnsi="Arial" w:eastAsia="宋体" w:cs="Arial"/>
          <w:bCs/>
          <w:color w:val="auto"/>
          <w:sz w:val="22"/>
          <w:szCs w:val="22"/>
          <w:highlight w:val="none"/>
        </w:rPr>
        <w:t>3.采购文件澄清、答复、修改、补充的内容为采购文件的组成部分。当招标采购文件与招标采购文件的答复、澄清、修改、补充通知就同一内容的表述不一致时，以最后发出的书面文件为准。</w:t>
      </w:r>
    </w:p>
    <w:p>
      <w:pPr>
        <w:pStyle w:val="36"/>
        <w:widowControl/>
        <w:snapToGrid/>
        <w:spacing w:line="360" w:lineRule="auto"/>
        <w:ind w:firstLine="440"/>
        <w:rPr>
          <w:rFonts w:ascii="Arial" w:hAnsi="Arial" w:eastAsia="宋体" w:cs="Arial"/>
          <w:bCs/>
          <w:color w:val="auto"/>
          <w:sz w:val="22"/>
          <w:szCs w:val="22"/>
          <w:highlight w:val="none"/>
        </w:rPr>
      </w:pPr>
      <w:r>
        <w:rPr>
          <w:rFonts w:ascii="Arial" w:hAnsi="Arial" w:eastAsia="宋体" w:cs="Arial"/>
          <w:bCs/>
          <w:color w:val="auto"/>
          <w:sz w:val="22"/>
          <w:szCs w:val="22"/>
          <w:highlight w:val="none"/>
        </w:rPr>
        <w:t>4.招标采购文件的澄清、答复、修改或补充都应该通过本采购代理机构以法定形式发布，采购人非通过本招标采购机构，不得擅自澄清、答复、修改或补充招标采购文件。</w:t>
      </w:r>
    </w:p>
    <w:p>
      <w:pPr>
        <w:pStyle w:val="36"/>
        <w:widowControl/>
        <w:snapToGrid/>
        <w:spacing w:line="360" w:lineRule="auto"/>
        <w:ind w:firstLine="440"/>
        <w:rPr>
          <w:rFonts w:ascii="Arial" w:hAnsi="Arial" w:eastAsia="宋体" w:cs="Arial"/>
          <w:bCs/>
          <w:color w:val="auto"/>
          <w:sz w:val="22"/>
          <w:szCs w:val="22"/>
          <w:highlight w:val="none"/>
        </w:rPr>
      </w:pPr>
      <w:r>
        <w:rPr>
          <w:rFonts w:ascii="Arial" w:hAnsi="Arial" w:eastAsia="宋体" w:cs="Arial"/>
          <w:bCs/>
          <w:color w:val="auto"/>
          <w:sz w:val="22"/>
          <w:szCs w:val="22"/>
          <w:highlight w:val="none"/>
        </w:rPr>
        <w:t>5.如更正公告有重新发布电子招标采购文件的，投标人应下载最新发布的电子招标采购文件制作投标文件。</w:t>
      </w:r>
    </w:p>
    <w:p>
      <w:pPr>
        <w:widowControl/>
        <w:tabs>
          <w:tab w:val="left" w:pos="518"/>
        </w:tabs>
        <w:adjustRightInd w:val="0"/>
        <w:spacing w:line="360" w:lineRule="auto"/>
        <w:ind w:firstLine="440" w:firstLineChars="200"/>
        <w:jc w:val="left"/>
        <w:rPr>
          <w:rFonts w:ascii="Arial" w:hAnsi="Arial" w:cs="Arial"/>
          <w:color w:val="auto"/>
          <w:sz w:val="22"/>
          <w:szCs w:val="22"/>
          <w:highlight w:val="none"/>
        </w:rPr>
      </w:pPr>
      <w:r>
        <w:rPr>
          <w:rFonts w:ascii="Arial" w:hAnsi="Arial" w:cs="Arial"/>
          <w:bCs/>
          <w:color w:val="auto"/>
          <w:sz w:val="22"/>
          <w:szCs w:val="22"/>
          <w:highlight w:val="none"/>
        </w:rPr>
        <w:t>6.投标人在规定的时间内未对招标采购文件提出疑问、质疑或要求澄清的，将视其为无异议。对招标采购文件中描述有歧义或前后不一致的地方，评标委员会有权进行评判，但对同一条款的评判应适用于每个投标人。</w:t>
      </w:r>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三、投标文件的编制</w:t>
      </w:r>
      <w:bookmarkEnd w:id="48"/>
      <w:bookmarkEnd w:id="49"/>
      <w:bookmarkEnd w:id="50"/>
    </w:p>
    <w:p>
      <w:pPr>
        <w:widowControl/>
        <w:spacing w:line="360" w:lineRule="auto"/>
        <w:ind w:firstLine="442" w:firstLineChars="200"/>
        <w:jc w:val="left"/>
        <w:outlineLvl w:val="1"/>
        <w:rPr>
          <w:rFonts w:ascii="Arial" w:hAnsi="Arial" w:cs="Arial"/>
          <w:b/>
          <w:color w:val="auto"/>
          <w:sz w:val="22"/>
          <w:szCs w:val="22"/>
          <w:highlight w:val="none"/>
          <w:u w:val="single"/>
        </w:rPr>
      </w:pPr>
      <w:bookmarkStart w:id="51" w:name="_Toc304292186"/>
      <w:bookmarkStart w:id="52" w:name="_Toc436330210"/>
      <w:bookmarkStart w:id="53" w:name="_Toc317685572"/>
      <w:r>
        <w:rPr>
          <w:rFonts w:ascii="Arial" w:hAnsi="Arial" w:cs="Arial"/>
          <w:b/>
          <w:color w:val="auto"/>
          <w:sz w:val="22"/>
          <w:szCs w:val="22"/>
          <w:highlight w:val="none"/>
          <w:u w:val="single"/>
        </w:rPr>
        <w:t>（一）投标文件的组成</w:t>
      </w:r>
      <w:bookmarkEnd w:id="51"/>
      <w:bookmarkEnd w:id="52"/>
      <w:bookmarkEnd w:id="53"/>
      <w:r>
        <w:rPr>
          <w:rFonts w:ascii="Arial" w:hAnsi="Arial" w:cs="Arial"/>
          <w:b/>
          <w:color w:val="auto"/>
          <w:sz w:val="22"/>
          <w:szCs w:val="22"/>
          <w:highlight w:val="none"/>
          <w:u w:val="single"/>
        </w:rPr>
        <w:t>（资格证明文件、报价文件、技术商务文件组成</w:t>
      </w:r>
      <w:r>
        <w:rPr>
          <w:rFonts w:hint="eastAsia" w:ascii="Arial" w:hAnsi="Arial" w:cs="Arial"/>
          <w:b/>
          <w:color w:val="auto"/>
          <w:sz w:val="22"/>
          <w:szCs w:val="22"/>
          <w:highlight w:val="none"/>
          <w:u w:val="single"/>
        </w:rPr>
        <w:t>，格式详见第六章</w:t>
      </w:r>
      <w:r>
        <w:rPr>
          <w:rFonts w:ascii="Arial" w:hAnsi="Arial" w:cs="Arial"/>
          <w:b/>
          <w:color w:val="auto"/>
          <w:sz w:val="22"/>
          <w:szCs w:val="22"/>
          <w:highlight w:val="none"/>
          <w:u w:val="single"/>
        </w:rPr>
        <w:t>）</w:t>
      </w:r>
    </w:p>
    <w:p>
      <w:pPr>
        <w:widowControl/>
        <w:spacing w:line="360" w:lineRule="auto"/>
        <w:ind w:firstLine="442" w:firstLineChars="200"/>
        <w:jc w:val="left"/>
        <w:outlineLvl w:val="1"/>
        <w:rPr>
          <w:rFonts w:ascii="Arial" w:hAnsi="Arial" w:cs="Arial"/>
          <w:b/>
          <w:color w:val="auto"/>
          <w:sz w:val="22"/>
          <w:szCs w:val="22"/>
          <w:highlight w:val="none"/>
        </w:rPr>
      </w:pPr>
      <w:r>
        <w:rPr>
          <w:rFonts w:ascii="Arial" w:hAnsi="Arial" w:cs="Arial"/>
          <w:b/>
          <w:color w:val="auto"/>
          <w:sz w:val="22"/>
          <w:szCs w:val="22"/>
          <w:highlight w:val="none"/>
        </w:rPr>
        <w:t>1.资格证明文件：</w:t>
      </w:r>
    </w:p>
    <w:p>
      <w:pPr>
        <w:widowControl/>
        <w:tabs>
          <w:tab w:val="left" w:pos="0"/>
        </w:tabs>
        <w:spacing w:line="360" w:lineRule="auto"/>
        <w:ind w:left="400"/>
        <w:jc w:val="left"/>
        <w:rPr>
          <w:rFonts w:ascii="Arial" w:hAnsi="Arial" w:cs="Arial"/>
          <w:color w:val="auto"/>
          <w:sz w:val="22"/>
          <w:szCs w:val="22"/>
          <w:highlight w:val="none"/>
          <w:u w:val="single"/>
        </w:rPr>
      </w:pPr>
      <w:r>
        <w:rPr>
          <w:rFonts w:ascii="Arial" w:hAnsi="Arial" w:cs="Arial"/>
          <w:color w:val="auto"/>
          <w:sz w:val="22"/>
          <w:szCs w:val="22"/>
          <w:highlight w:val="none"/>
          <w:u w:val="single"/>
        </w:rPr>
        <w:t>（1）法定代表人身份证明</w:t>
      </w:r>
      <w:r>
        <w:rPr>
          <w:rFonts w:hint="eastAsia" w:ascii="Arial" w:hAnsi="Arial" w:cs="Arial"/>
          <w:color w:val="auto"/>
          <w:sz w:val="22"/>
          <w:szCs w:val="22"/>
          <w:highlight w:val="none"/>
          <w:u w:val="single"/>
        </w:rPr>
        <w:t>书</w:t>
      </w:r>
      <w:r>
        <w:rPr>
          <w:rFonts w:ascii="Arial" w:hAnsi="Arial" w:cs="Arial"/>
          <w:color w:val="auto"/>
          <w:sz w:val="22"/>
          <w:szCs w:val="22"/>
          <w:highlight w:val="none"/>
          <w:u w:val="single"/>
        </w:rPr>
        <w:t>（详见格式一）及法定代表人身份证正反面复印件；</w:t>
      </w:r>
    </w:p>
    <w:p>
      <w:pPr>
        <w:widowControl/>
        <w:numPr>
          <w:ilvl w:val="0"/>
          <w:numId w:val="6"/>
        </w:numPr>
        <w:tabs>
          <w:tab w:val="left" w:pos="0"/>
        </w:tabs>
        <w:spacing w:line="360" w:lineRule="auto"/>
        <w:ind w:left="400"/>
        <w:jc w:val="left"/>
        <w:rPr>
          <w:rFonts w:ascii="Arial" w:hAnsi="Arial" w:cs="Arial"/>
          <w:color w:val="auto"/>
          <w:sz w:val="22"/>
          <w:szCs w:val="22"/>
          <w:highlight w:val="none"/>
          <w:u w:val="single"/>
        </w:rPr>
      </w:pPr>
      <w:r>
        <w:rPr>
          <w:rFonts w:ascii="Arial" w:hAnsi="Arial" w:cs="Arial"/>
          <w:color w:val="auto"/>
          <w:sz w:val="22"/>
          <w:szCs w:val="22"/>
          <w:highlight w:val="none"/>
          <w:u w:val="single"/>
        </w:rPr>
        <w:t>法定代表人授权委托书（详见格式二）、其授权代表身份证正反面复印件</w:t>
      </w:r>
      <w:r>
        <w:rPr>
          <w:rFonts w:hint="eastAsia" w:ascii="Arial" w:hAnsi="Arial" w:cs="Arial"/>
          <w:color w:val="auto"/>
          <w:sz w:val="22"/>
          <w:szCs w:val="22"/>
          <w:highlight w:val="none"/>
          <w:u w:val="single"/>
        </w:rPr>
        <w:t>（若</w:t>
      </w:r>
    </w:p>
    <w:p>
      <w:pPr>
        <w:widowControl/>
        <w:tabs>
          <w:tab w:val="left" w:pos="0"/>
        </w:tabs>
        <w:spacing w:line="360" w:lineRule="auto"/>
        <w:ind w:left="400"/>
        <w:jc w:val="left"/>
        <w:rPr>
          <w:rFonts w:ascii="Arial" w:hAnsi="Arial" w:cs="Arial"/>
          <w:color w:val="auto"/>
          <w:sz w:val="22"/>
          <w:szCs w:val="22"/>
          <w:highlight w:val="none"/>
          <w:u w:val="single"/>
        </w:rPr>
      </w:pPr>
      <w:r>
        <w:rPr>
          <w:rFonts w:hint="eastAsia" w:ascii="Arial" w:hAnsi="Arial" w:cs="Arial"/>
          <w:color w:val="auto"/>
          <w:sz w:val="22"/>
          <w:szCs w:val="22"/>
          <w:highlight w:val="none"/>
          <w:u w:val="single"/>
        </w:rPr>
        <w:t>有则提供）</w:t>
      </w:r>
      <w:r>
        <w:rPr>
          <w:rFonts w:ascii="Arial" w:hAnsi="Arial" w:cs="Arial"/>
          <w:color w:val="auto"/>
          <w:sz w:val="22"/>
          <w:szCs w:val="22"/>
          <w:highlight w:val="none"/>
          <w:u w:val="single"/>
        </w:rPr>
        <w:t>；</w:t>
      </w:r>
    </w:p>
    <w:p>
      <w:pPr>
        <w:widowControl/>
        <w:spacing w:line="360" w:lineRule="auto"/>
        <w:ind w:left="400"/>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w:t>
      </w:r>
      <w:r>
        <w:rPr>
          <w:rFonts w:hint="eastAsia" w:ascii="Arial" w:hAnsi="Arial" w:cs="Arial"/>
          <w:color w:val="auto"/>
          <w:sz w:val="22"/>
          <w:szCs w:val="22"/>
          <w:highlight w:val="none"/>
          <w:u w:val="single"/>
        </w:rPr>
        <w:t>3</w:t>
      </w:r>
      <w:r>
        <w:rPr>
          <w:rFonts w:ascii="Arial" w:hAnsi="Arial" w:cs="Arial"/>
          <w:color w:val="auto"/>
          <w:sz w:val="22"/>
          <w:szCs w:val="22"/>
          <w:highlight w:val="none"/>
          <w:u w:val="single"/>
        </w:rPr>
        <w:t>）招标公告规定的供应商特定资格条件的证明资料复印件（</w:t>
      </w:r>
      <w:r>
        <w:rPr>
          <w:rFonts w:hint="eastAsia" w:ascii="Arial" w:hAnsi="Arial" w:cs="Arial"/>
          <w:color w:val="auto"/>
          <w:sz w:val="22"/>
          <w:szCs w:val="22"/>
          <w:highlight w:val="none"/>
          <w:u w:val="single"/>
        </w:rPr>
        <w:t>包括企业营业执照、资质证书</w:t>
      </w:r>
      <w:r>
        <w:rPr>
          <w:rFonts w:hint="eastAsia" w:ascii="Arial" w:hAnsi="Arial" w:cs="Arial"/>
          <w:color w:val="auto"/>
          <w:sz w:val="22"/>
          <w:szCs w:val="22"/>
          <w:highlight w:val="none"/>
          <w:u w:val="single"/>
          <w:lang w:val="en-US" w:eastAsia="zh-CN"/>
        </w:rPr>
        <w:t>或许可证</w:t>
      </w:r>
      <w:r>
        <w:rPr>
          <w:rFonts w:hint="eastAsia" w:ascii="Arial" w:hAnsi="Arial" w:cs="Arial"/>
          <w:color w:val="auto"/>
          <w:sz w:val="22"/>
          <w:szCs w:val="22"/>
          <w:highlight w:val="none"/>
          <w:u w:val="single"/>
        </w:rPr>
        <w:t>等</w:t>
      </w:r>
      <w:r>
        <w:rPr>
          <w:rFonts w:ascii="Arial" w:hAnsi="Arial" w:cs="Arial"/>
          <w:color w:val="auto"/>
          <w:sz w:val="22"/>
          <w:szCs w:val="22"/>
          <w:highlight w:val="none"/>
          <w:u w:val="single"/>
        </w:rPr>
        <w:t>复印件）；</w:t>
      </w:r>
    </w:p>
    <w:p>
      <w:pPr>
        <w:widowControl/>
        <w:spacing w:line="360" w:lineRule="auto"/>
        <w:ind w:left="400"/>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w:t>
      </w:r>
      <w:r>
        <w:rPr>
          <w:rFonts w:hint="eastAsia" w:ascii="Arial" w:hAnsi="Arial" w:cs="Arial"/>
          <w:color w:val="auto"/>
          <w:sz w:val="22"/>
          <w:szCs w:val="22"/>
          <w:highlight w:val="none"/>
          <w:u w:val="single"/>
        </w:rPr>
        <w:t>4</w:t>
      </w:r>
      <w:r>
        <w:rPr>
          <w:rFonts w:ascii="Arial" w:hAnsi="Arial" w:cs="Arial"/>
          <w:color w:val="auto"/>
          <w:sz w:val="22"/>
          <w:szCs w:val="22"/>
          <w:highlight w:val="none"/>
          <w:u w:val="single"/>
        </w:rPr>
        <w:t>）</w:t>
      </w:r>
      <w:r>
        <w:rPr>
          <w:rFonts w:hint="eastAsia" w:ascii="Arial" w:hAnsi="Arial" w:cs="Arial"/>
          <w:color w:val="auto"/>
          <w:sz w:val="22"/>
          <w:szCs w:val="22"/>
          <w:highlight w:val="none"/>
          <w:u w:val="single"/>
        </w:rPr>
        <w:t>投标人承诺</w:t>
      </w:r>
      <w:r>
        <w:rPr>
          <w:rFonts w:ascii="Arial" w:hAnsi="Arial" w:cs="Arial"/>
          <w:color w:val="auto"/>
          <w:sz w:val="22"/>
          <w:szCs w:val="22"/>
          <w:highlight w:val="none"/>
          <w:u w:val="single"/>
        </w:rPr>
        <w:t>（详见格式</w:t>
      </w:r>
      <w:r>
        <w:rPr>
          <w:rFonts w:hint="eastAsia" w:ascii="Arial" w:hAnsi="Arial" w:cs="Arial"/>
          <w:color w:val="auto"/>
          <w:sz w:val="22"/>
          <w:szCs w:val="22"/>
          <w:highlight w:val="none"/>
          <w:u w:val="single"/>
        </w:rPr>
        <w:t>三</w:t>
      </w:r>
      <w:r>
        <w:rPr>
          <w:rFonts w:ascii="Arial" w:hAnsi="Arial" w:cs="Arial"/>
          <w:color w:val="auto"/>
          <w:sz w:val="22"/>
          <w:szCs w:val="22"/>
          <w:highlight w:val="none"/>
          <w:u w:val="single"/>
        </w:rPr>
        <w:t>）；</w:t>
      </w:r>
    </w:p>
    <w:p>
      <w:pPr>
        <w:widowControl/>
        <w:spacing w:line="360" w:lineRule="auto"/>
        <w:ind w:firstLine="442" w:firstLineChars="200"/>
        <w:jc w:val="left"/>
        <w:outlineLvl w:val="1"/>
        <w:rPr>
          <w:rFonts w:ascii="Arial" w:hAnsi="Arial" w:cs="Arial"/>
          <w:b/>
          <w:color w:val="auto"/>
          <w:sz w:val="22"/>
          <w:szCs w:val="22"/>
          <w:highlight w:val="none"/>
        </w:rPr>
      </w:pPr>
      <w:r>
        <w:rPr>
          <w:rFonts w:ascii="Arial" w:hAnsi="Arial" w:cs="Arial"/>
          <w:b/>
          <w:color w:val="auto"/>
          <w:sz w:val="22"/>
          <w:szCs w:val="22"/>
          <w:highlight w:val="none"/>
        </w:rPr>
        <w:t>2.报价文件：</w:t>
      </w:r>
    </w:p>
    <w:p>
      <w:pPr>
        <w:widowControl/>
        <w:numPr>
          <w:ilvl w:val="0"/>
          <w:numId w:val="7"/>
        </w:numPr>
        <w:spacing w:line="360" w:lineRule="auto"/>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投标</w:t>
      </w:r>
      <w:r>
        <w:rPr>
          <w:rFonts w:hint="eastAsia" w:ascii="Arial" w:hAnsi="Arial" w:cs="Arial"/>
          <w:color w:val="auto"/>
          <w:sz w:val="22"/>
          <w:szCs w:val="22"/>
          <w:highlight w:val="none"/>
          <w:u w:val="single"/>
        </w:rPr>
        <w:t>函</w:t>
      </w:r>
      <w:r>
        <w:rPr>
          <w:rFonts w:ascii="Arial" w:hAnsi="Arial" w:cs="Arial"/>
          <w:color w:val="auto"/>
          <w:sz w:val="22"/>
          <w:szCs w:val="22"/>
          <w:highlight w:val="none"/>
          <w:u w:val="single"/>
        </w:rPr>
        <w:t>（详见格式</w:t>
      </w:r>
      <w:r>
        <w:rPr>
          <w:rFonts w:hint="eastAsia" w:ascii="Arial" w:hAnsi="Arial" w:cs="Arial"/>
          <w:color w:val="auto"/>
          <w:sz w:val="22"/>
          <w:szCs w:val="22"/>
          <w:highlight w:val="none"/>
          <w:u w:val="single"/>
        </w:rPr>
        <w:t>四</w:t>
      </w:r>
      <w:r>
        <w:rPr>
          <w:rFonts w:ascii="Arial" w:hAnsi="Arial" w:cs="Arial"/>
          <w:color w:val="auto"/>
          <w:sz w:val="22"/>
          <w:szCs w:val="22"/>
          <w:highlight w:val="none"/>
          <w:u w:val="single"/>
        </w:rPr>
        <w:t>）；</w:t>
      </w:r>
    </w:p>
    <w:p>
      <w:pPr>
        <w:widowControl/>
        <w:numPr>
          <w:ilvl w:val="0"/>
          <w:numId w:val="7"/>
        </w:numPr>
        <w:spacing w:line="360" w:lineRule="auto"/>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开标一览表（详见格式</w:t>
      </w:r>
      <w:r>
        <w:rPr>
          <w:rFonts w:hint="eastAsia" w:ascii="Arial" w:hAnsi="Arial" w:cs="Arial"/>
          <w:color w:val="auto"/>
          <w:sz w:val="22"/>
          <w:szCs w:val="22"/>
          <w:highlight w:val="none"/>
          <w:u w:val="single"/>
        </w:rPr>
        <w:t>五）</w:t>
      </w:r>
      <w:r>
        <w:rPr>
          <w:rFonts w:ascii="Arial" w:hAnsi="Arial" w:cs="Arial"/>
          <w:color w:val="auto"/>
          <w:sz w:val="22"/>
          <w:szCs w:val="22"/>
          <w:highlight w:val="none"/>
          <w:u w:val="single"/>
        </w:rPr>
        <w:t>；</w:t>
      </w:r>
    </w:p>
    <w:p>
      <w:pPr>
        <w:widowControl/>
        <w:numPr>
          <w:ilvl w:val="0"/>
          <w:numId w:val="7"/>
        </w:numPr>
        <w:spacing w:line="360" w:lineRule="auto"/>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投标分项报价表（格式</w:t>
      </w:r>
      <w:r>
        <w:rPr>
          <w:rFonts w:hint="eastAsia" w:ascii="Arial" w:hAnsi="Arial" w:cs="Arial"/>
          <w:color w:val="auto"/>
          <w:sz w:val="22"/>
          <w:szCs w:val="22"/>
          <w:highlight w:val="none"/>
          <w:u w:val="single"/>
        </w:rPr>
        <w:t>自拟</w:t>
      </w:r>
      <w:r>
        <w:rPr>
          <w:rFonts w:ascii="Arial" w:hAnsi="Arial" w:cs="Arial"/>
          <w:color w:val="auto"/>
          <w:sz w:val="22"/>
          <w:szCs w:val="22"/>
          <w:highlight w:val="none"/>
          <w:u w:val="single"/>
        </w:rPr>
        <w:t>）；</w:t>
      </w:r>
    </w:p>
    <w:p>
      <w:pPr>
        <w:widowControl/>
        <w:numPr>
          <w:ilvl w:val="0"/>
          <w:numId w:val="7"/>
        </w:numPr>
        <w:spacing w:line="360" w:lineRule="auto"/>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政府采购统计基础信息表（详见附件一）；</w:t>
      </w:r>
    </w:p>
    <w:p>
      <w:pPr>
        <w:widowControl/>
        <w:numPr>
          <w:ilvl w:val="0"/>
          <w:numId w:val="7"/>
        </w:numPr>
        <w:spacing w:line="360" w:lineRule="auto"/>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中小企业声明函（详见附件</w:t>
      </w:r>
      <w:r>
        <w:rPr>
          <w:rFonts w:hint="eastAsia" w:ascii="Arial" w:hAnsi="Arial" w:cs="Arial"/>
          <w:color w:val="auto"/>
          <w:sz w:val="22"/>
          <w:szCs w:val="22"/>
          <w:highlight w:val="none"/>
          <w:u w:val="single"/>
        </w:rPr>
        <w:t>二</w:t>
      </w:r>
      <w:r>
        <w:rPr>
          <w:rFonts w:ascii="Arial" w:hAnsi="Arial" w:cs="Arial"/>
          <w:color w:val="auto"/>
          <w:sz w:val="22"/>
          <w:szCs w:val="22"/>
          <w:highlight w:val="none"/>
          <w:u w:val="single"/>
        </w:rPr>
        <w:t>，如符合要求可提供）；</w:t>
      </w:r>
    </w:p>
    <w:p>
      <w:pPr>
        <w:widowControl/>
        <w:numPr>
          <w:ilvl w:val="0"/>
          <w:numId w:val="7"/>
        </w:numPr>
        <w:spacing w:line="360" w:lineRule="auto"/>
        <w:jc w:val="left"/>
        <w:outlineLvl w:val="1"/>
        <w:rPr>
          <w:rFonts w:ascii="Arial" w:hAnsi="Arial" w:cs="Arial"/>
          <w:color w:val="auto"/>
          <w:sz w:val="22"/>
          <w:szCs w:val="22"/>
          <w:highlight w:val="none"/>
          <w:u w:val="single"/>
        </w:rPr>
      </w:pPr>
      <w:r>
        <w:rPr>
          <w:rFonts w:ascii="Arial" w:hAnsi="Arial" w:cs="Arial"/>
          <w:color w:val="auto"/>
          <w:sz w:val="22"/>
          <w:szCs w:val="22"/>
          <w:highlight w:val="none"/>
          <w:u w:val="single"/>
        </w:rPr>
        <w:t>投标人针对报价需要说明的其他文件和说明。</w:t>
      </w:r>
    </w:p>
    <w:p>
      <w:pPr>
        <w:widowControl/>
        <w:spacing w:line="360" w:lineRule="auto"/>
        <w:ind w:firstLine="442" w:firstLineChars="200"/>
        <w:jc w:val="left"/>
        <w:outlineLvl w:val="1"/>
        <w:rPr>
          <w:rFonts w:ascii="Arial" w:hAnsi="Arial" w:cs="Arial"/>
          <w:b/>
          <w:color w:val="auto"/>
          <w:sz w:val="22"/>
          <w:szCs w:val="22"/>
          <w:highlight w:val="none"/>
        </w:rPr>
      </w:pPr>
      <w:r>
        <w:rPr>
          <w:rFonts w:ascii="Arial" w:hAnsi="Arial" w:cs="Arial"/>
          <w:b/>
          <w:color w:val="auto"/>
          <w:sz w:val="22"/>
          <w:szCs w:val="22"/>
          <w:highlight w:val="none"/>
        </w:rPr>
        <w:t>3.技术商务文件：</w:t>
      </w:r>
    </w:p>
    <w:p>
      <w:pPr>
        <w:widowControl/>
        <w:spacing w:line="360" w:lineRule="auto"/>
        <w:ind w:left="400"/>
        <w:jc w:val="left"/>
        <w:rPr>
          <w:rFonts w:ascii="Arial" w:hAnsi="Arial" w:cs="Arial"/>
          <w:color w:val="auto"/>
          <w:sz w:val="22"/>
          <w:szCs w:val="22"/>
          <w:highlight w:val="none"/>
          <w:u w:val="single"/>
        </w:rPr>
      </w:pPr>
      <w:r>
        <w:rPr>
          <w:rFonts w:ascii="Arial" w:hAnsi="Arial" w:cs="Arial"/>
          <w:color w:val="auto"/>
          <w:sz w:val="22"/>
          <w:szCs w:val="22"/>
          <w:highlight w:val="none"/>
          <w:u w:val="single"/>
        </w:rPr>
        <w:t>（1）技术商务条款响应（偏离）表（详见格式</w:t>
      </w:r>
      <w:r>
        <w:rPr>
          <w:rFonts w:hint="eastAsia" w:ascii="Arial" w:hAnsi="Arial" w:cs="Arial"/>
          <w:color w:val="auto"/>
          <w:sz w:val="22"/>
          <w:szCs w:val="22"/>
          <w:highlight w:val="none"/>
          <w:u w:val="single"/>
        </w:rPr>
        <w:t>六</w:t>
      </w:r>
      <w:r>
        <w:rPr>
          <w:rFonts w:ascii="Arial" w:hAnsi="Arial" w:cs="Arial"/>
          <w:color w:val="auto"/>
          <w:sz w:val="22"/>
          <w:szCs w:val="22"/>
          <w:highlight w:val="none"/>
          <w:u w:val="single"/>
        </w:rPr>
        <w:t>）</w:t>
      </w:r>
      <w:r>
        <w:rPr>
          <w:rFonts w:hint="eastAsia" w:ascii="Arial" w:hAnsi="Arial" w:cs="Arial"/>
          <w:color w:val="auto"/>
          <w:sz w:val="22"/>
          <w:szCs w:val="22"/>
          <w:highlight w:val="none"/>
          <w:u w:val="single"/>
        </w:rPr>
        <w:t>，</w:t>
      </w:r>
      <w:r>
        <w:rPr>
          <w:rFonts w:ascii="Arial" w:hAnsi="Arial" w:cs="Arial"/>
          <w:color w:val="auto"/>
          <w:sz w:val="22"/>
          <w:szCs w:val="22"/>
          <w:highlight w:val="none"/>
          <w:u w:val="single"/>
        </w:rPr>
        <w:t>后附资料详见：第四章评标</w:t>
      </w:r>
    </w:p>
    <w:p>
      <w:pPr>
        <w:widowControl/>
        <w:spacing w:line="360" w:lineRule="auto"/>
        <w:jc w:val="left"/>
        <w:rPr>
          <w:rFonts w:ascii="Arial" w:hAnsi="Arial" w:cs="Arial"/>
          <w:color w:val="auto"/>
          <w:sz w:val="22"/>
          <w:szCs w:val="22"/>
          <w:highlight w:val="none"/>
          <w:u w:val="single"/>
        </w:rPr>
      </w:pPr>
      <w:r>
        <w:rPr>
          <w:rFonts w:ascii="Arial" w:hAnsi="Arial" w:cs="Arial"/>
          <w:color w:val="auto"/>
          <w:sz w:val="22"/>
          <w:szCs w:val="22"/>
          <w:highlight w:val="none"/>
          <w:u w:val="single"/>
        </w:rPr>
        <w:t>办法及评分标准</w:t>
      </w:r>
      <w:r>
        <w:rPr>
          <w:rFonts w:hint="eastAsia" w:ascii="Arial" w:hAnsi="Arial" w:cs="Arial"/>
          <w:color w:val="auto"/>
          <w:sz w:val="22"/>
          <w:szCs w:val="22"/>
          <w:highlight w:val="none"/>
          <w:u w:val="single"/>
        </w:rPr>
        <w:t>。</w:t>
      </w:r>
    </w:p>
    <w:p>
      <w:pPr>
        <w:widowControl/>
        <w:spacing w:line="360" w:lineRule="auto"/>
        <w:ind w:left="400"/>
        <w:jc w:val="left"/>
        <w:rPr>
          <w:rFonts w:ascii="Arial" w:hAnsi="Arial" w:cs="Arial"/>
          <w:color w:val="auto"/>
          <w:sz w:val="22"/>
          <w:szCs w:val="22"/>
          <w:highlight w:val="none"/>
          <w:u w:val="single"/>
        </w:rPr>
      </w:pPr>
      <w:r>
        <w:rPr>
          <w:rFonts w:ascii="Arial" w:hAnsi="Arial" w:cs="Arial"/>
          <w:color w:val="auto"/>
          <w:sz w:val="22"/>
          <w:szCs w:val="22"/>
          <w:highlight w:val="none"/>
          <w:u w:val="single"/>
        </w:rPr>
        <w:t>其中：拟投入设备设施情况表（详见格式</w:t>
      </w:r>
      <w:r>
        <w:rPr>
          <w:rFonts w:hint="eastAsia" w:ascii="Arial" w:hAnsi="Arial" w:cs="Arial"/>
          <w:color w:val="auto"/>
          <w:sz w:val="22"/>
          <w:szCs w:val="22"/>
          <w:highlight w:val="none"/>
          <w:u w:val="single"/>
        </w:rPr>
        <w:t>七</w:t>
      </w:r>
      <w:r>
        <w:rPr>
          <w:rFonts w:ascii="Arial" w:hAnsi="Arial" w:cs="Arial"/>
          <w:color w:val="auto"/>
          <w:sz w:val="22"/>
          <w:szCs w:val="22"/>
          <w:highlight w:val="none"/>
          <w:u w:val="single"/>
        </w:rPr>
        <w:t>）；项目实施团队人员配备表（详见格</w:t>
      </w:r>
    </w:p>
    <w:p>
      <w:pPr>
        <w:widowControl/>
        <w:spacing w:line="360" w:lineRule="auto"/>
        <w:jc w:val="left"/>
        <w:rPr>
          <w:rFonts w:ascii="Arial" w:hAnsi="Arial" w:cs="Arial"/>
          <w:color w:val="auto"/>
          <w:sz w:val="22"/>
          <w:szCs w:val="22"/>
          <w:highlight w:val="none"/>
          <w:u w:val="single"/>
        </w:rPr>
      </w:pPr>
      <w:r>
        <w:rPr>
          <w:rFonts w:ascii="Arial" w:hAnsi="Arial" w:cs="Arial"/>
          <w:color w:val="auto"/>
          <w:sz w:val="22"/>
          <w:szCs w:val="22"/>
          <w:highlight w:val="none"/>
          <w:u w:val="single"/>
        </w:rPr>
        <w:t>式</w:t>
      </w:r>
      <w:r>
        <w:rPr>
          <w:rFonts w:hint="eastAsia" w:ascii="Arial" w:hAnsi="Arial" w:cs="Arial"/>
          <w:color w:val="auto"/>
          <w:sz w:val="22"/>
          <w:szCs w:val="22"/>
          <w:highlight w:val="none"/>
          <w:u w:val="single"/>
        </w:rPr>
        <w:t>八</w:t>
      </w:r>
      <w:r>
        <w:rPr>
          <w:rFonts w:ascii="Arial" w:hAnsi="Arial" w:cs="Arial"/>
          <w:color w:val="auto"/>
          <w:sz w:val="22"/>
          <w:szCs w:val="22"/>
          <w:highlight w:val="none"/>
          <w:u w:val="single"/>
        </w:rPr>
        <w:t>）；</w:t>
      </w:r>
    </w:p>
    <w:p>
      <w:pPr>
        <w:widowControl/>
        <w:spacing w:line="360" w:lineRule="auto"/>
        <w:ind w:left="400"/>
        <w:jc w:val="left"/>
        <w:rPr>
          <w:rFonts w:ascii="Arial" w:hAnsi="Arial" w:cs="Arial"/>
          <w:color w:val="auto"/>
          <w:sz w:val="22"/>
          <w:szCs w:val="22"/>
          <w:highlight w:val="none"/>
        </w:rPr>
      </w:pPr>
      <w:r>
        <w:rPr>
          <w:rFonts w:ascii="Arial" w:hAnsi="Arial" w:cs="Arial"/>
          <w:color w:val="auto"/>
          <w:sz w:val="22"/>
          <w:szCs w:val="22"/>
          <w:highlight w:val="none"/>
          <w:u w:val="single"/>
        </w:rPr>
        <w:t>（</w:t>
      </w:r>
      <w:r>
        <w:rPr>
          <w:rFonts w:hint="eastAsia" w:ascii="Arial" w:hAnsi="Arial" w:cs="Arial"/>
          <w:color w:val="auto"/>
          <w:sz w:val="22"/>
          <w:szCs w:val="22"/>
          <w:highlight w:val="none"/>
          <w:u w:val="single"/>
        </w:rPr>
        <w:t>2</w:t>
      </w:r>
      <w:r>
        <w:rPr>
          <w:rFonts w:ascii="Arial" w:hAnsi="Arial" w:cs="Arial"/>
          <w:color w:val="auto"/>
          <w:sz w:val="22"/>
          <w:szCs w:val="22"/>
          <w:highlight w:val="none"/>
          <w:u w:val="single"/>
        </w:rPr>
        <w:t>）其它采购需求或评分标准所需资料（或投标人认为需提供的其它资料）。</w:t>
      </w:r>
    </w:p>
    <w:p>
      <w:pPr>
        <w:widowControl/>
        <w:adjustRightInd w:val="0"/>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注：1.上述组成投标文件的各项资料中本招标采购文件的有规定格式的，应统一按本招标采购文件的规定格式填写。未有规定格式的资料，投标人应自行编制，但至少要包含以上要求的内容。</w:t>
      </w:r>
    </w:p>
    <w:p>
      <w:pPr>
        <w:widowControl/>
        <w:numPr>
          <w:ilvl w:val="0"/>
          <w:numId w:val="8"/>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投标文件在提供对投标技术条款响应的应答时，对招标采购文件有技术数值要求的参数，必须以投标货物的具体技术数值据实应答；对于招标采购文件无数值要求的参数的应答，必须作出明确、直接、无导致两种理解可能的应答。</w:t>
      </w:r>
    </w:p>
    <w:p>
      <w:pPr>
        <w:widowControl/>
        <w:spacing w:line="360" w:lineRule="auto"/>
        <w:jc w:val="left"/>
        <w:outlineLvl w:val="1"/>
        <w:rPr>
          <w:rFonts w:ascii="Arial" w:hAnsi="Arial" w:cs="Arial"/>
          <w:b/>
          <w:color w:val="auto"/>
          <w:sz w:val="22"/>
          <w:szCs w:val="22"/>
          <w:highlight w:val="none"/>
        </w:rPr>
      </w:pPr>
      <w:bookmarkStart w:id="54" w:name="_Toc436330211"/>
      <w:bookmarkStart w:id="55" w:name="_Toc304292187"/>
      <w:bookmarkStart w:id="56" w:name="_Toc317685573"/>
      <w:r>
        <w:rPr>
          <w:rFonts w:ascii="Arial" w:hAnsi="Arial" w:cs="Arial"/>
          <w:b/>
          <w:color w:val="auto"/>
          <w:sz w:val="22"/>
          <w:szCs w:val="22"/>
          <w:highlight w:val="none"/>
        </w:rPr>
        <w:t xml:space="preserve">    （二）投标文件的语言及计量</w:t>
      </w:r>
      <w:bookmarkEnd w:id="54"/>
      <w:bookmarkEnd w:id="55"/>
      <w:bookmarkEnd w:id="56"/>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★1.投标文件以及投标人与采购人就有关投标事宜的所有来往函电，均应以中文汉语书写。除签名、盖章、专用名称等特殊情形外，以中文汉语以外的文字表述的投标文件视同未提供。</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★2.投标计量单位，招标采购文件已有明确规定的，使用招标采购文件规定的计量单位；招标采购文件没有规定的，应采用中华人民共和国法定计量单位（货币单位：人民币元），否则视同未响应。</w:t>
      </w:r>
    </w:p>
    <w:p>
      <w:pPr>
        <w:widowControl/>
        <w:spacing w:line="360" w:lineRule="auto"/>
        <w:jc w:val="left"/>
        <w:outlineLvl w:val="1"/>
        <w:rPr>
          <w:rFonts w:ascii="Arial" w:hAnsi="Arial" w:cs="Arial"/>
          <w:b/>
          <w:color w:val="auto"/>
          <w:sz w:val="22"/>
          <w:szCs w:val="22"/>
          <w:highlight w:val="none"/>
        </w:rPr>
      </w:pPr>
      <w:bookmarkStart w:id="57" w:name="_Toc304292188"/>
      <w:bookmarkStart w:id="58" w:name="_Toc436330212"/>
      <w:bookmarkStart w:id="59" w:name="_Toc317685574"/>
      <w:r>
        <w:rPr>
          <w:rFonts w:ascii="Arial" w:hAnsi="Arial" w:cs="Arial"/>
          <w:b/>
          <w:color w:val="auto"/>
          <w:sz w:val="22"/>
          <w:szCs w:val="22"/>
          <w:highlight w:val="none"/>
        </w:rPr>
        <w:t xml:space="preserve">    （三）投标报价</w:t>
      </w:r>
      <w:bookmarkEnd w:id="57"/>
      <w:bookmarkEnd w:id="58"/>
      <w:bookmarkEnd w:id="59"/>
    </w:p>
    <w:p>
      <w:pPr>
        <w:pStyle w:val="25"/>
        <w:widowControl/>
        <w:numPr>
          <w:ilvl w:val="0"/>
          <w:numId w:val="9"/>
        </w:numPr>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投标报价应按招标采购文件中相关附表格式填写。</w:t>
      </w:r>
    </w:p>
    <w:p>
      <w:pPr>
        <w:pStyle w:val="25"/>
        <w:widowControl/>
        <w:numPr>
          <w:ilvl w:val="0"/>
          <w:numId w:val="9"/>
        </w:numPr>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报价要求：详见招标文第三章《投标人须知》前附表第3条。</w:t>
      </w:r>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★3.投标文件只允许有一个报价，有选择的或有条件的报价将不予接受。</w:t>
      </w:r>
    </w:p>
    <w:p>
      <w:pPr>
        <w:widowControl/>
        <w:spacing w:line="360" w:lineRule="auto"/>
        <w:jc w:val="left"/>
        <w:outlineLvl w:val="1"/>
        <w:rPr>
          <w:rFonts w:ascii="Arial" w:hAnsi="Arial" w:cs="Arial"/>
          <w:b/>
          <w:color w:val="auto"/>
          <w:sz w:val="22"/>
          <w:szCs w:val="22"/>
          <w:highlight w:val="none"/>
        </w:rPr>
      </w:pPr>
      <w:bookmarkStart w:id="60" w:name="_Toc317685575"/>
      <w:bookmarkStart w:id="61" w:name="_Toc436330213"/>
      <w:r>
        <w:rPr>
          <w:rFonts w:ascii="Arial" w:hAnsi="Arial" w:cs="Arial"/>
          <w:b/>
          <w:color w:val="auto"/>
          <w:sz w:val="22"/>
          <w:szCs w:val="22"/>
          <w:highlight w:val="none"/>
        </w:rPr>
        <w:t xml:space="preserve">    （四）投标文件的有效期</w:t>
      </w:r>
      <w:bookmarkEnd w:id="60"/>
      <w:bookmarkEnd w:id="61"/>
    </w:p>
    <w:p>
      <w:pPr>
        <w:widowControl/>
        <w:spacing w:line="360" w:lineRule="auto"/>
        <w:ind w:firstLine="442" w:firstLineChars="20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★1.自投标截止日起90天投标文件应保持有效。有效期不足的投标文件将被拒绝。</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2.在特殊情况下，采购人可与投标人协商延长投标文件的有效期，这种要求和答复均以书面形式进行。</w:t>
      </w:r>
    </w:p>
    <w:p>
      <w:pPr>
        <w:widowControl/>
        <w:spacing w:line="360" w:lineRule="auto"/>
        <w:ind w:firstLine="431" w:firstLineChars="196"/>
        <w:jc w:val="left"/>
        <w:rPr>
          <w:rFonts w:ascii="Arial" w:hAnsi="Arial" w:cs="Arial"/>
          <w:color w:val="auto"/>
          <w:sz w:val="22"/>
          <w:szCs w:val="22"/>
          <w:highlight w:val="none"/>
        </w:rPr>
      </w:pPr>
      <w:bookmarkStart w:id="62" w:name="_Toc304292190"/>
      <w:r>
        <w:rPr>
          <w:rFonts w:hint="eastAsia" w:ascii="Arial" w:hAnsi="Arial" w:cs="Arial"/>
          <w:color w:val="auto"/>
          <w:sz w:val="22"/>
          <w:szCs w:val="22"/>
          <w:highlight w:val="none"/>
        </w:rPr>
        <w:t>3</w:t>
      </w:r>
      <w:r>
        <w:rPr>
          <w:rFonts w:ascii="Arial" w:hAnsi="Arial" w:cs="Arial"/>
          <w:color w:val="auto"/>
          <w:sz w:val="22"/>
          <w:szCs w:val="22"/>
          <w:highlight w:val="none"/>
        </w:rPr>
        <w:t>.中标人的投标文件自开标之日起至合同履行完毕止均应保持有效。</w:t>
      </w:r>
      <w:bookmarkEnd w:id="62"/>
    </w:p>
    <w:p>
      <w:pPr>
        <w:widowControl/>
        <w:spacing w:line="360" w:lineRule="auto"/>
        <w:jc w:val="left"/>
        <w:outlineLvl w:val="1"/>
        <w:rPr>
          <w:rFonts w:ascii="Arial" w:hAnsi="Arial" w:cs="Arial"/>
          <w:b/>
          <w:color w:val="auto"/>
          <w:sz w:val="22"/>
          <w:szCs w:val="22"/>
          <w:highlight w:val="none"/>
        </w:rPr>
      </w:pPr>
      <w:bookmarkStart w:id="63" w:name="_Toc317685576"/>
      <w:bookmarkStart w:id="64" w:name="_Toc304292191"/>
      <w:bookmarkStart w:id="65" w:name="_Toc436330214"/>
      <w:r>
        <w:rPr>
          <w:rFonts w:ascii="Arial" w:hAnsi="Arial" w:cs="Arial"/>
          <w:b/>
          <w:color w:val="auto"/>
          <w:sz w:val="22"/>
          <w:szCs w:val="22"/>
          <w:highlight w:val="none"/>
        </w:rPr>
        <w:t xml:space="preserve">    （五）投标保证金</w:t>
      </w:r>
      <w:bookmarkEnd w:id="63"/>
      <w:bookmarkEnd w:id="64"/>
      <w:bookmarkEnd w:id="65"/>
    </w:p>
    <w:p>
      <w:pPr>
        <w:widowControl/>
        <w:spacing w:line="360" w:lineRule="auto"/>
        <w:ind w:firstLine="442" w:firstLineChars="200"/>
        <w:jc w:val="left"/>
        <w:outlineLvl w:val="1"/>
        <w:rPr>
          <w:rFonts w:ascii="Arial" w:hAnsi="Arial" w:cs="Arial"/>
          <w:b/>
          <w:bCs/>
          <w:color w:val="auto"/>
          <w:sz w:val="22"/>
          <w:szCs w:val="22"/>
          <w:highlight w:val="none"/>
          <w:u w:val="single"/>
        </w:rPr>
      </w:pPr>
      <w:bookmarkStart w:id="66" w:name="_Toc304292192"/>
      <w:bookmarkStart w:id="67" w:name="_Toc436330215"/>
      <w:bookmarkStart w:id="68" w:name="_Toc317685577"/>
      <w:r>
        <w:rPr>
          <w:rFonts w:hint="eastAsia" w:ascii="Arial" w:hAnsi="Arial" w:cs="Arial"/>
          <w:b/>
          <w:bCs/>
          <w:color w:val="auto"/>
          <w:sz w:val="22"/>
          <w:szCs w:val="22"/>
          <w:highlight w:val="none"/>
          <w:u w:val="single"/>
        </w:rPr>
        <w:t>无。</w:t>
      </w:r>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 xml:space="preserve">    （六）投标文件的签署和份数</w:t>
      </w:r>
      <w:bookmarkEnd w:id="66"/>
      <w:bookmarkEnd w:id="67"/>
      <w:bookmarkEnd w:id="68"/>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1.投标人应按本招标采购文件规定的格式和顺序编制、装订投标文件并标注页码，投标文件内容不完整、编排混乱导致投标文件被误读、漏读或者查找不到相关内容的，是投标人的责任。</w:t>
      </w:r>
    </w:p>
    <w:p>
      <w:pPr>
        <w:widowControl/>
        <w:spacing w:line="360" w:lineRule="auto"/>
        <w:ind w:firstLine="42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★2. 资格证明文件、报价文件及技术商务文件正</w:t>
      </w:r>
      <w:r>
        <w:rPr>
          <w:rFonts w:hint="eastAsia" w:ascii="Arial" w:hAnsi="Arial" w:cs="Arial"/>
          <w:b/>
          <w:color w:val="auto"/>
          <w:sz w:val="22"/>
          <w:szCs w:val="22"/>
          <w:highlight w:val="none"/>
          <w:u w:val="single"/>
        </w:rPr>
        <w:t>、</w:t>
      </w:r>
      <w:r>
        <w:rPr>
          <w:rFonts w:ascii="Arial" w:hAnsi="Arial" w:cs="Arial"/>
          <w:b/>
          <w:color w:val="auto"/>
          <w:sz w:val="22"/>
          <w:szCs w:val="22"/>
          <w:highlight w:val="none"/>
          <w:u w:val="single"/>
        </w:rPr>
        <w:t>副本分别编制，并分别单独装订成册。</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3.</w:t>
      </w:r>
      <w:r>
        <w:rPr>
          <w:rFonts w:ascii="Arial" w:hAnsi="Arial" w:cs="Arial"/>
          <w:b/>
          <w:color w:val="auto"/>
          <w:sz w:val="22"/>
          <w:szCs w:val="22"/>
          <w:highlight w:val="none"/>
        </w:rPr>
        <w:t>投标文件的封面应注明“正本”、“副本”字样。</w:t>
      </w:r>
      <w:r>
        <w:rPr>
          <w:rFonts w:ascii="Arial" w:hAnsi="Arial" w:cs="Arial"/>
          <w:color w:val="auto"/>
          <w:sz w:val="22"/>
          <w:szCs w:val="22"/>
          <w:highlight w:val="none"/>
        </w:rPr>
        <w:t>标文件的正本需打印或用不褪色的墨水填写，投标文件正本除本《投标人须知》中规定的可提供复印件外均须提供原件。副本可为正本的复印件。</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4.投标文件须由投标人在规定位置盖章并由法定代表人或法定代表人的授权委托人签署，投标人应写全称。</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5.投标文件不得涂改，若有修改错漏处，须加盖单位公章或者法定代表人或授权委托人签字或盖章。投标文件因字迹潦草或表达不清所引起的后果由投标人负责。</w:t>
      </w:r>
    </w:p>
    <w:p>
      <w:pPr>
        <w:widowControl/>
        <w:spacing w:line="360" w:lineRule="auto"/>
        <w:jc w:val="left"/>
        <w:outlineLvl w:val="1"/>
        <w:rPr>
          <w:rFonts w:ascii="Arial" w:hAnsi="Arial" w:cs="Arial"/>
          <w:b/>
          <w:color w:val="auto"/>
          <w:sz w:val="22"/>
          <w:szCs w:val="22"/>
          <w:highlight w:val="none"/>
        </w:rPr>
      </w:pPr>
      <w:bookmarkStart w:id="69" w:name="_Toc317685578"/>
      <w:bookmarkStart w:id="70" w:name="_Toc436330216"/>
      <w:r>
        <w:rPr>
          <w:rFonts w:ascii="Arial" w:hAnsi="Arial" w:cs="Arial"/>
          <w:b/>
          <w:color w:val="auto"/>
          <w:sz w:val="22"/>
          <w:szCs w:val="22"/>
          <w:highlight w:val="none"/>
        </w:rPr>
        <w:t xml:space="preserve">    （七）投标文件的包装、递交、修改和撤回</w:t>
      </w:r>
      <w:bookmarkEnd w:id="69"/>
      <w:bookmarkEnd w:id="70"/>
    </w:p>
    <w:p>
      <w:pPr>
        <w:widowControl/>
        <w:spacing w:line="360" w:lineRule="auto"/>
        <w:ind w:firstLine="420"/>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1.</w:t>
      </w:r>
      <w:r>
        <w:rPr>
          <w:rFonts w:ascii="Arial" w:hAnsi="Arial" w:cs="Arial"/>
          <w:b/>
          <w:bCs/>
          <w:color w:val="auto"/>
          <w:sz w:val="22"/>
          <w:szCs w:val="22"/>
          <w:highlight w:val="none"/>
          <w:u w:val="single"/>
        </w:rPr>
        <w:t>★</w:t>
      </w:r>
      <w:r>
        <w:rPr>
          <w:rFonts w:ascii="Arial" w:hAnsi="Arial" w:cs="Arial"/>
          <w:b/>
          <w:color w:val="auto"/>
          <w:sz w:val="22"/>
          <w:szCs w:val="22"/>
          <w:highlight w:val="none"/>
          <w:u w:val="single"/>
        </w:rPr>
        <w:t>投标人应将资格证明文件、报价文件、技术商务文件分别密封封装在不同的包装内。逾期送达或者未按照招标采购文件要求密封的投标文件，采购人、采购代理机构应当拒收。</w:t>
      </w:r>
    </w:p>
    <w:p>
      <w:pPr>
        <w:widowControl/>
        <w:spacing w:line="360" w:lineRule="auto"/>
        <w:ind w:firstLine="420"/>
        <w:jc w:val="left"/>
        <w:rPr>
          <w:rFonts w:ascii="Arial" w:hAnsi="Arial" w:cs="Arial"/>
          <w:bCs/>
          <w:color w:val="auto"/>
          <w:sz w:val="22"/>
          <w:szCs w:val="22"/>
          <w:highlight w:val="none"/>
        </w:rPr>
      </w:pPr>
      <w:r>
        <w:rPr>
          <w:rFonts w:ascii="Arial" w:hAnsi="Arial" w:cs="Arial"/>
          <w:bCs/>
          <w:color w:val="auto"/>
          <w:sz w:val="22"/>
          <w:szCs w:val="22"/>
          <w:highlight w:val="none"/>
        </w:rPr>
        <w:t xml:space="preserve">投标文件的包装封面上应注明投标人名称、投标人地址、项目名称、项目编号、投标文件名称（报价文件/资格证明文件/技术商务文件）等内容，并加盖投标人公章。 </w:t>
      </w:r>
    </w:p>
    <w:p>
      <w:pPr>
        <w:widowControl/>
        <w:spacing w:line="360" w:lineRule="auto"/>
        <w:ind w:firstLine="420"/>
        <w:jc w:val="left"/>
        <w:rPr>
          <w:rFonts w:ascii="Arial" w:hAnsi="Arial" w:cs="Arial"/>
          <w:color w:val="auto"/>
          <w:sz w:val="22"/>
          <w:szCs w:val="22"/>
          <w:highlight w:val="none"/>
        </w:rPr>
      </w:pPr>
      <w:r>
        <w:rPr>
          <w:rFonts w:ascii="Arial" w:hAnsi="Arial" w:cs="Arial"/>
          <w:color w:val="auto"/>
          <w:sz w:val="22"/>
          <w:szCs w:val="22"/>
          <w:highlight w:val="none"/>
        </w:rPr>
        <w:t>2</w:t>
      </w:r>
      <w:r>
        <w:rPr>
          <w:rFonts w:ascii="Arial" w:hAnsi="Arial" w:cs="Arial"/>
          <w:bCs/>
          <w:color w:val="auto"/>
          <w:sz w:val="22"/>
          <w:szCs w:val="22"/>
          <w:highlight w:val="none"/>
        </w:rPr>
        <w:t>.未按规定密封或标记的投标文件，采购人有权拒绝接受其投标。</w:t>
      </w:r>
    </w:p>
    <w:p>
      <w:pPr>
        <w:widowControl/>
        <w:spacing w:line="360" w:lineRule="auto"/>
        <w:ind w:firstLine="420"/>
        <w:jc w:val="left"/>
        <w:rPr>
          <w:rFonts w:ascii="Arial" w:hAnsi="Arial" w:cs="Arial"/>
          <w:color w:val="auto"/>
          <w:sz w:val="22"/>
          <w:szCs w:val="22"/>
          <w:highlight w:val="none"/>
        </w:rPr>
      </w:pPr>
      <w:r>
        <w:rPr>
          <w:rFonts w:ascii="Arial" w:hAnsi="Arial" w:cs="Arial"/>
          <w:color w:val="auto"/>
          <w:sz w:val="22"/>
          <w:szCs w:val="22"/>
          <w:highlight w:val="none"/>
        </w:rPr>
        <w:t>3.投标人在投标截止时间之前，可以对所提交的投标文件进行补充、修改或者撤回，并书面通知采购人或采购代理机构。补充、修改的内容应当按照招标采购文件要求签署、盖章、密封后，作为投标文件的组成部分。</w:t>
      </w:r>
    </w:p>
    <w:p>
      <w:pPr>
        <w:widowControl/>
        <w:spacing w:line="360" w:lineRule="auto"/>
        <w:jc w:val="left"/>
        <w:outlineLvl w:val="1"/>
        <w:rPr>
          <w:rFonts w:ascii="Arial" w:hAnsi="Arial" w:cs="Arial"/>
          <w:b/>
          <w:color w:val="auto"/>
          <w:sz w:val="22"/>
          <w:szCs w:val="22"/>
          <w:highlight w:val="none"/>
        </w:rPr>
      </w:pPr>
      <w:bookmarkStart w:id="71" w:name="_Toc304292193"/>
      <w:bookmarkStart w:id="72" w:name="_Toc436330217"/>
      <w:bookmarkStart w:id="73" w:name="_Toc317685579"/>
      <w:r>
        <w:rPr>
          <w:rFonts w:ascii="Arial" w:hAnsi="Arial" w:cs="Arial"/>
          <w:b/>
          <w:color w:val="auto"/>
          <w:sz w:val="22"/>
          <w:szCs w:val="22"/>
          <w:highlight w:val="none"/>
        </w:rPr>
        <w:t xml:space="preserve">    （八）投标无效的情形</w:t>
      </w:r>
      <w:bookmarkEnd w:id="71"/>
      <w:bookmarkEnd w:id="72"/>
      <w:bookmarkEnd w:id="73"/>
    </w:p>
    <w:p>
      <w:pPr>
        <w:pStyle w:val="19"/>
        <w:widowControl/>
        <w:spacing w:line="360" w:lineRule="auto"/>
        <w:ind w:firstLine="415" w:firstLineChars="196"/>
        <w:jc w:val="left"/>
        <w:rPr>
          <w:rFonts w:ascii="Arial" w:hAnsi="Arial" w:cs="Arial"/>
          <w:color w:val="auto"/>
          <w:sz w:val="22"/>
          <w:szCs w:val="22"/>
          <w:highlight w:val="none"/>
        </w:rPr>
      </w:pPr>
      <w:bookmarkStart w:id="74" w:name="_Toc436330218"/>
      <w:bookmarkStart w:id="75" w:name="_Toc317685580"/>
      <w:bookmarkStart w:id="76" w:name="_Toc304292194"/>
      <w:r>
        <w:rPr>
          <w:rFonts w:ascii="Arial" w:hAnsi="Arial" w:cs="Arial"/>
          <w:color w:val="auto"/>
          <w:sz w:val="22"/>
          <w:szCs w:val="22"/>
          <w:highlight w:val="none"/>
        </w:rPr>
        <w:t>实质上没有响应招标采购文件要求的投标将被视为无效投标。</w:t>
      </w:r>
    </w:p>
    <w:p>
      <w:pPr>
        <w:pStyle w:val="19"/>
        <w:widowControl/>
        <w:spacing w:line="360" w:lineRule="auto"/>
        <w:ind w:firstLine="417" w:firstLineChars="196"/>
        <w:jc w:val="left"/>
        <w:rPr>
          <w:rFonts w:ascii="Arial" w:hAnsi="Arial" w:cs="Arial"/>
          <w:color w:val="auto"/>
          <w:sz w:val="22"/>
          <w:szCs w:val="22"/>
          <w:highlight w:val="none"/>
        </w:rPr>
      </w:pPr>
      <w:r>
        <w:rPr>
          <w:rFonts w:ascii="Arial" w:hAnsi="Arial" w:cs="Arial"/>
          <w:b/>
          <w:bCs/>
          <w:color w:val="auto"/>
          <w:sz w:val="22"/>
          <w:szCs w:val="22"/>
          <w:highlight w:val="none"/>
        </w:rPr>
        <w:t>1.在资格审查时，不具备招标采购文件中规定的资格要求的，或者资格证明文件不全的，投标文件将被视为无效；</w:t>
      </w:r>
    </w:p>
    <w:p>
      <w:pPr>
        <w:pStyle w:val="19"/>
        <w:widowControl/>
        <w:spacing w:line="360" w:lineRule="auto"/>
        <w:ind w:firstLine="417" w:firstLineChars="196"/>
        <w:jc w:val="left"/>
        <w:rPr>
          <w:rFonts w:ascii="Arial" w:hAnsi="Arial" w:cs="Arial"/>
          <w:color w:val="auto"/>
          <w:sz w:val="22"/>
          <w:szCs w:val="22"/>
          <w:highlight w:val="none"/>
          <w:u w:val="single"/>
        </w:rPr>
      </w:pPr>
      <w:r>
        <w:rPr>
          <w:rFonts w:ascii="Arial" w:hAnsi="Arial" w:cs="Arial"/>
          <w:b/>
          <w:bCs/>
          <w:color w:val="auto"/>
          <w:sz w:val="22"/>
          <w:szCs w:val="22"/>
          <w:highlight w:val="none"/>
          <w:u w:val="single"/>
        </w:rPr>
        <w:t>2.在符合性审查时，如发现下列情形之一的，投标文件将被视为无效：</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投标文件未按招标采购文件要求签署、签章的；</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投标有效期不满足招标采购文件要求的；</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明显不符合招标采购文件要求的，或者与招标采购文件中标注“★”的条款发生实质性偏离的；</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投标文件中含有采购人不能接受的附加条件的；</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投标声明书无法定代表人签名，或委托人未提供法定代表人授权委托书、填写项目不齐全的；</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 xml:space="preserve">投标文件格式不规范、提供资料不齐全或者内容虚假的； </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投标文件的实质性内容未使用中文表述、表述不明确、前后矛盾或者使用计量单位不符合招标采购文件要求的（经评标委员会认定并允许其当场更正的笔误除外）；</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投标文件的关键内容字迹模糊、无法辨认的，或者投标文件中经修正的内容字迹模糊难以辩认或者修改处未按规定签署、盖章的；</w:t>
      </w:r>
    </w:p>
    <w:p>
      <w:pPr>
        <w:pStyle w:val="19"/>
        <w:widowControl/>
        <w:numPr>
          <w:ilvl w:val="0"/>
          <w:numId w:val="10"/>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法律、法规和招标采购文件规定的其他无效情形；</w:t>
      </w:r>
    </w:p>
    <w:p>
      <w:pPr>
        <w:pStyle w:val="19"/>
        <w:widowControl/>
        <w:spacing w:line="360" w:lineRule="auto"/>
        <w:ind w:firstLine="417" w:firstLineChars="196"/>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3.在技术商务评审时，如发现下列情形之一的，投标文件将被视为无效：</w:t>
      </w:r>
    </w:p>
    <w:p>
      <w:pPr>
        <w:pStyle w:val="19"/>
        <w:widowControl/>
        <w:numPr>
          <w:ilvl w:val="0"/>
          <w:numId w:val="11"/>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未提供或未如实提供投标货物的技术参数，或者投标文件标明的响应或偏离与事实不符或虚假投标的；</w:t>
      </w:r>
    </w:p>
    <w:p>
      <w:pPr>
        <w:pStyle w:val="19"/>
        <w:widowControl/>
        <w:numPr>
          <w:ilvl w:val="0"/>
          <w:numId w:val="11"/>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投标技术方案不明确，存在一个或一个以上备选（替代）投标方案的；</w:t>
      </w:r>
    </w:p>
    <w:p>
      <w:pPr>
        <w:pStyle w:val="19"/>
        <w:widowControl/>
        <w:numPr>
          <w:ilvl w:val="0"/>
          <w:numId w:val="11"/>
        </w:numPr>
        <w:spacing w:line="360" w:lineRule="auto"/>
        <w:jc w:val="left"/>
        <w:rPr>
          <w:rFonts w:ascii="Arial" w:hAnsi="Arial" w:cs="Arial"/>
          <w:b/>
          <w:color w:val="auto"/>
          <w:sz w:val="22"/>
          <w:szCs w:val="22"/>
          <w:highlight w:val="none"/>
          <w:u w:val="single"/>
        </w:rPr>
      </w:pPr>
      <w:r>
        <w:rPr>
          <w:rFonts w:ascii="Arial" w:hAnsi="Arial" w:cs="Arial"/>
          <w:b/>
          <w:snapToGrid w:val="0"/>
          <w:color w:val="auto"/>
          <w:sz w:val="22"/>
          <w:szCs w:val="22"/>
          <w:highlight w:val="none"/>
          <w:u w:val="single"/>
        </w:rPr>
        <w:t>明显不符合招标采购文件要求的，或者与</w:t>
      </w:r>
      <w:r>
        <w:rPr>
          <w:rFonts w:ascii="Arial" w:hAnsi="Arial" w:cs="Arial"/>
          <w:b/>
          <w:color w:val="auto"/>
          <w:sz w:val="22"/>
          <w:szCs w:val="22"/>
          <w:highlight w:val="none"/>
          <w:u w:val="single"/>
        </w:rPr>
        <w:t>招标采购文件中标注“★”的条款发生实质性偏离的；</w:t>
      </w:r>
    </w:p>
    <w:p>
      <w:pPr>
        <w:pStyle w:val="19"/>
        <w:widowControl/>
        <w:spacing w:line="360" w:lineRule="auto"/>
        <w:ind w:firstLine="417" w:firstLineChars="196"/>
        <w:jc w:val="left"/>
        <w:rPr>
          <w:rFonts w:ascii="Arial" w:hAnsi="Arial" w:cs="Arial"/>
          <w:b/>
          <w:bCs/>
          <w:color w:val="auto"/>
          <w:sz w:val="22"/>
          <w:szCs w:val="22"/>
          <w:highlight w:val="none"/>
          <w:u w:val="single"/>
        </w:rPr>
      </w:pPr>
      <w:r>
        <w:rPr>
          <w:rFonts w:ascii="Arial" w:hAnsi="Arial" w:cs="Arial"/>
          <w:b/>
          <w:color w:val="auto"/>
          <w:sz w:val="22"/>
          <w:szCs w:val="22"/>
          <w:highlight w:val="none"/>
          <w:u w:val="single"/>
        </w:rPr>
        <w:t>4.在报价评审</w:t>
      </w:r>
      <w:r>
        <w:rPr>
          <w:rFonts w:ascii="Arial" w:hAnsi="Arial" w:cs="Arial"/>
          <w:b/>
          <w:bCs/>
          <w:color w:val="auto"/>
          <w:sz w:val="22"/>
          <w:szCs w:val="22"/>
          <w:highlight w:val="none"/>
          <w:u w:val="single"/>
        </w:rPr>
        <w:t>时，如发现下列情形之一的，投标文件将被视为无效：</w:t>
      </w:r>
    </w:p>
    <w:p>
      <w:pPr>
        <w:pStyle w:val="19"/>
        <w:widowControl/>
        <w:numPr>
          <w:ilvl w:val="0"/>
          <w:numId w:val="12"/>
        </w:numPr>
        <w:spacing w:line="360" w:lineRule="auto"/>
        <w:jc w:val="left"/>
        <w:rPr>
          <w:rFonts w:ascii="Arial" w:hAnsi="Arial" w:cs="Arial"/>
          <w:b/>
          <w:bCs/>
          <w:color w:val="auto"/>
          <w:sz w:val="22"/>
          <w:szCs w:val="22"/>
          <w:highlight w:val="none"/>
          <w:u w:val="single"/>
        </w:rPr>
      </w:pPr>
      <w:r>
        <w:rPr>
          <w:rFonts w:ascii="Arial" w:hAnsi="Arial" w:cs="Arial"/>
          <w:b/>
          <w:bCs/>
          <w:color w:val="auto"/>
          <w:sz w:val="22"/>
          <w:szCs w:val="22"/>
          <w:highlight w:val="none"/>
          <w:u w:val="single"/>
        </w:rPr>
        <w:t>报价超过招标采购文件中规定的最高限价（含总价及单价的最高限价）的；</w:t>
      </w:r>
    </w:p>
    <w:p>
      <w:pPr>
        <w:pStyle w:val="19"/>
        <w:widowControl/>
        <w:numPr>
          <w:ilvl w:val="0"/>
          <w:numId w:val="12"/>
        </w:numPr>
        <w:spacing w:line="360" w:lineRule="auto"/>
        <w:jc w:val="left"/>
        <w:rPr>
          <w:rFonts w:ascii="Arial" w:hAnsi="Arial" w:cs="Arial"/>
          <w:b/>
          <w:color w:val="auto"/>
          <w:sz w:val="22"/>
          <w:szCs w:val="22"/>
          <w:highlight w:val="none"/>
          <w:u w:val="single"/>
        </w:rPr>
      </w:pPr>
      <w:r>
        <w:rPr>
          <w:rFonts w:ascii="Arial" w:hAnsi="Arial" w:cs="Arial"/>
          <w:b/>
          <w:bCs/>
          <w:color w:val="auto"/>
          <w:sz w:val="22"/>
          <w:szCs w:val="22"/>
          <w:highlight w:val="none"/>
          <w:u w:val="single"/>
        </w:rPr>
        <w:t>未采用投标文件要求的报价形式报价的；</w:t>
      </w:r>
    </w:p>
    <w:p>
      <w:pPr>
        <w:pStyle w:val="19"/>
        <w:widowControl/>
        <w:numPr>
          <w:ilvl w:val="0"/>
          <w:numId w:val="12"/>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投标报价具有选择性；</w:t>
      </w:r>
    </w:p>
    <w:p>
      <w:pPr>
        <w:pStyle w:val="19"/>
        <w:widowControl/>
        <w:numPr>
          <w:ilvl w:val="0"/>
          <w:numId w:val="12"/>
        </w:numPr>
        <w:spacing w:line="360" w:lineRule="auto"/>
        <w:jc w:val="left"/>
        <w:rPr>
          <w:rFonts w:ascii="Arial" w:hAnsi="Arial" w:cs="Arial"/>
          <w:b/>
          <w:bCs/>
          <w:color w:val="auto"/>
          <w:sz w:val="22"/>
          <w:szCs w:val="22"/>
          <w:highlight w:val="none"/>
          <w:u w:val="single"/>
        </w:rPr>
      </w:pPr>
      <w:r>
        <w:rPr>
          <w:rFonts w:ascii="Arial" w:hAnsi="Arial" w:cs="Arial"/>
          <w:b/>
          <w:bCs/>
          <w:color w:val="auto"/>
          <w:sz w:val="22"/>
          <w:szCs w:val="22"/>
          <w:highlight w:val="none"/>
          <w:u w:val="single"/>
        </w:rPr>
        <w:t>评标委员会一致认为报价不合理的（不平衡报价）；</w:t>
      </w:r>
    </w:p>
    <w:p>
      <w:pPr>
        <w:pStyle w:val="19"/>
        <w:widowControl/>
        <w:numPr>
          <w:ilvl w:val="0"/>
          <w:numId w:val="12"/>
        </w:numPr>
        <w:spacing w:line="360" w:lineRule="auto"/>
        <w:jc w:val="left"/>
        <w:rPr>
          <w:rFonts w:ascii="Arial" w:hAnsi="Arial" w:cs="Arial"/>
          <w:b/>
          <w:bCs/>
          <w:color w:val="auto"/>
          <w:sz w:val="22"/>
          <w:szCs w:val="22"/>
          <w:highlight w:val="none"/>
          <w:u w:val="single"/>
        </w:rPr>
      </w:pPr>
      <w:r>
        <w:rPr>
          <w:rFonts w:ascii="Arial" w:hAnsi="Arial" w:cs="Arial"/>
          <w:b/>
          <w:bCs/>
          <w:color w:val="auto"/>
          <w:sz w:val="22"/>
          <w:szCs w:val="22"/>
          <w:highlight w:val="none"/>
          <w:u w:val="single"/>
        </w:rPr>
        <w:t>投标报价中出现重大缺项、漏项或者评标委员会认为投标人的报价明显低于其它通过符合性审查投标人的报价，且投标人不能证明其报价合理性的；</w:t>
      </w:r>
    </w:p>
    <w:p>
      <w:pPr>
        <w:pStyle w:val="19"/>
        <w:widowControl/>
        <w:numPr>
          <w:ilvl w:val="0"/>
          <w:numId w:val="12"/>
        </w:numPr>
        <w:spacing w:line="360" w:lineRule="auto"/>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招标采购文件规定的其他无效情形；</w:t>
      </w:r>
    </w:p>
    <w:p>
      <w:pPr>
        <w:pStyle w:val="19"/>
        <w:widowControl/>
        <w:spacing w:line="360" w:lineRule="auto"/>
        <w:ind w:firstLine="417" w:firstLineChars="196"/>
        <w:jc w:val="left"/>
        <w:rPr>
          <w:rFonts w:ascii="Arial" w:hAnsi="Arial" w:cs="Arial"/>
          <w:b/>
          <w:color w:val="auto"/>
          <w:sz w:val="22"/>
          <w:szCs w:val="22"/>
          <w:highlight w:val="none"/>
          <w:u w:val="single"/>
        </w:rPr>
      </w:pPr>
      <w:r>
        <w:rPr>
          <w:rFonts w:ascii="Arial" w:hAnsi="Arial" w:cs="Arial"/>
          <w:b/>
          <w:color w:val="auto"/>
          <w:sz w:val="22"/>
          <w:szCs w:val="22"/>
          <w:highlight w:val="none"/>
          <w:u w:val="single"/>
        </w:rPr>
        <w:t>5.被拒绝的投标文件为无效。</w:t>
      </w:r>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四、开标</w:t>
      </w:r>
      <w:bookmarkEnd w:id="74"/>
      <w:bookmarkEnd w:id="75"/>
      <w:bookmarkEnd w:id="76"/>
    </w:p>
    <w:p>
      <w:pPr>
        <w:widowControl/>
        <w:spacing w:line="360" w:lineRule="auto"/>
        <w:jc w:val="left"/>
        <w:outlineLvl w:val="1"/>
        <w:rPr>
          <w:rFonts w:ascii="Arial" w:hAnsi="Arial" w:cs="Arial"/>
          <w:b/>
          <w:color w:val="auto"/>
          <w:sz w:val="22"/>
          <w:szCs w:val="22"/>
          <w:highlight w:val="none"/>
        </w:rPr>
      </w:pPr>
      <w:bookmarkStart w:id="77" w:name="_Toc436330219"/>
      <w:bookmarkStart w:id="78" w:name="_Toc317685581"/>
      <w:r>
        <w:rPr>
          <w:rFonts w:ascii="Arial" w:hAnsi="Arial" w:cs="Arial"/>
          <w:b/>
          <w:color w:val="auto"/>
          <w:sz w:val="22"/>
          <w:szCs w:val="22"/>
          <w:highlight w:val="none"/>
        </w:rPr>
        <w:t xml:space="preserve">    （一）开标准备</w:t>
      </w:r>
      <w:bookmarkEnd w:id="77"/>
      <w:bookmarkEnd w:id="78"/>
    </w:p>
    <w:p>
      <w:pPr>
        <w:pStyle w:val="25"/>
        <w:widowControl/>
        <w:spacing w:beforeLines="0" w:afterLines="0" w:line="360" w:lineRule="auto"/>
        <w:ind w:firstLine="440" w:firstLineChars="200"/>
        <w:jc w:val="left"/>
        <w:rPr>
          <w:rFonts w:hint="default" w:ascii="Arial" w:hAnsi="Arial" w:cs="Arial"/>
          <w:bCs/>
          <w:color w:val="auto"/>
          <w:sz w:val="22"/>
          <w:szCs w:val="22"/>
          <w:highlight w:val="none"/>
        </w:rPr>
      </w:pPr>
      <w:r>
        <w:rPr>
          <w:rFonts w:ascii="Arial" w:hAnsi="Arial" w:cs="Arial"/>
          <w:bCs/>
          <w:color w:val="auto"/>
          <w:sz w:val="22"/>
          <w:szCs w:val="22"/>
          <w:highlight w:val="none"/>
        </w:rPr>
        <w:t>投标人应当在招标采购文件要求提交投标文件的截止时间前，将投标文件密封送达投标地点，采购代理机构将在规定的时间和地点进行开标。投标人的法定代表人或其授权代表应参加开标会并签到，采购代理机构收到投标文件后，应当记载投标文件送达时间和密封情况，签收保存并向投标人出具签收回执。投标人的法定代表人或其授权代表未按时签到的，视同放弃开标监督权利、认可开标结果。</w:t>
      </w:r>
      <w:bookmarkStart w:id="79" w:name="_Toc317685582"/>
      <w:bookmarkStart w:id="80" w:name="_Toc436330220"/>
    </w:p>
    <w:p>
      <w:pPr>
        <w:pStyle w:val="25"/>
        <w:widowControl/>
        <w:spacing w:beforeLines="0" w:afterLines="0" w:line="360" w:lineRule="auto"/>
        <w:jc w:val="left"/>
        <w:rPr>
          <w:rFonts w:hint="default" w:ascii="Arial" w:hAnsi="Arial" w:cs="Arial"/>
          <w:b/>
          <w:color w:val="auto"/>
          <w:sz w:val="22"/>
          <w:szCs w:val="22"/>
          <w:highlight w:val="none"/>
        </w:rPr>
      </w:pPr>
      <w:r>
        <w:rPr>
          <w:rFonts w:ascii="Arial" w:hAnsi="Arial" w:cs="Arial"/>
          <w:b/>
          <w:color w:val="auto"/>
          <w:sz w:val="22"/>
          <w:szCs w:val="22"/>
          <w:highlight w:val="none"/>
        </w:rPr>
        <w:t xml:space="preserve">    （二）开标程序：</w:t>
      </w:r>
      <w:bookmarkEnd w:id="79"/>
      <w:bookmarkEnd w:id="80"/>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1.开标会由采购代理机构主持，主持人宣布开标会议开始；</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 xml:space="preserve">2.主持人介绍参加开标会的人员名单； </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3.主持人宣布评标期间的有关事项；告知应当回避的情形，提请有关人员回避；</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4.投标人或其推选的代表检查投标文件密封情况，经确认无误后，由采购代理机构工作人员当众拆封，先开启资格证明文件及技术商务文件。</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5. 资格证明文件和技术商务文件评审结束后，公布资格审查和商务技术评审符合采购需求的供应商名单并公布商务技术得分情况后再开启报价文件，采购代理机构将公布投标人名称、投标内容、投标价格等以及采购人认为合适的其他内容，并做开标记录。</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6.投标人代表对开标记录进行当场校核及勘误，并签字确认；同时由开标人员当场签字确认。投标人代表未到场签字确认或者拒绝签字确认的，不影响评标过程。</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7.开标会议结束。</w:t>
      </w:r>
    </w:p>
    <w:p>
      <w:pPr>
        <w:widowControl/>
        <w:spacing w:line="360" w:lineRule="auto"/>
        <w:jc w:val="left"/>
        <w:outlineLvl w:val="1"/>
        <w:rPr>
          <w:rFonts w:ascii="Arial" w:hAnsi="Arial" w:cs="Arial"/>
          <w:b/>
          <w:color w:val="auto"/>
          <w:sz w:val="22"/>
          <w:szCs w:val="22"/>
          <w:highlight w:val="none"/>
        </w:rPr>
      </w:pPr>
      <w:bookmarkStart w:id="81" w:name="_Toc317685583"/>
      <w:bookmarkStart w:id="82" w:name="_Toc436330221"/>
      <w:bookmarkStart w:id="83" w:name="_Toc304292195"/>
      <w:r>
        <w:rPr>
          <w:rFonts w:ascii="Arial" w:hAnsi="Arial" w:cs="Arial"/>
          <w:b/>
          <w:color w:val="auto"/>
          <w:sz w:val="22"/>
          <w:szCs w:val="22"/>
          <w:highlight w:val="none"/>
        </w:rPr>
        <w:t>五、评标</w:t>
      </w:r>
      <w:bookmarkEnd w:id="81"/>
      <w:bookmarkEnd w:id="82"/>
      <w:bookmarkEnd w:id="83"/>
    </w:p>
    <w:p>
      <w:pPr>
        <w:widowControl/>
        <w:spacing w:line="360" w:lineRule="auto"/>
        <w:ind w:firstLine="442" w:firstLineChars="200"/>
        <w:jc w:val="left"/>
        <w:outlineLvl w:val="1"/>
        <w:rPr>
          <w:rFonts w:ascii="Arial" w:hAnsi="Arial" w:cs="Arial"/>
          <w:b/>
          <w:color w:val="auto"/>
          <w:sz w:val="22"/>
          <w:szCs w:val="22"/>
          <w:highlight w:val="none"/>
        </w:rPr>
      </w:pPr>
      <w:bookmarkStart w:id="84" w:name="_Toc436330222"/>
      <w:bookmarkStart w:id="85" w:name="_Toc317685584"/>
      <w:r>
        <w:rPr>
          <w:rFonts w:ascii="Arial" w:hAnsi="Arial" w:cs="Arial"/>
          <w:b/>
          <w:color w:val="auto"/>
          <w:sz w:val="22"/>
          <w:szCs w:val="22"/>
          <w:highlight w:val="none"/>
        </w:rPr>
        <w:t>（一）组建评标委员会</w:t>
      </w:r>
      <w:bookmarkEnd w:id="84"/>
      <w:bookmarkEnd w:id="85"/>
    </w:p>
    <w:p>
      <w:pPr>
        <w:pStyle w:val="117"/>
        <w:widowControl/>
        <w:spacing w:beforeLines="0" w:afterLines="0" w:line="360" w:lineRule="auto"/>
        <w:ind w:firstLine="440" w:firstLineChars="200"/>
        <w:jc w:val="left"/>
        <w:rPr>
          <w:rFonts w:ascii="Arial" w:hAnsi="Arial" w:cs="Arial"/>
          <w:color w:val="auto"/>
          <w:sz w:val="22"/>
          <w:szCs w:val="22"/>
          <w:highlight w:val="none"/>
        </w:rPr>
      </w:pPr>
      <w:bookmarkStart w:id="86" w:name="_Toc436330223"/>
      <w:bookmarkStart w:id="87" w:name="_Toc317685585"/>
      <w:r>
        <w:rPr>
          <w:rFonts w:ascii="Arial" w:hAnsi="Arial" w:cs="Arial"/>
          <w:color w:val="auto"/>
          <w:sz w:val="22"/>
          <w:szCs w:val="22"/>
          <w:highlight w:val="none"/>
        </w:rPr>
        <w:t>本项目评标委员会依法组建。</w:t>
      </w:r>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 xml:space="preserve">    （二）评标的方式</w:t>
      </w:r>
      <w:bookmarkEnd w:id="86"/>
      <w:bookmarkEnd w:id="87"/>
    </w:p>
    <w:p>
      <w:pPr>
        <w:widowControl/>
        <w:spacing w:line="360" w:lineRule="auto"/>
        <w:ind w:firstLine="440" w:firstLineChars="200"/>
        <w:jc w:val="left"/>
        <w:outlineLvl w:val="1"/>
        <w:rPr>
          <w:rFonts w:ascii="Arial" w:hAnsi="Arial" w:cs="Arial"/>
          <w:color w:val="auto"/>
          <w:sz w:val="22"/>
          <w:szCs w:val="22"/>
          <w:highlight w:val="none"/>
        </w:rPr>
      </w:pPr>
      <w:r>
        <w:rPr>
          <w:rFonts w:ascii="Arial" w:hAnsi="Arial" w:cs="Arial"/>
          <w:color w:val="auto"/>
          <w:sz w:val="22"/>
          <w:szCs w:val="22"/>
          <w:highlight w:val="none"/>
        </w:rPr>
        <w:t>本项目采用不公开方式评标，评标的依据为招标采购文件和投标文件。</w:t>
      </w:r>
      <w:bookmarkStart w:id="88" w:name="_Toc436330224"/>
      <w:bookmarkStart w:id="89" w:name="_Toc317685586"/>
    </w:p>
    <w:p>
      <w:pPr>
        <w:widowControl/>
        <w:numPr>
          <w:ilvl w:val="0"/>
          <w:numId w:val="13"/>
        </w:numPr>
        <w:spacing w:line="360" w:lineRule="auto"/>
        <w:ind w:firstLine="442" w:firstLineChars="200"/>
        <w:jc w:val="left"/>
        <w:outlineLvl w:val="1"/>
        <w:rPr>
          <w:rFonts w:ascii="Arial" w:hAnsi="Arial" w:cs="Arial"/>
          <w:b/>
          <w:color w:val="auto"/>
          <w:sz w:val="22"/>
          <w:szCs w:val="22"/>
          <w:highlight w:val="none"/>
        </w:rPr>
      </w:pPr>
      <w:r>
        <w:rPr>
          <w:rFonts w:ascii="Arial" w:hAnsi="Arial" w:cs="Arial"/>
          <w:b/>
          <w:color w:val="auto"/>
          <w:sz w:val="22"/>
          <w:szCs w:val="22"/>
          <w:highlight w:val="none"/>
        </w:rPr>
        <w:t>评标程序</w:t>
      </w:r>
      <w:bookmarkEnd w:id="88"/>
      <w:bookmarkEnd w:id="89"/>
    </w:p>
    <w:p>
      <w:pPr>
        <w:widowControl/>
        <w:spacing w:line="360" w:lineRule="auto"/>
        <w:jc w:val="left"/>
        <w:outlineLvl w:val="1"/>
        <w:rPr>
          <w:rFonts w:ascii="Arial" w:hAnsi="Arial" w:cs="Arial"/>
          <w:b/>
          <w:bCs/>
          <w:color w:val="auto"/>
          <w:sz w:val="22"/>
          <w:szCs w:val="22"/>
          <w:highlight w:val="none"/>
        </w:rPr>
      </w:pPr>
      <w:r>
        <w:rPr>
          <w:rFonts w:ascii="Arial" w:hAnsi="Arial" w:cs="Arial"/>
          <w:b/>
          <w:bCs/>
          <w:color w:val="auto"/>
          <w:sz w:val="22"/>
          <w:szCs w:val="22"/>
          <w:highlight w:val="none"/>
        </w:rPr>
        <w:t xml:space="preserve">    1.资格审查</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采购人或者采购代理机构对投标人的资格进行审查。</w:t>
      </w:r>
    </w:p>
    <w:p>
      <w:pPr>
        <w:widowControl/>
        <w:numPr>
          <w:ilvl w:val="0"/>
          <w:numId w:val="14"/>
        </w:numPr>
        <w:spacing w:line="360" w:lineRule="auto"/>
        <w:ind w:firstLine="442" w:firstLineChars="200"/>
        <w:jc w:val="left"/>
        <w:rPr>
          <w:rFonts w:ascii="Arial" w:hAnsi="Arial" w:cs="Arial"/>
          <w:b/>
          <w:bCs/>
          <w:color w:val="auto"/>
          <w:sz w:val="22"/>
          <w:szCs w:val="22"/>
          <w:highlight w:val="none"/>
        </w:rPr>
      </w:pPr>
      <w:r>
        <w:rPr>
          <w:rFonts w:ascii="Arial" w:hAnsi="Arial" w:cs="Arial"/>
          <w:b/>
          <w:bCs/>
          <w:color w:val="auto"/>
          <w:sz w:val="22"/>
          <w:szCs w:val="22"/>
          <w:highlight w:val="none"/>
        </w:rPr>
        <w:t>符合性审查与比较</w:t>
      </w:r>
    </w:p>
    <w:p>
      <w:pPr>
        <w:widowControl/>
        <w:spacing w:line="360" w:lineRule="auto"/>
        <w:jc w:val="left"/>
        <w:rPr>
          <w:rFonts w:ascii="Arial" w:hAnsi="Arial" w:cs="Arial"/>
          <w:color w:val="auto"/>
          <w:sz w:val="22"/>
          <w:szCs w:val="22"/>
          <w:highlight w:val="none"/>
        </w:rPr>
      </w:pPr>
      <w:r>
        <w:rPr>
          <w:rFonts w:ascii="Arial" w:hAnsi="Arial" w:cs="Arial"/>
          <w:color w:val="auto"/>
          <w:sz w:val="22"/>
          <w:szCs w:val="22"/>
          <w:highlight w:val="none"/>
        </w:rPr>
        <w:t xml:space="preserve">    （1）评标委员会审查投标文件的实质性内容是否符合招标采购文件的实质性要求。</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（2）评标委员会将根据投标人的投标文件进行审查、核对，如有疑问，将对投标人进行询标，投标人要向评标委员会澄清有关问题，并最终以书面形式进行答复。</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投标人代表未到场或者拒绝澄清或者澄清的内容改变了投标文件的实质性内容的，评标委员会有权对该投标文件作出不利于投标人的评判。</w:t>
      </w:r>
    </w:p>
    <w:p>
      <w:pPr>
        <w:widowControl/>
        <w:spacing w:line="360" w:lineRule="auto"/>
        <w:ind w:firstLine="442" w:firstLineChars="200"/>
        <w:jc w:val="left"/>
        <w:outlineLvl w:val="1"/>
        <w:rPr>
          <w:rFonts w:ascii="Arial" w:hAnsi="Arial" w:cs="Arial"/>
          <w:b/>
          <w:color w:val="auto"/>
          <w:sz w:val="22"/>
          <w:szCs w:val="22"/>
          <w:highlight w:val="none"/>
        </w:rPr>
      </w:pPr>
      <w:bookmarkStart w:id="90" w:name="_Toc436330225"/>
      <w:bookmarkStart w:id="91" w:name="_Toc317685587"/>
      <w:r>
        <w:rPr>
          <w:rFonts w:ascii="Arial" w:hAnsi="Arial" w:cs="Arial"/>
          <w:b/>
          <w:color w:val="auto"/>
          <w:sz w:val="22"/>
          <w:szCs w:val="22"/>
          <w:highlight w:val="none"/>
        </w:rPr>
        <w:t>（四）澄清问题的形式</w:t>
      </w:r>
      <w:bookmarkEnd w:id="90"/>
      <w:bookmarkEnd w:id="91"/>
    </w:p>
    <w:p>
      <w:pPr>
        <w:widowControl/>
        <w:spacing w:line="360" w:lineRule="auto"/>
        <w:ind w:firstLine="440" w:firstLineChars="200"/>
        <w:jc w:val="left"/>
        <w:outlineLvl w:val="1"/>
        <w:rPr>
          <w:rFonts w:ascii="Arial" w:hAnsi="Arial" w:cs="Arial"/>
          <w:color w:val="auto"/>
          <w:sz w:val="22"/>
          <w:szCs w:val="22"/>
          <w:highlight w:val="none"/>
        </w:rPr>
      </w:pPr>
      <w:r>
        <w:rPr>
          <w:rFonts w:ascii="Arial" w:hAnsi="Arial" w:cs="Arial"/>
          <w:color w:val="auto"/>
          <w:sz w:val="22"/>
          <w:szCs w:val="22"/>
          <w:highlight w:val="none"/>
        </w:rPr>
        <w:t>对于投标文件中含义不明确、同类问题表述不一致或者有明显文字和计算错误的内容，评标委员会可要求投标人以书面形式作出必要的澄清、说明或者补正。</w:t>
      </w:r>
    </w:p>
    <w:p>
      <w:pPr>
        <w:widowControl/>
        <w:spacing w:line="360" w:lineRule="auto"/>
        <w:ind w:firstLine="440" w:firstLineChars="200"/>
        <w:jc w:val="left"/>
        <w:outlineLvl w:val="1"/>
        <w:rPr>
          <w:rFonts w:ascii="Arial" w:hAnsi="Arial" w:cs="Arial"/>
          <w:color w:val="auto"/>
          <w:sz w:val="22"/>
          <w:szCs w:val="22"/>
          <w:highlight w:val="none"/>
        </w:rPr>
      </w:pPr>
      <w:r>
        <w:rPr>
          <w:rFonts w:ascii="Arial" w:hAnsi="Arial" w:cs="Arial"/>
          <w:color w:val="auto"/>
          <w:sz w:val="22"/>
          <w:szCs w:val="22"/>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Start w:id="92" w:name="_Toc317685588"/>
      <w:bookmarkStart w:id="93" w:name="_Toc436330226"/>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 xml:space="preserve">    （五）错误修正</w:t>
      </w:r>
      <w:bookmarkEnd w:id="92"/>
      <w:bookmarkEnd w:id="93"/>
    </w:p>
    <w:p>
      <w:pPr>
        <w:pStyle w:val="117"/>
        <w:widowControl/>
        <w:spacing w:beforeLines="0" w:afterLines="0" w:line="360" w:lineRule="auto"/>
        <w:ind w:left="699" w:leftChars="228" w:hanging="220" w:hangingChars="100"/>
        <w:jc w:val="left"/>
        <w:rPr>
          <w:rFonts w:ascii="Arial" w:hAnsi="Arial" w:cs="Arial"/>
          <w:color w:val="auto"/>
          <w:sz w:val="22"/>
          <w:szCs w:val="22"/>
          <w:highlight w:val="none"/>
        </w:rPr>
      </w:pPr>
      <w:r>
        <w:rPr>
          <w:rFonts w:ascii="Arial" w:hAnsi="Arial" w:cs="Arial"/>
          <w:color w:val="auto"/>
          <w:sz w:val="22"/>
          <w:szCs w:val="22"/>
          <w:highlight w:val="none"/>
        </w:rPr>
        <w:t>投标文件报价出现前后不一致的，除招标采购文件另有规定外，按照下列规定修正：</w:t>
      </w:r>
    </w:p>
    <w:p>
      <w:pPr>
        <w:widowControl/>
        <w:numPr>
          <w:ilvl w:val="0"/>
          <w:numId w:val="15"/>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投标文件中开标一览表（报价表）内容与投标文件中相应内容不一致的，以开标一览表（报价表）为准；</w:t>
      </w:r>
    </w:p>
    <w:p>
      <w:pPr>
        <w:widowControl/>
        <w:numPr>
          <w:ilvl w:val="0"/>
          <w:numId w:val="15"/>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大写金额和小写金额不一致的，以大写金额为准；</w:t>
      </w:r>
    </w:p>
    <w:p>
      <w:pPr>
        <w:widowControl/>
        <w:numPr>
          <w:ilvl w:val="0"/>
          <w:numId w:val="15"/>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单价金额小数点或者百分比有明显错位的，以开标一览表的总价为准，并修改单价；</w:t>
      </w:r>
    </w:p>
    <w:p>
      <w:pPr>
        <w:widowControl/>
        <w:numPr>
          <w:ilvl w:val="0"/>
          <w:numId w:val="15"/>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总价金额与按单价汇总金额不一致的，以单价金额计算结果为准；</w:t>
      </w:r>
    </w:p>
    <w:p>
      <w:pPr>
        <w:pStyle w:val="117"/>
        <w:widowControl/>
        <w:spacing w:beforeLines="0" w:afterLines="0" w:line="360" w:lineRule="auto"/>
        <w:ind w:firstLine="442" w:firstLineChars="200"/>
        <w:jc w:val="left"/>
        <w:rPr>
          <w:rFonts w:ascii="Arial" w:hAnsi="Arial" w:cs="Arial"/>
          <w:color w:val="auto"/>
          <w:sz w:val="22"/>
          <w:szCs w:val="22"/>
          <w:highlight w:val="none"/>
        </w:rPr>
      </w:pPr>
      <w:r>
        <w:rPr>
          <w:rFonts w:ascii="Arial" w:hAnsi="Arial" w:cs="Arial"/>
          <w:b/>
          <w:bCs/>
          <w:color w:val="auto"/>
          <w:sz w:val="22"/>
          <w:szCs w:val="22"/>
          <w:highlight w:val="none"/>
        </w:rPr>
        <w:t>同时出现两种以上不一致的，按照前款规定的顺序修正。修正后的报价经投标人确认后具有约束力，若投标人不确认的，则其投标无效。</w:t>
      </w:r>
    </w:p>
    <w:p>
      <w:pPr>
        <w:widowControl/>
        <w:spacing w:line="360" w:lineRule="auto"/>
        <w:jc w:val="left"/>
        <w:outlineLvl w:val="1"/>
        <w:rPr>
          <w:rFonts w:ascii="Arial" w:hAnsi="Arial" w:cs="Arial"/>
          <w:b/>
          <w:color w:val="auto"/>
          <w:sz w:val="22"/>
          <w:szCs w:val="22"/>
          <w:highlight w:val="none"/>
        </w:rPr>
      </w:pPr>
      <w:bookmarkStart w:id="94" w:name="_Toc436330227"/>
      <w:bookmarkStart w:id="95" w:name="_Toc317685589"/>
      <w:r>
        <w:rPr>
          <w:rFonts w:ascii="Arial" w:hAnsi="Arial" w:cs="Arial"/>
          <w:b/>
          <w:color w:val="auto"/>
          <w:sz w:val="22"/>
          <w:szCs w:val="22"/>
          <w:highlight w:val="none"/>
        </w:rPr>
        <w:t xml:space="preserve">    （六）评标原则和评标办法</w:t>
      </w:r>
      <w:bookmarkEnd w:id="94"/>
      <w:bookmarkEnd w:id="95"/>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2.评标办法。本项目评标办法是</w:t>
      </w:r>
      <w:r>
        <w:rPr>
          <w:rFonts w:ascii="Arial" w:hAnsi="Arial" w:cs="Arial"/>
          <w:b/>
          <w:bCs/>
          <w:color w:val="auto"/>
          <w:sz w:val="22"/>
          <w:szCs w:val="22"/>
          <w:highlight w:val="none"/>
          <w:u w:val="single"/>
        </w:rPr>
        <w:t>综合评分法</w:t>
      </w:r>
      <w:r>
        <w:rPr>
          <w:rFonts w:ascii="Arial" w:hAnsi="Arial" w:cs="Arial"/>
          <w:color w:val="auto"/>
          <w:sz w:val="22"/>
          <w:szCs w:val="22"/>
          <w:highlight w:val="none"/>
        </w:rPr>
        <w:t>，具体评标内容及评分标准等详见《第四章 评标办法及评分标准》。</w:t>
      </w:r>
    </w:p>
    <w:p>
      <w:pPr>
        <w:pStyle w:val="25"/>
        <w:widowControl/>
        <w:spacing w:beforeLines="0" w:afterLines="0" w:line="360" w:lineRule="auto"/>
        <w:jc w:val="left"/>
        <w:rPr>
          <w:rFonts w:hint="default" w:ascii="Arial" w:hAnsi="Arial" w:cs="Arial"/>
          <w:b/>
          <w:color w:val="auto"/>
          <w:sz w:val="22"/>
          <w:szCs w:val="22"/>
          <w:highlight w:val="none"/>
        </w:rPr>
      </w:pPr>
      <w:bookmarkStart w:id="96" w:name="_Toc436330228"/>
      <w:bookmarkStart w:id="97" w:name="_Toc317685590"/>
      <w:r>
        <w:rPr>
          <w:rFonts w:ascii="Arial" w:hAnsi="Arial" w:cs="Arial"/>
          <w:b/>
          <w:color w:val="auto"/>
          <w:sz w:val="22"/>
          <w:szCs w:val="22"/>
          <w:highlight w:val="none"/>
        </w:rPr>
        <w:t>六、</w:t>
      </w:r>
      <w:bookmarkEnd w:id="96"/>
      <w:bookmarkEnd w:id="97"/>
      <w:bookmarkStart w:id="98" w:name="_Toc317685591"/>
      <w:bookmarkStart w:id="99" w:name="_Toc436330229"/>
      <w:r>
        <w:rPr>
          <w:rFonts w:ascii="Arial" w:hAnsi="Arial" w:cs="Arial"/>
          <w:b/>
          <w:color w:val="auto"/>
          <w:sz w:val="22"/>
          <w:szCs w:val="22"/>
          <w:highlight w:val="none"/>
        </w:rPr>
        <w:t>定标</w:t>
      </w:r>
      <w:bookmarkEnd w:id="98"/>
      <w:bookmarkEnd w:id="99"/>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1.确定中标人。本项目由评标委员会推荐中标候选人，采购人不得在评标委员会推荐的中标候选人以外确定中标候选人。</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3.采购代理机构自中标人确定之日起2各工作日内，在发布招标公告的网站上对中标结果进行公示，中标结果公告期限为1个工作日。</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4.凡发现中标人有下列行为之一的，将移交政府采购监督管理部门依法处理：</w:t>
      </w:r>
    </w:p>
    <w:p>
      <w:pPr>
        <w:widowControl/>
        <w:spacing w:line="360" w:lineRule="auto"/>
        <w:ind w:left="400"/>
        <w:jc w:val="left"/>
        <w:rPr>
          <w:rFonts w:ascii="Arial" w:hAnsi="Arial" w:cs="Arial"/>
          <w:color w:val="auto"/>
          <w:sz w:val="22"/>
          <w:szCs w:val="22"/>
          <w:highlight w:val="none"/>
        </w:rPr>
      </w:pPr>
      <w:r>
        <w:rPr>
          <w:rFonts w:ascii="Arial" w:hAnsi="Arial" w:cs="Arial"/>
          <w:color w:val="auto"/>
          <w:sz w:val="22"/>
          <w:szCs w:val="22"/>
          <w:highlight w:val="none"/>
        </w:rPr>
        <w:t>（1）提供虚假材料谋取中标的；</w:t>
      </w:r>
    </w:p>
    <w:p>
      <w:pPr>
        <w:widowControl/>
        <w:spacing w:line="360" w:lineRule="auto"/>
        <w:ind w:left="400"/>
        <w:jc w:val="left"/>
        <w:rPr>
          <w:rFonts w:ascii="Arial" w:hAnsi="Arial" w:cs="Arial"/>
          <w:color w:val="auto"/>
          <w:sz w:val="22"/>
          <w:szCs w:val="22"/>
          <w:highlight w:val="none"/>
        </w:rPr>
      </w:pPr>
      <w:r>
        <w:rPr>
          <w:rFonts w:ascii="Arial" w:hAnsi="Arial" w:cs="Arial"/>
          <w:color w:val="auto"/>
          <w:sz w:val="22"/>
          <w:szCs w:val="22"/>
          <w:highlight w:val="none"/>
        </w:rPr>
        <w:t>（2）采取不正当手段诋毁、排挤其他投标人的；</w:t>
      </w:r>
    </w:p>
    <w:p>
      <w:pPr>
        <w:widowControl/>
        <w:spacing w:line="360" w:lineRule="auto"/>
        <w:ind w:left="400"/>
        <w:jc w:val="left"/>
        <w:rPr>
          <w:rFonts w:ascii="Arial" w:hAnsi="Arial" w:cs="Arial"/>
          <w:color w:val="auto"/>
          <w:sz w:val="22"/>
          <w:szCs w:val="22"/>
          <w:highlight w:val="none"/>
        </w:rPr>
      </w:pPr>
      <w:r>
        <w:rPr>
          <w:rFonts w:ascii="Arial" w:hAnsi="Arial" w:cs="Arial"/>
          <w:color w:val="auto"/>
          <w:sz w:val="22"/>
          <w:szCs w:val="22"/>
          <w:highlight w:val="none"/>
        </w:rPr>
        <w:t>（3）与采购人、其他投标人或者采购代理机构工作人员恶意串通的；</w:t>
      </w:r>
    </w:p>
    <w:p>
      <w:pPr>
        <w:widowControl/>
        <w:spacing w:line="360" w:lineRule="auto"/>
        <w:ind w:left="400"/>
        <w:jc w:val="left"/>
        <w:rPr>
          <w:rFonts w:ascii="Arial" w:hAnsi="Arial" w:cs="Arial"/>
          <w:color w:val="auto"/>
          <w:sz w:val="22"/>
          <w:szCs w:val="22"/>
          <w:highlight w:val="none"/>
        </w:rPr>
      </w:pPr>
      <w:r>
        <w:rPr>
          <w:rFonts w:ascii="Arial" w:hAnsi="Arial" w:cs="Arial"/>
          <w:color w:val="auto"/>
          <w:sz w:val="22"/>
          <w:szCs w:val="22"/>
          <w:highlight w:val="none"/>
        </w:rPr>
        <w:t>（4）向采购人或采购代理机构人员行贿或者提供其他不正当利益的；</w:t>
      </w:r>
    </w:p>
    <w:p>
      <w:pPr>
        <w:widowControl/>
        <w:spacing w:line="360" w:lineRule="auto"/>
        <w:ind w:left="400"/>
        <w:jc w:val="left"/>
        <w:rPr>
          <w:rFonts w:ascii="Arial" w:hAnsi="Arial" w:cs="Arial"/>
          <w:color w:val="auto"/>
          <w:sz w:val="22"/>
          <w:szCs w:val="22"/>
          <w:highlight w:val="none"/>
        </w:rPr>
      </w:pPr>
      <w:r>
        <w:rPr>
          <w:rFonts w:ascii="Arial" w:hAnsi="Arial" w:cs="Arial"/>
          <w:color w:val="auto"/>
          <w:sz w:val="22"/>
          <w:szCs w:val="22"/>
          <w:highlight w:val="none"/>
        </w:rPr>
        <w:t>（5）拒绝有关部门监督检查或者提供虚假情况的；</w:t>
      </w:r>
    </w:p>
    <w:p>
      <w:pPr>
        <w:pStyle w:val="25"/>
        <w:widowControl/>
        <w:spacing w:beforeLines="0" w:afterLines="0" w:line="360" w:lineRule="auto"/>
        <w:ind w:firstLine="440" w:firstLineChars="200"/>
        <w:jc w:val="left"/>
        <w:rPr>
          <w:rFonts w:hint="default" w:ascii="Arial" w:hAnsi="Arial" w:cs="Arial"/>
          <w:color w:val="auto"/>
          <w:sz w:val="22"/>
          <w:szCs w:val="22"/>
          <w:highlight w:val="none"/>
        </w:rPr>
      </w:pPr>
      <w:r>
        <w:rPr>
          <w:rFonts w:ascii="Arial" w:hAnsi="Arial" w:cs="Arial"/>
          <w:color w:val="auto"/>
          <w:sz w:val="22"/>
          <w:szCs w:val="22"/>
          <w:highlight w:val="none"/>
        </w:rPr>
        <w:t>（6）有法律、法规规定的其他损害采购人利益和社会公共利益情形的。</w:t>
      </w:r>
    </w:p>
    <w:p>
      <w:pPr>
        <w:widowControl/>
        <w:spacing w:line="360" w:lineRule="auto"/>
        <w:jc w:val="left"/>
        <w:outlineLvl w:val="1"/>
        <w:rPr>
          <w:rFonts w:ascii="Arial" w:hAnsi="Arial" w:cs="Arial"/>
          <w:b/>
          <w:color w:val="auto"/>
          <w:sz w:val="22"/>
          <w:szCs w:val="22"/>
          <w:highlight w:val="none"/>
        </w:rPr>
      </w:pPr>
      <w:r>
        <w:rPr>
          <w:rFonts w:ascii="Arial" w:hAnsi="Arial" w:cs="Arial"/>
          <w:b/>
          <w:color w:val="auto"/>
          <w:sz w:val="22"/>
          <w:szCs w:val="22"/>
          <w:highlight w:val="none"/>
        </w:rPr>
        <w:t>七、评标过程的监控</w:t>
      </w:r>
    </w:p>
    <w:p>
      <w:pPr>
        <w:widowControl/>
        <w:spacing w:line="360" w:lineRule="auto"/>
        <w:ind w:firstLine="440" w:firstLineChars="200"/>
        <w:jc w:val="left"/>
        <w:outlineLvl w:val="1"/>
        <w:rPr>
          <w:rFonts w:ascii="Arial" w:hAnsi="Arial" w:cs="Arial"/>
          <w:bCs/>
          <w:color w:val="auto"/>
          <w:sz w:val="22"/>
          <w:szCs w:val="22"/>
          <w:highlight w:val="none"/>
        </w:rPr>
      </w:pPr>
      <w:r>
        <w:rPr>
          <w:rFonts w:ascii="Arial" w:hAnsi="Arial" w:cs="Arial"/>
          <w:bCs/>
          <w:color w:val="auto"/>
          <w:sz w:val="22"/>
          <w:szCs w:val="22"/>
          <w:highlight w:val="none"/>
        </w:rPr>
        <w:t>本项目评标过程实行全程录音、录像监控，投标人在评标过程中所进行的试图影响评标结果的不公正活动，可能导致其投标被拒绝。</w:t>
      </w:r>
    </w:p>
    <w:p>
      <w:pPr>
        <w:widowControl/>
        <w:spacing w:line="360" w:lineRule="auto"/>
        <w:jc w:val="left"/>
        <w:outlineLvl w:val="1"/>
        <w:rPr>
          <w:rFonts w:ascii="Arial" w:hAnsi="Arial" w:cs="Arial"/>
          <w:b/>
          <w:color w:val="auto"/>
          <w:sz w:val="22"/>
          <w:szCs w:val="22"/>
          <w:highlight w:val="none"/>
        </w:rPr>
      </w:pPr>
      <w:bookmarkStart w:id="100" w:name="_Toc317685592"/>
      <w:bookmarkStart w:id="101" w:name="_Toc436330230"/>
      <w:bookmarkStart w:id="102" w:name="_Toc304292196"/>
      <w:r>
        <w:rPr>
          <w:rFonts w:ascii="Arial" w:hAnsi="Arial" w:cs="Arial"/>
          <w:b/>
          <w:color w:val="auto"/>
          <w:sz w:val="22"/>
          <w:szCs w:val="22"/>
          <w:highlight w:val="none"/>
        </w:rPr>
        <w:t>八、合同授予</w:t>
      </w:r>
      <w:bookmarkEnd w:id="100"/>
      <w:bookmarkEnd w:id="101"/>
      <w:bookmarkEnd w:id="102"/>
      <w:bookmarkStart w:id="103" w:name="_Toc436330231"/>
      <w:bookmarkEnd w:id="103"/>
      <w:bookmarkStart w:id="104" w:name="_Toc317685593"/>
      <w:bookmarkEnd w:id="104"/>
    </w:p>
    <w:p>
      <w:pPr>
        <w:widowControl/>
        <w:spacing w:line="360" w:lineRule="auto"/>
        <w:jc w:val="left"/>
        <w:rPr>
          <w:rFonts w:ascii="Arial" w:hAnsi="Arial" w:cs="Arial"/>
          <w:color w:val="auto"/>
          <w:sz w:val="22"/>
          <w:szCs w:val="22"/>
          <w:highlight w:val="none"/>
        </w:rPr>
      </w:pPr>
      <w:r>
        <w:rPr>
          <w:rFonts w:ascii="Arial" w:hAnsi="Arial" w:cs="Arial"/>
          <w:color w:val="auto"/>
          <w:sz w:val="22"/>
          <w:szCs w:val="22"/>
          <w:highlight w:val="none"/>
        </w:rPr>
        <w:t xml:space="preserve">    1.采购人与中标人应当在《中标通知书》发出之日起</w:t>
      </w:r>
      <w:r>
        <w:rPr>
          <w:rFonts w:ascii="Arial" w:hAnsi="Arial" w:cs="Arial"/>
          <w:b/>
          <w:color w:val="auto"/>
          <w:sz w:val="22"/>
          <w:szCs w:val="22"/>
          <w:highlight w:val="none"/>
          <w:u w:val="single"/>
        </w:rPr>
        <w:t>30</w:t>
      </w:r>
      <w:r>
        <w:rPr>
          <w:rFonts w:ascii="Arial" w:hAnsi="Arial" w:cs="Arial"/>
          <w:color w:val="auto"/>
          <w:sz w:val="22"/>
          <w:szCs w:val="22"/>
          <w:highlight w:val="none"/>
        </w:rPr>
        <w:t>日内签订政府采购合同。</w:t>
      </w:r>
    </w:p>
    <w:p>
      <w:pPr>
        <w:widowControl/>
        <w:numPr>
          <w:ilvl w:val="0"/>
          <w:numId w:val="16"/>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中标人拖延、拒签合同的，将被取消中标资格</w:t>
      </w:r>
      <w:r>
        <w:rPr>
          <w:rFonts w:hint="eastAsia" w:ascii="Arial" w:hAnsi="Arial" w:cs="Arial"/>
          <w:color w:val="auto"/>
          <w:sz w:val="22"/>
          <w:szCs w:val="22"/>
          <w:highlight w:val="none"/>
        </w:rPr>
        <w:t>，并承担采购人的一切损失</w:t>
      </w:r>
      <w:r>
        <w:rPr>
          <w:rFonts w:ascii="Arial" w:hAnsi="Arial" w:cs="Arial"/>
          <w:color w:val="auto"/>
          <w:sz w:val="22"/>
          <w:szCs w:val="22"/>
          <w:highlight w:val="none"/>
        </w:rPr>
        <w:t>。</w:t>
      </w:r>
      <w:bookmarkStart w:id="105" w:name="_Toc317685594"/>
      <w:bookmarkStart w:id="106" w:name="_Toc436330232"/>
    </w:p>
    <w:p>
      <w:pPr>
        <w:widowControl/>
        <w:spacing w:line="360" w:lineRule="auto"/>
        <w:jc w:val="left"/>
        <w:rPr>
          <w:rFonts w:ascii="Arial" w:hAnsi="Arial" w:cs="Arial"/>
          <w:b/>
          <w:color w:val="auto"/>
          <w:sz w:val="22"/>
          <w:szCs w:val="22"/>
          <w:highlight w:val="none"/>
        </w:rPr>
      </w:pPr>
      <w:r>
        <w:rPr>
          <w:rFonts w:ascii="Arial" w:hAnsi="Arial" w:cs="Arial"/>
          <w:b/>
          <w:color w:val="auto"/>
          <w:sz w:val="22"/>
          <w:szCs w:val="22"/>
          <w:highlight w:val="none"/>
        </w:rPr>
        <w:t>九、履约验收（详见附件二要求）</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采购人负责对中标人的履约行为进行验收，验收标准为本项目的招标采购文件以及中标人的投标文件，要求验收必须符合相关政策法规和地方标准。</w:t>
      </w:r>
    </w:p>
    <w:p>
      <w:pPr>
        <w:pStyle w:val="25"/>
        <w:widowControl/>
        <w:spacing w:beforeLines="0" w:afterLines="0" w:line="360" w:lineRule="auto"/>
        <w:jc w:val="left"/>
        <w:outlineLvl w:val="1"/>
        <w:rPr>
          <w:rFonts w:hint="default" w:ascii="Arial" w:hAnsi="Arial" w:cs="Arial"/>
          <w:b/>
          <w:color w:val="auto"/>
          <w:sz w:val="22"/>
          <w:szCs w:val="22"/>
          <w:highlight w:val="none"/>
        </w:rPr>
      </w:pPr>
      <w:bookmarkStart w:id="107" w:name="_Toc2054"/>
      <w:r>
        <w:rPr>
          <w:rFonts w:ascii="Arial" w:hAnsi="Arial" w:cs="Arial"/>
          <w:b/>
          <w:color w:val="auto"/>
          <w:sz w:val="22"/>
          <w:szCs w:val="22"/>
          <w:highlight w:val="none"/>
        </w:rPr>
        <w:t>十、中小企业特别说明</w:t>
      </w:r>
      <w:bookmarkEnd w:id="107"/>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1.政府采购活动中有关中小企业的相关规定（采购进口产品项目不适用）</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1.1参加政府采购活动的中小企业（含中型、小型、微型企业，其他地方同）应当同时符合以下条件：</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（一）符合中小企业划分标准（具体见工信部联企业[2011]300号）；</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（二）提供本企业制造的货物、承担的工程或者服务，或者提供其他中小企业制造的货物。本项所称货物不包括使用大型企业注册商标的货物。</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（三）小型、微型企业提供中型企业制造的货物的，视同为中型企业。（本项目不适用）</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1.2参加政府采购活动的中小企业应当提供《中小企业声明函》。</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1.3对于非专门面向中小企业的项目，对小型和微型企业产品的价格应给予6％的扣除，用扣除后的价格参与评审。具体扣除比例见第四章 评标办法及评分标准。</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本项目不适用）</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1.5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bookmarkEnd w:id="105"/>
    <w:bookmarkEnd w:id="106"/>
    <w:p>
      <w:pPr>
        <w:pStyle w:val="25"/>
        <w:snapToGrid w:val="0"/>
        <w:spacing w:beforeLines="0" w:afterLines="0" w:line="360" w:lineRule="auto"/>
        <w:jc w:val="center"/>
        <w:rPr>
          <w:rFonts w:hint="default" w:ascii="Arial" w:hAnsi="Arial" w:cs="Arial"/>
          <w:color w:val="auto"/>
          <w:highlight w:val="none"/>
        </w:rPr>
      </w:pPr>
    </w:p>
    <w:p>
      <w:pPr>
        <w:pStyle w:val="2"/>
        <w:pageBreakBefore/>
        <w:adjustRightInd w:val="0"/>
        <w:spacing w:line="300" w:lineRule="auto"/>
        <w:ind w:left="0" w:firstLine="0"/>
        <w:jc w:val="center"/>
        <w:textAlignment w:val="baseline"/>
        <w:rPr>
          <w:rFonts w:ascii="Arial" w:hAnsi="Arial" w:cs="Arial"/>
          <w:bCs w:val="0"/>
          <w:color w:val="auto"/>
          <w:kern w:val="2"/>
          <w:sz w:val="28"/>
          <w:szCs w:val="28"/>
          <w:highlight w:val="none"/>
        </w:rPr>
      </w:pPr>
      <w:bookmarkStart w:id="108" w:name="_Toc436330233"/>
      <w:r>
        <w:rPr>
          <w:rFonts w:ascii="Arial" w:hAnsi="Arial" w:cs="Arial"/>
          <w:bCs w:val="0"/>
          <w:color w:val="auto"/>
          <w:kern w:val="2"/>
          <w:sz w:val="28"/>
          <w:szCs w:val="28"/>
          <w:highlight w:val="none"/>
        </w:rPr>
        <w:t>第四章  评标办法及评分标准</w:t>
      </w:r>
      <w:bookmarkEnd w:id="108"/>
    </w:p>
    <w:p>
      <w:pPr>
        <w:pStyle w:val="28"/>
        <w:spacing w:line="460" w:lineRule="exact"/>
        <w:ind w:firstLine="0" w:firstLineChars="0"/>
        <w:rPr>
          <w:rFonts w:ascii="Arial" w:hAnsi="Arial"/>
          <w:color w:val="auto"/>
          <w:sz w:val="22"/>
          <w:szCs w:val="22"/>
          <w:highlight w:val="none"/>
        </w:rPr>
      </w:pPr>
      <w:bookmarkStart w:id="109" w:name="_Toc317685600"/>
      <w:r>
        <w:rPr>
          <w:rFonts w:hint="eastAsia" w:ascii="Arial" w:hAnsi="Arial"/>
          <w:bCs w:val="0"/>
          <w:color w:val="auto"/>
          <w:sz w:val="21"/>
          <w:szCs w:val="21"/>
          <w:highlight w:val="none"/>
        </w:rPr>
        <w:t xml:space="preserve">   </w:t>
      </w:r>
      <w:r>
        <w:rPr>
          <w:rFonts w:hint="eastAsia" w:ascii="Arial" w:hAnsi="Arial"/>
          <w:bCs w:val="0"/>
          <w:color w:val="auto"/>
          <w:sz w:val="22"/>
          <w:szCs w:val="22"/>
          <w:highlight w:val="none"/>
        </w:rPr>
        <w:t xml:space="preserve"> </w:t>
      </w:r>
      <w:r>
        <w:rPr>
          <w:rFonts w:ascii="Arial" w:hAnsi="Arial"/>
          <w:bCs w:val="0"/>
          <w:color w:val="auto"/>
          <w:sz w:val="22"/>
          <w:szCs w:val="22"/>
          <w:highlight w:val="none"/>
        </w:rPr>
        <w:t>本办法严格遵照《中华人民共和国政府采购法》、《中华人民共和国政府采购法实施条例》、《政府采购货物和服务招标投标管理办法》、《宁波市政府采购招标采购方式暂行实施规程》，结合项目所在地政府有关政府采购规定和项目的实际情况制定。</w:t>
      </w:r>
    </w:p>
    <w:bookmarkEnd w:id="109"/>
    <w:p>
      <w:pPr>
        <w:spacing w:line="460" w:lineRule="exact"/>
        <w:rPr>
          <w:rFonts w:ascii="Arial" w:hAnsi="Arial" w:cs="Arial"/>
          <w:b/>
          <w:bCs/>
          <w:color w:val="auto"/>
          <w:sz w:val="22"/>
          <w:szCs w:val="22"/>
          <w:highlight w:val="none"/>
        </w:rPr>
      </w:pPr>
      <w:r>
        <w:rPr>
          <w:rFonts w:ascii="Arial" w:hAnsi="Arial" w:cs="Arial"/>
          <w:b/>
          <w:bCs/>
          <w:color w:val="auto"/>
          <w:sz w:val="22"/>
          <w:szCs w:val="22"/>
          <w:highlight w:val="none"/>
        </w:rPr>
        <w:t>一、总则</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招标活动遵循公平、公正、科学、择优的原则依法进行，招标活动及当事人接受依法实施的监督。本次招标采用综合评分法。</w:t>
      </w:r>
    </w:p>
    <w:p>
      <w:pPr>
        <w:spacing w:line="460" w:lineRule="exact"/>
        <w:rPr>
          <w:rFonts w:ascii="Arial" w:hAnsi="Arial" w:cs="Arial"/>
          <w:b/>
          <w:bCs/>
          <w:color w:val="auto"/>
          <w:sz w:val="22"/>
          <w:szCs w:val="22"/>
          <w:highlight w:val="none"/>
        </w:rPr>
      </w:pPr>
      <w:r>
        <w:rPr>
          <w:rFonts w:ascii="Arial" w:hAnsi="Arial" w:cs="Arial"/>
          <w:b/>
          <w:bCs/>
          <w:color w:val="auto"/>
          <w:sz w:val="22"/>
          <w:szCs w:val="22"/>
          <w:highlight w:val="none"/>
        </w:rPr>
        <w:t>二、评标组织</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评标委员会：本项目评标委员会依法组建。</w:t>
      </w:r>
    </w:p>
    <w:p>
      <w:pPr>
        <w:spacing w:line="460" w:lineRule="exact"/>
        <w:rPr>
          <w:rFonts w:ascii="Arial" w:hAnsi="Arial" w:cs="Arial"/>
          <w:b/>
          <w:bCs/>
          <w:color w:val="auto"/>
          <w:sz w:val="22"/>
          <w:szCs w:val="22"/>
          <w:highlight w:val="none"/>
        </w:rPr>
      </w:pPr>
      <w:r>
        <w:rPr>
          <w:rFonts w:ascii="Arial" w:hAnsi="Arial" w:cs="Arial"/>
          <w:b/>
          <w:bCs/>
          <w:color w:val="auto"/>
          <w:sz w:val="22"/>
          <w:szCs w:val="22"/>
          <w:highlight w:val="none"/>
        </w:rPr>
        <w:t>三、评标程序</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1.采购代理机构按《招标采购文件》规定的时间、地点组织进行开标。投标人的法定代表人或者授权代表应携带本人身份证出席开标会议，开标会议由采购代理机构组织。</w:t>
      </w:r>
    </w:p>
    <w:p>
      <w:pPr>
        <w:spacing w:line="460" w:lineRule="exact"/>
        <w:ind w:firstLine="440" w:firstLineChars="200"/>
        <w:rPr>
          <w:rFonts w:ascii="Arial" w:hAnsi="Arial" w:cs="Arial"/>
          <w:b/>
          <w:bCs/>
          <w:color w:val="auto"/>
          <w:sz w:val="22"/>
          <w:szCs w:val="22"/>
          <w:highlight w:val="none"/>
        </w:rPr>
      </w:pPr>
      <w:r>
        <w:rPr>
          <w:rFonts w:ascii="Arial" w:hAnsi="Arial" w:cs="Arial"/>
          <w:bCs/>
          <w:color w:val="auto"/>
          <w:sz w:val="22"/>
          <w:szCs w:val="22"/>
          <w:highlight w:val="none"/>
        </w:rPr>
        <w:t>2.</w:t>
      </w:r>
      <w:r>
        <w:rPr>
          <w:rFonts w:ascii="Arial" w:hAnsi="Arial" w:cs="Arial"/>
          <w:b/>
          <w:bCs/>
          <w:color w:val="auto"/>
          <w:sz w:val="22"/>
          <w:szCs w:val="22"/>
          <w:highlight w:val="none"/>
        </w:rPr>
        <w:t>本次公开招标投标文件先开启资格证明文件、技术商务文件，资格证明文件、技术商务文件评审结束后，公布资格审查、商务技术评审符合采购需求的供应商名单并公布商务技术得分情况后再开启报价文件，采购代理机构将公布投标人名称、投标内容、投标价格等以及采购人认为合适的其他内容，并做开标记录。开标大会结束后，采购人或者采购代理机构对投标人的资格进行审查，再由评标委员会根据《招标采购文件》规定对各投标人的技术商务文件及报价文件进行评审。对投标人表述不清的内容，评标委员会将向投标人进行询标，请其澄清其投标内容。</w:t>
      </w:r>
    </w:p>
    <w:p>
      <w:pPr>
        <w:spacing w:line="460" w:lineRule="exact"/>
        <w:rPr>
          <w:rFonts w:ascii="Arial" w:hAnsi="Arial" w:cs="Arial"/>
          <w:color w:val="auto"/>
          <w:sz w:val="22"/>
          <w:szCs w:val="22"/>
          <w:highlight w:val="none"/>
        </w:rPr>
      </w:pPr>
      <w:r>
        <w:rPr>
          <w:rFonts w:ascii="Arial" w:hAnsi="Arial" w:cs="Arial"/>
          <w:color w:val="auto"/>
          <w:sz w:val="22"/>
          <w:szCs w:val="22"/>
          <w:highlight w:val="none"/>
        </w:rPr>
        <w:t xml:space="preserve">   3.按照</w:t>
      </w:r>
      <w:r>
        <w:rPr>
          <w:rFonts w:ascii="Arial" w:hAnsi="Arial" w:cs="Arial"/>
          <w:bCs/>
          <w:color w:val="auto"/>
          <w:sz w:val="22"/>
          <w:szCs w:val="22"/>
          <w:highlight w:val="none"/>
        </w:rPr>
        <w:t>投标人的综合得分排名</w:t>
      </w:r>
      <w:r>
        <w:rPr>
          <w:rFonts w:ascii="Arial" w:hAnsi="Arial" w:cs="Arial"/>
          <w:color w:val="auto"/>
          <w:sz w:val="22"/>
          <w:szCs w:val="22"/>
          <w:highlight w:val="none"/>
        </w:rPr>
        <w:t>，评标委员会推荐中标候选人，并由采购代理机构宣布中标候选人推荐情况。</w:t>
      </w:r>
    </w:p>
    <w:p>
      <w:pPr>
        <w:spacing w:line="460" w:lineRule="exact"/>
        <w:rPr>
          <w:rFonts w:ascii="Arial" w:hAnsi="Arial" w:cs="Arial"/>
          <w:b/>
          <w:bCs/>
          <w:color w:val="auto"/>
          <w:sz w:val="22"/>
          <w:szCs w:val="22"/>
          <w:highlight w:val="none"/>
        </w:rPr>
      </w:pPr>
      <w:r>
        <w:rPr>
          <w:rFonts w:ascii="Arial" w:hAnsi="Arial" w:cs="Arial"/>
          <w:b/>
          <w:bCs/>
          <w:color w:val="auto"/>
          <w:sz w:val="22"/>
          <w:szCs w:val="22"/>
          <w:highlight w:val="none"/>
        </w:rPr>
        <w:t>四、评标过程</w:t>
      </w:r>
    </w:p>
    <w:p>
      <w:pPr>
        <w:pStyle w:val="28"/>
        <w:spacing w:line="460" w:lineRule="exact"/>
        <w:ind w:firstLine="440" w:firstLineChars="200"/>
        <w:rPr>
          <w:rFonts w:ascii="Arial" w:hAnsi="Arial"/>
          <w:b w:val="0"/>
          <w:bCs w:val="0"/>
          <w:color w:val="auto"/>
          <w:sz w:val="22"/>
          <w:szCs w:val="22"/>
          <w:highlight w:val="none"/>
        </w:rPr>
      </w:pPr>
      <w:r>
        <w:rPr>
          <w:rFonts w:ascii="Arial" w:hAnsi="Arial"/>
          <w:b w:val="0"/>
          <w:bCs w:val="0"/>
          <w:color w:val="auto"/>
          <w:sz w:val="22"/>
          <w:szCs w:val="22"/>
          <w:highlight w:val="none"/>
        </w:rPr>
        <w:t>1.资格审查</w:t>
      </w:r>
    </w:p>
    <w:p>
      <w:pPr>
        <w:pStyle w:val="28"/>
        <w:spacing w:line="460" w:lineRule="exact"/>
        <w:ind w:firstLine="440" w:firstLineChars="200"/>
        <w:rPr>
          <w:rFonts w:ascii="Arial" w:hAnsi="Arial"/>
          <w:b w:val="0"/>
          <w:bCs w:val="0"/>
          <w:color w:val="auto"/>
          <w:sz w:val="22"/>
          <w:szCs w:val="22"/>
          <w:highlight w:val="none"/>
        </w:rPr>
      </w:pPr>
      <w:r>
        <w:rPr>
          <w:rFonts w:ascii="Arial" w:hAnsi="Arial"/>
          <w:b w:val="0"/>
          <w:bCs w:val="0"/>
          <w:color w:val="auto"/>
          <w:sz w:val="22"/>
          <w:szCs w:val="22"/>
          <w:highlight w:val="none"/>
        </w:rPr>
        <w:t>采购人或者采购代理机构对投标人的资格进行审查。依据法律法规和招标采购文件的规定，对投标文件中的资格证明进行审查，以确定投标人是否具备投标资格。</w:t>
      </w:r>
    </w:p>
    <w:p>
      <w:pPr>
        <w:pStyle w:val="28"/>
        <w:spacing w:line="460" w:lineRule="exact"/>
        <w:ind w:firstLine="440" w:firstLineChars="200"/>
        <w:rPr>
          <w:rFonts w:ascii="Arial" w:hAnsi="Arial"/>
          <w:b w:val="0"/>
          <w:bCs w:val="0"/>
          <w:color w:val="auto"/>
          <w:sz w:val="22"/>
          <w:szCs w:val="22"/>
          <w:highlight w:val="none"/>
        </w:rPr>
      </w:pPr>
      <w:r>
        <w:rPr>
          <w:rFonts w:ascii="Arial" w:hAnsi="Arial"/>
          <w:b w:val="0"/>
          <w:bCs w:val="0"/>
          <w:color w:val="auto"/>
          <w:sz w:val="22"/>
          <w:szCs w:val="22"/>
          <w:highlight w:val="none"/>
        </w:rPr>
        <w:t>2. 符合性审查</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依据招标采购文件的规定，从投标文件的有效性、完整性和对招标采购文件的响应程度进行审查，以确定是否对招标采购文件的实质性要求作出响应。</w:t>
      </w:r>
    </w:p>
    <w:p>
      <w:pPr>
        <w:pStyle w:val="28"/>
        <w:numPr>
          <w:ilvl w:val="0"/>
          <w:numId w:val="17"/>
        </w:numPr>
        <w:spacing w:line="460" w:lineRule="exact"/>
        <w:ind w:firstLine="495"/>
        <w:rPr>
          <w:rFonts w:ascii="Arial" w:hAnsi="Arial"/>
          <w:b w:val="0"/>
          <w:bCs w:val="0"/>
          <w:color w:val="auto"/>
          <w:sz w:val="22"/>
          <w:szCs w:val="22"/>
          <w:highlight w:val="none"/>
        </w:rPr>
      </w:pPr>
      <w:r>
        <w:rPr>
          <w:rFonts w:ascii="Arial" w:hAnsi="Arial"/>
          <w:b w:val="0"/>
          <w:bCs w:val="0"/>
          <w:color w:val="auto"/>
          <w:sz w:val="22"/>
          <w:szCs w:val="22"/>
          <w:highlight w:val="none"/>
        </w:rPr>
        <w:t>澄清问题</w:t>
      </w:r>
    </w:p>
    <w:p>
      <w:pPr>
        <w:pStyle w:val="28"/>
        <w:spacing w:line="460" w:lineRule="exact"/>
        <w:ind w:firstLine="440" w:firstLineChars="200"/>
        <w:rPr>
          <w:rFonts w:ascii="Arial" w:hAnsi="Arial"/>
          <w:b w:val="0"/>
          <w:bCs w:val="0"/>
          <w:color w:val="auto"/>
          <w:sz w:val="22"/>
          <w:szCs w:val="22"/>
          <w:highlight w:val="none"/>
        </w:rPr>
      </w:pPr>
      <w:r>
        <w:rPr>
          <w:rFonts w:ascii="Arial" w:hAnsi="Arial"/>
          <w:b w:val="0"/>
          <w:bCs w:val="0"/>
          <w:color w:val="auto"/>
          <w:sz w:val="22"/>
          <w:szCs w:val="22"/>
          <w:highlight w:val="none"/>
        </w:rPr>
        <w:t>对于投标文件中含义不明确、同类问题表述不一致或者有明显文字和计算错误的内容，评标委员会可要求投标人以书面形式作出必要的澄清、说明或者补正。</w:t>
      </w:r>
    </w:p>
    <w:p>
      <w:pPr>
        <w:pStyle w:val="28"/>
        <w:spacing w:line="460" w:lineRule="exact"/>
        <w:ind w:firstLine="440" w:firstLineChars="200"/>
        <w:rPr>
          <w:rFonts w:ascii="Arial" w:hAnsi="Arial"/>
          <w:b w:val="0"/>
          <w:bCs w:val="0"/>
          <w:color w:val="auto"/>
          <w:sz w:val="22"/>
          <w:szCs w:val="22"/>
          <w:highlight w:val="none"/>
        </w:rPr>
      </w:pPr>
      <w:r>
        <w:rPr>
          <w:rFonts w:ascii="Arial" w:hAnsi="Arial"/>
          <w:b w:val="0"/>
          <w:bCs w:val="0"/>
          <w:color w:val="auto"/>
          <w:sz w:val="22"/>
          <w:szCs w:val="22"/>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pPr>
        <w:pStyle w:val="28"/>
        <w:numPr>
          <w:ilvl w:val="0"/>
          <w:numId w:val="17"/>
        </w:numPr>
        <w:spacing w:line="460" w:lineRule="exact"/>
        <w:ind w:firstLine="495"/>
        <w:rPr>
          <w:rFonts w:ascii="Arial" w:hAnsi="Arial"/>
          <w:b w:val="0"/>
          <w:bCs w:val="0"/>
          <w:color w:val="auto"/>
          <w:sz w:val="22"/>
          <w:szCs w:val="22"/>
          <w:highlight w:val="none"/>
        </w:rPr>
      </w:pPr>
      <w:r>
        <w:rPr>
          <w:rFonts w:ascii="Arial" w:hAnsi="Arial"/>
          <w:b w:val="0"/>
          <w:bCs w:val="0"/>
          <w:color w:val="auto"/>
          <w:sz w:val="22"/>
          <w:szCs w:val="22"/>
          <w:highlight w:val="none"/>
        </w:rPr>
        <w:t>详细评审</w:t>
      </w:r>
    </w:p>
    <w:p>
      <w:pPr>
        <w:pStyle w:val="28"/>
        <w:spacing w:line="460" w:lineRule="exact"/>
        <w:ind w:firstLine="440" w:firstLineChars="200"/>
        <w:rPr>
          <w:rFonts w:ascii="Arial" w:hAnsi="Arial"/>
          <w:b w:val="0"/>
          <w:bCs w:val="0"/>
          <w:color w:val="auto"/>
          <w:sz w:val="22"/>
          <w:szCs w:val="22"/>
          <w:highlight w:val="none"/>
        </w:rPr>
      </w:pPr>
      <w:r>
        <w:rPr>
          <w:rFonts w:ascii="Arial" w:hAnsi="Arial"/>
          <w:b w:val="0"/>
          <w:bCs w:val="0"/>
          <w:color w:val="auto"/>
          <w:sz w:val="22"/>
          <w:szCs w:val="22"/>
          <w:highlight w:val="none"/>
        </w:rPr>
        <w:t>评标委员会对通过符合性审查的投标文件，依照本办法对技术、商务内容作进一步评审、比较。评标委员会成员经过阅标、审标和询标，对各投标人进行综合打分。</w:t>
      </w:r>
    </w:p>
    <w:p>
      <w:pPr>
        <w:widowControl/>
        <w:spacing w:line="460" w:lineRule="exact"/>
        <w:ind w:firstLine="440" w:firstLineChars="200"/>
        <w:jc w:val="left"/>
        <w:rPr>
          <w:rFonts w:ascii="Arial" w:hAnsi="Arial" w:cs="Arial"/>
          <w:b/>
          <w:color w:val="auto"/>
          <w:sz w:val="22"/>
          <w:szCs w:val="22"/>
          <w:highlight w:val="none"/>
        </w:rPr>
      </w:pPr>
      <w:r>
        <w:rPr>
          <w:rFonts w:ascii="Arial" w:hAnsi="Arial" w:cs="Arial"/>
          <w:color w:val="auto"/>
          <w:sz w:val="22"/>
          <w:szCs w:val="22"/>
          <w:highlight w:val="none"/>
        </w:rPr>
        <w:t>评委打分参照本部分附表：评分标准表。技术商务得分由各评标委员会成员打分，根据投标人的投标文件及相关澄清文件，进行独立打分。价格分由评标委员会统一核算。</w:t>
      </w:r>
      <w:r>
        <w:rPr>
          <w:rFonts w:ascii="Arial" w:hAnsi="Arial" w:cs="Arial"/>
          <w:b/>
          <w:color w:val="auto"/>
          <w:sz w:val="22"/>
          <w:szCs w:val="22"/>
          <w:highlight w:val="none"/>
        </w:rPr>
        <w:t>评委打分采用记名方式，取所有评委汇总得分的算术平均分（小数点后保留二位小数）。</w:t>
      </w:r>
    </w:p>
    <w:p>
      <w:pPr>
        <w:widowControl/>
        <w:spacing w:line="46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注：评标委员会认为投标文件无效、投标人资格不符合的，应组织相关投标人代表进行陈述、澄清或申辩。</w:t>
      </w:r>
    </w:p>
    <w:p>
      <w:pPr>
        <w:widowControl/>
        <w:spacing w:line="460" w:lineRule="exact"/>
        <w:ind w:firstLine="442" w:firstLineChars="200"/>
        <w:jc w:val="left"/>
        <w:rPr>
          <w:rFonts w:ascii="Arial" w:hAnsi="Arial" w:cs="Arial"/>
          <w:color w:val="auto"/>
          <w:sz w:val="22"/>
          <w:szCs w:val="22"/>
          <w:highlight w:val="none"/>
        </w:rPr>
      </w:pPr>
      <w:r>
        <w:rPr>
          <w:rFonts w:hint="eastAsia" w:ascii="Arial" w:hAnsi="Arial" w:cs="Arial"/>
          <w:b/>
          <w:color w:val="auto"/>
          <w:sz w:val="22"/>
          <w:szCs w:val="22"/>
          <w:highlight w:val="none"/>
        </w:rPr>
        <w:t>评标委员会认为投标人报价明显低于其它通过符合性审查投标人的报价【如：投标人报价低于（小于）所有通过符合性审查投标人的报价的算术平均值的</w:t>
      </w:r>
      <w:r>
        <w:rPr>
          <w:rFonts w:ascii="Arial" w:hAnsi="Arial" w:cs="Arial"/>
          <w:b/>
          <w:color w:val="auto"/>
          <w:sz w:val="22"/>
          <w:szCs w:val="22"/>
          <w:highlight w:val="none"/>
        </w:rPr>
        <w:t>8</w:t>
      </w:r>
      <w:r>
        <w:rPr>
          <w:rFonts w:hint="eastAsia" w:ascii="Arial" w:hAnsi="Arial" w:cs="Arial"/>
          <w:b/>
          <w:color w:val="auto"/>
          <w:sz w:val="22"/>
          <w:szCs w:val="22"/>
          <w:highlight w:val="none"/>
        </w:rPr>
        <w:t>0</w:t>
      </w:r>
      <w:r>
        <w:rPr>
          <w:rFonts w:ascii="Arial" w:hAnsi="Arial" w:cs="Arial"/>
          <w:b/>
          <w:color w:val="auto"/>
          <w:sz w:val="22"/>
          <w:szCs w:val="22"/>
          <w:highlight w:val="none"/>
        </w:rPr>
        <w:t>%</w:t>
      </w:r>
      <w:r>
        <w:rPr>
          <w:rFonts w:hint="eastAsia" w:ascii="Arial" w:hAnsi="Arial" w:cs="Arial"/>
          <w:b/>
          <w:color w:val="auto"/>
          <w:sz w:val="22"/>
          <w:szCs w:val="22"/>
          <w:highlight w:val="none"/>
        </w:rPr>
        <w:t>，可视为该投标人报价明显低于其它通过符合性审查投标人的报价】，有可能影响产品质量或者不能诚信履约的，评标委员会有权要求其在1小时内提供书面说明（含成本测算资料），必要时提供相关证明材料。评审委员会半数以上成员认为投标人的报价明显低于其它通过符合性审查投标人报价的，投标人未在1小时内向评审委员会提供书面说明（含成本测算资料）或投标人虽然提供了书面说明（含成本测算资料），但内容不完整、或依据不充分、或评审委员会半数以上成员经分析认为其成本测算依据不合理或明显低于市场价，评标委员会应当将其作为无效投标处理。</w:t>
      </w:r>
    </w:p>
    <w:p>
      <w:pPr>
        <w:widowControl/>
        <w:spacing w:line="460" w:lineRule="exact"/>
        <w:ind w:firstLine="442" w:firstLineChars="200"/>
        <w:jc w:val="left"/>
        <w:rPr>
          <w:rFonts w:ascii="Arial" w:hAnsi="Arial" w:cs="Arial"/>
          <w:color w:val="auto"/>
          <w:sz w:val="22"/>
          <w:szCs w:val="22"/>
          <w:highlight w:val="none"/>
        </w:rPr>
      </w:pPr>
      <w:r>
        <w:rPr>
          <w:rFonts w:ascii="Arial" w:hAnsi="Arial" w:cs="Arial"/>
          <w:b/>
          <w:bCs/>
          <w:color w:val="auto"/>
          <w:sz w:val="22"/>
          <w:szCs w:val="22"/>
          <w:highlight w:val="none"/>
        </w:rPr>
        <w:t>采购代理机构可协助评标委员会组长对打分结果进行校对、核对并汇总统计；对明显畸高、畸低的评分（其总评分偏离平均分30%以上的），评标委员会组长应提醒相关评标委员会成员进行复核或书面说明理由；</w:t>
      </w:r>
      <w:r>
        <w:rPr>
          <w:rFonts w:ascii="Arial" w:hAnsi="Arial" w:cs="Arial"/>
          <w:color w:val="auto"/>
          <w:sz w:val="22"/>
          <w:szCs w:val="22"/>
          <w:highlight w:val="none"/>
        </w:rPr>
        <w:t>评标委员会成员的评审、修改记录应保留原件，随项目其他资料一并存档。</w:t>
      </w:r>
    </w:p>
    <w:p>
      <w:pPr>
        <w:widowControl/>
        <w:spacing w:line="46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5.中标原则</w:t>
      </w:r>
    </w:p>
    <w:p>
      <w:pPr>
        <w:widowControl/>
        <w:spacing w:line="46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评标委员会根据投标人的评审后的综合得分（综合得分＝价格分+技术、资信及商务分）由高到低顺序排列，以综合得分排名第一的投标人为本项目的中标候选人。如投标人综合得分相同的，则按投标报价由低到高顺序排列，由价格低者优先确定为中标候选人；如投标人的综合得分及参与评审的价格相同的，则由投标人抽签决定。如评标过程中出现本招标采购文件未尽事宜，则由评标委员会讨论决定。</w:t>
      </w:r>
    </w:p>
    <w:p>
      <w:pPr>
        <w:widowControl/>
        <w:spacing w:line="46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6.中标结果</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采购代理机构将中标结果在政府采购指定媒体上公示，并中标人发出中标通知书。</w:t>
      </w:r>
    </w:p>
    <w:p>
      <w:pPr>
        <w:numPr>
          <w:ilvl w:val="0"/>
          <w:numId w:val="18"/>
        </w:numPr>
        <w:spacing w:line="460" w:lineRule="exact"/>
        <w:rPr>
          <w:rFonts w:ascii="Arial" w:hAnsi="Arial" w:cs="Arial"/>
          <w:b/>
          <w:bCs/>
          <w:color w:val="auto"/>
          <w:sz w:val="22"/>
          <w:szCs w:val="22"/>
          <w:highlight w:val="none"/>
        </w:rPr>
      </w:pPr>
      <w:r>
        <w:rPr>
          <w:rFonts w:ascii="Arial" w:hAnsi="Arial" w:cs="Arial"/>
          <w:b/>
          <w:bCs/>
          <w:color w:val="auto"/>
          <w:sz w:val="22"/>
          <w:szCs w:val="22"/>
          <w:highlight w:val="none"/>
        </w:rPr>
        <w:t>资格审查表</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由招标人或代理机构对投标人的资格进行审查。</w:t>
      </w:r>
    </w:p>
    <w:tbl>
      <w:tblPr>
        <w:tblStyle w:val="44"/>
        <w:tblW w:w="83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55" w:type="dxa"/>
            <w:vAlign w:val="center"/>
          </w:tcPr>
          <w:p>
            <w:pPr>
              <w:spacing w:line="340" w:lineRule="exact"/>
              <w:jc w:val="center"/>
              <w:rPr>
                <w:rFonts w:ascii="Arial" w:hAnsi="Arial" w:cs="Arial"/>
                <w:b/>
                <w:bCs/>
                <w:color w:val="auto"/>
                <w:sz w:val="22"/>
                <w:szCs w:val="22"/>
                <w:highlight w:val="none"/>
              </w:rPr>
            </w:pPr>
            <w:r>
              <w:rPr>
                <w:rFonts w:ascii="Arial" w:hAnsi="Arial" w:cs="Arial"/>
                <w:b/>
                <w:bCs/>
                <w:color w:val="auto"/>
                <w:sz w:val="22"/>
                <w:szCs w:val="22"/>
                <w:highlight w:val="none"/>
              </w:rPr>
              <w:t>审查类别</w:t>
            </w:r>
          </w:p>
        </w:tc>
        <w:tc>
          <w:tcPr>
            <w:tcW w:w="6785" w:type="dxa"/>
            <w:vAlign w:val="center"/>
          </w:tcPr>
          <w:p>
            <w:pPr>
              <w:spacing w:line="340" w:lineRule="exact"/>
              <w:jc w:val="center"/>
              <w:rPr>
                <w:rFonts w:ascii="Arial" w:hAnsi="Arial" w:cs="Arial"/>
                <w:b/>
                <w:bCs/>
                <w:color w:val="auto"/>
                <w:sz w:val="22"/>
                <w:szCs w:val="22"/>
                <w:highlight w:val="none"/>
              </w:rPr>
            </w:pPr>
            <w:r>
              <w:rPr>
                <w:rFonts w:ascii="Arial" w:hAnsi="Arial" w:cs="Arial"/>
                <w:b/>
                <w:bCs/>
                <w:color w:val="auto"/>
                <w:sz w:val="22"/>
                <w:szCs w:val="22"/>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55" w:type="dxa"/>
            <w:vMerge w:val="restart"/>
            <w:vAlign w:val="center"/>
          </w:tcPr>
          <w:p>
            <w:pPr>
              <w:spacing w:line="340" w:lineRule="exact"/>
              <w:jc w:val="center"/>
              <w:rPr>
                <w:rFonts w:ascii="Arial" w:hAnsi="Arial" w:cs="Arial"/>
                <w:color w:val="auto"/>
                <w:sz w:val="22"/>
                <w:szCs w:val="22"/>
                <w:highlight w:val="none"/>
              </w:rPr>
            </w:pPr>
            <w:r>
              <w:rPr>
                <w:rFonts w:ascii="Arial" w:hAnsi="Arial" w:cs="Arial"/>
                <w:color w:val="auto"/>
                <w:sz w:val="22"/>
                <w:szCs w:val="22"/>
                <w:highlight w:val="none"/>
              </w:rPr>
              <w:t>资格条件审查</w:t>
            </w:r>
          </w:p>
        </w:tc>
        <w:tc>
          <w:tcPr>
            <w:tcW w:w="6785" w:type="dxa"/>
            <w:vAlign w:val="center"/>
          </w:tcPr>
          <w:p>
            <w:pPr>
              <w:spacing w:line="340" w:lineRule="exact"/>
              <w:rPr>
                <w:rFonts w:ascii="Arial" w:hAnsi="Arial" w:cs="Arial"/>
                <w:color w:val="auto"/>
                <w:sz w:val="22"/>
                <w:szCs w:val="22"/>
                <w:highlight w:val="none"/>
              </w:rPr>
            </w:pPr>
            <w:r>
              <w:rPr>
                <w:rFonts w:ascii="Arial" w:hAnsi="Arial" w:cs="Arial"/>
                <w:color w:val="auto"/>
                <w:sz w:val="22"/>
                <w:szCs w:val="22"/>
                <w:highlight w:val="none"/>
              </w:rPr>
              <w:t>符合《中华人民共和国政府采购法》第二十二条规定的投标人资格条件。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55" w:type="dxa"/>
            <w:vMerge w:val="continue"/>
            <w:vAlign w:val="center"/>
          </w:tcPr>
          <w:p>
            <w:pPr>
              <w:spacing w:line="340" w:lineRule="exact"/>
              <w:jc w:val="center"/>
              <w:rPr>
                <w:rFonts w:ascii="Arial" w:hAnsi="Arial" w:cs="Arial"/>
                <w:color w:val="auto"/>
                <w:sz w:val="22"/>
                <w:szCs w:val="22"/>
                <w:highlight w:val="none"/>
              </w:rPr>
            </w:pPr>
          </w:p>
        </w:tc>
        <w:tc>
          <w:tcPr>
            <w:tcW w:w="6785" w:type="dxa"/>
            <w:vAlign w:val="center"/>
          </w:tcPr>
          <w:p>
            <w:pPr>
              <w:spacing w:line="340" w:lineRule="exact"/>
              <w:rPr>
                <w:rFonts w:ascii="Arial" w:hAnsi="Arial" w:cs="Arial"/>
                <w:color w:val="auto"/>
                <w:sz w:val="22"/>
                <w:szCs w:val="22"/>
                <w:highlight w:val="none"/>
              </w:rPr>
            </w:pPr>
            <w:r>
              <w:rPr>
                <w:rFonts w:ascii="Arial" w:hAnsi="Arial" w:cs="Arial"/>
                <w:color w:val="auto"/>
                <w:sz w:val="22"/>
                <w:szCs w:val="22"/>
                <w:highlight w:val="none"/>
              </w:rPr>
              <w:t>符合招标公告规定的供应商特定资格条件。</w:t>
            </w:r>
          </w:p>
        </w:tc>
      </w:tr>
    </w:tbl>
    <w:p>
      <w:pPr>
        <w:numPr>
          <w:ilvl w:val="0"/>
          <w:numId w:val="18"/>
        </w:numPr>
        <w:spacing w:before="120" w:line="360" w:lineRule="auto"/>
        <w:rPr>
          <w:rFonts w:ascii="Arial" w:hAnsi="Arial" w:cs="Arial"/>
          <w:b/>
          <w:bCs/>
          <w:color w:val="auto"/>
          <w:sz w:val="22"/>
          <w:szCs w:val="22"/>
          <w:highlight w:val="none"/>
        </w:rPr>
      </w:pPr>
      <w:r>
        <w:rPr>
          <w:rFonts w:ascii="Arial" w:hAnsi="Arial" w:cs="Arial"/>
          <w:b/>
          <w:bCs/>
          <w:color w:val="auto"/>
          <w:sz w:val="22"/>
          <w:szCs w:val="22"/>
          <w:highlight w:val="none"/>
        </w:rPr>
        <w:t>符合性检查表</w:t>
      </w:r>
    </w:p>
    <w:p>
      <w:pPr>
        <w:spacing w:line="360" w:lineRule="auto"/>
        <w:ind w:firstLine="440" w:firstLineChars="200"/>
        <w:rPr>
          <w:rFonts w:ascii="Arial" w:hAnsi="Arial" w:cs="Arial"/>
          <w:color w:val="auto"/>
          <w:sz w:val="22"/>
          <w:szCs w:val="22"/>
          <w:highlight w:val="none"/>
        </w:rPr>
      </w:pPr>
      <w:r>
        <w:rPr>
          <w:rFonts w:ascii="Arial" w:hAnsi="Arial" w:cs="Arial"/>
          <w:color w:val="auto"/>
          <w:kern w:val="0"/>
          <w:sz w:val="22"/>
          <w:szCs w:val="22"/>
          <w:highlight w:val="none"/>
        </w:rPr>
        <w:t>评标委员会应当对符合资格的投标人的投标文件进行符合性审查，以确定其是否满足招标采购文件的实质性要求。</w:t>
      </w:r>
    </w:p>
    <w:tbl>
      <w:tblPr>
        <w:tblStyle w:val="44"/>
        <w:tblW w:w="83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55" w:type="dxa"/>
            <w:vAlign w:val="center"/>
          </w:tcPr>
          <w:p>
            <w:pPr>
              <w:spacing w:line="360" w:lineRule="exact"/>
              <w:jc w:val="center"/>
              <w:rPr>
                <w:rFonts w:ascii="Arial" w:hAnsi="Arial" w:cs="Arial"/>
                <w:b/>
                <w:bCs/>
                <w:color w:val="auto"/>
                <w:sz w:val="22"/>
                <w:szCs w:val="22"/>
                <w:highlight w:val="none"/>
              </w:rPr>
            </w:pPr>
            <w:r>
              <w:rPr>
                <w:rFonts w:ascii="Arial" w:hAnsi="Arial" w:cs="Arial"/>
                <w:b/>
                <w:bCs/>
                <w:color w:val="auto"/>
                <w:sz w:val="22"/>
                <w:szCs w:val="22"/>
                <w:highlight w:val="none"/>
              </w:rPr>
              <w:t>审查类别</w:t>
            </w:r>
          </w:p>
        </w:tc>
        <w:tc>
          <w:tcPr>
            <w:tcW w:w="6785" w:type="dxa"/>
            <w:vAlign w:val="center"/>
          </w:tcPr>
          <w:p>
            <w:pPr>
              <w:spacing w:line="360" w:lineRule="exact"/>
              <w:jc w:val="center"/>
              <w:rPr>
                <w:rFonts w:ascii="Arial" w:hAnsi="Arial" w:cs="Arial"/>
                <w:b/>
                <w:bCs/>
                <w:color w:val="auto"/>
                <w:sz w:val="22"/>
                <w:szCs w:val="22"/>
                <w:highlight w:val="none"/>
              </w:rPr>
            </w:pPr>
            <w:r>
              <w:rPr>
                <w:rFonts w:ascii="Arial" w:hAnsi="Arial" w:cs="Arial"/>
                <w:b/>
                <w:bCs/>
                <w:color w:val="auto"/>
                <w:sz w:val="22"/>
                <w:szCs w:val="22"/>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55" w:type="dxa"/>
            <w:vMerge w:val="restart"/>
            <w:vAlign w:val="center"/>
          </w:tcPr>
          <w:p>
            <w:pPr>
              <w:spacing w:line="360" w:lineRule="exact"/>
              <w:jc w:val="center"/>
              <w:rPr>
                <w:rFonts w:ascii="Arial" w:hAnsi="Arial" w:cs="Arial"/>
                <w:color w:val="auto"/>
                <w:sz w:val="22"/>
                <w:szCs w:val="22"/>
                <w:highlight w:val="none"/>
              </w:rPr>
            </w:pPr>
            <w:r>
              <w:rPr>
                <w:rFonts w:ascii="Arial" w:hAnsi="Arial" w:cs="Arial"/>
                <w:color w:val="auto"/>
                <w:sz w:val="22"/>
                <w:szCs w:val="22"/>
                <w:highlight w:val="none"/>
              </w:rPr>
              <w:t>符合性审查</w:t>
            </w: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按招标采购文件要求签署、签章。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投标有效期满足招标采购文件要求。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符合招标采购文件要求的，未发生与招标采购文件中标注“★”的条款实质性偏离的。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不含有采购人不能接受的附加条件。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投标声明书具有法定代表人签名，或委托人提供法定代表人授权委托书、填写项目齐全。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投标文件格式规范、提供资料齐全或者未提供虚假内容。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投标文件的实质性内容使用中文表述、表述明确、前后不矛盾或者使用计量单位符合招标采购文件要求的（经评标委员会认定并允许其当场更正的笔误除外）。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投标文件的关键内容字迹清晰、易辨认的，或者投标文件中经修正的内容字迹易辩认或者修改处按规定签署、盖章。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spacing w:line="360" w:lineRule="exact"/>
              <w:rPr>
                <w:rFonts w:ascii="Arial" w:hAnsi="Arial" w:cs="Arial"/>
                <w:color w:val="auto"/>
                <w:sz w:val="22"/>
                <w:szCs w:val="22"/>
                <w:highlight w:val="none"/>
              </w:rPr>
            </w:pPr>
            <w:r>
              <w:rPr>
                <w:rFonts w:ascii="Arial" w:hAnsi="Arial" w:cs="Arial"/>
                <w:color w:val="auto"/>
                <w:sz w:val="22"/>
                <w:szCs w:val="22"/>
                <w:highlight w:val="none"/>
              </w:rPr>
              <w:t>未发现法律、法规和招标采购文件规定的其他无效情形。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55" w:type="dxa"/>
            <w:vMerge w:val="restart"/>
            <w:vAlign w:val="center"/>
          </w:tcPr>
          <w:p>
            <w:pPr>
              <w:spacing w:line="360" w:lineRule="exact"/>
              <w:jc w:val="center"/>
              <w:rPr>
                <w:rFonts w:ascii="Arial" w:hAnsi="Arial" w:cs="Arial"/>
                <w:color w:val="auto"/>
                <w:sz w:val="22"/>
                <w:szCs w:val="22"/>
                <w:highlight w:val="none"/>
              </w:rPr>
            </w:pPr>
            <w:r>
              <w:rPr>
                <w:rFonts w:ascii="Arial" w:hAnsi="Arial" w:cs="Arial"/>
                <w:color w:val="auto"/>
                <w:sz w:val="22"/>
                <w:szCs w:val="22"/>
                <w:highlight w:val="none"/>
              </w:rPr>
              <w:t>技术商务评审</w:t>
            </w:r>
          </w:p>
        </w:tc>
        <w:tc>
          <w:tcPr>
            <w:tcW w:w="6785" w:type="dxa"/>
            <w:vAlign w:val="center"/>
          </w:tcPr>
          <w:p>
            <w:pPr>
              <w:pStyle w:val="19"/>
              <w:widowControl/>
              <w:spacing w:line="360" w:lineRule="exact"/>
              <w:ind w:firstLine="0"/>
              <w:rPr>
                <w:rFonts w:ascii="Arial" w:hAnsi="Arial" w:cs="Arial"/>
                <w:color w:val="auto"/>
                <w:sz w:val="22"/>
                <w:szCs w:val="22"/>
                <w:highlight w:val="none"/>
              </w:rPr>
            </w:pPr>
            <w:r>
              <w:rPr>
                <w:rFonts w:ascii="Arial" w:hAnsi="Arial" w:cs="Arial"/>
                <w:color w:val="auto"/>
                <w:sz w:val="22"/>
                <w:szCs w:val="22"/>
                <w:highlight w:val="none"/>
              </w:rPr>
              <w:t>如实提供投标货物的技术参数且投标文件标明的响应或偏离与事实符合，未发现虚假投标。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55" w:type="dxa"/>
            <w:vMerge w:val="continue"/>
            <w:vAlign w:val="center"/>
          </w:tcPr>
          <w:p>
            <w:pPr>
              <w:widowControl/>
              <w:spacing w:line="360" w:lineRule="exact"/>
              <w:jc w:val="left"/>
              <w:rPr>
                <w:rFonts w:ascii="Arial" w:hAnsi="Arial" w:cs="Arial"/>
                <w:color w:val="auto"/>
                <w:sz w:val="22"/>
                <w:szCs w:val="22"/>
                <w:highlight w:val="none"/>
              </w:rPr>
            </w:pPr>
          </w:p>
        </w:tc>
        <w:tc>
          <w:tcPr>
            <w:tcW w:w="6785" w:type="dxa"/>
            <w:vAlign w:val="center"/>
          </w:tcPr>
          <w:p>
            <w:pPr>
              <w:pStyle w:val="19"/>
              <w:widowControl/>
              <w:spacing w:line="360" w:lineRule="exact"/>
              <w:ind w:firstLine="0"/>
              <w:rPr>
                <w:rFonts w:ascii="Arial" w:hAnsi="Arial" w:cs="Arial"/>
                <w:color w:val="auto"/>
                <w:sz w:val="22"/>
                <w:szCs w:val="22"/>
                <w:highlight w:val="none"/>
              </w:rPr>
            </w:pPr>
            <w:r>
              <w:rPr>
                <w:rFonts w:ascii="Arial" w:hAnsi="Arial" w:cs="Arial"/>
                <w:color w:val="auto"/>
                <w:sz w:val="22"/>
                <w:szCs w:val="22"/>
                <w:highlight w:val="none"/>
              </w:rPr>
              <w:t>投标技术方案明确，不存在一个或一个以上备选（替代）投标方案的。</w:t>
            </w:r>
          </w:p>
        </w:tc>
      </w:tr>
    </w:tbl>
    <w:p>
      <w:pPr>
        <w:spacing w:line="300" w:lineRule="exact"/>
        <w:rPr>
          <w:rFonts w:ascii="Arial" w:hAnsi="Arial" w:cs="Arial"/>
          <w:b/>
          <w:color w:val="auto"/>
          <w:sz w:val="22"/>
          <w:szCs w:val="22"/>
          <w:highlight w:val="none"/>
        </w:rPr>
      </w:pPr>
      <w:r>
        <w:rPr>
          <w:rFonts w:ascii="Arial" w:hAnsi="Arial" w:cs="Arial"/>
          <w:b/>
          <w:color w:val="auto"/>
          <w:sz w:val="22"/>
          <w:szCs w:val="22"/>
          <w:highlight w:val="none"/>
        </w:rPr>
        <w:t>七、评分标准</w:t>
      </w:r>
    </w:p>
    <w:tbl>
      <w:tblPr>
        <w:tblStyle w:val="44"/>
        <w:tblW w:w="95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59"/>
        <w:gridCol w:w="5580"/>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9" w:type="dxa"/>
            <w:vAlign w:val="center"/>
          </w:tcPr>
          <w:p>
            <w:pPr>
              <w:pStyle w:val="18"/>
              <w:spacing w:after="0" w:line="280" w:lineRule="exact"/>
              <w:jc w:val="center"/>
              <w:rPr>
                <w:rFonts w:ascii="Arial" w:hAnsi="Arial" w:cs="Arial"/>
                <w:color w:val="auto"/>
                <w:sz w:val="22"/>
                <w:szCs w:val="22"/>
                <w:highlight w:val="none"/>
              </w:rPr>
            </w:pPr>
            <w:r>
              <w:rPr>
                <w:rFonts w:ascii="Arial" w:hAnsi="宋体" w:cs="Arial"/>
                <w:color w:val="auto"/>
                <w:sz w:val="22"/>
                <w:szCs w:val="22"/>
                <w:highlight w:val="none"/>
              </w:rPr>
              <w:t>序号</w:t>
            </w:r>
          </w:p>
        </w:tc>
        <w:tc>
          <w:tcPr>
            <w:tcW w:w="1559" w:type="dxa"/>
            <w:vAlign w:val="center"/>
          </w:tcPr>
          <w:p>
            <w:pPr>
              <w:pStyle w:val="18"/>
              <w:spacing w:after="0" w:line="280" w:lineRule="exact"/>
              <w:jc w:val="center"/>
              <w:rPr>
                <w:rFonts w:ascii="Arial" w:hAnsi="Arial" w:cs="Arial"/>
                <w:color w:val="auto"/>
                <w:sz w:val="22"/>
                <w:szCs w:val="22"/>
                <w:highlight w:val="none"/>
              </w:rPr>
            </w:pPr>
            <w:r>
              <w:rPr>
                <w:rFonts w:ascii="Arial" w:hAnsi="宋体" w:cs="Arial"/>
                <w:color w:val="auto"/>
                <w:sz w:val="22"/>
                <w:szCs w:val="22"/>
                <w:highlight w:val="none"/>
              </w:rPr>
              <w:t>评分项目</w:t>
            </w:r>
          </w:p>
        </w:tc>
        <w:tc>
          <w:tcPr>
            <w:tcW w:w="5580" w:type="dxa"/>
            <w:vAlign w:val="center"/>
          </w:tcPr>
          <w:p>
            <w:pPr>
              <w:pStyle w:val="18"/>
              <w:spacing w:after="0" w:line="280" w:lineRule="exact"/>
              <w:jc w:val="center"/>
              <w:rPr>
                <w:rFonts w:ascii="Arial" w:hAnsi="Arial" w:cs="Arial"/>
                <w:color w:val="auto"/>
                <w:sz w:val="22"/>
                <w:szCs w:val="22"/>
                <w:highlight w:val="none"/>
              </w:rPr>
            </w:pPr>
            <w:r>
              <w:rPr>
                <w:rFonts w:ascii="Arial" w:hAnsi="宋体" w:cs="Arial"/>
                <w:color w:val="auto"/>
                <w:sz w:val="22"/>
                <w:szCs w:val="22"/>
                <w:highlight w:val="none"/>
              </w:rPr>
              <w:t>评分标准</w:t>
            </w:r>
          </w:p>
        </w:tc>
        <w:tc>
          <w:tcPr>
            <w:tcW w:w="1484" w:type="dxa"/>
            <w:vAlign w:val="center"/>
          </w:tcPr>
          <w:p>
            <w:pPr>
              <w:pStyle w:val="18"/>
              <w:spacing w:after="0" w:line="280" w:lineRule="exact"/>
              <w:jc w:val="center"/>
              <w:rPr>
                <w:rFonts w:ascii="Arial" w:hAnsi="Arial" w:cs="Arial"/>
                <w:color w:val="auto"/>
                <w:sz w:val="22"/>
                <w:szCs w:val="22"/>
                <w:highlight w:val="none"/>
              </w:rPr>
            </w:pPr>
            <w:r>
              <w:rPr>
                <w:rFonts w:ascii="Arial" w:hAnsi="宋体" w:cs="Arial"/>
                <w:color w:val="auto"/>
                <w:sz w:val="22"/>
                <w:szCs w:val="22"/>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Arial" w:cs="Arial"/>
                <w:b/>
                <w:bCs/>
                <w:color w:val="auto"/>
                <w:sz w:val="22"/>
                <w:szCs w:val="22"/>
                <w:highlight w:val="none"/>
              </w:rPr>
            </w:pPr>
            <w:r>
              <w:rPr>
                <w:rFonts w:ascii="Arial" w:hAnsi="宋体" w:cs="Arial"/>
                <w:b/>
                <w:bCs/>
                <w:color w:val="auto"/>
                <w:sz w:val="22"/>
                <w:szCs w:val="22"/>
                <w:highlight w:val="none"/>
              </w:rPr>
              <w:t>一</w:t>
            </w:r>
          </w:p>
        </w:tc>
        <w:tc>
          <w:tcPr>
            <w:tcW w:w="1559" w:type="dxa"/>
            <w:vAlign w:val="center"/>
          </w:tcPr>
          <w:p>
            <w:pPr>
              <w:pStyle w:val="18"/>
              <w:spacing w:after="0" w:line="280" w:lineRule="exact"/>
              <w:jc w:val="center"/>
              <w:rPr>
                <w:rFonts w:ascii="Arial" w:hAnsi="Arial" w:cs="Arial"/>
                <w:b/>
                <w:bCs/>
                <w:color w:val="auto"/>
                <w:sz w:val="22"/>
                <w:szCs w:val="22"/>
                <w:highlight w:val="none"/>
              </w:rPr>
            </w:pPr>
            <w:r>
              <w:rPr>
                <w:rFonts w:ascii="Arial" w:hAnsi="宋体" w:cs="Arial"/>
                <w:b/>
                <w:bCs/>
                <w:color w:val="auto"/>
                <w:sz w:val="22"/>
                <w:szCs w:val="22"/>
                <w:highlight w:val="none"/>
              </w:rPr>
              <w:t>价格分</w:t>
            </w:r>
          </w:p>
        </w:tc>
        <w:tc>
          <w:tcPr>
            <w:tcW w:w="5580" w:type="dxa"/>
            <w:vAlign w:val="center"/>
          </w:tcPr>
          <w:p>
            <w:pPr>
              <w:pStyle w:val="18"/>
              <w:spacing w:after="0" w:line="280" w:lineRule="exact"/>
              <w:jc w:val="left"/>
              <w:rPr>
                <w:rFonts w:ascii="Arial" w:hAnsi="Arial" w:cs="Arial"/>
                <w:color w:val="auto"/>
                <w:sz w:val="22"/>
                <w:szCs w:val="22"/>
                <w:highlight w:val="none"/>
              </w:rPr>
            </w:pPr>
            <w:r>
              <w:rPr>
                <w:rFonts w:ascii="Arial" w:hAnsi="宋体" w:cs="Arial"/>
                <w:color w:val="auto"/>
                <w:sz w:val="22"/>
                <w:szCs w:val="22"/>
                <w:highlight w:val="none"/>
              </w:rPr>
              <w:t>满足招标要求的有效投标文件（初步评审合格且商务、技术、报价部分评审合格）且投标报价最低的投标报价作为评标基准价，得</w:t>
            </w:r>
            <w:r>
              <w:rPr>
                <w:rFonts w:ascii="Arial" w:hAnsi="Arial" w:cs="Arial"/>
                <w:color w:val="auto"/>
                <w:sz w:val="22"/>
                <w:szCs w:val="22"/>
                <w:highlight w:val="none"/>
              </w:rPr>
              <w:t>10</w:t>
            </w:r>
            <w:r>
              <w:rPr>
                <w:rFonts w:ascii="Arial" w:hAnsi="宋体" w:cs="Arial"/>
                <w:color w:val="auto"/>
                <w:sz w:val="22"/>
                <w:szCs w:val="22"/>
                <w:highlight w:val="none"/>
              </w:rPr>
              <w:t>分。</w:t>
            </w:r>
          </w:p>
          <w:p>
            <w:pPr>
              <w:pStyle w:val="18"/>
              <w:spacing w:after="0" w:line="280" w:lineRule="exact"/>
              <w:jc w:val="left"/>
              <w:rPr>
                <w:rFonts w:ascii="Arial" w:hAnsi="Arial" w:cs="Arial"/>
                <w:color w:val="auto"/>
                <w:sz w:val="22"/>
                <w:szCs w:val="22"/>
                <w:highlight w:val="none"/>
              </w:rPr>
            </w:pPr>
            <w:r>
              <w:rPr>
                <w:rFonts w:ascii="Arial" w:hAnsi="宋体" w:cs="Arial"/>
                <w:color w:val="auto"/>
                <w:sz w:val="22"/>
                <w:szCs w:val="22"/>
                <w:highlight w:val="none"/>
              </w:rPr>
              <w:t>其他投标报价得分</w:t>
            </w:r>
            <w:r>
              <w:rPr>
                <w:rFonts w:ascii="Arial" w:hAnsi="Arial" w:cs="Arial"/>
                <w:color w:val="auto"/>
                <w:sz w:val="22"/>
                <w:szCs w:val="22"/>
                <w:highlight w:val="none"/>
              </w:rPr>
              <w:t>=</w:t>
            </w:r>
            <w:r>
              <w:rPr>
                <w:rFonts w:ascii="Arial" w:hAnsi="宋体" w:cs="Arial"/>
                <w:color w:val="auto"/>
                <w:sz w:val="22"/>
                <w:szCs w:val="22"/>
                <w:highlight w:val="none"/>
              </w:rPr>
              <w:t>（评标基准价</w:t>
            </w:r>
            <w:r>
              <w:rPr>
                <w:rFonts w:ascii="Arial" w:hAnsi="Arial" w:cs="Arial"/>
                <w:color w:val="auto"/>
                <w:sz w:val="22"/>
                <w:szCs w:val="22"/>
                <w:highlight w:val="none"/>
              </w:rPr>
              <w:t>/</w:t>
            </w:r>
            <w:r>
              <w:rPr>
                <w:rFonts w:ascii="Arial" w:hAnsi="宋体" w:cs="Arial"/>
                <w:color w:val="auto"/>
                <w:sz w:val="22"/>
                <w:szCs w:val="22"/>
                <w:highlight w:val="none"/>
              </w:rPr>
              <w:t>有效投标报价）</w:t>
            </w:r>
            <w:r>
              <w:rPr>
                <w:rFonts w:ascii="Arial" w:hAnsi="Arial" w:cs="Arial"/>
                <w:color w:val="auto"/>
                <w:sz w:val="22"/>
                <w:szCs w:val="22"/>
                <w:highlight w:val="none"/>
              </w:rPr>
              <w:t>×10</w:t>
            </w:r>
            <w:r>
              <w:rPr>
                <w:rFonts w:ascii="Arial" w:hAnsi="宋体" w:cs="Arial"/>
                <w:color w:val="auto"/>
                <w:sz w:val="22"/>
                <w:szCs w:val="22"/>
                <w:highlight w:val="none"/>
              </w:rPr>
              <w:t>。</w:t>
            </w:r>
          </w:p>
          <w:p>
            <w:pPr>
              <w:pStyle w:val="18"/>
              <w:spacing w:after="0" w:line="280" w:lineRule="exact"/>
              <w:jc w:val="left"/>
              <w:rPr>
                <w:rFonts w:ascii="Arial" w:hAnsi="Arial" w:cs="Arial"/>
                <w:color w:val="auto"/>
                <w:sz w:val="22"/>
                <w:szCs w:val="22"/>
                <w:highlight w:val="none"/>
              </w:rPr>
            </w:pPr>
            <w:r>
              <w:rPr>
                <w:rFonts w:ascii="Arial" w:hAnsi="宋体" w:cs="Arial"/>
                <w:color w:val="auto"/>
                <w:sz w:val="22"/>
                <w:szCs w:val="22"/>
                <w:highlight w:val="none"/>
              </w:rPr>
              <w:t>（投标价得分以四舍五入方法整合到小数点后两位）</w:t>
            </w:r>
          </w:p>
          <w:p>
            <w:pPr>
              <w:pStyle w:val="18"/>
              <w:spacing w:after="0" w:line="280" w:lineRule="exact"/>
              <w:jc w:val="left"/>
              <w:rPr>
                <w:rFonts w:ascii="Arial" w:hAnsi="Arial" w:cs="Arial"/>
                <w:color w:val="auto"/>
                <w:sz w:val="22"/>
                <w:szCs w:val="22"/>
                <w:highlight w:val="none"/>
              </w:rPr>
            </w:pPr>
            <w:r>
              <w:rPr>
                <w:rFonts w:ascii="Arial" w:hAnsi="宋体" w:cs="Arial"/>
                <w:color w:val="auto"/>
                <w:sz w:val="22"/>
                <w:szCs w:val="22"/>
                <w:highlight w:val="none"/>
              </w:rPr>
              <w:t>如果投标人声明为小、微型企业（或视同小、微型企业）产品的给予</w:t>
            </w:r>
            <w:r>
              <w:rPr>
                <w:rFonts w:ascii="Arial" w:hAnsi="Arial" w:cs="Arial"/>
                <w:color w:val="auto"/>
                <w:sz w:val="22"/>
                <w:szCs w:val="22"/>
                <w:highlight w:val="none"/>
              </w:rPr>
              <w:t>6%</w:t>
            </w:r>
            <w:r>
              <w:rPr>
                <w:rFonts w:ascii="Arial" w:hAnsi="宋体" w:cs="Arial"/>
                <w:color w:val="auto"/>
                <w:sz w:val="22"/>
                <w:szCs w:val="22"/>
                <w:highlight w:val="none"/>
              </w:rPr>
              <w:t>报价扣除，扣除后的价格计算评标基准价和投标报价。</w:t>
            </w:r>
          </w:p>
          <w:p>
            <w:pPr>
              <w:pStyle w:val="18"/>
              <w:spacing w:after="0" w:line="280" w:lineRule="exact"/>
              <w:jc w:val="left"/>
              <w:rPr>
                <w:rFonts w:ascii="Arial" w:hAnsi="Arial" w:cs="Arial"/>
                <w:b/>
                <w:color w:val="auto"/>
                <w:sz w:val="22"/>
                <w:szCs w:val="22"/>
                <w:highlight w:val="none"/>
              </w:rPr>
            </w:pPr>
            <w:r>
              <w:rPr>
                <w:rFonts w:ascii="Arial" w:hAnsi="宋体" w:cs="Arial"/>
                <w:b/>
                <w:color w:val="auto"/>
                <w:sz w:val="22"/>
                <w:szCs w:val="22"/>
                <w:highlight w:val="none"/>
              </w:rPr>
              <w:t>注：投标人的投标报价超过最高限价（不含本数）的为无效报价。</w:t>
            </w:r>
          </w:p>
        </w:tc>
        <w:tc>
          <w:tcPr>
            <w:tcW w:w="1484" w:type="dxa"/>
            <w:vAlign w:val="center"/>
          </w:tcPr>
          <w:p>
            <w:pPr>
              <w:pStyle w:val="18"/>
              <w:spacing w:after="0" w:line="280" w:lineRule="exact"/>
              <w:jc w:val="center"/>
              <w:rPr>
                <w:rFonts w:ascii="Arial" w:hAnsi="Arial" w:cs="Arial"/>
                <w:color w:val="auto"/>
                <w:sz w:val="22"/>
                <w:szCs w:val="22"/>
                <w:highlight w:val="none"/>
              </w:rPr>
            </w:pPr>
            <w:r>
              <w:rPr>
                <w:rFonts w:ascii="Arial" w:hAnsi="Arial" w:cs="Arial"/>
                <w:b/>
                <w:bCs/>
                <w:color w:val="auto"/>
                <w:sz w:val="22"/>
                <w:szCs w:val="22"/>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Arial" w:cs="Arial"/>
                <w:color w:val="auto"/>
                <w:sz w:val="22"/>
                <w:szCs w:val="22"/>
                <w:highlight w:val="none"/>
              </w:rPr>
            </w:pPr>
            <w:r>
              <w:rPr>
                <w:rFonts w:ascii="Arial" w:hAnsi="宋体" w:cs="Arial"/>
                <w:color w:val="auto"/>
                <w:sz w:val="22"/>
                <w:szCs w:val="22"/>
                <w:highlight w:val="none"/>
              </w:rPr>
              <w:t>二</w:t>
            </w:r>
          </w:p>
        </w:tc>
        <w:tc>
          <w:tcPr>
            <w:tcW w:w="1559" w:type="dxa"/>
            <w:vAlign w:val="center"/>
          </w:tcPr>
          <w:p>
            <w:pPr>
              <w:pStyle w:val="18"/>
              <w:spacing w:after="0" w:line="280" w:lineRule="exact"/>
              <w:jc w:val="center"/>
              <w:rPr>
                <w:rFonts w:ascii="Arial" w:hAnsi="Arial" w:cs="Arial"/>
                <w:color w:val="auto"/>
                <w:sz w:val="22"/>
                <w:szCs w:val="22"/>
                <w:highlight w:val="none"/>
              </w:rPr>
            </w:pPr>
            <w:r>
              <w:rPr>
                <w:rFonts w:ascii="Arial" w:hAnsi="宋体" w:cs="Arial"/>
                <w:color w:val="auto"/>
                <w:sz w:val="22"/>
                <w:szCs w:val="22"/>
                <w:highlight w:val="none"/>
              </w:rPr>
              <w:t>技术、资信商务分</w:t>
            </w:r>
          </w:p>
        </w:tc>
        <w:tc>
          <w:tcPr>
            <w:tcW w:w="5580" w:type="dxa"/>
            <w:vAlign w:val="center"/>
          </w:tcPr>
          <w:p>
            <w:pPr>
              <w:pStyle w:val="18"/>
              <w:spacing w:after="0" w:line="280" w:lineRule="exact"/>
              <w:jc w:val="left"/>
              <w:rPr>
                <w:rFonts w:ascii="Arial" w:hAnsi="Arial" w:cs="Arial"/>
                <w:color w:val="auto"/>
                <w:sz w:val="22"/>
                <w:szCs w:val="22"/>
                <w:highlight w:val="none"/>
              </w:rPr>
            </w:pPr>
          </w:p>
        </w:tc>
        <w:tc>
          <w:tcPr>
            <w:tcW w:w="1484" w:type="dxa"/>
            <w:vAlign w:val="center"/>
          </w:tcPr>
          <w:p>
            <w:pPr>
              <w:pStyle w:val="18"/>
              <w:spacing w:after="0" w:line="280" w:lineRule="exact"/>
              <w:jc w:val="center"/>
              <w:rPr>
                <w:rFonts w:ascii="Arial" w:hAnsi="Arial" w:cs="Arial"/>
                <w:b/>
                <w:color w:val="auto"/>
                <w:sz w:val="22"/>
                <w:szCs w:val="22"/>
                <w:highlight w:val="none"/>
              </w:rPr>
            </w:pPr>
            <w:r>
              <w:rPr>
                <w:rFonts w:ascii="Arial" w:hAnsi="Arial" w:cs="Arial"/>
                <w:b/>
                <w:color w:val="auto"/>
                <w:sz w:val="22"/>
                <w:szCs w:val="22"/>
                <w:highlight w:val="none"/>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宋体" w:cs="Arial"/>
                <w:color w:val="auto"/>
                <w:sz w:val="22"/>
                <w:szCs w:val="22"/>
                <w:highlight w:val="none"/>
              </w:rPr>
            </w:pPr>
            <w:r>
              <w:rPr>
                <w:rFonts w:hint="eastAsia" w:ascii="Arial" w:hAnsi="宋体" w:cs="Arial"/>
                <w:color w:val="auto"/>
                <w:sz w:val="22"/>
                <w:szCs w:val="22"/>
                <w:highlight w:val="none"/>
              </w:rPr>
              <w:t>1</w:t>
            </w:r>
          </w:p>
        </w:tc>
        <w:tc>
          <w:tcPr>
            <w:tcW w:w="1559" w:type="dxa"/>
            <w:vAlign w:val="center"/>
          </w:tcPr>
          <w:p>
            <w:pPr>
              <w:pStyle w:val="18"/>
              <w:spacing w:after="0" w:line="280" w:lineRule="exact"/>
              <w:jc w:val="center"/>
              <w:rPr>
                <w:rFonts w:ascii="Arial" w:hAnsi="宋体" w:cs="Arial"/>
                <w:color w:val="auto"/>
                <w:sz w:val="22"/>
                <w:szCs w:val="22"/>
                <w:highlight w:val="none"/>
              </w:rPr>
            </w:pPr>
            <w:r>
              <w:rPr>
                <w:rFonts w:ascii="Arial" w:hAnsi="宋体" w:cs="Arial"/>
                <w:color w:val="auto"/>
                <w:sz w:val="22"/>
                <w:szCs w:val="22"/>
                <w:highlight w:val="none"/>
              </w:rPr>
              <w:t>投标人业绩</w:t>
            </w:r>
          </w:p>
        </w:tc>
        <w:tc>
          <w:tcPr>
            <w:tcW w:w="5580" w:type="dxa"/>
            <w:vAlign w:val="center"/>
          </w:tcPr>
          <w:p>
            <w:pPr>
              <w:pStyle w:val="18"/>
              <w:spacing w:line="280" w:lineRule="exact"/>
              <w:jc w:val="left"/>
              <w:rPr>
                <w:rFonts w:ascii="Arial" w:hAnsi="宋体" w:cs="Arial"/>
                <w:color w:val="auto"/>
                <w:sz w:val="22"/>
                <w:szCs w:val="22"/>
                <w:highlight w:val="none"/>
              </w:rPr>
            </w:pPr>
            <w:r>
              <w:rPr>
                <w:rFonts w:hint="eastAsia" w:ascii="Arial" w:hAnsi="宋体" w:cs="Arial"/>
                <w:color w:val="auto"/>
                <w:sz w:val="22"/>
                <w:szCs w:val="22"/>
                <w:highlight w:val="none"/>
              </w:rPr>
              <w:t>2016年1月1日至今，投标人具有类似项目业绩，每提供1个得</w:t>
            </w:r>
            <w:r>
              <w:rPr>
                <w:rFonts w:hint="eastAsia" w:ascii="Arial" w:hAnsi="宋体" w:cs="Arial"/>
                <w:color w:val="auto"/>
                <w:sz w:val="22"/>
                <w:szCs w:val="22"/>
                <w:highlight w:val="none"/>
                <w:lang w:val="en-US" w:eastAsia="zh-CN"/>
              </w:rPr>
              <w:t>5</w:t>
            </w:r>
            <w:r>
              <w:rPr>
                <w:rFonts w:hint="eastAsia" w:ascii="Arial" w:hAnsi="宋体" w:cs="Arial"/>
                <w:color w:val="auto"/>
                <w:sz w:val="22"/>
                <w:szCs w:val="22"/>
                <w:highlight w:val="none"/>
              </w:rPr>
              <w:t>分，最高得</w:t>
            </w:r>
            <w:r>
              <w:rPr>
                <w:rFonts w:hint="eastAsia" w:ascii="Arial" w:hAnsi="宋体" w:cs="Arial"/>
                <w:color w:val="auto"/>
                <w:sz w:val="22"/>
                <w:szCs w:val="22"/>
                <w:highlight w:val="none"/>
                <w:lang w:val="en-US" w:eastAsia="zh-CN"/>
              </w:rPr>
              <w:t>10</w:t>
            </w:r>
            <w:r>
              <w:rPr>
                <w:rFonts w:hint="eastAsia" w:ascii="Arial" w:hAnsi="宋体" w:cs="Arial"/>
                <w:color w:val="auto"/>
                <w:sz w:val="22"/>
                <w:szCs w:val="22"/>
                <w:highlight w:val="none"/>
              </w:rPr>
              <w:t>分。</w:t>
            </w:r>
          </w:p>
          <w:p>
            <w:pPr>
              <w:pStyle w:val="18"/>
              <w:spacing w:after="0" w:line="280" w:lineRule="exact"/>
              <w:jc w:val="left"/>
              <w:rPr>
                <w:rFonts w:ascii="Arial" w:hAnsi="Arial" w:cs="Arial"/>
                <w:color w:val="auto"/>
                <w:sz w:val="22"/>
                <w:szCs w:val="22"/>
                <w:highlight w:val="none"/>
              </w:rPr>
            </w:pPr>
            <w:r>
              <w:rPr>
                <w:rFonts w:hint="eastAsia" w:ascii="Arial" w:hAnsi="宋体" w:cs="Arial"/>
                <w:color w:val="auto"/>
                <w:sz w:val="22"/>
                <w:szCs w:val="22"/>
                <w:highlight w:val="none"/>
              </w:rPr>
              <w:t>注：投标文件中附上述合同、中标通知书的复印件，时间以合同签订时间为准，开标时携带原件备查，否则不得分。</w:t>
            </w:r>
          </w:p>
        </w:tc>
        <w:tc>
          <w:tcPr>
            <w:tcW w:w="1484" w:type="dxa"/>
            <w:vAlign w:val="center"/>
          </w:tcPr>
          <w:p>
            <w:pPr>
              <w:pStyle w:val="18"/>
              <w:spacing w:after="0" w:line="280" w:lineRule="exact"/>
              <w:jc w:val="center"/>
              <w:rPr>
                <w:rFonts w:hint="eastAsia" w:ascii="Arial" w:hAnsi="Arial" w:eastAsia="宋体" w:cs="Arial"/>
                <w:color w:val="auto"/>
                <w:sz w:val="22"/>
                <w:szCs w:val="22"/>
                <w:highlight w:val="none"/>
                <w:lang w:eastAsia="zh-CN"/>
              </w:rPr>
            </w:pPr>
            <w:r>
              <w:rPr>
                <w:rFonts w:hint="eastAsia" w:ascii="Arial" w:hAnsi="Arial" w:cs="Arial"/>
                <w:color w:val="auto"/>
                <w:sz w:val="22"/>
                <w:szCs w:val="22"/>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宋体" w:cs="Arial"/>
                <w:color w:val="auto"/>
                <w:sz w:val="22"/>
                <w:szCs w:val="22"/>
                <w:highlight w:val="none"/>
              </w:rPr>
            </w:pPr>
            <w:r>
              <w:rPr>
                <w:rFonts w:hint="eastAsia" w:ascii="Arial" w:hAnsi="宋体" w:cs="Arial"/>
                <w:color w:val="auto"/>
                <w:sz w:val="22"/>
                <w:szCs w:val="22"/>
                <w:highlight w:val="none"/>
              </w:rPr>
              <w:t>2</w:t>
            </w:r>
          </w:p>
        </w:tc>
        <w:tc>
          <w:tcPr>
            <w:tcW w:w="1559" w:type="dxa"/>
            <w:vAlign w:val="center"/>
          </w:tcPr>
          <w:p>
            <w:pPr>
              <w:pStyle w:val="18"/>
              <w:spacing w:after="0" w:line="280" w:lineRule="exact"/>
              <w:jc w:val="left"/>
              <w:rPr>
                <w:rFonts w:ascii="Arial" w:hAnsi="宋体" w:cs="Arial"/>
                <w:color w:val="auto"/>
                <w:sz w:val="22"/>
                <w:szCs w:val="22"/>
                <w:highlight w:val="none"/>
              </w:rPr>
            </w:pPr>
            <w:r>
              <w:rPr>
                <w:rFonts w:hint="eastAsia" w:ascii="Arial" w:hAnsi="宋体" w:cs="Arial"/>
                <w:color w:val="auto"/>
                <w:sz w:val="22"/>
                <w:szCs w:val="22"/>
                <w:highlight w:val="none"/>
              </w:rPr>
              <w:t>项目实施方案</w:t>
            </w:r>
          </w:p>
        </w:tc>
        <w:tc>
          <w:tcPr>
            <w:tcW w:w="5580" w:type="dxa"/>
            <w:vAlign w:val="center"/>
          </w:tcPr>
          <w:p>
            <w:pPr>
              <w:spacing w:line="280" w:lineRule="exact"/>
              <w:jc w:val="left"/>
              <w:rPr>
                <w:rFonts w:ascii="Arial" w:hAnsi="宋体" w:cs="Arial"/>
                <w:color w:val="auto"/>
                <w:sz w:val="22"/>
                <w:szCs w:val="22"/>
                <w:highlight w:val="none"/>
              </w:rPr>
            </w:pPr>
            <w:r>
              <w:rPr>
                <w:rFonts w:hint="eastAsia" w:ascii="Arial" w:hAnsi="宋体" w:cs="Arial"/>
                <w:color w:val="auto"/>
                <w:sz w:val="22"/>
                <w:szCs w:val="22"/>
                <w:highlight w:val="none"/>
              </w:rPr>
              <w:t>评委对投标人提供的</w:t>
            </w:r>
            <w:r>
              <w:rPr>
                <w:rFonts w:hint="eastAsia" w:ascii="Arial" w:hAnsi="宋体" w:cs="Arial"/>
                <w:color w:val="auto"/>
                <w:sz w:val="22"/>
                <w:szCs w:val="22"/>
                <w:highlight w:val="none"/>
                <w:lang w:val="en-US" w:eastAsia="zh-CN"/>
              </w:rPr>
              <w:t>服务</w:t>
            </w:r>
            <w:r>
              <w:rPr>
                <w:rFonts w:hint="eastAsia" w:ascii="Arial" w:hAnsi="宋体" w:cs="Arial"/>
                <w:color w:val="auto"/>
                <w:sz w:val="22"/>
                <w:szCs w:val="22"/>
                <w:highlight w:val="none"/>
              </w:rPr>
              <w:t>的质量、进度、安全保障措施（如：投标人在安装农村电流保护器过程中所对应的安全防范措施）等，视其科学性、合理性、可控性进行综合评议。优：</w:t>
            </w:r>
            <w:r>
              <w:rPr>
                <w:rFonts w:hint="eastAsia" w:ascii="Arial" w:hAnsi="宋体" w:cs="Arial"/>
                <w:color w:val="auto"/>
                <w:sz w:val="22"/>
                <w:szCs w:val="22"/>
                <w:highlight w:val="none"/>
                <w:lang w:val="en-US" w:eastAsia="zh-CN"/>
              </w:rPr>
              <w:t>30</w:t>
            </w:r>
            <w:r>
              <w:rPr>
                <w:rFonts w:hint="eastAsia" w:ascii="Arial" w:hAnsi="宋体" w:cs="Arial"/>
                <w:color w:val="auto"/>
                <w:sz w:val="22"/>
                <w:szCs w:val="22"/>
                <w:highlight w:val="none"/>
              </w:rPr>
              <w:t>分-</w:t>
            </w:r>
            <w:r>
              <w:rPr>
                <w:rFonts w:hint="eastAsia" w:ascii="Arial" w:hAnsi="宋体" w:cs="Arial"/>
                <w:color w:val="auto"/>
                <w:sz w:val="22"/>
                <w:szCs w:val="22"/>
                <w:highlight w:val="none"/>
                <w:lang w:val="en-US" w:eastAsia="zh-CN"/>
              </w:rPr>
              <w:t>25</w:t>
            </w:r>
            <w:r>
              <w:rPr>
                <w:rFonts w:hint="eastAsia" w:ascii="Arial" w:hAnsi="宋体" w:cs="Arial"/>
                <w:color w:val="auto"/>
                <w:sz w:val="22"/>
                <w:szCs w:val="22"/>
                <w:highlight w:val="none"/>
              </w:rPr>
              <w:t>分（含），良：</w:t>
            </w:r>
            <w:r>
              <w:rPr>
                <w:rFonts w:hint="eastAsia" w:ascii="Arial" w:hAnsi="宋体" w:cs="Arial"/>
                <w:color w:val="auto"/>
                <w:sz w:val="22"/>
                <w:szCs w:val="22"/>
                <w:highlight w:val="none"/>
                <w:lang w:val="en-US" w:eastAsia="zh-CN"/>
              </w:rPr>
              <w:t>25</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20</w:t>
            </w:r>
            <w:r>
              <w:rPr>
                <w:rFonts w:hint="eastAsia" w:ascii="Arial" w:hAnsi="宋体" w:cs="Arial"/>
                <w:color w:val="auto"/>
                <w:sz w:val="22"/>
                <w:szCs w:val="22"/>
                <w:highlight w:val="none"/>
              </w:rPr>
              <w:t>分（含），一般：</w:t>
            </w:r>
            <w:r>
              <w:rPr>
                <w:rFonts w:hint="eastAsia" w:ascii="Arial" w:hAnsi="宋体" w:cs="Arial"/>
                <w:color w:val="auto"/>
                <w:sz w:val="22"/>
                <w:szCs w:val="22"/>
                <w:highlight w:val="none"/>
                <w:lang w:val="en-US" w:eastAsia="zh-CN"/>
              </w:rPr>
              <w:t>20</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15</w:t>
            </w:r>
            <w:r>
              <w:rPr>
                <w:rFonts w:hint="eastAsia" w:ascii="Arial" w:hAnsi="宋体" w:cs="Arial"/>
                <w:color w:val="auto"/>
                <w:sz w:val="22"/>
                <w:szCs w:val="22"/>
                <w:highlight w:val="none"/>
              </w:rPr>
              <w:t>.0分（含），差：</w:t>
            </w:r>
            <w:r>
              <w:rPr>
                <w:rFonts w:hint="eastAsia" w:ascii="Arial" w:hAnsi="宋体" w:cs="Arial"/>
                <w:color w:val="auto"/>
                <w:sz w:val="22"/>
                <w:szCs w:val="22"/>
                <w:highlight w:val="none"/>
                <w:lang w:val="en-US" w:eastAsia="zh-CN"/>
              </w:rPr>
              <w:t>15</w:t>
            </w:r>
            <w:r>
              <w:rPr>
                <w:rFonts w:hint="eastAsia" w:ascii="Arial" w:hAnsi="宋体" w:cs="Arial"/>
                <w:color w:val="auto"/>
                <w:sz w:val="22"/>
                <w:szCs w:val="22"/>
                <w:highlight w:val="none"/>
              </w:rPr>
              <w:t>.0分（不含）-0分。</w:t>
            </w:r>
          </w:p>
        </w:tc>
        <w:tc>
          <w:tcPr>
            <w:tcW w:w="1484" w:type="dxa"/>
            <w:vAlign w:val="center"/>
          </w:tcPr>
          <w:p>
            <w:pPr>
              <w:pStyle w:val="18"/>
              <w:spacing w:after="0" w:line="280" w:lineRule="exact"/>
              <w:jc w:val="center"/>
              <w:rPr>
                <w:rFonts w:ascii="Arial" w:hAnsi="Arial" w:cs="Arial"/>
                <w:color w:val="auto"/>
                <w:sz w:val="22"/>
                <w:szCs w:val="22"/>
                <w:highlight w:val="none"/>
              </w:rPr>
            </w:pPr>
            <w:r>
              <w:rPr>
                <w:rFonts w:hint="eastAsia" w:ascii="Arial" w:hAnsi="Arial" w:cs="Arial"/>
                <w:color w:val="auto"/>
                <w:sz w:val="22"/>
                <w:szCs w:val="22"/>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宋体" w:cs="Arial"/>
                <w:color w:val="auto"/>
                <w:sz w:val="22"/>
                <w:szCs w:val="22"/>
                <w:highlight w:val="none"/>
              </w:rPr>
            </w:pPr>
            <w:r>
              <w:rPr>
                <w:rFonts w:hint="eastAsia" w:ascii="Arial" w:hAnsi="宋体" w:cs="Arial"/>
                <w:color w:val="auto"/>
                <w:sz w:val="22"/>
                <w:szCs w:val="22"/>
                <w:highlight w:val="none"/>
              </w:rPr>
              <w:t>3</w:t>
            </w:r>
          </w:p>
        </w:tc>
        <w:tc>
          <w:tcPr>
            <w:tcW w:w="1559" w:type="dxa"/>
            <w:vAlign w:val="center"/>
          </w:tcPr>
          <w:p>
            <w:pPr>
              <w:pStyle w:val="18"/>
              <w:spacing w:after="0" w:line="280" w:lineRule="exact"/>
              <w:jc w:val="center"/>
              <w:rPr>
                <w:rFonts w:ascii="Arial" w:hAnsi="宋体" w:cs="Arial"/>
                <w:color w:val="auto"/>
                <w:sz w:val="22"/>
                <w:szCs w:val="22"/>
                <w:highlight w:val="none"/>
              </w:rPr>
            </w:pPr>
            <w:r>
              <w:rPr>
                <w:rFonts w:ascii="Arial" w:hAnsi="宋体" w:cs="Arial"/>
                <w:color w:val="auto"/>
                <w:sz w:val="22"/>
                <w:szCs w:val="22"/>
                <w:highlight w:val="none"/>
              </w:rPr>
              <w:t>项目实施团队人员及设备设施保障</w:t>
            </w:r>
          </w:p>
        </w:tc>
        <w:tc>
          <w:tcPr>
            <w:tcW w:w="5580" w:type="dxa"/>
            <w:vAlign w:val="center"/>
          </w:tcPr>
          <w:p>
            <w:pPr>
              <w:spacing w:line="280" w:lineRule="exact"/>
              <w:jc w:val="left"/>
              <w:rPr>
                <w:rFonts w:ascii="Arial" w:hAnsi="宋体" w:cs="Arial"/>
                <w:color w:val="auto"/>
                <w:sz w:val="22"/>
                <w:szCs w:val="22"/>
                <w:highlight w:val="none"/>
              </w:rPr>
            </w:pPr>
            <w:r>
              <w:rPr>
                <w:rFonts w:hint="eastAsia" w:ascii="Arial" w:hAnsi="宋体" w:cs="Arial"/>
                <w:color w:val="auto"/>
                <w:sz w:val="22"/>
                <w:szCs w:val="22"/>
                <w:highlight w:val="none"/>
              </w:rPr>
              <w:t>根据投标人拟投入本项目的人员及拟投入的设备、设施</w:t>
            </w:r>
            <w:r>
              <w:rPr>
                <w:rFonts w:hint="eastAsia" w:ascii="Arial" w:hAnsi="宋体" w:cs="Arial"/>
                <w:color w:val="auto"/>
                <w:sz w:val="22"/>
                <w:szCs w:val="22"/>
                <w:highlight w:val="none"/>
                <w:lang w:eastAsia="zh-CN"/>
              </w:rPr>
              <w:t>（</w:t>
            </w:r>
            <w:r>
              <w:rPr>
                <w:rFonts w:hint="eastAsia" w:ascii="Arial" w:hAnsi="宋体" w:cs="Arial"/>
                <w:color w:val="auto"/>
                <w:sz w:val="22"/>
                <w:szCs w:val="22"/>
                <w:highlight w:val="none"/>
                <w:lang w:val="en-US" w:eastAsia="zh-CN"/>
              </w:rPr>
              <w:t>如车辆、工具等</w:t>
            </w:r>
            <w:r>
              <w:rPr>
                <w:rFonts w:hint="eastAsia" w:ascii="Arial" w:hAnsi="宋体" w:cs="Arial"/>
                <w:color w:val="auto"/>
                <w:sz w:val="22"/>
                <w:szCs w:val="22"/>
                <w:highlight w:val="none"/>
                <w:lang w:eastAsia="zh-CN"/>
              </w:rPr>
              <w:t>）</w:t>
            </w:r>
            <w:r>
              <w:rPr>
                <w:rFonts w:hint="eastAsia" w:ascii="Arial" w:hAnsi="宋体" w:cs="Arial"/>
                <w:color w:val="auto"/>
                <w:sz w:val="22"/>
                <w:szCs w:val="22"/>
                <w:highlight w:val="none"/>
              </w:rPr>
              <w:t>情况进行综合评议。优：</w:t>
            </w:r>
            <w:r>
              <w:rPr>
                <w:rFonts w:hint="eastAsia" w:ascii="Arial" w:hAnsi="宋体" w:cs="Arial"/>
                <w:color w:val="auto"/>
                <w:sz w:val="22"/>
                <w:szCs w:val="22"/>
                <w:highlight w:val="none"/>
                <w:lang w:val="en-US" w:eastAsia="zh-CN"/>
              </w:rPr>
              <w:t>20</w:t>
            </w:r>
            <w:r>
              <w:rPr>
                <w:rFonts w:hint="eastAsia" w:ascii="Arial" w:hAnsi="宋体" w:cs="Arial"/>
                <w:color w:val="auto"/>
                <w:sz w:val="22"/>
                <w:szCs w:val="22"/>
                <w:highlight w:val="none"/>
              </w:rPr>
              <w:t>分-</w:t>
            </w:r>
            <w:r>
              <w:rPr>
                <w:rFonts w:hint="eastAsia" w:ascii="Arial" w:hAnsi="宋体" w:cs="Arial"/>
                <w:color w:val="auto"/>
                <w:sz w:val="22"/>
                <w:szCs w:val="22"/>
                <w:highlight w:val="none"/>
                <w:lang w:val="en-US" w:eastAsia="zh-CN"/>
              </w:rPr>
              <w:t>16</w:t>
            </w:r>
            <w:r>
              <w:rPr>
                <w:rFonts w:hint="eastAsia" w:ascii="Arial" w:hAnsi="宋体" w:cs="Arial"/>
                <w:color w:val="auto"/>
                <w:sz w:val="22"/>
                <w:szCs w:val="22"/>
                <w:highlight w:val="none"/>
              </w:rPr>
              <w:t>分（含），良：</w:t>
            </w:r>
            <w:r>
              <w:rPr>
                <w:rFonts w:hint="eastAsia" w:ascii="Arial" w:hAnsi="宋体" w:cs="Arial"/>
                <w:color w:val="auto"/>
                <w:sz w:val="22"/>
                <w:szCs w:val="22"/>
                <w:highlight w:val="none"/>
                <w:lang w:val="en-US" w:eastAsia="zh-CN"/>
              </w:rPr>
              <w:t>16</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12</w:t>
            </w:r>
            <w:r>
              <w:rPr>
                <w:rFonts w:hint="eastAsia" w:ascii="Arial" w:hAnsi="宋体" w:cs="Arial"/>
                <w:color w:val="auto"/>
                <w:sz w:val="22"/>
                <w:szCs w:val="22"/>
                <w:highlight w:val="none"/>
              </w:rPr>
              <w:t>分（含），一般：</w:t>
            </w:r>
            <w:r>
              <w:rPr>
                <w:rFonts w:hint="eastAsia" w:ascii="Arial" w:hAnsi="宋体" w:cs="Arial"/>
                <w:color w:val="auto"/>
                <w:sz w:val="22"/>
                <w:szCs w:val="22"/>
                <w:highlight w:val="none"/>
                <w:lang w:val="en-US" w:eastAsia="zh-CN"/>
              </w:rPr>
              <w:t>12</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8</w:t>
            </w:r>
            <w:r>
              <w:rPr>
                <w:rFonts w:hint="eastAsia" w:ascii="Arial" w:hAnsi="宋体" w:cs="Arial"/>
                <w:color w:val="auto"/>
                <w:sz w:val="22"/>
                <w:szCs w:val="22"/>
                <w:highlight w:val="none"/>
              </w:rPr>
              <w:t>.0分（含），差：</w:t>
            </w:r>
            <w:r>
              <w:rPr>
                <w:rFonts w:hint="eastAsia" w:ascii="Arial" w:hAnsi="宋体" w:cs="Arial"/>
                <w:color w:val="auto"/>
                <w:sz w:val="22"/>
                <w:szCs w:val="22"/>
                <w:highlight w:val="none"/>
                <w:lang w:val="en-US" w:eastAsia="zh-CN"/>
              </w:rPr>
              <w:t>8</w:t>
            </w:r>
            <w:r>
              <w:rPr>
                <w:rFonts w:hint="eastAsia" w:ascii="Arial" w:hAnsi="宋体" w:cs="Arial"/>
                <w:color w:val="auto"/>
                <w:sz w:val="22"/>
                <w:szCs w:val="22"/>
                <w:highlight w:val="none"/>
              </w:rPr>
              <w:t>.0分（不含）-0分。</w:t>
            </w:r>
          </w:p>
        </w:tc>
        <w:tc>
          <w:tcPr>
            <w:tcW w:w="1484" w:type="dxa"/>
            <w:vAlign w:val="center"/>
          </w:tcPr>
          <w:p>
            <w:pPr>
              <w:pStyle w:val="18"/>
              <w:spacing w:after="0" w:line="280" w:lineRule="exact"/>
              <w:jc w:val="center"/>
              <w:rPr>
                <w:rFonts w:ascii="Arial" w:hAnsi="宋体" w:cs="Arial"/>
                <w:color w:val="auto"/>
                <w:sz w:val="22"/>
                <w:szCs w:val="22"/>
                <w:highlight w:val="none"/>
              </w:rPr>
            </w:pPr>
            <w:r>
              <w:rPr>
                <w:rFonts w:hint="eastAsia" w:ascii="Arial" w:hAnsi="Arial" w:cs="Arial"/>
                <w:color w:val="auto"/>
                <w:sz w:val="22"/>
                <w:szCs w:val="22"/>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宋体" w:cs="Arial"/>
                <w:color w:val="auto"/>
                <w:sz w:val="22"/>
                <w:szCs w:val="22"/>
                <w:highlight w:val="none"/>
              </w:rPr>
            </w:pPr>
            <w:r>
              <w:rPr>
                <w:rFonts w:ascii="Arial" w:hAnsi="Arial" w:cs="Arial"/>
                <w:color w:val="auto"/>
                <w:sz w:val="22"/>
                <w:szCs w:val="22"/>
                <w:highlight w:val="none"/>
              </w:rPr>
              <w:t>4</w:t>
            </w:r>
          </w:p>
        </w:tc>
        <w:tc>
          <w:tcPr>
            <w:tcW w:w="1559" w:type="dxa"/>
            <w:vAlign w:val="center"/>
          </w:tcPr>
          <w:p>
            <w:pPr>
              <w:pStyle w:val="18"/>
              <w:spacing w:after="0" w:line="280" w:lineRule="exact"/>
              <w:jc w:val="center"/>
              <w:rPr>
                <w:rFonts w:ascii="Arial" w:hAnsi="宋体" w:cs="Arial"/>
                <w:color w:val="auto"/>
                <w:sz w:val="22"/>
                <w:szCs w:val="22"/>
                <w:highlight w:val="none"/>
              </w:rPr>
            </w:pPr>
            <w:r>
              <w:rPr>
                <w:rFonts w:ascii="Arial" w:hAnsi="宋体" w:cs="Arial"/>
                <w:color w:val="auto"/>
                <w:sz w:val="22"/>
                <w:szCs w:val="22"/>
                <w:highlight w:val="none"/>
              </w:rPr>
              <w:t>项目重难点分析及解决方案</w:t>
            </w:r>
          </w:p>
        </w:tc>
        <w:tc>
          <w:tcPr>
            <w:tcW w:w="5580" w:type="dxa"/>
            <w:vAlign w:val="center"/>
          </w:tcPr>
          <w:p>
            <w:pPr>
              <w:spacing w:line="280" w:lineRule="exact"/>
              <w:jc w:val="left"/>
              <w:rPr>
                <w:rFonts w:ascii="Arial" w:hAnsi="宋体" w:cs="Arial"/>
                <w:color w:val="auto"/>
                <w:sz w:val="22"/>
                <w:szCs w:val="22"/>
                <w:highlight w:val="none"/>
              </w:rPr>
            </w:pPr>
            <w:r>
              <w:rPr>
                <w:rFonts w:hint="eastAsia" w:ascii="Arial" w:hAnsi="宋体" w:cs="Arial"/>
                <w:color w:val="auto"/>
                <w:sz w:val="22"/>
                <w:szCs w:val="22"/>
                <w:highlight w:val="none"/>
              </w:rPr>
              <w:t>评委根据投标人针对本项目实地勘察、调研后的现状描述、作业难点及相应的解决方案情况进行评议。优：</w:t>
            </w:r>
            <w:r>
              <w:rPr>
                <w:rFonts w:hint="eastAsia" w:ascii="Arial" w:hAnsi="宋体" w:cs="Arial"/>
                <w:color w:val="auto"/>
                <w:sz w:val="22"/>
                <w:szCs w:val="22"/>
                <w:highlight w:val="none"/>
                <w:lang w:val="en-US" w:eastAsia="zh-CN"/>
              </w:rPr>
              <w:t>20</w:t>
            </w:r>
            <w:r>
              <w:rPr>
                <w:rFonts w:hint="eastAsia" w:ascii="Arial" w:hAnsi="宋体" w:cs="Arial"/>
                <w:color w:val="auto"/>
                <w:sz w:val="22"/>
                <w:szCs w:val="22"/>
                <w:highlight w:val="none"/>
              </w:rPr>
              <w:t>分-</w:t>
            </w:r>
            <w:r>
              <w:rPr>
                <w:rFonts w:hint="eastAsia" w:ascii="Arial" w:hAnsi="宋体" w:cs="Arial"/>
                <w:color w:val="auto"/>
                <w:sz w:val="22"/>
                <w:szCs w:val="22"/>
                <w:highlight w:val="none"/>
                <w:lang w:val="en-US" w:eastAsia="zh-CN"/>
              </w:rPr>
              <w:t>16</w:t>
            </w:r>
            <w:r>
              <w:rPr>
                <w:rFonts w:hint="eastAsia" w:ascii="Arial" w:hAnsi="宋体" w:cs="Arial"/>
                <w:color w:val="auto"/>
                <w:sz w:val="22"/>
                <w:szCs w:val="22"/>
                <w:highlight w:val="none"/>
              </w:rPr>
              <w:t>分（含），良：</w:t>
            </w:r>
            <w:r>
              <w:rPr>
                <w:rFonts w:hint="eastAsia" w:ascii="Arial" w:hAnsi="宋体" w:cs="Arial"/>
                <w:color w:val="auto"/>
                <w:sz w:val="22"/>
                <w:szCs w:val="22"/>
                <w:highlight w:val="none"/>
                <w:lang w:val="en-US" w:eastAsia="zh-CN"/>
              </w:rPr>
              <w:t>16</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12</w:t>
            </w:r>
            <w:r>
              <w:rPr>
                <w:rFonts w:hint="eastAsia" w:ascii="Arial" w:hAnsi="宋体" w:cs="Arial"/>
                <w:color w:val="auto"/>
                <w:sz w:val="22"/>
                <w:szCs w:val="22"/>
                <w:highlight w:val="none"/>
              </w:rPr>
              <w:t>分（含），一般：</w:t>
            </w:r>
            <w:r>
              <w:rPr>
                <w:rFonts w:hint="eastAsia" w:ascii="Arial" w:hAnsi="宋体" w:cs="Arial"/>
                <w:color w:val="auto"/>
                <w:sz w:val="22"/>
                <w:szCs w:val="22"/>
                <w:highlight w:val="none"/>
                <w:lang w:val="en-US" w:eastAsia="zh-CN"/>
              </w:rPr>
              <w:t>12</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8</w:t>
            </w:r>
            <w:r>
              <w:rPr>
                <w:rFonts w:hint="eastAsia" w:ascii="Arial" w:hAnsi="宋体" w:cs="Arial"/>
                <w:color w:val="auto"/>
                <w:sz w:val="22"/>
                <w:szCs w:val="22"/>
                <w:highlight w:val="none"/>
              </w:rPr>
              <w:t>.0分（含），差：</w:t>
            </w:r>
            <w:r>
              <w:rPr>
                <w:rFonts w:hint="eastAsia" w:ascii="Arial" w:hAnsi="宋体" w:cs="Arial"/>
                <w:color w:val="auto"/>
                <w:sz w:val="22"/>
                <w:szCs w:val="22"/>
                <w:highlight w:val="none"/>
                <w:lang w:val="en-US" w:eastAsia="zh-CN"/>
              </w:rPr>
              <w:t>8</w:t>
            </w:r>
            <w:r>
              <w:rPr>
                <w:rFonts w:hint="eastAsia" w:ascii="Arial" w:hAnsi="宋体" w:cs="Arial"/>
                <w:color w:val="auto"/>
                <w:sz w:val="22"/>
                <w:szCs w:val="22"/>
                <w:highlight w:val="none"/>
              </w:rPr>
              <w:t>.0分（不含）-0分。</w:t>
            </w:r>
          </w:p>
        </w:tc>
        <w:tc>
          <w:tcPr>
            <w:tcW w:w="1484" w:type="dxa"/>
            <w:vAlign w:val="center"/>
          </w:tcPr>
          <w:p>
            <w:pPr>
              <w:pStyle w:val="18"/>
              <w:spacing w:after="0" w:line="280" w:lineRule="exact"/>
              <w:jc w:val="center"/>
              <w:rPr>
                <w:rFonts w:hint="eastAsia" w:ascii="Arial" w:hAnsi="Arial" w:eastAsia="宋体" w:cs="Arial"/>
                <w:color w:val="auto"/>
                <w:sz w:val="22"/>
                <w:szCs w:val="22"/>
                <w:highlight w:val="none"/>
                <w:lang w:eastAsia="zh-CN"/>
              </w:rPr>
            </w:pPr>
            <w:r>
              <w:rPr>
                <w:rFonts w:hint="eastAsia" w:ascii="Arial" w:hAnsi="Arial" w:cs="Arial"/>
                <w:color w:val="auto"/>
                <w:sz w:val="22"/>
                <w:szCs w:val="22"/>
                <w:highlight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79" w:type="dxa"/>
            <w:vAlign w:val="center"/>
          </w:tcPr>
          <w:p>
            <w:pPr>
              <w:pStyle w:val="18"/>
              <w:spacing w:after="0" w:line="280" w:lineRule="exact"/>
              <w:jc w:val="center"/>
              <w:rPr>
                <w:rFonts w:ascii="Arial" w:hAnsi="Arial" w:cs="Arial"/>
                <w:color w:val="auto"/>
                <w:sz w:val="22"/>
                <w:szCs w:val="22"/>
                <w:highlight w:val="none"/>
              </w:rPr>
            </w:pPr>
            <w:r>
              <w:rPr>
                <w:rFonts w:ascii="Arial" w:hAnsi="Arial" w:cs="Arial"/>
                <w:color w:val="auto"/>
                <w:sz w:val="22"/>
                <w:szCs w:val="22"/>
                <w:highlight w:val="none"/>
              </w:rPr>
              <w:t>5</w:t>
            </w:r>
          </w:p>
        </w:tc>
        <w:tc>
          <w:tcPr>
            <w:tcW w:w="1559" w:type="dxa"/>
            <w:vAlign w:val="center"/>
          </w:tcPr>
          <w:p>
            <w:pPr>
              <w:pStyle w:val="18"/>
              <w:spacing w:after="0" w:line="280" w:lineRule="exact"/>
              <w:jc w:val="center"/>
              <w:rPr>
                <w:rFonts w:ascii="Arial" w:hAnsi="宋体" w:cs="Arial"/>
                <w:color w:val="auto"/>
                <w:sz w:val="22"/>
                <w:szCs w:val="22"/>
                <w:highlight w:val="none"/>
              </w:rPr>
            </w:pPr>
            <w:r>
              <w:rPr>
                <w:rFonts w:hint="eastAsia" w:ascii="Arial" w:hAnsi="宋体" w:cs="Arial"/>
                <w:color w:val="auto"/>
                <w:sz w:val="22"/>
                <w:szCs w:val="22"/>
                <w:highlight w:val="none"/>
              </w:rPr>
              <w:t>针对突发事件的</w:t>
            </w:r>
            <w:r>
              <w:rPr>
                <w:rFonts w:ascii="Arial" w:hAnsi="宋体" w:cs="Arial"/>
                <w:color w:val="auto"/>
                <w:sz w:val="22"/>
                <w:szCs w:val="22"/>
                <w:highlight w:val="none"/>
              </w:rPr>
              <w:t>应急预案</w:t>
            </w:r>
          </w:p>
        </w:tc>
        <w:tc>
          <w:tcPr>
            <w:tcW w:w="5580" w:type="dxa"/>
            <w:vAlign w:val="center"/>
          </w:tcPr>
          <w:p>
            <w:pPr>
              <w:widowControl/>
              <w:spacing w:line="280" w:lineRule="exact"/>
              <w:jc w:val="left"/>
              <w:rPr>
                <w:rFonts w:ascii="Arial" w:hAnsi="宋体" w:cs="Arial"/>
                <w:color w:val="auto"/>
                <w:sz w:val="22"/>
                <w:szCs w:val="22"/>
                <w:highlight w:val="none"/>
              </w:rPr>
            </w:pPr>
            <w:r>
              <w:rPr>
                <w:rFonts w:hint="eastAsia" w:ascii="Arial" w:hAnsi="宋体" w:cs="Arial"/>
                <w:color w:val="auto"/>
                <w:sz w:val="22"/>
                <w:szCs w:val="22"/>
                <w:highlight w:val="none"/>
              </w:rPr>
              <w:t>如投标人在农村电流保护器安装过程中与村、户及其他所发生的矛盾纠纷</w:t>
            </w:r>
            <w:r>
              <w:rPr>
                <w:rFonts w:hint="eastAsia" w:ascii="Arial" w:hAnsi="宋体" w:cs="Arial"/>
                <w:color w:val="auto"/>
                <w:sz w:val="22"/>
                <w:szCs w:val="22"/>
                <w:highlight w:val="none"/>
                <w:lang w:eastAsia="zh-CN"/>
              </w:rPr>
              <w:t>、</w:t>
            </w:r>
            <w:r>
              <w:rPr>
                <w:rFonts w:hint="eastAsia" w:ascii="Arial" w:hAnsi="宋体" w:cs="Arial"/>
                <w:color w:val="auto"/>
                <w:sz w:val="22"/>
                <w:szCs w:val="22"/>
                <w:highlight w:val="none"/>
                <w:lang w:val="en-US" w:eastAsia="zh-CN"/>
              </w:rPr>
              <w:t>各种投诉，</w:t>
            </w:r>
            <w:r>
              <w:rPr>
                <w:rFonts w:hint="eastAsia" w:ascii="Arial" w:hAnsi="宋体" w:cs="Arial"/>
                <w:color w:val="auto"/>
                <w:sz w:val="22"/>
                <w:szCs w:val="22"/>
                <w:highlight w:val="none"/>
              </w:rPr>
              <w:t>能够合理解决的</w:t>
            </w:r>
            <w:r>
              <w:rPr>
                <w:rFonts w:hint="eastAsia" w:ascii="Arial" w:hAnsi="宋体" w:cs="Arial"/>
                <w:color w:val="auto"/>
                <w:sz w:val="22"/>
                <w:szCs w:val="22"/>
                <w:highlight w:val="none"/>
                <w:lang w:val="en-US" w:eastAsia="zh-CN"/>
              </w:rPr>
              <w:t>方法及措施</w:t>
            </w:r>
            <w:r>
              <w:rPr>
                <w:rFonts w:hint="eastAsia" w:ascii="Arial" w:hAnsi="宋体" w:cs="Arial"/>
                <w:color w:val="auto"/>
                <w:sz w:val="22"/>
                <w:szCs w:val="22"/>
                <w:highlight w:val="none"/>
              </w:rPr>
              <w:t>进行评议。优：</w:t>
            </w:r>
            <w:r>
              <w:rPr>
                <w:rFonts w:hint="eastAsia" w:ascii="Arial" w:hAnsi="宋体" w:cs="Arial"/>
                <w:color w:val="auto"/>
                <w:sz w:val="22"/>
                <w:szCs w:val="22"/>
                <w:highlight w:val="none"/>
                <w:lang w:val="en-US" w:eastAsia="zh-CN"/>
              </w:rPr>
              <w:t>10</w:t>
            </w:r>
            <w:r>
              <w:rPr>
                <w:rFonts w:hint="eastAsia" w:ascii="Arial" w:hAnsi="宋体" w:cs="Arial"/>
                <w:color w:val="auto"/>
                <w:sz w:val="22"/>
                <w:szCs w:val="22"/>
                <w:highlight w:val="none"/>
              </w:rPr>
              <w:t>分-</w:t>
            </w:r>
            <w:r>
              <w:rPr>
                <w:rFonts w:hint="eastAsia" w:ascii="Arial" w:hAnsi="宋体" w:cs="Arial"/>
                <w:color w:val="auto"/>
                <w:sz w:val="22"/>
                <w:szCs w:val="22"/>
                <w:highlight w:val="none"/>
                <w:lang w:val="en-US" w:eastAsia="zh-CN"/>
              </w:rPr>
              <w:t>8</w:t>
            </w:r>
            <w:r>
              <w:rPr>
                <w:rFonts w:hint="eastAsia" w:ascii="Arial" w:hAnsi="宋体" w:cs="Arial"/>
                <w:color w:val="auto"/>
                <w:sz w:val="22"/>
                <w:szCs w:val="22"/>
                <w:highlight w:val="none"/>
              </w:rPr>
              <w:t>分（含），良：</w:t>
            </w:r>
            <w:r>
              <w:rPr>
                <w:rFonts w:hint="eastAsia" w:ascii="Arial" w:hAnsi="宋体" w:cs="Arial"/>
                <w:color w:val="auto"/>
                <w:sz w:val="22"/>
                <w:szCs w:val="22"/>
                <w:highlight w:val="none"/>
                <w:lang w:val="en-US" w:eastAsia="zh-CN"/>
              </w:rPr>
              <w:t>8</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6</w:t>
            </w:r>
            <w:r>
              <w:rPr>
                <w:rFonts w:hint="eastAsia" w:ascii="Arial" w:hAnsi="宋体" w:cs="Arial"/>
                <w:color w:val="auto"/>
                <w:sz w:val="22"/>
                <w:szCs w:val="22"/>
                <w:highlight w:val="none"/>
              </w:rPr>
              <w:t>分（含），一般：</w:t>
            </w:r>
            <w:r>
              <w:rPr>
                <w:rFonts w:hint="eastAsia" w:ascii="Arial" w:hAnsi="宋体" w:cs="Arial"/>
                <w:color w:val="auto"/>
                <w:sz w:val="22"/>
                <w:szCs w:val="22"/>
                <w:highlight w:val="none"/>
                <w:lang w:val="en-US" w:eastAsia="zh-CN"/>
              </w:rPr>
              <w:t>6</w:t>
            </w:r>
            <w:r>
              <w:rPr>
                <w:rFonts w:hint="eastAsia" w:ascii="Arial" w:hAnsi="宋体" w:cs="Arial"/>
                <w:color w:val="auto"/>
                <w:sz w:val="22"/>
                <w:szCs w:val="22"/>
                <w:highlight w:val="none"/>
              </w:rPr>
              <w:t>分（不含）-</w:t>
            </w:r>
            <w:r>
              <w:rPr>
                <w:rFonts w:hint="eastAsia" w:ascii="Arial" w:hAnsi="宋体" w:cs="Arial"/>
                <w:color w:val="auto"/>
                <w:sz w:val="22"/>
                <w:szCs w:val="22"/>
                <w:highlight w:val="none"/>
                <w:lang w:val="en-US" w:eastAsia="zh-CN"/>
              </w:rPr>
              <w:t>4</w:t>
            </w:r>
            <w:r>
              <w:rPr>
                <w:rFonts w:hint="eastAsia" w:ascii="Arial" w:hAnsi="宋体" w:cs="Arial"/>
                <w:color w:val="auto"/>
                <w:sz w:val="22"/>
                <w:szCs w:val="22"/>
                <w:highlight w:val="none"/>
              </w:rPr>
              <w:t>.0分（含），差：</w:t>
            </w:r>
            <w:r>
              <w:rPr>
                <w:rFonts w:hint="eastAsia" w:ascii="Arial" w:hAnsi="宋体" w:cs="Arial"/>
                <w:color w:val="auto"/>
                <w:sz w:val="22"/>
                <w:szCs w:val="22"/>
                <w:highlight w:val="none"/>
                <w:lang w:val="en-US" w:eastAsia="zh-CN"/>
              </w:rPr>
              <w:t>4</w:t>
            </w:r>
            <w:r>
              <w:rPr>
                <w:rFonts w:hint="eastAsia" w:ascii="Arial" w:hAnsi="宋体" w:cs="Arial"/>
                <w:color w:val="auto"/>
                <w:sz w:val="22"/>
                <w:szCs w:val="22"/>
                <w:highlight w:val="none"/>
              </w:rPr>
              <w:t>.0分（不含）-0分。</w:t>
            </w:r>
          </w:p>
        </w:tc>
        <w:tc>
          <w:tcPr>
            <w:tcW w:w="1484" w:type="dxa"/>
            <w:vAlign w:val="center"/>
          </w:tcPr>
          <w:p>
            <w:pPr>
              <w:spacing w:line="280" w:lineRule="exact"/>
              <w:jc w:val="center"/>
              <w:rPr>
                <w:rFonts w:ascii="Arial" w:hAnsi="Arial" w:cs="Arial"/>
                <w:color w:val="auto"/>
                <w:sz w:val="22"/>
                <w:szCs w:val="22"/>
                <w:highlight w:val="none"/>
              </w:rPr>
            </w:pPr>
            <w:r>
              <w:rPr>
                <w:rFonts w:hint="eastAsia" w:ascii="Arial" w:hAnsi="Arial" w:cs="Arial"/>
                <w:color w:val="auto"/>
                <w:sz w:val="22"/>
                <w:szCs w:val="22"/>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18" w:type="dxa"/>
            <w:gridSpan w:val="3"/>
            <w:vAlign w:val="center"/>
          </w:tcPr>
          <w:p>
            <w:pPr>
              <w:spacing w:line="280" w:lineRule="exact"/>
              <w:jc w:val="center"/>
              <w:rPr>
                <w:rFonts w:ascii="Arial" w:hAnsi="宋体" w:cs="Arial"/>
                <w:color w:val="auto"/>
                <w:sz w:val="22"/>
                <w:szCs w:val="22"/>
                <w:highlight w:val="none"/>
              </w:rPr>
            </w:pPr>
            <w:r>
              <w:rPr>
                <w:rFonts w:hint="eastAsia" w:ascii="Arial" w:hAnsi="宋体" w:cs="Arial"/>
                <w:color w:val="auto"/>
                <w:sz w:val="22"/>
                <w:szCs w:val="22"/>
                <w:highlight w:val="none"/>
              </w:rPr>
              <w:t>合计（一+二）</w:t>
            </w:r>
          </w:p>
        </w:tc>
        <w:tc>
          <w:tcPr>
            <w:tcW w:w="1484" w:type="dxa"/>
            <w:vAlign w:val="center"/>
          </w:tcPr>
          <w:p>
            <w:pPr>
              <w:pStyle w:val="18"/>
              <w:spacing w:after="0" w:line="280" w:lineRule="exact"/>
              <w:jc w:val="center"/>
              <w:rPr>
                <w:rFonts w:ascii="Arial" w:hAnsi="宋体" w:cs="Arial"/>
                <w:b/>
                <w:color w:val="auto"/>
                <w:sz w:val="22"/>
                <w:szCs w:val="22"/>
                <w:highlight w:val="none"/>
              </w:rPr>
            </w:pPr>
            <w:r>
              <w:rPr>
                <w:rFonts w:hint="eastAsia" w:ascii="Arial" w:hAnsi="宋体" w:cs="Arial"/>
                <w:b/>
                <w:color w:val="auto"/>
                <w:sz w:val="22"/>
                <w:szCs w:val="22"/>
                <w:highlight w:val="none"/>
              </w:rPr>
              <w:t>100</w:t>
            </w:r>
          </w:p>
        </w:tc>
      </w:tr>
    </w:tbl>
    <w:p>
      <w:pPr>
        <w:spacing w:line="260" w:lineRule="atLeast"/>
        <w:rPr>
          <w:rFonts w:ascii="Arial" w:hAnsi="Arial" w:cs="Arial"/>
          <w:color w:val="auto"/>
          <w:szCs w:val="21"/>
          <w:highlight w:val="none"/>
        </w:rPr>
      </w:pPr>
      <w:r>
        <w:rPr>
          <w:rFonts w:ascii="Arial" w:hAnsi="Arial" w:cs="Arial"/>
          <w:color w:val="auto"/>
          <w:szCs w:val="21"/>
          <w:highlight w:val="none"/>
        </w:rPr>
        <w:t>备注：评委独立打分，每栏分值不得超出本栏规定的分值范围。</w:t>
      </w:r>
    </w:p>
    <w:p>
      <w:pPr>
        <w:pStyle w:val="2"/>
        <w:pageBreakBefore/>
        <w:adjustRightInd w:val="0"/>
        <w:spacing w:line="300" w:lineRule="auto"/>
        <w:ind w:left="1266" w:hanging="1266" w:hangingChars="394"/>
        <w:jc w:val="center"/>
        <w:textAlignment w:val="baseline"/>
        <w:rPr>
          <w:rFonts w:ascii="Arial" w:hAnsi="Arial" w:cs="Arial"/>
          <w:bCs w:val="0"/>
          <w:color w:val="auto"/>
          <w:kern w:val="2"/>
          <w:sz w:val="32"/>
          <w:szCs w:val="32"/>
          <w:highlight w:val="none"/>
        </w:rPr>
      </w:pPr>
      <w:bookmarkStart w:id="110" w:name="_Toc304292197"/>
      <w:bookmarkStart w:id="111" w:name="_Toc436330235"/>
      <w:r>
        <w:rPr>
          <w:rFonts w:ascii="Arial" w:hAnsi="Arial" w:cs="Arial"/>
          <w:bCs w:val="0"/>
          <w:color w:val="auto"/>
          <w:kern w:val="2"/>
          <w:sz w:val="32"/>
          <w:szCs w:val="32"/>
          <w:highlight w:val="none"/>
        </w:rPr>
        <w:t xml:space="preserve">第五章  </w:t>
      </w:r>
      <w:bookmarkEnd w:id="110"/>
      <w:r>
        <w:rPr>
          <w:rFonts w:ascii="Arial" w:hAnsi="Arial" w:cs="Arial"/>
          <w:bCs w:val="0"/>
          <w:color w:val="auto"/>
          <w:kern w:val="2"/>
          <w:sz w:val="32"/>
          <w:szCs w:val="32"/>
          <w:highlight w:val="none"/>
        </w:rPr>
        <w:t>拟签订采购合同</w:t>
      </w:r>
      <w:bookmarkEnd w:id="111"/>
      <w:r>
        <w:rPr>
          <w:rFonts w:ascii="Arial" w:hAnsi="Arial" w:cs="Arial"/>
          <w:bCs w:val="0"/>
          <w:color w:val="auto"/>
          <w:kern w:val="2"/>
          <w:sz w:val="32"/>
          <w:szCs w:val="32"/>
          <w:highlight w:val="none"/>
        </w:rPr>
        <w:t>文本</w:t>
      </w:r>
    </w:p>
    <w:p>
      <w:pPr>
        <w:spacing w:line="460" w:lineRule="exact"/>
        <w:rPr>
          <w:rFonts w:ascii="Arial" w:hAnsi="Arial" w:cs="Arial"/>
          <w:color w:val="auto"/>
          <w:sz w:val="22"/>
          <w:szCs w:val="22"/>
          <w:highlight w:val="none"/>
          <w:u w:val="single"/>
        </w:rPr>
      </w:pPr>
      <w:r>
        <w:rPr>
          <w:rFonts w:ascii="Arial" w:hAnsi="Arial" w:cs="Arial"/>
          <w:color w:val="auto"/>
          <w:sz w:val="22"/>
          <w:szCs w:val="22"/>
          <w:highlight w:val="none"/>
        </w:rPr>
        <w:t>甲方：</w:t>
      </w:r>
      <w:r>
        <w:rPr>
          <w:rFonts w:ascii="Arial" w:hAnsi="Arial" w:cs="Arial"/>
          <w:color w:val="auto"/>
          <w:sz w:val="22"/>
          <w:szCs w:val="22"/>
          <w:highlight w:val="none"/>
          <w:u w:val="single"/>
        </w:rPr>
        <w:t xml:space="preserve">（采购单位） </w:t>
      </w:r>
    </w:p>
    <w:p>
      <w:pPr>
        <w:spacing w:line="460" w:lineRule="exact"/>
        <w:rPr>
          <w:rFonts w:ascii="Arial" w:hAnsi="Arial" w:cs="Arial"/>
          <w:color w:val="auto"/>
          <w:sz w:val="22"/>
          <w:szCs w:val="22"/>
          <w:highlight w:val="none"/>
        </w:rPr>
      </w:pPr>
      <w:r>
        <w:rPr>
          <w:rFonts w:ascii="Arial" w:hAnsi="Arial" w:cs="Arial"/>
          <w:color w:val="auto"/>
          <w:sz w:val="22"/>
          <w:szCs w:val="22"/>
          <w:highlight w:val="none"/>
        </w:rPr>
        <w:t>住所地：</w:t>
      </w:r>
    </w:p>
    <w:p>
      <w:pPr>
        <w:spacing w:line="460" w:lineRule="exact"/>
        <w:rPr>
          <w:rFonts w:ascii="Arial" w:hAnsi="Arial" w:cs="Arial"/>
          <w:color w:val="auto"/>
          <w:sz w:val="22"/>
          <w:szCs w:val="22"/>
          <w:highlight w:val="none"/>
        </w:rPr>
      </w:pPr>
      <w:r>
        <w:rPr>
          <w:rFonts w:ascii="Arial" w:hAnsi="Arial" w:cs="Arial"/>
          <w:color w:val="auto"/>
          <w:sz w:val="22"/>
          <w:szCs w:val="22"/>
          <w:highlight w:val="none"/>
        </w:rPr>
        <w:t>联系方式：</w:t>
      </w:r>
    </w:p>
    <w:p>
      <w:pPr>
        <w:spacing w:line="460" w:lineRule="exact"/>
        <w:rPr>
          <w:rFonts w:ascii="Arial" w:hAnsi="Arial" w:cs="Arial"/>
          <w:color w:val="auto"/>
          <w:sz w:val="22"/>
          <w:szCs w:val="22"/>
          <w:highlight w:val="none"/>
          <w:u w:val="single"/>
        </w:rPr>
      </w:pPr>
      <w:r>
        <w:rPr>
          <w:rFonts w:ascii="Arial" w:hAnsi="Arial" w:cs="Arial"/>
          <w:color w:val="auto"/>
          <w:sz w:val="22"/>
          <w:szCs w:val="22"/>
          <w:highlight w:val="none"/>
        </w:rPr>
        <w:t>乙方：</w:t>
      </w:r>
      <w:r>
        <w:rPr>
          <w:rFonts w:ascii="Arial" w:hAnsi="Arial" w:cs="Arial"/>
          <w:color w:val="auto"/>
          <w:sz w:val="22"/>
          <w:szCs w:val="22"/>
          <w:highlight w:val="none"/>
          <w:u w:val="single"/>
        </w:rPr>
        <w:t xml:space="preserve">（供应商）  </w:t>
      </w:r>
    </w:p>
    <w:p>
      <w:pPr>
        <w:spacing w:line="460" w:lineRule="exact"/>
        <w:rPr>
          <w:rFonts w:ascii="Arial" w:hAnsi="Arial" w:cs="Arial"/>
          <w:color w:val="auto"/>
          <w:sz w:val="22"/>
          <w:szCs w:val="22"/>
          <w:highlight w:val="none"/>
        </w:rPr>
      </w:pPr>
      <w:r>
        <w:rPr>
          <w:rFonts w:ascii="Arial" w:hAnsi="Arial" w:cs="Arial"/>
          <w:color w:val="auto"/>
          <w:sz w:val="22"/>
          <w:szCs w:val="22"/>
          <w:highlight w:val="none"/>
        </w:rPr>
        <w:t>住所地：</w:t>
      </w:r>
    </w:p>
    <w:p>
      <w:pPr>
        <w:spacing w:line="460" w:lineRule="exact"/>
        <w:rPr>
          <w:rFonts w:ascii="Arial" w:hAnsi="Arial" w:cs="Arial"/>
          <w:color w:val="auto"/>
          <w:sz w:val="22"/>
          <w:szCs w:val="22"/>
          <w:highlight w:val="none"/>
          <w:u w:val="single"/>
        </w:rPr>
      </w:pPr>
      <w:r>
        <w:rPr>
          <w:rFonts w:ascii="Arial" w:hAnsi="Arial" w:cs="Arial"/>
          <w:color w:val="auto"/>
          <w:sz w:val="22"/>
          <w:szCs w:val="22"/>
          <w:highlight w:val="none"/>
        </w:rPr>
        <w:t>联系方式：</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根据《中华人民共和国政府采购法》、《中华人民共和国合同法》等有关法律法规精神，甲方经过采购方式确定乙方为_____________项目服务的提供单位，双方经协商达成以下条款：</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一、服务内容：</w:t>
      </w:r>
      <w:r>
        <w:rPr>
          <w:rFonts w:ascii="Arial" w:hAnsi="Arial" w:cs="Arial"/>
          <w:color w:val="auto"/>
          <w:sz w:val="22"/>
          <w:szCs w:val="22"/>
          <w:highlight w:val="none"/>
          <w:u w:val="single"/>
        </w:rPr>
        <w:t>详见招标采购文件第二章采购需求</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二、合同金额：</w:t>
      </w:r>
    </w:p>
    <w:p>
      <w:pPr>
        <w:pStyle w:val="25"/>
        <w:snapToGrid w:val="0"/>
        <w:spacing w:beforeLines="0" w:afterLines="0" w:line="460" w:lineRule="exact"/>
        <w:ind w:firstLine="442" w:firstLineChars="200"/>
        <w:rPr>
          <w:rFonts w:hint="default" w:ascii="Arial" w:hAnsi="Arial" w:cs="Arial"/>
          <w:b/>
          <w:bCs/>
          <w:color w:val="auto"/>
          <w:sz w:val="22"/>
          <w:szCs w:val="22"/>
          <w:highlight w:val="none"/>
        </w:rPr>
      </w:pPr>
      <w:r>
        <w:rPr>
          <w:rFonts w:ascii="Arial" w:hAnsi="Arial" w:cs="Arial"/>
          <w:b/>
          <w:bCs/>
          <w:color w:val="auto"/>
          <w:sz w:val="22"/>
          <w:szCs w:val="22"/>
          <w:highlight w:val="none"/>
        </w:rPr>
        <w:t>1、合同形式：</w:t>
      </w:r>
      <w:r>
        <w:rPr>
          <w:rFonts w:ascii="Arial" w:hAnsi="Arial" w:cs="Arial"/>
          <w:b/>
          <w:bCs/>
          <w:color w:val="auto"/>
          <w:sz w:val="22"/>
          <w:szCs w:val="22"/>
          <w:highlight w:val="none"/>
          <w:u w:val="single"/>
        </w:rPr>
        <w:t>总价合同</w:t>
      </w:r>
      <w:r>
        <w:rPr>
          <w:rFonts w:ascii="Arial" w:hAnsi="Arial" w:cs="Arial"/>
          <w:b/>
          <w:bCs/>
          <w:color w:val="auto"/>
          <w:sz w:val="22"/>
          <w:szCs w:val="22"/>
          <w:highlight w:val="none"/>
        </w:rPr>
        <w:t>。</w:t>
      </w:r>
    </w:p>
    <w:p>
      <w:pPr>
        <w:pStyle w:val="25"/>
        <w:snapToGrid w:val="0"/>
        <w:spacing w:beforeLines="0" w:afterLines="0" w:line="460" w:lineRule="exact"/>
        <w:ind w:firstLine="442" w:firstLineChars="200"/>
        <w:rPr>
          <w:rFonts w:hint="default" w:ascii="Arial" w:hAnsi="Arial" w:cs="Arial"/>
          <w:b/>
          <w:bCs/>
          <w:color w:val="auto"/>
          <w:sz w:val="22"/>
          <w:szCs w:val="22"/>
          <w:highlight w:val="none"/>
        </w:rPr>
      </w:pPr>
      <w:r>
        <w:rPr>
          <w:rFonts w:ascii="Arial" w:hAnsi="Arial" w:cs="Arial"/>
          <w:b/>
          <w:bCs/>
          <w:color w:val="auto"/>
          <w:sz w:val="22"/>
          <w:szCs w:val="22"/>
          <w:highlight w:val="none"/>
        </w:rPr>
        <w:t>2、本合同金额为（大写）：人民币______________________元（￥___________元）；合同浮动率为</w:t>
      </w:r>
      <w:r>
        <w:rPr>
          <w:rFonts w:ascii="Arial" w:hAnsi="Arial" w:cs="Arial"/>
          <w:b/>
          <w:bCs/>
          <w:color w:val="auto"/>
          <w:sz w:val="22"/>
          <w:szCs w:val="22"/>
          <w:highlight w:val="none"/>
          <w:u w:val="single"/>
        </w:rPr>
        <w:t xml:space="preserve">      %</w:t>
      </w:r>
      <w:r>
        <w:rPr>
          <w:rFonts w:ascii="Arial" w:hAnsi="Arial" w:cs="Arial"/>
          <w:b/>
          <w:bCs/>
          <w:color w:val="auto"/>
          <w:sz w:val="22"/>
          <w:szCs w:val="22"/>
          <w:highlight w:val="none"/>
        </w:rPr>
        <w:t>。</w:t>
      </w:r>
    </w:p>
    <w:p>
      <w:pPr>
        <w:spacing w:line="460" w:lineRule="exact"/>
        <w:ind w:firstLine="442" w:firstLineChars="200"/>
        <w:rPr>
          <w:rFonts w:ascii="Arial" w:hAnsi="Arial" w:cs="Arial"/>
          <w:b/>
          <w:bCs/>
          <w:color w:val="auto"/>
          <w:sz w:val="22"/>
          <w:szCs w:val="22"/>
          <w:highlight w:val="none"/>
          <w:u w:val="single"/>
        </w:rPr>
      </w:pPr>
      <w:r>
        <w:rPr>
          <w:rFonts w:ascii="Arial" w:hAnsi="Arial" w:cs="Arial"/>
          <w:b/>
          <w:bCs/>
          <w:color w:val="auto"/>
          <w:sz w:val="22"/>
          <w:szCs w:val="22"/>
          <w:highlight w:val="none"/>
          <w:u w:val="single"/>
        </w:rPr>
        <w:t>注：以上合同总价包含但不限于：</w:t>
      </w:r>
      <w:r>
        <w:rPr>
          <w:rFonts w:hint="eastAsia" w:ascii="Arial" w:hAnsi="Arial" w:cs="Arial"/>
          <w:b/>
          <w:bCs/>
          <w:color w:val="auto"/>
          <w:sz w:val="22"/>
          <w:szCs w:val="22"/>
          <w:highlight w:val="none"/>
          <w:u w:val="single"/>
        </w:rPr>
        <w:t>人工费（包含按国家规定应交的社保、补贴，相关保险等费用），设备使用费， 设施及仓库配置的费用，管理费，税金，合理利润、税费、中标服务费等所有费用。</w:t>
      </w:r>
    </w:p>
    <w:p>
      <w:pPr>
        <w:spacing w:line="460" w:lineRule="exact"/>
        <w:ind w:firstLine="442" w:firstLineChars="200"/>
        <w:rPr>
          <w:rFonts w:ascii="Arial" w:hAnsi="Arial" w:cs="Arial"/>
          <w:b/>
          <w:bCs/>
          <w:color w:val="auto"/>
          <w:sz w:val="22"/>
          <w:szCs w:val="22"/>
          <w:highlight w:val="none"/>
          <w:u w:val="single"/>
        </w:rPr>
      </w:pPr>
      <w:r>
        <w:rPr>
          <w:rFonts w:hint="eastAsia" w:ascii="Arial" w:hAnsi="Arial" w:cs="Arial"/>
          <w:b/>
          <w:bCs/>
          <w:color w:val="auto"/>
          <w:sz w:val="22"/>
          <w:szCs w:val="22"/>
          <w:highlight w:val="none"/>
          <w:u w:val="single"/>
        </w:rPr>
        <w:t>（1）售后服务、价格波动、政策性文件规定及合同包含的所有风险、责任等乙方在投标报价时已充分考虑，包含在内。</w:t>
      </w:r>
    </w:p>
    <w:p>
      <w:pPr>
        <w:spacing w:line="460" w:lineRule="exact"/>
        <w:ind w:firstLine="442" w:firstLineChars="200"/>
        <w:rPr>
          <w:rFonts w:ascii="Arial" w:hAnsi="Arial" w:cs="Arial"/>
          <w:b/>
          <w:bCs/>
          <w:color w:val="auto"/>
          <w:sz w:val="22"/>
          <w:szCs w:val="22"/>
          <w:highlight w:val="none"/>
          <w:u w:val="single"/>
        </w:rPr>
      </w:pPr>
      <w:r>
        <w:rPr>
          <w:rFonts w:hint="eastAsia" w:ascii="Arial" w:hAnsi="Arial" w:cs="Arial"/>
          <w:b/>
          <w:bCs/>
          <w:color w:val="auto"/>
          <w:sz w:val="22"/>
          <w:szCs w:val="22"/>
          <w:highlight w:val="none"/>
          <w:u w:val="single"/>
        </w:rPr>
        <w:t>（2）乙方须负责本招标项目通过相关部门的有关审查。</w:t>
      </w:r>
    </w:p>
    <w:p>
      <w:pPr>
        <w:spacing w:line="460" w:lineRule="exact"/>
        <w:ind w:firstLine="442" w:firstLineChars="200"/>
        <w:rPr>
          <w:rFonts w:ascii="Arial" w:hAnsi="Arial" w:cs="Arial"/>
          <w:b/>
          <w:bCs/>
          <w:color w:val="auto"/>
          <w:sz w:val="22"/>
          <w:szCs w:val="22"/>
          <w:highlight w:val="none"/>
          <w:u w:val="single"/>
        </w:rPr>
      </w:pPr>
      <w:r>
        <w:rPr>
          <w:rFonts w:hint="eastAsia" w:ascii="Arial" w:hAnsi="Arial" w:cs="Arial"/>
          <w:b/>
          <w:bCs/>
          <w:color w:val="auto"/>
          <w:sz w:val="22"/>
          <w:szCs w:val="22"/>
          <w:highlight w:val="none"/>
          <w:u w:val="single"/>
        </w:rPr>
        <w:t>（3）乙方不得以实际采购数量、时间的变化或现场环境等理由提出综合单价增加或供货延期等任何变更投标响应的要求。</w:t>
      </w:r>
    </w:p>
    <w:p>
      <w:pPr>
        <w:spacing w:line="460" w:lineRule="exact"/>
        <w:ind w:firstLine="442" w:firstLineChars="200"/>
        <w:rPr>
          <w:rFonts w:ascii="Arial" w:hAnsi="Arial" w:cs="Arial"/>
          <w:b/>
          <w:bCs/>
          <w:color w:val="auto"/>
          <w:sz w:val="22"/>
          <w:szCs w:val="22"/>
          <w:highlight w:val="none"/>
          <w:u w:val="single"/>
        </w:rPr>
      </w:pPr>
      <w:r>
        <w:rPr>
          <w:rFonts w:hint="eastAsia" w:ascii="Arial" w:hAnsi="Arial" w:cs="Arial"/>
          <w:b/>
          <w:bCs/>
          <w:color w:val="auto"/>
          <w:sz w:val="22"/>
          <w:szCs w:val="22"/>
          <w:highlight w:val="none"/>
          <w:u w:val="single"/>
        </w:rPr>
        <w:t>（4）当采购数量与实际使用数量不一致时，乙方应根据实际使用量供货，合同的最终结算金额按实际使用量乘以成交单价进行计算。如系本合同中未包括的产品，由甲方与乙方双方协商确定价格。</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三、服务范围：</w:t>
      </w:r>
    </w:p>
    <w:p>
      <w:pPr>
        <w:adjustRightInd w:val="0"/>
        <w:snapToGrid w:val="0"/>
        <w:spacing w:line="410" w:lineRule="exact"/>
        <w:ind w:firstLine="440" w:firstLineChars="200"/>
        <w:outlineLvl w:val="1"/>
        <w:rPr>
          <w:rFonts w:ascii="Arial" w:hAnsi="Arial" w:cs="Arial"/>
          <w:color w:val="auto"/>
          <w:sz w:val="22"/>
          <w:szCs w:val="22"/>
          <w:highlight w:val="none"/>
        </w:rPr>
      </w:pPr>
      <w:r>
        <w:rPr>
          <w:rFonts w:ascii="Arial" w:hAnsi="Arial" w:cs="Arial"/>
          <w:color w:val="auto"/>
          <w:sz w:val="22"/>
          <w:szCs w:val="22"/>
          <w:highlight w:val="none"/>
        </w:rPr>
        <w:t>乙方</w:t>
      </w:r>
      <w:r>
        <w:rPr>
          <w:rFonts w:hint="eastAsia" w:ascii="Arial" w:hAnsi="Arial" w:cs="Arial"/>
          <w:color w:val="auto"/>
          <w:sz w:val="22"/>
          <w:szCs w:val="22"/>
          <w:highlight w:val="none"/>
        </w:rPr>
        <w:t>需承担合同期内的东钱湖镇农村剩余电流动作保护器表后电力维护服务，根据 2019年统计的东钱湖镇辖区范围内农村居民家庭漏电保护器服务数量约11755只。</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四、服务要求：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w:t>
      </w:r>
      <w:r>
        <w:rPr>
          <w:rFonts w:hint="eastAsia" w:ascii="Arial" w:hAnsi="Arial" w:cs="Arial"/>
          <w:color w:val="auto"/>
          <w:sz w:val="22"/>
          <w:szCs w:val="22"/>
          <w:highlight w:val="none"/>
          <w:lang w:val="en-US" w:eastAsia="zh-CN"/>
        </w:rPr>
        <w:t>中标</w:t>
      </w:r>
      <w:r>
        <w:rPr>
          <w:rFonts w:hint="eastAsia" w:ascii="Arial" w:hAnsi="Arial" w:cs="Arial"/>
          <w:color w:val="auto"/>
          <w:sz w:val="22"/>
          <w:szCs w:val="22"/>
          <w:highlight w:val="none"/>
        </w:rPr>
        <w:t>人</w:t>
      </w:r>
      <w:r>
        <w:rPr>
          <w:rFonts w:hint="eastAsia" w:ascii="Arial" w:hAnsi="Arial" w:cs="Arial"/>
          <w:color w:val="auto"/>
          <w:sz w:val="22"/>
          <w:szCs w:val="22"/>
          <w:highlight w:val="none"/>
          <w:lang w:val="en-US" w:eastAsia="zh-CN"/>
        </w:rPr>
        <w:t>应</w:t>
      </w:r>
      <w:r>
        <w:rPr>
          <w:rFonts w:hint="eastAsia" w:ascii="Arial" w:hAnsi="Arial" w:cs="Arial"/>
          <w:color w:val="auto"/>
          <w:sz w:val="22"/>
          <w:szCs w:val="22"/>
          <w:highlight w:val="none"/>
        </w:rPr>
        <w:t>成立的服务场所不得小于 60 平方米，需配置零配件及耗材仓库。</w:t>
      </w:r>
    </w:p>
    <w:p>
      <w:pPr>
        <w:spacing w:line="410" w:lineRule="exact"/>
        <w:rPr>
          <w:rFonts w:hint="eastAsia" w:ascii="Arial" w:hAnsi="Arial" w:cs="Arial"/>
          <w:color w:val="auto"/>
          <w:sz w:val="22"/>
          <w:szCs w:val="22"/>
          <w:highlight w:val="none"/>
          <w:lang w:val="en-US" w:eastAsia="zh-CN"/>
        </w:rPr>
      </w:pPr>
      <w:r>
        <w:rPr>
          <w:rFonts w:hint="eastAsia" w:ascii="Arial" w:hAnsi="Arial" w:cs="Arial"/>
          <w:color w:val="auto"/>
          <w:sz w:val="22"/>
          <w:szCs w:val="22"/>
          <w:highlight w:val="none"/>
        </w:rPr>
        <w:t>需设有 24 小时 值班室，</w:t>
      </w:r>
      <w:r>
        <w:rPr>
          <w:rFonts w:hint="eastAsia" w:ascii="Arial" w:hAnsi="Arial" w:cs="Arial"/>
          <w:color w:val="auto"/>
          <w:sz w:val="22"/>
          <w:szCs w:val="22"/>
          <w:highlight w:val="none"/>
          <w:lang w:val="en-US" w:eastAsia="zh-CN"/>
        </w:rPr>
        <w:t>且设立24小时服务电话并在全镇范围内广泛公布</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lang w:val="en-US" w:eastAsia="zh-CN"/>
        </w:rPr>
        <w:t>出现故障时，应在1小时内到达现场。</w:t>
      </w:r>
    </w:p>
    <w:p>
      <w:pPr>
        <w:spacing w:line="410" w:lineRule="exact"/>
        <w:rPr>
          <w:rFonts w:hint="eastAsia" w:ascii="Arial" w:hAnsi="Arial" w:cs="Arial"/>
          <w:color w:val="auto"/>
          <w:sz w:val="22"/>
          <w:szCs w:val="22"/>
          <w:highlight w:val="none"/>
          <w:lang w:val="en-US" w:eastAsia="zh-CN"/>
        </w:rPr>
      </w:pPr>
      <w:r>
        <w:rPr>
          <w:rFonts w:hint="eastAsia" w:ascii="Arial" w:hAnsi="Arial" w:cs="Arial"/>
          <w:color w:val="auto"/>
          <w:sz w:val="22"/>
          <w:szCs w:val="22"/>
          <w:highlight w:val="none"/>
          <w:lang w:val="en-US" w:eastAsia="zh-CN"/>
        </w:rPr>
        <w:t xml:space="preserve">    2、中标</w:t>
      </w:r>
      <w:r>
        <w:rPr>
          <w:rFonts w:hint="eastAsia" w:ascii="Arial" w:hAnsi="Arial" w:cs="Arial"/>
          <w:color w:val="auto"/>
          <w:sz w:val="22"/>
          <w:szCs w:val="22"/>
          <w:highlight w:val="none"/>
        </w:rPr>
        <w:t>人</w:t>
      </w:r>
      <w:r>
        <w:rPr>
          <w:rFonts w:hint="eastAsia" w:ascii="Arial" w:hAnsi="Arial" w:cs="Arial"/>
          <w:color w:val="auto"/>
          <w:sz w:val="22"/>
          <w:szCs w:val="22"/>
          <w:highlight w:val="none"/>
          <w:lang w:val="en-US" w:eastAsia="zh-CN"/>
        </w:rPr>
        <w:t>负责指导农村居民及保护器定期试跳，至少每半年进行一次安全检查。</w:t>
      </w:r>
    </w:p>
    <w:p>
      <w:pPr>
        <w:spacing w:line="410" w:lineRule="exact"/>
        <w:rPr>
          <w:rFonts w:ascii="Arial" w:hAnsi="Arial" w:cs="Arial"/>
          <w:color w:val="auto"/>
          <w:sz w:val="22"/>
          <w:szCs w:val="22"/>
          <w:highlight w:val="none"/>
        </w:rPr>
      </w:pPr>
      <w:r>
        <w:rPr>
          <w:rFonts w:hint="eastAsia" w:ascii="Arial" w:hAnsi="Arial" w:cs="Arial"/>
          <w:color w:val="auto"/>
          <w:sz w:val="22"/>
          <w:szCs w:val="22"/>
          <w:highlight w:val="none"/>
          <w:lang w:val="en-US" w:eastAsia="zh-CN"/>
        </w:rPr>
        <w:t xml:space="preserve">    3</w:t>
      </w:r>
      <w:r>
        <w:rPr>
          <w:rFonts w:hint="eastAsia" w:ascii="Arial" w:hAnsi="Arial" w:cs="Arial"/>
          <w:color w:val="auto"/>
          <w:sz w:val="22"/>
          <w:szCs w:val="22"/>
          <w:highlight w:val="none"/>
        </w:rPr>
        <w:t>、中标人需根据本项目作业要求按要求配置作业人员及相应的作业设备（包括</w:t>
      </w:r>
      <w:r>
        <w:rPr>
          <w:rFonts w:hint="eastAsia" w:ascii="Arial" w:hAnsi="Arial" w:cs="Arial"/>
          <w:color w:val="auto"/>
          <w:sz w:val="22"/>
          <w:szCs w:val="22"/>
          <w:highlight w:val="none"/>
          <w:lang w:val="en-US" w:eastAsia="zh-CN"/>
        </w:rPr>
        <w:t>车辆、</w:t>
      </w:r>
      <w:r>
        <w:rPr>
          <w:rFonts w:hint="eastAsia" w:ascii="Arial" w:hAnsi="Arial" w:cs="Arial"/>
          <w:color w:val="auto"/>
          <w:sz w:val="22"/>
          <w:szCs w:val="22"/>
          <w:highlight w:val="none"/>
        </w:rPr>
        <w:t>工具</w:t>
      </w:r>
      <w:r>
        <w:rPr>
          <w:rFonts w:hint="eastAsia" w:ascii="Arial" w:hAnsi="Arial" w:cs="Arial"/>
          <w:color w:val="auto"/>
          <w:sz w:val="22"/>
          <w:szCs w:val="22"/>
          <w:highlight w:val="none"/>
          <w:lang w:val="en-US" w:eastAsia="zh-CN"/>
        </w:rPr>
        <w:t>等</w:t>
      </w:r>
      <w:r>
        <w:rPr>
          <w:rFonts w:hint="eastAsia" w:ascii="Arial" w:hAnsi="Arial" w:cs="Arial"/>
          <w:color w:val="auto"/>
          <w:sz w:val="22"/>
          <w:szCs w:val="22"/>
          <w:highlight w:val="none"/>
        </w:rPr>
        <w:t>），设备使用过程中产生的费用、 人工费、配置的相关设施、仓库等所产生的费用均由中标人承担。拟配置的作业人员</w:t>
      </w:r>
      <w:r>
        <w:rPr>
          <w:rFonts w:hint="eastAsia" w:ascii="Arial" w:hAnsi="Arial" w:cs="Arial"/>
          <w:color w:val="auto"/>
          <w:sz w:val="22"/>
          <w:szCs w:val="22"/>
          <w:highlight w:val="none"/>
          <w:lang w:val="en-US" w:eastAsia="zh-CN"/>
        </w:rPr>
        <w:t>需提交上岗证的专业服务人员名单（</w:t>
      </w:r>
      <w:r>
        <w:rPr>
          <w:rFonts w:hint="eastAsia" w:ascii="Arial" w:hAnsi="Arial" w:cs="Arial"/>
          <w:color w:val="auto"/>
          <w:sz w:val="22"/>
          <w:szCs w:val="22"/>
          <w:highlight w:val="none"/>
        </w:rPr>
        <w:t>需具有电工证上岗证书，特种作业人需具有特种作业人员操作证</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rPr>
        <w:t>。人员的配置需按不低于 2000 户/人（以电表为准）标准配置，人工费用由中标人承担。</w:t>
      </w:r>
      <w:r>
        <w:rPr>
          <w:rFonts w:hint="eastAsia" w:ascii="Arial" w:hAnsi="Arial" w:cs="Arial"/>
          <w:color w:val="auto"/>
          <w:sz w:val="22"/>
          <w:szCs w:val="22"/>
          <w:highlight w:val="none"/>
          <w:lang w:val="en-US" w:eastAsia="zh-CN"/>
        </w:rPr>
        <w:t>中标人对于一线操作员工应购买相关保险，费用由中标人支付。</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lang w:val="en-US" w:eastAsia="zh-CN"/>
        </w:rPr>
        <w:t>4</w:t>
      </w:r>
      <w:r>
        <w:rPr>
          <w:rFonts w:hint="eastAsia" w:ascii="Arial" w:hAnsi="Arial" w:cs="Arial"/>
          <w:color w:val="auto"/>
          <w:sz w:val="22"/>
          <w:szCs w:val="22"/>
          <w:highlight w:val="none"/>
        </w:rPr>
        <w:t>、作业要求：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4.1 安全管理考核要求：合同履行期间，乙方应严格落实各项安全措施，执行供电部门的各项安全规定，配备足够、合格的防坠、防触电等安全 防护用具。施工人员必须经培训合格后方可上岗，并按照《电力安全工作规程》的规定着装，使用合格的绝缘工器具。乙方在合同履行期间的安全管理应以实现人身伤亡“零事故”为目标，同时严格执行建设部建办[2005]89号文关于《建筑工程安全防护、文明施工措施费用及使用管理规定》，并保证不发生以下几种事故：1）不发生人身重伤及以上事故；2） 不发生机械设备事故；3）不发生负同等及以上责任的一般交通事故；4）不发生火灾事故；5）不发生环境污染事故；6）不发生因工程建设而造成的停电事故。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采购人将不定期对施工现场进行检查监督，对发生下列不安全行为的，处以如下违约罚款：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（1）进入施工现场不戴安全帽或不规范着装，每发现一人次扣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（2）高空作业不系安全带，每发现一人次扣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（3）高空随意抛物，每次扣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（4）安全隔离网、安全隔离护栏等安全设施不符合规范要求，每次扣 200 元；</w:t>
      </w:r>
    </w:p>
    <w:p>
      <w:pPr>
        <w:spacing w:line="410" w:lineRule="exact"/>
        <w:ind w:left="441" w:leftChars="210"/>
        <w:rPr>
          <w:rFonts w:ascii="Arial" w:hAnsi="Arial" w:cs="Arial"/>
          <w:color w:val="auto"/>
          <w:sz w:val="22"/>
          <w:szCs w:val="22"/>
          <w:highlight w:val="none"/>
        </w:rPr>
      </w:pPr>
      <w:r>
        <w:rPr>
          <w:rFonts w:hint="eastAsia" w:ascii="Arial" w:hAnsi="Arial" w:cs="Arial"/>
          <w:color w:val="auto"/>
          <w:sz w:val="22"/>
          <w:szCs w:val="22"/>
          <w:highlight w:val="none"/>
        </w:rPr>
        <w:t>（5）无证乱接施工电源，配电箱不安装触电保护器或失效，使用铜丝等替代保险</w:t>
      </w:r>
    </w:p>
    <w:p>
      <w:pPr>
        <w:spacing w:line="410" w:lineRule="exact"/>
        <w:rPr>
          <w:rFonts w:ascii="Arial" w:hAnsi="Arial" w:cs="Arial"/>
          <w:color w:val="auto"/>
          <w:sz w:val="22"/>
          <w:szCs w:val="22"/>
          <w:highlight w:val="none"/>
        </w:rPr>
      </w:pPr>
      <w:r>
        <w:rPr>
          <w:rFonts w:hint="eastAsia" w:ascii="Arial" w:hAnsi="Arial" w:cs="Arial"/>
          <w:color w:val="auto"/>
          <w:sz w:val="22"/>
          <w:szCs w:val="22"/>
          <w:highlight w:val="none"/>
        </w:rPr>
        <w:t>丝，未对配电箱、电动工器具等进行定 期检查、试验并记录等，每次扣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（6）不按规定办理工作票、施工作业票、危险点预控卡、不按施工作业指导书施工，每次扣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（7）施工现场孔洞无盖板、高空平台作业处边缘无栏杆等无防摔跌等保护措施，每次扣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（8）施工前不进行安全交底，每次扣 500 元，交底不签字，每人次扣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（9）收到事故隐患通知单后，不按期整改，每次扣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（10）不按规定组织安全检查，不及时上报安全检查情况，每次扣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（11）不按“四不放过”原则处理恶性未遂事故，不及时上报事故报告或隐瞒事故，每次扣 1000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（12）施工道路上堆放物品或占用道路，设备材料未定置存放，每次扣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（13）车辆不按规定乱停放（包括施工车辆、自行车、人力车），每次扣 50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（14）职工（包括民工）未经安全教育而参加施工，每次扣 500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（15）违反消防治安管理条例，消防措施未到位等，每次扣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（16）未做好成品保护工作，每次扣 100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（17）违反安全规定，进行野蛮冒险作业的第一次发现当即处以 500 元违约款。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（18）乙方进行野蛮作业虽经签发整改书，但仍未按要求整改的，每发现一次处以 3000-5000 元违约款；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（19）违反其他安全文明规定，酌情处罚；当上述违纪现象多次重复出现或情节特别严重的将处以 300—5000 元惩罚性违 约款。</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（20）对作业安全存在事故隐患的，经一次整改仍不符合要求的，采购人有权终止合同。 对于其他未提及事项，将按照国网宁波供电公司安全管理有关规定以及《营销计量项目外施单位考核管理办法（试行）》 进行考核。</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 过程管理考核要求：采购人将严格按照《宁波电业局营销计量项目外施单位考核管理办法（试行）》的有关要求，对中标人进行过程管理与考核（详见附件）。</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4.2.1 乙方开工前须向采购人进行书面开工申请，经审核同意后方可施工，严禁未经批准私自开工。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4.2.2 合同履行期间，乙方不得未经采购人审核批准，擅自修改施工方案。确需修改的，一般应在施工前 3 天报项目管理 单位审批。</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4.2.3 合同履行期间，投标方应配合采购人规范做好“换表预先告知制”、“施工预先告知制”和“施工现场工完场清制”， 并提前做好客户告知、解释等工作，及时化解项目实施过程中的各类服务投诉事件。对需停电安装用户，应按停限电管理 办法的规定程序通知用户。</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4.2.4 合同履行期间，乙方应协助采购人做好采集系统建设前期台区与用户关系核对、前期资料整理与后期系统流程录入、 营销系统数据核对及竣工资料整理与编制等相关配合工作，一般要求后台常驻人员维持在 2-3 人（人员需责任心强，计算 机运用熟练）。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4.2.5 乙方在合同履行期间应根据《电力安全工作规程》等规程、规定要求，规范做好相关安全措施（保证作业安全和施 工质量的组织措施和技术措施等），防范安全作业风险。</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4.2.6 乙方应严格执行采购人有关甲供物资的领退管理规定，不得违规变卖、盗用或恶意毁损甲方物资（含通讯 SIM 卡）。 发生上述事件时，中标人应计价赔偿；对情节严重者，采购人有权终止合同，并报相关主管部门追究其相应的法律责任。</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4.2.7 乙方应按照相关技术标准、规范施工，倾力提高施工人员服务技能，确保工程质量优良。当服务质量存在批量质量 隐患时，应停工整顿，经采购人确认整改合格后方可予以复工。对因乙方操作不规范、接线不正确等不当作业引起的计 量差错、设备损坏以及运行异常等事件，乙方除负责实际赔偿外，还应承担因此引起的其他损失。</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4.3 采集数据完整率考核要求：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在采集终端、智能表安装施工完成后，投标方应在施工结束后 3 天内进行自验收，自验收要求抄表成功率无线不低于 99.5%、 载波不低于 99%，否则应视为自验收不合格。自验收完成后应出具自验收报告，对于自验收不合格的，应在 1 天内予以返工修复。具体考核要求按照国网宁波供电公司《营销计量项目外施单位考核管理 办法（试行）》执行。</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4.4 质量考核要求：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4.4.1 乙方在合同履行期间中应严格执行有关规章制度，包括省公司浙电营字[2012]105  号《关于进一步电能表申校及换 装服务行为的通知》，Q/GDW-11-295-2011《电能计量装置安装接线工艺标准》，Q/GDW-11-151-2009《装表接电工作标准》， 浙电营字〔2013〕35 号《电力营销一线员工作业一本通》“装表接电”部分，《浙江省电力公司用电信息采集系统现场安装 作业规范》、《浙江省电力公司用电信息采集系统（载波）安装调试规范（试行）》、《浙江省低压电力用户用电信息采集系 统施工验收标准（试行）》等。</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4.4.2 采集系统现场安装主要包括采集箱、采集终端等设备的安装、电能表更换、485  通讯线缆的敷设、连接以及其他附属 设备安装等。采集终端设备安装、调试及各项功能应满足《浙江省电力公司用电信息采集系统现场安装作业规范》、《浙江 省电力公司用电信息采集系统（载波）安装调试规范（试行）》、《浙江省低压电力用户用电信息采集系统施工验收标准（试 行）》等规范要求：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（一）、无线采集模式安装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 外置采集箱安装高度符合要求，位置应避开烟道出风口，不妨碍行人和车辆正常通行；根据周边环境，采用合理的方 式固定于墙面或其他合适的位置，有利于无线通讯和维护检查。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2、采集终端安装必须按图施工，接线正确，电气连接可靠，接触良好；配线整齐美观，导线无损伤，线头导体无外露， 绝缘良好。安装位置选择合理，安装牢固不松动。</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 电能表按图正确接线，安装垂直牢固，电气连接可靠，配线整齐美观，导线无损伤、绝缘良好。</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 485 线缆选择符合项目技术要求，电表和采集器的 485 口接线方式正确。线缆敷设路径符合相关技术规定，转角处满 足转弯半径要求，屏蔽电缆单端接地；表箱内绞线固定方式合理。不同楼道（单元）连接的电缆二端，装设标志牌或其他 标志，标志牌或其他标志的字迹清晰且不宜脱落。</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 电缆管（PVC 管）安装平直牢固、排列整齐，管子弯曲处，无明显折皱、凹扁等现象。管与管之间采用套管连接时， 套管长度宜为管外径的 1.5 倍～3 倍。</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6、 采集终端与主站通讯测试正常。</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7、 孔洞应封堵良好，工器件无遗留；安装工艺质量符合有关标准要求。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（二）、载波采集模式安装 集中器安装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1、集中器原则上安装在配变台区总电能表箱（柜）处。当计量箱（柜）处通讯质量较差时或安装位置不足等其他原因时， 应另安装集中器表箱，集中器、联合接线盒安装在该表箱内。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2、集中器电源线参照三相电能表安装线材取材。原则上，电源取自电能表联合接线盒，按电压 A、B、C、N 相序，导线 相色按黄、绿、红、黑接入集中器接线桩。对于只有一台变压器的台区，如果联合接线盒处无线信号不能满足要求，可选 择适当位置安装，电源取自低压母线或主干线。</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3、集中器天线应固定安装，必要时天线可伸出箱体，确保通讯信号良好。 采集器安装：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1）载波采集器宜安装在电能表箱内，并固定在导轨上，用户表箱安装位置不足时，宜采用外置采集箱，采集器安装在该 采集箱内。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2）采集器电源宜通过熔断器（或开关）与表箱进线开关下桩头火线与零线连接。采集器通过 RS-485 总线同低压电能 表 RS-485 连接，所有电能表和采集器的 RS-485 口宜采用串接方式。</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3）同一个台区内所有采集器、集中器必须为同厂家同芯片，不同厂家不同芯片不得混用。</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（三）采集箱安装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1、集中器安装地点应有利于无线通信，且便于维护检查。对于明装表箱，采集箱安装位置应尽量靠近表箱；采集箱箱底 离地面或台阶的垂直距离宜不小于 2.5m。对由于现场实际不能满足条件的，应做好采集箱的防触电措施（同类建筑，采集 器的箱内安装位置应统一）。若为铁制采集箱，箱体及其附件应可靠接地。</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2、表箱与表箱间连接导线，须通过 PVC 管或线槽进行铺设，PVC 管或线槽交叉、丁字、十字应采用二通、三通、四通进 行连接。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3、强、弱电通道不得合用管道、线槽，强、弱电通道距离应宜不小于 0.1m，并与其他弱电线路应有有效的分隔措施；通 道与地面的最小距离宜不小于 2.7m。</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（四）RS-485 线的安装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1、RS-485 线宜采用 BV-0.3 及以上的单芯双绞线作为计量电能表 RS-485 接口间的连接线，特征阻抗 120 欧姆。</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2、双绞线的敷设，做到横平竖直，无交叉，双绞线弯曲半径不小于线芯直径的 20 倍；多根双绞线须扎紧，无明显松动现 象；双绞线应采用线卡或螺钉固定在表箱背板上；除末端表外，连接其余电能表时，剥去合适的绝缘长度后，线芯导体绞 接后与对应的端子连接；双绞线应尽可能远离电能表进出线，以减少电源进出线对通信的干扰，并防止一次回路串入通讯 回路。</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（五）电能表更换与安装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1、电能表安装应垂直，牢固可靠，电能表倾斜度要小于 1 度。</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2、安装完成后，电能表通电检查正常（含与采集器），不得存在缺相、逆相序等情况。</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3、电能表端钮盖应加封完备；</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4、相邻单相电能表，垂直中心距应不小于 250mm，水平中心距应不小于 150mm 或侧面水平距离应不小于 30mm；电能 表外侧距箱壁不小于 60mm 。</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5、每只电能表轮换、表箱改造和每处采集系统建设施工均应在施工前后进行拍照存档并及时提交。</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2.4.3 计量箱改造主要包括电能计量箱的更换与安装、相关附属线路的重新敷设和连接以及其他附属设备的安装等。计量箱 及其附属线路的改造应满足 Q/GDW-11-295-2011《电能计量装置安装接线工艺标准》，Q/GDW-11-151-2009《装表接电工作 标准》，浙电营字〔2013〕35 号《电力营销一线员工作业一本通》“装表接电”部分等规范的要求：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1、计量箱安装高度符合要求，计量箱观察窗中心线宜距安装地面 1.8 米左右，位置应避开烟道出风口，不妨碍行人和车辆 正常通行；根据周边环境，采用合理的方式固定于墙面或其他合适的位置，有利于无线通讯和对箱内设备的维护检查。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2、计量箱安装应垂直牢固，垂直度允许偏差应保证在 1.5‰以内；</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3、计量箱安装必须按图施工，接线正确，电气连接可靠，接触良好；箱内配线整齐美观，导线无损伤，线头导体无 外露，绝缘良好。安装位置选择合理，安装牢固不松动。</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4、计量箱外连接电缆应排列整齐，固定可靠，无机械损伤；进出线开孔与导管管径适配，箱内电缆头无外漏；线缆 接入端子处松紧适度，轻轻拉动不脱落。</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5、计量箱内不同电压等级、交流、直流线路及强弱电间导线应分别绑扎，且有标识。</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6、金属箱箱体应可靠接地，标识清晰；</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7、装有电器的可开启门，门和框架的接地端子间应用裸编织铜线连接。</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8、计量箱箱门的开闭应灵活，开启角度不小于 90 度；</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9、计量箱更换和安装完毕后，相关孔洞应封堵良好，工器件无遗留；安装工艺质量符合有关标准要求。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2.4.4 质量相关考核要求按照国网宁波供电公司《营销计量项目外施单位考核管理办法（试行）》执行。</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 验收管理考核要求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4.5.1 乙方应在开展作业时同步开展相关资料编制工作，相关资料应完整、准确，且能全面正确反映作业过程的实际情况。 相关资料的所有线条、字迹、图表、数据等必须工整、清楚、干净、无涂改，标注、签证等需完整，并按规定装订成册； 乙方应在申请服务验收时，向采购人同步提交相关资料。</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4.5.2 采购人对服务质量进行验收。对验收发现的质量缺陷或问题，中标人应在 7 个工作日内整改完成。对施工缺陷较多、 范围较广的内容，无法在规定期限内整改完毕的，应事先征得采购人同意后，方可予以延期。</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4.5.3 对验收管理各项工作的考核按照《国网宁波供电公司营销计量项目外施单位考核管理办法（试行）》的有关要求。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4.6 其他要求</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4.6.1 新建台区需确保台区全覆盖率达到 100%，每台无线采集器平均接入户数不少于 10 户。每减少 1 户，扣减年度服务经 费金额的 1%。</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4.6.2 合同履行期间，在采购人内网电脑或中标人自带但接入采购人内网的电脑进行操作，应严格遵守《国网宁波供电公司 信息内网使用准则》。若发生一次违规外联事件，按合同价款 10%处以违约金，并依次翻倍，最高不超过合同价款的 50%。</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 违约、索赔和争议</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4.7.1  履约保证金为</w:t>
      </w:r>
      <w:r>
        <w:rPr>
          <w:rFonts w:hint="eastAsia" w:ascii="Arial" w:hAnsi="Arial" w:cs="Arial"/>
          <w:b/>
          <w:color w:val="auto"/>
          <w:sz w:val="22"/>
          <w:szCs w:val="22"/>
          <w:highlight w:val="none"/>
          <w:u w:val="single"/>
        </w:rPr>
        <w:t>合同总价的 5%。</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4.7.2 中标人的服务质量经采购人或相关主管部门验收，每出现一次不能达到合格的，中标人应无条件返工，并承担由此引 起的一切责任和给采购人造成的经济损失，并扣除每月服务经费的 2％。承包人被相关主管部门每通报批评一次，扣罚人 民币 2000 元。</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4.7.3  中标人应严格执行建设部建办[2005]89  号文关于《建筑工程安全防护、文明施工措施费用及使用管理规定》和国家 电网《电力安全工作规程》。</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4.7.4 未按采购人要求，派驻后台常驻人员 2-3 人协助招标方做好采集系统建设前期台区与用户关系核对、前期资料整理 与后期系统流程录入、营销系统数据核对及竣工资料整理与编制等相关配合工作的按扣罚一年度服务经费的 3%。</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4.7.5 作业过程中发生的材料、设备、操作等施工质量事故和人身伤亡事故等，均由中标人负责，采购人不负任何责任。合 同履行期间中标人须依法办理好施工人员人身意外伤亡保险。</w:t>
      </w:r>
    </w:p>
    <w:p>
      <w:pPr>
        <w:spacing w:line="41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4.8 甲供材料清单：采集终端、智能电能表、电能计量箱、外置采集箱、布电线、低压电力电缆、低压开关、漏电保护器 等。</w:t>
      </w:r>
    </w:p>
    <w:p>
      <w:pPr>
        <w:pStyle w:val="25"/>
        <w:snapToGrid w:val="0"/>
        <w:spacing w:beforeLines="0" w:afterLines="0" w:line="460" w:lineRule="exact"/>
        <w:ind w:firstLine="330" w:firstLineChars="150"/>
        <w:rPr>
          <w:rFonts w:hint="default" w:ascii="Arial" w:hAnsi="Arial" w:cs="Arial"/>
          <w:color w:val="auto"/>
          <w:sz w:val="22"/>
          <w:szCs w:val="22"/>
          <w:highlight w:val="none"/>
        </w:rPr>
      </w:pPr>
      <w:r>
        <w:rPr>
          <w:rFonts w:ascii="Arial" w:hAnsi="Arial" w:cs="Arial"/>
          <w:color w:val="auto"/>
          <w:sz w:val="22"/>
          <w:szCs w:val="22"/>
          <w:highlight w:val="none"/>
        </w:rPr>
        <w:t>5、乙方应按采购文件规定的时间向甲方提供服务有关技术资料。</w:t>
      </w:r>
    </w:p>
    <w:p>
      <w:pPr>
        <w:pStyle w:val="25"/>
        <w:snapToGrid w:val="0"/>
        <w:spacing w:beforeLines="0" w:afterLines="0" w:line="460" w:lineRule="exact"/>
        <w:ind w:firstLine="330" w:firstLineChars="150"/>
        <w:rPr>
          <w:rFonts w:hint="default" w:ascii="Arial" w:hAnsi="Arial" w:cs="Arial"/>
          <w:color w:val="auto"/>
          <w:sz w:val="22"/>
          <w:szCs w:val="22"/>
          <w:highlight w:val="none"/>
        </w:rPr>
      </w:pPr>
      <w:r>
        <w:rPr>
          <w:rFonts w:ascii="Arial" w:hAnsi="Arial" w:cs="Arial"/>
          <w:color w:val="auto"/>
          <w:sz w:val="22"/>
          <w:szCs w:val="22"/>
          <w:highlight w:val="none"/>
        </w:rPr>
        <w:t>6、在执行合同过程中发现任何漏项和短缺，在合同或附件清单并未列入，但该部分漏项或短缺是满足合同服务性能所必须的，则均应由乙方负责免费将所漏项或短缺的技术服务在最短的合理时间内补齐。</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五、知识产权</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乙方应保证提供服务过程中不会侵犯任何第三方的知识产权和其他权益。如因此发生任何针对甲方的争议、索赔、诉讼等，产生的一切法律责任与费用均由乙方承担。</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六、履约保证金</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1、在合同签订前，乙方应向甲方支付</w:t>
      </w:r>
      <w:r>
        <w:rPr>
          <w:rFonts w:ascii="Arial" w:hAnsi="Arial" w:cs="Arial"/>
          <w:b/>
          <w:bCs/>
          <w:color w:val="auto"/>
          <w:sz w:val="22"/>
          <w:szCs w:val="22"/>
          <w:highlight w:val="none"/>
        </w:rPr>
        <w:t>合同总价的</w:t>
      </w:r>
      <w:r>
        <w:rPr>
          <w:rFonts w:ascii="Arial" w:hAnsi="Arial" w:cs="Arial"/>
          <w:b/>
          <w:bCs/>
          <w:color w:val="auto"/>
          <w:sz w:val="22"/>
          <w:szCs w:val="22"/>
          <w:highlight w:val="none"/>
          <w:u w:val="single"/>
        </w:rPr>
        <w:t>5</w:t>
      </w:r>
      <w:r>
        <w:rPr>
          <w:rFonts w:ascii="Arial" w:hAnsi="Arial" w:cs="Arial"/>
          <w:b/>
          <w:bCs/>
          <w:color w:val="auto"/>
          <w:sz w:val="22"/>
          <w:szCs w:val="22"/>
          <w:highlight w:val="none"/>
        </w:rPr>
        <w:t>%的履约保证金</w:t>
      </w:r>
      <w:r>
        <w:rPr>
          <w:rFonts w:ascii="Arial" w:hAnsi="Arial" w:cs="Arial"/>
          <w:color w:val="auto"/>
          <w:sz w:val="22"/>
          <w:szCs w:val="22"/>
          <w:highlight w:val="none"/>
        </w:rPr>
        <w:t>，作为乙方认真履行合同条款的保证。</w:t>
      </w:r>
    </w:p>
    <w:p>
      <w:pPr>
        <w:pStyle w:val="25"/>
        <w:snapToGrid w:val="0"/>
        <w:spacing w:beforeLines="0" w:afterLines="0" w:line="460" w:lineRule="exact"/>
        <w:ind w:firstLine="440" w:firstLineChars="200"/>
        <w:rPr>
          <w:rFonts w:hint="default" w:ascii="Arial" w:hAnsi="Arial" w:cs="Arial"/>
          <w:b/>
          <w:color w:val="auto"/>
          <w:sz w:val="22"/>
          <w:szCs w:val="22"/>
          <w:highlight w:val="none"/>
          <w:u w:val="single"/>
        </w:rPr>
      </w:pPr>
      <w:r>
        <w:rPr>
          <w:rFonts w:ascii="Arial" w:hAnsi="Arial" w:cs="Arial"/>
          <w:color w:val="auto"/>
          <w:sz w:val="22"/>
          <w:szCs w:val="22"/>
          <w:highlight w:val="none"/>
        </w:rPr>
        <w:t>2、履约保证金的递交形式：</w:t>
      </w:r>
      <w:r>
        <w:rPr>
          <w:rFonts w:ascii="Arial" w:hAnsi="Arial" w:cs="Arial"/>
          <w:b/>
          <w:color w:val="auto"/>
          <w:sz w:val="22"/>
          <w:szCs w:val="22"/>
          <w:highlight w:val="none"/>
          <w:u w:val="single"/>
        </w:rPr>
        <w:t>银行汇票（电汇）、网银、保函、保单等非现金形式。</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3、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ascii="Arial" w:hAnsi="Arial" w:cs="Arial"/>
          <w:color w:val="auto"/>
          <w:sz w:val="22"/>
          <w:szCs w:val="22"/>
          <w:highlight w:val="none"/>
          <w:u w:val="single"/>
        </w:rPr>
        <w:t>10</w:t>
      </w:r>
      <w:r>
        <w:rPr>
          <w:rFonts w:ascii="Arial" w:hAnsi="Arial" w:cs="Arial"/>
          <w:color w:val="auto"/>
          <w:sz w:val="22"/>
          <w:szCs w:val="22"/>
          <w:highlight w:val="none"/>
        </w:rPr>
        <w:t>个工作日内由甲方无息退还给乙方。</w:t>
      </w:r>
    </w:p>
    <w:p>
      <w:pPr>
        <w:pStyle w:val="25"/>
        <w:snapToGrid w:val="0"/>
        <w:spacing w:beforeLines="0" w:afterLines="0" w:line="460" w:lineRule="exact"/>
        <w:ind w:firstLine="330" w:firstLineChars="150"/>
        <w:rPr>
          <w:rFonts w:hint="default" w:ascii="Arial" w:hAnsi="Arial" w:cs="Arial"/>
          <w:color w:val="auto"/>
          <w:sz w:val="22"/>
          <w:szCs w:val="22"/>
          <w:highlight w:val="none"/>
        </w:rPr>
      </w:pPr>
      <w:r>
        <w:rPr>
          <w:rFonts w:ascii="Arial" w:hAnsi="Arial" w:cs="Arial"/>
          <w:color w:val="auto"/>
          <w:sz w:val="22"/>
          <w:szCs w:val="22"/>
          <w:highlight w:val="none"/>
        </w:rPr>
        <w:t>七、转包或分包</w:t>
      </w:r>
    </w:p>
    <w:p>
      <w:pPr>
        <w:pStyle w:val="25"/>
        <w:snapToGrid w:val="0"/>
        <w:spacing w:beforeLines="0" w:afterLines="0" w:line="460" w:lineRule="exact"/>
        <w:ind w:firstLine="330" w:firstLineChars="150"/>
        <w:rPr>
          <w:rFonts w:hint="default" w:ascii="Arial" w:hAnsi="Arial" w:cs="Arial"/>
          <w:color w:val="auto"/>
          <w:sz w:val="22"/>
          <w:szCs w:val="22"/>
          <w:highlight w:val="none"/>
        </w:rPr>
      </w:pPr>
      <w:r>
        <w:rPr>
          <w:rFonts w:ascii="Arial" w:hAnsi="Arial" w:cs="Arial"/>
          <w:color w:val="auto"/>
          <w:sz w:val="22"/>
          <w:szCs w:val="22"/>
          <w:highlight w:val="none"/>
        </w:rPr>
        <w:t>1、本合同范围的服务，应由乙方直接供应，不得转让他人供应；</w:t>
      </w:r>
    </w:p>
    <w:p>
      <w:pPr>
        <w:pStyle w:val="25"/>
        <w:snapToGrid w:val="0"/>
        <w:spacing w:beforeLines="0" w:afterLines="0" w:line="460" w:lineRule="exact"/>
        <w:ind w:firstLine="330" w:firstLineChars="150"/>
        <w:rPr>
          <w:rFonts w:hint="default" w:ascii="Arial" w:hAnsi="Arial" w:cs="Arial"/>
          <w:color w:val="auto"/>
          <w:sz w:val="22"/>
          <w:szCs w:val="22"/>
          <w:highlight w:val="none"/>
        </w:rPr>
      </w:pPr>
      <w:r>
        <w:rPr>
          <w:rFonts w:ascii="Arial" w:hAnsi="Arial" w:cs="Arial"/>
          <w:color w:val="auto"/>
          <w:sz w:val="22"/>
          <w:szCs w:val="22"/>
          <w:highlight w:val="none"/>
        </w:rPr>
        <w:t>2、除非得到甲方的书面同意，乙方不得将本合同范围的服务全部或部分分包给他人供应；</w:t>
      </w:r>
    </w:p>
    <w:p>
      <w:pPr>
        <w:pStyle w:val="25"/>
        <w:snapToGrid w:val="0"/>
        <w:spacing w:beforeLines="0" w:afterLines="0" w:line="460" w:lineRule="exact"/>
        <w:ind w:firstLine="330" w:firstLineChars="150"/>
        <w:rPr>
          <w:rFonts w:hint="default" w:ascii="Arial" w:hAnsi="Arial" w:cs="Arial"/>
          <w:color w:val="auto"/>
          <w:sz w:val="22"/>
          <w:szCs w:val="22"/>
          <w:highlight w:val="none"/>
        </w:rPr>
      </w:pPr>
      <w:r>
        <w:rPr>
          <w:rFonts w:ascii="Arial" w:hAnsi="Arial" w:cs="Arial"/>
          <w:color w:val="auto"/>
          <w:sz w:val="22"/>
          <w:szCs w:val="22"/>
          <w:highlight w:val="none"/>
        </w:rPr>
        <w:t>3、如有转让和未经甲方同意的分包行为，甲方有权解除合同，没收履约保证金并追究乙方的违约责任。</w:t>
      </w:r>
    </w:p>
    <w:p>
      <w:pPr>
        <w:spacing w:line="46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八</w:t>
      </w:r>
      <w:r>
        <w:rPr>
          <w:rFonts w:ascii="Arial" w:hAnsi="Arial" w:cs="Arial"/>
          <w:color w:val="auto"/>
          <w:sz w:val="22"/>
          <w:szCs w:val="22"/>
          <w:highlight w:val="none"/>
        </w:rPr>
        <w:t>、服务质量保证期和服务质量保证金</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1、服务质量保证期</w:t>
      </w:r>
      <w:r>
        <w:rPr>
          <w:rFonts w:ascii="Arial" w:hAnsi="Arial" w:cs="Arial"/>
          <w:color w:val="auto"/>
          <w:sz w:val="22"/>
          <w:szCs w:val="22"/>
          <w:highlight w:val="none"/>
          <w:u w:val="single"/>
        </w:rPr>
        <w:t xml:space="preserve">   /  </w:t>
      </w:r>
      <w:r>
        <w:rPr>
          <w:rFonts w:ascii="Arial" w:hAnsi="Arial" w:cs="Arial"/>
          <w:color w:val="auto"/>
          <w:sz w:val="22"/>
          <w:szCs w:val="22"/>
          <w:highlight w:val="none"/>
        </w:rPr>
        <w:t>年。（自验收合格之日起计）</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2、服务质量保证金</w:t>
      </w:r>
      <w:r>
        <w:rPr>
          <w:rFonts w:ascii="Arial" w:hAnsi="Arial" w:cs="Arial"/>
          <w:color w:val="auto"/>
          <w:sz w:val="22"/>
          <w:szCs w:val="22"/>
          <w:highlight w:val="none"/>
          <w:u w:val="single"/>
        </w:rPr>
        <w:t xml:space="preserve">   /  </w:t>
      </w:r>
      <w:r>
        <w:rPr>
          <w:rFonts w:ascii="Arial" w:hAnsi="Arial" w:cs="Arial"/>
          <w:color w:val="auto"/>
          <w:sz w:val="22"/>
          <w:szCs w:val="22"/>
          <w:highlight w:val="none"/>
        </w:rPr>
        <w:t>元。（履约保证金在中标供应商按合同约定验收合格后自行转为质保金）</w:t>
      </w:r>
    </w:p>
    <w:p>
      <w:pPr>
        <w:spacing w:line="46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九</w:t>
      </w:r>
      <w:r>
        <w:rPr>
          <w:rFonts w:ascii="Arial" w:hAnsi="Arial" w:cs="Arial"/>
          <w:color w:val="auto"/>
          <w:sz w:val="22"/>
          <w:szCs w:val="22"/>
          <w:highlight w:val="none"/>
        </w:rPr>
        <w:t>、合同履行时间、履行方式及履行地点</w:t>
      </w:r>
    </w:p>
    <w:p>
      <w:pPr>
        <w:spacing w:line="460" w:lineRule="exact"/>
        <w:ind w:firstLine="440" w:firstLineChars="200"/>
        <w:rPr>
          <w:rFonts w:ascii="Arial" w:hAnsi="Arial" w:cs="Arial"/>
          <w:color w:val="auto"/>
          <w:kern w:val="0"/>
          <w:szCs w:val="21"/>
          <w:highlight w:val="none"/>
        </w:rPr>
      </w:pPr>
      <w:r>
        <w:rPr>
          <w:rFonts w:ascii="Arial" w:hAnsi="Arial" w:cs="Arial"/>
          <w:color w:val="auto"/>
          <w:sz w:val="22"/>
          <w:szCs w:val="22"/>
          <w:highlight w:val="none"/>
        </w:rPr>
        <w:t>1、履行时间：</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2、履行方式：</w:t>
      </w:r>
      <w:r>
        <w:rPr>
          <w:rFonts w:hint="eastAsia" w:ascii="Arial" w:hAnsi="Arial" w:cs="Arial"/>
          <w:color w:val="auto"/>
          <w:sz w:val="22"/>
          <w:szCs w:val="22"/>
          <w:highlight w:val="none"/>
        </w:rPr>
        <w:t>由乙方按合同约定进行履行</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3、履行地点：</w:t>
      </w:r>
      <w:r>
        <w:rPr>
          <w:rFonts w:hint="eastAsia" w:ascii="Arial" w:hAnsi="Arial" w:cs="Arial"/>
          <w:color w:val="auto"/>
          <w:sz w:val="22"/>
          <w:szCs w:val="22"/>
          <w:highlight w:val="none"/>
        </w:rPr>
        <w:t>采购人</w:t>
      </w:r>
      <w:r>
        <w:rPr>
          <w:rFonts w:ascii="Arial" w:hAnsi="Arial" w:cs="Arial"/>
          <w:color w:val="auto"/>
          <w:sz w:val="22"/>
          <w:szCs w:val="22"/>
          <w:highlight w:val="none"/>
        </w:rPr>
        <w:t>指定或认可地点。</w:t>
      </w:r>
    </w:p>
    <w:p>
      <w:pPr>
        <w:spacing w:line="46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十</w:t>
      </w:r>
      <w:r>
        <w:rPr>
          <w:rFonts w:ascii="Arial" w:hAnsi="Arial" w:cs="Arial"/>
          <w:color w:val="auto"/>
          <w:sz w:val="22"/>
          <w:szCs w:val="22"/>
          <w:highlight w:val="none"/>
        </w:rPr>
        <w:t>、考核验收</w:t>
      </w:r>
    </w:p>
    <w:p>
      <w:pPr>
        <w:spacing w:line="46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1、</w:t>
      </w:r>
      <w:r>
        <w:rPr>
          <w:rFonts w:ascii="Arial" w:hAnsi="Arial" w:cs="Arial"/>
          <w:color w:val="auto"/>
          <w:sz w:val="22"/>
          <w:szCs w:val="22"/>
          <w:highlight w:val="none"/>
        </w:rPr>
        <w:t>甲方有权根据项目特点对服务期内的服务实施情况进行考核，结合考核情况和服务效果进行验收，具体详见附件。</w:t>
      </w:r>
    </w:p>
    <w:p>
      <w:pPr>
        <w:spacing w:line="440" w:lineRule="exact"/>
        <w:ind w:firstLine="440" w:firstLineChars="200"/>
        <w:rPr>
          <w:rFonts w:ascii="Arial" w:hAnsi="Arial" w:cs="Arial"/>
          <w:color w:val="auto"/>
          <w:sz w:val="22"/>
          <w:szCs w:val="22"/>
          <w:highlight w:val="none"/>
        </w:rPr>
      </w:pPr>
      <w:r>
        <w:rPr>
          <w:rFonts w:hint="eastAsia" w:ascii="Arial" w:hAnsi="Arial" w:cs="Arial"/>
          <w:color w:val="auto"/>
          <w:sz w:val="22"/>
          <w:szCs w:val="22"/>
          <w:highlight w:val="none"/>
        </w:rPr>
        <w:t>2、服务质量验收标准：按</w:t>
      </w:r>
      <w:r>
        <w:rPr>
          <w:rFonts w:ascii="Arial" w:hAnsi="Arial" w:cs="Arial"/>
          <w:color w:val="auto"/>
          <w:sz w:val="22"/>
          <w:szCs w:val="22"/>
          <w:highlight w:val="none"/>
        </w:rPr>
        <w:t>国家相关标准、行业标准、地方标准或者其他标准规范</w:t>
      </w:r>
      <w:r>
        <w:rPr>
          <w:rFonts w:hint="eastAsia" w:ascii="Arial" w:hAnsi="Arial" w:cs="Arial"/>
          <w:color w:val="auto"/>
          <w:sz w:val="22"/>
          <w:szCs w:val="22"/>
          <w:highlight w:val="none"/>
        </w:rPr>
        <w:t>一次性验收合格</w:t>
      </w:r>
      <w:r>
        <w:rPr>
          <w:rFonts w:ascii="Arial" w:hAnsi="Arial" w:cs="Arial"/>
          <w:color w:val="auto"/>
          <w:sz w:val="22"/>
          <w:szCs w:val="22"/>
          <w:highlight w:val="none"/>
        </w:rPr>
        <w:t>。</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十一、款项支付</w:t>
      </w:r>
    </w:p>
    <w:p>
      <w:pPr>
        <w:widowControl/>
        <w:autoSpaceDE w:val="0"/>
        <w:autoSpaceDN w:val="0"/>
        <w:adjustRightInd w:val="0"/>
        <w:spacing w:line="460" w:lineRule="exact"/>
        <w:ind w:firstLine="440" w:firstLineChars="200"/>
        <w:jc w:val="left"/>
        <w:rPr>
          <w:rFonts w:ascii="Arial" w:hAnsi="Arial" w:cs="Arial"/>
          <w:color w:val="auto"/>
          <w:kern w:val="0"/>
          <w:sz w:val="22"/>
          <w:szCs w:val="22"/>
          <w:highlight w:val="none"/>
        </w:rPr>
      </w:pPr>
      <w:r>
        <w:rPr>
          <w:rFonts w:ascii="Arial" w:hAnsi="Arial" w:cs="Arial"/>
          <w:color w:val="auto"/>
          <w:kern w:val="0"/>
          <w:sz w:val="22"/>
          <w:szCs w:val="22"/>
          <w:highlight w:val="none"/>
        </w:rPr>
        <w:t>1、甲方按以下第</w:t>
      </w:r>
      <w:r>
        <w:rPr>
          <w:rFonts w:ascii="Arial" w:hAnsi="Arial" w:cs="Arial"/>
          <w:b/>
          <w:bCs/>
          <w:color w:val="auto"/>
          <w:kern w:val="0"/>
          <w:sz w:val="22"/>
          <w:szCs w:val="22"/>
          <w:highlight w:val="none"/>
          <w:u w:val="single"/>
        </w:rPr>
        <w:t>（2）</w:t>
      </w:r>
      <w:r>
        <w:rPr>
          <w:rFonts w:ascii="Arial" w:hAnsi="Arial" w:cs="Arial"/>
          <w:color w:val="auto"/>
          <w:kern w:val="0"/>
          <w:sz w:val="22"/>
          <w:szCs w:val="22"/>
          <w:highlight w:val="none"/>
        </w:rPr>
        <w:t>种方式支付乙方合同价款。</w:t>
      </w:r>
    </w:p>
    <w:p>
      <w:pPr>
        <w:widowControl/>
        <w:autoSpaceDE w:val="0"/>
        <w:autoSpaceDN w:val="0"/>
        <w:adjustRightInd w:val="0"/>
        <w:spacing w:line="460" w:lineRule="exact"/>
        <w:ind w:firstLine="440" w:firstLineChars="200"/>
        <w:jc w:val="left"/>
        <w:rPr>
          <w:rFonts w:ascii="Arial" w:hAnsi="Arial" w:cs="Arial"/>
          <w:color w:val="auto"/>
          <w:kern w:val="0"/>
          <w:sz w:val="22"/>
          <w:szCs w:val="22"/>
          <w:highlight w:val="none"/>
        </w:rPr>
      </w:pPr>
      <w:r>
        <w:rPr>
          <w:rFonts w:ascii="Arial" w:hAnsi="Arial" w:cs="Arial"/>
          <w:color w:val="auto"/>
          <w:kern w:val="0"/>
          <w:sz w:val="22"/>
          <w:szCs w:val="22"/>
          <w:highlight w:val="none"/>
        </w:rPr>
        <w:t xml:space="preserve">（1）一次性支付：本合同项下的全部服务提供完毕并经最终验收合格后 </w:t>
      </w:r>
      <w:r>
        <w:rPr>
          <w:rFonts w:ascii="Arial" w:hAnsi="Arial" w:cs="Arial"/>
          <w:color w:val="auto"/>
          <w:sz w:val="22"/>
          <w:szCs w:val="22"/>
          <w:highlight w:val="none"/>
        </w:rPr>
        <w:drawing>
          <wp:inline distT="0" distB="0" distL="0" distR="0">
            <wp:extent cx="247650" cy="19050"/>
            <wp:effectExtent l="19050" t="0" r="0" b="0"/>
            <wp:docPr id="1" name="图片 1" descr="wps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297"/>
                    <pic:cNvPicPr>
                      <a:picLocks noChangeAspect="1" noChangeArrowheads="1"/>
                    </pic:cNvPicPr>
                  </pic:nvPicPr>
                  <pic:blipFill>
                    <a:blip r:embed="rId9"/>
                    <a:srcRect/>
                    <a:stretch>
                      <a:fillRect/>
                    </a:stretch>
                  </pic:blipFill>
                  <pic:spPr>
                    <a:xfrm>
                      <a:off x="0" y="0"/>
                      <a:ext cx="247650" cy="19050"/>
                    </a:xfrm>
                    <a:prstGeom prst="rect">
                      <a:avLst/>
                    </a:prstGeom>
                    <a:noFill/>
                    <a:ln w="9525">
                      <a:noFill/>
                      <a:miter lim="800000"/>
                      <a:headEnd/>
                      <a:tailEnd/>
                    </a:ln>
                  </pic:spPr>
                </pic:pic>
              </a:graphicData>
            </a:graphic>
          </wp:inline>
        </w:drawing>
      </w:r>
      <w:r>
        <w:rPr>
          <w:rFonts w:ascii="Arial" w:hAnsi="Arial" w:cs="Arial"/>
          <w:color w:val="auto"/>
          <w:kern w:val="0"/>
          <w:sz w:val="22"/>
          <w:szCs w:val="22"/>
          <w:highlight w:val="none"/>
        </w:rPr>
        <w:t>个工作日内,甲方向乙方支付全部合同价款 。</w:t>
      </w:r>
    </w:p>
    <w:p>
      <w:pPr>
        <w:widowControl/>
        <w:autoSpaceDE w:val="0"/>
        <w:autoSpaceDN w:val="0"/>
        <w:adjustRightInd w:val="0"/>
        <w:spacing w:line="460" w:lineRule="exact"/>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（2）分期支付：</w:t>
      </w:r>
    </w:p>
    <w:p>
      <w:pPr>
        <w:widowControl/>
        <w:autoSpaceDE w:val="0"/>
        <w:autoSpaceDN w:val="0"/>
        <w:adjustRightInd w:val="0"/>
        <w:spacing w:line="460" w:lineRule="exact"/>
        <w:ind w:firstLine="442" w:firstLineChars="200"/>
        <w:jc w:val="left"/>
        <w:rPr>
          <w:rFonts w:ascii="Arial" w:hAnsi="Arial" w:cs="Arial"/>
          <w:b/>
          <w:color w:val="auto"/>
          <w:sz w:val="22"/>
          <w:szCs w:val="22"/>
          <w:highlight w:val="none"/>
          <w:u w:val="single"/>
        </w:rPr>
      </w:pPr>
      <w:r>
        <w:rPr>
          <w:rFonts w:hint="eastAsia" w:ascii="Arial" w:hAnsi="Arial" w:cs="Arial"/>
          <w:b/>
          <w:color w:val="auto"/>
          <w:sz w:val="22"/>
          <w:szCs w:val="22"/>
          <w:highlight w:val="none"/>
          <w:u w:val="single"/>
        </w:rPr>
        <w:t>5、费用的支付：</w:t>
      </w:r>
    </w:p>
    <w:p>
      <w:pPr>
        <w:widowControl/>
        <w:autoSpaceDE w:val="0"/>
        <w:autoSpaceDN w:val="0"/>
        <w:adjustRightInd w:val="0"/>
        <w:spacing w:line="460" w:lineRule="exact"/>
        <w:ind w:firstLine="442" w:firstLineChars="200"/>
        <w:jc w:val="left"/>
        <w:rPr>
          <w:rFonts w:hint="eastAsia" w:ascii="Arial" w:hAnsi="Arial" w:cs="Arial"/>
          <w:b/>
          <w:color w:val="auto"/>
          <w:sz w:val="22"/>
          <w:szCs w:val="22"/>
          <w:highlight w:val="none"/>
          <w:u w:val="single"/>
        </w:rPr>
      </w:pPr>
      <w:r>
        <w:rPr>
          <w:rFonts w:hint="eastAsia" w:ascii="Arial" w:hAnsi="Arial" w:cs="Arial"/>
          <w:b/>
          <w:color w:val="auto"/>
          <w:sz w:val="22"/>
          <w:szCs w:val="22"/>
          <w:highlight w:val="none"/>
          <w:u w:val="single"/>
          <w:lang w:eastAsia="zh-CN"/>
        </w:rPr>
        <w:t>（</w:t>
      </w:r>
      <w:r>
        <w:rPr>
          <w:rFonts w:hint="eastAsia" w:ascii="Arial" w:hAnsi="Arial" w:cs="Arial"/>
          <w:b/>
          <w:color w:val="auto"/>
          <w:sz w:val="22"/>
          <w:szCs w:val="22"/>
          <w:highlight w:val="none"/>
          <w:u w:val="single"/>
          <w:lang w:val="en-US" w:eastAsia="zh-CN"/>
        </w:rPr>
        <w:t>1</w:t>
      </w:r>
      <w:r>
        <w:rPr>
          <w:rFonts w:hint="eastAsia" w:ascii="Arial" w:hAnsi="Arial" w:cs="Arial"/>
          <w:b/>
          <w:color w:val="auto"/>
          <w:sz w:val="22"/>
          <w:szCs w:val="22"/>
          <w:highlight w:val="none"/>
          <w:u w:val="single"/>
          <w:lang w:eastAsia="zh-CN"/>
        </w:rPr>
        <w:t>）</w:t>
      </w:r>
      <w:r>
        <w:rPr>
          <w:rFonts w:hint="eastAsia" w:ascii="Arial" w:hAnsi="Arial" w:cs="Arial"/>
          <w:b/>
          <w:color w:val="auto"/>
          <w:sz w:val="22"/>
          <w:szCs w:val="22"/>
          <w:highlight w:val="none"/>
          <w:u w:val="single"/>
        </w:rPr>
        <w:t>根据考核情况，每半年支付一次，每半年支付本半年付款的 90%；考核扣除的金额不再支付。</w:t>
      </w:r>
    </w:p>
    <w:p>
      <w:pPr>
        <w:widowControl/>
        <w:autoSpaceDE w:val="0"/>
        <w:autoSpaceDN w:val="0"/>
        <w:adjustRightInd w:val="0"/>
        <w:spacing w:line="460" w:lineRule="exact"/>
        <w:ind w:firstLine="442" w:firstLineChars="200"/>
        <w:jc w:val="left"/>
        <w:rPr>
          <w:rFonts w:ascii="Arial" w:hAnsi="Arial" w:cs="Arial"/>
          <w:b/>
          <w:color w:val="auto"/>
          <w:sz w:val="22"/>
          <w:szCs w:val="22"/>
          <w:highlight w:val="none"/>
          <w:u w:val="single"/>
        </w:rPr>
      </w:pPr>
      <w:r>
        <w:rPr>
          <w:rFonts w:hint="eastAsia" w:ascii="Arial" w:hAnsi="Arial" w:cs="Arial"/>
          <w:b/>
          <w:color w:val="auto"/>
          <w:sz w:val="22"/>
          <w:szCs w:val="22"/>
          <w:highlight w:val="none"/>
          <w:u w:val="single"/>
        </w:rPr>
        <w:t>（2）合同服务期满后根据年度考核情况结算支付余款。</w:t>
      </w:r>
    </w:p>
    <w:p>
      <w:pPr>
        <w:widowControl/>
        <w:autoSpaceDE w:val="0"/>
        <w:autoSpaceDN w:val="0"/>
        <w:adjustRightInd w:val="0"/>
        <w:spacing w:line="460" w:lineRule="exact"/>
        <w:ind w:firstLine="440" w:firstLineChars="200"/>
        <w:jc w:val="left"/>
        <w:rPr>
          <w:rFonts w:ascii="Arial" w:hAnsi="Arial" w:cs="Arial"/>
          <w:b/>
          <w:bCs/>
          <w:color w:val="auto"/>
          <w:kern w:val="0"/>
          <w:sz w:val="22"/>
          <w:szCs w:val="22"/>
          <w:highlight w:val="none"/>
        </w:rPr>
      </w:pPr>
      <w:r>
        <w:rPr>
          <w:rFonts w:ascii="Arial" w:hAnsi="Arial" w:cs="Arial"/>
          <w:color w:val="auto"/>
          <w:kern w:val="0"/>
          <w:sz w:val="22"/>
          <w:szCs w:val="22"/>
          <w:highlight w:val="none"/>
        </w:rPr>
        <w:t xml:space="preserve">2、甲方付款前,乙方应向甲方开具等额有效的增值税发票,甲方未收到发票的,有权不予支付相应款项直至乙方提供合格发票,并不承担延迟付款责任。发票认证通过是付款的必要前提之一。 </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十二、税费</w:t>
      </w:r>
    </w:p>
    <w:p>
      <w:pPr>
        <w:pStyle w:val="25"/>
        <w:snapToGrid w:val="0"/>
        <w:spacing w:beforeLines="0" w:afterLines="0" w:line="460" w:lineRule="exact"/>
        <w:ind w:firstLine="440" w:firstLineChars="200"/>
        <w:rPr>
          <w:rFonts w:hint="default" w:ascii="Arial" w:hAnsi="Arial" w:cs="Arial"/>
          <w:color w:val="auto"/>
          <w:sz w:val="22"/>
          <w:szCs w:val="22"/>
          <w:highlight w:val="none"/>
        </w:rPr>
      </w:pPr>
      <w:r>
        <w:rPr>
          <w:rFonts w:ascii="Arial" w:hAnsi="Arial" w:cs="Arial"/>
          <w:color w:val="auto"/>
          <w:sz w:val="22"/>
          <w:szCs w:val="22"/>
          <w:highlight w:val="none"/>
        </w:rPr>
        <w:t>本合同执行中相关的一切税费均由乙方负担。</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十</w:t>
      </w:r>
      <w:r>
        <w:rPr>
          <w:rFonts w:hint="eastAsia" w:ascii="Arial" w:hAnsi="Arial" w:cs="Arial"/>
          <w:color w:val="auto"/>
          <w:sz w:val="22"/>
          <w:szCs w:val="22"/>
          <w:highlight w:val="none"/>
        </w:rPr>
        <w:t>三</w:t>
      </w:r>
      <w:r>
        <w:rPr>
          <w:rFonts w:ascii="Arial" w:hAnsi="Arial" w:cs="Arial"/>
          <w:color w:val="auto"/>
          <w:sz w:val="22"/>
          <w:szCs w:val="22"/>
          <w:highlight w:val="none"/>
        </w:rPr>
        <w:t>、质量保证及后续服务</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1、乙方应按采购文件规定向甲方提供服务。</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2、乙方提供的服务成果在服务质量保证期内发生故障，乙方应负责免费提供后续服务。对达不到要求者，根据实际情况，经双方协商，可按以下办法处理：</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⑴重做：由乙方承担所发生的全部费用。</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⑵贬值处理：由甲乙双方合议定价。</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⑶解除合同。</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3、如在使用过程中发生问题，乙方在接到甲方通知后在</w:t>
      </w:r>
      <w:r>
        <w:rPr>
          <w:rFonts w:hint="eastAsia" w:ascii="Arial" w:hAnsi="Arial" w:cs="Arial"/>
          <w:color w:val="auto"/>
          <w:sz w:val="22"/>
          <w:szCs w:val="22"/>
          <w:highlight w:val="none"/>
          <w:u w:val="single"/>
        </w:rPr>
        <w:t>1</w:t>
      </w:r>
      <w:r>
        <w:rPr>
          <w:rFonts w:ascii="Arial" w:hAnsi="Arial" w:cs="Arial"/>
          <w:color w:val="auto"/>
          <w:sz w:val="22"/>
          <w:szCs w:val="22"/>
          <w:highlight w:val="none"/>
        </w:rPr>
        <w:t>小时内到达甲方现场。</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4、在服务质量保证期内，乙方应对出现的质量及安全问题负责处理解决并承担</w:t>
      </w:r>
    </w:p>
    <w:p>
      <w:pPr>
        <w:spacing w:line="460" w:lineRule="exact"/>
        <w:rPr>
          <w:rFonts w:ascii="Arial" w:hAnsi="Arial" w:cs="Arial"/>
          <w:color w:val="auto"/>
          <w:sz w:val="22"/>
          <w:szCs w:val="22"/>
          <w:highlight w:val="none"/>
        </w:rPr>
      </w:pPr>
      <w:r>
        <w:rPr>
          <w:rFonts w:ascii="Arial" w:hAnsi="Arial" w:cs="Arial"/>
          <w:color w:val="auto"/>
          <w:sz w:val="22"/>
          <w:szCs w:val="22"/>
          <w:highlight w:val="none"/>
        </w:rPr>
        <w:t>一切费用。</w:t>
      </w:r>
    </w:p>
    <w:p>
      <w:pPr>
        <w:widowControl/>
        <w:autoSpaceDE w:val="0"/>
        <w:autoSpaceDN w:val="0"/>
        <w:adjustRightInd w:val="0"/>
        <w:spacing w:line="460" w:lineRule="exact"/>
        <w:ind w:firstLine="440" w:firstLineChars="200"/>
        <w:jc w:val="left"/>
        <w:rPr>
          <w:rFonts w:ascii="Arial" w:hAnsi="Arial" w:cs="Arial"/>
          <w:color w:val="auto"/>
          <w:kern w:val="0"/>
          <w:sz w:val="22"/>
          <w:szCs w:val="22"/>
          <w:highlight w:val="none"/>
        </w:rPr>
      </w:pPr>
      <w:r>
        <w:rPr>
          <w:rFonts w:ascii="Arial" w:hAnsi="Arial" w:cs="Arial"/>
          <w:color w:val="auto"/>
          <w:kern w:val="0"/>
          <w:sz w:val="22"/>
          <w:szCs w:val="22"/>
          <w:highlight w:val="none"/>
        </w:rPr>
        <w:t>十</w:t>
      </w:r>
      <w:r>
        <w:rPr>
          <w:rFonts w:hint="eastAsia" w:ascii="Arial" w:hAnsi="Arial" w:cs="Arial"/>
          <w:color w:val="auto"/>
          <w:kern w:val="0"/>
          <w:sz w:val="22"/>
          <w:szCs w:val="22"/>
          <w:highlight w:val="none"/>
        </w:rPr>
        <w:t>四</w:t>
      </w:r>
      <w:r>
        <w:rPr>
          <w:rFonts w:ascii="Arial" w:hAnsi="Arial" w:cs="Arial"/>
          <w:color w:val="auto"/>
          <w:kern w:val="0"/>
          <w:sz w:val="22"/>
          <w:szCs w:val="22"/>
          <w:highlight w:val="none"/>
        </w:rPr>
        <w:t xml:space="preserve">、保密条款 </w:t>
      </w:r>
    </w:p>
    <w:p>
      <w:pPr>
        <w:widowControl/>
        <w:autoSpaceDE w:val="0"/>
        <w:autoSpaceDN w:val="0"/>
        <w:adjustRightInd w:val="0"/>
        <w:spacing w:line="460" w:lineRule="exact"/>
        <w:ind w:firstLine="440" w:firstLineChars="200"/>
        <w:jc w:val="left"/>
        <w:rPr>
          <w:rFonts w:ascii="Arial" w:hAnsi="Arial" w:cs="Arial"/>
          <w:color w:val="auto"/>
          <w:kern w:val="0"/>
          <w:sz w:val="22"/>
          <w:szCs w:val="22"/>
          <w:highlight w:val="none"/>
        </w:rPr>
      </w:pPr>
      <w:r>
        <w:rPr>
          <w:rFonts w:ascii="Arial" w:hAnsi="Arial" w:cs="Arial"/>
          <w:color w:val="auto"/>
          <w:kern w:val="0"/>
          <w:sz w:val="22"/>
          <w:szCs w:val="22"/>
          <w:highlight w:val="none"/>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w:t>
      </w:r>
    </w:p>
    <w:p>
      <w:pPr>
        <w:widowControl/>
        <w:autoSpaceDE w:val="0"/>
        <w:autoSpaceDN w:val="0"/>
        <w:adjustRightInd w:val="0"/>
        <w:spacing w:line="460" w:lineRule="exact"/>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十</w:t>
      </w:r>
      <w:r>
        <w:rPr>
          <w:rFonts w:hint="eastAsia" w:ascii="Arial" w:hAnsi="Arial" w:cs="Arial"/>
          <w:color w:val="auto"/>
          <w:sz w:val="22"/>
          <w:szCs w:val="22"/>
          <w:highlight w:val="none"/>
        </w:rPr>
        <w:t>五</w:t>
      </w:r>
      <w:r>
        <w:rPr>
          <w:rFonts w:ascii="Arial" w:hAnsi="Arial" w:cs="Arial"/>
          <w:color w:val="auto"/>
          <w:sz w:val="22"/>
          <w:szCs w:val="22"/>
          <w:highlight w:val="none"/>
        </w:rPr>
        <w:t>、违约责任</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1、甲方无正当理由拒收接受服务的，甲方向乙方偿付合同款项百分之五作为违约金。</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2、甲方无故逾期验收和办理款项支付手续的,甲方应按逾期付款总额每日万分之五向乙方支付违约金。</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十</w:t>
      </w:r>
      <w:r>
        <w:rPr>
          <w:rFonts w:hint="eastAsia" w:ascii="Arial" w:hAnsi="Arial" w:cs="Arial"/>
          <w:color w:val="auto"/>
          <w:sz w:val="22"/>
          <w:szCs w:val="22"/>
          <w:highlight w:val="none"/>
        </w:rPr>
        <w:t>六</w:t>
      </w:r>
      <w:r>
        <w:rPr>
          <w:rFonts w:ascii="Arial" w:hAnsi="Arial" w:cs="Arial"/>
          <w:color w:val="auto"/>
          <w:sz w:val="22"/>
          <w:szCs w:val="22"/>
          <w:highlight w:val="none"/>
        </w:rPr>
        <w:t>、不可抗力事件处理</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1、在合同有效期内，任何一方因不可抗力事件导致不能履行合同，则合同履行期可延长，其延长期与不可抗力影响期相同。</w:t>
      </w:r>
    </w:p>
    <w:p>
      <w:pPr>
        <w:widowControl/>
        <w:autoSpaceDE w:val="0"/>
        <w:autoSpaceDN w:val="0"/>
        <w:adjustRightInd w:val="0"/>
        <w:spacing w:line="460" w:lineRule="exact"/>
        <w:ind w:firstLine="440" w:firstLineChars="200"/>
        <w:jc w:val="left"/>
        <w:rPr>
          <w:rFonts w:ascii="Arial" w:hAnsi="Arial" w:cs="Arial"/>
          <w:color w:val="auto"/>
          <w:kern w:val="0"/>
          <w:sz w:val="22"/>
          <w:szCs w:val="22"/>
          <w:highlight w:val="none"/>
        </w:rPr>
      </w:pPr>
      <w:r>
        <w:rPr>
          <w:rFonts w:ascii="Arial" w:hAnsi="Arial" w:cs="Arial"/>
          <w:color w:val="auto"/>
          <w:kern w:val="0"/>
          <w:sz w:val="22"/>
          <w:szCs w:val="22"/>
          <w:highlight w:val="none"/>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pPr>
        <w:widowControl/>
        <w:autoSpaceDE w:val="0"/>
        <w:autoSpaceDN w:val="0"/>
        <w:adjustRightInd w:val="0"/>
        <w:spacing w:line="460" w:lineRule="exact"/>
        <w:ind w:firstLine="440" w:firstLineChars="200"/>
        <w:jc w:val="left"/>
        <w:rPr>
          <w:rFonts w:ascii="Arial" w:hAnsi="Arial" w:cs="Arial"/>
          <w:color w:val="auto"/>
          <w:sz w:val="22"/>
          <w:szCs w:val="22"/>
          <w:highlight w:val="none"/>
        </w:rPr>
      </w:pPr>
      <w:r>
        <w:rPr>
          <w:rFonts w:ascii="Arial" w:hAnsi="Arial" w:cs="Arial"/>
          <w:color w:val="auto"/>
          <w:kern w:val="0"/>
          <w:sz w:val="22"/>
          <w:szCs w:val="22"/>
          <w:highlight w:val="none"/>
        </w:rPr>
        <w:t>3、</w:t>
      </w:r>
      <w:r>
        <w:rPr>
          <w:rFonts w:ascii="Arial" w:hAnsi="Arial" w:cs="Arial"/>
          <w:color w:val="auto"/>
          <w:sz w:val="22"/>
          <w:szCs w:val="22"/>
          <w:highlight w:val="none"/>
        </w:rPr>
        <w:t>不可抗力事件发生后，应立即通知对方，并寄送有关权威机构出具的证明。</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4、不可抗力事件延续120天以上，双方应通过友好协商，确定是否继续履行合同。</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十</w:t>
      </w:r>
      <w:r>
        <w:rPr>
          <w:rFonts w:hint="eastAsia" w:ascii="Arial" w:hAnsi="Arial" w:cs="Arial"/>
          <w:color w:val="auto"/>
          <w:sz w:val="22"/>
          <w:szCs w:val="22"/>
          <w:highlight w:val="none"/>
        </w:rPr>
        <w:t>七</w:t>
      </w:r>
      <w:r>
        <w:rPr>
          <w:rFonts w:ascii="Arial" w:hAnsi="Arial" w:cs="Arial"/>
          <w:color w:val="auto"/>
          <w:sz w:val="22"/>
          <w:szCs w:val="22"/>
          <w:highlight w:val="none"/>
        </w:rPr>
        <w:t>、法律适用及争议解决</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1、本合同订立、解释、履行及争议解决，均适用中华人民共和国法律。</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 xml:space="preserve">2、双方在执行合同中所发生的一切争议，应通过协商解决。如协商不成，可向甲方所在地法院起诉。 </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十</w:t>
      </w:r>
      <w:r>
        <w:rPr>
          <w:rFonts w:hint="eastAsia" w:ascii="Arial" w:hAnsi="Arial" w:cs="Arial"/>
          <w:color w:val="auto"/>
          <w:sz w:val="22"/>
          <w:szCs w:val="22"/>
          <w:highlight w:val="none"/>
        </w:rPr>
        <w:t>八</w:t>
      </w:r>
      <w:r>
        <w:rPr>
          <w:rFonts w:ascii="Arial" w:hAnsi="Arial" w:cs="Arial"/>
          <w:color w:val="auto"/>
          <w:sz w:val="22"/>
          <w:szCs w:val="22"/>
          <w:highlight w:val="none"/>
        </w:rPr>
        <w:t>、合同生效及其它</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1、合同经双方法定代表人或授权代表签字并加盖单位公章后生效。</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2、合同执行中涉及采购资金和采购内容修改或补充的，须经财政部门审批，并签书面补充协议报政府采购监督管理部门备案，方可作为主合同不可分割的一部分。</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3、本合同未尽事宜，遵照《政府采购法》、《合同法》有关条文执行。</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4、本合同正本一式份，具有同等法律效力，甲乙双方各执份；备案份，(用途)。</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5、本合同附件：采购人的招标采购文件。</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 xml:space="preserve">甲方：                                   乙方： </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 xml:space="preserve">地址：                                   地址： </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法定（授权）代表人：                     法定（授权）代表人：</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签字日期：      年  月  日               签字日期：      年  月  日</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 xml:space="preserve">电    话：                               电    话： </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 xml:space="preserve">开户银行：                               开户银行：       </w:t>
      </w:r>
    </w:p>
    <w:p>
      <w:pPr>
        <w:pStyle w:val="19"/>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Arial" w:hAnsi="Arial" w:cs="Arial"/>
          <w:color w:val="auto"/>
          <w:sz w:val="22"/>
          <w:szCs w:val="22"/>
          <w:highlight w:val="none"/>
        </w:rPr>
      </w:pPr>
      <w:r>
        <w:rPr>
          <w:rFonts w:ascii="Arial" w:hAnsi="Arial" w:cs="Arial"/>
          <w:color w:val="auto"/>
          <w:sz w:val="22"/>
          <w:szCs w:val="22"/>
          <w:highlight w:val="none"/>
        </w:rPr>
        <w:t>账    号：                               账    号：</w:t>
      </w:r>
    </w:p>
    <w:p>
      <w:pPr>
        <w:pStyle w:val="2"/>
        <w:pageBreakBefore/>
        <w:adjustRightInd w:val="0"/>
        <w:spacing w:line="300" w:lineRule="auto"/>
        <w:ind w:left="0" w:firstLine="2642" w:firstLineChars="940"/>
        <w:textAlignment w:val="baseline"/>
        <w:rPr>
          <w:rFonts w:ascii="Arial" w:hAnsi="Arial" w:cs="Arial"/>
          <w:bCs w:val="0"/>
          <w:color w:val="auto"/>
          <w:kern w:val="2"/>
          <w:sz w:val="28"/>
          <w:szCs w:val="28"/>
          <w:highlight w:val="none"/>
        </w:rPr>
      </w:pPr>
      <w:bookmarkStart w:id="112" w:name="_Toc436330236"/>
      <w:r>
        <w:rPr>
          <w:rFonts w:ascii="Arial" w:hAnsi="Arial" w:cs="Arial"/>
          <w:bCs w:val="0"/>
          <w:color w:val="auto"/>
          <w:kern w:val="2"/>
          <w:sz w:val="28"/>
          <w:szCs w:val="28"/>
          <w:highlight w:val="none"/>
        </w:rPr>
        <w:t>第六章　投标文件格式</w:t>
      </w:r>
      <w:bookmarkEnd w:id="112"/>
    </w:p>
    <w:p>
      <w:pPr>
        <w:spacing w:line="360" w:lineRule="auto"/>
        <w:rPr>
          <w:rFonts w:ascii="Arial" w:hAnsi="Arial" w:cs="Arial"/>
          <w:b/>
          <w:bCs/>
          <w:color w:val="auto"/>
          <w:szCs w:val="21"/>
          <w:highlight w:val="none"/>
        </w:rPr>
      </w:pPr>
      <w:r>
        <w:rPr>
          <w:rFonts w:ascii="Arial" w:hAnsi="Arial" w:cs="Arial"/>
          <w:b/>
          <w:color w:val="auto"/>
          <w:szCs w:val="21"/>
          <w:highlight w:val="none"/>
        </w:rPr>
        <w:t>投标文件的外包装封面格式：</w:t>
      </w: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 w:val="44"/>
          <w:szCs w:val="44"/>
          <w:highlight w:val="none"/>
        </w:rPr>
      </w:pPr>
      <w:r>
        <w:rPr>
          <w:rFonts w:ascii="Arial" w:hAnsi="Arial" w:cs="Arial"/>
          <w:b/>
          <w:color w:val="auto"/>
          <w:sz w:val="44"/>
          <w:szCs w:val="44"/>
          <w:highlight w:val="none"/>
        </w:rPr>
        <w:t>投 标 文 件</w:t>
      </w:r>
    </w:p>
    <w:p>
      <w:pPr>
        <w:spacing w:line="360" w:lineRule="auto"/>
        <w:ind w:firstLine="945" w:firstLineChars="450"/>
        <w:rPr>
          <w:rFonts w:ascii="Arial" w:hAnsi="Arial" w:cs="Arial"/>
          <w:bCs/>
          <w:color w:val="auto"/>
          <w:szCs w:val="21"/>
          <w:highlight w:val="none"/>
        </w:rPr>
      </w:pPr>
    </w:p>
    <w:p>
      <w:pPr>
        <w:spacing w:line="480" w:lineRule="auto"/>
        <w:ind w:firstLine="945" w:firstLineChars="450"/>
        <w:rPr>
          <w:rFonts w:ascii="Arial" w:hAnsi="Arial" w:cs="Arial"/>
          <w:bCs/>
          <w:color w:val="auto"/>
          <w:szCs w:val="21"/>
          <w:highlight w:val="none"/>
        </w:rPr>
      </w:pP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项目编号：</w:t>
      </w:r>
    </w:p>
    <w:p>
      <w:pPr>
        <w:spacing w:line="480" w:lineRule="auto"/>
        <w:ind w:firstLine="480" w:firstLineChars="200"/>
        <w:rPr>
          <w:rFonts w:ascii="Arial" w:hAnsi="Arial" w:cs="Arial"/>
          <w:bCs/>
          <w:color w:val="auto"/>
          <w:sz w:val="24"/>
          <w:highlight w:val="none"/>
        </w:rPr>
      </w:pPr>
      <w:r>
        <w:rPr>
          <w:rFonts w:ascii="Arial" w:hAnsi="Arial" w:cs="Arial"/>
          <w:bCs/>
          <w:color w:val="auto"/>
          <w:sz w:val="24"/>
          <w:highlight w:val="none"/>
        </w:rPr>
        <w:t xml:space="preserve">     项目名称：</w:t>
      </w:r>
    </w:p>
    <w:p>
      <w:pPr>
        <w:spacing w:line="480" w:lineRule="auto"/>
        <w:ind w:firstLine="480" w:firstLineChars="200"/>
        <w:rPr>
          <w:rFonts w:ascii="Arial" w:hAnsi="Arial" w:cs="Arial"/>
          <w:bCs/>
          <w:color w:val="auto"/>
          <w:sz w:val="24"/>
          <w:highlight w:val="none"/>
        </w:rPr>
      </w:pPr>
      <w:r>
        <w:rPr>
          <w:rFonts w:ascii="Arial" w:hAnsi="Arial" w:cs="Arial"/>
          <w:bCs/>
          <w:color w:val="auto"/>
          <w:sz w:val="24"/>
          <w:highlight w:val="none"/>
        </w:rPr>
        <w:t xml:space="preserve">     投标文件名称：资格证明文件/报价文件/技术商务文件</w:t>
      </w: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投标人名称（加盖公章）：</w:t>
      </w: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法定代表人或授权代表（签字或盖章）</w:t>
      </w: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投标人地址：</w:t>
      </w:r>
    </w:p>
    <w:p>
      <w:pPr>
        <w:spacing w:line="480" w:lineRule="auto"/>
        <w:jc w:val="center"/>
        <w:rPr>
          <w:rFonts w:ascii="Arial" w:hAnsi="Arial" w:cs="Arial"/>
          <w:bCs/>
          <w:color w:val="auto"/>
          <w:sz w:val="24"/>
          <w:highlight w:val="none"/>
        </w:rPr>
      </w:pPr>
    </w:p>
    <w:p>
      <w:pPr>
        <w:spacing w:line="480" w:lineRule="auto"/>
        <w:jc w:val="center"/>
        <w:rPr>
          <w:rFonts w:ascii="Arial" w:hAnsi="Arial" w:cs="Arial"/>
          <w:bCs/>
          <w:color w:val="auto"/>
          <w:sz w:val="24"/>
          <w:highlight w:val="none"/>
        </w:rPr>
      </w:pPr>
      <w:r>
        <w:rPr>
          <w:rFonts w:ascii="Arial" w:hAnsi="Arial" w:cs="Arial"/>
          <w:bCs/>
          <w:color w:val="auto"/>
          <w:sz w:val="24"/>
          <w:highlight w:val="none"/>
        </w:rPr>
        <w:t xml:space="preserve">                        年  月  日</w:t>
      </w: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jc w:val="center"/>
        <w:rPr>
          <w:rFonts w:ascii="Arial" w:hAnsi="Arial" w:cs="Arial"/>
          <w:bCs/>
          <w:color w:val="auto"/>
          <w:szCs w:val="21"/>
          <w:highlight w:val="none"/>
        </w:rPr>
      </w:pPr>
    </w:p>
    <w:p>
      <w:pPr>
        <w:spacing w:line="360" w:lineRule="auto"/>
        <w:rPr>
          <w:rFonts w:ascii="Arial" w:hAnsi="Arial" w:cs="Arial"/>
          <w:b/>
          <w:bCs/>
          <w:color w:val="auto"/>
          <w:szCs w:val="21"/>
          <w:highlight w:val="none"/>
        </w:rPr>
      </w:pPr>
      <w:r>
        <w:rPr>
          <w:rFonts w:ascii="Arial" w:hAnsi="Arial" w:cs="Arial"/>
          <w:b/>
          <w:color w:val="auto"/>
          <w:szCs w:val="21"/>
          <w:highlight w:val="none"/>
        </w:rPr>
        <w:t>投标文件封面格式：</w:t>
      </w:r>
    </w:p>
    <w:p>
      <w:pPr>
        <w:spacing w:line="360" w:lineRule="auto"/>
        <w:rPr>
          <w:rFonts w:ascii="Arial" w:hAnsi="Arial" w:cs="Arial"/>
          <w:b/>
          <w:bCs/>
          <w:color w:val="auto"/>
          <w:szCs w:val="21"/>
          <w:highlight w:val="none"/>
        </w:rPr>
      </w:pPr>
    </w:p>
    <w:p>
      <w:pPr>
        <w:spacing w:line="360" w:lineRule="auto"/>
        <w:rPr>
          <w:rFonts w:ascii="Arial" w:hAnsi="Arial" w:cs="Arial"/>
          <w:b/>
          <w:bCs/>
          <w:color w:val="auto"/>
          <w:szCs w:val="21"/>
          <w:highlight w:val="none"/>
        </w:rPr>
      </w:pPr>
    </w:p>
    <w:p>
      <w:pPr>
        <w:spacing w:line="360" w:lineRule="auto"/>
        <w:rPr>
          <w:rFonts w:ascii="Arial" w:hAnsi="Arial" w:cs="Arial"/>
          <w:b/>
          <w:bCs/>
          <w:color w:val="auto"/>
          <w:szCs w:val="21"/>
          <w:highlight w:val="none"/>
        </w:rPr>
      </w:pPr>
    </w:p>
    <w:p>
      <w:pPr>
        <w:spacing w:line="360" w:lineRule="auto"/>
        <w:rPr>
          <w:rFonts w:ascii="Arial" w:hAnsi="Arial" w:cs="Arial"/>
          <w:b/>
          <w:bCs/>
          <w:color w:val="auto"/>
          <w:szCs w:val="21"/>
          <w:highlight w:val="none"/>
        </w:rPr>
      </w:pPr>
    </w:p>
    <w:p>
      <w:pPr>
        <w:spacing w:line="360" w:lineRule="auto"/>
        <w:rPr>
          <w:rFonts w:ascii="Arial" w:hAnsi="Arial" w:cs="Arial"/>
          <w:b/>
          <w:bCs/>
          <w:color w:val="auto"/>
          <w:szCs w:val="21"/>
          <w:highlight w:val="none"/>
        </w:rPr>
      </w:pPr>
    </w:p>
    <w:p>
      <w:pPr>
        <w:spacing w:line="360" w:lineRule="auto"/>
        <w:jc w:val="right"/>
        <w:rPr>
          <w:rFonts w:ascii="Arial" w:hAnsi="Arial" w:cs="Arial"/>
          <w:bCs/>
          <w:color w:val="auto"/>
          <w:szCs w:val="21"/>
          <w:highlight w:val="none"/>
        </w:rPr>
      </w:pPr>
      <w:r>
        <w:rPr>
          <w:rFonts w:ascii="Arial" w:hAnsi="Arial" w:cs="Arial"/>
          <w:b/>
          <w:bCs/>
          <w:color w:val="auto"/>
          <w:szCs w:val="21"/>
          <w:highlight w:val="none"/>
        </w:rPr>
        <w:t xml:space="preserve">  正本/或副本</w:t>
      </w:r>
    </w:p>
    <w:p>
      <w:pPr>
        <w:spacing w:line="360" w:lineRule="auto"/>
        <w:jc w:val="center"/>
        <w:rPr>
          <w:rFonts w:ascii="Arial" w:hAnsi="Arial" w:cs="Arial"/>
          <w:b/>
          <w:color w:val="auto"/>
          <w:sz w:val="44"/>
          <w:szCs w:val="44"/>
          <w:highlight w:val="none"/>
        </w:rPr>
      </w:pPr>
      <w:r>
        <w:rPr>
          <w:rFonts w:ascii="Arial" w:hAnsi="Arial" w:cs="Arial"/>
          <w:b/>
          <w:color w:val="auto"/>
          <w:sz w:val="44"/>
          <w:szCs w:val="44"/>
          <w:highlight w:val="none"/>
        </w:rPr>
        <w:t>投 标 文 件</w:t>
      </w:r>
    </w:p>
    <w:p>
      <w:pPr>
        <w:spacing w:line="360" w:lineRule="auto"/>
        <w:ind w:firstLine="6919" w:firstLineChars="2883"/>
        <w:rPr>
          <w:rFonts w:ascii="Arial" w:hAnsi="Arial" w:cs="Arial"/>
          <w:bCs/>
          <w:color w:val="auto"/>
          <w:sz w:val="24"/>
          <w:highlight w:val="none"/>
        </w:rPr>
      </w:pP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项目编号：</w:t>
      </w:r>
    </w:p>
    <w:p>
      <w:pPr>
        <w:spacing w:line="480" w:lineRule="auto"/>
        <w:ind w:firstLine="480" w:firstLineChars="200"/>
        <w:rPr>
          <w:rFonts w:ascii="Arial" w:hAnsi="Arial" w:cs="Arial"/>
          <w:bCs/>
          <w:color w:val="auto"/>
          <w:sz w:val="24"/>
          <w:highlight w:val="none"/>
        </w:rPr>
      </w:pPr>
      <w:r>
        <w:rPr>
          <w:rFonts w:ascii="Arial" w:hAnsi="Arial" w:cs="Arial"/>
          <w:bCs/>
          <w:color w:val="auto"/>
          <w:sz w:val="24"/>
          <w:highlight w:val="none"/>
        </w:rPr>
        <w:t xml:space="preserve">     项目名称：</w:t>
      </w:r>
    </w:p>
    <w:p>
      <w:pPr>
        <w:spacing w:line="480" w:lineRule="auto"/>
        <w:ind w:firstLine="480" w:firstLineChars="200"/>
        <w:rPr>
          <w:rFonts w:ascii="Arial" w:hAnsi="Arial" w:cs="Arial"/>
          <w:bCs/>
          <w:color w:val="auto"/>
          <w:sz w:val="24"/>
          <w:highlight w:val="none"/>
        </w:rPr>
      </w:pPr>
      <w:r>
        <w:rPr>
          <w:rFonts w:ascii="Arial" w:hAnsi="Arial" w:cs="Arial"/>
          <w:bCs/>
          <w:color w:val="auto"/>
          <w:sz w:val="24"/>
          <w:highlight w:val="none"/>
        </w:rPr>
        <w:t xml:space="preserve">     投标文件名称：资格证明文件/报价文件/技术商务文件</w:t>
      </w: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投标人名称（加盖公章）：</w:t>
      </w: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法定代表人或授权代表（签字或盖章）</w:t>
      </w:r>
    </w:p>
    <w:p>
      <w:pPr>
        <w:spacing w:line="480" w:lineRule="auto"/>
        <w:ind w:firstLine="1080" w:firstLineChars="450"/>
        <w:rPr>
          <w:rFonts w:ascii="Arial" w:hAnsi="Arial" w:cs="Arial"/>
          <w:bCs/>
          <w:color w:val="auto"/>
          <w:sz w:val="24"/>
          <w:highlight w:val="none"/>
        </w:rPr>
      </w:pPr>
      <w:r>
        <w:rPr>
          <w:rFonts w:ascii="Arial" w:hAnsi="Arial" w:cs="Arial"/>
          <w:bCs/>
          <w:color w:val="auto"/>
          <w:sz w:val="24"/>
          <w:highlight w:val="none"/>
        </w:rPr>
        <w:t>投标人地址：</w:t>
      </w:r>
    </w:p>
    <w:p>
      <w:pPr>
        <w:spacing w:line="480" w:lineRule="auto"/>
        <w:ind w:firstLine="4080" w:firstLineChars="1700"/>
        <w:rPr>
          <w:rFonts w:ascii="Arial" w:hAnsi="Arial" w:cs="Arial"/>
          <w:bCs/>
          <w:color w:val="auto"/>
          <w:sz w:val="24"/>
          <w:highlight w:val="none"/>
        </w:rPr>
      </w:pPr>
    </w:p>
    <w:p>
      <w:pPr>
        <w:spacing w:line="480" w:lineRule="auto"/>
        <w:ind w:firstLine="645"/>
        <w:jc w:val="center"/>
        <w:rPr>
          <w:rFonts w:ascii="Arial" w:hAnsi="Arial" w:cs="Arial"/>
          <w:bCs/>
          <w:color w:val="auto"/>
          <w:sz w:val="24"/>
          <w:highlight w:val="none"/>
        </w:rPr>
      </w:pPr>
      <w:r>
        <w:rPr>
          <w:rFonts w:ascii="Arial" w:hAnsi="Arial" w:cs="Arial"/>
          <w:bCs/>
          <w:color w:val="auto"/>
          <w:sz w:val="24"/>
          <w:highlight w:val="none"/>
        </w:rPr>
        <w:t xml:space="preserve">                        年  月  日</w:t>
      </w: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spacing w:line="480" w:lineRule="auto"/>
        <w:outlineLvl w:val="1"/>
        <w:rPr>
          <w:rFonts w:ascii="Arial" w:hAnsi="Arial" w:cs="Arial"/>
          <w:color w:val="auto"/>
          <w:szCs w:val="21"/>
          <w:highlight w:val="none"/>
        </w:rPr>
      </w:pPr>
    </w:p>
    <w:p>
      <w:pPr>
        <w:widowControl/>
        <w:adjustRightInd w:val="0"/>
        <w:spacing w:line="360" w:lineRule="auto"/>
        <w:jc w:val="left"/>
        <w:rPr>
          <w:rFonts w:ascii="Arial" w:hAnsi="Arial" w:cs="Arial"/>
          <w:b/>
          <w:color w:val="auto"/>
          <w:szCs w:val="21"/>
          <w:highlight w:val="none"/>
        </w:rPr>
      </w:pPr>
      <w:r>
        <w:rPr>
          <w:rFonts w:ascii="Arial" w:hAnsi="Arial" w:cs="Arial"/>
          <w:b/>
          <w:color w:val="auto"/>
          <w:szCs w:val="21"/>
          <w:highlight w:val="none"/>
        </w:rPr>
        <w:t>格式一：</w:t>
      </w:r>
    </w:p>
    <w:p>
      <w:pPr>
        <w:pStyle w:val="19"/>
        <w:widowControl/>
        <w:spacing w:line="360" w:lineRule="auto"/>
        <w:ind w:firstLine="0"/>
        <w:jc w:val="center"/>
        <w:rPr>
          <w:rFonts w:ascii="Arial" w:hAnsi="Arial" w:cs="Arial"/>
          <w:b/>
          <w:color w:val="auto"/>
          <w:sz w:val="32"/>
          <w:szCs w:val="32"/>
          <w:highlight w:val="none"/>
        </w:rPr>
      </w:pPr>
      <w:r>
        <w:rPr>
          <w:rFonts w:ascii="Arial" w:hAnsi="Arial" w:cs="Arial"/>
          <w:b/>
          <w:color w:val="auto"/>
          <w:sz w:val="32"/>
          <w:szCs w:val="32"/>
          <w:highlight w:val="none"/>
        </w:rPr>
        <w:t>法定代表人身份证明</w:t>
      </w:r>
      <w:r>
        <w:rPr>
          <w:rFonts w:hint="eastAsia" w:ascii="Arial" w:hAnsi="Arial" w:cs="Arial"/>
          <w:b/>
          <w:color w:val="auto"/>
          <w:sz w:val="32"/>
          <w:szCs w:val="32"/>
          <w:highlight w:val="none"/>
        </w:rPr>
        <w:t>书</w:t>
      </w:r>
    </w:p>
    <w:p>
      <w:pPr>
        <w:widowControl/>
        <w:adjustRightInd w:val="0"/>
        <w:spacing w:line="360" w:lineRule="auto"/>
        <w:jc w:val="left"/>
        <w:rPr>
          <w:rFonts w:ascii="Arial" w:hAnsi="Arial" w:cs="Arial"/>
          <w:b/>
          <w:color w:val="auto"/>
          <w:szCs w:val="21"/>
          <w:highlight w:val="none"/>
        </w:rPr>
      </w:pP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单位名称：</w:t>
      </w: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地    址：</w:t>
      </w: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姓    名： 性    别：</w:t>
      </w:r>
    </w:p>
    <w:p>
      <w:pPr>
        <w:widowControl/>
        <w:spacing w:line="360" w:lineRule="auto"/>
        <w:rPr>
          <w:rFonts w:ascii="Arial" w:hAnsi="Arial" w:cs="Arial"/>
          <w:color w:val="auto"/>
          <w:sz w:val="22"/>
          <w:szCs w:val="22"/>
          <w:highlight w:val="none"/>
          <w:u w:val="single"/>
        </w:rPr>
      </w:pPr>
      <w:r>
        <w:rPr>
          <w:rFonts w:ascii="Arial" w:hAnsi="Arial" w:cs="Arial"/>
          <w:color w:val="auto"/>
          <w:sz w:val="22"/>
          <w:szCs w:val="22"/>
          <w:highlight w:val="none"/>
        </w:rPr>
        <w:t>年    龄： 职    务：</w:t>
      </w: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身份证号码：</w:t>
      </w: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系</w:t>
      </w:r>
      <w:r>
        <w:rPr>
          <w:rFonts w:ascii="Arial" w:hAnsi="Arial" w:cs="Arial"/>
          <w:color w:val="auto"/>
          <w:sz w:val="22"/>
          <w:szCs w:val="22"/>
          <w:highlight w:val="none"/>
          <w:u w:val="single"/>
        </w:rPr>
        <w:t xml:space="preserve">         （投标人名称）      </w:t>
      </w:r>
      <w:r>
        <w:rPr>
          <w:rFonts w:ascii="Arial" w:hAnsi="Arial" w:cs="Arial"/>
          <w:color w:val="auto"/>
          <w:sz w:val="22"/>
          <w:szCs w:val="22"/>
          <w:highlight w:val="none"/>
        </w:rPr>
        <w:t>的法定代表人，为</w:t>
      </w:r>
      <w:r>
        <w:rPr>
          <w:rFonts w:ascii="Arial" w:hAnsi="Arial" w:cs="Arial"/>
          <w:color w:val="auto"/>
          <w:sz w:val="22"/>
          <w:szCs w:val="22"/>
          <w:highlight w:val="none"/>
          <w:u w:val="single"/>
        </w:rPr>
        <w:t xml:space="preserve">     （招标编号、项目名称）   </w:t>
      </w:r>
      <w:r>
        <w:rPr>
          <w:rFonts w:ascii="Arial" w:hAnsi="Arial" w:cs="Arial"/>
          <w:color w:val="auto"/>
          <w:sz w:val="22"/>
          <w:szCs w:val="22"/>
          <w:highlight w:val="none"/>
        </w:rPr>
        <w:t>项目，签署上述项目的投标文件，进行合同谈判、签署合同和处理与之有关的一切事宜。</w:t>
      </w: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特此证明。</w:t>
      </w:r>
    </w:p>
    <w:p>
      <w:pPr>
        <w:widowControl/>
        <w:spacing w:line="360" w:lineRule="auto"/>
        <w:rPr>
          <w:rFonts w:ascii="Arial" w:hAnsi="Arial" w:cs="Arial"/>
          <w:color w:val="auto"/>
          <w:sz w:val="22"/>
          <w:szCs w:val="22"/>
          <w:highlight w:val="none"/>
        </w:rPr>
      </w:pPr>
    </w:p>
    <w:p>
      <w:pPr>
        <w:widowControl/>
        <w:spacing w:line="360" w:lineRule="auto"/>
        <w:rPr>
          <w:rFonts w:ascii="Arial" w:hAnsi="Arial" w:cs="Arial"/>
          <w:b/>
          <w:bCs/>
          <w:color w:val="auto"/>
          <w:sz w:val="22"/>
          <w:szCs w:val="22"/>
          <w:highlight w:val="none"/>
        </w:rPr>
      </w:pPr>
      <w:r>
        <w:rPr>
          <w:rFonts w:ascii="Arial" w:hAnsi="Arial" w:cs="Arial"/>
          <w:b/>
          <w:bCs/>
          <w:color w:val="auto"/>
          <w:sz w:val="22"/>
          <w:szCs w:val="22"/>
          <w:highlight w:val="none"/>
        </w:rPr>
        <w:t>后附</w:t>
      </w:r>
      <w:r>
        <w:rPr>
          <w:rFonts w:hint="eastAsia" w:ascii="Arial" w:hAnsi="Arial" w:cs="Arial"/>
          <w:b/>
          <w:bCs/>
          <w:color w:val="auto"/>
          <w:sz w:val="22"/>
          <w:szCs w:val="22"/>
          <w:highlight w:val="none"/>
        </w:rPr>
        <w:t>:</w:t>
      </w:r>
      <w:r>
        <w:rPr>
          <w:rFonts w:ascii="Arial" w:hAnsi="Arial" w:cs="Arial"/>
          <w:b/>
          <w:bCs/>
          <w:color w:val="auto"/>
          <w:sz w:val="22"/>
          <w:szCs w:val="22"/>
          <w:highlight w:val="none"/>
        </w:rPr>
        <w:t>法定代表人身份证正反面复印件。</w:t>
      </w:r>
    </w:p>
    <w:p>
      <w:pPr>
        <w:widowControl/>
        <w:spacing w:line="360" w:lineRule="auto"/>
        <w:rPr>
          <w:rFonts w:ascii="Arial" w:hAnsi="Arial" w:cs="Arial"/>
          <w:color w:val="auto"/>
          <w:sz w:val="22"/>
          <w:szCs w:val="22"/>
          <w:highlight w:val="none"/>
        </w:rPr>
      </w:pPr>
    </w:p>
    <w:p>
      <w:pPr>
        <w:widowControl/>
        <w:spacing w:line="360" w:lineRule="auto"/>
        <w:rPr>
          <w:rFonts w:ascii="Arial" w:hAnsi="Arial" w:cs="Arial"/>
          <w:color w:val="auto"/>
          <w:sz w:val="22"/>
          <w:szCs w:val="22"/>
          <w:highlight w:val="none"/>
        </w:rPr>
      </w:pPr>
    </w:p>
    <w:p>
      <w:pPr>
        <w:widowControl/>
        <w:spacing w:line="360" w:lineRule="auto"/>
        <w:rPr>
          <w:rFonts w:ascii="Arial" w:hAnsi="Arial" w:cs="Arial"/>
          <w:color w:val="auto"/>
          <w:sz w:val="22"/>
          <w:szCs w:val="22"/>
          <w:highlight w:val="none"/>
        </w:rPr>
      </w:pPr>
    </w:p>
    <w:p>
      <w:pPr>
        <w:widowControl/>
        <w:spacing w:line="360" w:lineRule="auto"/>
        <w:rPr>
          <w:rFonts w:ascii="Arial" w:hAnsi="Arial" w:cs="Arial"/>
          <w:color w:val="auto"/>
          <w:sz w:val="22"/>
          <w:szCs w:val="22"/>
          <w:highlight w:val="none"/>
        </w:rPr>
      </w:pPr>
    </w:p>
    <w:p>
      <w:pPr>
        <w:widowControl/>
        <w:spacing w:line="360" w:lineRule="auto"/>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 xml:space="preserve">法定代表人(签字或盖章)：                   </w:t>
      </w:r>
    </w:p>
    <w:p>
      <w:pPr>
        <w:widowControl/>
        <w:spacing w:line="360" w:lineRule="auto"/>
        <w:rPr>
          <w:rFonts w:ascii="Arial" w:hAnsi="Arial" w:cs="Arial"/>
          <w:color w:val="auto"/>
          <w:sz w:val="22"/>
          <w:szCs w:val="22"/>
          <w:highlight w:val="none"/>
        </w:rPr>
      </w:pPr>
      <w:r>
        <w:rPr>
          <w:rFonts w:ascii="Arial" w:hAnsi="Arial" w:cs="Arial"/>
          <w:color w:val="auto"/>
          <w:sz w:val="22"/>
          <w:szCs w:val="22"/>
          <w:highlight w:val="none"/>
        </w:rPr>
        <w:t>日  期：</w:t>
      </w:r>
    </w:p>
    <w:p>
      <w:pPr>
        <w:widowControl/>
        <w:spacing w:line="360" w:lineRule="auto"/>
        <w:rPr>
          <w:rFonts w:ascii="Arial" w:hAnsi="Arial" w:cs="Arial"/>
          <w:color w:val="auto"/>
          <w:sz w:val="22"/>
          <w:szCs w:val="22"/>
          <w:highlight w:val="none"/>
        </w:rPr>
      </w:pPr>
    </w:p>
    <w:p>
      <w:pPr>
        <w:widowControl/>
        <w:spacing w:line="360" w:lineRule="auto"/>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b/>
          <w:color w:val="auto"/>
          <w:szCs w:val="21"/>
          <w:highlight w:val="none"/>
        </w:rPr>
      </w:pPr>
      <w:r>
        <w:rPr>
          <w:rFonts w:ascii="Arial" w:hAnsi="Arial" w:cs="Arial"/>
          <w:b/>
          <w:color w:val="auto"/>
          <w:szCs w:val="21"/>
          <w:highlight w:val="none"/>
        </w:rPr>
        <w:t>格式二：</w:t>
      </w:r>
    </w:p>
    <w:p>
      <w:pPr>
        <w:widowControl/>
        <w:spacing w:line="360" w:lineRule="auto"/>
        <w:jc w:val="center"/>
        <w:rPr>
          <w:rFonts w:ascii="Arial" w:hAnsi="Arial" w:cs="Arial"/>
          <w:b/>
          <w:color w:val="auto"/>
          <w:spacing w:val="-4"/>
          <w:sz w:val="32"/>
          <w:szCs w:val="32"/>
          <w:highlight w:val="none"/>
        </w:rPr>
      </w:pPr>
      <w:r>
        <w:rPr>
          <w:rFonts w:ascii="Arial" w:hAnsi="Arial" w:cs="Arial"/>
          <w:b/>
          <w:color w:val="auto"/>
          <w:spacing w:val="-4"/>
          <w:sz w:val="32"/>
          <w:szCs w:val="32"/>
          <w:highlight w:val="none"/>
        </w:rPr>
        <w:t>法定代表人授权委托书</w:t>
      </w:r>
    </w:p>
    <w:p>
      <w:pPr>
        <w:pStyle w:val="19"/>
        <w:widowControl/>
        <w:spacing w:line="360" w:lineRule="auto"/>
        <w:jc w:val="center"/>
        <w:rPr>
          <w:rFonts w:ascii="Arial" w:hAnsi="Arial" w:cs="Arial"/>
          <w:b/>
          <w:color w:val="auto"/>
          <w:spacing w:val="0"/>
          <w:sz w:val="24"/>
          <w:highlight w:val="none"/>
        </w:rPr>
      </w:pPr>
    </w:p>
    <w:p>
      <w:pPr>
        <w:pStyle w:val="19"/>
        <w:widowControl/>
        <w:spacing w:line="360" w:lineRule="auto"/>
        <w:ind w:firstLine="0"/>
        <w:rPr>
          <w:rFonts w:ascii="Arial" w:hAnsi="Arial" w:cs="Arial"/>
          <w:color w:val="auto"/>
          <w:sz w:val="22"/>
          <w:szCs w:val="22"/>
          <w:highlight w:val="none"/>
        </w:rPr>
      </w:pPr>
      <w:r>
        <w:rPr>
          <w:rFonts w:ascii="Arial" w:hAnsi="Arial" w:cs="Arial"/>
          <w:color w:val="auto"/>
          <w:sz w:val="22"/>
          <w:szCs w:val="22"/>
          <w:highlight w:val="none"/>
          <w:u w:val="single"/>
        </w:rPr>
        <w:t>致 （采购代理机构）</w:t>
      </w:r>
      <w:r>
        <w:rPr>
          <w:rFonts w:ascii="Arial" w:hAnsi="Arial" w:cs="Arial"/>
          <w:color w:val="auto"/>
          <w:sz w:val="22"/>
          <w:szCs w:val="22"/>
          <w:highlight w:val="none"/>
        </w:rPr>
        <w:t>：</w:t>
      </w:r>
    </w:p>
    <w:p>
      <w:pPr>
        <w:pStyle w:val="19"/>
        <w:widowControl/>
        <w:spacing w:line="360" w:lineRule="auto"/>
        <w:rPr>
          <w:rFonts w:ascii="Arial" w:hAnsi="Arial" w:cs="Arial"/>
          <w:color w:val="auto"/>
          <w:sz w:val="22"/>
          <w:szCs w:val="22"/>
          <w:highlight w:val="none"/>
        </w:rPr>
      </w:pPr>
    </w:p>
    <w:p>
      <w:pPr>
        <w:pStyle w:val="19"/>
        <w:widowControl/>
        <w:spacing w:line="360" w:lineRule="auto"/>
        <w:ind w:firstLine="0"/>
        <w:rPr>
          <w:rFonts w:ascii="Arial" w:hAnsi="Arial" w:cs="Arial"/>
          <w:color w:val="auto"/>
          <w:sz w:val="22"/>
          <w:szCs w:val="22"/>
          <w:highlight w:val="none"/>
        </w:rPr>
      </w:pPr>
      <w:r>
        <w:rPr>
          <w:rFonts w:ascii="Arial" w:hAnsi="Arial" w:cs="Arial"/>
          <w:color w:val="auto"/>
          <w:sz w:val="22"/>
          <w:szCs w:val="22"/>
          <w:highlight w:val="none"/>
          <w:u w:val="single"/>
        </w:rPr>
        <w:t>（投标人全称）</w:t>
      </w:r>
      <w:r>
        <w:rPr>
          <w:rFonts w:ascii="Arial" w:hAnsi="Arial" w:cs="Arial"/>
          <w:color w:val="auto"/>
          <w:sz w:val="22"/>
          <w:szCs w:val="22"/>
          <w:highlight w:val="none"/>
        </w:rPr>
        <w:t>法定代表人</w:t>
      </w:r>
      <w:r>
        <w:rPr>
          <w:rFonts w:ascii="Arial" w:hAnsi="Arial" w:cs="Arial"/>
          <w:color w:val="auto"/>
          <w:sz w:val="22"/>
          <w:szCs w:val="22"/>
          <w:highlight w:val="none"/>
          <w:u w:val="single"/>
        </w:rPr>
        <w:t xml:space="preserve">（姓名、职务） </w:t>
      </w:r>
      <w:r>
        <w:rPr>
          <w:rFonts w:ascii="Arial" w:hAnsi="Arial" w:cs="Arial"/>
          <w:color w:val="auto"/>
          <w:sz w:val="22"/>
          <w:szCs w:val="22"/>
          <w:highlight w:val="none"/>
        </w:rPr>
        <w:t>授权</w:t>
      </w:r>
      <w:r>
        <w:rPr>
          <w:rFonts w:ascii="Arial" w:hAnsi="Arial" w:cs="Arial"/>
          <w:color w:val="auto"/>
          <w:sz w:val="22"/>
          <w:szCs w:val="22"/>
          <w:highlight w:val="none"/>
          <w:u w:val="single"/>
        </w:rPr>
        <w:t>（授权代表姓名、职务）</w:t>
      </w:r>
      <w:r>
        <w:rPr>
          <w:rFonts w:ascii="Arial" w:hAnsi="Arial" w:cs="Arial"/>
          <w:color w:val="auto"/>
          <w:sz w:val="22"/>
          <w:szCs w:val="22"/>
          <w:highlight w:val="none"/>
        </w:rPr>
        <w:t>为本公司合法代理人，参加贵招标代理公司组织的</w:t>
      </w:r>
      <w:r>
        <w:rPr>
          <w:rFonts w:ascii="Arial" w:hAnsi="Arial" w:cs="Arial"/>
          <w:color w:val="auto"/>
          <w:sz w:val="22"/>
          <w:szCs w:val="22"/>
          <w:highlight w:val="none"/>
          <w:u w:val="single"/>
        </w:rPr>
        <w:t>（招标编号、项目名称)</w:t>
      </w:r>
      <w:r>
        <w:rPr>
          <w:rFonts w:ascii="Arial" w:hAnsi="Arial" w:cs="Arial"/>
          <w:color w:val="auto"/>
          <w:sz w:val="22"/>
          <w:szCs w:val="22"/>
          <w:highlight w:val="none"/>
        </w:rPr>
        <w:t>项目的招标投标活动，代表本公司处理招标投标活动中的一切事宜。</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本授权书于年月日签字生效，特此声明。</w:t>
      </w:r>
    </w:p>
    <w:p>
      <w:pPr>
        <w:pStyle w:val="19"/>
        <w:widowControl/>
        <w:spacing w:line="360" w:lineRule="auto"/>
        <w:rPr>
          <w:rFonts w:ascii="Arial" w:hAnsi="Arial" w:cs="Arial"/>
          <w:color w:val="auto"/>
          <w:sz w:val="22"/>
          <w:szCs w:val="22"/>
          <w:highlight w:val="none"/>
        </w:rPr>
      </w:pPr>
    </w:p>
    <w:p>
      <w:pPr>
        <w:pStyle w:val="19"/>
        <w:widowControl/>
        <w:spacing w:line="360" w:lineRule="auto"/>
        <w:rPr>
          <w:rFonts w:ascii="Arial" w:hAnsi="Arial" w:cs="Arial"/>
          <w:color w:val="auto"/>
          <w:sz w:val="22"/>
          <w:szCs w:val="22"/>
          <w:highlight w:val="none"/>
        </w:rPr>
      </w:pPr>
    </w:p>
    <w:p>
      <w:pPr>
        <w:pStyle w:val="19"/>
        <w:widowControl/>
        <w:spacing w:line="360" w:lineRule="auto"/>
        <w:ind w:firstLine="0"/>
        <w:rPr>
          <w:rFonts w:ascii="Arial" w:hAnsi="Arial" w:cs="Arial"/>
          <w:b/>
          <w:bCs/>
          <w:color w:val="auto"/>
          <w:sz w:val="22"/>
          <w:szCs w:val="22"/>
          <w:highlight w:val="none"/>
        </w:rPr>
      </w:pPr>
      <w:r>
        <w:rPr>
          <w:rFonts w:ascii="Arial" w:hAnsi="Arial" w:cs="Arial"/>
          <w:b/>
          <w:bCs/>
          <w:color w:val="auto"/>
          <w:sz w:val="22"/>
          <w:szCs w:val="22"/>
          <w:highlight w:val="none"/>
        </w:rPr>
        <w:t xml:space="preserve">    后附</w:t>
      </w:r>
      <w:r>
        <w:rPr>
          <w:rFonts w:hint="eastAsia" w:ascii="Arial" w:hAnsi="Arial" w:cs="Arial"/>
          <w:b/>
          <w:bCs/>
          <w:color w:val="auto"/>
          <w:sz w:val="22"/>
          <w:szCs w:val="22"/>
          <w:highlight w:val="none"/>
        </w:rPr>
        <w:t>:</w:t>
      </w:r>
      <w:r>
        <w:rPr>
          <w:rFonts w:ascii="Arial" w:hAnsi="Arial" w:cs="Arial"/>
          <w:b/>
          <w:bCs/>
          <w:color w:val="auto"/>
          <w:sz w:val="22"/>
          <w:szCs w:val="22"/>
          <w:highlight w:val="none"/>
        </w:rPr>
        <w:t>授权代表身份证正反面复印件。</w:t>
      </w:r>
    </w:p>
    <w:p>
      <w:pPr>
        <w:pStyle w:val="19"/>
        <w:widowControl/>
        <w:spacing w:line="360" w:lineRule="auto"/>
        <w:rPr>
          <w:rFonts w:ascii="Arial" w:hAnsi="Arial" w:cs="Arial"/>
          <w:color w:val="auto"/>
          <w:sz w:val="22"/>
          <w:szCs w:val="22"/>
          <w:highlight w:val="none"/>
        </w:rPr>
      </w:pPr>
    </w:p>
    <w:p>
      <w:pPr>
        <w:pStyle w:val="19"/>
        <w:widowControl/>
        <w:spacing w:line="360" w:lineRule="auto"/>
        <w:rPr>
          <w:rFonts w:ascii="Arial" w:hAnsi="Arial" w:cs="Arial"/>
          <w:color w:val="auto"/>
          <w:sz w:val="22"/>
          <w:szCs w:val="22"/>
          <w:highlight w:val="none"/>
        </w:rPr>
      </w:pPr>
    </w:p>
    <w:p>
      <w:pPr>
        <w:pStyle w:val="19"/>
        <w:widowControl/>
        <w:spacing w:line="360" w:lineRule="auto"/>
        <w:ind w:left="3366" w:leftChars="1600" w:hanging="6"/>
        <w:rPr>
          <w:rFonts w:ascii="Arial" w:hAnsi="Arial" w:cs="Arial"/>
          <w:color w:val="auto"/>
          <w:sz w:val="22"/>
          <w:szCs w:val="22"/>
          <w:highlight w:val="none"/>
        </w:rPr>
      </w:pPr>
      <w:r>
        <w:rPr>
          <w:rFonts w:ascii="Arial" w:hAnsi="Arial" w:cs="Arial"/>
          <w:color w:val="auto"/>
          <w:sz w:val="22"/>
          <w:szCs w:val="22"/>
          <w:highlight w:val="none"/>
        </w:rPr>
        <w:t>法定代表人(签字或盖章)：</w:t>
      </w:r>
    </w:p>
    <w:p>
      <w:pPr>
        <w:pStyle w:val="19"/>
        <w:widowControl/>
        <w:spacing w:line="360" w:lineRule="auto"/>
        <w:ind w:left="3366" w:leftChars="1600" w:hanging="6"/>
        <w:rPr>
          <w:rFonts w:ascii="Arial" w:hAnsi="Arial" w:cs="Arial"/>
          <w:color w:val="auto"/>
          <w:sz w:val="22"/>
          <w:szCs w:val="22"/>
          <w:highlight w:val="none"/>
        </w:rPr>
      </w:pPr>
      <w:r>
        <w:rPr>
          <w:rFonts w:ascii="Arial" w:hAnsi="Arial" w:cs="Arial"/>
          <w:color w:val="auto"/>
          <w:sz w:val="22"/>
          <w:szCs w:val="22"/>
          <w:highlight w:val="none"/>
        </w:rPr>
        <w:t xml:space="preserve">投标人单位全称（盖章）： </w:t>
      </w:r>
    </w:p>
    <w:p>
      <w:pPr>
        <w:pStyle w:val="19"/>
        <w:widowControl/>
        <w:spacing w:line="360" w:lineRule="auto"/>
        <w:ind w:left="3366" w:leftChars="1600" w:hanging="6"/>
        <w:rPr>
          <w:rFonts w:ascii="Arial" w:hAnsi="Arial" w:cs="Arial"/>
          <w:color w:val="auto"/>
          <w:sz w:val="22"/>
          <w:szCs w:val="22"/>
          <w:highlight w:val="none"/>
        </w:rPr>
      </w:pPr>
      <w:r>
        <w:rPr>
          <w:rFonts w:ascii="Arial" w:hAnsi="Arial" w:cs="Arial"/>
          <w:color w:val="auto"/>
          <w:sz w:val="22"/>
          <w:szCs w:val="22"/>
          <w:highlight w:val="none"/>
        </w:rPr>
        <w:t>日  期：</w:t>
      </w:r>
    </w:p>
    <w:p>
      <w:pPr>
        <w:pStyle w:val="19"/>
        <w:widowControl/>
        <w:spacing w:line="360" w:lineRule="auto"/>
        <w:rPr>
          <w:rFonts w:ascii="Arial" w:hAnsi="Arial" w:cs="Arial"/>
          <w:color w:val="auto"/>
          <w:sz w:val="22"/>
          <w:szCs w:val="22"/>
          <w:highlight w:val="none"/>
        </w:rPr>
      </w:pP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附：</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授权代表姓名：（印刷体）</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职          务：</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授权代表签字：</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详细通讯地址：</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邮 政 编  码：</w:t>
      </w:r>
    </w:p>
    <w:p>
      <w:pPr>
        <w:pStyle w:val="19"/>
        <w:widowControl/>
        <w:spacing w:line="360" w:lineRule="auto"/>
        <w:rPr>
          <w:rFonts w:ascii="Arial" w:hAnsi="Arial" w:cs="Arial"/>
          <w:color w:val="auto"/>
          <w:sz w:val="22"/>
          <w:szCs w:val="22"/>
          <w:highlight w:val="none"/>
        </w:rPr>
      </w:pPr>
      <w:r>
        <w:rPr>
          <w:rFonts w:ascii="Arial" w:hAnsi="Arial" w:cs="Arial"/>
          <w:color w:val="auto"/>
          <w:sz w:val="22"/>
          <w:szCs w:val="22"/>
          <w:highlight w:val="none"/>
        </w:rPr>
        <w:t xml:space="preserve">  传        真：</w:t>
      </w:r>
    </w:p>
    <w:p>
      <w:pPr>
        <w:widowControl/>
        <w:spacing w:line="360" w:lineRule="auto"/>
        <w:ind w:firstLine="440" w:firstLineChars="200"/>
        <w:rPr>
          <w:rFonts w:ascii="Arial" w:hAnsi="Arial" w:cs="Arial"/>
          <w:color w:val="auto"/>
          <w:sz w:val="22"/>
          <w:szCs w:val="22"/>
          <w:highlight w:val="none"/>
        </w:rPr>
      </w:pPr>
      <w:r>
        <w:rPr>
          <w:rFonts w:ascii="Arial" w:hAnsi="Arial" w:cs="Arial"/>
          <w:color w:val="auto"/>
          <w:sz w:val="22"/>
          <w:szCs w:val="22"/>
          <w:highlight w:val="none"/>
        </w:rPr>
        <w:t>电        话：</w:t>
      </w:r>
    </w:p>
    <w:p>
      <w:pPr>
        <w:widowControl/>
        <w:spacing w:line="360" w:lineRule="auto"/>
        <w:ind w:firstLine="422" w:firstLineChars="200"/>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widowControl/>
        <w:adjustRightInd w:val="0"/>
        <w:spacing w:line="360" w:lineRule="auto"/>
        <w:jc w:val="left"/>
        <w:rPr>
          <w:rFonts w:ascii="Arial" w:hAnsi="Arial" w:cs="Arial"/>
          <w:b/>
          <w:color w:val="auto"/>
          <w:szCs w:val="21"/>
          <w:highlight w:val="none"/>
        </w:rPr>
      </w:pPr>
      <w:r>
        <w:rPr>
          <w:rFonts w:ascii="Arial" w:hAnsi="Arial" w:cs="Arial"/>
          <w:b/>
          <w:color w:val="auto"/>
          <w:szCs w:val="21"/>
          <w:highlight w:val="none"/>
        </w:rPr>
        <w:t>格式</w:t>
      </w:r>
      <w:r>
        <w:rPr>
          <w:rFonts w:hint="eastAsia" w:ascii="Arial" w:hAnsi="Arial" w:cs="Arial"/>
          <w:b/>
          <w:color w:val="auto"/>
          <w:szCs w:val="21"/>
          <w:highlight w:val="none"/>
        </w:rPr>
        <w:t>三</w:t>
      </w:r>
      <w:r>
        <w:rPr>
          <w:rFonts w:ascii="Arial" w:hAnsi="Arial" w:cs="Arial"/>
          <w:b/>
          <w:color w:val="auto"/>
          <w:szCs w:val="21"/>
          <w:highlight w:val="none"/>
        </w:rPr>
        <w:t>：</w:t>
      </w:r>
    </w:p>
    <w:p>
      <w:pPr>
        <w:widowControl/>
        <w:spacing w:line="360" w:lineRule="auto"/>
        <w:jc w:val="center"/>
        <w:rPr>
          <w:rFonts w:ascii="Arial" w:hAnsi="Arial" w:cs="Arial"/>
          <w:b/>
          <w:color w:val="auto"/>
          <w:spacing w:val="-4"/>
          <w:sz w:val="32"/>
          <w:szCs w:val="32"/>
          <w:highlight w:val="none"/>
        </w:rPr>
      </w:pPr>
      <w:r>
        <w:rPr>
          <w:rFonts w:hint="eastAsia" w:ascii="Arial" w:hAnsi="Arial" w:cs="Arial"/>
          <w:b/>
          <w:color w:val="auto"/>
          <w:spacing w:val="-4"/>
          <w:sz w:val="32"/>
          <w:szCs w:val="32"/>
          <w:highlight w:val="none"/>
        </w:rPr>
        <w:t>投标人承诺</w:t>
      </w:r>
    </w:p>
    <w:p>
      <w:pPr>
        <w:widowControl/>
        <w:spacing w:line="360" w:lineRule="auto"/>
        <w:jc w:val="center"/>
        <w:rPr>
          <w:rFonts w:ascii="Arial" w:hAnsi="Arial" w:cs="Arial"/>
          <w:b/>
          <w:color w:val="auto"/>
          <w:spacing w:val="-4"/>
          <w:sz w:val="24"/>
          <w:highlight w:val="none"/>
        </w:rPr>
      </w:pPr>
    </w:p>
    <w:p>
      <w:pPr>
        <w:widowControl/>
        <w:spacing w:line="360" w:lineRule="auto"/>
        <w:jc w:val="left"/>
        <w:rPr>
          <w:rFonts w:ascii="Arial" w:hAnsi="Arial" w:cs="Arial"/>
          <w:b/>
          <w:bCs/>
          <w:color w:val="auto"/>
          <w:sz w:val="22"/>
          <w:szCs w:val="22"/>
          <w:highlight w:val="none"/>
        </w:rPr>
      </w:pPr>
      <w:r>
        <w:rPr>
          <w:rFonts w:ascii="Arial" w:hAnsi="Arial" w:cs="Arial"/>
          <w:b/>
          <w:bCs/>
          <w:color w:val="auto"/>
          <w:sz w:val="22"/>
          <w:szCs w:val="22"/>
          <w:highlight w:val="none"/>
        </w:rPr>
        <w:t>我方</w:t>
      </w:r>
      <w:r>
        <w:rPr>
          <w:rFonts w:hint="eastAsia" w:ascii="Arial" w:hAnsi="Arial" w:cs="Arial"/>
          <w:b/>
          <w:bCs/>
          <w:color w:val="auto"/>
          <w:sz w:val="22"/>
          <w:szCs w:val="22"/>
          <w:highlight w:val="none"/>
        </w:rPr>
        <w:t>承诺</w:t>
      </w:r>
      <w:r>
        <w:rPr>
          <w:rFonts w:ascii="Arial" w:hAnsi="Arial" w:cs="Arial"/>
          <w:b/>
          <w:bCs/>
          <w:color w:val="auto"/>
          <w:sz w:val="22"/>
          <w:szCs w:val="22"/>
          <w:highlight w:val="none"/>
        </w:rPr>
        <w:t>：</w:t>
      </w:r>
    </w:p>
    <w:p>
      <w:pPr>
        <w:widowControl/>
        <w:spacing w:line="360" w:lineRule="auto"/>
        <w:jc w:val="left"/>
        <w:rPr>
          <w:rFonts w:ascii="Arial" w:hAnsi="Arial" w:cs="Arial"/>
          <w:color w:val="auto"/>
          <w:sz w:val="22"/>
          <w:szCs w:val="22"/>
          <w:highlight w:val="none"/>
        </w:rPr>
      </w:pPr>
      <w:r>
        <w:rPr>
          <w:rFonts w:hint="eastAsia" w:ascii="Arial" w:hAnsi="Arial" w:cs="Arial"/>
          <w:color w:val="auto"/>
          <w:sz w:val="22"/>
          <w:szCs w:val="22"/>
          <w:highlight w:val="none"/>
        </w:rPr>
        <w:t xml:space="preserve">  1、我</w:t>
      </w:r>
      <w:r>
        <w:rPr>
          <w:rFonts w:ascii="Arial" w:hAnsi="Arial" w:cs="Arial"/>
          <w:color w:val="auto"/>
          <w:sz w:val="22"/>
          <w:szCs w:val="22"/>
          <w:highlight w:val="none"/>
        </w:rPr>
        <w:t>方</w:t>
      </w:r>
      <w:r>
        <w:rPr>
          <w:rFonts w:hint="eastAsia" w:ascii="Arial" w:hAnsi="Arial" w:cs="Arial"/>
          <w:color w:val="auto"/>
          <w:sz w:val="22"/>
          <w:szCs w:val="22"/>
          <w:highlight w:val="none"/>
        </w:rPr>
        <w:t>具有独立承担民事责任的能力；</w:t>
      </w:r>
    </w:p>
    <w:p>
      <w:pPr>
        <w:widowControl/>
        <w:spacing w:line="360" w:lineRule="auto"/>
        <w:ind w:firstLine="431" w:firstLineChars="196"/>
        <w:jc w:val="left"/>
        <w:rPr>
          <w:rFonts w:ascii="Arial" w:hAnsi="Arial" w:cs="Arial"/>
          <w:color w:val="auto"/>
          <w:sz w:val="22"/>
          <w:szCs w:val="22"/>
          <w:highlight w:val="none"/>
        </w:rPr>
      </w:pPr>
      <w:r>
        <w:rPr>
          <w:rFonts w:hint="eastAsia" w:ascii="Arial" w:hAnsi="Arial" w:cs="Arial"/>
          <w:color w:val="auto"/>
          <w:sz w:val="22"/>
          <w:szCs w:val="22"/>
          <w:highlight w:val="none"/>
        </w:rPr>
        <w:t>2、我</w:t>
      </w:r>
      <w:r>
        <w:rPr>
          <w:rFonts w:ascii="Arial" w:hAnsi="Arial" w:cs="Arial"/>
          <w:color w:val="auto"/>
          <w:sz w:val="22"/>
          <w:szCs w:val="22"/>
          <w:highlight w:val="none"/>
        </w:rPr>
        <w:t>方</w:t>
      </w:r>
      <w:r>
        <w:rPr>
          <w:rFonts w:hint="eastAsia" w:ascii="Arial" w:hAnsi="Arial" w:cs="Arial"/>
          <w:color w:val="auto"/>
          <w:sz w:val="22"/>
          <w:szCs w:val="22"/>
          <w:highlight w:val="none"/>
        </w:rPr>
        <w:t>具有良好的商业信誉和健全的财务会计制度；</w:t>
      </w:r>
    </w:p>
    <w:p>
      <w:pPr>
        <w:widowControl/>
        <w:spacing w:line="360" w:lineRule="auto"/>
        <w:ind w:firstLine="431" w:firstLineChars="196"/>
        <w:jc w:val="left"/>
        <w:rPr>
          <w:rFonts w:ascii="Arial" w:hAnsi="Arial" w:cs="Arial"/>
          <w:color w:val="auto"/>
          <w:sz w:val="22"/>
          <w:szCs w:val="22"/>
          <w:highlight w:val="none"/>
        </w:rPr>
      </w:pPr>
      <w:r>
        <w:rPr>
          <w:rFonts w:hint="eastAsia" w:ascii="Arial" w:hAnsi="Arial" w:cs="Arial"/>
          <w:color w:val="auto"/>
          <w:sz w:val="22"/>
          <w:szCs w:val="22"/>
          <w:highlight w:val="none"/>
        </w:rPr>
        <w:t>3、我</w:t>
      </w:r>
      <w:r>
        <w:rPr>
          <w:rFonts w:ascii="Arial" w:hAnsi="Arial" w:cs="Arial"/>
          <w:color w:val="auto"/>
          <w:sz w:val="22"/>
          <w:szCs w:val="22"/>
          <w:highlight w:val="none"/>
        </w:rPr>
        <w:t>方</w:t>
      </w:r>
      <w:r>
        <w:rPr>
          <w:rFonts w:hint="eastAsia" w:ascii="Arial" w:hAnsi="Arial" w:cs="Arial"/>
          <w:color w:val="auto"/>
          <w:sz w:val="22"/>
          <w:szCs w:val="22"/>
          <w:highlight w:val="none"/>
        </w:rPr>
        <w:t>具有履行合同所必需的设备和专业技术能力；</w:t>
      </w:r>
    </w:p>
    <w:p>
      <w:pPr>
        <w:widowControl/>
        <w:spacing w:line="360" w:lineRule="auto"/>
        <w:ind w:firstLine="431" w:firstLineChars="196"/>
        <w:jc w:val="left"/>
        <w:rPr>
          <w:rFonts w:ascii="Arial" w:hAnsi="Arial" w:cs="Arial"/>
          <w:color w:val="auto"/>
          <w:sz w:val="22"/>
          <w:szCs w:val="22"/>
          <w:highlight w:val="none"/>
        </w:rPr>
      </w:pPr>
      <w:r>
        <w:rPr>
          <w:rFonts w:hint="eastAsia" w:ascii="Arial" w:hAnsi="Arial" w:cs="Arial"/>
          <w:color w:val="auto"/>
          <w:sz w:val="22"/>
          <w:szCs w:val="22"/>
          <w:highlight w:val="none"/>
        </w:rPr>
        <w:t>4、我</w:t>
      </w:r>
      <w:r>
        <w:rPr>
          <w:rFonts w:ascii="Arial" w:hAnsi="Arial" w:cs="Arial"/>
          <w:color w:val="auto"/>
          <w:sz w:val="22"/>
          <w:szCs w:val="22"/>
          <w:highlight w:val="none"/>
        </w:rPr>
        <w:t>方</w:t>
      </w:r>
      <w:r>
        <w:rPr>
          <w:rFonts w:hint="eastAsia" w:ascii="Arial" w:hAnsi="Arial" w:cs="Arial"/>
          <w:color w:val="auto"/>
          <w:sz w:val="22"/>
          <w:szCs w:val="22"/>
          <w:highlight w:val="none"/>
        </w:rPr>
        <w:t>具有依法缴纳税收和社会保障资金的良好记录；</w:t>
      </w:r>
    </w:p>
    <w:p>
      <w:pPr>
        <w:widowControl/>
        <w:spacing w:line="360" w:lineRule="auto"/>
        <w:ind w:firstLine="431" w:firstLineChars="196"/>
        <w:jc w:val="left"/>
        <w:rPr>
          <w:rFonts w:ascii="Arial" w:hAnsi="Arial" w:cs="Arial"/>
          <w:color w:val="auto"/>
          <w:sz w:val="22"/>
          <w:szCs w:val="22"/>
          <w:highlight w:val="none"/>
        </w:rPr>
      </w:pPr>
      <w:r>
        <w:rPr>
          <w:rFonts w:hint="eastAsia" w:ascii="Arial" w:hAnsi="Arial" w:cs="Arial"/>
          <w:color w:val="auto"/>
          <w:sz w:val="22"/>
          <w:szCs w:val="22"/>
          <w:highlight w:val="none"/>
        </w:rPr>
        <w:t>5、我</w:t>
      </w:r>
      <w:r>
        <w:rPr>
          <w:rFonts w:ascii="Arial" w:hAnsi="Arial" w:cs="Arial"/>
          <w:color w:val="auto"/>
          <w:sz w:val="22"/>
          <w:szCs w:val="22"/>
          <w:highlight w:val="none"/>
        </w:rPr>
        <w:t>方</w:t>
      </w:r>
      <w:r>
        <w:rPr>
          <w:rFonts w:hint="eastAsia" w:ascii="Arial" w:hAnsi="Arial" w:cs="Arial"/>
          <w:color w:val="auto"/>
          <w:sz w:val="22"/>
          <w:szCs w:val="22"/>
          <w:highlight w:val="none"/>
        </w:rPr>
        <w:t>参加政府采购活动前三年内，在经营活动中没有重大违法记录；</w:t>
      </w:r>
    </w:p>
    <w:p>
      <w:pPr>
        <w:widowControl/>
        <w:spacing w:line="360" w:lineRule="auto"/>
        <w:ind w:right="159" w:firstLine="440" w:firstLineChars="200"/>
        <w:jc w:val="left"/>
        <w:rPr>
          <w:rFonts w:ascii="Arial" w:hAnsi="Arial" w:cs="Arial"/>
          <w:color w:val="auto"/>
          <w:sz w:val="22"/>
          <w:szCs w:val="22"/>
          <w:highlight w:val="none"/>
        </w:rPr>
      </w:pPr>
      <w:r>
        <w:rPr>
          <w:rFonts w:hint="eastAsia" w:ascii="Arial" w:hAnsi="Arial" w:cs="Arial"/>
          <w:color w:val="auto"/>
          <w:sz w:val="22"/>
          <w:szCs w:val="22"/>
          <w:highlight w:val="none"/>
        </w:rPr>
        <w:t>6、我方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widowControl/>
        <w:spacing w:line="360" w:lineRule="auto"/>
        <w:ind w:right="159" w:firstLine="440" w:firstLineChars="200"/>
        <w:jc w:val="left"/>
        <w:rPr>
          <w:rFonts w:ascii="Arial" w:hAnsi="Arial" w:cs="Arial"/>
          <w:color w:val="auto"/>
          <w:sz w:val="22"/>
          <w:szCs w:val="22"/>
          <w:highlight w:val="none"/>
        </w:rPr>
      </w:pPr>
      <w:r>
        <w:rPr>
          <w:rFonts w:hint="eastAsia" w:ascii="Arial" w:hAnsi="Arial" w:cs="Arial"/>
          <w:color w:val="auto"/>
          <w:sz w:val="22"/>
          <w:szCs w:val="22"/>
          <w:highlight w:val="none"/>
        </w:rPr>
        <w:t>7、我方未存在“单位负责人为同一人或者存在直接控股、管理关系的不同投标人，参加同一合同项下的政府采购活动；除单一来源采购项目外，为采购项目提供整体设计、规范编制或者项目管理、监理、检测等服务的投标人，参加该采购项目的其他采购活动”上述情况。</w:t>
      </w:r>
    </w:p>
    <w:p>
      <w:pPr>
        <w:widowControl/>
        <w:spacing w:line="360" w:lineRule="auto"/>
        <w:ind w:right="159" w:firstLine="440" w:firstLineChars="200"/>
        <w:jc w:val="left"/>
        <w:rPr>
          <w:rFonts w:ascii="Arial" w:hAnsi="Arial" w:cs="Arial"/>
          <w:color w:val="auto"/>
          <w:kern w:val="0"/>
          <w:sz w:val="22"/>
          <w:szCs w:val="22"/>
          <w:highlight w:val="none"/>
        </w:rPr>
      </w:pPr>
      <w:r>
        <w:rPr>
          <w:rFonts w:ascii="Arial" w:hAnsi="Arial" w:cs="Arial"/>
          <w:color w:val="auto"/>
          <w:kern w:val="0"/>
          <w:sz w:val="22"/>
          <w:szCs w:val="22"/>
          <w:highlight w:val="none"/>
        </w:rPr>
        <w:t>特此</w:t>
      </w:r>
      <w:r>
        <w:rPr>
          <w:rFonts w:hint="eastAsia" w:ascii="Arial" w:hAnsi="Arial" w:cs="Arial"/>
          <w:color w:val="auto"/>
          <w:kern w:val="0"/>
          <w:sz w:val="22"/>
          <w:szCs w:val="22"/>
          <w:highlight w:val="none"/>
        </w:rPr>
        <w:t>承诺</w:t>
      </w:r>
      <w:r>
        <w:rPr>
          <w:rFonts w:ascii="Arial" w:hAnsi="Arial" w:cs="Arial"/>
          <w:color w:val="auto"/>
          <w:kern w:val="0"/>
          <w:sz w:val="22"/>
          <w:szCs w:val="22"/>
          <w:highlight w:val="none"/>
        </w:rPr>
        <w:t>！</w:t>
      </w:r>
    </w:p>
    <w:p>
      <w:pPr>
        <w:widowControl/>
        <w:spacing w:line="360" w:lineRule="auto"/>
        <w:ind w:right="159" w:firstLine="440" w:firstLineChars="200"/>
        <w:jc w:val="left"/>
        <w:rPr>
          <w:rFonts w:ascii="Arial" w:hAnsi="Arial" w:cs="Arial"/>
          <w:color w:val="auto"/>
          <w:kern w:val="0"/>
          <w:sz w:val="22"/>
          <w:szCs w:val="22"/>
          <w:highlight w:val="none"/>
        </w:rPr>
      </w:pPr>
    </w:p>
    <w:p>
      <w:pPr>
        <w:widowControl/>
        <w:spacing w:line="360" w:lineRule="auto"/>
        <w:ind w:right="159" w:firstLine="440" w:firstLineChars="200"/>
        <w:jc w:val="left"/>
        <w:rPr>
          <w:rFonts w:ascii="Arial" w:hAnsi="Arial" w:cs="Arial"/>
          <w:color w:val="auto"/>
          <w:kern w:val="0"/>
          <w:sz w:val="22"/>
          <w:szCs w:val="22"/>
          <w:highlight w:val="none"/>
        </w:rPr>
      </w:pPr>
    </w:p>
    <w:p>
      <w:pPr>
        <w:widowControl/>
        <w:spacing w:line="360" w:lineRule="auto"/>
        <w:ind w:right="159" w:firstLine="440" w:firstLineChars="200"/>
        <w:jc w:val="left"/>
        <w:rPr>
          <w:rFonts w:ascii="Arial" w:hAnsi="Arial" w:cs="Arial"/>
          <w:color w:val="auto"/>
          <w:kern w:val="0"/>
          <w:sz w:val="22"/>
          <w:szCs w:val="22"/>
          <w:highlight w:val="none"/>
        </w:rPr>
      </w:pPr>
    </w:p>
    <w:p>
      <w:pPr>
        <w:widowControl/>
        <w:adjustRightInd w:val="0"/>
        <w:spacing w:line="360" w:lineRule="auto"/>
        <w:jc w:val="righ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right"/>
        <w:rPr>
          <w:rFonts w:ascii="Arial" w:hAnsi="Arial" w:cs="Arial"/>
          <w:color w:val="auto"/>
          <w:sz w:val="22"/>
          <w:szCs w:val="22"/>
          <w:highlight w:val="none"/>
        </w:rPr>
      </w:pPr>
      <w:r>
        <w:rPr>
          <w:rFonts w:ascii="Arial" w:hAnsi="Arial" w:cs="Arial"/>
          <w:color w:val="auto"/>
          <w:sz w:val="22"/>
          <w:szCs w:val="22"/>
          <w:highlight w:val="none"/>
        </w:rPr>
        <w:t>法定代表人或授权代表(签字或盖章)：</w:t>
      </w:r>
    </w:p>
    <w:p>
      <w:pPr>
        <w:widowControl/>
        <w:adjustRightInd w:val="0"/>
        <w:spacing w:line="360" w:lineRule="auto"/>
        <w:jc w:val="right"/>
        <w:rPr>
          <w:rFonts w:ascii="Arial" w:hAnsi="Arial" w:cs="Arial"/>
          <w:color w:val="auto"/>
          <w:sz w:val="24"/>
          <w:highlight w:val="none"/>
        </w:rPr>
      </w:pPr>
      <w:r>
        <w:rPr>
          <w:rFonts w:ascii="Arial" w:hAnsi="Arial" w:cs="Arial"/>
          <w:color w:val="auto"/>
          <w:sz w:val="22"/>
          <w:szCs w:val="22"/>
          <w:highlight w:val="none"/>
        </w:rPr>
        <w:t>日  期：</w:t>
      </w:r>
    </w:p>
    <w:p>
      <w:pPr>
        <w:spacing w:line="360" w:lineRule="auto"/>
        <w:rPr>
          <w:rFonts w:ascii="Arial" w:hAnsi="Arial" w:cs="Arial"/>
          <w:b/>
          <w:color w:val="auto"/>
          <w:szCs w:val="21"/>
          <w:highlight w:val="none"/>
        </w:rPr>
      </w:pPr>
    </w:p>
    <w:p>
      <w:pPr>
        <w:pStyle w:val="19"/>
        <w:widowControl/>
        <w:spacing w:line="360" w:lineRule="auto"/>
        <w:ind w:firstLine="0"/>
        <w:jc w:val="left"/>
        <w:rPr>
          <w:rFonts w:ascii="Arial" w:hAnsi="Arial" w:cs="Arial"/>
          <w:color w:val="auto"/>
          <w:szCs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p>
    <w:p>
      <w:pPr>
        <w:pStyle w:val="19"/>
        <w:widowControl/>
        <w:spacing w:line="360" w:lineRule="auto"/>
        <w:ind w:firstLine="0"/>
        <w:jc w:val="left"/>
        <w:rPr>
          <w:rFonts w:ascii="Arial" w:hAnsi="Arial" w:cs="Arial"/>
          <w:b/>
          <w:color w:val="auto"/>
          <w:sz w:val="21"/>
          <w:highlight w:val="none"/>
        </w:rPr>
      </w:pPr>
      <w:r>
        <w:rPr>
          <w:rFonts w:ascii="Arial" w:hAnsi="Arial" w:cs="Arial"/>
          <w:b/>
          <w:color w:val="auto"/>
          <w:sz w:val="21"/>
          <w:highlight w:val="none"/>
        </w:rPr>
        <w:t>格式</w:t>
      </w:r>
      <w:r>
        <w:rPr>
          <w:rFonts w:hint="eastAsia" w:ascii="Arial" w:hAnsi="Arial" w:cs="Arial"/>
          <w:b/>
          <w:color w:val="auto"/>
          <w:sz w:val="21"/>
          <w:highlight w:val="none"/>
        </w:rPr>
        <w:t>四</w:t>
      </w:r>
      <w:r>
        <w:rPr>
          <w:rFonts w:ascii="Arial" w:hAnsi="Arial" w:cs="Arial"/>
          <w:b/>
          <w:color w:val="auto"/>
          <w:sz w:val="21"/>
          <w:highlight w:val="none"/>
        </w:rPr>
        <w:t>：</w:t>
      </w:r>
    </w:p>
    <w:p>
      <w:pPr>
        <w:pStyle w:val="19"/>
        <w:widowControl/>
        <w:spacing w:line="360" w:lineRule="auto"/>
        <w:ind w:firstLine="0"/>
        <w:jc w:val="center"/>
        <w:rPr>
          <w:rFonts w:ascii="Arial" w:hAnsi="Arial" w:cs="Arial"/>
          <w:b/>
          <w:color w:val="auto"/>
          <w:sz w:val="32"/>
          <w:szCs w:val="32"/>
          <w:highlight w:val="none"/>
        </w:rPr>
      </w:pPr>
      <w:r>
        <w:rPr>
          <w:rFonts w:ascii="Arial" w:hAnsi="Arial" w:cs="Arial"/>
          <w:b/>
          <w:color w:val="auto"/>
          <w:sz w:val="32"/>
          <w:szCs w:val="32"/>
          <w:highlight w:val="none"/>
        </w:rPr>
        <w:t>投标</w:t>
      </w:r>
      <w:r>
        <w:rPr>
          <w:rFonts w:hint="eastAsia" w:ascii="Arial" w:hAnsi="Arial" w:cs="Arial"/>
          <w:b/>
          <w:color w:val="auto"/>
          <w:sz w:val="32"/>
          <w:szCs w:val="32"/>
          <w:highlight w:val="none"/>
        </w:rPr>
        <w:t>函</w:t>
      </w:r>
    </w:p>
    <w:p>
      <w:pPr>
        <w:pStyle w:val="19"/>
        <w:widowControl/>
        <w:spacing w:line="360" w:lineRule="auto"/>
        <w:ind w:firstLine="0"/>
        <w:jc w:val="center"/>
        <w:rPr>
          <w:rFonts w:ascii="Arial" w:hAnsi="Arial" w:cs="Arial"/>
          <w:b/>
          <w:color w:val="auto"/>
          <w:highlight w:val="none"/>
        </w:rPr>
      </w:pPr>
    </w:p>
    <w:p>
      <w:pPr>
        <w:pStyle w:val="19"/>
        <w:widowControl/>
        <w:spacing w:line="360" w:lineRule="auto"/>
        <w:ind w:firstLine="0"/>
        <w:jc w:val="left"/>
        <w:rPr>
          <w:rFonts w:ascii="Arial" w:hAnsi="Arial" w:cs="Arial"/>
          <w:color w:val="auto"/>
          <w:sz w:val="22"/>
          <w:szCs w:val="22"/>
          <w:highlight w:val="none"/>
        </w:rPr>
      </w:pPr>
      <w:r>
        <w:rPr>
          <w:rFonts w:ascii="Arial" w:hAnsi="Arial" w:cs="Arial"/>
          <w:color w:val="auto"/>
          <w:sz w:val="22"/>
          <w:szCs w:val="22"/>
          <w:highlight w:val="none"/>
          <w:u w:val="single"/>
        </w:rPr>
        <w:t>致（采购代理机构）</w:t>
      </w:r>
      <w:r>
        <w:rPr>
          <w:rFonts w:ascii="Arial" w:hAnsi="Arial" w:cs="Arial"/>
          <w:color w:val="auto"/>
          <w:sz w:val="22"/>
          <w:szCs w:val="22"/>
          <w:highlight w:val="none"/>
        </w:rPr>
        <w:t>：</w:t>
      </w:r>
    </w:p>
    <w:p>
      <w:pPr>
        <w:pStyle w:val="19"/>
        <w:widowControl/>
        <w:spacing w:line="360" w:lineRule="auto"/>
        <w:jc w:val="left"/>
        <w:rPr>
          <w:rFonts w:ascii="Arial" w:hAnsi="Arial" w:cs="Arial"/>
          <w:color w:val="auto"/>
          <w:sz w:val="22"/>
          <w:szCs w:val="22"/>
          <w:highlight w:val="none"/>
        </w:rPr>
      </w:pPr>
      <w:r>
        <w:rPr>
          <w:rFonts w:ascii="Arial" w:hAnsi="Arial" w:cs="Arial"/>
          <w:color w:val="auto"/>
          <w:sz w:val="22"/>
          <w:szCs w:val="22"/>
          <w:highlight w:val="none"/>
          <w:u w:val="single"/>
        </w:rPr>
        <w:t>（投标人全称）</w:t>
      </w:r>
      <w:r>
        <w:rPr>
          <w:rFonts w:ascii="Arial" w:hAnsi="Arial" w:cs="Arial"/>
          <w:color w:val="auto"/>
          <w:sz w:val="22"/>
          <w:szCs w:val="22"/>
          <w:highlight w:val="none"/>
        </w:rPr>
        <w:t>授权</w:t>
      </w:r>
      <w:r>
        <w:rPr>
          <w:rFonts w:ascii="Arial" w:hAnsi="Arial" w:cs="Arial"/>
          <w:color w:val="auto"/>
          <w:sz w:val="22"/>
          <w:szCs w:val="22"/>
          <w:highlight w:val="none"/>
          <w:u w:val="single"/>
        </w:rPr>
        <w:t xml:space="preserve">（授权代表姓名、职务） </w:t>
      </w:r>
      <w:r>
        <w:rPr>
          <w:rFonts w:ascii="Arial" w:hAnsi="Arial" w:cs="Arial"/>
          <w:color w:val="auto"/>
          <w:sz w:val="22"/>
          <w:szCs w:val="22"/>
          <w:highlight w:val="none"/>
        </w:rPr>
        <w:t>为本公司（单位）合法代理人，参加贵方组织的</w:t>
      </w:r>
      <w:r>
        <w:rPr>
          <w:rFonts w:ascii="Arial" w:hAnsi="Arial" w:cs="Arial"/>
          <w:color w:val="auto"/>
          <w:sz w:val="22"/>
          <w:szCs w:val="22"/>
          <w:highlight w:val="none"/>
          <w:u w:val="single"/>
        </w:rPr>
        <w:t xml:space="preserve">（项目编号、项目名称） </w:t>
      </w:r>
      <w:r>
        <w:rPr>
          <w:rFonts w:ascii="Arial" w:hAnsi="Arial" w:cs="Arial"/>
          <w:color w:val="auto"/>
          <w:sz w:val="22"/>
          <w:szCs w:val="22"/>
          <w:highlight w:val="none"/>
        </w:rPr>
        <w:t>招投标活动，代表本公司（单位）处理招投标活动中的一切事宜，为对此进行投标，在此：</w:t>
      </w:r>
    </w:p>
    <w:p>
      <w:pPr>
        <w:pStyle w:val="19"/>
        <w:widowControl/>
        <w:spacing w:line="360" w:lineRule="auto"/>
        <w:ind w:firstLine="0"/>
        <w:jc w:val="left"/>
        <w:rPr>
          <w:rFonts w:ascii="Arial" w:hAnsi="Arial" w:cs="Arial"/>
          <w:b/>
          <w:bCs/>
          <w:color w:val="auto"/>
          <w:sz w:val="22"/>
          <w:szCs w:val="22"/>
          <w:highlight w:val="none"/>
          <w:u w:val="single"/>
        </w:rPr>
      </w:pPr>
      <w:r>
        <w:rPr>
          <w:rFonts w:ascii="Arial" w:hAnsi="Arial" w:cs="Arial"/>
          <w:color w:val="auto"/>
          <w:sz w:val="22"/>
          <w:szCs w:val="22"/>
          <w:highlight w:val="none"/>
        </w:rPr>
        <w:t>1、提供招标采购文件中“投标须知”规定的全部投标文件：</w:t>
      </w:r>
      <w:r>
        <w:rPr>
          <w:rFonts w:ascii="Arial" w:hAnsi="Arial" w:cs="Arial"/>
          <w:b/>
          <w:bCs/>
          <w:color w:val="auto"/>
          <w:sz w:val="22"/>
          <w:szCs w:val="22"/>
          <w:highlight w:val="none"/>
          <w:u w:val="single"/>
        </w:rPr>
        <w:t>资格证明文件、报价文件及技术商务文件正本各1份，副本各</w:t>
      </w:r>
      <w:r>
        <w:rPr>
          <w:rFonts w:hint="eastAsia" w:ascii="Arial" w:hAnsi="Arial" w:cs="Arial"/>
          <w:b/>
          <w:bCs/>
          <w:color w:val="auto"/>
          <w:sz w:val="22"/>
          <w:szCs w:val="22"/>
          <w:highlight w:val="none"/>
          <w:u w:val="single"/>
        </w:rPr>
        <w:t>4</w:t>
      </w:r>
      <w:r>
        <w:rPr>
          <w:rFonts w:ascii="Arial" w:hAnsi="Arial" w:cs="Arial"/>
          <w:b/>
          <w:bCs/>
          <w:color w:val="auto"/>
          <w:sz w:val="22"/>
          <w:szCs w:val="22"/>
          <w:highlight w:val="none"/>
          <w:u w:val="single"/>
        </w:rPr>
        <w:t>份</w:t>
      </w:r>
      <w:r>
        <w:rPr>
          <w:rFonts w:hint="eastAsia" w:ascii="Arial" w:hAnsi="Arial" w:cs="Arial"/>
          <w:b/>
          <w:bCs/>
          <w:color w:val="auto"/>
          <w:sz w:val="22"/>
          <w:szCs w:val="22"/>
          <w:highlight w:val="none"/>
          <w:u w:val="single"/>
        </w:rPr>
        <w:t>。</w:t>
      </w:r>
    </w:p>
    <w:p>
      <w:pPr>
        <w:pStyle w:val="19"/>
        <w:widowControl/>
        <w:numPr>
          <w:ilvl w:val="0"/>
          <w:numId w:val="19"/>
        </w:numPr>
        <w:spacing w:line="360" w:lineRule="auto"/>
        <w:ind w:firstLine="0"/>
        <w:jc w:val="left"/>
        <w:rPr>
          <w:rFonts w:ascii="Arial" w:hAnsi="Arial" w:cs="Arial"/>
          <w:color w:val="auto"/>
          <w:sz w:val="22"/>
          <w:szCs w:val="22"/>
          <w:highlight w:val="none"/>
        </w:rPr>
      </w:pPr>
      <w:r>
        <w:rPr>
          <w:rFonts w:ascii="Arial" w:hAnsi="Arial" w:cs="Arial"/>
          <w:color w:val="auto"/>
          <w:sz w:val="22"/>
          <w:szCs w:val="22"/>
          <w:highlight w:val="none"/>
        </w:rPr>
        <w:t>据此函，签字代表宣布并承诺如下：</w:t>
      </w:r>
    </w:p>
    <w:p>
      <w:pPr>
        <w:pStyle w:val="19"/>
        <w:widowControl/>
        <w:spacing w:line="360" w:lineRule="auto"/>
        <w:ind w:firstLine="0"/>
        <w:jc w:val="left"/>
        <w:rPr>
          <w:rFonts w:ascii="Arial" w:hAnsi="Arial" w:cs="Arial"/>
          <w:color w:val="auto"/>
          <w:sz w:val="22"/>
          <w:szCs w:val="22"/>
          <w:highlight w:val="none"/>
        </w:rPr>
      </w:pPr>
      <w:r>
        <w:rPr>
          <w:rFonts w:ascii="Arial" w:hAnsi="Arial" w:cs="Arial"/>
          <w:color w:val="auto"/>
          <w:sz w:val="22"/>
          <w:szCs w:val="22"/>
          <w:highlight w:val="none"/>
        </w:rPr>
        <w:t xml:space="preserve">    （1）投标总价</w:t>
      </w:r>
      <w:r>
        <w:rPr>
          <w:rFonts w:hint="eastAsia" w:ascii="Arial" w:hAnsi="Arial" w:cs="Arial"/>
          <w:color w:val="auto"/>
          <w:sz w:val="22"/>
          <w:szCs w:val="22"/>
          <w:highlight w:val="none"/>
        </w:rPr>
        <w:t>人民币</w:t>
      </w:r>
      <w:r>
        <w:rPr>
          <w:rFonts w:ascii="Arial" w:hAnsi="Arial" w:cs="Arial"/>
          <w:color w:val="auto"/>
          <w:sz w:val="22"/>
          <w:szCs w:val="22"/>
          <w:highlight w:val="none"/>
        </w:rPr>
        <w:t>（大写）</w:t>
      </w:r>
      <w:r>
        <w:rPr>
          <w:rFonts w:ascii="Arial" w:hAnsi="Arial" w:cs="Arial"/>
          <w:b/>
          <w:bCs/>
          <w:color w:val="auto"/>
          <w:sz w:val="22"/>
          <w:szCs w:val="22"/>
          <w:highlight w:val="none"/>
        </w:rPr>
        <w:t>：</w:t>
      </w:r>
      <w:r>
        <w:rPr>
          <w:rFonts w:hint="eastAsia" w:ascii="Arial" w:hAnsi="Arial" w:cs="Arial"/>
          <w:b/>
          <w:bCs/>
          <w:color w:val="auto"/>
          <w:sz w:val="22"/>
          <w:szCs w:val="22"/>
          <w:highlight w:val="none"/>
          <w:u w:val="single"/>
        </w:rPr>
        <w:t xml:space="preserve">     </w:t>
      </w:r>
      <w:r>
        <w:rPr>
          <w:rFonts w:ascii="Arial" w:hAnsi="Arial" w:cs="Arial"/>
          <w:b/>
          <w:bCs/>
          <w:color w:val="auto"/>
          <w:sz w:val="22"/>
          <w:szCs w:val="22"/>
          <w:highlight w:val="none"/>
        </w:rPr>
        <w:t>元</w:t>
      </w:r>
      <w:r>
        <w:rPr>
          <w:rFonts w:hint="eastAsia" w:ascii="Arial" w:hAnsi="Arial" w:cs="Arial"/>
          <w:b/>
          <w:bCs/>
          <w:color w:val="auto"/>
          <w:sz w:val="22"/>
          <w:szCs w:val="22"/>
          <w:highlight w:val="none"/>
        </w:rPr>
        <w:t>/3年（小写：</w:t>
      </w:r>
      <w:r>
        <w:rPr>
          <w:rFonts w:hint="eastAsia" w:ascii="Arial" w:hAnsi="Arial" w:cs="Arial"/>
          <w:b/>
          <w:bCs/>
          <w:color w:val="auto"/>
          <w:sz w:val="22"/>
          <w:szCs w:val="22"/>
          <w:highlight w:val="none"/>
          <w:u w:val="single"/>
        </w:rPr>
        <w:t xml:space="preserve">   元/3年</w:t>
      </w:r>
      <w:r>
        <w:rPr>
          <w:rFonts w:hint="eastAsia" w:ascii="Arial" w:hAnsi="Arial" w:cs="Arial"/>
          <w:b/>
          <w:bCs/>
          <w:color w:val="auto"/>
          <w:sz w:val="22"/>
          <w:szCs w:val="22"/>
          <w:highlight w:val="none"/>
        </w:rPr>
        <w:t>）</w:t>
      </w:r>
      <w:r>
        <w:rPr>
          <w:rFonts w:ascii="Arial" w:hAnsi="Arial" w:cs="Arial"/>
          <w:color w:val="auto"/>
          <w:sz w:val="22"/>
          <w:szCs w:val="22"/>
          <w:highlight w:val="none"/>
        </w:rPr>
        <w:t>。本报价已经包含了所供货物应纳的税金及招标采购文件规定的报价方式应包含的其它费用。本报价在投标有效期内固定不变，并在合同有效期内不受利率波动的影响。</w:t>
      </w:r>
    </w:p>
    <w:p>
      <w:pPr>
        <w:pStyle w:val="19"/>
        <w:widowControl/>
        <w:numPr>
          <w:ilvl w:val="0"/>
          <w:numId w:val="20"/>
        </w:numPr>
        <w:spacing w:line="360" w:lineRule="auto"/>
        <w:ind w:firstLine="424" w:firstLineChars="200"/>
        <w:jc w:val="left"/>
        <w:rPr>
          <w:rFonts w:ascii="Arial" w:hAnsi="Arial" w:cs="Arial"/>
          <w:color w:val="auto"/>
          <w:sz w:val="22"/>
          <w:szCs w:val="22"/>
          <w:highlight w:val="none"/>
        </w:rPr>
      </w:pPr>
      <w:r>
        <w:rPr>
          <w:rFonts w:ascii="Arial" w:hAnsi="Arial" w:cs="Arial"/>
          <w:color w:val="auto"/>
          <w:sz w:val="22"/>
          <w:szCs w:val="22"/>
          <w:highlight w:val="none"/>
        </w:rPr>
        <w:t>本投标自开标之日起</w:t>
      </w:r>
      <w:r>
        <w:rPr>
          <w:rFonts w:hint="eastAsia" w:ascii="Arial" w:hAnsi="Arial" w:cs="Arial"/>
          <w:color w:val="auto"/>
          <w:sz w:val="22"/>
          <w:szCs w:val="22"/>
          <w:highlight w:val="none"/>
          <w:u w:val="single"/>
        </w:rPr>
        <w:t>90</w:t>
      </w:r>
      <w:r>
        <w:rPr>
          <w:rFonts w:ascii="Arial" w:hAnsi="Arial" w:cs="Arial"/>
          <w:color w:val="auto"/>
          <w:sz w:val="22"/>
          <w:szCs w:val="22"/>
          <w:highlight w:val="none"/>
        </w:rPr>
        <w:t>天内有效。</w:t>
      </w:r>
    </w:p>
    <w:p>
      <w:pPr>
        <w:pStyle w:val="19"/>
        <w:widowControl/>
        <w:numPr>
          <w:ilvl w:val="0"/>
          <w:numId w:val="20"/>
        </w:numPr>
        <w:spacing w:line="360" w:lineRule="auto"/>
        <w:ind w:firstLine="424" w:firstLineChars="200"/>
        <w:jc w:val="left"/>
        <w:rPr>
          <w:rFonts w:ascii="Arial" w:hAnsi="Arial" w:cs="Arial"/>
          <w:color w:val="auto"/>
          <w:sz w:val="22"/>
          <w:szCs w:val="22"/>
          <w:highlight w:val="none"/>
        </w:rPr>
      </w:pPr>
      <w:r>
        <w:rPr>
          <w:rFonts w:ascii="Arial" w:hAnsi="Arial" w:cs="Arial"/>
          <w:color w:val="auto"/>
          <w:sz w:val="22"/>
          <w:szCs w:val="22"/>
          <w:highlight w:val="none"/>
        </w:rPr>
        <w:t>我们已详细审查全部招标采购文件及有关的澄清/修改文件(若有的话)，我们完全理解并同意放弃对这方面提出任何异议的权利。保证遵守招标采购文件有关条款规定。</w:t>
      </w:r>
    </w:p>
    <w:p>
      <w:pPr>
        <w:pStyle w:val="19"/>
        <w:widowControl/>
        <w:numPr>
          <w:ilvl w:val="0"/>
          <w:numId w:val="20"/>
        </w:numPr>
        <w:spacing w:line="360" w:lineRule="auto"/>
        <w:ind w:firstLine="424" w:firstLineChars="200"/>
        <w:jc w:val="left"/>
        <w:rPr>
          <w:rFonts w:ascii="Arial" w:hAnsi="Arial" w:cs="Arial"/>
          <w:color w:val="auto"/>
          <w:sz w:val="22"/>
          <w:szCs w:val="22"/>
          <w:highlight w:val="none"/>
        </w:rPr>
      </w:pPr>
      <w:r>
        <w:rPr>
          <w:rFonts w:ascii="Arial" w:hAnsi="Arial" w:cs="Arial"/>
          <w:color w:val="auto"/>
          <w:sz w:val="22"/>
          <w:szCs w:val="22"/>
          <w:highlight w:val="none"/>
        </w:rPr>
        <w:t>保证在中标后忠实地执行与采购人所签署的合同，并承担合同规定的责任义务。</w:t>
      </w:r>
    </w:p>
    <w:p>
      <w:pPr>
        <w:pStyle w:val="19"/>
        <w:widowControl/>
        <w:numPr>
          <w:ilvl w:val="0"/>
          <w:numId w:val="20"/>
        </w:numPr>
        <w:spacing w:line="360" w:lineRule="auto"/>
        <w:ind w:firstLine="424" w:firstLineChars="200"/>
        <w:jc w:val="left"/>
        <w:rPr>
          <w:rFonts w:ascii="Arial" w:hAnsi="Arial" w:cs="Arial"/>
          <w:color w:val="auto"/>
          <w:sz w:val="22"/>
          <w:szCs w:val="22"/>
          <w:highlight w:val="none"/>
        </w:rPr>
      </w:pPr>
      <w:r>
        <w:rPr>
          <w:rFonts w:ascii="Arial" w:hAnsi="Arial" w:cs="Arial"/>
          <w:color w:val="auto"/>
          <w:sz w:val="22"/>
          <w:szCs w:val="22"/>
          <w:highlight w:val="none"/>
        </w:rPr>
        <w:t>承诺应贵方要求提供任何与该项目投标有关的数据、情况和技术资料。</w:t>
      </w:r>
    </w:p>
    <w:p>
      <w:pPr>
        <w:pStyle w:val="19"/>
        <w:widowControl/>
        <w:numPr>
          <w:ilvl w:val="0"/>
          <w:numId w:val="20"/>
        </w:numPr>
        <w:spacing w:line="360" w:lineRule="auto"/>
        <w:ind w:firstLine="424" w:firstLineChars="200"/>
        <w:jc w:val="left"/>
        <w:rPr>
          <w:rFonts w:ascii="Arial" w:hAnsi="Arial" w:cs="Arial"/>
          <w:color w:val="auto"/>
          <w:sz w:val="22"/>
          <w:szCs w:val="22"/>
          <w:highlight w:val="none"/>
        </w:rPr>
      </w:pPr>
      <w:r>
        <w:rPr>
          <w:rFonts w:ascii="Arial" w:hAnsi="Arial" w:cs="Arial"/>
          <w:color w:val="auto"/>
          <w:sz w:val="22"/>
          <w:szCs w:val="22"/>
          <w:highlight w:val="none"/>
        </w:rPr>
        <w:t>我们承诺，与为采购人采购本次招标的货物进行设计、编制规范和其他文件所委托的咨询公司或其附属机构无任何直接或间接的关联。</w:t>
      </w:r>
    </w:p>
    <w:p>
      <w:pPr>
        <w:pStyle w:val="19"/>
        <w:widowControl/>
        <w:numPr>
          <w:ilvl w:val="0"/>
          <w:numId w:val="20"/>
        </w:numPr>
        <w:spacing w:line="360" w:lineRule="auto"/>
        <w:ind w:firstLine="424" w:firstLineChars="200"/>
        <w:jc w:val="left"/>
        <w:rPr>
          <w:rFonts w:ascii="Arial" w:hAnsi="Arial" w:cs="Arial"/>
          <w:color w:val="auto"/>
          <w:sz w:val="22"/>
          <w:szCs w:val="22"/>
          <w:highlight w:val="none"/>
        </w:rPr>
      </w:pPr>
      <w:r>
        <w:rPr>
          <w:rFonts w:ascii="Arial" w:hAnsi="Arial" w:cs="Arial"/>
          <w:color w:val="auto"/>
          <w:sz w:val="22"/>
          <w:szCs w:val="22"/>
          <w:highlight w:val="none"/>
        </w:rPr>
        <w:t>投标人已详细审查并理解全部招标采购文件，已完全明确招标采购文件中的全部内容。如有违反，愿意接受监管机构相应的处理。</w:t>
      </w:r>
    </w:p>
    <w:p>
      <w:pPr>
        <w:pStyle w:val="19"/>
        <w:widowControl/>
        <w:spacing w:line="360" w:lineRule="auto"/>
        <w:ind w:firstLine="0"/>
        <w:jc w:val="left"/>
        <w:rPr>
          <w:rFonts w:ascii="Arial" w:hAnsi="Arial" w:cs="Arial"/>
          <w:color w:val="auto"/>
          <w:sz w:val="22"/>
          <w:szCs w:val="22"/>
          <w:highlight w:val="none"/>
        </w:rPr>
      </w:pPr>
      <w:r>
        <w:rPr>
          <w:rFonts w:hint="eastAsia" w:ascii="Arial" w:hAnsi="Arial" w:cs="Arial"/>
          <w:color w:val="auto"/>
          <w:sz w:val="22"/>
          <w:szCs w:val="22"/>
          <w:highlight w:val="none"/>
        </w:rPr>
        <w:t>3</w:t>
      </w:r>
      <w:r>
        <w:rPr>
          <w:rFonts w:ascii="Arial" w:hAnsi="Arial" w:cs="Arial"/>
          <w:color w:val="auto"/>
          <w:sz w:val="22"/>
          <w:szCs w:val="22"/>
          <w:highlight w:val="none"/>
        </w:rPr>
        <w:t>、与本投标有关的一切往来通讯请寄：</w:t>
      </w:r>
    </w:p>
    <w:p>
      <w:pPr>
        <w:pStyle w:val="19"/>
        <w:widowControl/>
        <w:spacing w:line="360" w:lineRule="auto"/>
        <w:jc w:val="left"/>
        <w:rPr>
          <w:rFonts w:ascii="Arial" w:hAnsi="Arial" w:cs="Arial"/>
          <w:color w:val="auto"/>
          <w:sz w:val="22"/>
          <w:szCs w:val="22"/>
          <w:highlight w:val="none"/>
        </w:rPr>
      </w:pPr>
      <w:r>
        <w:rPr>
          <w:rFonts w:ascii="Arial" w:hAnsi="Arial" w:cs="Arial"/>
          <w:color w:val="auto"/>
          <w:sz w:val="22"/>
          <w:szCs w:val="22"/>
          <w:highlight w:val="none"/>
        </w:rPr>
        <w:t>地址：</w:t>
      </w:r>
    </w:p>
    <w:p>
      <w:pPr>
        <w:pStyle w:val="19"/>
        <w:widowControl/>
        <w:spacing w:line="360" w:lineRule="auto"/>
        <w:jc w:val="left"/>
        <w:rPr>
          <w:rFonts w:ascii="Arial" w:hAnsi="Arial" w:cs="Arial"/>
          <w:color w:val="auto"/>
          <w:sz w:val="22"/>
          <w:szCs w:val="22"/>
          <w:highlight w:val="none"/>
          <w:u w:val="single"/>
        </w:rPr>
      </w:pPr>
      <w:r>
        <w:rPr>
          <w:rFonts w:ascii="Arial" w:hAnsi="Arial" w:cs="Arial"/>
          <w:color w:val="auto"/>
          <w:sz w:val="22"/>
          <w:szCs w:val="22"/>
          <w:highlight w:val="none"/>
        </w:rPr>
        <w:t>邮编：电话：传真：</w:t>
      </w:r>
    </w:p>
    <w:p>
      <w:pPr>
        <w:pStyle w:val="19"/>
        <w:widowControl/>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 xml:space="preserve">法定代表人或授权代表(签字或盖章)：                   </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日  期：</w:t>
      </w: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b/>
          <w:color w:val="auto"/>
          <w:szCs w:val="21"/>
          <w:highlight w:val="none"/>
        </w:rPr>
      </w:pPr>
      <w:r>
        <w:rPr>
          <w:rFonts w:ascii="Arial" w:hAnsi="Arial" w:cs="Arial"/>
          <w:b/>
          <w:color w:val="auto"/>
          <w:szCs w:val="21"/>
          <w:highlight w:val="none"/>
        </w:rPr>
        <w:t>格式</w:t>
      </w:r>
      <w:r>
        <w:rPr>
          <w:rFonts w:hint="eastAsia" w:ascii="Arial" w:hAnsi="Arial" w:cs="Arial"/>
          <w:b/>
          <w:color w:val="auto"/>
          <w:szCs w:val="21"/>
          <w:highlight w:val="none"/>
        </w:rPr>
        <w:t>五</w:t>
      </w:r>
      <w:r>
        <w:rPr>
          <w:rFonts w:ascii="Arial" w:hAnsi="Arial" w:cs="Arial"/>
          <w:b/>
          <w:color w:val="auto"/>
          <w:szCs w:val="21"/>
          <w:highlight w:val="none"/>
        </w:rPr>
        <w:t>：</w:t>
      </w:r>
    </w:p>
    <w:p>
      <w:pPr>
        <w:pStyle w:val="19"/>
        <w:widowControl/>
        <w:spacing w:line="360" w:lineRule="auto"/>
        <w:ind w:firstLine="0"/>
        <w:jc w:val="center"/>
        <w:rPr>
          <w:rFonts w:ascii="Arial" w:hAnsi="Arial" w:cs="Arial"/>
          <w:b/>
          <w:color w:val="auto"/>
          <w:sz w:val="32"/>
          <w:szCs w:val="32"/>
          <w:highlight w:val="none"/>
        </w:rPr>
      </w:pPr>
      <w:r>
        <w:rPr>
          <w:rFonts w:ascii="Arial" w:hAnsi="Arial" w:cs="Arial"/>
          <w:b/>
          <w:color w:val="auto"/>
          <w:sz w:val="32"/>
          <w:szCs w:val="32"/>
          <w:highlight w:val="none"/>
        </w:rPr>
        <w:t>开标一览表</w:t>
      </w:r>
    </w:p>
    <w:p>
      <w:pPr>
        <w:pStyle w:val="19"/>
        <w:widowControl/>
        <w:tabs>
          <w:tab w:val="left" w:pos="4841"/>
        </w:tabs>
        <w:spacing w:line="360" w:lineRule="auto"/>
        <w:ind w:firstLine="0"/>
        <w:jc w:val="center"/>
        <w:rPr>
          <w:rFonts w:ascii="Arial" w:hAnsi="Arial" w:cs="Arial"/>
          <w:b/>
          <w:color w:val="auto"/>
          <w:highlight w:val="none"/>
        </w:rPr>
      </w:pPr>
    </w:p>
    <w:p>
      <w:pPr>
        <w:pStyle w:val="19"/>
        <w:widowControl/>
        <w:spacing w:line="360" w:lineRule="auto"/>
        <w:ind w:firstLine="0"/>
        <w:rPr>
          <w:rFonts w:ascii="Arial" w:hAnsi="Arial" w:cs="Arial"/>
          <w:color w:val="auto"/>
          <w:sz w:val="21"/>
          <w:highlight w:val="none"/>
          <w:u w:val="single"/>
        </w:rPr>
      </w:pPr>
      <w:r>
        <w:rPr>
          <w:rFonts w:ascii="Arial" w:hAnsi="Arial" w:cs="Arial"/>
          <w:color w:val="auto"/>
          <w:sz w:val="21"/>
          <w:highlight w:val="none"/>
        </w:rPr>
        <w:t xml:space="preserve">项目名称： </w:t>
      </w:r>
    </w:p>
    <w:tbl>
      <w:tblPr>
        <w:tblStyle w:val="44"/>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418"/>
        <w:gridCol w:w="1842"/>
        <w:gridCol w:w="1135"/>
        <w:gridCol w:w="1276"/>
        <w:gridCol w:w="1279"/>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序号</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村名</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电流保护器总户数</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单价</w:t>
            </w:r>
          </w:p>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（元）</w:t>
            </w: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合价</w:t>
            </w:r>
          </w:p>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（元）</w:t>
            </w:r>
          </w:p>
        </w:tc>
        <w:tc>
          <w:tcPr>
            <w:tcW w:w="12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服务期限</w:t>
            </w:r>
          </w:p>
        </w:tc>
        <w:tc>
          <w:tcPr>
            <w:tcW w:w="1181"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lang w:val="en-US" w:eastAsia="zh-CN"/>
              </w:rPr>
              <w:t>3年</w:t>
            </w:r>
            <w:r>
              <w:rPr>
                <w:rFonts w:ascii="Arial" w:hAnsi="Arial" w:cs="Arial"/>
                <w:color w:val="auto"/>
                <w:sz w:val="22"/>
                <w:szCs w:val="22"/>
                <w:highlight w:val="none"/>
              </w:rPr>
              <w:t>投标总报价（</w:t>
            </w:r>
            <w:r>
              <w:rPr>
                <w:rFonts w:hint="eastAsia" w:ascii="Arial" w:hAnsi="Arial" w:cs="Arial"/>
                <w:color w:val="auto"/>
                <w:sz w:val="22"/>
                <w:szCs w:val="22"/>
                <w:highlight w:val="none"/>
              </w:rPr>
              <w:t>元</w:t>
            </w:r>
            <w:r>
              <w:rPr>
                <w:rFonts w:ascii="Arial" w:hAnsi="Arial" w:cs="Arial"/>
                <w:color w:val="auto"/>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城杨村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515只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3年</w:t>
            </w:r>
          </w:p>
        </w:tc>
        <w:tc>
          <w:tcPr>
            <w:tcW w:w="118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2</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殷湾村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1428只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3</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俞塘村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794只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4</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韩岭村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1036只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5</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象坎村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280只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6</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郭家峙村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755只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7</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绿野村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438只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8</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洋山村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297只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9</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利民村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984只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10</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陶公村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953只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11</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莫枝村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1581只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12</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东村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555只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13</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西村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414只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14</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前堰头村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746只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15</w:t>
            </w:r>
          </w:p>
        </w:tc>
        <w:tc>
          <w:tcPr>
            <w:tcW w:w="1418"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下王村</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979只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exact"/>
        </w:trPr>
        <w:tc>
          <w:tcPr>
            <w:tcW w:w="2127" w:type="dxa"/>
            <w:gridSpan w:val="2"/>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合计</w:t>
            </w:r>
          </w:p>
        </w:tc>
        <w:tc>
          <w:tcPr>
            <w:tcW w:w="1842"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11755只</w:t>
            </w:r>
          </w:p>
        </w:tc>
        <w:tc>
          <w:tcPr>
            <w:tcW w:w="11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27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c>
          <w:tcPr>
            <w:tcW w:w="11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exact"/>
        </w:trPr>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p>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center"/>
              <w:textAlignment w:val="auto"/>
              <w:outlineLvl w:val="9"/>
              <w:rPr>
                <w:rFonts w:ascii="Arial" w:hAnsi="Arial" w:cs="Arial"/>
                <w:color w:val="auto"/>
                <w:sz w:val="22"/>
                <w:szCs w:val="22"/>
                <w:highlight w:val="none"/>
              </w:rPr>
            </w:pPr>
            <w:r>
              <w:rPr>
                <w:rFonts w:hint="eastAsia" w:ascii="Arial" w:hAnsi="Arial" w:cs="Arial"/>
                <w:color w:val="auto"/>
                <w:sz w:val="22"/>
                <w:szCs w:val="22"/>
                <w:highlight w:val="none"/>
              </w:rPr>
              <w:t>报</w:t>
            </w:r>
            <w:r>
              <w:rPr>
                <w:rFonts w:ascii="Arial" w:hAnsi="Arial" w:cs="Arial"/>
                <w:color w:val="auto"/>
                <w:sz w:val="22"/>
                <w:szCs w:val="22"/>
                <w:highlight w:val="none"/>
              </w:rPr>
              <w:t xml:space="preserve"> </w:t>
            </w:r>
            <w:r>
              <w:rPr>
                <w:rFonts w:hint="eastAsia" w:ascii="Arial" w:hAnsi="Arial" w:cs="Arial"/>
                <w:color w:val="auto"/>
                <w:sz w:val="22"/>
                <w:szCs w:val="22"/>
                <w:highlight w:val="none"/>
              </w:rPr>
              <w:t>价</w:t>
            </w:r>
            <w:r>
              <w:rPr>
                <w:rFonts w:ascii="Arial" w:hAnsi="Arial" w:cs="Arial"/>
                <w:color w:val="auto"/>
                <w:sz w:val="22"/>
                <w:szCs w:val="22"/>
                <w:highlight w:val="none"/>
              </w:rPr>
              <w:t xml:space="preserve"> </w:t>
            </w:r>
            <w:r>
              <w:rPr>
                <w:rFonts w:hint="eastAsia" w:ascii="Arial" w:hAnsi="Arial" w:cs="Arial"/>
                <w:color w:val="auto"/>
                <w:sz w:val="22"/>
                <w:szCs w:val="22"/>
                <w:highlight w:val="none"/>
              </w:rPr>
              <w:t>声</w:t>
            </w:r>
            <w:r>
              <w:rPr>
                <w:rFonts w:ascii="Arial" w:hAnsi="Arial" w:cs="Arial"/>
                <w:color w:val="auto"/>
                <w:sz w:val="22"/>
                <w:szCs w:val="22"/>
                <w:highlight w:val="none"/>
              </w:rPr>
              <w:t xml:space="preserve"> </w:t>
            </w:r>
            <w:r>
              <w:rPr>
                <w:rFonts w:hint="eastAsia" w:ascii="Arial" w:hAnsi="Arial" w:cs="Arial"/>
                <w:color w:val="auto"/>
                <w:sz w:val="22"/>
                <w:szCs w:val="22"/>
                <w:highlight w:val="none"/>
              </w:rPr>
              <w:t>明</w:t>
            </w:r>
          </w:p>
        </w:tc>
        <w:tc>
          <w:tcPr>
            <w:tcW w:w="8131" w:type="dxa"/>
            <w:gridSpan w:val="6"/>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hint="eastAsia" w:ascii="Arial" w:hAnsi="Arial" w:cs="Arial"/>
                <w:b/>
                <w:bCs/>
                <w:color w:val="auto"/>
                <w:sz w:val="22"/>
                <w:szCs w:val="22"/>
                <w:highlight w:val="none"/>
                <w:lang w:val="en-US" w:eastAsia="zh-CN"/>
              </w:rPr>
            </w:pPr>
            <w:r>
              <w:rPr>
                <w:rFonts w:hint="eastAsia" w:ascii="Arial" w:hAnsi="Arial" w:cs="Arial"/>
                <w:b/>
                <w:bCs/>
                <w:color w:val="auto"/>
                <w:sz w:val="22"/>
                <w:szCs w:val="22"/>
                <w:highlight w:val="none"/>
                <w:lang w:val="en-US" w:eastAsia="zh-CN"/>
              </w:rPr>
              <w:t>我单位度承诺：</w:t>
            </w:r>
          </w:p>
          <w:p>
            <w:pPr>
              <w:keepNext w:val="0"/>
              <w:keepLines w:val="0"/>
              <w:pageBreakBefore w:val="0"/>
              <w:widowControl/>
              <w:numPr>
                <w:ilvl w:val="0"/>
                <w:numId w:val="21"/>
              </w:numPr>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hint="eastAsia" w:ascii="Arial" w:hAnsi="Arial" w:cs="Arial"/>
                <w:b/>
                <w:bCs/>
                <w:color w:val="auto"/>
                <w:sz w:val="22"/>
                <w:szCs w:val="22"/>
                <w:highlight w:val="none"/>
              </w:rPr>
            </w:pPr>
            <w:r>
              <w:rPr>
                <w:rFonts w:hint="eastAsia" w:ascii="Arial" w:hAnsi="Arial" w:cs="Arial"/>
                <w:b/>
                <w:bCs/>
                <w:color w:val="auto"/>
                <w:sz w:val="22"/>
                <w:szCs w:val="22"/>
                <w:highlight w:val="none"/>
              </w:rPr>
              <w:t>设</w:t>
            </w:r>
            <w:r>
              <w:rPr>
                <w:rFonts w:hint="eastAsia" w:ascii="Arial" w:hAnsi="Arial" w:cs="Arial"/>
                <w:b/>
                <w:bCs/>
                <w:color w:val="auto"/>
                <w:sz w:val="22"/>
                <w:szCs w:val="22"/>
                <w:highlight w:val="none"/>
                <w:lang w:val="en-US" w:eastAsia="zh-CN"/>
              </w:rPr>
              <w:t>立</w:t>
            </w:r>
            <w:r>
              <w:rPr>
                <w:rFonts w:hint="eastAsia" w:ascii="Arial" w:hAnsi="Arial" w:cs="Arial"/>
                <w:b/>
                <w:bCs/>
                <w:color w:val="auto"/>
                <w:sz w:val="22"/>
                <w:szCs w:val="22"/>
                <w:highlight w:val="none"/>
              </w:rPr>
              <w:t xml:space="preserve"> 24 小时 值班室，且设立24小时服务电话并在全镇范围内广泛公布</w:t>
            </w:r>
            <w:r>
              <w:rPr>
                <w:rFonts w:hint="eastAsia" w:ascii="Arial" w:hAnsi="Arial" w:cs="Arial"/>
                <w:b/>
                <w:bCs/>
                <w:color w:val="auto"/>
                <w:sz w:val="22"/>
                <w:szCs w:val="22"/>
                <w:highlight w:val="none"/>
                <w:lang w:eastAsia="zh-CN"/>
              </w:rPr>
              <w:t>。</w:t>
            </w:r>
            <w:r>
              <w:rPr>
                <w:rFonts w:hint="eastAsia" w:ascii="Arial" w:hAnsi="Arial" w:cs="Arial"/>
                <w:b/>
                <w:bCs/>
                <w:color w:val="auto"/>
                <w:sz w:val="22"/>
                <w:szCs w:val="22"/>
                <w:highlight w:val="none"/>
              </w:rPr>
              <w:t>出现故障时，应在1小时内到达现场。</w:t>
            </w:r>
          </w:p>
          <w:p>
            <w:pPr>
              <w:keepNext w:val="0"/>
              <w:keepLines w:val="0"/>
              <w:pageBreakBefore w:val="0"/>
              <w:widowControl/>
              <w:numPr>
                <w:ilvl w:val="0"/>
                <w:numId w:val="21"/>
              </w:numPr>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hint="eastAsia" w:ascii="Arial" w:hAnsi="Arial" w:cs="Arial"/>
                <w:b/>
                <w:bCs/>
                <w:color w:val="auto"/>
                <w:sz w:val="22"/>
                <w:szCs w:val="22"/>
                <w:highlight w:val="none"/>
              </w:rPr>
            </w:pPr>
            <w:r>
              <w:rPr>
                <w:rFonts w:hint="eastAsia" w:ascii="Arial" w:hAnsi="Arial" w:cs="Arial"/>
                <w:b/>
                <w:bCs/>
                <w:color w:val="auto"/>
                <w:sz w:val="22"/>
                <w:szCs w:val="22"/>
                <w:highlight w:val="none"/>
              </w:rPr>
              <w:t>拟配置的作业人员提交上岗证的专业服务人员名单（需具有电工证上岗证书，特种作业人需具有特种作业人员操作证）。人员的配置需按不低于 2000 户/人（以电表为准）标准配置，人工费用由</w:t>
            </w:r>
            <w:r>
              <w:rPr>
                <w:rFonts w:hint="eastAsia" w:ascii="Arial" w:hAnsi="Arial" w:cs="Arial"/>
                <w:b/>
                <w:bCs/>
                <w:color w:val="auto"/>
                <w:sz w:val="22"/>
                <w:szCs w:val="22"/>
                <w:highlight w:val="none"/>
                <w:lang w:val="en-US" w:eastAsia="zh-CN"/>
              </w:rPr>
              <w:t>我单位</w:t>
            </w:r>
            <w:r>
              <w:rPr>
                <w:rFonts w:hint="eastAsia" w:ascii="Arial" w:hAnsi="Arial" w:cs="Arial"/>
                <w:b/>
                <w:bCs/>
                <w:color w:val="auto"/>
                <w:sz w:val="22"/>
                <w:szCs w:val="22"/>
                <w:highlight w:val="none"/>
              </w:rPr>
              <w:t>承担。</w:t>
            </w:r>
            <w:r>
              <w:rPr>
                <w:rFonts w:hint="eastAsia" w:ascii="Arial" w:hAnsi="Arial" w:cs="Arial"/>
                <w:b/>
                <w:bCs/>
                <w:color w:val="auto"/>
                <w:sz w:val="22"/>
                <w:szCs w:val="22"/>
                <w:highlight w:val="none"/>
                <w:lang w:val="en-US" w:eastAsia="zh-CN"/>
              </w:rPr>
              <w:t>我单位</w:t>
            </w:r>
            <w:r>
              <w:rPr>
                <w:rFonts w:hint="eastAsia" w:ascii="Arial" w:hAnsi="Arial" w:cs="Arial"/>
                <w:b/>
                <w:bCs/>
                <w:color w:val="auto"/>
                <w:sz w:val="22"/>
                <w:szCs w:val="22"/>
                <w:highlight w:val="none"/>
              </w:rPr>
              <w:t>对于一线操作员工</w:t>
            </w:r>
            <w:r>
              <w:rPr>
                <w:rFonts w:hint="eastAsia" w:ascii="Arial" w:hAnsi="Arial" w:cs="Arial"/>
                <w:b/>
                <w:bCs/>
                <w:color w:val="auto"/>
                <w:sz w:val="22"/>
                <w:szCs w:val="22"/>
                <w:highlight w:val="none"/>
                <w:lang w:val="en-US" w:eastAsia="zh-CN"/>
              </w:rPr>
              <w:t>会</w:t>
            </w:r>
            <w:r>
              <w:rPr>
                <w:rFonts w:hint="eastAsia" w:ascii="Arial" w:hAnsi="Arial" w:cs="Arial"/>
                <w:b/>
                <w:bCs/>
                <w:color w:val="auto"/>
                <w:sz w:val="22"/>
                <w:szCs w:val="22"/>
                <w:highlight w:val="none"/>
              </w:rPr>
              <w:t>购买相关保险，费用由</w:t>
            </w:r>
            <w:r>
              <w:rPr>
                <w:rFonts w:hint="eastAsia" w:ascii="Arial" w:hAnsi="Arial" w:cs="Arial"/>
                <w:b/>
                <w:bCs/>
                <w:color w:val="auto"/>
                <w:sz w:val="22"/>
                <w:szCs w:val="22"/>
                <w:highlight w:val="none"/>
                <w:lang w:val="en-US" w:eastAsia="zh-CN"/>
              </w:rPr>
              <w:t>我单位</w:t>
            </w:r>
            <w:r>
              <w:rPr>
                <w:rFonts w:hint="eastAsia" w:ascii="Arial" w:hAnsi="Arial" w:cs="Arial"/>
                <w:b/>
                <w:bCs/>
                <w:color w:val="auto"/>
                <w:sz w:val="22"/>
                <w:szCs w:val="22"/>
                <w:highlight w:val="none"/>
              </w:rPr>
              <w:t>支付。</w:t>
            </w:r>
          </w:p>
          <w:p>
            <w:pPr>
              <w:keepNext w:val="0"/>
              <w:keepLines w:val="0"/>
              <w:pageBreakBefore w:val="0"/>
              <w:widowControl/>
              <w:numPr>
                <w:ilvl w:val="0"/>
                <w:numId w:val="21"/>
              </w:numPr>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hint="eastAsia" w:ascii="Arial" w:hAnsi="Arial" w:cs="Arial"/>
                <w:b/>
                <w:bCs/>
                <w:color w:val="auto"/>
                <w:sz w:val="22"/>
                <w:szCs w:val="22"/>
                <w:highlight w:val="none"/>
              </w:rPr>
            </w:pPr>
            <w:r>
              <w:rPr>
                <w:rFonts w:hint="eastAsia" w:ascii="Arial" w:hAnsi="Arial" w:cs="Arial"/>
                <w:b/>
                <w:bCs/>
                <w:color w:val="auto"/>
                <w:sz w:val="22"/>
                <w:szCs w:val="22"/>
                <w:highlight w:val="none"/>
              </w:rPr>
              <w:t>负责指导农村居民及保护器定期试跳，至少每半年进行一次</w:t>
            </w:r>
            <w:r>
              <w:rPr>
                <w:rFonts w:hint="eastAsia" w:ascii="Arial" w:hAnsi="Arial" w:cs="Arial"/>
                <w:b/>
                <w:bCs/>
                <w:color w:val="auto"/>
                <w:sz w:val="22"/>
                <w:szCs w:val="22"/>
                <w:highlight w:val="none"/>
                <w:lang w:val="en-US" w:eastAsia="zh-CN"/>
              </w:rPr>
              <w:t>安全检查</w:t>
            </w:r>
            <w:r>
              <w:rPr>
                <w:rFonts w:hint="eastAsia" w:ascii="Arial" w:hAnsi="Arial" w:cs="Arial"/>
                <w:b/>
                <w:bCs/>
                <w:color w:val="auto"/>
                <w:sz w:val="22"/>
                <w:szCs w:val="2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hint="eastAsia" w:ascii="Arial" w:hAnsi="Arial" w:eastAsia="宋体" w:cs="Arial"/>
                <w:color w:val="auto"/>
                <w:sz w:val="22"/>
                <w:szCs w:val="22"/>
                <w:highlight w:val="none"/>
                <w:lang w:val="en-US" w:eastAsia="zh-CN"/>
              </w:rPr>
            </w:pPr>
            <w:r>
              <w:rPr>
                <w:rFonts w:hint="eastAsia" w:ascii="Arial" w:hAnsi="Arial" w:cs="Arial"/>
                <w:b/>
                <w:bCs/>
                <w:color w:val="auto"/>
                <w:sz w:val="22"/>
                <w:szCs w:val="22"/>
                <w:highlight w:val="none"/>
                <w:lang w:val="en-US" w:eastAsia="zh-CN"/>
              </w:rPr>
              <w:t>4、配备服务所需设备、设施，如：车辆、工具等。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8840" w:type="dxa"/>
            <w:gridSpan w:val="7"/>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exact"/>
              <w:ind w:left="0" w:leftChars="0" w:right="0" w:rightChars="0" w:firstLine="0" w:firstLineChars="0"/>
              <w:jc w:val="both"/>
              <w:textAlignment w:val="auto"/>
              <w:outlineLvl w:val="9"/>
              <w:rPr>
                <w:rFonts w:ascii="Arial" w:hAnsi="Arial" w:cs="Arial"/>
                <w:b/>
                <w:color w:val="auto"/>
                <w:sz w:val="22"/>
                <w:szCs w:val="22"/>
                <w:highlight w:val="none"/>
              </w:rPr>
            </w:pPr>
            <w:r>
              <w:rPr>
                <w:rFonts w:hint="eastAsia" w:ascii="Arial" w:hAnsi="Arial" w:cs="Arial"/>
                <w:b/>
                <w:color w:val="auto"/>
                <w:sz w:val="22"/>
                <w:szCs w:val="22"/>
                <w:highlight w:val="none"/>
              </w:rPr>
              <w:t>注：</w:t>
            </w:r>
            <w:r>
              <w:rPr>
                <w:rFonts w:hint="eastAsia" w:ascii="Arial" w:hAnsi="Arial" w:cs="Arial"/>
                <w:b/>
                <w:color w:val="auto"/>
                <w:sz w:val="22"/>
                <w:szCs w:val="22"/>
                <w:highlight w:val="none"/>
                <w:lang w:val="en-US" w:eastAsia="zh-CN"/>
              </w:rPr>
              <w:t>3年</w:t>
            </w:r>
            <w:r>
              <w:rPr>
                <w:rFonts w:hint="eastAsia" w:ascii="Arial" w:hAnsi="Arial" w:cs="Arial"/>
                <w:b/>
                <w:color w:val="auto"/>
                <w:sz w:val="22"/>
                <w:szCs w:val="22"/>
                <w:highlight w:val="none"/>
              </w:rPr>
              <w:t>投标总报价＝</w:t>
            </w:r>
            <w:r>
              <w:rPr>
                <w:rFonts w:hint="eastAsia" w:ascii="Arial" w:hAnsi="Arial" w:cs="Arial"/>
                <w:b/>
                <w:color w:val="auto"/>
                <w:sz w:val="22"/>
                <w:szCs w:val="22"/>
                <w:highlight w:val="none"/>
                <w:lang w:val="en-US" w:eastAsia="zh-CN"/>
              </w:rPr>
              <w:t>每年投标</w:t>
            </w:r>
            <w:r>
              <w:rPr>
                <w:rFonts w:hint="eastAsia" w:ascii="Arial" w:hAnsi="Arial" w:cs="Arial"/>
                <w:b/>
                <w:color w:val="auto"/>
                <w:sz w:val="22"/>
                <w:szCs w:val="22"/>
                <w:highlight w:val="none"/>
              </w:rPr>
              <w:t>报价合计*3年。</w:t>
            </w:r>
          </w:p>
        </w:tc>
      </w:tr>
    </w:tbl>
    <w:p>
      <w:pPr>
        <w:widowControl/>
        <w:adjustRightInd w:val="0"/>
        <w:spacing w:line="36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法定代表人或授权代表(签字或盖章)：</w:t>
      </w:r>
    </w:p>
    <w:p>
      <w:pPr>
        <w:widowControl/>
        <w:spacing w:line="480" w:lineRule="auto"/>
        <w:jc w:val="left"/>
        <w:rPr>
          <w:rFonts w:ascii="Arial" w:hAnsi="Arial" w:cs="Arial"/>
          <w:color w:val="auto"/>
          <w:sz w:val="22"/>
          <w:szCs w:val="22"/>
          <w:highlight w:val="none"/>
        </w:rPr>
      </w:pPr>
      <w:r>
        <w:rPr>
          <w:rFonts w:ascii="Arial" w:hAnsi="Arial" w:cs="Arial"/>
          <w:color w:val="auto"/>
          <w:sz w:val="22"/>
          <w:szCs w:val="22"/>
          <w:highlight w:val="none"/>
        </w:rPr>
        <w:t>日  期：</w:t>
      </w:r>
    </w:p>
    <w:p>
      <w:pPr>
        <w:widowControl/>
        <w:spacing w:line="480" w:lineRule="auto"/>
        <w:jc w:val="left"/>
        <w:rPr>
          <w:rFonts w:ascii="Arial" w:hAnsi="Arial" w:cs="Arial"/>
          <w:color w:val="auto"/>
          <w:sz w:val="22"/>
          <w:szCs w:val="22"/>
          <w:highlight w:val="none"/>
        </w:rPr>
      </w:pPr>
    </w:p>
    <w:p>
      <w:pPr>
        <w:widowControl/>
        <w:adjustRightInd w:val="0"/>
        <w:spacing w:line="360" w:lineRule="auto"/>
        <w:jc w:val="left"/>
        <w:rPr>
          <w:rFonts w:ascii="Arial" w:hAnsi="Arial" w:cs="Arial"/>
          <w:b/>
          <w:color w:val="auto"/>
          <w:szCs w:val="21"/>
          <w:highlight w:val="none"/>
        </w:rPr>
      </w:pPr>
      <w:r>
        <w:rPr>
          <w:rFonts w:ascii="Arial" w:hAnsi="Arial" w:cs="Arial"/>
          <w:b/>
          <w:color w:val="auto"/>
          <w:szCs w:val="21"/>
          <w:highlight w:val="none"/>
        </w:rPr>
        <w:t>格式</w:t>
      </w:r>
      <w:r>
        <w:rPr>
          <w:rFonts w:hint="eastAsia" w:ascii="Arial" w:hAnsi="Arial" w:cs="Arial"/>
          <w:b/>
          <w:color w:val="auto"/>
          <w:szCs w:val="21"/>
          <w:highlight w:val="none"/>
        </w:rPr>
        <w:t>六</w:t>
      </w:r>
      <w:r>
        <w:rPr>
          <w:rFonts w:ascii="Arial" w:hAnsi="Arial" w:cs="Arial"/>
          <w:b/>
          <w:color w:val="auto"/>
          <w:szCs w:val="21"/>
          <w:highlight w:val="none"/>
        </w:rPr>
        <w:t>：</w:t>
      </w:r>
    </w:p>
    <w:p>
      <w:pPr>
        <w:widowControl/>
        <w:spacing w:line="360" w:lineRule="auto"/>
        <w:jc w:val="center"/>
        <w:rPr>
          <w:rFonts w:ascii="Arial" w:hAnsi="Arial" w:cs="Arial"/>
          <w:b/>
          <w:color w:val="auto"/>
          <w:spacing w:val="-4"/>
          <w:sz w:val="32"/>
          <w:szCs w:val="32"/>
          <w:highlight w:val="none"/>
        </w:rPr>
      </w:pPr>
      <w:r>
        <w:rPr>
          <w:rFonts w:ascii="Arial" w:hAnsi="Arial" w:cs="Arial"/>
          <w:b/>
          <w:color w:val="auto"/>
          <w:spacing w:val="-4"/>
          <w:sz w:val="32"/>
          <w:szCs w:val="32"/>
          <w:highlight w:val="none"/>
        </w:rPr>
        <w:t>技术商务条款响应（偏离）表</w:t>
      </w:r>
    </w:p>
    <w:p>
      <w:pPr>
        <w:widowControl/>
        <w:spacing w:line="360" w:lineRule="auto"/>
        <w:rPr>
          <w:rFonts w:ascii="Arial" w:hAnsi="Arial" w:cs="Arial"/>
          <w:b/>
          <w:color w:val="auto"/>
          <w:spacing w:val="-4"/>
          <w:sz w:val="24"/>
          <w:highlight w:val="none"/>
        </w:rPr>
      </w:pPr>
    </w:p>
    <w:p>
      <w:pPr>
        <w:widowControl/>
        <w:spacing w:line="360" w:lineRule="auto"/>
        <w:jc w:val="left"/>
        <w:rPr>
          <w:rFonts w:ascii="Arial" w:hAnsi="Arial" w:cs="Arial"/>
          <w:color w:val="auto"/>
          <w:kern w:val="0"/>
          <w:sz w:val="24"/>
          <w:highlight w:val="none"/>
        </w:rPr>
      </w:pPr>
      <w:r>
        <w:rPr>
          <w:rFonts w:ascii="Arial" w:hAnsi="Arial" w:cs="Arial"/>
          <w:color w:val="auto"/>
          <w:highlight w:val="none"/>
        </w:rPr>
        <w:t>项目名称： 项目编号：</w:t>
      </w:r>
    </w:p>
    <w:tbl>
      <w:tblPr>
        <w:tblStyle w:val="44"/>
        <w:tblW w:w="8505" w:type="dxa"/>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030"/>
        <w:gridCol w:w="2640"/>
        <w:gridCol w:w="1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vAlign w:val="center"/>
          </w:tcPr>
          <w:p>
            <w:pPr>
              <w:pStyle w:val="25"/>
              <w:spacing w:beforeLines="0" w:afterLines="0"/>
              <w:jc w:val="center"/>
              <w:rPr>
                <w:rFonts w:hint="default" w:ascii="Arial" w:hAnsi="Arial" w:cs="Arial"/>
                <w:b/>
                <w:color w:val="auto"/>
                <w:sz w:val="21"/>
                <w:highlight w:val="none"/>
              </w:rPr>
            </w:pPr>
            <w:r>
              <w:rPr>
                <w:rFonts w:ascii="Arial" w:hAnsi="Arial" w:cs="Arial"/>
                <w:b/>
                <w:color w:val="auto"/>
                <w:sz w:val="21"/>
                <w:highlight w:val="none"/>
              </w:rPr>
              <w:t>序号</w:t>
            </w:r>
          </w:p>
        </w:tc>
        <w:tc>
          <w:tcPr>
            <w:tcW w:w="3030" w:type="dxa"/>
            <w:vAlign w:val="center"/>
          </w:tcPr>
          <w:p>
            <w:pPr>
              <w:pStyle w:val="25"/>
              <w:spacing w:beforeLines="0" w:afterLines="0"/>
              <w:jc w:val="center"/>
              <w:rPr>
                <w:rFonts w:hint="default" w:ascii="Arial" w:hAnsi="Arial" w:cs="Arial"/>
                <w:b/>
                <w:color w:val="auto"/>
                <w:sz w:val="21"/>
                <w:highlight w:val="none"/>
              </w:rPr>
            </w:pPr>
            <w:r>
              <w:rPr>
                <w:rFonts w:ascii="Arial" w:hAnsi="Arial" w:cs="Arial"/>
                <w:b/>
                <w:color w:val="auto"/>
                <w:sz w:val="21"/>
                <w:highlight w:val="none"/>
              </w:rPr>
              <w:t>招标采购文件的技术商务条款</w:t>
            </w:r>
          </w:p>
        </w:tc>
        <w:tc>
          <w:tcPr>
            <w:tcW w:w="2640" w:type="dxa"/>
            <w:vAlign w:val="center"/>
          </w:tcPr>
          <w:p>
            <w:pPr>
              <w:pStyle w:val="25"/>
              <w:spacing w:beforeLines="0" w:afterLines="0"/>
              <w:jc w:val="center"/>
              <w:rPr>
                <w:rFonts w:hint="default" w:ascii="Arial" w:hAnsi="Arial" w:cs="Arial"/>
                <w:b/>
                <w:color w:val="auto"/>
                <w:sz w:val="21"/>
                <w:highlight w:val="none"/>
              </w:rPr>
            </w:pPr>
            <w:r>
              <w:rPr>
                <w:rFonts w:ascii="Arial" w:hAnsi="Arial" w:cs="Arial"/>
                <w:b/>
                <w:color w:val="auto"/>
                <w:sz w:val="21"/>
                <w:highlight w:val="none"/>
              </w:rPr>
              <w:t>投标文件的技术商务条款</w:t>
            </w:r>
          </w:p>
        </w:tc>
        <w:tc>
          <w:tcPr>
            <w:tcW w:w="1965" w:type="dxa"/>
            <w:vAlign w:val="center"/>
          </w:tcPr>
          <w:p>
            <w:pPr>
              <w:pStyle w:val="25"/>
              <w:spacing w:beforeLines="0" w:afterLines="0"/>
              <w:jc w:val="left"/>
              <w:rPr>
                <w:rFonts w:hint="default" w:ascii="Arial" w:hAnsi="Arial" w:cs="Arial"/>
                <w:b/>
                <w:color w:val="auto"/>
                <w:sz w:val="21"/>
                <w:highlight w:val="none"/>
              </w:rPr>
            </w:pPr>
            <w:r>
              <w:rPr>
                <w:rFonts w:ascii="Arial" w:hAnsi="Arial" w:cs="Arial"/>
                <w:b/>
                <w:color w:val="auto"/>
                <w:sz w:val="21"/>
                <w:highlight w:val="none"/>
              </w:rPr>
              <w:t>说明（填写：正偏离/负偏离/响应）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70" w:type="dxa"/>
          </w:tcPr>
          <w:p>
            <w:pPr>
              <w:pStyle w:val="25"/>
              <w:snapToGrid w:val="0"/>
              <w:spacing w:beforeLines="0" w:afterLines="0"/>
              <w:rPr>
                <w:rFonts w:hint="default" w:ascii="Arial" w:hAnsi="Arial" w:cs="Arial"/>
                <w:color w:val="auto"/>
                <w:highlight w:val="none"/>
                <w:u w:val="single"/>
              </w:rPr>
            </w:pPr>
          </w:p>
        </w:tc>
        <w:tc>
          <w:tcPr>
            <w:tcW w:w="3030" w:type="dxa"/>
          </w:tcPr>
          <w:p>
            <w:pPr>
              <w:pStyle w:val="25"/>
              <w:snapToGrid w:val="0"/>
              <w:spacing w:beforeLines="0" w:afterLines="0"/>
              <w:rPr>
                <w:rFonts w:hint="default" w:ascii="Arial" w:hAnsi="Arial" w:cs="Arial"/>
                <w:color w:val="auto"/>
                <w:highlight w:val="none"/>
                <w:u w:val="single"/>
              </w:rPr>
            </w:pPr>
          </w:p>
        </w:tc>
        <w:tc>
          <w:tcPr>
            <w:tcW w:w="2640" w:type="dxa"/>
          </w:tcPr>
          <w:p>
            <w:pPr>
              <w:pStyle w:val="25"/>
              <w:snapToGrid w:val="0"/>
              <w:spacing w:beforeLines="0" w:afterLines="0"/>
              <w:rPr>
                <w:rFonts w:hint="default" w:ascii="Arial" w:hAnsi="Arial" w:cs="Arial"/>
                <w:color w:val="auto"/>
                <w:highlight w:val="none"/>
                <w:u w:val="single"/>
              </w:rPr>
            </w:pPr>
          </w:p>
        </w:tc>
        <w:tc>
          <w:tcPr>
            <w:tcW w:w="1965" w:type="dxa"/>
          </w:tcPr>
          <w:p>
            <w:pPr>
              <w:pStyle w:val="25"/>
              <w:snapToGrid w:val="0"/>
              <w:spacing w:beforeLines="0" w:afterLines="0"/>
              <w:rPr>
                <w:rFonts w:hint="default" w:ascii="Arial" w:hAnsi="Arial" w:cs="Arial"/>
                <w:color w:val="auto"/>
                <w:highlight w:val="none"/>
                <w:u w:val="single"/>
              </w:rPr>
            </w:pPr>
          </w:p>
        </w:tc>
      </w:tr>
    </w:tbl>
    <w:p>
      <w:pPr>
        <w:pStyle w:val="19"/>
        <w:spacing w:line="360" w:lineRule="auto"/>
        <w:ind w:firstLine="0"/>
        <w:rPr>
          <w:rFonts w:ascii="Arial" w:hAnsi="Arial" w:cs="Arial"/>
          <w:b/>
          <w:color w:val="auto"/>
          <w:kern w:val="0"/>
          <w:sz w:val="21"/>
          <w:szCs w:val="21"/>
          <w:highlight w:val="none"/>
        </w:rPr>
      </w:pPr>
      <w:r>
        <w:rPr>
          <w:rFonts w:ascii="Arial" w:hAnsi="Arial" w:cs="Arial"/>
          <w:b/>
          <w:color w:val="auto"/>
          <w:kern w:val="0"/>
          <w:sz w:val="21"/>
          <w:szCs w:val="21"/>
          <w:highlight w:val="none"/>
        </w:rPr>
        <w:t>注：若投标人对本项目</w:t>
      </w:r>
      <w:r>
        <w:rPr>
          <w:rFonts w:hint="eastAsia" w:ascii="Arial" w:hAnsi="Arial" w:cs="Arial"/>
          <w:b/>
          <w:color w:val="auto"/>
          <w:kern w:val="0"/>
          <w:sz w:val="21"/>
          <w:szCs w:val="21"/>
          <w:highlight w:val="none"/>
        </w:rPr>
        <w:t>招标采购文件的技术商务条款全部响应，则在上表空白部分写明“全部响应招标采购文件，无偏离”。</w:t>
      </w:r>
    </w:p>
    <w:p>
      <w:pPr>
        <w:pStyle w:val="19"/>
        <w:spacing w:line="360" w:lineRule="auto"/>
        <w:ind w:firstLine="0"/>
        <w:rPr>
          <w:rFonts w:ascii="Arial" w:hAnsi="Arial" w:cs="Arial"/>
          <w:color w:val="auto"/>
          <w:kern w:val="0"/>
          <w:highlight w:val="none"/>
        </w:rPr>
      </w:pPr>
    </w:p>
    <w:p>
      <w:pPr>
        <w:pStyle w:val="19"/>
        <w:spacing w:line="360" w:lineRule="auto"/>
        <w:ind w:firstLine="0"/>
        <w:rPr>
          <w:rFonts w:ascii="Arial" w:hAnsi="Arial" w:cs="Arial"/>
          <w:color w:val="auto"/>
          <w:kern w:val="0"/>
          <w:highlight w:val="none"/>
        </w:rPr>
      </w:pPr>
    </w:p>
    <w:p>
      <w:pPr>
        <w:pStyle w:val="19"/>
        <w:spacing w:line="360" w:lineRule="auto"/>
        <w:ind w:firstLine="0"/>
        <w:rPr>
          <w:rFonts w:ascii="Arial" w:hAnsi="Arial" w:cs="Arial"/>
          <w:color w:val="auto"/>
          <w:kern w:val="0"/>
          <w:highlight w:val="none"/>
        </w:rPr>
      </w:pP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法定代表人或授权代表(签字或盖章)：</w:t>
      </w:r>
    </w:p>
    <w:p>
      <w:pPr>
        <w:pStyle w:val="19"/>
        <w:widowControl/>
        <w:spacing w:line="360" w:lineRule="auto"/>
        <w:ind w:firstLine="0"/>
        <w:jc w:val="left"/>
        <w:rPr>
          <w:rFonts w:ascii="Arial" w:hAnsi="Arial" w:cs="Arial"/>
          <w:b/>
          <w:color w:val="auto"/>
          <w:sz w:val="22"/>
          <w:szCs w:val="22"/>
          <w:highlight w:val="none"/>
        </w:rPr>
      </w:pPr>
      <w:r>
        <w:rPr>
          <w:rFonts w:ascii="Arial" w:hAnsi="Arial" w:cs="Arial"/>
          <w:color w:val="auto"/>
          <w:sz w:val="22"/>
          <w:szCs w:val="22"/>
          <w:highlight w:val="none"/>
        </w:rPr>
        <w:t>日  期：</w:t>
      </w: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pStyle w:val="19"/>
        <w:widowControl/>
        <w:spacing w:line="360" w:lineRule="auto"/>
        <w:ind w:firstLine="0"/>
        <w:jc w:val="left"/>
        <w:rPr>
          <w:rFonts w:ascii="Arial" w:hAnsi="Arial" w:cs="Arial"/>
          <w:b/>
          <w:color w:val="auto"/>
          <w:szCs w:val="21"/>
          <w:highlight w:val="none"/>
        </w:rPr>
      </w:pPr>
    </w:p>
    <w:p>
      <w:pPr>
        <w:spacing w:line="360" w:lineRule="auto"/>
        <w:jc w:val="left"/>
        <w:rPr>
          <w:rFonts w:ascii="Arial" w:hAnsi="Arial" w:cs="Arial"/>
          <w:b/>
          <w:color w:val="auto"/>
          <w:szCs w:val="21"/>
          <w:highlight w:val="none"/>
        </w:rPr>
      </w:pPr>
      <w:r>
        <w:rPr>
          <w:rFonts w:ascii="Arial" w:hAnsi="Arial" w:cs="Arial"/>
          <w:b/>
          <w:color w:val="auto"/>
          <w:szCs w:val="21"/>
          <w:highlight w:val="none"/>
        </w:rPr>
        <w:t>格式</w:t>
      </w:r>
      <w:r>
        <w:rPr>
          <w:rFonts w:hint="eastAsia" w:ascii="Arial" w:hAnsi="Arial" w:cs="Arial"/>
          <w:b/>
          <w:color w:val="auto"/>
          <w:szCs w:val="21"/>
          <w:highlight w:val="none"/>
        </w:rPr>
        <w:t>七</w:t>
      </w:r>
      <w:r>
        <w:rPr>
          <w:rFonts w:ascii="Arial" w:hAnsi="Arial" w:cs="Arial"/>
          <w:b/>
          <w:color w:val="auto"/>
          <w:szCs w:val="21"/>
          <w:highlight w:val="none"/>
        </w:rPr>
        <w:t>：</w:t>
      </w:r>
    </w:p>
    <w:p>
      <w:pPr>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t>拟投入设备设施情况表</w:t>
      </w:r>
    </w:p>
    <w:p>
      <w:pPr>
        <w:spacing w:line="360" w:lineRule="auto"/>
        <w:rPr>
          <w:rFonts w:ascii="Arial" w:hAnsi="Arial" w:cs="Arial"/>
          <w:color w:val="auto"/>
          <w:highlight w:val="none"/>
          <w:u w:val="single"/>
        </w:rPr>
      </w:pPr>
      <w:r>
        <w:rPr>
          <w:rFonts w:ascii="Arial" w:hAnsi="Arial" w:cs="Arial"/>
          <w:color w:val="auto"/>
          <w:highlight w:val="none"/>
        </w:rPr>
        <w:t>项目名称：</w:t>
      </w:r>
    </w:p>
    <w:tbl>
      <w:tblPr>
        <w:tblStyle w:val="44"/>
        <w:tblW w:w="81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1"/>
        <w:gridCol w:w="1259"/>
        <w:gridCol w:w="1430"/>
        <w:gridCol w:w="1247"/>
        <w:gridCol w:w="836"/>
        <w:gridCol w:w="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vAlign w:val="center"/>
          </w:tcPr>
          <w:p>
            <w:pPr>
              <w:topLinePunct/>
              <w:jc w:val="center"/>
              <w:rPr>
                <w:rFonts w:ascii="Arial" w:hAnsi="Arial" w:cs="Arial"/>
                <w:color w:val="auto"/>
                <w:szCs w:val="21"/>
                <w:highlight w:val="none"/>
              </w:rPr>
            </w:pPr>
            <w:r>
              <w:rPr>
                <w:rFonts w:ascii="Arial" w:hAnsi="Arial" w:cs="Arial"/>
                <w:color w:val="auto"/>
                <w:szCs w:val="21"/>
                <w:highlight w:val="none"/>
              </w:rPr>
              <w:t>序号</w:t>
            </w:r>
          </w:p>
        </w:tc>
        <w:tc>
          <w:tcPr>
            <w:tcW w:w="1491" w:type="dxa"/>
            <w:vAlign w:val="center"/>
          </w:tcPr>
          <w:p>
            <w:pPr>
              <w:topLinePunct/>
              <w:jc w:val="center"/>
              <w:rPr>
                <w:rFonts w:ascii="Arial" w:hAnsi="Arial" w:cs="Arial"/>
                <w:color w:val="auto"/>
                <w:szCs w:val="21"/>
                <w:highlight w:val="none"/>
              </w:rPr>
            </w:pPr>
            <w:r>
              <w:rPr>
                <w:rFonts w:ascii="Arial" w:hAnsi="Arial" w:cs="Arial"/>
                <w:color w:val="auto"/>
                <w:szCs w:val="21"/>
                <w:highlight w:val="none"/>
              </w:rPr>
              <w:t>设备名称</w:t>
            </w:r>
          </w:p>
        </w:tc>
        <w:tc>
          <w:tcPr>
            <w:tcW w:w="1259" w:type="dxa"/>
            <w:vAlign w:val="center"/>
          </w:tcPr>
          <w:p>
            <w:pPr>
              <w:topLinePunct/>
              <w:jc w:val="center"/>
              <w:rPr>
                <w:rFonts w:ascii="Arial" w:hAnsi="Arial" w:cs="Arial"/>
                <w:color w:val="auto"/>
                <w:szCs w:val="21"/>
                <w:highlight w:val="none"/>
              </w:rPr>
            </w:pPr>
            <w:r>
              <w:rPr>
                <w:rFonts w:ascii="Arial" w:hAnsi="Arial" w:cs="Arial"/>
                <w:color w:val="auto"/>
                <w:szCs w:val="21"/>
                <w:highlight w:val="none"/>
              </w:rPr>
              <w:t>型号规格</w:t>
            </w:r>
          </w:p>
        </w:tc>
        <w:tc>
          <w:tcPr>
            <w:tcW w:w="1430" w:type="dxa"/>
            <w:vAlign w:val="center"/>
          </w:tcPr>
          <w:p>
            <w:pPr>
              <w:topLinePunct/>
              <w:jc w:val="center"/>
              <w:rPr>
                <w:rFonts w:ascii="Arial" w:hAnsi="Arial" w:cs="Arial"/>
                <w:color w:val="auto"/>
                <w:szCs w:val="21"/>
                <w:highlight w:val="none"/>
              </w:rPr>
            </w:pPr>
            <w:r>
              <w:rPr>
                <w:rFonts w:hint="eastAsia" w:ascii="Arial" w:hAnsi="Arial" w:cs="Arial"/>
                <w:color w:val="auto"/>
                <w:highlight w:val="none"/>
              </w:rPr>
              <w:t>用途</w:t>
            </w:r>
          </w:p>
        </w:tc>
        <w:tc>
          <w:tcPr>
            <w:tcW w:w="1247" w:type="dxa"/>
            <w:vAlign w:val="center"/>
          </w:tcPr>
          <w:p>
            <w:pPr>
              <w:topLinePunct/>
              <w:rPr>
                <w:rFonts w:ascii="Arial" w:hAnsi="Arial" w:cs="Arial"/>
                <w:color w:val="auto"/>
                <w:szCs w:val="21"/>
                <w:highlight w:val="none"/>
              </w:rPr>
            </w:pPr>
            <w:r>
              <w:rPr>
                <w:rFonts w:ascii="Arial" w:hAnsi="Arial" w:cs="Arial"/>
                <w:color w:val="auto"/>
                <w:szCs w:val="21"/>
                <w:highlight w:val="none"/>
              </w:rPr>
              <w:t>自有/租赁</w:t>
            </w:r>
            <w:r>
              <w:rPr>
                <w:rFonts w:hint="eastAsia" w:ascii="Arial" w:hAnsi="Arial" w:cs="Arial"/>
                <w:color w:val="auto"/>
                <w:szCs w:val="21"/>
                <w:highlight w:val="none"/>
              </w:rPr>
              <w:t>/中标后配置</w:t>
            </w:r>
          </w:p>
        </w:tc>
        <w:tc>
          <w:tcPr>
            <w:tcW w:w="836" w:type="dxa"/>
            <w:vAlign w:val="center"/>
          </w:tcPr>
          <w:p>
            <w:pPr>
              <w:topLinePunct/>
              <w:jc w:val="center"/>
              <w:rPr>
                <w:rFonts w:ascii="Arial" w:hAnsi="Arial" w:cs="Arial"/>
                <w:color w:val="auto"/>
                <w:szCs w:val="21"/>
                <w:highlight w:val="none"/>
              </w:rPr>
            </w:pPr>
            <w:r>
              <w:rPr>
                <w:rFonts w:ascii="Arial" w:hAnsi="Arial" w:cs="Arial"/>
                <w:color w:val="auto"/>
                <w:szCs w:val="21"/>
                <w:highlight w:val="none"/>
              </w:rPr>
              <w:t>数量</w:t>
            </w:r>
          </w:p>
        </w:tc>
        <w:tc>
          <w:tcPr>
            <w:tcW w:w="949" w:type="dxa"/>
            <w:vAlign w:val="center"/>
          </w:tcPr>
          <w:p>
            <w:pPr>
              <w:topLinePunct/>
              <w:jc w:val="center"/>
              <w:rPr>
                <w:rFonts w:ascii="Arial" w:hAnsi="Arial" w:cs="Arial"/>
                <w:color w:val="auto"/>
                <w:szCs w:val="21"/>
                <w:highlight w:val="none"/>
              </w:rPr>
            </w:pPr>
            <w:r>
              <w:rPr>
                <w:rFonts w:ascii="Arial" w:hAnsi="Arial" w:cs="Arial"/>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vAlign w:val="center"/>
          </w:tcPr>
          <w:p>
            <w:pPr>
              <w:topLinePunct/>
              <w:jc w:val="center"/>
              <w:rPr>
                <w:rFonts w:ascii="Arial" w:hAnsi="Arial" w:cs="Arial"/>
                <w:color w:val="auto"/>
                <w:szCs w:val="21"/>
                <w:highlight w:val="none"/>
              </w:rPr>
            </w:pPr>
          </w:p>
        </w:tc>
        <w:tc>
          <w:tcPr>
            <w:tcW w:w="1491" w:type="dxa"/>
            <w:vAlign w:val="center"/>
          </w:tcPr>
          <w:p>
            <w:pPr>
              <w:topLinePunct/>
              <w:jc w:val="center"/>
              <w:rPr>
                <w:rFonts w:ascii="Arial" w:hAnsi="Arial" w:cs="Arial"/>
                <w:color w:val="auto"/>
                <w:szCs w:val="21"/>
                <w:highlight w:val="none"/>
              </w:rPr>
            </w:pPr>
          </w:p>
        </w:tc>
        <w:tc>
          <w:tcPr>
            <w:tcW w:w="1259" w:type="dxa"/>
            <w:vAlign w:val="center"/>
          </w:tcPr>
          <w:p>
            <w:pPr>
              <w:topLinePunct/>
              <w:jc w:val="center"/>
              <w:rPr>
                <w:rFonts w:ascii="Arial" w:hAnsi="Arial" w:cs="Arial"/>
                <w:color w:val="auto"/>
                <w:szCs w:val="21"/>
                <w:highlight w:val="none"/>
              </w:rPr>
            </w:pPr>
          </w:p>
        </w:tc>
        <w:tc>
          <w:tcPr>
            <w:tcW w:w="1430" w:type="dxa"/>
            <w:vAlign w:val="center"/>
          </w:tcPr>
          <w:p>
            <w:pPr>
              <w:topLinePunct/>
              <w:jc w:val="center"/>
              <w:rPr>
                <w:rFonts w:ascii="Arial" w:hAnsi="Arial" w:cs="Arial"/>
                <w:color w:val="auto"/>
                <w:szCs w:val="21"/>
                <w:highlight w:val="none"/>
              </w:rPr>
            </w:pPr>
          </w:p>
        </w:tc>
        <w:tc>
          <w:tcPr>
            <w:tcW w:w="1247" w:type="dxa"/>
            <w:vAlign w:val="center"/>
          </w:tcPr>
          <w:p>
            <w:pPr>
              <w:topLinePunct/>
              <w:jc w:val="center"/>
              <w:rPr>
                <w:rFonts w:ascii="Arial" w:hAnsi="Arial" w:cs="Arial"/>
                <w:color w:val="auto"/>
                <w:szCs w:val="21"/>
                <w:highlight w:val="none"/>
              </w:rPr>
            </w:pPr>
          </w:p>
        </w:tc>
        <w:tc>
          <w:tcPr>
            <w:tcW w:w="836" w:type="dxa"/>
            <w:vAlign w:val="center"/>
          </w:tcPr>
          <w:p>
            <w:pPr>
              <w:topLinePunct/>
              <w:jc w:val="center"/>
              <w:rPr>
                <w:rFonts w:ascii="Arial" w:hAnsi="Arial" w:cs="Arial"/>
                <w:color w:val="auto"/>
                <w:szCs w:val="21"/>
                <w:highlight w:val="none"/>
              </w:rPr>
            </w:pPr>
          </w:p>
        </w:tc>
        <w:tc>
          <w:tcPr>
            <w:tcW w:w="949" w:type="dxa"/>
            <w:vAlign w:val="center"/>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vAlign w:val="center"/>
          </w:tcPr>
          <w:p>
            <w:pPr>
              <w:topLinePunct/>
              <w:jc w:val="center"/>
              <w:rPr>
                <w:rFonts w:ascii="Arial" w:hAnsi="Arial" w:cs="Arial"/>
                <w:color w:val="auto"/>
                <w:szCs w:val="21"/>
                <w:highlight w:val="none"/>
              </w:rPr>
            </w:pPr>
          </w:p>
        </w:tc>
        <w:tc>
          <w:tcPr>
            <w:tcW w:w="1491" w:type="dxa"/>
            <w:vAlign w:val="center"/>
          </w:tcPr>
          <w:p>
            <w:pPr>
              <w:topLinePunct/>
              <w:jc w:val="center"/>
              <w:rPr>
                <w:rFonts w:ascii="Arial" w:hAnsi="Arial" w:cs="Arial"/>
                <w:color w:val="auto"/>
                <w:szCs w:val="21"/>
                <w:highlight w:val="none"/>
              </w:rPr>
            </w:pPr>
          </w:p>
        </w:tc>
        <w:tc>
          <w:tcPr>
            <w:tcW w:w="1259" w:type="dxa"/>
            <w:vAlign w:val="center"/>
          </w:tcPr>
          <w:p>
            <w:pPr>
              <w:topLinePunct/>
              <w:jc w:val="center"/>
              <w:rPr>
                <w:rFonts w:ascii="Arial" w:hAnsi="Arial" w:cs="Arial"/>
                <w:color w:val="auto"/>
                <w:szCs w:val="21"/>
                <w:highlight w:val="none"/>
              </w:rPr>
            </w:pPr>
          </w:p>
        </w:tc>
        <w:tc>
          <w:tcPr>
            <w:tcW w:w="1430" w:type="dxa"/>
            <w:vAlign w:val="center"/>
          </w:tcPr>
          <w:p>
            <w:pPr>
              <w:topLinePunct/>
              <w:jc w:val="center"/>
              <w:rPr>
                <w:rFonts w:ascii="Arial" w:hAnsi="Arial" w:cs="Arial"/>
                <w:color w:val="auto"/>
                <w:szCs w:val="21"/>
                <w:highlight w:val="none"/>
              </w:rPr>
            </w:pPr>
          </w:p>
        </w:tc>
        <w:tc>
          <w:tcPr>
            <w:tcW w:w="1247" w:type="dxa"/>
            <w:vAlign w:val="center"/>
          </w:tcPr>
          <w:p>
            <w:pPr>
              <w:topLinePunct/>
              <w:jc w:val="center"/>
              <w:rPr>
                <w:rFonts w:ascii="Arial" w:hAnsi="Arial" w:cs="Arial"/>
                <w:color w:val="auto"/>
                <w:szCs w:val="21"/>
                <w:highlight w:val="none"/>
              </w:rPr>
            </w:pPr>
          </w:p>
        </w:tc>
        <w:tc>
          <w:tcPr>
            <w:tcW w:w="836" w:type="dxa"/>
            <w:vAlign w:val="center"/>
          </w:tcPr>
          <w:p>
            <w:pPr>
              <w:topLinePunct/>
              <w:jc w:val="center"/>
              <w:rPr>
                <w:rFonts w:ascii="Arial" w:hAnsi="Arial" w:cs="Arial"/>
                <w:color w:val="auto"/>
                <w:szCs w:val="21"/>
                <w:highlight w:val="none"/>
              </w:rPr>
            </w:pPr>
          </w:p>
        </w:tc>
        <w:tc>
          <w:tcPr>
            <w:tcW w:w="949" w:type="dxa"/>
            <w:vAlign w:val="center"/>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3" w:type="dxa"/>
          </w:tcPr>
          <w:p>
            <w:pPr>
              <w:topLinePunct/>
              <w:jc w:val="center"/>
              <w:rPr>
                <w:rFonts w:ascii="Arial" w:hAnsi="Arial" w:cs="Arial"/>
                <w:color w:val="auto"/>
                <w:szCs w:val="21"/>
                <w:highlight w:val="none"/>
              </w:rPr>
            </w:pPr>
          </w:p>
        </w:tc>
        <w:tc>
          <w:tcPr>
            <w:tcW w:w="1491" w:type="dxa"/>
          </w:tcPr>
          <w:p>
            <w:pPr>
              <w:topLinePunct/>
              <w:jc w:val="center"/>
              <w:rPr>
                <w:rFonts w:ascii="Arial" w:hAnsi="Arial" w:cs="Arial"/>
                <w:color w:val="auto"/>
                <w:szCs w:val="21"/>
                <w:highlight w:val="none"/>
              </w:rPr>
            </w:pPr>
          </w:p>
        </w:tc>
        <w:tc>
          <w:tcPr>
            <w:tcW w:w="1259" w:type="dxa"/>
          </w:tcPr>
          <w:p>
            <w:pPr>
              <w:topLinePunct/>
              <w:jc w:val="center"/>
              <w:rPr>
                <w:rFonts w:ascii="Arial" w:hAnsi="Arial" w:cs="Arial"/>
                <w:color w:val="auto"/>
                <w:szCs w:val="21"/>
                <w:highlight w:val="none"/>
              </w:rPr>
            </w:pPr>
          </w:p>
        </w:tc>
        <w:tc>
          <w:tcPr>
            <w:tcW w:w="1430" w:type="dxa"/>
          </w:tcPr>
          <w:p>
            <w:pPr>
              <w:topLinePunct/>
              <w:jc w:val="center"/>
              <w:rPr>
                <w:rFonts w:ascii="Arial" w:hAnsi="Arial" w:cs="Arial"/>
                <w:color w:val="auto"/>
                <w:szCs w:val="21"/>
                <w:highlight w:val="none"/>
              </w:rPr>
            </w:pPr>
          </w:p>
        </w:tc>
        <w:tc>
          <w:tcPr>
            <w:tcW w:w="1247" w:type="dxa"/>
          </w:tcPr>
          <w:p>
            <w:pPr>
              <w:topLinePunct/>
              <w:jc w:val="center"/>
              <w:rPr>
                <w:rFonts w:ascii="Arial" w:hAnsi="Arial" w:cs="Arial"/>
                <w:color w:val="auto"/>
                <w:szCs w:val="21"/>
                <w:highlight w:val="none"/>
              </w:rPr>
            </w:pPr>
          </w:p>
        </w:tc>
        <w:tc>
          <w:tcPr>
            <w:tcW w:w="836" w:type="dxa"/>
          </w:tcPr>
          <w:p>
            <w:pPr>
              <w:topLinePunct/>
              <w:jc w:val="center"/>
              <w:rPr>
                <w:rFonts w:ascii="Arial" w:hAnsi="Arial" w:cs="Arial"/>
                <w:color w:val="auto"/>
                <w:szCs w:val="21"/>
                <w:highlight w:val="none"/>
              </w:rPr>
            </w:pPr>
          </w:p>
        </w:tc>
        <w:tc>
          <w:tcPr>
            <w:tcW w:w="949" w:type="dxa"/>
          </w:tcPr>
          <w:p>
            <w:pPr>
              <w:topLinePunct/>
              <w:jc w:val="center"/>
              <w:rPr>
                <w:rFonts w:ascii="Arial" w:hAnsi="Arial" w:cs="Arial"/>
                <w:color w:val="auto"/>
                <w:szCs w:val="21"/>
                <w:highlight w:val="none"/>
              </w:rPr>
            </w:pPr>
          </w:p>
        </w:tc>
      </w:tr>
    </w:tbl>
    <w:p>
      <w:pPr>
        <w:spacing w:line="360" w:lineRule="auto"/>
        <w:rPr>
          <w:rFonts w:ascii="Arial" w:hAnsi="Arial" w:cs="Arial"/>
          <w:color w:val="auto"/>
          <w:highlight w:val="none"/>
          <w:u w:val="single"/>
        </w:rPr>
      </w:pPr>
    </w:p>
    <w:p>
      <w:pPr>
        <w:spacing w:line="360" w:lineRule="auto"/>
        <w:rPr>
          <w:rFonts w:ascii="Arial" w:hAnsi="Arial" w:cs="Arial"/>
          <w:color w:val="auto"/>
          <w:highlight w:val="none"/>
          <w:u w:val="single"/>
        </w:rPr>
      </w:pP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法定代表人或授权代表(签字或盖章)：</w:t>
      </w:r>
    </w:p>
    <w:p>
      <w:pPr>
        <w:spacing w:line="360" w:lineRule="auto"/>
        <w:rPr>
          <w:rFonts w:ascii="Arial" w:hAnsi="Arial" w:cs="Arial"/>
          <w:color w:val="auto"/>
          <w:sz w:val="22"/>
          <w:szCs w:val="22"/>
          <w:highlight w:val="none"/>
          <w:u w:val="single"/>
        </w:rPr>
      </w:pPr>
      <w:r>
        <w:rPr>
          <w:rFonts w:ascii="Arial" w:hAnsi="Arial" w:cs="Arial"/>
          <w:color w:val="auto"/>
          <w:sz w:val="22"/>
          <w:szCs w:val="22"/>
          <w:highlight w:val="none"/>
        </w:rPr>
        <w:t>日  期：</w:t>
      </w:r>
    </w:p>
    <w:p>
      <w:pPr>
        <w:spacing w:line="360" w:lineRule="auto"/>
        <w:rPr>
          <w:rFonts w:ascii="Arial" w:hAnsi="Arial" w:cs="Arial"/>
          <w:color w:val="auto"/>
          <w:highlight w:val="none"/>
          <w:u w:val="single"/>
        </w:rPr>
      </w:pPr>
    </w:p>
    <w:p>
      <w:pPr>
        <w:spacing w:line="360" w:lineRule="auto"/>
        <w:rPr>
          <w:rFonts w:ascii="Arial" w:hAnsi="Arial" w:cs="Arial"/>
          <w:color w:val="auto"/>
          <w:highlight w:val="none"/>
          <w:u w:val="single"/>
        </w:rPr>
      </w:pPr>
    </w:p>
    <w:p>
      <w:pPr>
        <w:spacing w:line="360" w:lineRule="auto"/>
        <w:rPr>
          <w:rFonts w:ascii="Arial" w:hAnsi="Arial" w:cs="Arial"/>
          <w:color w:val="auto"/>
          <w:highlight w:val="none"/>
          <w:u w:val="single"/>
        </w:rPr>
      </w:pPr>
    </w:p>
    <w:p>
      <w:pPr>
        <w:spacing w:line="360" w:lineRule="auto"/>
        <w:rPr>
          <w:rFonts w:ascii="Arial" w:hAnsi="Arial" w:cs="Arial"/>
          <w:b/>
          <w:color w:val="auto"/>
          <w:szCs w:val="21"/>
          <w:highlight w:val="none"/>
        </w:rPr>
      </w:pPr>
      <w:r>
        <w:rPr>
          <w:rFonts w:ascii="Arial" w:hAnsi="Arial" w:cs="Arial"/>
          <w:b/>
          <w:color w:val="auto"/>
          <w:szCs w:val="21"/>
          <w:highlight w:val="none"/>
        </w:rPr>
        <w:t>格式</w:t>
      </w:r>
      <w:r>
        <w:rPr>
          <w:rFonts w:hint="eastAsia" w:ascii="Arial" w:hAnsi="Arial" w:cs="Arial"/>
          <w:b/>
          <w:color w:val="auto"/>
          <w:szCs w:val="21"/>
          <w:highlight w:val="none"/>
        </w:rPr>
        <w:t>八</w:t>
      </w:r>
      <w:r>
        <w:rPr>
          <w:rFonts w:ascii="Arial" w:hAnsi="Arial" w:cs="Arial"/>
          <w:b/>
          <w:color w:val="auto"/>
          <w:szCs w:val="21"/>
          <w:highlight w:val="none"/>
        </w:rPr>
        <w:t>：</w:t>
      </w:r>
    </w:p>
    <w:p>
      <w:pPr>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t>项目实施团队人员配备表</w:t>
      </w:r>
    </w:p>
    <w:p>
      <w:pPr>
        <w:spacing w:line="360" w:lineRule="auto"/>
        <w:jc w:val="center"/>
        <w:rPr>
          <w:rFonts w:ascii="Arial" w:hAnsi="Arial" w:cs="Arial"/>
          <w:b/>
          <w:color w:val="auto"/>
          <w:sz w:val="24"/>
          <w:szCs w:val="21"/>
          <w:highlight w:val="none"/>
        </w:rPr>
      </w:pPr>
    </w:p>
    <w:p>
      <w:pPr>
        <w:spacing w:line="360" w:lineRule="auto"/>
        <w:rPr>
          <w:rFonts w:ascii="Arial" w:hAnsi="Arial" w:cs="Arial"/>
          <w:color w:val="auto"/>
          <w:highlight w:val="none"/>
          <w:u w:val="single"/>
        </w:rPr>
      </w:pPr>
      <w:r>
        <w:rPr>
          <w:rFonts w:ascii="Arial" w:hAnsi="Arial" w:cs="Arial"/>
          <w:color w:val="auto"/>
          <w:highlight w:val="none"/>
        </w:rPr>
        <w:t xml:space="preserve">项目名称： </w:t>
      </w:r>
    </w:p>
    <w:tbl>
      <w:tblPr>
        <w:tblStyle w:val="44"/>
        <w:tblW w:w="8310" w:type="dxa"/>
        <w:tblInd w:w="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75"/>
        <w:gridCol w:w="930"/>
        <w:gridCol w:w="1110"/>
        <w:gridCol w:w="1099"/>
        <w:gridCol w:w="1140"/>
        <w:gridCol w:w="1545"/>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675"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序号</w:t>
            </w:r>
          </w:p>
        </w:tc>
        <w:tc>
          <w:tcPr>
            <w:tcW w:w="930"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类型</w:t>
            </w:r>
          </w:p>
        </w:tc>
        <w:tc>
          <w:tcPr>
            <w:tcW w:w="1110"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姓名</w:t>
            </w:r>
          </w:p>
        </w:tc>
        <w:tc>
          <w:tcPr>
            <w:tcW w:w="1099"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人员岗位</w:t>
            </w:r>
          </w:p>
        </w:tc>
        <w:tc>
          <w:tcPr>
            <w:tcW w:w="1140"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年龄</w:t>
            </w:r>
          </w:p>
        </w:tc>
        <w:tc>
          <w:tcPr>
            <w:tcW w:w="1545"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职称或技术等级</w:t>
            </w:r>
          </w:p>
        </w:tc>
        <w:tc>
          <w:tcPr>
            <w:tcW w:w="1811" w:type="dxa"/>
            <w:vAlign w:val="center"/>
          </w:tcPr>
          <w:p>
            <w:pPr>
              <w:widowControl/>
              <w:snapToGrid w:val="0"/>
              <w:spacing w:line="400" w:lineRule="exact"/>
              <w:jc w:val="center"/>
              <w:rPr>
                <w:rFonts w:ascii="Arial" w:hAnsi="Arial" w:cs="Arial"/>
                <w:b/>
                <w:bCs/>
                <w:color w:val="auto"/>
                <w:kern w:val="0"/>
                <w:highlight w:val="none"/>
              </w:rPr>
            </w:pPr>
            <w:r>
              <w:rPr>
                <w:rFonts w:ascii="Arial" w:hAnsi="Arial" w:cs="Arial"/>
                <w:b/>
                <w:bCs/>
                <w:color w:val="auto"/>
                <w:kern w:val="0"/>
                <w:highlight w:val="none"/>
              </w:rPr>
              <w:t>承担过的类似项目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1</w:t>
            </w:r>
          </w:p>
        </w:tc>
        <w:tc>
          <w:tcPr>
            <w:tcW w:w="930" w:type="dxa"/>
            <w:vMerge w:val="restart"/>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团队</w:t>
            </w:r>
          </w:p>
          <w:p>
            <w:pPr>
              <w:widowControl/>
              <w:snapToGrid w:val="0"/>
              <w:spacing w:line="400" w:lineRule="exact"/>
              <w:jc w:val="center"/>
              <w:rPr>
                <w:rFonts w:ascii="Arial" w:hAnsi="Arial" w:cs="Arial"/>
                <w:color w:val="auto"/>
                <w:szCs w:val="21"/>
                <w:highlight w:val="none"/>
              </w:rPr>
            </w:pPr>
            <w:r>
              <w:rPr>
                <w:rFonts w:ascii="Arial" w:hAnsi="Arial" w:cs="Arial"/>
                <w:color w:val="auto"/>
                <w:szCs w:val="21"/>
                <w:highlight w:val="none"/>
              </w:rPr>
              <w:t>主要</w:t>
            </w:r>
          </w:p>
          <w:p>
            <w:pPr>
              <w:widowControl/>
              <w:snapToGrid w:val="0"/>
              <w:spacing w:line="400" w:lineRule="exact"/>
              <w:jc w:val="center"/>
              <w:rPr>
                <w:rFonts w:ascii="Arial" w:hAnsi="Arial" w:cs="Arial"/>
                <w:color w:val="auto"/>
                <w:kern w:val="0"/>
                <w:highlight w:val="none"/>
              </w:rPr>
            </w:pPr>
            <w:r>
              <w:rPr>
                <w:rFonts w:ascii="Arial" w:hAnsi="Arial" w:cs="Arial"/>
                <w:color w:val="auto"/>
                <w:szCs w:val="21"/>
                <w:highlight w:val="none"/>
              </w:rPr>
              <w:t>人员</w:t>
            </w: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项目负责人</w:t>
            </w: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2</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3</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4</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5</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6</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w:t>
            </w: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7</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8</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75" w:type="dxa"/>
            <w:vAlign w:val="center"/>
          </w:tcPr>
          <w:p>
            <w:pPr>
              <w:widowControl/>
              <w:snapToGrid w:val="0"/>
              <w:spacing w:line="400" w:lineRule="exact"/>
              <w:jc w:val="center"/>
              <w:rPr>
                <w:rFonts w:ascii="Arial" w:hAnsi="Arial" w:cs="Arial"/>
                <w:color w:val="auto"/>
                <w:kern w:val="0"/>
                <w:highlight w:val="none"/>
              </w:rPr>
            </w:pPr>
            <w:r>
              <w:rPr>
                <w:rFonts w:ascii="Arial" w:hAnsi="Arial" w:cs="Arial"/>
                <w:color w:val="auto"/>
                <w:kern w:val="0"/>
                <w:highlight w:val="none"/>
              </w:rPr>
              <w:t>9</w:t>
            </w:r>
          </w:p>
        </w:tc>
        <w:tc>
          <w:tcPr>
            <w:tcW w:w="930" w:type="dxa"/>
            <w:vMerge w:val="continue"/>
            <w:vAlign w:val="center"/>
          </w:tcPr>
          <w:p>
            <w:pPr>
              <w:widowControl/>
              <w:snapToGrid w:val="0"/>
              <w:spacing w:line="400" w:lineRule="exact"/>
              <w:ind w:firstLine="480"/>
              <w:rPr>
                <w:rFonts w:ascii="Arial" w:hAnsi="Arial" w:cs="Arial"/>
                <w:color w:val="auto"/>
                <w:kern w:val="0"/>
                <w:highlight w:val="none"/>
              </w:rPr>
            </w:pPr>
          </w:p>
        </w:tc>
        <w:tc>
          <w:tcPr>
            <w:tcW w:w="1110" w:type="dxa"/>
            <w:vAlign w:val="center"/>
          </w:tcPr>
          <w:p>
            <w:pPr>
              <w:widowControl/>
              <w:snapToGrid w:val="0"/>
              <w:spacing w:line="400" w:lineRule="exact"/>
              <w:ind w:firstLine="480"/>
              <w:rPr>
                <w:rFonts w:ascii="Arial" w:hAnsi="Arial" w:cs="Arial"/>
                <w:color w:val="auto"/>
                <w:kern w:val="0"/>
                <w:highlight w:val="none"/>
              </w:rPr>
            </w:pPr>
          </w:p>
        </w:tc>
        <w:tc>
          <w:tcPr>
            <w:tcW w:w="1099" w:type="dxa"/>
            <w:vAlign w:val="center"/>
          </w:tcPr>
          <w:p>
            <w:pPr>
              <w:widowControl/>
              <w:snapToGrid w:val="0"/>
              <w:spacing w:line="400" w:lineRule="exact"/>
              <w:jc w:val="center"/>
              <w:rPr>
                <w:rFonts w:ascii="Arial" w:hAnsi="Arial" w:cs="Arial"/>
                <w:color w:val="auto"/>
                <w:kern w:val="0"/>
                <w:highlight w:val="none"/>
              </w:rPr>
            </w:pPr>
          </w:p>
        </w:tc>
        <w:tc>
          <w:tcPr>
            <w:tcW w:w="1140" w:type="dxa"/>
            <w:vAlign w:val="center"/>
          </w:tcPr>
          <w:p>
            <w:pPr>
              <w:widowControl/>
              <w:snapToGrid w:val="0"/>
              <w:spacing w:line="400" w:lineRule="exact"/>
              <w:ind w:firstLine="480"/>
              <w:jc w:val="center"/>
              <w:rPr>
                <w:rFonts w:ascii="Arial" w:hAnsi="Arial" w:cs="Arial"/>
                <w:color w:val="auto"/>
                <w:kern w:val="0"/>
                <w:highlight w:val="none"/>
              </w:rPr>
            </w:pPr>
          </w:p>
        </w:tc>
        <w:tc>
          <w:tcPr>
            <w:tcW w:w="1545" w:type="dxa"/>
            <w:vAlign w:val="center"/>
          </w:tcPr>
          <w:p>
            <w:pPr>
              <w:widowControl/>
              <w:snapToGrid w:val="0"/>
              <w:spacing w:line="400" w:lineRule="exact"/>
              <w:ind w:firstLine="480"/>
              <w:jc w:val="center"/>
              <w:rPr>
                <w:rFonts w:ascii="Arial" w:hAnsi="Arial" w:cs="Arial"/>
                <w:color w:val="auto"/>
                <w:kern w:val="0"/>
                <w:highlight w:val="none"/>
              </w:rPr>
            </w:pPr>
          </w:p>
        </w:tc>
        <w:tc>
          <w:tcPr>
            <w:tcW w:w="1811" w:type="dxa"/>
            <w:vAlign w:val="center"/>
          </w:tcPr>
          <w:p>
            <w:pPr>
              <w:widowControl/>
              <w:snapToGrid w:val="0"/>
              <w:spacing w:line="400" w:lineRule="exact"/>
              <w:ind w:firstLine="480"/>
              <w:jc w:val="center"/>
              <w:rPr>
                <w:rFonts w:ascii="Arial" w:hAnsi="Arial" w:cs="Arial"/>
                <w:color w:val="auto"/>
                <w:kern w:val="0"/>
                <w:highlight w:val="none"/>
              </w:rPr>
            </w:pPr>
          </w:p>
        </w:tc>
      </w:tr>
    </w:tbl>
    <w:p>
      <w:pPr>
        <w:spacing w:line="360" w:lineRule="auto"/>
        <w:rPr>
          <w:rFonts w:ascii="Arial" w:hAnsi="Arial" w:cs="Arial"/>
          <w:color w:val="auto"/>
          <w:highlight w:val="none"/>
          <w:u w:val="single"/>
        </w:rPr>
      </w:pPr>
    </w:p>
    <w:p>
      <w:pPr>
        <w:spacing w:line="360" w:lineRule="auto"/>
        <w:rPr>
          <w:rFonts w:ascii="Arial" w:hAnsi="Arial" w:cs="Arial"/>
          <w:color w:val="auto"/>
          <w:highlight w:val="none"/>
          <w:u w:val="single"/>
        </w:rPr>
      </w:pPr>
    </w:p>
    <w:p>
      <w:pPr>
        <w:tabs>
          <w:tab w:val="left" w:pos="606"/>
        </w:tabs>
        <w:rPr>
          <w:rFonts w:ascii="Arial" w:hAnsi="Arial" w:cs="Arial"/>
          <w:bCs/>
          <w:color w:val="auto"/>
          <w:szCs w:val="21"/>
          <w:highlight w:val="none"/>
        </w:rPr>
      </w:pP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投标人（盖章）：</w:t>
      </w:r>
    </w:p>
    <w:p>
      <w:pPr>
        <w:widowControl/>
        <w:adjustRightInd w:val="0"/>
        <w:spacing w:line="360" w:lineRule="auto"/>
        <w:jc w:val="left"/>
        <w:rPr>
          <w:rFonts w:ascii="Arial" w:hAnsi="Arial" w:cs="Arial"/>
          <w:color w:val="auto"/>
          <w:sz w:val="22"/>
          <w:szCs w:val="22"/>
          <w:highlight w:val="none"/>
        </w:rPr>
      </w:pPr>
      <w:r>
        <w:rPr>
          <w:rFonts w:ascii="Arial" w:hAnsi="Arial" w:cs="Arial"/>
          <w:color w:val="auto"/>
          <w:sz w:val="22"/>
          <w:szCs w:val="22"/>
          <w:highlight w:val="none"/>
        </w:rPr>
        <w:t>法定代表人或授权代表(签字或盖章)：</w:t>
      </w:r>
    </w:p>
    <w:p>
      <w:pPr>
        <w:jc w:val="left"/>
        <w:rPr>
          <w:rFonts w:ascii="Arial" w:hAnsi="Arial" w:cs="Arial"/>
          <w:color w:val="auto"/>
          <w:sz w:val="22"/>
          <w:szCs w:val="22"/>
          <w:highlight w:val="none"/>
        </w:rPr>
      </w:pPr>
      <w:r>
        <w:rPr>
          <w:rFonts w:ascii="Arial" w:hAnsi="Arial" w:cs="Arial"/>
          <w:color w:val="auto"/>
          <w:sz w:val="22"/>
          <w:szCs w:val="22"/>
          <w:highlight w:val="none"/>
        </w:rPr>
        <w:t xml:space="preserve">日  期：  </w:t>
      </w:r>
    </w:p>
    <w:p>
      <w:pPr>
        <w:jc w:val="left"/>
        <w:rPr>
          <w:rFonts w:ascii="Arial" w:hAnsi="Arial" w:cs="Arial"/>
          <w:color w:val="auto"/>
          <w:sz w:val="22"/>
          <w:szCs w:val="22"/>
          <w:highlight w:val="none"/>
        </w:rPr>
      </w:pPr>
    </w:p>
    <w:p>
      <w:pPr>
        <w:jc w:val="left"/>
        <w:rPr>
          <w:rFonts w:ascii="Arial" w:hAnsi="Arial" w:cs="Arial"/>
          <w:color w:val="auto"/>
          <w:sz w:val="22"/>
          <w:szCs w:val="22"/>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jc w:val="left"/>
        <w:rPr>
          <w:rFonts w:ascii="Arial" w:hAnsi="Arial" w:cs="Arial"/>
          <w:color w:val="auto"/>
          <w:szCs w:val="21"/>
          <w:highlight w:val="none"/>
        </w:rPr>
      </w:pPr>
    </w:p>
    <w:p>
      <w:pPr>
        <w:spacing w:line="360" w:lineRule="auto"/>
        <w:rPr>
          <w:rFonts w:ascii="Arial" w:hAnsi="Arial" w:cs="Arial"/>
          <w:b/>
          <w:bCs/>
          <w:color w:val="auto"/>
          <w:spacing w:val="6"/>
          <w:szCs w:val="21"/>
          <w:highlight w:val="none"/>
        </w:rPr>
      </w:pPr>
      <w:r>
        <w:rPr>
          <w:rFonts w:ascii="Arial" w:hAnsi="Arial" w:cs="Arial"/>
          <w:b/>
          <w:color w:val="auto"/>
          <w:szCs w:val="21"/>
          <w:highlight w:val="none"/>
        </w:rPr>
        <w:t>附件</w:t>
      </w:r>
      <w:r>
        <w:rPr>
          <w:rFonts w:hint="eastAsia" w:ascii="Arial" w:hAnsi="Arial" w:cs="Arial"/>
          <w:b/>
          <w:color w:val="auto"/>
          <w:szCs w:val="21"/>
          <w:highlight w:val="none"/>
        </w:rPr>
        <w:t>一</w:t>
      </w:r>
      <w:r>
        <w:rPr>
          <w:rFonts w:ascii="Arial" w:hAnsi="Arial" w:cs="Arial"/>
          <w:b/>
          <w:color w:val="auto"/>
          <w:szCs w:val="21"/>
          <w:highlight w:val="none"/>
        </w:rPr>
        <w:t>：</w:t>
      </w:r>
    </w:p>
    <w:p>
      <w:pPr>
        <w:tabs>
          <w:tab w:val="left" w:pos="606"/>
        </w:tabs>
        <w:spacing w:line="360" w:lineRule="auto"/>
        <w:rPr>
          <w:rFonts w:ascii="Arial" w:hAnsi="Arial" w:cs="Arial"/>
          <w:bCs/>
          <w:color w:val="auto"/>
          <w:spacing w:val="6"/>
          <w:szCs w:val="21"/>
          <w:highlight w:val="none"/>
        </w:rPr>
      </w:pPr>
    </w:p>
    <w:p>
      <w:pPr>
        <w:spacing w:line="360" w:lineRule="auto"/>
        <w:jc w:val="center"/>
        <w:rPr>
          <w:rFonts w:ascii="Arial" w:hAnsi="Arial" w:cs="Arial"/>
          <w:b/>
          <w:color w:val="auto"/>
          <w:spacing w:val="6"/>
          <w:sz w:val="32"/>
          <w:szCs w:val="32"/>
          <w:highlight w:val="none"/>
        </w:rPr>
      </w:pPr>
      <w:r>
        <w:rPr>
          <w:rFonts w:ascii="Arial" w:hAnsi="Arial" w:cs="Arial"/>
          <w:b/>
          <w:color w:val="auto"/>
          <w:spacing w:val="6"/>
          <w:sz w:val="32"/>
          <w:szCs w:val="32"/>
          <w:highlight w:val="none"/>
        </w:rPr>
        <w:t>政府采购统计基础信息表</w:t>
      </w:r>
    </w:p>
    <w:tbl>
      <w:tblPr>
        <w:tblStyle w:val="44"/>
        <w:tblW w:w="8730"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11"/>
        <w:gridCol w:w="46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采购人及采购项目名称</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投（中）标单位名称</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是否国内企业</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是否宁波企业</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企业划分标准类型（大型、中型、小型、微型）</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提供的货物是否本企业制造</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货物原产地是否是中国境内</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货物原产地是否是宁波</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是节能清单产品</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提供的货物是否是环境标志清单产品</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承担的工程或服务是否本企业提供</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本项目预算</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r>
              <w:rPr>
                <w:rFonts w:ascii="Arial" w:hAnsi="Arial" w:cs="Arial"/>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本项目是否专门面向中小企业采购</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r>
              <w:rPr>
                <w:rFonts w:ascii="Arial" w:hAnsi="Arial" w:cs="Arial"/>
                <w:color w:val="auto"/>
                <w:spacing w:val="6"/>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111" w:type="dxa"/>
            <w:vAlign w:val="center"/>
          </w:tcPr>
          <w:p>
            <w:pPr>
              <w:spacing w:line="400" w:lineRule="exact"/>
              <w:rPr>
                <w:rFonts w:ascii="Arial" w:hAnsi="Arial" w:cs="Arial"/>
                <w:color w:val="auto"/>
                <w:spacing w:val="6"/>
                <w:szCs w:val="21"/>
                <w:highlight w:val="none"/>
              </w:rPr>
            </w:pPr>
            <w:r>
              <w:rPr>
                <w:rFonts w:ascii="Arial" w:hAnsi="Arial" w:cs="Arial"/>
                <w:color w:val="auto"/>
                <w:spacing w:val="6"/>
                <w:szCs w:val="21"/>
                <w:highlight w:val="none"/>
              </w:rPr>
              <w:t>投（中）标金额（万元）</w:t>
            </w:r>
          </w:p>
        </w:tc>
        <w:tc>
          <w:tcPr>
            <w:tcW w:w="4619" w:type="dxa"/>
            <w:vAlign w:val="center"/>
          </w:tcPr>
          <w:p>
            <w:pPr>
              <w:spacing w:line="400" w:lineRule="exact"/>
              <w:ind w:firstLine="444" w:firstLineChars="200"/>
              <w:jc w:val="center"/>
              <w:rPr>
                <w:rFonts w:ascii="Arial" w:hAnsi="Arial" w:cs="Arial"/>
                <w:color w:val="auto"/>
                <w:spacing w:val="6"/>
                <w:szCs w:val="21"/>
                <w:highlight w:val="none"/>
              </w:rPr>
            </w:pPr>
            <w:r>
              <w:rPr>
                <w:rFonts w:ascii="Arial" w:hAnsi="Arial" w:cs="Arial"/>
                <w:color w:val="auto"/>
                <w:spacing w:val="6"/>
                <w:szCs w:val="21"/>
                <w:highlight w:val="none"/>
              </w:rPr>
              <w:t>/</w:t>
            </w:r>
          </w:p>
        </w:tc>
      </w:tr>
    </w:tbl>
    <w:p>
      <w:pPr>
        <w:pStyle w:val="25"/>
        <w:tabs>
          <w:tab w:val="left" w:pos="2472"/>
        </w:tabs>
        <w:snapToGrid w:val="0"/>
        <w:spacing w:beforeLines="0" w:afterLines="0" w:line="360" w:lineRule="auto"/>
        <w:rPr>
          <w:rFonts w:hint="default" w:ascii="Arial" w:hAnsi="Arial" w:cs="Arial"/>
          <w:color w:val="auto"/>
          <w:szCs w:val="21"/>
          <w:highlight w:val="none"/>
        </w:rPr>
      </w:pPr>
      <w:r>
        <w:rPr>
          <w:rFonts w:ascii="Arial" w:hAnsi="Arial" w:cs="Arial"/>
          <w:color w:val="auto"/>
          <w:spacing w:val="6"/>
          <w:szCs w:val="21"/>
          <w:highlight w:val="none"/>
        </w:rPr>
        <w:t>备注：请各投标人务必填写此表作为投标文件的组成部分。</w:t>
      </w: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360" w:lineRule="auto"/>
        <w:rPr>
          <w:rFonts w:ascii="Arial" w:hAnsi="Arial" w:cs="Arial"/>
          <w:b/>
          <w:color w:val="auto"/>
          <w:kern w:val="0"/>
          <w:szCs w:val="21"/>
          <w:highlight w:val="none"/>
        </w:rPr>
      </w:pPr>
    </w:p>
    <w:p>
      <w:pPr>
        <w:spacing w:line="480" w:lineRule="auto"/>
        <w:outlineLvl w:val="1"/>
        <w:rPr>
          <w:rFonts w:ascii="Arial" w:hAnsi="Arial" w:cs="Arial"/>
          <w:b/>
          <w:color w:val="auto"/>
          <w:szCs w:val="21"/>
          <w:highlight w:val="none"/>
        </w:rPr>
      </w:pPr>
      <w:r>
        <w:rPr>
          <w:rFonts w:ascii="Arial" w:hAnsi="Arial" w:cs="Arial"/>
          <w:b/>
          <w:color w:val="auto"/>
          <w:szCs w:val="21"/>
          <w:highlight w:val="none"/>
        </w:rPr>
        <w:t>附件</w:t>
      </w:r>
      <w:r>
        <w:rPr>
          <w:rFonts w:hint="eastAsia" w:ascii="Arial" w:hAnsi="Arial" w:cs="Arial"/>
          <w:b/>
          <w:color w:val="auto"/>
          <w:szCs w:val="21"/>
          <w:highlight w:val="none"/>
        </w:rPr>
        <w:t>二</w:t>
      </w:r>
      <w:r>
        <w:rPr>
          <w:rFonts w:ascii="Arial" w:hAnsi="Arial" w:cs="Arial"/>
          <w:b/>
          <w:color w:val="auto"/>
          <w:szCs w:val="21"/>
          <w:highlight w:val="none"/>
        </w:rPr>
        <w:t>：</w:t>
      </w:r>
    </w:p>
    <w:p>
      <w:pPr>
        <w:pStyle w:val="19"/>
        <w:spacing w:line="360" w:lineRule="auto"/>
        <w:jc w:val="center"/>
        <w:rPr>
          <w:rFonts w:ascii="Arial" w:hAnsi="Arial" w:cs="Arial"/>
          <w:b/>
          <w:color w:val="auto"/>
          <w:spacing w:val="6"/>
          <w:sz w:val="32"/>
          <w:szCs w:val="32"/>
          <w:highlight w:val="none"/>
        </w:rPr>
      </w:pPr>
      <w:r>
        <w:rPr>
          <w:rFonts w:ascii="Arial" w:hAnsi="Arial" w:cs="Arial"/>
          <w:b/>
          <w:color w:val="auto"/>
          <w:spacing w:val="6"/>
          <w:sz w:val="32"/>
          <w:szCs w:val="32"/>
          <w:highlight w:val="none"/>
        </w:rPr>
        <w:t>中小企业声明函</w:t>
      </w:r>
    </w:p>
    <w:p>
      <w:pPr>
        <w:pStyle w:val="19"/>
        <w:spacing w:line="360" w:lineRule="auto"/>
        <w:jc w:val="center"/>
        <w:rPr>
          <w:rFonts w:ascii="Arial" w:hAnsi="Arial" w:cs="Arial"/>
          <w:b/>
          <w:color w:val="auto"/>
          <w:sz w:val="28"/>
          <w:szCs w:val="28"/>
          <w:highlight w:val="none"/>
        </w:rPr>
      </w:pPr>
    </w:p>
    <w:p>
      <w:p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根据财政部《政府采购促进中小企业发展暂行办法》（财库[2011]181号）和宁波市财政局《关于政府采购促进中小企业发展若干问题的通知》（甬采购办[2012]1427号）的规定，本单位郑重声明：</w:t>
      </w:r>
    </w:p>
    <w:p>
      <w:pPr>
        <w:numPr>
          <w:ilvl w:val="0"/>
          <w:numId w:val="22"/>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依据工业和信息化部、国家统计局、国家发展和改革委员会、财政部《关于印发中小企业划型标准规定的通知》（工信部联企业[2011]300号）规定的划分标准，本单位为______（大型、中型、小型、微型、不划型）企业，其中所属行业为_____________、上年末从业人员____人、上年营业收入____万元、上年资产总额____万元。</w:t>
      </w:r>
    </w:p>
    <w:p>
      <w:pPr>
        <w:numPr>
          <w:ilvl w:val="0"/>
          <w:numId w:val="22"/>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本单位参加______项目（采购编号______标段/包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numPr>
          <w:ilvl w:val="0"/>
          <w:numId w:val="22"/>
        </w:numPr>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本单位对上述声明的真实性负责。如有虚假，将依法承担相应责任。</w:t>
      </w:r>
    </w:p>
    <w:p>
      <w:pPr>
        <w:spacing w:line="360" w:lineRule="auto"/>
        <w:ind w:firstLine="464" w:firstLineChars="200"/>
        <w:rPr>
          <w:rFonts w:ascii="Arial" w:hAnsi="Arial" w:cs="Arial"/>
          <w:color w:val="auto"/>
          <w:spacing w:val="6"/>
          <w:sz w:val="22"/>
          <w:szCs w:val="22"/>
          <w:highlight w:val="none"/>
        </w:rPr>
      </w:pPr>
    </w:p>
    <w:p>
      <w:pPr>
        <w:spacing w:line="360" w:lineRule="auto"/>
        <w:ind w:firstLine="464" w:firstLineChars="200"/>
        <w:rPr>
          <w:rFonts w:ascii="Arial" w:hAnsi="Arial" w:cs="Arial"/>
          <w:color w:val="auto"/>
          <w:spacing w:val="6"/>
          <w:sz w:val="22"/>
          <w:szCs w:val="22"/>
          <w:highlight w:val="none"/>
        </w:rPr>
      </w:pPr>
    </w:p>
    <w:p>
      <w:pPr>
        <w:tabs>
          <w:tab w:val="left" w:pos="4860"/>
        </w:tabs>
        <w:spacing w:line="360" w:lineRule="auto"/>
        <w:ind w:right="1560" w:firstLine="464" w:firstLineChars="200"/>
        <w:jc w:val="center"/>
        <w:rPr>
          <w:rFonts w:ascii="Arial" w:hAnsi="Arial" w:cs="Arial"/>
          <w:color w:val="auto"/>
          <w:spacing w:val="6"/>
          <w:sz w:val="22"/>
          <w:szCs w:val="22"/>
          <w:highlight w:val="none"/>
        </w:rPr>
      </w:pPr>
      <w:r>
        <w:rPr>
          <w:rFonts w:ascii="Arial" w:hAnsi="Arial" w:cs="Arial"/>
          <w:color w:val="auto"/>
          <w:spacing w:val="6"/>
          <w:sz w:val="22"/>
          <w:szCs w:val="22"/>
          <w:highlight w:val="none"/>
        </w:rPr>
        <w:t xml:space="preserve">                                   企业名称（盖章）： </w:t>
      </w:r>
    </w:p>
    <w:p>
      <w:pPr>
        <w:widowControl/>
        <w:spacing w:line="360" w:lineRule="auto"/>
        <w:jc w:val="left"/>
        <w:rPr>
          <w:rFonts w:ascii="Arial" w:hAnsi="Arial" w:cs="Arial"/>
          <w:color w:val="auto"/>
          <w:kern w:val="0"/>
          <w:sz w:val="22"/>
          <w:szCs w:val="22"/>
          <w:highlight w:val="none"/>
        </w:rPr>
      </w:pPr>
      <w:r>
        <w:rPr>
          <w:rFonts w:ascii="Arial" w:hAnsi="Arial" w:cs="Arial"/>
          <w:color w:val="auto"/>
          <w:spacing w:val="6"/>
          <w:sz w:val="22"/>
          <w:szCs w:val="22"/>
          <w:highlight w:val="none"/>
        </w:rPr>
        <w:t xml:space="preserve">                                       日  期：</w:t>
      </w:r>
    </w:p>
    <w:p>
      <w:pPr>
        <w:widowControl/>
        <w:spacing w:line="360" w:lineRule="auto"/>
        <w:jc w:val="left"/>
        <w:rPr>
          <w:rFonts w:ascii="Arial" w:hAnsi="Arial" w:cs="Arial"/>
          <w:color w:val="auto"/>
          <w:sz w:val="22"/>
          <w:szCs w:val="22"/>
          <w:highlight w:val="none"/>
        </w:rPr>
      </w:pPr>
      <w:r>
        <w:rPr>
          <w:rFonts w:ascii="Arial" w:hAnsi="Arial" w:cs="Arial"/>
          <w:color w:val="auto"/>
          <w:sz w:val="22"/>
          <w:szCs w:val="22"/>
          <w:highlight w:val="none"/>
        </w:rPr>
        <w:t>填写说明：</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2、第1条宁波政府采购网（www.nbzfcg.cn）注册的企业投标人须根据上年财务报表等，登录进入网上投标人平台中“投标人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投标人不划型。</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3、第2条有多个标包的，须按每个标包分别填写，无此分类货物金额的应填“零”。</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4、联合体投标的，由联合体主办方提供本表。</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5、资格入围式项目（一个标包由多家中标入围）：采购人公布项目预算的，第2条有关金额按市场预估总价、投标预估总价除以入围数量填写；未公布预算的或入围数量的，投标人无需填写。</w:t>
      </w:r>
    </w:p>
    <w:p>
      <w:pPr>
        <w:widowControl/>
        <w:spacing w:line="360" w:lineRule="auto"/>
        <w:ind w:firstLine="440" w:firstLineChars="200"/>
        <w:jc w:val="left"/>
        <w:rPr>
          <w:rFonts w:ascii="Arial" w:hAnsi="Arial" w:cs="Arial"/>
          <w:color w:val="auto"/>
          <w:sz w:val="22"/>
          <w:szCs w:val="22"/>
          <w:highlight w:val="none"/>
        </w:rPr>
      </w:pPr>
      <w:r>
        <w:rPr>
          <w:rFonts w:ascii="Arial" w:hAnsi="Arial" w:cs="Arial"/>
          <w:color w:val="auto"/>
          <w:sz w:val="22"/>
          <w:szCs w:val="22"/>
          <w:highlight w:val="none"/>
        </w:rPr>
        <w:t>6、投标价格为费率的项目、中标价格按单价执行的项目：采购人公布项目预算的，第2条有关金额按市场预估总价、投标预估总价填写；未公布预算的，投标人无需填写。</w:t>
      </w:r>
    </w:p>
    <w:p>
      <w:pPr>
        <w:spacing w:line="360" w:lineRule="auto"/>
        <w:ind w:firstLine="440" w:firstLineChars="200"/>
        <w:rPr>
          <w:rFonts w:ascii="Arial" w:hAnsi="Arial" w:cs="Arial"/>
          <w:color w:val="auto"/>
          <w:sz w:val="22"/>
          <w:szCs w:val="22"/>
          <w:highlight w:val="none"/>
        </w:rPr>
      </w:pPr>
      <w:r>
        <w:rPr>
          <w:rFonts w:ascii="Arial" w:hAnsi="Arial" w:cs="Arial"/>
          <w:color w:val="auto"/>
          <w:sz w:val="22"/>
          <w:szCs w:val="22"/>
          <w:highlight w:val="none"/>
        </w:rPr>
        <w:t>7、列入国家节能产品清单、环保产品清单的产品以中国政府采购网(www.ccgp.gov.cn)上财政部发布的文件为准。</w:t>
      </w: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spacing w:line="360" w:lineRule="auto"/>
        <w:ind w:firstLine="440" w:firstLineChars="200"/>
        <w:rPr>
          <w:rFonts w:ascii="Arial" w:hAnsi="Arial" w:cs="Arial"/>
          <w:color w:val="auto"/>
          <w:sz w:val="22"/>
          <w:szCs w:val="22"/>
          <w:highlight w:val="none"/>
        </w:rPr>
      </w:pPr>
    </w:p>
    <w:p>
      <w:pPr>
        <w:rPr>
          <w:rFonts w:ascii="Arial" w:hAnsi="Arial" w:cs="Arial"/>
          <w:color w:val="auto"/>
          <w:highlight w:val="none"/>
        </w:rPr>
      </w:pPr>
    </w:p>
    <w:sectPr>
      <w:headerReference r:id="rId4" w:type="first"/>
      <w:footerReference r:id="rId6" w:type="first"/>
      <w:headerReference r:id="rId3" w:type="default"/>
      <w:footerReference r:id="rId5" w:type="default"/>
      <w:pgSz w:w="11906" w:h="16838"/>
      <w:pgMar w:top="1134" w:right="1797" w:bottom="1134" w:left="1797"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decorative"/>
    <w:pitch w:val="default"/>
    <w:sig w:usb0="00000001" w:usb1="080E0000" w:usb2="00000000" w:usb3="00000000" w:csb0="00040000" w:csb1="00000000"/>
  </w:font>
  <w:font w:name="Helvetica">
    <w:panose1 w:val="020B0504020202030204"/>
    <w:charset w:val="00"/>
    <w:family w:val="roman"/>
    <w:pitch w:val="default"/>
    <w:sig w:usb0="00000007" w:usb1="00000000" w:usb2="00000000" w:usb3="00000000" w:csb0="00000093" w:csb1="00000000"/>
  </w:font>
  <w:font w:name="ヒラギノ角ゴ Pro W3">
    <w:altName w:val="Arial Unicode MS"/>
    <w:panose1 w:val="00000000000000000000"/>
    <w:charset w:val="8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22F58"/>
    <w:multiLevelType w:val="singleLevel"/>
    <w:tmpl w:val="82222F58"/>
    <w:lvl w:ilvl="0" w:tentative="0">
      <w:start w:val="2"/>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tentative="0">
      <w:start w:val="1"/>
      <w:numFmt w:val="chineseCounting"/>
      <w:suff w:val="nothing"/>
      <w:lvlText w:val="%1、"/>
      <w:lvlJc w:val="left"/>
    </w:lvl>
  </w:abstractNum>
  <w:abstractNum w:abstractNumId="3">
    <w:nsid w:val="00000012"/>
    <w:multiLevelType w:val="singleLevel"/>
    <w:tmpl w:val="00000012"/>
    <w:lvl w:ilvl="0" w:tentative="0">
      <w:start w:val="1"/>
      <w:numFmt w:val="decimal"/>
      <w:suff w:val="nothing"/>
      <w:lvlText w:val="%1."/>
      <w:lvlJc w:val="left"/>
    </w:lvl>
  </w:abstractNum>
  <w:abstractNum w:abstractNumId="4">
    <w:nsid w:val="00000013"/>
    <w:multiLevelType w:val="singleLevel"/>
    <w:tmpl w:val="00000013"/>
    <w:lvl w:ilvl="0" w:tentative="0">
      <w:start w:val="1"/>
      <w:numFmt w:val="decimal"/>
      <w:suff w:val="nothing"/>
      <w:lvlText w:val="%1."/>
      <w:lvlJc w:val="left"/>
    </w:lvl>
  </w:abstractNum>
  <w:abstractNum w:abstractNumId="5">
    <w:nsid w:val="00000019"/>
    <w:multiLevelType w:val="singleLevel"/>
    <w:tmpl w:val="00000019"/>
    <w:lvl w:ilvl="0" w:tentative="0">
      <w:start w:val="2"/>
      <w:numFmt w:val="decimal"/>
      <w:suff w:val="nothing"/>
      <w:lvlText w:val="（%1）"/>
      <w:lvlJc w:val="left"/>
    </w:lvl>
  </w:abstractNum>
  <w:abstractNum w:abstractNumId="6">
    <w:nsid w:val="0000001C"/>
    <w:multiLevelType w:val="singleLevel"/>
    <w:tmpl w:val="0000001C"/>
    <w:lvl w:ilvl="0" w:tentative="0">
      <w:start w:val="2"/>
      <w:numFmt w:val="decimal"/>
      <w:suff w:val="nothing"/>
      <w:lvlText w:val="%1."/>
      <w:lvlJc w:val="left"/>
    </w:lvl>
  </w:abstractNum>
  <w:abstractNum w:abstractNumId="7">
    <w:nsid w:val="00000022"/>
    <w:multiLevelType w:val="singleLevel"/>
    <w:tmpl w:val="00000022"/>
    <w:lvl w:ilvl="0" w:tentative="0">
      <w:start w:val="1"/>
      <w:numFmt w:val="decimal"/>
      <w:suff w:val="nothing"/>
      <w:lvlText w:val="%1."/>
      <w:lvlJc w:val="left"/>
    </w:lvl>
  </w:abstractNum>
  <w:abstractNum w:abstractNumId="8">
    <w:nsid w:val="00000027"/>
    <w:multiLevelType w:val="singleLevel"/>
    <w:tmpl w:val="00000027"/>
    <w:lvl w:ilvl="0" w:tentative="0">
      <w:start w:val="2"/>
      <w:numFmt w:val="decimal"/>
      <w:suff w:val="nothing"/>
      <w:lvlText w:val="%1、"/>
      <w:lvlJc w:val="left"/>
    </w:lvl>
  </w:abstractNum>
  <w:abstractNum w:abstractNumId="9">
    <w:nsid w:val="0000002B"/>
    <w:multiLevelType w:val="singleLevel"/>
    <w:tmpl w:val="0000002B"/>
    <w:lvl w:ilvl="0" w:tentative="0">
      <w:start w:val="2"/>
      <w:numFmt w:val="decimal"/>
      <w:suff w:val="nothing"/>
      <w:lvlText w:val="%1."/>
      <w:lvlJc w:val="left"/>
    </w:lvl>
  </w:abstractNum>
  <w:abstractNum w:abstractNumId="10">
    <w:nsid w:val="0000002E"/>
    <w:multiLevelType w:val="singleLevel"/>
    <w:tmpl w:val="0000002E"/>
    <w:lvl w:ilvl="0" w:tentative="0">
      <w:start w:val="3"/>
      <w:numFmt w:val="decimal"/>
      <w:suff w:val="nothing"/>
      <w:lvlText w:val="%1."/>
      <w:lvlJc w:val="left"/>
    </w:lvl>
  </w:abstractNum>
  <w:abstractNum w:abstractNumId="11">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12">
    <w:nsid w:val="00000036"/>
    <w:multiLevelType w:val="singleLevel"/>
    <w:tmpl w:val="00000036"/>
    <w:lvl w:ilvl="0" w:tentative="0">
      <w:start w:val="7"/>
      <w:numFmt w:val="chineseCounting"/>
      <w:suff w:val="nothing"/>
      <w:lvlText w:val="（%1）"/>
      <w:lvlJc w:val="left"/>
    </w:lvl>
  </w:abstractNum>
  <w:abstractNum w:abstractNumId="13">
    <w:nsid w:val="00000037"/>
    <w:multiLevelType w:val="singleLevel"/>
    <w:tmpl w:val="00000037"/>
    <w:lvl w:ilvl="0" w:tentative="0">
      <w:start w:val="2"/>
      <w:numFmt w:val="decimal"/>
      <w:suff w:val="nothing"/>
      <w:lvlText w:val="%1."/>
      <w:lvlJc w:val="left"/>
    </w:lvl>
  </w:abstractNum>
  <w:abstractNum w:abstractNumId="14">
    <w:nsid w:val="0000003B"/>
    <w:multiLevelType w:val="singleLevel"/>
    <w:tmpl w:val="0000003B"/>
    <w:lvl w:ilvl="0" w:tentative="0">
      <w:start w:val="1"/>
      <w:numFmt w:val="decimal"/>
      <w:suff w:val="nothing"/>
      <w:lvlText w:val="（%1）"/>
      <w:lvlJc w:val="left"/>
      <w:pPr>
        <w:ind w:left="0" w:firstLine="400"/>
      </w:pPr>
      <w:rPr>
        <w:rFonts w:hint="default"/>
      </w:rPr>
    </w:lvl>
  </w:abstractNum>
  <w:abstractNum w:abstractNumId="15">
    <w:nsid w:val="0000003C"/>
    <w:multiLevelType w:val="singleLevel"/>
    <w:tmpl w:val="0000003C"/>
    <w:lvl w:ilvl="0" w:tentative="0">
      <w:start w:val="3"/>
      <w:numFmt w:val="chineseCounting"/>
      <w:suff w:val="nothing"/>
      <w:lvlText w:val="（%1）"/>
      <w:lvlJc w:val="left"/>
    </w:lvl>
  </w:abstractNum>
  <w:abstractNum w:abstractNumId="16">
    <w:nsid w:val="0C4655DE"/>
    <w:multiLevelType w:val="singleLevel"/>
    <w:tmpl w:val="0C4655DE"/>
    <w:lvl w:ilvl="0" w:tentative="0">
      <w:start w:val="2"/>
      <w:numFmt w:val="chineseCounting"/>
      <w:suff w:val="space"/>
      <w:lvlText w:val="第%1章"/>
      <w:lvlJc w:val="left"/>
      <w:rPr>
        <w:rFonts w:hint="eastAsia"/>
      </w:rPr>
    </w:lvl>
  </w:abstractNum>
  <w:abstractNum w:abstractNumId="17">
    <w:nsid w:val="21487D02"/>
    <w:multiLevelType w:val="multilevel"/>
    <w:tmpl w:val="21487D02"/>
    <w:lvl w:ilvl="0" w:tentative="0">
      <w:start w:val="1"/>
      <w:numFmt w:val="decimal"/>
      <w:suff w:val="nothing"/>
      <w:lvlText w:val="（%1）"/>
      <w:lvlJc w:val="left"/>
      <w:pPr>
        <w:tabs>
          <w:tab w:val="left" w:pos="0"/>
        </w:tabs>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8">
    <w:nsid w:val="5DC8F9DB"/>
    <w:multiLevelType w:val="singleLevel"/>
    <w:tmpl w:val="5DC8F9DB"/>
    <w:lvl w:ilvl="0" w:tentative="0">
      <w:start w:val="1"/>
      <w:numFmt w:val="decimal"/>
      <w:suff w:val="nothing"/>
      <w:lvlText w:val="%1、"/>
      <w:lvlJc w:val="left"/>
    </w:lvl>
  </w:abstractNum>
  <w:abstractNum w:abstractNumId="19">
    <w:nsid w:val="5DC92671"/>
    <w:multiLevelType w:val="singleLevel"/>
    <w:tmpl w:val="5DC92671"/>
    <w:lvl w:ilvl="0" w:tentative="0">
      <w:start w:val="1"/>
      <w:numFmt w:val="decimal"/>
      <w:suff w:val="nothing"/>
      <w:lvlText w:val="（%1）"/>
      <w:lvlJc w:val="left"/>
    </w:lvl>
  </w:abstractNum>
  <w:abstractNum w:abstractNumId="20">
    <w:nsid w:val="5DCE4E24"/>
    <w:multiLevelType w:val="multilevel"/>
    <w:tmpl w:val="5DCE4E24"/>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D32C854"/>
    <w:multiLevelType w:val="singleLevel"/>
    <w:tmpl w:val="6D32C854"/>
    <w:lvl w:ilvl="0" w:tentative="0">
      <w:start w:val="1"/>
      <w:numFmt w:val="decimal"/>
      <w:suff w:val="nothing"/>
      <w:lvlText w:val="%1、"/>
      <w:lvlJc w:val="left"/>
    </w:lvl>
  </w:abstractNum>
  <w:num w:numId="1">
    <w:abstractNumId w:val="2"/>
  </w:num>
  <w:num w:numId="2">
    <w:abstractNumId w:val="16"/>
  </w:num>
  <w:num w:numId="3">
    <w:abstractNumId w:val="21"/>
  </w:num>
  <w:num w:numId="4">
    <w:abstractNumId w:val="19"/>
  </w:num>
  <w:num w:numId="5">
    <w:abstractNumId w:val="12"/>
  </w:num>
  <w:num w:numId="6">
    <w:abstractNumId w:val="0"/>
  </w:num>
  <w:num w:numId="7">
    <w:abstractNumId w:val="17"/>
  </w:num>
  <w:num w:numId="8">
    <w:abstractNumId w:val="9"/>
  </w:num>
  <w:num w:numId="9">
    <w:abstractNumId w:val="4"/>
  </w:num>
  <w:num w:numId="10">
    <w:abstractNumId w:val="11"/>
  </w:num>
  <w:num w:numId="11">
    <w:abstractNumId w:val="14"/>
  </w:num>
  <w:num w:numId="12">
    <w:abstractNumId w:val="1"/>
  </w:num>
  <w:num w:numId="13">
    <w:abstractNumId w:val="15"/>
  </w:num>
  <w:num w:numId="14">
    <w:abstractNumId w:val="13"/>
  </w:num>
  <w:num w:numId="15">
    <w:abstractNumId w:val="3"/>
  </w:num>
  <w:num w:numId="16">
    <w:abstractNumId w:val="6"/>
  </w:num>
  <w:num w:numId="17">
    <w:abstractNumId w:val="10"/>
  </w:num>
  <w:num w:numId="18">
    <w:abstractNumId w:val="20"/>
    <w:lvlOverride w:ilvl="0">
      <w:startOverride w:val="5"/>
    </w:lvlOverride>
  </w:num>
  <w:num w:numId="19">
    <w:abstractNumId w:val="8"/>
  </w:num>
  <w:num w:numId="20">
    <w:abstractNumId w:val="5"/>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BookNames" w:val="year1_2;filetype1_2"/>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3AC"/>
    <w:rsid w:val="0000331A"/>
    <w:rsid w:val="0003105A"/>
    <w:rsid w:val="00036F2A"/>
    <w:rsid w:val="00064226"/>
    <w:rsid w:val="00076B8A"/>
    <w:rsid w:val="00080766"/>
    <w:rsid w:val="00085C54"/>
    <w:rsid w:val="00092753"/>
    <w:rsid w:val="000A03EA"/>
    <w:rsid w:val="000C0B93"/>
    <w:rsid w:val="000C0CB8"/>
    <w:rsid w:val="000C3CB6"/>
    <w:rsid w:val="000D43FB"/>
    <w:rsid w:val="000E2CE2"/>
    <w:rsid w:val="000F14CC"/>
    <w:rsid w:val="000F1FCE"/>
    <w:rsid w:val="00102CBD"/>
    <w:rsid w:val="00111B33"/>
    <w:rsid w:val="001246C2"/>
    <w:rsid w:val="00141883"/>
    <w:rsid w:val="00145FD2"/>
    <w:rsid w:val="001526F7"/>
    <w:rsid w:val="00155379"/>
    <w:rsid w:val="00170824"/>
    <w:rsid w:val="00172A27"/>
    <w:rsid w:val="001868E3"/>
    <w:rsid w:val="00194856"/>
    <w:rsid w:val="0019560B"/>
    <w:rsid w:val="001B7393"/>
    <w:rsid w:val="001C4992"/>
    <w:rsid w:val="001E086A"/>
    <w:rsid w:val="001E0916"/>
    <w:rsid w:val="001E1425"/>
    <w:rsid w:val="002129C8"/>
    <w:rsid w:val="00224892"/>
    <w:rsid w:val="0024060E"/>
    <w:rsid w:val="0024727A"/>
    <w:rsid w:val="0026286F"/>
    <w:rsid w:val="002647F5"/>
    <w:rsid w:val="0026498B"/>
    <w:rsid w:val="0027660B"/>
    <w:rsid w:val="00284966"/>
    <w:rsid w:val="00284EE4"/>
    <w:rsid w:val="00285E93"/>
    <w:rsid w:val="002D2EED"/>
    <w:rsid w:val="002D65BA"/>
    <w:rsid w:val="002F0655"/>
    <w:rsid w:val="002F350A"/>
    <w:rsid w:val="002F36C8"/>
    <w:rsid w:val="002F3E7C"/>
    <w:rsid w:val="0030323B"/>
    <w:rsid w:val="003149EB"/>
    <w:rsid w:val="00316296"/>
    <w:rsid w:val="0032390E"/>
    <w:rsid w:val="003244E0"/>
    <w:rsid w:val="00347763"/>
    <w:rsid w:val="00355AEE"/>
    <w:rsid w:val="003602D1"/>
    <w:rsid w:val="00360482"/>
    <w:rsid w:val="003709D8"/>
    <w:rsid w:val="00386F25"/>
    <w:rsid w:val="00392DEC"/>
    <w:rsid w:val="00394AD6"/>
    <w:rsid w:val="003B6CA6"/>
    <w:rsid w:val="003D1EC1"/>
    <w:rsid w:val="003D338A"/>
    <w:rsid w:val="003E0417"/>
    <w:rsid w:val="00402611"/>
    <w:rsid w:val="00412D82"/>
    <w:rsid w:val="00415505"/>
    <w:rsid w:val="004213C1"/>
    <w:rsid w:val="00434B86"/>
    <w:rsid w:val="0043696F"/>
    <w:rsid w:val="00442AD3"/>
    <w:rsid w:val="0046110B"/>
    <w:rsid w:val="0046167C"/>
    <w:rsid w:val="004665EB"/>
    <w:rsid w:val="00481B82"/>
    <w:rsid w:val="00494757"/>
    <w:rsid w:val="00495D11"/>
    <w:rsid w:val="004A3E52"/>
    <w:rsid w:val="004B0A37"/>
    <w:rsid w:val="004D26AE"/>
    <w:rsid w:val="004E2982"/>
    <w:rsid w:val="004E4E4F"/>
    <w:rsid w:val="004F1656"/>
    <w:rsid w:val="00545DDF"/>
    <w:rsid w:val="00570A57"/>
    <w:rsid w:val="00577DD3"/>
    <w:rsid w:val="00584CCB"/>
    <w:rsid w:val="00590B88"/>
    <w:rsid w:val="005A24B4"/>
    <w:rsid w:val="005A5950"/>
    <w:rsid w:val="005B034B"/>
    <w:rsid w:val="005B2CC4"/>
    <w:rsid w:val="005D2841"/>
    <w:rsid w:val="005D42C3"/>
    <w:rsid w:val="005E0059"/>
    <w:rsid w:val="005E15A9"/>
    <w:rsid w:val="00610437"/>
    <w:rsid w:val="00613C6A"/>
    <w:rsid w:val="00617E14"/>
    <w:rsid w:val="00624143"/>
    <w:rsid w:val="00647208"/>
    <w:rsid w:val="00656918"/>
    <w:rsid w:val="0066014A"/>
    <w:rsid w:val="00670C4E"/>
    <w:rsid w:val="00677780"/>
    <w:rsid w:val="006936EC"/>
    <w:rsid w:val="00694765"/>
    <w:rsid w:val="006A0BDF"/>
    <w:rsid w:val="006C076C"/>
    <w:rsid w:val="006E576B"/>
    <w:rsid w:val="006E63F6"/>
    <w:rsid w:val="006F0B8B"/>
    <w:rsid w:val="006F42EC"/>
    <w:rsid w:val="006F685F"/>
    <w:rsid w:val="00700528"/>
    <w:rsid w:val="0070294D"/>
    <w:rsid w:val="00713088"/>
    <w:rsid w:val="0071370C"/>
    <w:rsid w:val="007140D6"/>
    <w:rsid w:val="00714445"/>
    <w:rsid w:val="00716208"/>
    <w:rsid w:val="0075137B"/>
    <w:rsid w:val="00787E91"/>
    <w:rsid w:val="00790375"/>
    <w:rsid w:val="00792F0C"/>
    <w:rsid w:val="007B4CEC"/>
    <w:rsid w:val="007B5152"/>
    <w:rsid w:val="007D7A13"/>
    <w:rsid w:val="007E6ABB"/>
    <w:rsid w:val="007E77B2"/>
    <w:rsid w:val="007F396F"/>
    <w:rsid w:val="007F458E"/>
    <w:rsid w:val="0080732E"/>
    <w:rsid w:val="008241E4"/>
    <w:rsid w:val="008339A1"/>
    <w:rsid w:val="008544C3"/>
    <w:rsid w:val="0086475B"/>
    <w:rsid w:val="0086700B"/>
    <w:rsid w:val="00875672"/>
    <w:rsid w:val="008A4031"/>
    <w:rsid w:val="008D088E"/>
    <w:rsid w:val="008D37D3"/>
    <w:rsid w:val="008E2BB0"/>
    <w:rsid w:val="008E5C35"/>
    <w:rsid w:val="008F43B4"/>
    <w:rsid w:val="00920AAF"/>
    <w:rsid w:val="00933EC3"/>
    <w:rsid w:val="009426AE"/>
    <w:rsid w:val="0094700E"/>
    <w:rsid w:val="00960C41"/>
    <w:rsid w:val="00963B60"/>
    <w:rsid w:val="009774A2"/>
    <w:rsid w:val="009860CE"/>
    <w:rsid w:val="009A56C7"/>
    <w:rsid w:val="009B157C"/>
    <w:rsid w:val="009C4247"/>
    <w:rsid w:val="009D687B"/>
    <w:rsid w:val="009E24D7"/>
    <w:rsid w:val="009F188D"/>
    <w:rsid w:val="009F452C"/>
    <w:rsid w:val="009F6023"/>
    <w:rsid w:val="00A026E3"/>
    <w:rsid w:val="00A12D07"/>
    <w:rsid w:val="00A16920"/>
    <w:rsid w:val="00A17BC9"/>
    <w:rsid w:val="00A24814"/>
    <w:rsid w:val="00A46C54"/>
    <w:rsid w:val="00A55F7B"/>
    <w:rsid w:val="00A570E2"/>
    <w:rsid w:val="00A5751E"/>
    <w:rsid w:val="00AB3504"/>
    <w:rsid w:val="00AD3E56"/>
    <w:rsid w:val="00AE474D"/>
    <w:rsid w:val="00AF2723"/>
    <w:rsid w:val="00B00091"/>
    <w:rsid w:val="00B01359"/>
    <w:rsid w:val="00B35964"/>
    <w:rsid w:val="00B3789C"/>
    <w:rsid w:val="00B452FA"/>
    <w:rsid w:val="00B45B18"/>
    <w:rsid w:val="00B70E8E"/>
    <w:rsid w:val="00B909B0"/>
    <w:rsid w:val="00BA50C6"/>
    <w:rsid w:val="00BA71C1"/>
    <w:rsid w:val="00BC5BC2"/>
    <w:rsid w:val="00BD3B4D"/>
    <w:rsid w:val="00BD3C36"/>
    <w:rsid w:val="00BF4A99"/>
    <w:rsid w:val="00C1103C"/>
    <w:rsid w:val="00C17D38"/>
    <w:rsid w:val="00C2230B"/>
    <w:rsid w:val="00C22C3E"/>
    <w:rsid w:val="00C22E6C"/>
    <w:rsid w:val="00C23F3B"/>
    <w:rsid w:val="00C309A9"/>
    <w:rsid w:val="00C335A8"/>
    <w:rsid w:val="00C36597"/>
    <w:rsid w:val="00C470F7"/>
    <w:rsid w:val="00C52F9F"/>
    <w:rsid w:val="00C6342A"/>
    <w:rsid w:val="00C634BD"/>
    <w:rsid w:val="00C64D2D"/>
    <w:rsid w:val="00C7005A"/>
    <w:rsid w:val="00C70AC9"/>
    <w:rsid w:val="00C73DD2"/>
    <w:rsid w:val="00C81162"/>
    <w:rsid w:val="00C852CC"/>
    <w:rsid w:val="00CA25A4"/>
    <w:rsid w:val="00CB290D"/>
    <w:rsid w:val="00CD55C0"/>
    <w:rsid w:val="00CE00EB"/>
    <w:rsid w:val="00CF2E5F"/>
    <w:rsid w:val="00D01953"/>
    <w:rsid w:val="00D11E3C"/>
    <w:rsid w:val="00D17CC6"/>
    <w:rsid w:val="00D21F0E"/>
    <w:rsid w:val="00D5166A"/>
    <w:rsid w:val="00D60388"/>
    <w:rsid w:val="00D80448"/>
    <w:rsid w:val="00D85A60"/>
    <w:rsid w:val="00D91538"/>
    <w:rsid w:val="00DA16D4"/>
    <w:rsid w:val="00DA2296"/>
    <w:rsid w:val="00DA3DFE"/>
    <w:rsid w:val="00DA4AB4"/>
    <w:rsid w:val="00DA53BA"/>
    <w:rsid w:val="00DA6C87"/>
    <w:rsid w:val="00DD4112"/>
    <w:rsid w:val="00DD4F7C"/>
    <w:rsid w:val="00DE4C06"/>
    <w:rsid w:val="00DF34DD"/>
    <w:rsid w:val="00E02BA1"/>
    <w:rsid w:val="00E05306"/>
    <w:rsid w:val="00E152EA"/>
    <w:rsid w:val="00E42273"/>
    <w:rsid w:val="00E51496"/>
    <w:rsid w:val="00E5459A"/>
    <w:rsid w:val="00E60256"/>
    <w:rsid w:val="00E73EE4"/>
    <w:rsid w:val="00E9325B"/>
    <w:rsid w:val="00EA2429"/>
    <w:rsid w:val="00EA33ED"/>
    <w:rsid w:val="00EC0BE6"/>
    <w:rsid w:val="00EC0DCB"/>
    <w:rsid w:val="00ED19DD"/>
    <w:rsid w:val="00ED5A1E"/>
    <w:rsid w:val="00F248FC"/>
    <w:rsid w:val="00F24B14"/>
    <w:rsid w:val="00F268F5"/>
    <w:rsid w:val="00F42D18"/>
    <w:rsid w:val="00F473D7"/>
    <w:rsid w:val="00F47C51"/>
    <w:rsid w:val="00F64F25"/>
    <w:rsid w:val="00F71023"/>
    <w:rsid w:val="00F81A2C"/>
    <w:rsid w:val="00F86A03"/>
    <w:rsid w:val="00F86A72"/>
    <w:rsid w:val="00F97EED"/>
    <w:rsid w:val="00FA1794"/>
    <w:rsid w:val="00FB6967"/>
    <w:rsid w:val="00FC098D"/>
    <w:rsid w:val="00FE1FC4"/>
    <w:rsid w:val="011A44CD"/>
    <w:rsid w:val="01250557"/>
    <w:rsid w:val="01AA0BBC"/>
    <w:rsid w:val="01AD3DB9"/>
    <w:rsid w:val="01BF2986"/>
    <w:rsid w:val="01D56C59"/>
    <w:rsid w:val="01F16A1E"/>
    <w:rsid w:val="01FA71A6"/>
    <w:rsid w:val="02782890"/>
    <w:rsid w:val="02F839E3"/>
    <w:rsid w:val="03153109"/>
    <w:rsid w:val="033D0AA8"/>
    <w:rsid w:val="036F6683"/>
    <w:rsid w:val="03810AD5"/>
    <w:rsid w:val="038F5F56"/>
    <w:rsid w:val="03AA6C5B"/>
    <w:rsid w:val="03F74D12"/>
    <w:rsid w:val="043B25C3"/>
    <w:rsid w:val="04450209"/>
    <w:rsid w:val="048B752B"/>
    <w:rsid w:val="04F3604B"/>
    <w:rsid w:val="04FE0AB2"/>
    <w:rsid w:val="05002CB2"/>
    <w:rsid w:val="051F5C89"/>
    <w:rsid w:val="052670BB"/>
    <w:rsid w:val="053C4327"/>
    <w:rsid w:val="05820813"/>
    <w:rsid w:val="05B26CEB"/>
    <w:rsid w:val="05B97A4E"/>
    <w:rsid w:val="05D92554"/>
    <w:rsid w:val="05F75327"/>
    <w:rsid w:val="06780242"/>
    <w:rsid w:val="06833C7B"/>
    <w:rsid w:val="06867A4F"/>
    <w:rsid w:val="06896747"/>
    <w:rsid w:val="06A6517D"/>
    <w:rsid w:val="07284BAC"/>
    <w:rsid w:val="077A22E6"/>
    <w:rsid w:val="07952721"/>
    <w:rsid w:val="079B389E"/>
    <w:rsid w:val="07B52A35"/>
    <w:rsid w:val="07B93836"/>
    <w:rsid w:val="07F94F91"/>
    <w:rsid w:val="08C411CD"/>
    <w:rsid w:val="08D02619"/>
    <w:rsid w:val="08F54ED0"/>
    <w:rsid w:val="0950490F"/>
    <w:rsid w:val="0A3D093E"/>
    <w:rsid w:val="0A4007BA"/>
    <w:rsid w:val="0A486EEE"/>
    <w:rsid w:val="0A4B7636"/>
    <w:rsid w:val="0A5145BC"/>
    <w:rsid w:val="0A857F2F"/>
    <w:rsid w:val="0AE66E19"/>
    <w:rsid w:val="0B0772B1"/>
    <w:rsid w:val="0B09495F"/>
    <w:rsid w:val="0B3529CD"/>
    <w:rsid w:val="0BC84230"/>
    <w:rsid w:val="0BD0318F"/>
    <w:rsid w:val="0BF35D9F"/>
    <w:rsid w:val="0C090077"/>
    <w:rsid w:val="0C3741F7"/>
    <w:rsid w:val="0CA36677"/>
    <w:rsid w:val="0CD223F3"/>
    <w:rsid w:val="0D0D39EB"/>
    <w:rsid w:val="0D360E8D"/>
    <w:rsid w:val="0D3C48B7"/>
    <w:rsid w:val="0DA012C6"/>
    <w:rsid w:val="0DE43280"/>
    <w:rsid w:val="0E1B6329"/>
    <w:rsid w:val="0EC30652"/>
    <w:rsid w:val="0F150BB4"/>
    <w:rsid w:val="0F365769"/>
    <w:rsid w:val="0FC16513"/>
    <w:rsid w:val="0FCF4F54"/>
    <w:rsid w:val="0FF82A9D"/>
    <w:rsid w:val="104B07EC"/>
    <w:rsid w:val="10AD5701"/>
    <w:rsid w:val="11294D53"/>
    <w:rsid w:val="11466755"/>
    <w:rsid w:val="115409D6"/>
    <w:rsid w:val="11642F96"/>
    <w:rsid w:val="11806724"/>
    <w:rsid w:val="118C5AF0"/>
    <w:rsid w:val="11C42DA5"/>
    <w:rsid w:val="11DE6BFE"/>
    <w:rsid w:val="123A50AD"/>
    <w:rsid w:val="126A1781"/>
    <w:rsid w:val="127E7712"/>
    <w:rsid w:val="12E7715B"/>
    <w:rsid w:val="132436DB"/>
    <w:rsid w:val="13251C62"/>
    <w:rsid w:val="138902B1"/>
    <w:rsid w:val="13965FB1"/>
    <w:rsid w:val="13FA7550"/>
    <w:rsid w:val="141A67CE"/>
    <w:rsid w:val="145F20AA"/>
    <w:rsid w:val="14B550D8"/>
    <w:rsid w:val="14BB6127"/>
    <w:rsid w:val="14D476DE"/>
    <w:rsid w:val="14F411F4"/>
    <w:rsid w:val="14FC51EB"/>
    <w:rsid w:val="15102F95"/>
    <w:rsid w:val="153B2AA2"/>
    <w:rsid w:val="1550084D"/>
    <w:rsid w:val="155F65E9"/>
    <w:rsid w:val="15D346FA"/>
    <w:rsid w:val="1625140F"/>
    <w:rsid w:val="16674146"/>
    <w:rsid w:val="16CD4F84"/>
    <w:rsid w:val="16CF1CA9"/>
    <w:rsid w:val="16D96D9B"/>
    <w:rsid w:val="1754150E"/>
    <w:rsid w:val="177B4ABC"/>
    <w:rsid w:val="17B17A07"/>
    <w:rsid w:val="17D2650F"/>
    <w:rsid w:val="17F27FD3"/>
    <w:rsid w:val="17F835F5"/>
    <w:rsid w:val="180C74CF"/>
    <w:rsid w:val="189D76D8"/>
    <w:rsid w:val="18B67135"/>
    <w:rsid w:val="18B90996"/>
    <w:rsid w:val="18C6542F"/>
    <w:rsid w:val="18C76E4E"/>
    <w:rsid w:val="18FD4F9C"/>
    <w:rsid w:val="196168F3"/>
    <w:rsid w:val="1982470A"/>
    <w:rsid w:val="19BA043D"/>
    <w:rsid w:val="19CC01C1"/>
    <w:rsid w:val="1A282203"/>
    <w:rsid w:val="1A391F68"/>
    <w:rsid w:val="1A61363B"/>
    <w:rsid w:val="1A701244"/>
    <w:rsid w:val="1A9D225B"/>
    <w:rsid w:val="1AA06898"/>
    <w:rsid w:val="1ACB7935"/>
    <w:rsid w:val="1ACF77E6"/>
    <w:rsid w:val="1AE96FB9"/>
    <w:rsid w:val="1AFB244F"/>
    <w:rsid w:val="1B1845BE"/>
    <w:rsid w:val="1B762687"/>
    <w:rsid w:val="1BF95D9D"/>
    <w:rsid w:val="1C084790"/>
    <w:rsid w:val="1C334CA2"/>
    <w:rsid w:val="1C4735EB"/>
    <w:rsid w:val="1C544792"/>
    <w:rsid w:val="1C8C1C42"/>
    <w:rsid w:val="1CA2008E"/>
    <w:rsid w:val="1CA87ADA"/>
    <w:rsid w:val="1CAC48F9"/>
    <w:rsid w:val="1CDB303E"/>
    <w:rsid w:val="1CFF7937"/>
    <w:rsid w:val="1E82156F"/>
    <w:rsid w:val="1E9A18A7"/>
    <w:rsid w:val="1EE966FE"/>
    <w:rsid w:val="1EF347FC"/>
    <w:rsid w:val="1FD62EA8"/>
    <w:rsid w:val="200F569D"/>
    <w:rsid w:val="20273A32"/>
    <w:rsid w:val="20291735"/>
    <w:rsid w:val="20414D40"/>
    <w:rsid w:val="204C2068"/>
    <w:rsid w:val="20D13ECA"/>
    <w:rsid w:val="21176D4B"/>
    <w:rsid w:val="2128710F"/>
    <w:rsid w:val="21535748"/>
    <w:rsid w:val="215A7E99"/>
    <w:rsid w:val="21817359"/>
    <w:rsid w:val="218D4C60"/>
    <w:rsid w:val="21C61248"/>
    <w:rsid w:val="22AB7720"/>
    <w:rsid w:val="22F42523"/>
    <w:rsid w:val="22F5479F"/>
    <w:rsid w:val="23223BAB"/>
    <w:rsid w:val="234D2FA0"/>
    <w:rsid w:val="236A4DA3"/>
    <w:rsid w:val="23AD21D4"/>
    <w:rsid w:val="23C21021"/>
    <w:rsid w:val="23ED590E"/>
    <w:rsid w:val="23F23E14"/>
    <w:rsid w:val="241E6508"/>
    <w:rsid w:val="248621A1"/>
    <w:rsid w:val="251C79A7"/>
    <w:rsid w:val="251E227E"/>
    <w:rsid w:val="254D02CD"/>
    <w:rsid w:val="2577149D"/>
    <w:rsid w:val="257E239E"/>
    <w:rsid w:val="25B3247B"/>
    <w:rsid w:val="25B76F24"/>
    <w:rsid w:val="25C404BA"/>
    <w:rsid w:val="25D061FB"/>
    <w:rsid w:val="25F0182E"/>
    <w:rsid w:val="260F7F46"/>
    <w:rsid w:val="262247B0"/>
    <w:rsid w:val="262A40A3"/>
    <w:rsid w:val="264612B7"/>
    <w:rsid w:val="26612D98"/>
    <w:rsid w:val="266C76A4"/>
    <w:rsid w:val="266E0E2B"/>
    <w:rsid w:val="26C41F83"/>
    <w:rsid w:val="26F02B3D"/>
    <w:rsid w:val="272E2666"/>
    <w:rsid w:val="273B7EC7"/>
    <w:rsid w:val="274F29DF"/>
    <w:rsid w:val="27E57740"/>
    <w:rsid w:val="2843460E"/>
    <w:rsid w:val="28694C00"/>
    <w:rsid w:val="28713506"/>
    <w:rsid w:val="288D6F2C"/>
    <w:rsid w:val="28D5619D"/>
    <w:rsid w:val="29140A5A"/>
    <w:rsid w:val="292C5C53"/>
    <w:rsid w:val="29492003"/>
    <w:rsid w:val="29946DA1"/>
    <w:rsid w:val="299550DF"/>
    <w:rsid w:val="29E54CA1"/>
    <w:rsid w:val="2A375715"/>
    <w:rsid w:val="2A9A2C60"/>
    <w:rsid w:val="2B09549C"/>
    <w:rsid w:val="2B36001A"/>
    <w:rsid w:val="2B786D91"/>
    <w:rsid w:val="2BF20827"/>
    <w:rsid w:val="2C1F1122"/>
    <w:rsid w:val="2C4C4655"/>
    <w:rsid w:val="2C5872A6"/>
    <w:rsid w:val="2C804530"/>
    <w:rsid w:val="2C8425B8"/>
    <w:rsid w:val="2CA47B49"/>
    <w:rsid w:val="2CFA39E9"/>
    <w:rsid w:val="2D3A5B89"/>
    <w:rsid w:val="2DA05D7C"/>
    <w:rsid w:val="2DA16C5D"/>
    <w:rsid w:val="2DAA59C0"/>
    <w:rsid w:val="2DB4357F"/>
    <w:rsid w:val="2E7C2D49"/>
    <w:rsid w:val="2E9B7B97"/>
    <w:rsid w:val="2EE54759"/>
    <w:rsid w:val="2F0D1573"/>
    <w:rsid w:val="2F1C7686"/>
    <w:rsid w:val="2F6C03E8"/>
    <w:rsid w:val="2F76743F"/>
    <w:rsid w:val="2FB03786"/>
    <w:rsid w:val="2FBA3640"/>
    <w:rsid w:val="300D3D5A"/>
    <w:rsid w:val="301426E2"/>
    <w:rsid w:val="301E31A9"/>
    <w:rsid w:val="30B7619C"/>
    <w:rsid w:val="30F51E9E"/>
    <w:rsid w:val="30F72011"/>
    <w:rsid w:val="310B3DAA"/>
    <w:rsid w:val="312649A7"/>
    <w:rsid w:val="31CE301A"/>
    <w:rsid w:val="31DE000E"/>
    <w:rsid w:val="320736FE"/>
    <w:rsid w:val="3250008A"/>
    <w:rsid w:val="32A82391"/>
    <w:rsid w:val="32C253C3"/>
    <w:rsid w:val="330D7252"/>
    <w:rsid w:val="332575D7"/>
    <w:rsid w:val="33267E53"/>
    <w:rsid w:val="3356628D"/>
    <w:rsid w:val="345A7FEE"/>
    <w:rsid w:val="346F58D2"/>
    <w:rsid w:val="34A26016"/>
    <w:rsid w:val="34B01EA0"/>
    <w:rsid w:val="353B5119"/>
    <w:rsid w:val="35B917EF"/>
    <w:rsid w:val="35EE4D4D"/>
    <w:rsid w:val="36094FCF"/>
    <w:rsid w:val="361C730F"/>
    <w:rsid w:val="366C6200"/>
    <w:rsid w:val="369B5F83"/>
    <w:rsid w:val="36C160C8"/>
    <w:rsid w:val="37082AEF"/>
    <w:rsid w:val="373646D5"/>
    <w:rsid w:val="37976919"/>
    <w:rsid w:val="37CB6951"/>
    <w:rsid w:val="37F42926"/>
    <w:rsid w:val="37F57CFF"/>
    <w:rsid w:val="383365C2"/>
    <w:rsid w:val="38342806"/>
    <w:rsid w:val="384903D9"/>
    <w:rsid w:val="384E7AA4"/>
    <w:rsid w:val="385E2322"/>
    <w:rsid w:val="388357BF"/>
    <w:rsid w:val="38E41AD1"/>
    <w:rsid w:val="3941182C"/>
    <w:rsid w:val="39A17DC5"/>
    <w:rsid w:val="39F370B4"/>
    <w:rsid w:val="3A0172E4"/>
    <w:rsid w:val="3A7A623B"/>
    <w:rsid w:val="3ABC0E83"/>
    <w:rsid w:val="3ACF4E73"/>
    <w:rsid w:val="3ADB17E0"/>
    <w:rsid w:val="3AE55D36"/>
    <w:rsid w:val="3AED6570"/>
    <w:rsid w:val="3B3B1E05"/>
    <w:rsid w:val="3B4A719F"/>
    <w:rsid w:val="3B6647B6"/>
    <w:rsid w:val="3B671809"/>
    <w:rsid w:val="3B7C738E"/>
    <w:rsid w:val="3C152652"/>
    <w:rsid w:val="3CE55D9E"/>
    <w:rsid w:val="3D2D35C6"/>
    <w:rsid w:val="3D462AF6"/>
    <w:rsid w:val="3D6960EF"/>
    <w:rsid w:val="3D8664DA"/>
    <w:rsid w:val="3DB4660B"/>
    <w:rsid w:val="3DC86770"/>
    <w:rsid w:val="3E2553F0"/>
    <w:rsid w:val="3E336221"/>
    <w:rsid w:val="3E3E3891"/>
    <w:rsid w:val="3E8D7033"/>
    <w:rsid w:val="3ECE1CD1"/>
    <w:rsid w:val="3EFB2345"/>
    <w:rsid w:val="3F1B0DDC"/>
    <w:rsid w:val="3F912340"/>
    <w:rsid w:val="3F9A2172"/>
    <w:rsid w:val="3F9A78E2"/>
    <w:rsid w:val="3FA6159B"/>
    <w:rsid w:val="3FE54A5B"/>
    <w:rsid w:val="3FFF0554"/>
    <w:rsid w:val="40100F8B"/>
    <w:rsid w:val="40463F7D"/>
    <w:rsid w:val="40880B6D"/>
    <w:rsid w:val="408B6889"/>
    <w:rsid w:val="4092567B"/>
    <w:rsid w:val="40BF01F2"/>
    <w:rsid w:val="40EE1532"/>
    <w:rsid w:val="41964E89"/>
    <w:rsid w:val="41A35274"/>
    <w:rsid w:val="41D37222"/>
    <w:rsid w:val="41F97B45"/>
    <w:rsid w:val="42384462"/>
    <w:rsid w:val="4292201A"/>
    <w:rsid w:val="42943205"/>
    <w:rsid w:val="42A93D31"/>
    <w:rsid w:val="42C2102B"/>
    <w:rsid w:val="42C726FE"/>
    <w:rsid w:val="42D66B7A"/>
    <w:rsid w:val="42F953C6"/>
    <w:rsid w:val="43207EF4"/>
    <w:rsid w:val="4365259B"/>
    <w:rsid w:val="43732CFA"/>
    <w:rsid w:val="43B06A17"/>
    <w:rsid w:val="44560723"/>
    <w:rsid w:val="445B22AB"/>
    <w:rsid w:val="446B779A"/>
    <w:rsid w:val="44BA6190"/>
    <w:rsid w:val="460B40FC"/>
    <w:rsid w:val="466744DF"/>
    <w:rsid w:val="46735CC9"/>
    <w:rsid w:val="4715608A"/>
    <w:rsid w:val="474C22C2"/>
    <w:rsid w:val="47565C5F"/>
    <w:rsid w:val="47771E30"/>
    <w:rsid w:val="47874818"/>
    <w:rsid w:val="478F567E"/>
    <w:rsid w:val="47B40C2A"/>
    <w:rsid w:val="47D25F4D"/>
    <w:rsid w:val="489434BB"/>
    <w:rsid w:val="48A42952"/>
    <w:rsid w:val="48AD77AC"/>
    <w:rsid w:val="492A297C"/>
    <w:rsid w:val="493470F7"/>
    <w:rsid w:val="49463769"/>
    <w:rsid w:val="499D73FA"/>
    <w:rsid w:val="49AB718A"/>
    <w:rsid w:val="4A20299F"/>
    <w:rsid w:val="4A501ECB"/>
    <w:rsid w:val="4A567870"/>
    <w:rsid w:val="4AB67254"/>
    <w:rsid w:val="4AE93DF5"/>
    <w:rsid w:val="4AEA553C"/>
    <w:rsid w:val="4BFA6E42"/>
    <w:rsid w:val="4C09543E"/>
    <w:rsid w:val="4CCA7771"/>
    <w:rsid w:val="4CD04577"/>
    <w:rsid w:val="4D052A9F"/>
    <w:rsid w:val="4D234FBE"/>
    <w:rsid w:val="4D9D5F60"/>
    <w:rsid w:val="4DDA0876"/>
    <w:rsid w:val="4DF16947"/>
    <w:rsid w:val="4DFA54CD"/>
    <w:rsid w:val="4E0A0649"/>
    <w:rsid w:val="4E722362"/>
    <w:rsid w:val="4EB11D07"/>
    <w:rsid w:val="4EB172AF"/>
    <w:rsid w:val="4EB17552"/>
    <w:rsid w:val="4EB7186D"/>
    <w:rsid w:val="4F285929"/>
    <w:rsid w:val="4F3920EB"/>
    <w:rsid w:val="4F5D77A3"/>
    <w:rsid w:val="4F72040A"/>
    <w:rsid w:val="4FA064EF"/>
    <w:rsid w:val="4FFA2956"/>
    <w:rsid w:val="4FFC6256"/>
    <w:rsid w:val="500E42DA"/>
    <w:rsid w:val="50314148"/>
    <w:rsid w:val="506658BB"/>
    <w:rsid w:val="506952B6"/>
    <w:rsid w:val="50AE7E7B"/>
    <w:rsid w:val="50CB4497"/>
    <w:rsid w:val="50E30836"/>
    <w:rsid w:val="51020CB4"/>
    <w:rsid w:val="51336067"/>
    <w:rsid w:val="516A211B"/>
    <w:rsid w:val="51D21F29"/>
    <w:rsid w:val="52781616"/>
    <w:rsid w:val="52901D4D"/>
    <w:rsid w:val="52AF28D7"/>
    <w:rsid w:val="531353D8"/>
    <w:rsid w:val="535379F7"/>
    <w:rsid w:val="53602134"/>
    <w:rsid w:val="5392186F"/>
    <w:rsid w:val="53A17685"/>
    <w:rsid w:val="541A43FF"/>
    <w:rsid w:val="541C771B"/>
    <w:rsid w:val="542D6D25"/>
    <w:rsid w:val="54472F65"/>
    <w:rsid w:val="544B3A4C"/>
    <w:rsid w:val="54835922"/>
    <w:rsid w:val="549E4BB5"/>
    <w:rsid w:val="54FB5570"/>
    <w:rsid w:val="55244E49"/>
    <w:rsid w:val="55696864"/>
    <w:rsid w:val="55C36173"/>
    <w:rsid w:val="560436E1"/>
    <w:rsid w:val="56275413"/>
    <w:rsid w:val="56C640DF"/>
    <w:rsid w:val="574822C6"/>
    <w:rsid w:val="578618A0"/>
    <w:rsid w:val="57B9668F"/>
    <w:rsid w:val="57C3028C"/>
    <w:rsid w:val="57C33EB1"/>
    <w:rsid w:val="583B43BC"/>
    <w:rsid w:val="586F083C"/>
    <w:rsid w:val="58A23C1D"/>
    <w:rsid w:val="59620F85"/>
    <w:rsid w:val="5976060B"/>
    <w:rsid w:val="59D15B42"/>
    <w:rsid w:val="59DA3C08"/>
    <w:rsid w:val="59FF094C"/>
    <w:rsid w:val="5A543B08"/>
    <w:rsid w:val="5A552CEF"/>
    <w:rsid w:val="5A566F41"/>
    <w:rsid w:val="5A825170"/>
    <w:rsid w:val="5A86499A"/>
    <w:rsid w:val="5A8F39A1"/>
    <w:rsid w:val="5AB226A7"/>
    <w:rsid w:val="5AD16577"/>
    <w:rsid w:val="5B0F3EB3"/>
    <w:rsid w:val="5B1531BF"/>
    <w:rsid w:val="5B5F405F"/>
    <w:rsid w:val="5B7B16F9"/>
    <w:rsid w:val="5BA94A95"/>
    <w:rsid w:val="5BC32BB9"/>
    <w:rsid w:val="5BD063FA"/>
    <w:rsid w:val="5BD61486"/>
    <w:rsid w:val="5BE9353B"/>
    <w:rsid w:val="5C390FDD"/>
    <w:rsid w:val="5C494036"/>
    <w:rsid w:val="5C49753D"/>
    <w:rsid w:val="5C621A10"/>
    <w:rsid w:val="5CD53A0F"/>
    <w:rsid w:val="5CE934CB"/>
    <w:rsid w:val="5CF813EE"/>
    <w:rsid w:val="5D25605D"/>
    <w:rsid w:val="5D5B20F2"/>
    <w:rsid w:val="5D86027C"/>
    <w:rsid w:val="5D8F4A80"/>
    <w:rsid w:val="5DA04A94"/>
    <w:rsid w:val="5DCC5C89"/>
    <w:rsid w:val="5DD754A8"/>
    <w:rsid w:val="5E9B7ADC"/>
    <w:rsid w:val="5EA81F4E"/>
    <w:rsid w:val="5EF02E90"/>
    <w:rsid w:val="5F0D0354"/>
    <w:rsid w:val="5F40279C"/>
    <w:rsid w:val="5F896EBD"/>
    <w:rsid w:val="606C30BE"/>
    <w:rsid w:val="60867C11"/>
    <w:rsid w:val="60945ABB"/>
    <w:rsid w:val="609D6EBD"/>
    <w:rsid w:val="60C1031D"/>
    <w:rsid w:val="610B388B"/>
    <w:rsid w:val="619B32E6"/>
    <w:rsid w:val="61EA6863"/>
    <w:rsid w:val="624F2F3B"/>
    <w:rsid w:val="626B7739"/>
    <w:rsid w:val="62723C38"/>
    <w:rsid w:val="62981C6B"/>
    <w:rsid w:val="62AB5C63"/>
    <w:rsid w:val="62C338C4"/>
    <w:rsid w:val="62EA23DE"/>
    <w:rsid w:val="630E19B2"/>
    <w:rsid w:val="6320143E"/>
    <w:rsid w:val="634B48EF"/>
    <w:rsid w:val="637D46DD"/>
    <w:rsid w:val="6384541E"/>
    <w:rsid w:val="63AA3CCC"/>
    <w:rsid w:val="63BF1F2A"/>
    <w:rsid w:val="640850BC"/>
    <w:rsid w:val="6409152B"/>
    <w:rsid w:val="6435031E"/>
    <w:rsid w:val="644666AC"/>
    <w:rsid w:val="64CF2F6B"/>
    <w:rsid w:val="64E955E3"/>
    <w:rsid w:val="6508490C"/>
    <w:rsid w:val="653058BF"/>
    <w:rsid w:val="65562030"/>
    <w:rsid w:val="659A7156"/>
    <w:rsid w:val="65DA54AF"/>
    <w:rsid w:val="65E608F9"/>
    <w:rsid w:val="660426F5"/>
    <w:rsid w:val="661338DD"/>
    <w:rsid w:val="661921CC"/>
    <w:rsid w:val="661B412E"/>
    <w:rsid w:val="664B18FA"/>
    <w:rsid w:val="669D5519"/>
    <w:rsid w:val="66A66C28"/>
    <w:rsid w:val="66EB37C3"/>
    <w:rsid w:val="678C5835"/>
    <w:rsid w:val="67C21DF2"/>
    <w:rsid w:val="67CF3713"/>
    <w:rsid w:val="67DF26C9"/>
    <w:rsid w:val="67EE46FE"/>
    <w:rsid w:val="68116653"/>
    <w:rsid w:val="686549AA"/>
    <w:rsid w:val="68AA46D8"/>
    <w:rsid w:val="68B60F35"/>
    <w:rsid w:val="68CA6F52"/>
    <w:rsid w:val="68DA4532"/>
    <w:rsid w:val="692F3A9F"/>
    <w:rsid w:val="698D17AA"/>
    <w:rsid w:val="6A1412F3"/>
    <w:rsid w:val="6A3D3F26"/>
    <w:rsid w:val="6A9919BE"/>
    <w:rsid w:val="6AE61698"/>
    <w:rsid w:val="6BF7671F"/>
    <w:rsid w:val="6C04234A"/>
    <w:rsid w:val="6C054B5C"/>
    <w:rsid w:val="6C2C3B25"/>
    <w:rsid w:val="6C690C8A"/>
    <w:rsid w:val="6CFF4FAB"/>
    <w:rsid w:val="6D002C98"/>
    <w:rsid w:val="6D0E4CF8"/>
    <w:rsid w:val="6D146747"/>
    <w:rsid w:val="6D4B1273"/>
    <w:rsid w:val="6D50795D"/>
    <w:rsid w:val="6D606EC6"/>
    <w:rsid w:val="6D8103FD"/>
    <w:rsid w:val="6D9E55C2"/>
    <w:rsid w:val="6DB25914"/>
    <w:rsid w:val="6DB7126D"/>
    <w:rsid w:val="6DEA3942"/>
    <w:rsid w:val="6E2C0410"/>
    <w:rsid w:val="6E4D19AE"/>
    <w:rsid w:val="6E977A54"/>
    <w:rsid w:val="6F1A5C40"/>
    <w:rsid w:val="6F62143C"/>
    <w:rsid w:val="6F6777E7"/>
    <w:rsid w:val="6FA36CDC"/>
    <w:rsid w:val="6FA7134E"/>
    <w:rsid w:val="70386944"/>
    <w:rsid w:val="705C7E9F"/>
    <w:rsid w:val="70E361FF"/>
    <w:rsid w:val="7162553A"/>
    <w:rsid w:val="71DB52A3"/>
    <w:rsid w:val="722A7728"/>
    <w:rsid w:val="723A4B82"/>
    <w:rsid w:val="7263636E"/>
    <w:rsid w:val="726E2FE5"/>
    <w:rsid w:val="72CD5B27"/>
    <w:rsid w:val="731C54D9"/>
    <w:rsid w:val="73E54AF2"/>
    <w:rsid w:val="73ED5A77"/>
    <w:rsid w:val="743C0E2B"/>
    <w:rsid w:val="746C0070"/>
    <w:rsid w:val="74800942"/>
    <w:rsid w:val="74A86629"/>
    <w:rsid w:val="74AF794E"/>
    <w:rsid w:val="74F44F94"/>
    <w:rsid w:val="753B0853"/>
    <w:rsid w:val="75763E5F"/>
    <w:rsid w:val="75BA3DEC"/>
    <w:rsid w:val="75FC7442"/>
    <w:rsid w:val="760A5804"/>
    <w:rsid w:val="762141FA"/>
    <w:rsid w:val="77113761"/>
    <w:rsid w:val="77720B34"/>
    <w:rsid w:val="7788113E"/>
    <w:rsid w:val="77C63CEC"/>
    <w:rsid w:val="78085411"/>
    <w:rsid w:val="78282E88"/>
    <w:rsid w:val="786402D4"/>
    <w:rsid w:val="78BF4652"/>
    <w:rsid w:val="78CE13FC"/>
    <w:rsid w:val="78D55C21"/>
    <w:rsid w:val="78D617AA"/>
    <w:rsid w:val="78DB1BC5"/>
    <w:rsid w:val="78DD06BA"/>
    <w:rsid w:val="79024A5A"/>
    <w:rsid w:val="79084AA5"/>
    <w:rsid w:val="792F099A"/>
    <w:rsid w:val="792F1D41"/>
    <w:rsid w:val="795E45D1"/>
    <w:rsid w:val="7A401D8D"/>
    <w:rsid w:val="7A4A7CDA"/>
    <w:rsid w:val="7A514063"/>
    <w:rsid w:val="7ACF3A06"/>
    <w:rsid w:val="7B2D6582"/>
    <w:rsid w:val="7B480473"/>
    <w:rsid w:val="7B7375AE"/>
    <w:rsid w:val="7BB31BED"/>
    <w:rsid w:val="7BB62567"/>
    <w:rsid w:val="7BD14E13"/>
    <w:rsid w:val="7BF64CAB"/>
    <w:rsid w:val="7C03638C"/>
    <w:rsid w:val="7C247B65"/>
    <w:rsid w:val="7C930F4D"/>
    <w:rsid w:val="7D5A02B2"/>
    <w:rsid w:val="7EA25DB0"/>
    <w:rsid w:val="7ECA191F"/>
    <w:rsid w:val="7ECC725E"/>
    <w:rsid w:val="7EDD67A6"/>
    <w:rsid w:val="7EE4195D"/>
    <w:rsid w:val="7EF8667F"/>
    <w:rsid w:val="7F30683E"/>
    <w:rsid w:val="7F5F5486"/>
    <w:rsid w:val="7FB31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5"/>
    <w:qFormat/>
    <w:uiPriority w:val="0"/>
    <w:pPr>
      <w:keepNext/>
      <w:keepLines/>
      <w:tabs>
        <w:tab w:val="left" w:pos="5220"/>
      </w:tabs>
      <w:spacing w:before="340" w:after="330" w:line="576" w:lineRule="auto"/>
      <w:ind w:left="4530" w:hanging="1110"/>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32"/>
      <w:szCs w:val="32"/>
    </w:rPr>
  </w:style>
  <w:style w:type="paragraph" w:styleId="5">
    <w:name w:val="heading 4"/>
    <w:basedOn w:val="1"/>
    <w:next w:val="1"/>
    <w:link w:val="52"/>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2" w:lineRule="auto"/>
      <w:outlineLvl w:val="4"/>
    </w:pPr>
    <w:rPr>
      <w:b/>
      <w:sz w:val="28"/>
      <w:szCs w:val="20"/>
    </w:rPr>
  </w:style>
  <w:style w:type="paragraph" w:styleId="8">
    <w:name w:val="heading 6"/>
    <w:basedOn w:val="1"/>
    <w:next w:val="7"/>
    <w:qFormat/>
    <w:uiPriority w:val="0"/>
    <w:pPr>
      <w:keepNext/>
      <w:keepLines/>
      <w:spacing w:before="240" w:after="64" w:line="317"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17" w:lineRule="auto"/>
      <w:outlineLvl w:val="6"/>
    </w:pPr>
    <w:rPr>
      <w:b/>
      <w:sz w:val="24"/>
      <w:szCs w:val="20"/>
    </w:rPr>
  </w:style>
  <w:style w:type="paragraph" w:styleId="10">
    <w:name w:val="heading 8"/>
    <w:basedOn w:val="1"/>
    <w:next w:val="7"/>
    <w:qFormat/>
    <w:uiPriority w:val="0"/>
    <w:pPr>
      <w:keepNext/>
      <w:keepLines/>
      <w:spacing w:before="240" w:after="64" w:line="317"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17" w:lineRule="auto"/>
      <w:outlineLvl w:val="8"/>
    </w:pPr>
    <w:rPr>
      <w:rFonts w:ascii="Arial" w:hAnsi="Arial" w:eastAsia="黑体"/>
      <w:szCs w:val="20"/>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7">
    <w:name w:val="Normal Indent"/>
    <w:basedOn w:val="1"/>
    <w:link w:val="70"/>
    <w:qFormat/>
    <w:uiPriority w:val="0"/>
    <w:pPr>
      <w:ind w:firstLine="420"/>
    </w:pPr>
    <w:rPr>
      <w:szCs w:val="20"/>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1"/>
    <w:qFormat/>
    <w:uiPriority w:val="0"/>
    <w:pPr>
      <w:shd w:val="clear" w:color="auto" w:fill="000080"/>
    </w:pPr>
  </w:style>
  <w:style w:type="paragraph" w:styleId="16">
    <w:name w:val="annotation text"/>
    <w:basedOn w:val="1"/>
    <w:link w:val="66"/>
    <w:qFormat/>
    <w:uiPriority w:val="0"/>
    <w:pPr>
      <w:jc w:val="left"/>
    </w:pPr>
    <w:rPr>
      <w:szCs w:val="20"/>
    </w:rPr>
  </w:style>
  <w:style w:type="paragraph" w:styleId="17">
    <w:name w:val="Body Text 3"/>
    <w:basedOn w:val="1"/>
    <w:link w:val="53"/>
    <w:qFormat/>
    <w:uiPriority w:val="0"/>
    <w:pPr>
      <w:snapToGrid w:val="0"/>
      <w:spacing w:before="50" w:after="50"/>
    </w:pPr>
    <w:rPr>
      <w:rFonts w:hAnsi="宋体" w:eastAsia="仿宋_GB2312"/>
      <w:b/>
      <w:bCs/>
      <w:sz w:val="24"/>
      <w:szCs w:val="20"/>
    </w:rPr>
  </w:style>
  <w:style w:type="paragraph" w:styleId="18">
    <w:name w:val="Body Text"/>
    <w:basedOn w:val="1"/>
    <w:link w:val="73"/>
    <w:qFormat/>
    <w:uiPriority w:val="0"/>
    <w:pPr>
      <w:spacing w:after="120"/>
    </w:pPr>
  </w:style>
  <w:style w:type="paragraph" w:styleId="19">
    <w:name w:val="Body Text Indent"/>
    <w:basedOn w:val="1"/>
    <w:link w:val="74"/>
    <w:qFormat/>
    <w:uiPriority w:val="0"/>
    <w:pPr>
      <w:spacing w:line="200" w:lineRule="exact"/>
      <w:ind w:firstLine="301"/>
    </w:pPr>
    <w:rPr>
      <w:rFonts w:ascii="宋体" w:hAnsi="Courier New"/>
      <w:spacing w:val="-4"/>
      <w:sz w:val="18"/>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spacing w:before="120" w:after="120" w:line="360" w:lineRule="auto"/>
      <w:ind w:left="630" w:right="202"/>
    </w:pPr>
    <w:rPr>
      <w:rFonts w:ascii="宋体"/>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840" w:leftChars="400"/>
    </w:pPr>
  </w:style>
  <w:style w:type="paragraph" w:styleId="25">
    <w:name w:val="Plain Text"/>
    <w:basedOn w:val="1"/>
    <w:link w:val="76"/>
    <w:qFormat/>
    <w:uiPriority w:val="0"/>
    <w:pPr>
      <w:spacing w:beforeLines="50" w:afterLines="50" w:line="400" w:lineRule="exact"/>
    </w:pPr>
    <w:rPr>
      <w:rFonts w:hint="eastAsia" w:ascii="宋体" w:hAnsi="Courier New"/>
      <w:sz w:val="24"/>
    </w:rPr>
  </w:style>
  <w:style w:type="paragraph" w:styleId="26">
    <w:name w:val="toc 8"/>
    <w:basedOn w:val="1"/>
    <w:next w:val="1"/>
    <w:qFormat/>
    <w:uiPriority w:val="0"/>
    <w:pPr>
      <w:ind w:left="1470"/>
      <w:jc w:val="left"/>
    </w:pPr>
    <w:rPr>
      <w:sz w:val="18"/>
      <w:szCs w:val="18"/>
    </w:rPr>
  </w:style>
  <w:style w:type="paragraph" w:styleId="27">
    <w:name w:val="Date"/>
    <w:basedOn w:val="1"/>
    <w:next w:val="1"/>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542" w:firstLineChars="225"/>
    </w:pPr>
    <w:rPr>
      <w:rFonts w:ascii="仿宋_GB2312" w:hAnsi="宋体" w:cs="Arial"/>
      <w:b/>
      <w:bCs/>
      <w:color w:val="000000"/>
      <w:sz w:val="24"/>
    </w:rPr>
  </w:style>
  <w:style w:type="paragraph" w:styleId="29">
    <w:name w:val="Balloon Text"/>
    <w:basedOn w:val="1"/>
    <w:qFormat/>
    <w:uiPriority w:val="0"/>
    <w:rPr>
      <w:sz w:val="18"/>
      <w:szCs w:val="18"/>
    </w:rPr>
  </w:style>
  <w:style w:type="paragraph" w:styleId="30">
    <w:name w:val="footer"/>
    <w:basedOn w:val="1"/>
    <w:link w:val="60"/>
    <w:qFormat/>
    <w:uiPriority w:val="99"/>
    <w:pPr>
      <w:tabs>
        <w:tab w:val="center" w:pos="4153"/>
        <w:tab w:val="right" w:pos="8306"/>
      </w:tabs>
      <w:snapToGrid w:val="0"/>
      <w:jc w:val="left"/>
    </w:pPr>
    <w:rPr>
      <w:rFonts w:eastAsia="黑体"/>
      <w:snapToGrid w:val="0"/>
      <w:kern w:val="0"/>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2">
    <w:name w:val="toc 1"/>
    <w:basedOn w:val="1"/>
    <w:next w:val="1"/>
    <w:qFormat/>
    <w:uiPriority w:val="39"/>
    <w:pPr>
      <w:tabs>
        <w:tab w:val="left" w:pos="1050"/>
        <w:tab w:val="right" w:leader="dot" w:pos="8302"/>
      </w:tabs>
    </w:p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ind w:left="1050"/>
      <w:jc w:val="left"/>
    </w:pPr>
    <w:rPr>
      <w:sz w:val="18"/>
      <w:szCs w:val="18"/>
    </w:rPr>
  </w:style>
  <w:style w:type="paragraph" w:styleId="36">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7">
    <w:name w:val="toc 2"/>
    <w:basedOn w:val="1"/>
    <w:next w:val="1"/>
    <w:qFormat/>
    <w:uiPriority w:val="39"/>
    <w:pPr>
      <w:ind w:left="420" w:leftChars="200"/>
    </w:p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40">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qFormat/>
    <w:uiPriority w:val="0"/>
    <w:pPr>
      <w:widowControl/>
      <w:spacing w:before="100" w:beforeAutospacing="1" w:after="100" w:afterAutospacing="1"/>
      <w:jc w:val="left"/>
    </w:pPr>
    <w:rPr>
      <w:kern w:val="0"/>
      <w:sz w:val="24"/>
    </w:rPr>
  </w:style>
  <w:style w:type="paragraph" w:styleId="42">
    <w:name w:val="Title"/>
    <w:basedOn w:val="1"/>
    <w:link w:val="80"/>
    <w:qFormat/>
    <w:uiPriority w:val="0"/>
    <w:pPr>
      <w:adjustRightInd w:val="0"/>
      <w:snapToGrid w:val="0"/>
      <w:spacing w:before="100" w:beforeAutospacing="1" w:after="100" w:afterAutospacing="1" w:line="400" w:lineRule="atLeast"/>
      <w:jc w:val="center"/>
      <w:outlineLvl w:val="0"/>
    </w:pPr>
    <w:rPr>
      <w:rFonts w:ascii="宋体" w:hAnsi="宋体" w:cs="Arial"/>
      <w:b/>
      <w:bCs/>
      <w:sz w:val="44"/>
      <w:szCs w:val="32"/>
    </w:rPr>
  </w:style>
  <w:style w:type="paragraph" w:styleId="43">
    <w:name w:val="annotation subject"/>
    <w:basedOn w:val="16"/>
    <w:next w:val="16"/>
    <w:link w:val="78"/>
    <w:qFormat/>
    <w:uiPriority w:val="0"/>
    <w:rPr>
      <w:b/>
      <w:bCs/>
      <w:szCs w:val="24"/>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rPr>
      <w:rFonts w:hint="default" w:ascii="Times New Roman"/>
    </w:rPr>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4 Char"/>
    <w:link w:val="5"/>
    <w:qFormat/>
    <w:uiPriority w:val="0"/>
    <w:rPr>
      <w:rFonts w:ascii="Arial" w:hAnsi="Arial" w:eastAsia="黑体"/>
      <w:b/>
      <w:bCs/>
      <w:kern w:val="2"/>
      <w:sz w:val="28"/>
      <w:szCs w:val="28"/>
      <w:lang w:val="en-US" w:eastAsia="zh-CN" w:bidi="ar-SA"/>
    </w:rPr>
  </w:style>
  <w:style w:type="character" w:customStyle="1" w:styleId="53">
    <w:name w:val="正文文本 3 Char"/>
    <w:link w:val="17"/>
    <w:qFormat/>
    <w:uiPriority w:val="0"/>
    <w:rPr>
      <w:rFonts w:hAnsi="宋体" w:eastAsia="仿宋_GB2312"/>
      <w:b/>
      <w:bCs/>
      <w:kern w:val="2"/>
      <w:sz w:val="24"/>
      <w:lang w:val="en-US" w:eastAsia="zh-CN" w:bidi="ar-SA"/>
    </w:rPr>
  </w:style>
  <w:style w:type="character" w:customStyle="1" w:styleId="54">
    <w:name w:val="HTML 预设格式 Char"/>
    <w:link w:val="40"/>
    <w:qFormat/>
    <w:uiPriority w:val="0"/>
    <w:rPr>
      <w:rFonts w:ascii="黑体" w:hAnsi="Courier New" w:eastAsia="黑体" w:cs="Courier New"/>
    </w:rPr>
  </w:style>
  <w:style w:type="character" w:customStyle="1" w:styleId="55">
    <w:name w:val="标题 1 Char Char"/>
    <w:qFormat/>
    <w:uiPriority w:val="0"/>
    <w:rPr>
      <w:rFonts w:eastAsia="宋体"/>
      <w:b/>
      <w:kern w:val="44"/>
      <w:sz w:val="32"/>
      <w:lang w:val="en-US" w:eastAsia="zh-CN" w:bidi="ar-SA"/>
    </w:rPr>
  </w:style>
  <w:style w:type="character" w:customStyle="1" w:styleId="56">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57">
    <w:name w:val="纯文本 Char"/>
    <w:qFormat/>
    <w:uiPriority w:val="0"/>
    <w:rPr>
      <w:rFonts w:ascii="宋体" w:hAnsi="Courier New" w:eastAsia="宋体"/>
      <w:kern w:val="2"/>
      <w:sz w:val="24"/>
      <w:szCs w:val="24"/>
      <w:lang w:val="en-US" w:eastAsia="zh-CN" w:bidi="ar-SA"/>
    </w:rPr>
  </w:style>
  <w:style w:type="character" w:customStyle="1" w:styleId="58">
    <w:name w:val="font31"/>
    <w:qFormat/>
    <w:uiPriority w:val="0"/>
    <w:rPr>
      <w:sz w:val="18"/>
      <w:szCs w:val="18"/>
    </w:rPr>
  </w:style>
  <w:style w:type="character" w:customStyle="1" w:styleId="59">
    <w:name w:val="Table Text Char Char Char Char"/>
    <w:qFormat/>
    <w:uiPriority w:val="0"/>
    <w:rPr>
      <w:rFonts w:ascii="Arial" w:hAnsi="Arial" w:eastAsia="宋体" w:cs="Arial"/>
      <w:kern w:val="2"/>
      <w:sz w:val="18"/>
      <w:szCs w:val="18"/>
      <w:lang w:val="en-US" w:eastAsia="zh-CN" w:bidi="ar-SA"/>
    </w:rPr>
  </w:style>
  <w:style w:type="character" w:customStyle="1" w:styleId="60">
    <w:name w:val="页脚 Char"/>
    <w:link w:val="30"/>
    <w:qFormat/>
    <w:uiPriority w:val="99"/>
    <w:rPr>
      <w:rFonts w:eastAsia="黑体"/>
      <w:snapToGrid w:val="0"/>
      <w:sz w:val="18"/>
      <w:szCs w:val="18"/>
      <w:lang w:val="en-US" w:eastAsia="zh-CN" w:bidi="ar-SA"/>
    </w:rPr>
  </w:style>
  <w:style w:type="character" w:customStyle="1" w:styleId="61">
    <w:name w:val="16"/>
    <w:qFormat/>
    <w:uiPriority w:val="0"/>
    <w:rPr>
      <w:rFonts w:hint="default" w:ascii="Times New Roman" w:hAnsi="Times New Roman" w:cs="Times New Roman"/>
      <w:color w:val="0000FF"/>
      <w:u w:val="single"/>
    </w:rPr>
  </w:style>
  <w:style w:type="character" w:customStyle="1" w:styleId="62">
    <w:name w:val="t_tag"/>
    <w:basedOn w:val="46"/>
    <w:qFormat/>
    <w:uiPriority w:val="0"/>
  </w:style>
  <w:style w:type="character" w:customStyle="1" w:styleId="63">
    <w:name w:val="a41"/>
    <w:qFormat/>
    <w:uiPriority w:val="0"/>
    <w:rPr>
      <w:color w:val="666666"/>
      <w:sz w:val="26"/>
      <w:szCs w:val="26"/>
    </w:rPr>
  </w:style>
  <w:style w:type="character" w:customStyle="1" w:styleId="64">
    <w:name w:val="页码1"/>
    <w:qFormat/>
    <w:uiPriority w:val="0"/>
    <w:rPr>
      <w:rFonts w:hint="default" w:ascii="Times New Roman"/>
    </w:rPr>
  </w:style>
  <w:style w:type="character" w:customStyle="1" w:styleId="65">
    <w:name w:val="H4"/>
    <w:qFormat/>
    <w:uiPriority w:val="0"/>
  </w:style>
  <w:style w:type="character" w:customStyle="1" w:styleId="66">
    <w:name w:val="批注文字 Char"/>
    <w:link w:val="16"/>
    <w:qFormat/>
    <w:uiPriority w:val="0"/>
    <w:rPr>
      <w:rFonts w:eastAsia="宋体"/>
      <w:kern w:val="2"/>
      <w:sz w:val="21"/>
      <w:lang w:val="en-US" w:eastAsia="zh-CN" w:bidi="ar-SA"/>
    </w:rPr>
  </w:style>
  <w:style w:type="character" w:customStyle="1" w:styleId="67">
    <w:name w:val="批注文字 Char1"/>
    <w:qFormat/>
    <w:uiPriority w:val="0"/>
    <w:rPr>
      <w:kern w:val="2"/>
      <w:sz w:val="21"/>
    </w:rPr>
  </w:style>
  <w:style w:type="character" w:customStyle="1" w:styleId="68">
    <w:name w:val="Char1 Char Char"/>
    <w:link w:val="69"/>
    <w:qFormat/>
    <w:uiPriority w:val="0"/>
    <w:rPr>
      <w:rFonts w:ascii="Tahoma" w:hAnsi="Tahoma" w:eastAsia="宋体"/>
      <w:kern w:val="2"/>
      <w:sz w:val="24"/>
      <w:lang w:val="en-US" w:eastAsia="zh-CN" w:bidi="ar-SA"/>
    </w:rPr>
  </w:style>
  <w:style w:type="paragraph" w:customStyle="1" w:styleId="69">
    <w:name w:val="Char12"/>
    <w:basedOn w:val="1"/>
    <w:link w:val="68"/>
    <w:qFormat/>
    <w:uiPriority w:val="0"/>
    <w:rPr>
      <w:rFonts w:ascii="Tahoma" w:hAnsi="Tahoma"/>
      <w:sz w:val="24"/>
      <w:szCs w:val="20"/>
    </w:rPr>
  </w:style>
  <w:style w:type="character" w:customStyle="1" w:styleId="70">
    <w:name w:val="正文缩进 Char"/>
    <w:link w:val="7"/>
    <w:qFormat/>
    <w:uiPriority w:val="0"/>
    <w:rPr>
      <w:kern w:val="2"/>
      <w:sz w:val="21"/>
    </w:rPr>
  </w:style>
  <w:style w:type="character" w:customStyle="1" w:styleId="71">
    <w:name w:val="文档结构图 Char"/>
    <w:link w:val="15"/>
    <w:qFormat/>
    <w:uiPriority w:val="0"/>
    <w:rPr>
      <w:rFonts w:eastAsia="宋体"/>
      <w:kern w:val="2"/>
      <w:sz w:val="21"/>
      <w:szCs w:val="24"/>
      <w:lang w:val="en-US" w:eastAsia="zh-CN" w:bidi="ar-SA"/>
    </w:rPr>
  </w:style>
  <w:style w:type="character" w:customStyle="1" w:styleId="72">
    <w:name w:val="正文文本 Char1"/>
    <w:qFormat/>
    <w:uiPriority w:val="0"/>
    <w:rPr>
      <w:kern w:val="2"/>
      <w:sz w:val="21"/>
      <w:szCs w:val="24"/>
    </w:rPr>
  </w:style>
  <w:style w:type="character" w:customStyle="1" w:styleId="73">
    <w:name w:val="正文文本 Char"/>
    <w:link w:val="18"/>
    <w:qFormat/>
    <w:uiPriority w:val="0"/>
    <w:rPr>
      <w:kern w:val="2"/>
      <w:sz w:val="21"/>
      <w:szCs w:val="24"/>
    </w:rPr>
  </w:style>
  <w:style w:type="character" w:customStyle="1" w:styleId="74">
    <w:name w:val="正文文本缩进 Char"/>
    <w:link w:val="19"/>
    <w:qFormat/>
    <w:uiPriority w:val="0"/>
    <w:rPr>
      <w:rFonts w:ascii="宋体" w:hAnsi="Courier New"/>
      <w:spacing w:val="-4"/>
      <w:kern w:val="2"/>
      <w:sz w:val="18"/>
    </w:rPr>
  </w:style>
  <w:style w:type="character" w:customStyle="1" w:styleId="75">
    <w:name w:val="正文文本缩进 Char1"/>
    <w:qFormat/>
    <w:uiPriority w:val="0"/>
    <w:rPr>
      <w:rFonts w:hint="default" w:ascii="Times New Roman"/>
      <w:kern w:val="2"/>
      <w:sz w:val="24"/>
    </w:rPr>
  </w:style>
  <w:style w:type="character" w:customStyle="1" w:styleId="76">
    <w:name w:val="纯文本 Char1"/>
    <w:link w:val="25"/>
    <w:qFormat/>
    <w:uiPriority w:val="0"/>
    <w:rPr>
      <w:rFonts w:hint="eastAsia" w:ascii="宋体" w:hAnsi="Courier New" w:eastAsia="宋体" w:cs="宋体"/>
      <w:kern w:val="2"/>
      <w:sz w:val="24"/>
      <w:szCs w:val="24"/>
    </w:rPr>
  </w:style>
  <w:style w:type="character" w:customStyle="1" w:styleId="77">
    <w:name w:val="c_title1"/>
    <w:qFormat/>
    <w:uiPriority w:val="0"/>
    <w:rPr>
      <w:rFonts w:hint="eastAsia" w:ascii="黑体" w:eastAsia="黑体"/>
      <w:color w:val="03005C"/>
      <w:sz w:val="30"/>
      <w:szCs w:val="30"/>
      <w:u w:val="none"/>
    </w:rPr>
  </w:style>
  <w:style w:type="character" w:customStyle="1" w:styleId="78">
    <w:name w:val="批注主题 Char"/>
    <w:link w:val="43"/>
    <w:qFormat/>
    <w:uiPriority w:val="0"/>
    <w:rPr>
      <w:rFonts w:eastAsia="宋体"/>
      <w:b/>
      <w:bCs/>
      <w:kern w:val="2"/>
      <w:sz w:val="21"/>
      <w:szCs w:val="24"/>
      <w:lang w:val="en-US" w:eastAsia="zh-CN" w:bidi="ar-SA"/>
    </w:rPr>
  </w:style>
  <w:style w:type="character" w:customStyle="1" w:styleId="79">
    <w:name w:val="aa1"/>
    <w:basedOn w:val="46"/>
    <w:qFormat/>
    <w:uiPriority w:val="0"/>
  </w:style>
  <w:style w:type="character" w:customStyle="1" w:styleId="80">
    <w:name w:val="标题 Char"/>
    <w:link w:val="42"/>
    <w:qFormat/>
    <w:uiPriority w:val="0"/>
    <w:rPr>
      <w:rFonts w:ascii="宋体" w:hAnsi="宋体" w:eastAsia="宋体" w:cs="Arial"/>
      <w:b/>
      <w:bCs/>
      <w:kern w:val="2"/>
      <w:sz w:val="44"/>
      <w:szCs w:val="32"/>
      <w:lang w:val="en-US" w:eastAsia="zh-CN" w:bidi="ar-SA"/>
    </w:rPr>
  </w:style>
  <w:style w:type="character" w:customStyle="1" w:styleId="81">
    <w:name w:val="en"/>
    <w:basedOn w:val="46"/>
    <w:qFormat/>
    <w:uiPriority w:val="0"/>
  </w:style>
  <w:style w:type="character" w:customStyle="1" w:styleId="82">
    <w:name w:val="标题 41"/>
    <w:qFormat/>
    <w:uiPriority w:val="0"/>
  </w:style>
  <w:style w:type="character" w:customStyle="1" w:styleId="83">
    <w:name w:val="z21"/>
    <w:qFormat/>
    <w:uiPriority w:val="0"/>
    <w:rPr>
      <w:color w:val="000000"/>
      <w:sz w:val="18"/>
      <w:szCs w:val="18"/>
    </w:rPr>
  </w:style>
  <w:style w:type="character" w:customStyle="1" w:styleId="84">
    <w:name w:val="text1"/>
    <w:qFormat/>
    <w:uiPriority w:val="0"/>
    <w:rPr>
      <w:color w:val="000000"/>
      <w:sz w:val="24"/>
      <w:szCs w:val="24"/>
    </w:rPr>
  </w:style>
  <w:style w:type="paragraph" w:customStyle="1" w:styleId="8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6">
    <w:name w:val="标准正文"/>
    <w:basedOn w:val="1"/>
    <w:qFormat/>
    <w:uiPriority w:val="0"/>
    <w:pPr>
      <w:spacing w:line="240" w:lineRule="atLeast"/>
      <w:ind w:firstLine="200" w:firstLineChars="200"/>
    </w:pPr>
    <w:rPr>
      <w:szCs w:val="21"/>
    </w:rPr>
  </w:style>
  <w:style w:type="paragraph" w:customStyle="1" w:styleId="87">
    <w:name w:val="章标题"/>
    <w:next w:val="88"/>
    <w:qFormat/>
    <w:uiPriority w:val="0"/>
    <w:pPr>
      <w:tabs>
        <w:tab w:val="left" w:pos="1200"/>
      </w:tabs>
      <w:spacing w:beforeLines="50" w:afterLines="50"/>
      <w:jc w:val="both"/>
      <w:outlineLvl w:val="1"/>
    </w:pPr>
    <w:rPr>
      <w:rFonts w:ascii="黑体" w:hAnsi="Times New Roman" w:eastAsia="黑体" w:cs="Times New Roman"/>
      <w:sz w:val="21"/>
      <w:lang w:val="en-US" w:eastAsia="zh-CN" w:bidi="ar-SA"/>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90">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9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2">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93">
    <w:name w:val="三级条标题"/>
    <w:basedOn w:val="94"/>
    <w:next w:val="88"/>
    <w:qFormat/>
    <w:uiPriority w:val="0"/>
    <w:pPr>
      <w:tabs>
        <w:tab w:val="left" w:pos="1620"/>
        <w:tab w:val="left" w:pos="1680"/>
      </w:tabs>
      <w:outlineLvl w:val="4"/>
    </w:pPr>
  </w:style>
  <w:style w:type="paragraph" w:customStyle="1" w:styleId="94">
    <w:name w:val="二级条标题"/>
    <w:basedOn w:val="95"/>
    <w:next w:val="88"/>
    <w:qFormat/>
    <w:uiPriority w:val="0"/>
    <w:pPr>
      <w:tabs>
        <w:tab w:val="left" w:pos="1620"/>
        <w:tab w:val="left" w:pos="1680"/>
      </w:tabs>
      <w:ind w:left="2310"/>
      <w:outlineLvl w:val="3"/>
    </w:pPr>
  </w:style>
  <w:style w:type="paragraph" w:customStyle="1" w:styleId="95">
    <w:name w:val="一级条标题"/>
    <w:next w:val="88"/>
    <w:qFormat/>
    <w:uiPriority w:val="0"/>
    <w:pPr>
      <w:tabs>
        <w:tab w:val="left" w:pos="1620"/>
      </w:tabs>
      <w:outlineLvl w:val="2"/>
    </w:pPr>
    <w:rPr>
      <w:rFonts w:ascii="Times New Roman" w:hAnsi="Times New Roman" w:eastAsia="黑体" w:cs="Times New Roman"/>
      <w:sz w:val="21"/>
      <w:lang w:val="en-US" w:eastAsia="zh-CN" w:bidi="ar-SA"/>
    </w:rPr>
  </w:style>
  <w:style w:type="paragraph" w:customStyle="1" w:styleId="96">
    <w:name w:val="font11"/>
    <w:basedOn w:val="1"/>
    <w:qFormat/>
    <w:uiPriority w:val="0"/>
    <w:pPr>
      <w:widowControl/>
      <w:spacing w:before="100" w:beforeAutospacing="1" w:after="100" w:afterAutospacing="1"/>
      <w:jc w:val="left"/>
    </w:pPr>
    <w:rPr>
      <w:rFonts w:eastAsia="Arial Unicode MS"/>
      <w:kern w:val="0"/>
      <w:sz w:val="24"/>
    </w:rPr>
  </w:style>
  <w:style w:type="paragraph" w:customStyle="1" w:styleId="97">
    <w:name w:val="样式1"/>
    <w:basedOn w:val="5"/>
    <w:qFormat/>
    <w:uiPriority w:val="0"/>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99">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00">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0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02">
    <w:name w:val="Char"/>
    <w:basedOn w:val="1"/>
    <w:qFormat/>
    <w:uiPriority w:val="0"/>
    <w:pPr>
      <w:ind w:firstLine="200" w:firstLineChars="200"/>
    </w:pPr>
    <w:rPr>
      <w:rFonts w:ascii="幼圆" w:hAnsi="幼圆" w:eastAsia="幼圆" w:cs="幼圆"/>
      <w:sz w:val="24"/>
      <w:szCs w:val="20"/>
    </w:rPr>
  </w:style>
  <w:style w:type="paragraph" w:customStyle="1" w:styleId="103">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0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05">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6">
    <w:name w:val="目次、标准名称标题"/>
    <w:basedOn w:val="107"/>
    <w:next w:val="88"/>
    <w:qFormat/>
    <w:uiPriority w:val="0"/>
    <w:pPr>
      <w:spacing w:line="460" w:lineRule="exact"/>
    </w:pPr>
  </w:style>
  <w:style w:type="paragraph" w:customStyle="1" w:styleId="10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109">
    <w:name w:val="xl7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0">
    <w:name w:val="Char Char Char Char Char Char Char Char Char Char Char Char1 Char"/>
    <w:basedOn w:val="15"/>
    <w:qFormat/>
    <w:uiPriority w:val="0"/>
    <w:rPr>
      <w:rFonts w:ascii="Tahoma" w:hAnsi="Tahoma"/>
      <w:sz w:val="24"/>
    </w:rPr>
  </w:style>
  <w:style w:type="paragraph" w:customStyle="1" w:styleId="111">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2">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113">
    <w:name w:val="_Style 117"/>
    <w:basedOn w:val="1"/>
    <w:next w:val="1"/>
    <w:qFormat/>
    <w:uiPriority w:val="0"/>
    <w:pPr>
      <w:spacing w:line="360" w:lineRule="auto"/>
      <w:ind w:firstLine="600"/>
    </w:pPr>
    <w:rPr>
      <w:sz w:val="24"/>
    </w:rPr>
  </w:style>
  <w:style w:type="paragraph" w:customStyle="1" w:styleId="11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1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16">
    <w:name w:val="Char Char Char Char Char Char"/>
    <w:basedOn w:val="1"/>
    <w:qFormat/>
    <w:uiPriority w:val="0"/>
    <w:pPr>
      <w:ind w:firstLine="200" w:firstLineChars="200"/>
    </w:pPr>
    <w:rPr>
      <w:rFonts w:ascii="Tahoma" w:hAnsi="Tahoma"/>
      <w:sz w:val="24"/>
      <w:szCs w:val="20"/>
    </w:rPr>
  </w:style>
  <w:style w:type="paragraph" w:customStyle="1" w:styleId="117">
    <w:name w:val="纯文本1"/>
    <w:basedOn w:val="1"/>
    <w:qFormat/>
    <w:uiPriority w:val="0"/>
    <w:pPr>
      <w:spacing w:beforeLines="50" w:afterLines="50" w:line="400" w:lineRule="exact"/>
    </w:pPr>
    <w:rPr>
      <w:rFonts w:ascii="宋体" w:hAnsi="Courier New"/>
      <w:sz w:val="24"/>
    </w:rPr>
  </w:style>
  <w:style w:type="paragraph" w:customStyle="1" w:styleId="118">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9">
    <w:name w:val="xl6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120">
    <w:name w:val="xl5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1">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22">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23">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24">
    <w:name w:val="实施日期"/>
    <w:basedOn w:val="125"/>
    <w:qFormat/>
    <w:uiPriority w:val="0"/>
    <w:pPr>
      <w:jc w:val="right"/>
    </w:pPr>
  </w:style>
  <w:style w:type="paragraph" w:customStyle="1" w:styleId="125">
    <w:name w:val="发布日期"/>
    <w:qFormat/>
    <w:uiPriority w:val="0"/>
    <w:rPr>
      <w:rFonts w:ascii="Times New Roman" w:hAnsi="Times New Roman" w:eastAsia="黑体" w:cs="Times New Roman"/>
      <w:sz w:val="28"/>
      <w:lang w:val="en-US" w:eastAsia="zh-CN" w:bidi="ar-SA"/>
    </w:rPr>
  </w:style>
  <w:style w:type="paragraph" w:customStyle="1" w:styleId="126">
    <w:name w:val="xl5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8">
    <w:name w:val="自由格式 A"/>
    <w:qFormat/>
    <w:uiPriority w:val="0"/>
    <w:rPr>
      <w:rFonts w:ascii="Helvetica" w:hAnsi="Helvetica" w:eastAsia="ヒラギノ角ゴ Pro W3" w:cs="Times New Roman"/>
      <w:color w:val="000000"/>
      <w:sz w:val="24"/>
      <w:lang w:val="en-US" w:eastAsia="zh-CN" w:bidi="ar-SA"/>
    </w:rPr>
  </w:style>
  <w:style w:type="paragraph" w:customStyle="1" w:styleId="129">
    <w:name w:val="xl71"/>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30">
    <w:name w:val="Item List in Table"/>
    <w:qFormat/>
    <w:uiPriority w:val="0"/>
    <w:pPr>
      <w:tabs>
        <w:tab w:val="left" w:pos="780"/>
      </w:tabs>
      <w:spacing w:before="40" w:after="40"/>
      <w:ind w:left="780" w:hanging="420"/>
      <w:jc w:val="both"/>
    </w:pPr>
    <w:rPr>
      <w:rFonts w:ascii="Arial" w:hAnsi="Arial" w:eastAsia="宋体" w:cs="Arial"/>
      <w:sz w:val="18"/>
      <w:szCs w:val="18"/>
      <w:lang w:val="en-US" w:eastAsia="zh-CN" w:bidi="ar-SA"/>
    </w:rPr>
  </w:style>
  <w:style w:type="paragraph" w:customStyle="1" w:styleId="131">
    <w:name w:val="Char1 Char Char Char"/>
    <w:basedOn w:val="1"/>
    <w:qFormat/>
    <w:uiPriority w:val="0"/>
    <w:pPr>
      <w:tabs>
        <w:tab w:val="left" w:pos="840"/>
      </w:tabs>
      <w:ind w:left="840" w:hanging="420"/>
    </w:pPr>
    <w:rPr>
      <w:sz w:val="24"/>
    </w:rPr>
  </w:style>
  <w:style w:type="paragraph" w:customStyle="1" w:styleId="132">
    <w:name w:val="Char11"/>
    <w:basedOn w:val="1"/>
    <w:qFormat/>
    <w:uiPriority w:val="0"/>
    <w:rPr>
      <w:szCs w:val="20"/>
    </w:rPr>
  </w:style>
  <w:style w:type="paragraph" w:customStyle="1" w:styleId="133">
    <w:name w:val="xl69"/>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134">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5">
    <w:name w:val="xl53"/>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7">
    <w:name w:val="xl6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38">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39">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140">
    <w:name w:val="xl6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p0"/>
    <w:basedOn w:val="1"/>
    <w:qFormat/>
    <w:uiPriority w:val="0"/>
    <w:pPr>
      <w:widowControl/>
    </w:pPr>
    <w:rPr>
      <w:kern w:val="0"/>
      <w:szCs w:val="21"/>
    </w:rPr>
  </w:style>
  <w:style w:type="paragraph" w:customStyle="1" w:styleId="14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44">
    <w:name w:val="四级条标题"/>
    <w:basedOn w:val="93"/>
    <w:next w:val="88"/>
    <w:qFormat/>
    <w:uiPriority w:val="0"/>
    <w:pPr>
      <w:tabs>
        <w:tab w:val="clear" w:pos="1680"/>
      </w:tabs>
      <w:outlineLvl w:val="5"/>
    </w:pPr>
  </w:style>
  <w:style w:type="paragraph" w:customStyle="1" w:styleId="145">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46">
    <w:name w:val="xl9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47">
    <w:name w:val="标准书眉一"/>
    <w:qFormat/>
    <w:uiPriority w:val="0"/>
    <w:pPr>
      <w:jc w:val="both"/>
    </w:pPr>
    <w:rPr>
      <w:rFonts w:ascii="Times New Roman" w:hAnsi="Times New Roman" w:eastAsia="宋体" w:cs="Times New Roman"/>
      <w:lang w:val="en-US" w:eastAsia="zh-CN" w:bidi="ar-SA"/>
    </w:rPr>
  </w:style>
  <w:style w:type="paragraph" w:customStyle="1" w:styleId="14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49">
    <w:name w:val="正文2"/>
    <w:basedOn w:val="1"/>
    <w:qFormat/>
    <w:uiPriority w:val="0"/>
    <w:pPr>
      <w:spacing w:before="156" w:line="360" w:lineRule="auto"/>
      <w:ind w:firstLine="510" w:firstLineChars="200"/>
    </w:pPr>
    <w:rPr>
      <w:sz w:val="24"/>
    </w:rPr>
  </w:style>
  <w:style w:type="paragraph" w:customStyle="1" w:styleId="150">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51">
    <w:name w:val="示例"/>
    <w:next w:val="88"/>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5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4">
    <w:name w:val="xl84"/>
    <w:basedOn w:val="1"/>
    <w:qFormat/>
    <w:uiPriority w:val="0"/>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155">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font8"/>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58">
    <w:name w:val="Char Char Char Char Char Char Char"/>
    <w:basedOn w:val="1"/>
    <w:qFormat/>
    <w:uiPriority w:val="0"/>
    <w:rPr>
      <w:szCs w:val="20"/>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61">
    <w:name w:val="xl9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2">
    <w:name w:val="附录章标题"/>
    <w:next w:val="88"/>
    <w:qFormat/>
    <w:uiPriority w:val="0"/>
    <w:pPr>
      <w:tabs>
        <w:tab w:val="left" w:pos="93"/>
      </w:tabs>
      <w:wordWrap w:val="0"/>
      <w:overflowPunct w:val="0"/>
      <w:autoSpaceDE w:val="0"/>
      <w:spacing w:beforeLines="50" w:afterLines="50"/>
      <w:ind w:left="42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63">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16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6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66">
    <w:name w:val="Deckblattdaten"/>
    <w:basedOn w:val="1"/>
    <w:qFormat/>
    <w:uiPriority w:val="0"/>
    <w:pPr>
      <w:widowControl/>
      <w:tabs>
        <w:tab w:val="left" w:pos="2552"/>
      </w:tabs>
      <w:jc w:val="left"/>
    </w:pPr>
    <w:rPr>
      <w:rFonts w:ascii="Arial" w:hAnsi="Arial"/>
      <w:b/>
      <w:kern w:val="0"/>
      <w:sz w:val="20"/>
      <w:szCs w:val="20"/>
      <w:lang w:val="de-DE"/>
    </w:rPr>
  </w:style>
  <w:style w:type="paragraph" w:customStyle="1" w:styleId="167">
    <w:name w:val="Char1"/>
    <w:basedOn w:val="1"/>
    <w:qFormat/>
    <w:uiPriority w:val="0"/>
    <w:rPr>
      <w:rFonts w:ascii="Tahoma" w:hAnsi="Tahoma"/>
      <w:sz w:val="24"/>
      <w:szCs w:val="20"/>
    </w:rPr>
  </w:style>
  <w:style w:type="paragraph" w:customStyle="1" w:styleId="168">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9">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172">
    <w:name w:val="附录表标题"/>
    <w:next w:val="8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73">
    <w:name w:val="附录二级条标题"/>
    <w:basedOn w:val="174"/>
    <w:next w:val="88"/>
    <w:qFormat/>
    <w:uiPriority w:val="0"/>
    <w:pPr>
      <w:tabs>
        <w:tab w:val="left" w:pos="851"/>
        <w:tab w:val="left" w:pos="1418"/>
      </w:tabs>
      <w:ind w:left="1155"/>
      <w:outlineLvl w:val="3"/>
    </w:pPr>
  </w:style>
  <w:style w:type="paragraph" w:customStyle="1" w:styleId="174">
    <w:name w:val="附录一级条标题"/>
    <w:basedOn w:val="162"/>
    <w:next w:val="88"/>
    <w:qFormat/>
    <w:uiPriority w:val="0"/>
    <w:pPr>
      <w:tabs>
        <w:tab w:val="left" w:pos="1418"/>
        <w:tab w:val="clear" w:pos="93"/>
      </w:tabs>
      <w:autoSpaceDN w:val="0"/>
      <w:spacing w:beforeLines="0" w:afterLines="0"/>
      <w:ind w:left="1418" w:firstLine="0"/>
      <w:outlineLvl w:val="2"/>
    </w:pPr>
  </w:style>
  <w:style w:type="paragraph" w:customStyle="1" w:styleId="175">
    <w:name w:val="正文文字缩进4字符"/>
    <w:basedOn w:val="1"/>
    <w:next w:val="7"/>
    <w:qFormat/>
    <w:uiPriority w:val="0"/>
    <w:pPr>
      <w:ind w:firstLine="420" w:firstLineChars="200"/>
    </w:pPr>
  </w:style>
  <w:style w:type="paragraph" w:customStyle="1" w:styleId="176">
    <w:name w:val="font12"/>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7">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78">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17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0">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83">
    <w:name w:val="Char Char Char Char Char Char Char Char Char Char"/>
    <w:basedOn w:val="1"/>
    <w:qFormat/>
    <w:uiPriority w:val="0"/>
    <w:pPr>
      <w:adjustRightInd w:val="0"/>
      <w:spacing w:line="360" w:lineRule="auto"/>
    </w:pPr>
  </w:style>
  <w:style w:type="paragraph" w:customStyle="1" w:styleId="184">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85">
    <w:name w:val="正文表标题"/>
    <w:next w:val="88"/>
    <w:qFormat/>
    <w:uiPriority w:val="0"/>
    <w:pPr>
      <w:jc w:val="center"/>
    </w:pPr>
    <w:rPr>
      <w:rFonts w:ascii="黑体" w:hAnsi="Times New Roman" w:eastAsia="黑体" w:cs="Times New Roman"/>
      <w:sz w:val="21"/>
      <w:lang w:val="en-US" w:eastAsia="zh-CN" w:bidi="ar-SA"/>
    </w:rPr>
  </w:style>
  <w:style w:type="paragraph" w:customStyle="1" w:styleId="1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88">
    <w:name w:val="xl63"/>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89">
    <w:name w:val="默认段落字体 Para Char Char Char Char Char Char Char Char Char1 Char Char Char Char"/>
    <w:basedOn w:val="1"/>
    <w:qFormat/>
    <w:uiPriority w:val="0"/>
    <w:rPr>
      <w:rFonts w:ascii="Tahoma" w:hAnsi="Tahoma"/>
      <w:sz w:val="24"/>
      <w:szCs w:val="20"/>
    </w:rPr>
  </w:style>
  <w:style w:type="paragraph" w:customStyle="1" w:styleId="190">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191">
    <w:name w:val="Char Char Char Char"/>
    <w:basedOn w:val="1"/>
    <w:qFormat/>
    <w:uiPriority w:val="0"/>
    <w:pPr>
      <w:tabs>
        <w:tab w:val="left" w:pos="0"/>
      </w:tabs>
      <w:adjustRightInd w:val="0"/>
      <w:snapToGrid w:val="0"/>
      <w:spacing w:beforeLines="150" w:afterLines="100" w:line="360" w:lineRule="auto"/>
      <w:ind w:firstLine="192" w:firstLineChars="192"/>
    </w:pPr>
    <w:rPr>
      <w:sz w:val="28"/>
    </w:rPr>
  </w:style>
  <w:style w:type="paragraph" w:customStyle="1" w:styleId="192">
    <w:name w:val="列出段落2"/>
    <w:basedOn w:val="1"/>
    <w:qFormat/>
    <w:uiPriority w:val="0"/>
    <w:pPr>
      <w:ind w:firstLine="420" w:firstLineChars="200"/>
    </w:pPr>
  </w:style>
  <w:style w:type="paragraph" w:customStyle="1" w:styleId="193">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9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95">
    <w:name w:val="默认段落字体 Para Char Char Char1 Char"/>
    <w:basedOn w:val="1"/>
    <w:qFormat/>
    <w:uiPriority w:val="0"/>
    <w:pPr>
      <w:spacing w:line="240" w:lineRule="atLeast"/>
      <w:ind w:left="420" w:firstLine="420"/>
    </w:pPr>
    <w:rPr>
      <w:sz w:val="24"/>
    </w:rPr>
  </w:style>
  <w:style w:type="paragraph" w:customStyle="1" w:styleId="19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97">
    <w:name w:val="xl62"/>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98">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99">
    <w:name w:val="附录图标题"/>
    <w:next w:val="88"/>
    <w:qFormat/>
    <w:uiPriority w:val="0"/>
    <w:pPr>
      <w:tabs>
        <w:tab w:val="left" w:pos="360"/>
      </w:tabs>
      <w:jc w:val="center"/>
    </w:pPr>
    <w:rPr>
      <w:rFonts w:ascii="黑体" w:hAnsi="Times New Roman" w:eastAsia="黑体" w:cs="Times New Roman"/>
      <w:sz w:val="21"/>
      <w:lang w:val="en-US" w:eastAsia="zh-CN" w:bidi="ar-SA"/>
    </w:rPr>
  </w:style>
  <w:style w:type="paragraph" w:customStyle="1" w:styleId="200">
    <w:name w:val="5"/>
    <w:basedOn w:val="1"/>
    <w:next w:val="1"/>
    <w:qFormat/>
    <w:uiPriority w:val="0"/>
  </w:style>
  <w:style w:type="paragraph" w:customStyle="1" w:styleId="201">
    <w:name w:val="附录标识"/>
    <w:basedOn w:val="107"/>
    <w:qFormat/>
    <w:uiPriority w:val="0"/>
    <w:pPr>
      <w:tabs>
        <w:tab w:val="left" w:pos="360"/>
        <w:tab w:val="left" w:pos="6405"/>
      </w:tabs>
      <w:spacing w:after="200"/>
    </w:pPr>
    <w:rPr>
      <w:sz w:val="21"/>
    </w:rPr>
  </w:style>
  <w:style w:type="paragraph" w:customStyle="1" w:styleId="202">
    <w:name w:val="样式 正文2 + 仿宋_GB2312 黑色 段前: 0 磅 行距: 固定值 23 磅"/>
    <w:basedOn w:val="149"/>
    <w:qFormat/>
    <w:uiPriority w:val="0"/>
    <w:pPr>
      <w:spacing w:before="0" w:line="360" w:lineRule="exact"/>
      <w:ind w:left="-107" w:leftChars="-51" w:firstLine="0" w:firstLineChars="0"/>
      <w:jc w:val="center"/>
    </w:pPr>
    <w:rPr>
      <w:rFonts w:ascii="仿宋_GB2312" w:hAnsi="仿宋_GB2312" w:eastAsia="仿宋_GB2312" w:cs="宋体"/>
      <w:sz w:val="21"/>
      <w:szCs w:val="21"/>
    </w:rPr>
  </w:style>
  <w:style w:type="paragraph" w:customStyle="1" w:styleId="203">
    <w:name w:val="须知二级小标题"/>
    <w:basedOn w:val="1"/>
    <w:qFormat/>
    <w:uiPriority w:val="0"/>
    <w:pPr>
      <w:spacing w:line="400" w:lineRule="exact"/>
      <w:ind w:firstLine="399" w:firstLineChars="190"/>
    </w:pPr>
    <w:rPr>
      <w:rFonts w:ascii="宋体" w:hAnsi="宋体" w:cs="宋体"/>
      <w:kern w:val="0"/>
      <w:szCs w:val="21"/>
    </w:rPr>
  </w:style>
  <w:style w:type="paragraph" w:customStyle="1" w:styleId="204">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205">
    <w:name w:val="Char2"/>
    <w:basedOn w:val="1"/>
    <w:qFormat/>
    <w:uiPriority w:val="0"/>
    <w:rPr>
      <w:rFonts w:ascii="仿宋_GB2312" w:eastAsia="仿宋_GB2312"/>
      <w:b/>
      <w:sz w:val="32"/>
      <w:szCs w:val="32"/>
    </w:rPr>
  </w:style>
  <w:style w:type="paragraph" w:customStyle="1" w:styleId="20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7">
    <w:name w:val="列项——（一级）"/>
    <w:qFormat/>
    <w:uiPriority w:val="0"/>
    <w:pPr>
      <w:widowControl w:val="0"/>
      <w:tabs>
        <w:tab w:val="left" w:pos="1200"/>
      </w:tabs>
      <w:ind w:left="1200" w:hanging="360"/>
      <w:jc w:val="both"/>
    </w:pPr>
    <w:rPr>
      <w:rFonts w:ascii="宋体" w:hAnsi="Times New Roman" w:eastAsia="宋体" w:cs="Times New Roman"/>
      <w:sz w:val="21"/>
      <w:lang w:val="en-US" w:eastAsia="zh-CN" w:bidi="ar-SA"/>
    </w:rPr>
  </w:style>
  <w:style w:type="paragraph" w:customStyle="1" w:styleId="208">
    <w:name w:val="注："/>
    <w:next w:val="88"/>
    <w:qFormat/>
    <w:uiPriority w:val="0"/>
    <w:pPr>
      <w:widowControl w:val="0"/>
      <w:tabs>
        <w:tab w:val="left" w:pos="1140"/>
      </w:tabs>
      <w:autoSpaceDE w:val="0"/>
      <w:autoSpaceDN w:val="0"/>
      <w:ind w:left="840" w:hanging="420"/>
      <w:jc w:val="both"/>
    </w:pPr>
    <w:rPr>
      <w:rFonts w:ascii="宋体" w:hAnsi="Times New Roman" w:eastAsia="宋体" w:cs="Times New Roman"/>
      <w:sz w:val="18"/>
      <w:lang w:val="en-US" w:eastAsia="zh-CN" w:bidi="ar-SA"/>
    </w:rPr>
  </w:style>
  <w:style w:type="paragraph" w:customStyle="1" w:styleId="20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11">
    <w:name w:val="封面标准代替信息"/>
    <w:basedOn w:val="212"/>
    <w:qFormat/>
    <w:uiPriority w:val="0"/>
    <w:pPr>
      <w:spacing w:before="57"/>
    </w:pPr>
    <w:rPr>
      <w:rFonts w:ascii="宋体"/>
      <w:sz w:val="21"/>
    </w:rPr>
  </w:style>
  <w:style w:type="paragraph" w:customStyle="1" w:styleId="212">
    <w:name w:val="封面标准号2"/>
    <w:basedOn w:val="210"/>
    <w:qFormat/>
    <w:uiPriority w:val="0"/>
    <w:pPr>
      <w:adjustRightInd w:val="0"/>
      <w:spacing w:before="357" w:line="280" w:lineRule="exact"/>
    </w:pPr>
  </w:style>
  <w:style w:type="paragraph" w:customStyle="1" w:styleId="213">
    <w:name w:val="正文段"/>
    <w:basedOn w:val="1"/>
    <w:qFormat/>
    <w:uiPriority w:val="0"/>
    <w:pPr>
      <w:widowControl/>
      <w:snapToGrid w:val="0"/>
      <w:spacing w:afterLines="50"/>
      <w:ind w:firstLine="200" w:firstLineChars="200"/>
    </w:pPr>
    <w:rPr>
      <w:kern w:val="0"/>
      <w:sz w:val="24"/>
      <w:szCs w:val="20"/>
    </w:rPr>
  </w:style>
  <w:style w:type="paragraph" w:customStyle="1" w:styleId="214">
    <w:name w:val="font1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15">
    <w:name w:val="五级条标题"/>
    <w:basedOn w:val="144"/>
    <w:next w:val="88"/>
    <w:qFormat/>
    <w:uiPriority w:val="0"/>
    <w:pPr>
      <w:outlineLvl w:val="6"/>
    </w:pPr>
  </w:style>
  <w:style w:type="paragraph" w:customStyle="1" w:styleId="216">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7">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1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9">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20">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221">
    <w:name w:val="font13"/>
    <w:basedOn w:val="1"/>
    <w:qFormat/>
    <w:uiPriority w:val="0"/>
    <w:pPr>
      <w:widowControl/>
      <w:spacing w:before="100" w:beforeAutospacing="1" w:after="100" w:afterAutospacing="1"/>
      <w:jc w:val="left"/>
    </w:pPr>
    <w:rPr>
      <w:rFonts w:eastAsia="Arial Unicode MS"/>
      <w:b/>
      <w:bCs/>
      <w:kern w:val="0"/>
      <w:sz w:val="24"/>
    </w:rPr>
  </w:style>
  <w:style w:type="paragraph" w:customStyle="1" w:styleId="222">
    <w:name w:val="xl5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3">
    <w:name w:val="xl5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4">
    <w:name w:val="封面正文"/>
    <w:qFormat/>
    <w:uiPriority w:val="0"/>
    <w:pPr>
      <w:jc w:val="both"/>
    </w:pPr>
    <w:rPr>
      <w:rFonts w:ascii="Times New Roman" w:hAnsi="Times New Roman" w:eastAsia="宋体" w:cs="Times New Roman"/>
      <w:lang w:val="en-US" w:eastAsia="zh-CN" w:bidi="ar-SA"/>
    </w:rPr>
  </w:style>
  <w:style w:type="paragraph" w:customStyle="1" w:styleId="225">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26">
    <w:name w:val="样式 标题 3 + 左侧:  0 厘米 首行缩进:  0 厘米"/>
    <w:basedOn w:val="4"/>
    <w:qFormat/>
    <w:uiPriority w:val="0"/>
    <w:pPr>
      <w:tabs>
        <w:tab w:val="left" w:pos="720"/>
      </w:tabs>
      <w:adjustRightInd/>
      <w:spacing w:before="240" w:after="120" w:line="520" w:lineRule="atLeast"/>
      <w:ind w:left="267" w:leftChars="267" w:hanging="57" w:hangingChars="57"/>
      <w:textAlignment w:val="auto"/>
    </w:pPr>
    <w:rPr>
      <w:snapToGrid w:val="0"/>
      <w:kern w:val="24"/>
      <w:sz w:val="28"/>
      <w:szCs w:val="20"/>
    </w:rPr>
  </w:style>
  <w:style w:type="paragraph" w:customStyle="1" w:styleId="227">
    <w:name w:val="样式3"/>
    <w:basedOn w:val="1"/>
    <w:qFormat/>
    <w:uiPriority w:val="0"/>
    <w:pPr>
      <w:autoSpaceDE w:val="0"/>
      <w:autoSpaceDN w:val="0"/>
      <w:adjustRightInd w:val="0"/>
      <w:snapToGrid w:val="0"/>
      <w:spacing w:before="60" w:after="60"/>
      <w:jc w:val="center"/>
      <w:textAlignment w:val="bottom"/>
    </w:pPr>
    <w:rPr>
      <w:rFonts w:ascii="宋体"/>
      <w:spacing w:val="6"/>
      <w:kern w:val="0"/>
    </w:rPr>
  </w:style>
  <w:style w:type="paragraph" w:customStyle="1" w:styleId="2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29">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3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31">
    <w:name w:val="正文图标题"/>
    <w:next w:val="88"/>
    <w:qFormat/>
    <w:uiPriority w:val="0"/>
    <w:pPr>
      <w:jc w:val="center"/>
    </w:pPr>
    <w:rPr>
      <w:rFonts w:ascii="黑体" w:hAnsi="Times New Roman" w:eastAsia="黑体" w:cs="Times New Roman"/>
      <w:sz w:val="21"/>
      <w:lang w:val="en-US" w:eastAsia="zh-CN" w:bidi="ar-SA"/>
    </w:rPr>
  </w:style>
  <w:style w:type="paragraph" w:customStyle="1" w:styleId="23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3">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34">
    <w:name w:val="发布部门"/>
    <w:next w:val="88"/>
    <w:qFormat/>
    <w:uiPriority w:val="0"/>
    <w:pPr>
      <w:jc w:val="center"/>
    </w:pPr>
    <w:rPr>
      <w:rFonts w:ascii="宋体" w:hAnsi="Times New Roman" w:eastAsia="宋体" w:cs="Times New Roman"/>
      <w:b/>
      <w:spacing w:val="20"/>
      <w:w w:val="135"/>
      <w:sz w:val="36"/>
      <w:lang w:val="en-US" w:eastAsia="zh-CN" w:bidi="ar-SA"/>
    </w:rPr>
  </w:style>
  <w:style w:type="paragraph" w:customStyle="1" w:styleId="23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3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38">
    <w:name w:val="标准小四"/>
    <w:basedOn w:val="1"/>
    <w:qFormat/>
    <w:uiPriority w:val="0"/>
    <w:pPr>
      <w:spacing w:line="360" w:lineRule="auto"/>
      <w:ind w:firstLine="480" w:firstLineChars="200"/>
    </w:pPr>
    <w:rPr>
      <w:rFonts w:ascii="Arial" w:hAnsi="Arial"/>
      <w:sz w:val="24"/>
      <w:szCs w:val="21"/>
    </w:rPr>
  </w:style>
  <w:style w:type="paragraph" w:customStyle="1" w:styleId="239">
    <w:name w:val="正文－恩普"/>
    <w:basedOn w:val="7"/>
    <w:qFormat/>
    <w:uiPriority w:val="0"/>
    <w:pPr>
      <w:widowControl/>
      <w:spacing w:afterLines="50" w:line="360" w:lineRule="auto"/>
      <w:ind w:firstLine="480" w:firstLineChars="200"/>
      <w:jc w:val="left"/>
    </w:pPr>
    <w:rPr>
      <w:kern w:val="0"/>
      <w:sz w:val="24"/>
    </w:rPr>
  </w:style>
  <w:style w:type="paragraph" w:customStyle="1" w:styleId="240">
    <w:name w:val="文字"/>
    <w:basedOn w:val="1"/>
    <w:qFormat/>
    <w:uiPriority w:val="0"/>
    <w:pPr>
      <w:tabs>
        <w:tab w:val="left" w:pos="8520"/>
      </w:tabs>
      <w:spacing w:line="312" w:lineRule="auto"/>
      <w:ind w:right="-210" w:firstLine="556"/>
    </w:pPr>
    <w:rPr>
      <w:rFonts w:ascii="宋体"/>
      <w:sz w:val="28"/>
      <w:szCs w:val="20"/>
    </w:rPr>
  </w:style>
  <w:style w:type="paragraph" w:customStyle="1" w:styleId="24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244">
    <w:name w:val="Char Char Char Char Char Char Char Char Char Char1"/>
    <w:basedOn w:val="1"/>
    <w:qFormat/>
    <w:uiPriority w:val="0"/>
    <w:pPr>
      <w:adjustRightInd w:val="0"/>
      <w:spacing w:line="360" w:lineRule="auto"/>
    </w:pPr>
  </w:style>
  <w:style w:type="paragraph" w:customStyle="1" w:styleId="24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246">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7">
    <w:name w:val="4"/>
    <w:basedOn w:val="1"/>
    <w:next w:val="1"/>
    <w:qFormat/>
    <w:uiPriority w:val="0"/>
    <w:pPr>
      <w:spacing w:line="360" w:lineRule="auto"/>
      <w:ind w:firstLine="600"/>
    </w:pPr>
    <w:rPr>
      <w:sz w:val="24"/>
    </w:rPr>
  </w:style>
  <w:style w:type="paragraph" w:customStyle="1" w:styleId="248">
    <w:name w:val="第四部分  评标方法"/>
    <w:basedOn w:val="1"/>
    <w:qFormat/>
    <w:uiPriority w:val="0"/>
    <w:pPr>
      <w:spacing w:line="400" w:lineRule="exact"/>
      <w:ind w:firstLine="2249" w:firstLineChars="700"/>
    </w:pPr>
    <w:rPr>
      <w:rFonts w:ascii="楷体_GB2312" w:eastAsia="楷体_GB2312"/>
      <w:b/>
      <w:sz w:val="32"/>
      <w:szCs w:val="32"/>
    </w:rPr>
  </w:style>
  <w:style w:type="paragraph" w:customStyle="1" w:styleId="249">
    <w:name w:val="xl7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0">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1">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2">
    <w:name w:val="Hanging"/>
    <w:basedOn w:val="1"/>
    <w:qFormat/>
    <w:uiPriority w:val="0"/>
    <w:pPr>
      <w:widowControl/>
      <w:overflowPunct w:val="0"/>
      <w:autoSpaceDE w:val="0"/>
      <w:autoSpaceDN w:val="0"/>
      <w:adjustRightInd w:val="0"/>
      <w:ind w:left="270" w:hanging="270"/>
      <w:jc w:val="left"/>
      <w:textAlignment w:val="baseline"/>
    </w:pPr>
    <w:rPr>
      <w:rFonts w:ascii="Arial" w:hAnsi="Arial"/>
      <w:kern w:val="0"/>
      <w:sz w:val="20"/>
      <w:szCs w:val="20"/>
      <w:lang w:eastAsia="en-US"/>
    </w:rPr>
  </w:style>
  <w:style w:type="paragraph" w:customStyle="1" w:styleId="253">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254">
    <w:name w:val="xl7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character" w:customStyle="1" w:styleId="255">
    <w:name w:val="标题 1 Char"/>
    <w:basedOn w:val="46"/>
    <w:link w:val="2"/>
    <w:qFormat/>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33546</Words>
  <Characters>5050</Characters>
  <Lines>42</Lines>
  <Paragraphs>77</Paragraphs>
  <TotalTime>2</TotalTime>
  <ScaleCrop>false</ScaleCrop>
  <LinksUpToDate>false</LinksUpToDate>
  <CharactersWithSpaces>38519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2019-05-13T06:25:00Z</dcterms:created>
  <dc:creator>黄旭明</dc:creator>
  <cp:lastModifiedBy>宁波高专建设监理有限公司</cp:lastModifiedBy>
  <cp:lastPrinted>2019-11-15T02:07:00Z</cp:lastPrinted>
  <dcterms:modified xsi:type="dcterms:W3CDTF">2019-11-15T07:06:22Z</dcterms:modified>
  <dc:title>政府采购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