
<file path=[Content_Types].xml><?xml version="1.0" encoding="utf-8"?>
<Types xmlns="http://schemas.openxmlformats.org/package/2006/content-types">
  <Default ContentType="image/x-emf" Extension="emf"/>
  <Default ContentType="image/jpeg" Extension="jpeg"/>
  <Default ContentType="image/.jp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inkml+xml" PartName="/word/ink/ink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color w:val="auto"/>
          <w:sz w:val="24"/>
          <w:highlight w:val="none"/>
        </w:rPr>
      </w:pPr>
    </w:p>
    <w:p>
      <w:pPr>
        <w:adjustRightInd/>
        <w:spacing w:line="360" w:lineRule="auto"/>
        <w:jc w:val="center"/>
        <w:rPr>
          <w:rFonts w:ascii="宋体" w:hAnsi="宋体" w:cs="宋体"/>
          <w:b/>
          <w:color w:val="auto"/>
          <w:sz w:val="44"/>
          <w:szCs w:val="44"/>
          <w:highlight w:val="none"/>
        </w:rPr>
      </w:pPr>
    </w:p>
    <w:p>
      <w:pPr>
        <w:spacing w:line="360" w:lineRule="auto"/>
        <w:jc w:val="center"/>
        <w:rPr>
          <w:rFonts w:ascii="宋体" w:hAnsi="宋体" w:cs="宋体"/>
          <w:b/>
          <w:color w:val="auto"/>
          <w:sz w:val="44"/>
          <w:szCs w:val="44"/>
          <w:highlight w:val="none"/>
        </w:rPr>
      </w:pPr>
    </w:p>
    <w:p>
      <w:pPr>
        <w:adjustRightInd/>
        <w:spacing w:line="360" w:lineRule="auto"/>
        <w:jc w:val="center"/>
        <w:outlineLvl w:val="0"/>
        <w:rPr>
          <w:rFonts w:ascii="宋体" w:hAnsi="宋体" w:cs="宋体"/>
          <w:color w:val="auto"/>
          <w:sz w:val="48"/>
          <w:szCs w:val="48"/>
          <w:highlight w:val="none"/>
        </w:rPr>
      </w:pPr>
      <w:r>
        <w:rPr>
          <w:rFonts w:hint="eastAsia" w:ascii="宋体" w:hAnsi="宋体" w:cs="宋体"/>
          <w:color w:val="auto"/>
          <w:sz w:val="48"/>
          <w:szCs w:val="48"/>
          <w:highlight w:val="none"/>
        </w:rPr>
        <w:t>高新区公共视频监控一体化平台项目</w:t>
      </w:r>
    </w:p>
    <w:p>
      <w:pPr>
        <w:adjustRightInd/>
        <w:spacing w:line="360" w:lineRule="auto"/>
        <w:jc w:val="center"/>
        <w:rPr>
          <w:rFonts w:ascii="宋体" w:hAnsi="宋体" w:cs="宋体"/>
          <w:color w:val="auto"/>
          <w:sz w:val="48"/>
          <w:szCs w:val="48"/>
          <w:highlight w:val="none"/>
        </w:rPr>
      </w:pPr>
      <w:r>
        <w:rPr>
          <w:rFonts w:hint="eastAsia" w:ascii="宋体" w:hAnsi="宋体" w:cs="宋体"/>
          <w:color w:val="auto"/>
          <w:sz w:val="48"/>
          <w:szCs w:val="48"/>
          <w:highlight w:val="none"/>
        </w:rPr>
        <w:t xml:space="preserve">招标文件 </w:t>
      </w:r>
    </w:p>
    <w:p>
      <w:pPr>
        <w:adjustRightInd/>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（电子招投标）</w:t>
      </w:r>
    </w:p>
    <w:p>
      <w:pPr>
        <w:snapToGrid w:val="0"/>
        <w:spacing w:line="360" w:lineRule="auto"/>
        <w:jc w:val="center"/>
        <w:rPr>
          <w:rFonts w:ascii="宋体" w:hAnsi="宋体" w:cs="宋体"/>
          <w:color w:val="auto"/>
          <w:sz w:val="30"/>
          <w:szCs w:val="30"/>
          <w:highlight w:val="none"/>
        </w:rPr>
      </w:pPr>
      <w:r>
        <w:rPr>
          <w:rFonts w:hint="eastAsia" w:ascii="宋体" w:hAnsi="宋体" w:cs="宋体"/>
          <w:color w:val="auto"/>
          <w:sz w:val="30"/>
          <w:szCs w:val="30"/>
          <w:highlight w:val="none"/>
        </w:rPr>
        <w:t>编号:CBNB-20232211G </w:t>
      </w:r>
    </w:p>
    <w:p>
      <w:pPr>
        <w:adjustRightInd/>
        <w:spacing w:line="360" w:lineRule="auto"/>
        <w:rPr>
          <w:rFonts w:ascii="宋体" w:hAnsi="宋体" w:cs="宋体"/>
          <w:color w:val="auto"/>
          <w:sz w:val="28"/>
          <w:szCs w:val="20"/>
          <w:highlight w:val="none"/>
        </w:rPr>
      </w:pPr>
    </w:p>
    <w:p>
      <w:pPr>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w:t>
      </w:r>
    </w:p>
    <w:p>
      <w:pPr>
        <w:spacing w:line="360" w:lineRule="auto"/>
        <w:jc w:val="center"/>
        <w:rPr>
          <w:rFonts w:ascii="宋体" w:hAnsi="宋体" w:cs="宋体"/>
          <w:b/>
          <w:color w:val="auto"/>
          <w:sz w:val="44"/>
          <w:szCs w:val="44"/>
          <w:highlight w:val="none"/>
        </w:rPr>
      </w:pPr>
    </w:p>
    <w:p>
      <w:pPr>
        <w:spacing w:line="360" w:lineRule="auto"/>
        <w:jc w:val="center"/>
        <w:rPr>
          <w:rFonts w:ascii="宋体" w:hAnsi="宋体" w:cs="宋体"/>
          <w:color w:val="auto"/>
          <w:sz w:val="24"/>
          <w:highlight w:val="none"/>
        </w:rPr>
      </w:pPr>
    </w:p>
    <w:p>
      <w:pPr>
        <w:spacing w:line="360" w:lineRule="auto"/>
        <w:jc w:val="center"/>
        <w:rPr>
          <w:rFonts w:ascii="宋体" w:hAnsi="宋体" w:cs="宋体"/>
          <w:color w:val="auto"/>
          <w:sz w:val="24"/>
          <w:highlight w:val="none"/>
        </w:rPr>
      </w:pPr>
    </w:p>
    <w:p>
      <w:pPr>
        <w:spacing w:line="360" w:lineRule="auto"/>
        <w:rPr>
          <w:rFonts w:ascii="宋体" w:hAnsi="宋体" w:cs="宋体"/>
          <w:color w:val="auto"/>
          <w:sz w:val="32"/>
          <w:szCs w:val="32"/>
          <w:highlight w:val="none"/>
        </w:rPr>
      </w:pPr>
    </w:p>
    <w:p>
      <w:pPr>
        <w:pStyle w:val="4"/>
        <w:rPr>
          <w:color w:val="auto"/>
          <w:highlight w:val="none"/>
        </w:rPr>
      </w:pPr>
    </w:p>
    <w:p>
      <w:pPr>
        <w:spacing w:line="360" w:lineRule="auto"/>
        <w:jc w:val="center"/>
        <w:rPr>
          <w:rFonts w:ascii="宋体" w:hAnsi="宋体" w:cs="宋体"/>
          <w:bCs/>
          <w:color w:val="auto"/>
          <w:sz w:val="32"/>
          <w:szCs w:val="32"/>
          <w:highlight w:val="none"/>
        </w:rPr>
      </w:pPr>
      <w:r>
        <w:rPr>
          <w:rFonts w:hint="eastAsia" w:ascii="宋体" w:hAnsi="宋体" w:cs="宋体"/>
          <w:bCs/>
          <w:color w:val="auto"/>
          <w:sz w:val="32"/>
          <w:szCs w:val="32"/>
          <w:highlight w:val="none"/>
        </w:rPr>
        <w:t xml:space="preserve">      采购人：宁波市公安局高新技术</w:t>
      </w:r>
      <w:r>
        <w:rPr>
          <w:rFonts w:hint="eastAsia" w:ascii="宋体" w:hAnsi="宋体" w:cs="宋体"/>
          <w:bCs/>
          <w:color w:val="auto"/>
          <w:sz w:val="32"/>
          <w:szCs w:val="32"/>
          <w:highlight w:val="none"/>
          <w:lang w:val="en-US" w:eastAsia="zh-CN"/>
        </w:rPr>
        <w:t>产业</w:t>
      </w:r>
      <w:r>
        <w:rPr>
          <w:rFonts w:hint="eastAsia" w:ascii="宋体" w:hAnsi="宋体" w:cs="宋体"/>
          <w:bCs/>
          <w:color w:val="auto"/>
          <w:sz w:val="32"/>
          <w:szCs w:val="32"/>
          <w:highlight w:val="none"/>
        </w:rPr>
        <w:t>开发区分局 　</w:t>
      </w:r>
    </w:p>
    <w:p>
      <w:pPr>
        <w:spacing w:line="360" w:lineRule="auto"/>
        <w:jc w:val="center"/>
        <w:outlineLvl w:val="0"/>
        <w:rPr>
          <w:rFonts w:ascii="宋体" w:hAnsi="宋体" w:cs="宋体"/>
          <w:bCs/>
          <w:color w:val="auto"/>
          <w:sz w:val="32"/>
          <w:szCs w:val="32"/>
          <w:highlight w:val="none"/>
        </w:rPr>
      </w:pPr>
      <w:r>
        <w:rPr>
          <w:rFonts w:hint="eastAsia" w:ascii="宋体" w:hAnsi="宋体" w:cs="宋体"/>
          <w:bCs/>
          <w:color w:val="auto"/>
          <w:sz w:val="32"/>
          <w:szCs w:val="32"/>
          <w:highlight w:val="none"/>
        </w:rPr>
        <w:t xml:space="preserve"> </w:t>
      </w:r>
      <w:bookmarkStart w:id="0" w:name="_Toc2466"/>
      <w:r>
        <w:rPr>
          <w:rFonts w:hint="eastAsia" w:ascii="宋体" w:hAnsi="宋体" w:cs="宋体"/>
          <w:bCs/>
          <w:color w:val="auto"/>
          <w:sz w:val="32"/>
          <w:szCs w:val="32"/>
          <w:highlight w:val="none"/>
        </w:rPr>
        <w:t>采购代理机构：宁波中基国际招标有限公司</w:t>
      </w:r>
      <w:bookmarkEnd w:id="0"/>
    </w:p>
    <w:p>
      <w:pPr>
        <w:spacing w:line="360" w:lineRule="auto"/>
        <w:jc w:val="center"/>
        <w:rPr>
          <w:rFonts w:ascii="宋体" w:hAnsi="宋体" w:cs="宋体"/>
          <w:bCs/>
          <w:color w:val="auto"/>
          <w:sz w:val="32"/>
          <w:szCs w:val="32"/>
          <w:highlight w:val="none"/>
        </w:rPr>
      </w:pPr>
    </w:p>
    <w:p>
      <w:pPr>
        <w:snapToGrid w:val="0"/>
        <w:spacing w:line="360" w:lineRule="auto"/>
        <w:jc w:val="center"/>
        <w:rPr>
          <w:rFonts w:ascii="宋体" w:hAnsi="宋体" w:cs="宋体"/>
          <w:bCs/>
          <w:color w:val="auto"/>
          <w:sz w:val="32"/>
          <w:szCs w:val="32"/>
          <w:highlight w:val="none"/>
        </w:rPr>
      </w:pPr>
      <w:r>
        <w:rPr>
          <w:rFonts w:hint="eastAsia" w:ascii="宋体" w:hAnsi="宋体" w:cs="宋体"/>
          <w:bCs/>
          <w:color w:val="auto"/>
          <w:sz w:val="32"/>
          <w:szCs w:val="32"/>
          <w:highlight w:val="none"/>
        </w:rPr>
        <w:t>二〇二三年六月</w:t>
      </w:r>
    </w:p>
    <w:p>
      <w:pPr>
        <w:jc w:val="center"/>
        <w:rPr>
          <w:rFonts w:ascii="宋体" w:hAnsi="宋体"/>
          <w:color w:val="auto"/>
          <w:sz w:val="48"/>
          <w:szCs w:val="48"/>
          <w:highlight w:val="none"/>
        </w:rPr>
      </w:pPr>
    </w:p>
    <w:p>
      <w:pPr>
        <w:pStyle w:val="4"/>
        <w:rPr>
          <w:color w:val="auto"/>
          <w:highlight w:val="none"/>
        </w:rPr>
      </w:pPr>
    </w:p>
    <w:p>
      <w:pPr>
        <w:rPr>
          <w:color w:val="auto"/>
          <w:highlight w:val="none"/>
        </w:rPr>
      </w:pPr>
    </w:p>
    <w:p>
      <w:pPr>
        <w:pStyle w:val="83"/>
        <w:rPr>
          <w:color w:val="auto"/>
          <w:highlight w:val="none"/>
        </w:rPr>
      </w:pPr>
    </w:p>
    <w:sdt>
      <w:sdtPr>
        <w:rPr>
          <w:rFonts w:ascii="宋体" w:hAnsi="宋体"/>
          <w:color w:val="auto"/>
          <w:sz w:val="48"/>
          <w:szCs w:val="48"/>
          <w:highlight w:val="none"/>
        </w:rPr>
        <w:id w:val="147476114"/>
        <w15:color w:val="DBDBDB"/>
        <w:docPartObj>
          <w:docPartGallery w:val="Table of Contents"/>
          <w:docPartUnique/>
        </w:docPartObj>
      </w:sdtPr>
      <w:sdtEndPr>
        <w:rPr>
          <w:rFonts w:ascii="宋体" w:hAnsi="宋体"/>
          <w:color w:val="auto"/>
          <w:sz w:val="48"/>
          <w:szCs w:val="48"/>
          <w:highlight w:val="none"/>
        </w:rPr>
      </w:sdtEndPr>
      <w:sdtContent>
        <w:p>
          <w:pPr>
            <w:jc w:val="center"/>
            <w:rPr>
              <w:rFonts w:ascii="宋体" w:hAnsi="宋体"/>
              <w:color w:val="auto"/>
              <w:sz w:val="48"/>
              <w:szCs w:val="48"/>
              <w:highlight w:val="none"/>
            </w:rPr>
          </w:pPr>
          <w:r>
            <w:rPr>
              <w:rFonts w:ascii="宋体" w:hAnsi="宋体"/>
              <w:color w:val="auto"/>
              <w:sz w:val="48"/>
              <w:szCs w:val="48"/>
              <w:highlight w:val="none"/>
            </w:rPr>
            <w:t>目</w:t>
          </w:r>
          <w:r>
            <w:rPr>
              <w:rFonts w:hint="eastAsia" w:ascii="宋体" w:hAnsi="宋体"/>
              <w:color w:val="auto"/>
              <w:sz w:val="48"/>
              <w:szCs w:val="48"/>
              <w:highlight w:val="none"/>
            </w:rPr>
            <w:t xml:space="preserve">  </w:t>
          </w:r>
          <w:r>
            <w:rPr>
              <w:rFonts w:ascii="宋体" w:hAnsi="宋体"/>
              <w:color w:val="auto"/>
              <w:sz w:val="48"/>
              <w:szCs w:val="48"/>
              <w:highlight w:val="none"/>
            </w:rPr>
            <w:t>录</w:t>
          </w:r>
        </w:p>
        <w:p>
          <w:pPr>
            <w:pStyle w:val="64"/>
            <w:ind w:firstLine="960"/>
            <w:rPr>
              <w:color w:val="auto"/>
              <w:sz w:val="48"/>
              <w:szCs w:val="48"/>
              <w:highlight w:val="none"/>
            </w:rPr>
          </w:pPr>
        </w:p>
        <w:p>
          <w:pPr>
            <w:rPr>
              <w:color w:val="auto"/>
              <w:highlight w:val="none"/>
            </w:rPr>
          </w:pPr>
        </w:p>
        <w:p>
          <w:pPr>
            <w:pStyle w:val="45"/>
            <w:tabs>
              <w:tab w:val="right" w:leader="dot" w:pos="9070"/>
            </w:tabs>
            <w:spacing w:line="600" w:lineRule="exact"/>
            <w:rPr>
              <w:rFonts w:ascii="宋体" w:hAnsi="宋体" w:cs="宋体"/>
              <w:color w:val="auto"/>
              <w:sz w:val="28"/>
              <w:szCs w:val="28"/>
              <w:highlight w:val="none"/>
            </w:rPr>
          </w:pP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TOC \o "1-1" \h \u </w:instrText>
          </w:r>
          <w:r>
            <w:rPr>
              <w:rFonts w:hint="eastAsia" w:ascii="宋体" w:hAnsi="宋体" w:cs="宋体"/>
              <w:color w:val="auto"/>
              <w:sz w:val="28"/>
              <w:szCs w:val="28"/>
              <w:highlight w:val="none"/>
            </w:rPr>
            <w:fldChar w:fldCharType="separate"/>
          </w:r>
          <w:r>
            <w:rPr>
              <w:color w:val="auto"/>
              <w:highlight w:val="none"/>
            </w:rPr>
            <w:fldChar w:fldCharType="begin"/>
          </w:r>
          <w:r>
            <w:rPr>
              <w:color w:val="auto"/>
              <w:highlight w:val="none"/>
            </w:rPr>
            <w:instrText xml:space="preserve"> HYPERLINK \l "_Toc32263" </w:instrText>
          </w:r>
          <w:r>
            <w:rPr>
              <w:color w:val="auto"/>
              <w:highlight w:val="none"/>
            </w:rPr>
            <w:fldChar w:fldCharType="separate"/>
          </w:r>
          <w:r>
            <w:rPr>
              <w:rFonts w:hint="eastAsia" w:ascii="宋体" w:hAnsi="宋体" w:cs="宋体"/>
              <w:color w:val="auto"/>
              <w:sz w:val="28"/>
              <w:szCs w:val="28"/>
              <w:highlight w:val="none"/>
            </w:rPr>
            <w:t>第一部分 招标公告</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_Toc32263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3</w:t>
          </w:r>
          <w:r>
            <w:rPr>
              <w:rFonts w:hint="eastAsia" w:ascii="宋体" w:hAnsi="宋体" w:cs="宋体"/>
              <w:color w:val="auto"/>
              <w:sz w:val="28"/>
              <w:szCs w:val="28"/>
              <w:highlight w:val="none"/>
            </w:rPr>
            <w:fldChar w:fldCharType="end"/>
          </w:r>
          <w:r>
            <w:rPr>
              <w:rFonts w:hint="eastAsia" w:ascii="宋体" w:hAnsi="宋体" w:cs="宋体"/>
              <w:color w:val="auto"/>
              <w:sz w:val="28"/>
              <w:szCs w:val="28"/>
              <w:highlight w:val="none"/>
            </w:rPr>
            <w:fldChar w:fldCharType="end"/>
          </w:r>
        </w:p>
        <w:p>
          <w:pPr>
            <w:pStyle w:val="45"/>
            <w:tabs>
              <w:tab w:val="right" w:leader="dot" w:pos="9070"/>
            </w:tabs>
            <w:spacing w:line="600" w:lineRule="exact"/>
            <w:rPr>
              <w:rFonts w:ascii="宋体" w:hAnsi="宋体" w:cs="宋体"/>
              <w:color w:val="auto"/>
              <w:sz w:val="28"/>
              <w:szCs w:val="28"/>
              <w:highlight w:val="none"/>
            </w:rPr>
          </w:pPr>
          <w:r>
            <w:rPr>
              <w:color w:val="auto"/>
              <w:highlight w:val="none"/>
            </w:rPr>
            <w:fldChar w:fldCharType="begin"/>
          </w:r>
          <w:r>
            <w:rPr>
              <w:color w:val="auto"/>
              <w:highlight w:val="none"/>
            </w:rPr>
            <w:instrText xml:space="preserve"> HYPERLINK \l "_Toc1745" </w:instrText>
          </w:r>
          <w:r>
            <w:rPr>
              <w:color w:val="auto"/>
              <w:highlight w:val="none"/>
            </w:rPr>
            <w:fldChar w:fldCharType="separate"/>
          </w:r>
          <w:r>
            <w:rPr>
              <w:rFonts w:hint="eastAsia" w:ascii="宋体" w:hAnsi="宋体" w:cs="宋体"/>
              <w:color w:val="auto"/>
              <w:sz w:val="28"/>
              <w:szCs w:val="28"/>
              <w:highlight w:val="none"/>
            </w:rPr>
            <w:t>第二部分 投标人须知</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_Toc1745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7</w:t>
          </w:r>
          <w:r>
            <w:rPr>
              <w:rFonts w:hint="eastAsia" w:ascii="宋体" w:hAnsi="宋体" w:cs="宋体"/>
              <w:color w:val="auto"/>
              <w:sz w:val="28"/>
              <w:szCs w:val="28"/>
              <w:highlight w:val="none"/>
            </w:rPr>
            <w:fldChar w:fldCharType="end"/>
          </w:r>
          <w:r>
            <w:rPr>
              <w:rFonts w:hint="eastAsia" w:ascii="宋体" w:hAnsi="宋体" w:cs="宋体"/>
              <w:color w:val="auto"/>
              <w:sz w:val="28"/>
              <w:szCs w:val="28"/>
              <w:highlight w:val="none"/>
            </w:rPr>
            <w:fldChar w:fldCharType="end"/>
          </w:r>
        </w:p>
        <w:p>
          <w:pPr>
            <w:pStyle w:val="45"/>
            <w:tabs>
              <w:tab w:val="right" w:leader="dot" w:pos="9070"/>
            </w:tabs>
            <w:spacing w:line="600" w:lineRule="exact"/>
            <w:rPr>
              <w:rFonts w:ascii="宋体" w:hAnsi="宋体" w:cs="宋体"/>
              <w:color w:val="auto"/>
              <w:sz w:val="28"/>
              <w:szCs w:val="28"/>
              <w:highlight w:val="none"/>
            </w:rPr>
          </w:pPr>
          <w:r>
            <w:rPr>
              <w:color w:val="auto"/>
              <w:highlight w:val="none"/>
            </w:rPr>
            <w:fldChar w:fldCharType="begin"/>
          </w:r>
          <w:r>
            <w:rPr>
              <w:color w:val="auto"/>
              <w:highlight w:val="none"/>
            </w:rPr>
            <w:instrText xml:space="preserve"> HYPERLINK \l "_Toc9424" </w:instrText>
          </w:r>
          <w:r>
            <w:rPr>
              <w:color w:val="auto"/>
              <w:highlight w:val="none"/>
            </w:rPr>
            <w:fldChar w:fldCharType="separate"/>
          </w:r>
          <w:r>
            <w:rPr>
              <w:rFonts w:hint="eastAsia" w:ascii="宋体" w:hAnsi="宋体" w:cs="宋体"/>
              <w:color w:val="auto"/>
              <w:sz w:val="28"/>
              <w:szCs w:val="28"/>
              <w:highlight w:val="none"/>
            </w:rPr>
            <w:t>第三部分 采购需求</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_Toc9424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20</w:t>
          </w:r>
          <w:r>
            <w:rPr>
              <w:rFonts w:hint="eastAsia" w:ascii="宋体" w:hAnsi="宋体" w:cs="宋体"/>
              <w:color w:val="auto"/>
              <w:sz w:val="28"/>
              <w:szCs w:val="28"/>
              <w:highlight w:val="none"/>
            </w:rPr>
            <w:fldChar w:fldCharType="end"/>
          </w:r>
          <w:r>
            <w:rPr>
              <w:rFonts w:hint="eastAsia" w:ascii="宋体" w:hAnsi="宋体" w:cs="宋体"/>
              <w:color w:val="auto"/>
              <w:sz w:val="28"/>
              <w:szCs w:val="28"/>
              <w:highlight w:val="none"/>
            </w:rPr>
            <w:fldChar w:fldCharType="end"/>
          </w:r>
        </w:p>
        <w:p>
          <w:pPr>
            <w:pStyle w:val="45"/>
            <w:tabs>
              <w:tab w:val="right" w:leader="dot" w:pos="9070"/>
            </w:tabs>
            <w:spacing w:line="600" w:lineRule="exact"/>
            <w:rPr>
              <w:rFonts w:hint="default" w:ascii="宋体" w:hAnsi="宋体" w:eastAsia="宋体" w:cs="宋体"/>
              <w:color w:val="auto"/>
              <w:sz w:val="28"/>
              <w:szCs w:val="28"/>
              <w:highlight w:val="none"/>
              <w:lang w:val="en-US" w:eastAsia="zh-CN"/>
            </w:rPr>
          </w:pPr>
          <w:r>
            <w:rPr>
              <w:color w:val="auto"/>
              <w:highlight w:val="none"/>
            </w:rPr>
            <w:fldChar w:fldCharType="begin"/>
          </w:r>
          <w:r>
            <w:rPr>
              <w:color w:val="auto"/>
              <w:highlight w:val="none"/>
            </w:rPr>
            <w:instrText xml:space="preserve"> HYPERLINK \l "_Toc22578" </w:instrText>
          </w:r>
          <w:r>
            <w:rPr>
              <w:color w:val="auto"/>
              <w:highlight w:val="none"/>
            </w:rPr>
            <w:fldChar w:fldCharType="separate"/>
          </w:r>
          <w:r>
            <w:rPr>
              <w:rFonts w:hint="eastAsia" w:ascii="宋体" w:hAnsi="宋体" w:cs="宋体"/>
              <w:color w:val="auto"/>
              <w:sz w:val="28"/>
              <w:szCs w:val="28"/>
              <w:highlight w:val="none"/>
            </w:rPr>
            <w:t>第四部分 评标办法</w:t>
          </w:r>
          <w:r>
            <w:rPr>
              <w:rFonts w:hint="eastAsia" w:ascii="宋体" w:hAnsi="宋体" w:cs="宋体"/>
              <w:color w:val="auto"/>
              <w:sz w:val="28"/>
              <w:szCs w:val="28"/>
              <w:highlight w:val="none"/>
            </w:rPr>
            <w:tab/>
          </w:r>
          <w:r>
            <w:rPr>
              <w:rFonts w:hint="eastAsia" w:ascii="宋体" w:hAnsi="宋体" w:cs="宋体"/>
              <w:color w:val="auto"/>
              <w:sz w:val="28"/>
              <w:szCs w:val="28"/>
              <w:highlight w:val="none"/>
              <w:lang w:val="en-US" w:eastAsia="zh-CN"/>
            </w:rPr>
            <w:t>1</w:t>
          </w:r>
          <w:r>
            <w:rPr>
              <w:rFonts w:hint="eastAsia" w:ascii="宋体" w:hAnsi="宋体" w:cs="宋体"/>
              <w:color w:val="auto"/>
              <w:sz w:val="28"/>
              <w:szCs w:val="28"/>
              <w:highlight w:val="none"/>
            </w:rPr>
            <w:fldChar w:fldCharType="end"/>
          </w:r>
          <w:r>
            <w:rPr>
              <w:rFonts w:hint="eastAsia" w:ascii="宋体" w:hAnsi="宋体" w:cs="宋体"/>
              <w:color w:val="auto"/>
              <w:sz w:val="28"/>
              <w:szCs w:val="28"/>
              <w:highlight w:val="none"/>
              <w:lang w:val="en-US" w:eastAsia="zh-CN"/>
            </w:rPr>
            <w:t>79</w:t>
          </w:r>
        </w:p>
        <w:p>
          <w:pPr>
            <w:pStyle w:val="45"/>
            <w:tabs>
              <w:tab w:val="right" w:leader="dot" w:pos="9070"/>
            </w:tabs>
            <w:spacing w:line="600" w:lineRule="exact"/>
            <w:rPr>
              <w:rFonts w:ascii="宋体" w:hAnsi="宋体" w:cs="宋体"/>
              <w:color w:val="auto"/>
              <w:sz w:val="28"/>
              <w:szCs w:val="28"/>
              <w:highlight w:val="none"/>
            </w:rPr>
          </w:pPr>
          <w:r>
            <w:rPr>
              <w:color w:val="auto"/>
              <w:highlight w:val="none"/>
            </w:rPr>
            <w:fldChar w:fldCharType="begin"/>
          </w:r>
          <w:r>
            <w:rPr>
              <w:color w:val="auto"/>
              <w:highlight w:val="none"/>
            </w:rPr>
            <w:instrText xml:space="preserve"> HYPERLINK \l "_Toc12957" </w:instrText>
          </w:r>
          <w:r>
            <w:rPr>
              <w:color w:val="auto"/>
              <w:highlight w:val="none"/>
            </w:rPr>
            <w:fldChar w:fldCharType="separate"/>
          </w:r>
          <w:r>
            <w:rPr>
              <w:rFonts w:hint="eastAsia" w:ascii="宋体" w:hAnsi="宋体" w:cs="宋体"/>
              <w:color w:val="auto"/>
              <w:sz w:val="28"/>
              <w:szCs w:val="28"/>
              <w:highlight w:val="none"/>
            </w:rPr>
            <w:t>第五部分 拟签订的合同文本</w:t>
          </w:r>
          <w:r>
            <w:rPr>
              <w:rFonts w:hint="eastAsia" w:ascii="宋体" w:hAnsi="宋体" w:cs="宋体"/>
              <w:color w:val="auto"/>
              <w:sz w:val="28"/>
              <w:szCs w:val="28"/>
              <w:highlight w:val="none"/>
            </w:rPr>
            <w:tab/>
          </w:r>
          <w:r>
            <w:rPr>
              <w:rFonts w:hint="eastAsia" w:ascii="宋体" w:hAnsi="宋体" w:cs="宋体"/>
              <w:color w:val="auto"/>
              <w:sz w:val="28"/>
              <w:szCs w:val="28"/>
              <w:highlight w:val="none"/>
              <w:lang w:val="en-US" w:eastAsia="zh-CN"/>
            </w:rPr>
            <w:t>1</w:t>
          </w:r>
          <w:r>
            <w:rPr>
              <w:rFonts w:hint="eastAsia" w:ascii="宋体" w:hAnsi="宋体" w:cs="宋体"/>
              <w:color w:val="auto"/>
              <w:sz w:val="28"/>
              <w:szCs w:val="28"/>
              <w:highlight w:val="none"/>
            </w:rPr>
            <w:fldChar w:fldCharType="end"/>
          </w:r>
          <w:r>
            <w:rPr>
              <w:rFonts w:hint="eastAsia" w:ascii="宋体" w:hAnsi="宋体" w:cs="宋体"/>
              <w:color w:val="auto"/>
              <w:sz w:val="28"/>
              <w:szCs w:val="28"/>
              <w:highlight w:val="none"/>
              <w:lang w:val="en-US" w:eastAsia="zh-CN"/>
            </w:rPr>
            <w:t>93</w:t>
          </w:r>
        </w:p>
        <w:p>
          <w:pPr>
            <w:pStyle w:val="45"/>
            <w:tabs>
              <w:tab w:val="right" w:leader="dot" w:pos="9070"/>
            </w:tabs>
            <w:spacing w:line="600" w:lineRule="exact"/>
            <w:rPr>
              <w:rFonts w:ascii="宋体" w:hAnsi="宋体" w:cs="宋体"/>
              <w:color w:val="auto"/>
              <w:sz w:val="28"/>
              <w:szCs w:val="28"/>
              <w:highlight w:val="none"/>
            </w:rPr>
          </w:pPr>
          <w:r>
            <w:rPr>
              <w:color w:val="auto"/>
              <w:highlight w:val="none"/>
            </w:rPr>
            <w:fldChar w:fldCharType="begin"/>
          </w:r>
          <w:r>
            <w:rPr>
              <w:color w:val="auto"/>
              <w:highlight w:val="none"/>
            </w:rPr>
            <w:instrText xml:space="preserve"> HYPERLINK \l "_Toc12182" </w:instrText>
          </w:r>
          <w:r>
            <w:rPr>
              <w:color w:val="auto"/>
              <w:highlight w:val="none"/>
            </w:rPr>
            <w:fldChar w:fldCharType="separate"/>
          </w:r>
          <w:r>
            <w:rPr>
              <w:rFonts w:hint="eastAsia" w:ascii="宋体" w:hAnsi="宋体" w:cs="宋体"/>
              <w:color w:val="auto"/>
              <w:sz w:val="28"/>
              <w:szCs w:val="28"/>
              <w:highlight w:val="none"/>
            </w:rPr>
            <w:t>第六部分 应提交的有关格式范例</w:t>
          </w:r>
          <w:r>
            <w:rPr>
              <w:rFonts w:hint="eastAsia" w:ascii="宋体" w:hAnsi="宋体" w:cs="宋体"/>
              <w:color w:val="auto"/>
              <w:sz w:val="28"/>
              <w:szCs w:val="28"/>
              <w:highlight w:val="none"/>
            </w:rPr>
            <w:tab/>
          </w:r>
          <w:r>
            <w:rPr>
              <w:rFonts w:hint="eastAsia" w:ascii="宋体" w:hAnsi="宋体" w:cs="宋体"/>
              <w:color w:val="auto"/>
              <w:sz w:val="28"/>
              <w:szCs w:val="28"/>
              <w:highlight w:val="none"/>
              <w:lang w:val="en-US" w:eastAsia="zh-CN"/>
            </w:rPr>
            <w:t>1</w:t>
          </w:r>
          <w:r>
            <w:rPr>
              <w:rFonts w:hint="eastAsia" w:ascii="宋体" w:hAnsi="宋体" w:cs="宋体"/>
              <w:color w:val="auto"/>
              <w:sz w:val="28"/>
              <w:szCs w:val="28"/>
              <w:highlight w:val="none"/>
            </w:rPr>
            <w:fldChar w:fldCharType="end"/>
          </w:r>
          <w:r>
            <w:rPr>
              <w:rFonts w:hint="eastAsia" w:ascii="宋体" w:hAnsi="宋体" w:cs="宋体"/>
              <w:color w:val="auto"/>
              <w:sz w:val="28"/>
              <w:szCs w:val="28"/>
              <w:highlight w:val="none"/>
              <w:lang w:val="en-US" w:eastAsia="zh-CN"/>
            </w:rPr>
            <w:t>99</w:t>
          </w:r>
        </w:p>
        <w:p>
          <w:pPr>
            <w:spacing w:line="600" w:lineRule="exact"/>
            <w:rPr>
              <w:color w:val="auto"/>
              <w:highlight w:val="none"/>
            </w:rPr>
          </w:pPr>
          <w:r>
            <w:rPr>
              <w:rFonts w:hint="eastAsia" w:ascii="宋体" w:hAnsi="宋体" w:cs="宋体"/>
              <w:color w:val="auto"/>
              <w:sz w:val="28"/>
              <w:szCs w:val="28"/>
              <w:highlight w:val="none"/>
            </w:rPr>
            <w:fldChar w:fldCharType="end"/>
          </w:r>
        </w:p>
      </w:sdtContent>
    </w:sdt>
    <w:p>
      <w:pPr>
        <w:spacing w:line="360" w:lineRule="auto"/>
        <w:ind w:firstLine="549" w:firstLineChars="229"/>
        <w:rPr>
          <w:rFonts w:ascii="宋体" w:hAnsi="宋体" w:cs="宋体"/>
          <w:color w:val="auto"/>
          <w:sz w:val="24"/>
          <w:highlight w:val="none"/>
        </w:rPr>
      </w:pPr>
      <w:bookmarkStart w:id="1" w:name="_Hlt91233176"/>
      <w:bookmarkEnd w:id="1"/>
      <w:bookmarkStart w:id="2" w:name="_Toc91899869"/>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r>
        <w:rPr>
          <w:color w:val="auto"/>
          <w:sz w:val="24"/>
          <w:highlight w:val="none"/>
        </w:rPr>
        <mc:AlternateContent>
          <mc:Choice Requires="wps">
            <w:drawing>
              <wp:anchor distT="0" distB="0" distL="114300" distR="114300" simplePos="0" relativeHeight="251661312" behindDoc="0" locked="0" layoutInCell="1" allowOverlap="1">
                <wp:simplePos x="0" y="0"/>
                <wp:positionH relativeFrom="column">
                  <wp:posOffset>3966845</wp:posOffset>
                </wp:positionH>
                <wp:positionV relativeFrom="paragraph">
                  <wp:posOffset>161290</wp:posOffset>
                </wp:positionV>
                <wp:extent cx="8255" cy="635"/>
                <wp:effectExtent l="9525" t="9525" r="12700" b="12700"/>
                <wp:wrapNone/>
                <wp:docPr id="20" name="墨迹 20"/>
                <wp:cNvGraphicFramePr/>
                <a:graphic xmlns:a="http://schemas.openxmlformats.org/drawingml/2006/main">
                  <a:graphicData uri="http://schemas.microsoft.com/office/word/2010/wordprocessingInk">
                    <mc:AlternateContent xmlns:a14="http://schemas.microsoft.com/office/drawing/2010/main">
                      <mc:Choice Requires="a14">
                        <w14:contentPart bwMode="clr" r:id="rId25">
                          <w14:nvContentPartPr>
                            <w14:cNvPr id="20" name="墨迹 20"/>
                            <w14:cNvContentPartPr/>
                          </w14:nvContentPartPr>
                          <w14:xfrm>
                            <a:off x="4867275" y="5733415"/>
                            <a:ext cx="8255" cy="635"/>
                          </w14:xfrm>
                        </w14:contentPart>
                      </mc:Choice>
                    </mc:AlternateContent>
                  </a:graphicData>
                </a:graphic>
              </wp:anchor>
            </w:drawing>
          </mc:Choice>
          <mc:Fallback>
            <w:pict>
              <v:shape id="_x0000_s1026" o:spid="_x0000_s1026" o:spt="75" style="position:absolute;left:0pt;margin-left:312.35pt;margin-top:12.7pt;height:0.05pt;width:0.65pt;z-index:251661312;mso-width-relative:page;mso-height-relative:page;" coordsize="21600,21600" o:gfxdata="UEsDBAoAAAAAAIdO4kAAAAAAAAAAAAAAAAAEAAAAZHJzL1BLAwQUAAAACACHTuJA+6s3tdQAAAAJ AQAADwAAAGRycy9kb3ducmV2LnhtbE2PwU7DMAyG70i8Q2QkbixZ17VVaboDAnHemDinjWkLjdM1 2VbeHnOCo39/+v252i1uFBecw+BJw3qlQCC13g7UaTi+vTwUIEI0ZM3oCTV8Y4BdfXtTmdL6K+3x coid4BIKpdHQxziVUoa2R2fCyk9IvPvwszORx7mTdjZXLnejTJTKpDMD8YXeTPjUY/t1ODsN+6Ep fBtO75u4fT0hfebPi8y1vr9bq0cQEZf4B8OvPqtDzU6NP5MNYtSQJWnOqIZkm4JgINsoDhoOihRk Xcn/H9Q/UEsDBBQAAAAIAIdO4kC+huy2nwEAAIYDAAAOAAAAZHJzL2Uyb0RvYy54bWytU0tu2zAQ 3QfIHQjuY31s2bJgOosaAbJI6kVyAJYiLaIiKQxpy7lOV71CVjlNgRwjI8uqnRQFgqI7Dt/gzXvz yMX13tRkJ8FrZxlNRjEl0gpXarth9PHh5iqnxAduS147Kxl9kp5eLy8vFm1TyNRVri4lECSxvmgb RqsQmiKKvKik4X7kGmkRVA4MD1jCJiqBt8hu6iiN42nUOigbcEJ6j7erHqRHRvgMoVNKC7lyYmuk DT0ryJoHtOQr3Xi6PKhVSorwVSkvA6kZnWdpRkkYDjgqjccp+v/GaJ7PYxotF7zYAG8qLY56+Gf0 fDBouLao4DfVigdOtqD/oDJagPNOhZFwJupdHdaDlpL4w6Ju7ffOVjIRWyiEswGtrzmEIYoD8C8j TI0baO9ciWGLGv5zEgQKXTIKt2Vykm93X04G1nCydb9bA+n6u1gsNyjp14+fry/PBC8wnsH+/XsC RKIj9DfqvQLTZYJbJntGJ/l0ls7wOTwxms3G40mS9fHLfSACG/I0Q1QgPB0foGFATzRUZ0GghneR n9edvrPvs3wDUEsDBAoAAAAAAIdO4kAAAAAAAAAAAAAAAAAIAAAAZHJzL2luay9QSwMEFAAAAAgA h07iQMOOr8CjAQAA2AMAABAAAABkcnMvaW5rL2luazEueG1snVLRboIwFH1fsn9o6oMvCqWoUSL6 ZrJkS5bpku0RoUIjtKQton+/UqCazC3ZXki57T33nHPPcn0ucnAiQlLOQug5CALCYp5QlobwfbcZ zyGQKmJJlHNGQnghEq5Xjw9Lyo5FHugv0AhMNqciD2GmVBm4bl3XTu07XKQuRsh3n9jx5Rmuuq6E HCijSo+UfSnmTJGzasACmoQwVmdk32vsLa9ETOx1UxHx9YUSUUw2XBSRsohZxBjJAYsKzfsDAnUp 9YHqOSkREFSagdSDCujeb/n8vcU1ioOfJ78KXhKhKLmKbCl1FxcQt/+GXUtTEMnzqnEGglOUV5ow njv+ZDaZWcaee4fzd0xN/++YnaiO2K2C7sauovdM0YLogBSl3Y2SOkRNeauEiRFG2B+j6Rj7O28S +IsA4cbzfla7+R5vLyqZWay9uO7Y3FidrbaaJiqzViEHTfECW6dufbrXnRGaZurf7THPuQ5St6fB YY5mCN0oMyOtzjuhN9kBXfTfyCGEA5N7YDrbgnEA4+lkDha+h0dD7A3RCI6xB1FvocGxg/SKVl9Q SwMECgAAAAAAh07iQAAAAAAAAAAAAAAAAAYAAABfcmVscy9QSwMEFAAAAAgAh07iQIoUZjzRAAAA lAEAAAsAAABfcmVscy8ucmVsc6WQwWrDMAyG74O9g9F9cZrDGKNOL6PQa+kewNiKYxpbRjLZ+vbz DoNl9LajfqHvE//+8JkWtSJLpGxg1/WgMDvyMQcD75fj0wsoqTZ7u1BGAzcUOIyPD/szLra2I5lj EdUoWQzMtZZXrcXNmKx0VDC3zUScbG0jB12su9qAeuj7Z82/GTBumOrkDfDJD6Aut9LMf9gpOiah qXaOkqZpiu4eVQe2ZY7uyDbhG7lGsxywGvAsGgdqWdd+BH1fv/un3tNHPuO61X6HjOuPV2+6HL8A UEsDBAoAAAAAAIdO4kAAAAAAAAAAAAAAAAAKAAAAZHJzL19yZWxzL1BLAwQUAAAACACHTuJAeRi8 nbgAAAAhAQAAGQAAAGRycy9fcmVscy9lMm9Eb2MueG1sLnJlbHOFz7FqxDAMBuC90Hcw2hslHcpR 4mQ5DrKWFG41jpKYxLKxnNJ7+3rswcENGoTQ90tt/+t39UNJXGANTVWDIrZhcrxo+B4vbydQkg1P Zg9MGm4k0HevL+0X7SaXJVldFFUUFg1rzvETUexK3kgVInGZzCF5k0ubFozGbmYhfK/rD0z/Deju TDVMGtIwNaDGWyzJz+0wz87SOdjDE+cHEWgPycFf/V5QkxbKGhxvWKqpyqGAXYt3j3V/UEsDBBQA AAAIAIdO4kADFSnaBQEAAC0CAAATAAAAW0NvbnRlbnRfVHlwZXNdLnhtbJWRwU7DMBBE70j8g+Ur Spz2gBBq0gMpR0CofIBlbxKr9trymtD+PU7aXhCl4uCDvTNvRuvVeu8sGyGS8VjzRVlxBqi8NtjX /GP7XDxwRkmiltYj1PwAxNfN7c1qewhALLuRaj6kFB6FIDWAk1T6AJgnnY9OpnyNvQhS7WQPYllV 90J5TICpSBODN6sWOvlpE9vs8/OxSQRLnD0dhVNWzWUI1iiZclMxov6RUpwSyuycNTSYQHe5Bhe/ JkyTywEn32teTTQa2JuM6UW6XEPoSEL7L4wwln9DppaOCt91RkHZRmqz7R3Gc6tLdFj61qv/wjez 6xrb4E7ks7hCzxJnzywxf3bzDVBLAQIUABQAAAAIAIdO4kADFSnaBQEAAC0CAAATAAAAAAAAAAEA IAAAABoHAABbQ29udGVudF9UeXBlc10ueG1sUEsBAhQACgAAAAAAh07iQAAAAAAAAAAAAAAAAAYA AAAAAAAAAAAQAAAA5QQAAF9yZWxzL1BLAQIUABQAAAAIAIdO4kCKFGY80QAAAJQBAAALAAAAAAAA AAEAIAAAAAkFAABfcmVscy8ucmVsc1BLAQIUAAoAAAAAAIdO4kAAAAAAAAAAAAAAAAAEAAAAAAAA AAAAEAAAAAAAAABkcnMvUEsBAhQACgAAAAAAh07iQAAAAAAAAAAAAAAAAAoAAAAAAAAAAAAQAAAA AwYAAGRycy9fcmVscy9QSwECFAAUAAAACACHTuJAeRi8nbgAAAAhAQAAGQAAAAAAAAABACAAAAAr BgAAZHJzL19yZWxzL2Uyb0RvYy54bWwucmVsc1BLAQIUABQAAAAIAIdO4kD7qze11AAAAAkBAAAP AAAAAAAAAAEAIAAAACIAAABkcnMvZG93bnJldi54bWxQSwECFAAUAAAACACHTuJAvobstp8BAACG AwAADgAAAAAAAAABACAAAAAjAQAAZHJzL2Uyb0RvYy54bWxQSwECFAAKAAAAAACHTuJAAAAAAAAA AAAAAAAACAAAAAAAAAAAABAAAADuAgAAZHJzL2luay9QSwECFAAUAAAACACHTuJAw46vwKMBAADY AwAAEAAAAAAAAAABACAAAAAUAwAAZHJzL2luay9pbmsxLnhtbFBLBQYAAAAACgAKAEwCAABQCAAA AAA= ">
                <v:imagedata r:id="rId26" o:title=""/>
                <o:lock v:ext="edit"/>
              </v:shape>
            </w:pict>
          </mc:Fallback>
        </mc:AlternateContent>
      </w: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rPr>
          <w:rFonts w:ascii="宋体" w:hAnsi="宋体" w:cs="宋体"/>
          <w:color w:val="auto"/>
          <w:sz w:val="24"/>
          <w:highlight w:val="none"/>
        </w:rPr>
      </w:pPr>
    </w:p>
    <w:p>
      <w:pPr>
        <w:adjustRightInd/>
        <w:spacing w:line="360" w:lineRule="auto"/>
        <w:jc w:val="center"/>
        <w:outlineLvl w:val="0"/>
        <w:rPr>
          <w:rFonts w:ascii="宋体" w:hAnsi="宋体" w:cs="宋体"/>
          <w:b/>
          <w:color w:val="auto"/>
          <w:sz w:val="36"/>
          <w:szCs w:val="20"/>
          <w:highlight w:val="none"/>
        </w:rPr>
      </w:pPr>
      <w:bookmarkStart w:id="3" w:name="第一部分"/>
      <w:r>
        <w:rPr>
          <w:rFonts w:hint="eastAsia" w:ascii="宋体" w:hAnsi="宋体" w:cs="宋体"/>
          <w:b/>
          <w:color w:val="auto"/>
          <w:sz w:val="36"/>
          <w:szCs w:val="36"/>
          <w:highlight w:val="none"/>
        </w:rPr>
        <w:br w:type="page"/>
      </w:r>
      <w:bookmarkEnd w:id="2"/>
      <w:bookmarkEnd w:id="3"/>
      <w:bookmarkStart w:id="4" w:name="_Hlt74728647"/>
      <w:bookmarkEnd w:id="4"/>
      <w:bookmarkStart w:id="5" w:name="_Hlt74649545"/>
      <w:bookmarkEnd w:id="5"/>
      <w:bookmarkStart w:id="6" w:name="_Hlt74729822"/>
      <w:bookmarkEnd w:id="6"/>
      <w:bookmarkStart w:id="7" w:name="_Hlt74707423"/>
      <w:bookmarkEnd w:id="7"/>
      <w:bookmarkStart w:id="8" w:name="_Toc15656"/>
      <w:bookmarkStart w:id="9" w:name="_Toc32263"/>
      <w:bookmarkStart w:id="10" w:name="第二部分"/>
      <w:bookmarkStart w:id="11" w:name="_Toc91899870"/>
      <w:bookmarkStart w:id="12" w:name="_Toc91899871"/>
      <w:r>
        <w:rPr>
          <w:rStyle w:val="283"/>
          <w:rFonts w:hint="eastAsia"/>
          <w:color w:val="auto"/>
          <w:highlight w:val="none"/>
        </w:rPr>
        <w:t>第一部分 招标公告</w:t>
      </w:r>
      <w:bookmarkEnd w:id="8"/>
      <w:bookmarkEnd w:id="9"/>
    </w:p>
    <w:p>
      <w:pPr>
        <w:pBdr>
          <w:top w:val="single" w:color="auto" w:sz="4" w:space="1"/>
          <w:left w:val="single" w:color="auto" w:sz="4" w:space="4"/>
          <w:bottom w:val="single" w:color="auto" w:sz="4" w:space="2"/>
          <w:right w:val="single" w:color="auto" w:sz="4" w:space="4"/>
        </w:pBd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项目概况                                                    </w:t>
      </w:r>
    </w:p>
    <w:p>
      <w:pPr>
        <w:pBdr>
          <w:top w:val="single" w:color="auto" w:sz="4" w:space="1"/>
          <w:left w:val="single" w:color="auto" w:sz="4" w:space="4"/>
          <w:bottom w:val="single" w:color="auto" w:sz="4" w:space="2"/>
          <w:right w:val="single" w:color="auto" w:sz="4" w:space="4"/>
        </w:pBdr>
        <w:spacing w:line="360" w:lineRule="auto"/>
        <w:ind w:firstLine="420" w:firstLineChars="200"/>
        <w:rPr>
          <w:rFonts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 xml:space="preserve">高新区公共视频监控一体化平台项目招标项目的潜在投标人应在政采云平台（https://www.zcygov.cn/） 获取（下载）招标文件，并于 2023年07月12日 09:30（北京时间）前递交（上传）投标文件。   </w:t>
      </w:r>
    </w:p>
    <w:p>
      <w:pPr>
        <w:spacing w:line="360" w:lineRule="auto"/>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 xml:space="preserve">一、项目基本情况                                            </w:t>
      </w:r>
    </w:p>
    <w:p>
      <w:pPr>
        <w:spacing w:line="360" w:lineRule="auto"/>
        <w:outlineLvl w:val="1"/>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w:t>
      </w:r>
      <w:bookmarkStart w:id="13" w:name="_Toc23734"/>
      <w:r>
        <w:rPr>
          <w:rFonts w:hint="eastAsia" w:asciiTheme="minorEastAsia" w:hAnsiTheme="minorEastAsia" w:eastAsiaTheme="minorEastAsia" w:cstheme="minorEastAsia"/>
          <w:b/>
          <w:color w:val="auto"/>
          <w:szCs w:val="21"/>
          <w:highlight w:val="none"/>
        </w:rPr>
        <w:t>项目编号：</w:t>
      </w:r>
      <w:bookmarkEnd w:id="13"/>
      <w:r>
        <w:rPr>
          <w:rFonts w:hint="eastAsia" w:asciiTheme="minorEastAsia" w:hAnsiTheme="minorEastAsia" w:eastAsiaTheme="minorEastAsia" w:cstheme="minorEastAsia"/>
          <w:bCs/>
          <w:color w:val="auto"/>
          <w:szCs w:val="21"/>
          <w:highlight w:val="none"/>
        </w:rPr>
        <w:t xml:space="preserve">CBNB-20232211G </w:t>
      </w:r>
    </w:p>
    <w:p>
      <w:pPr>
        <w:spacing w:line="360" w:lineRule="auto"/>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b/>
          <w:color w:val="auto"/>
          <w:szCs w:val="21"/>
          <w:highlight w:val="none"/>
        </w:rPr>
        <w:t xml:space="preserve"> 项目名称：</w:t>
      </w:r>
      <w:r>
        <w:rPr>
          <w:rFonts w:hint="eastAsia" w:asciiTheme="minorEastAsia" w:hAnsiTheme="minorEastAsia" w:eastAsiaTheme="minorEastAsia" w:cstheme="minorEastAsia"/>
          <w:color w:val="auto"/>
          <w:szCs w:val="21"/>
          <w:highlight w:val="none"/>
        </w:rPr>
        <w:t>高新区公共视频监控一体化平台项目</w:t>
      </w:r>
    </w:p>
    <w:p>
      <w:pPr>
        <w:spacing w:line="360" w:lineRule="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b/>
          <w:color w:val="auto"/>
          <w:szCs w:val="21"/>
          <w:highlight w:val="none"/>
        </w:rPr>
        <w:t xml:space="preserve"> 预算金额（元）：</w:t>
      </w:r>
      <w:r>
        <w:rPr>
          <w:rFonts w:hint="eastAsia" w:asciiTheme="minorEastAsia" w:hAnsiTheme="minorEastAsia" w:eastAsiaTheme="minorEastAsia" w:cstheme="minorEastAsia"/>
          <w:color w:val="auto"/>
          <w:szCs w:val="21"/>
          <w:highlight w:val="none"/>
        </w:rPr>
        <w:t>17,000,000.00</w:t>
      </w:r>
    </w:p>
    <w:p>
      <w:pPr>
        <w:spacing w:line="360" w:lineRule="auto"/>
        <w:ind w:firstLine="48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最高限价（元）：</w:t>
      </w:r>
      <w:r>
        <w:rPr>
          <w:rFonts w:hint="eastAsia"/>
          <w:color w:val="auto"/>
          <w:highlight w:val="none"/>
        </w:rPr>
        <w:t>标项一</w:t>
      </w:r>
      <w:r>
        <w:rPr>
          <w:rFonts w:hint="eastAsia" w:asciiTheme="minorEastAsia" w:hAnsiTheme="minorEastAsia" w:eastAsiaTheme="minorEastAsia" w:cstheme="minorEastAsia"/>
          <w:color w:val="auto"/>
          <w:szCs w:val="21"/>
          <w:highlight w:val="none"/>
        </w:rPr>
        <w:t>：5,715,775.00；标项二：6,485,290.00；标项三：3,654,896.00；</w:t>
      </w:r>
    </w:p>
    <w:p>
      <w:pPr>
        <w:spacing w:line="360" w:lineRule="auto"/>
        <w:ind w:firstLine="48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采购需求：</w:t>
      </w:r>
    </w:p>
    <w:p>
      <w:pPr>
        <w:spacing w:line="360" w:lineRule="auto"/>
        <w:ind w:firstLine="48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标项一：</w:t>
      </w:r>
    </w:p>
    <w:p>
      <w:pPr>
        <w:spacing w:line="360" w:lineRule="auto"/>
        <w:ind w:firstLine="48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标项名称:高新区公共视频监控一体化平台标项一</w:t>
      </w:r>
    </w:p>
    <w:p>
      <w:pPr>
        <w:spacing w:line="360" w:lineRule="auto"/>
        <w:ind w:firstLine="48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数量: 1批 </w:t>
      </w:r>
    </w:p>
    <w:p>
      <w:pPr>
        <w:spacing w:line="360" w:lineRule="auto"/>
        <w:ind w:firstLine="48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预算金额（元）:</w:t>
      </w:r>
      <w:r>
        <w:rPr>
          <w:rFonts w:hint="eastAsia" w:asciiTheme="minorEastAsia" w:hAnsiTheme="minorEastAsia" w:eastAsiaTheme="minorEastAsia" w:cstheme="minorEastAsia"/>
          <w:color w:val="auto"/>
          <w:szCs w:val="21"/>
          <w:highlight w:val="none"/>
          <w:lang w:val="en-US" w:eastAsia="zh-CN"/>
        </w:rPr>
        <w:t>6,000,000</w:t>
      </w:r>
      <w:r>
        <w:rPr>
          <w:rFonts w:hint="eastAsia" w:asciiTheme="minorEastAsia" w:hAnsiTheme="minorEastAsia" w:eastAsiaTheme="minorEastAsia" w:cstheme="minorEastAsia"/>
          <w:color w:val="auto"/>
          <w:szCs w:val="21"/>
          <w:highlight w:val="none"/>
        </w:rPr>
        <w:t>.00</w:t>
      </w:r>
    </w:p>
    <w:p>
      <w:pPr>
        <w:spacing w:line="360" w:lineRule="auto"/>
        <w:ind w:firstLine="48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简要规格描述或项目基本概况介绍、用途：具体内容见第二章 招标需求三、技术需求，具体以招标文件第三部分采购需求为准，供应商可点击本公告下方“浏览采购文件”查看采购需求。</w:t>
      </w:r>
    </w:p>
    <w:p>
      <w:pPr>
        <w:spacing w:line="360" w:lineRule="auto"/>
        <w:ind w:firstLine="48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备注：无 </w:t>
      </w:r>
    </w:p>
    <w:p>
      <w:pPr>
        <w:spacing w:line="360" w:lineRule="auto"/>
        <w:ind w:firstLine="48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标项二：</w:t>
      </w:r>
    </w:p>
    <w:p>
      <w:pPr>
        <w:spacing w:line="360" w:lineRule="auto"/>
        <w:ind w:firstLine="48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标项名称:高新区公共视频监控一体化平台标项二</w:t>
      </w:r>
    </w:p>
    <w:p>
      <w:pPr>
        <w:spacing w:line="360" w:lineRule="auto"/>
        <w:ind w:firstLine="48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数量: 1批 </w:t>
      </w:r>
    </w:p>
    <w:p>
      <w:pPr>
        <w:spacing w:line="360" w:lineRule="auto"/>
        <w:ind w:firstLine="48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预算金额（元）:</w:t>
      </w:r>
      <w:r>
        <w:rPr>
          <w:rFonts w:hint="eastAsia" w:asciiTheme="minorEastAsia" w:hAnsiTheme="minorEastAsia" w:eastAsiaTheme="minorEastAsia" w:cstheme="minorEastAsia"/>
          <w:color w:val="auto"/>
          <w:szCs w:val="21"/>
          <w:highlight w:val="none"/>
          <w:lang w:val="en-US" w:eastAsia="zh-CN"/>
        </w:rPr>
        <w:t>7,000,000</w:t>
      </w:r>
      <w:r>
        <w:rPr>
          <w:rFonts w:hint="eastAsia" w:asciiTheme="minorEastAsia" w:hAnsiTheme="minorEastAsia" w:eastAsiaTheme="minorEastAsia" w:cstheme="minorEastAsia"/>
          <w:color w:val="auto"/>
          <w:szCs w:val="21"/>
          <w:highlight w:val="none"/>
        </w:rPr>
        <w:t>.00</w:t>
      </w:r>
    </w:p>
    <w:p>
      <w:pPr>
        <w:spacing w:line="360" w:lineRule="auto"/>
        <w:ind w:firstLine="48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简要规格描述或项目基本概况介绍、用途：具体内容见第二章 招标需求三、技术需求，具体以招标文件第三部分采购需求为准，供应商可点击本公告下方“浏览采购文件”查看采购需求。</w:t>
      </w:r>
    </w:p>
    <w:p>
      <w:pPr>
        <w:spacing w:line="360" w:lineRule="auto"/>
        <w:ind w:firstLine="48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备注：无 </w:t>
      </w:r>
    </w:p>
    <w:p>
      <w:pPr>
        <w:spacing w:line="360" w:lineRule="auto"/>
        <w:ind w:firstLine="48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标项三：</w:t>
      </w:r>
    </w:p>
    <w:p>
      <w:pPr>
        <w:spacing w:line="360" w:lineRule="auto"/>
        <w:ind w:firstLine="48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标项名称:高新区公共视频监控一体化平台标项三</w:t>
      </w:r>
    </w:p>
    <w:p>
      <w:pPr>
        <w:spacing w:line="360" w:lineRule="auto"/>
        <w:ind w:firstLine="48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数量: 1批 </w:t>
      </w:r>
    </w:p>
    <w:p>
      <w:pPr>
        <w:spacing w:line="360" w:lineRule="auto"/>
        <w:ind w:firstLine="48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预算金额（元）:</w:t>
      </w:r>
      <w:r>
        <w:rPr>
          <w:rFonts w:hint="eastAsia" w:asciiTheme="minorEastAsia" w:hAnsiTheme="minorEastAsia" w:eastAsiaTheme="minorEastAsia" w:cstheme="minorEastAsia"/>
          <w:color w:val="auto"/>
          <w:szCs w:val="21"/>
          <w:highlight w:val="none"/>
          <w:lang w:val="en-US" w:eastAsia="zh-CN"/>
        </w:rPr>
        <w:t>4,000,000</w:t>
      </w:r>
      <w:r>
        <w:rPr>
          <w:rFonts w:hint="eastAsia" w:asciiTheme="minorEastAsia" w:hAnsiTheme="minorEastAsia" w:eastAsiaTheme="minorEastAsia" w:cstheme="minorEastAsia"/>
          <w:color w:val="auto"/>
          <w:szCs w:val="21"/>
          <w:highlight w:val="none"/>
        </w:rPr>
        <w:t>.00</w:t>
      </w:r>
    </w:p>
    <w:p>
      <w:pPr>
        <w:spacing w:line="360" w:lineRule="auto"/>
        <w:ind w:firstLine="48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简要规格描述或项目基本概况介绍、用途：具体内容见第二章 招标需求三、技术需求，具体以招标文件第三部分采购需求为准，供应商可点击本公告下方“浏览采购文件”查看采购需求。</w:t>
      </w:r>
    </w:p>
    <w:p>
      <w:pPr>
        <w:spacing w:line="360" w:lineRule="auto"/>
        <w:ind w:firstLine="48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备注：无 </w:t>
      </w:r>
    </w:p>
    <w:p>
      <w:pPr>
        <w:spacing w:line="360" w:lineRule="auto"/>
        <w:ind w:firstLine="480"/>
        <w:rPr>
          <w:color w:val="auto"/>
          <w:highlight w:val="none"/>
        </w:rPr>
      </w:pPr>
      <w:r>
        <w:rPr>
          <w:rFonts w:hint="eastAsia" w:asciiTheme="minorEastAsia" w:hAnsiTheme="minorEastAsia" w:eastAsiaTheme="minorEastAsia" w:cstheme="minorEastAsia"/>
          <w:color w:val="auto"/>
          <w:szCs w:val="21"/>
          <w:highlight w:val="none"/>
        </w:rPr>
        <w:t>合同履约期限：标项 1、2、3，自合同签订生效后开始至双方合同义务完全履行后截</w:t>
      </w:r>
      <w:r>
        <w:rPr>
          <w:rFonts w:hint="eastAsia"/>
          <w:color w:val="auto"/>
          <w:highlight w:val="none"/>
        </w:rPr>
        <w:t>止。</w:t>
      </w:r>
    </w:p>
    <w:p>
      <w:pPr>
        <w:spacing w:line="360" w:lineRule="auto"/>
        <w:ind w:firstLine="48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本项目（是）接受联合体投标。</w:t>
      </w:r>
    </w:p>
    <w:p>
      <w:pPr>
        <w:pStyle w:val="16"/>
        <w:spacing w:line="360" w:lineRule="auto"/>
        <w:ind w:firstLine="480"/>
        <w:rPr>
          <w:rFonts w:asciiTheme="minorEastAsia" w:hAnsiTheme="minorEastAsia" w:eastAsiaTheme="minorEastAsia" w:cstheme="minorEastAsia"/>
          <w:color w:val="auto"/>
          <w:kern w:val="0"/>
          <w:sz w:val="21"/>
          <w:szCs w:val="21"/>
          <w:highlight w:val="none"/>
        </w:rPr>
      </w:pPr>
    </w:p>
    <w:p>
      <w:pPr>
        <w:spacing w:line="360" w:lineRule="auto"/>
        <w:outlineLvl w:val="1"/>
        <w:rPr>
          <w:rFonts w:asciiTheme="minorEastAsia" w:hAnsiTheme="minorEastAsia" w:eastAsiaTheme="minorEastAsia" w:cstheme="minorEastAsia"/>
          <w:b/>
          <w:color w:val="auto"/>
          <w:szCs w:val="21"/>
          <w:highlight w:val="none"/>
        </w:rPr>
      </w:pPr>
      <w:bookmarkStart w:id="14" w:name="_Toc23184"/>
      <w:r>
        <w:rPr>
          <w:rFonts w:hint="eastAsia" w:asciiTheme="minorEastAsia" w:hAnsiTheme="minorEastAsia" w:eastAsiaTheme="minorEastAsia" w:cstheme="minorEastAsia"/>
          <w:b/>
          <w:color w:val="auto"/>
          <w:szCs w:val="21"/>
          <w:highlight w:val="none"/>
        </w:rPr>
        <w:t>二、</w:t>
      </w:r>
      <w:bookmarkStart w:id="15" w:name="_Hlk101132948"/>
      <w:r>
        <w:rPr>
          <w:rFonts w:hint="eastAsia" w:asciiTheme="minorEastAsia" w:hAnsiTheme="minorEastAsia" w:eastAsiaTheme="minorEastAsia" w:cstheme="minorEastAsia"/>
          <w:b/>
          <w:color w:val="auto"/>
          <w:szCs w:val="21"/>
          <w:highlight w:val="none"/>
        </w:rPr>
        <w:t>申请人的资格要求</w:t>
      </w:r>
      <w:bookmarkEnd w:id="15"/>
      <w:r>
        <w:rPr>
          <w:rFonts w:hint="eastAsia" w:asciiTheme="minorEastAsia" w:hAnsiTheme="minorEastAsia" w:eastAsiaTheme="minorEastAsia" w:cstheme="minorEastAsia"/>
          <w:b/>
          <w:color w:val="auto"/>
          <w:szCs w:val="21"/>
          <w:highlight w:val="none"/>
        </w:rPr>
        <w:t>：</w:t>
      </w:r>
      <w:bookmarkEnd w:id="14"/>
    </w:p>
    <w:p>
      <w:pPr>
        <w:spacing w:line="360" w:lineRule="auto"/>
        <w:ind w:firstLine="480"/>
        <w:rPr>
          <w:rFonts w:asciiTheme="minorEastAsia" w:hAnsiTheme="minorEastAsia" w:eastAsiaTheme="minorEastAsia" w:cstheme="minorEastAsia"/>
          <w:snapToGrid w:val="0"/>
          <w:color w:val="auto"/>
          <w:kern w:val="28"/>
          <w:szCs w:val="21"/>
          <w:highlight w:val="none"/>
        </w:rPr>
      </w:pPr>
      <w:r>
        <w:rPr>
          <w:rFonts w:hint="eastAsia" w:asciiTheme="minorEastAsia" w:hAnsiTheme="minorEastAsia" w:eastAsiaTheme="minorEastAsia" w:cstheme="minorEastAsia"/>
          <w:snapToGrid w:val="0"/>
          <w:color w:val="auto"/>
          <w:kern w:val="28"/>
          <w:szCs w:val="21"/>
          <w:highlight w:val="none"/>
        </w:rPr>
        <w:t>1. 满足《中华人民共和国政府采购法》第二十二条规定；未被“信用中国”（www.creditchina.gov.cn)、中国政府采购网（www.ccgp.gov.cn）列入失信被执行人、重大税收违法失信主体、政府采购严重违法失信行为记录名单；</w:t>
      </w:r>
    </w:p>
    <w:p>
      <w:pPr>
        <w:spacing w:line="360" w:lineRule="auto"/>
        <w:ind w:firstLine="420" w:firstLineChars="200"/>
        <w:rPr>
          <w:rFonts w:asciiTheme="minorEastAsia" w:hAnsiTheme="minorEastAsia" w:eastAsiaTheme="minorEastAsia" w:cstheme="minorEastAsia"/>
          <w:snapToGrid w:val="0"/>
          <w:color w:val="auto"/>
          <w:kern w:val="28"/>
          <w:szCs w:val="21"/>
          <w:highlight w:val="none"/>
        </w:rPr>
      </w:pPr>
      <w:r>
        <w:rPr>
          <w:rFonts w:hint="eastAsia" w:asciiTheme="minorEastAsia" w:hAnsiTheme="minorEastAsia" w:eastAsiaTheme="minorEastAsia" w:cstheme="minorEastAsia"/>
          <w:snapToGrid w:val="0"/>
          <w:color w:val="auto"/>
          <w:kern w:val="28"/>
          <w:szCs w:val="21"/>
          <w:highlight w:val="none"/>
        </w:rPr>
        <w:t>2.</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snapToGrid w:val="0"/>
          <w:color w:val="auto"/>
          <w:kern w:val="28"/>
          <w:szCs w:val="21"/>
          <w:highlight w:val="none"/>
        </w:rPr>
        <w:t>以联合体形式投标的，提供联合协议(本项目不接受联合体投标或者投标人不以联合体形式投标的，则不需要提供) ；</w:t>
      </w:r>
    </w:p>
    <w:p>
      <w:pPr>
        <w:spacing w:line="360" w:lineRule="auto"/>
        <w:ind w:firstLine="420" w:firstLineChars="200"/>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snapToGrid w:val="0"/>
          <w:color w:val="auto"/>
          <w:kern w:val="28"/>
          <w:szCs w:val="21"/>
          <w:highlight w:val="none"/>
        </w:rPr>
        <w:t>3.落实政府采购政策需满足的资格要求：</w:t>
      </w:r>
      <w:r>
        <w:rPr>
          <w:rFonts w:hint="eastAsia" w:asciiTheme="minorEastAsia" w:hAnsiTheme="minorEastAsia" w:eastAsiaTheme="minorEastAsia" w:cstheme="minorEastAsia"/>
          <w:snapToGrid w:val="0"/>
          <w:color w:val="auto"/>
          <w:kern w:val="28"/>
          <w:szCs w:val="21"/>
          <w:highlight w:val="none"/>
          <w:lang w:val="en-US" w:eastAsia="zh-CN"/>
        </w:rPr>
        <w:t>无</w:t>
      </w:r>
    </w:p>
    <w:p>
      <w:pPr>
        <w:spacing w:line="360" w:lineRule="auto"/>
        <w:ind w:firstLine="420" w:firstLineChars="200"/>
        <w:outlineLvl w:val="2"/>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3.本项目的特定资格要求：</w:t>
      </w:r>
      <w:r>
        <w:rPr>
          <w:rFonts w:hint="eastAsia" w:ascii="宋体" w:hAnsi="宋体" w:cs="宋体"/>
          <w:color w:val="auto"/>
          <w:kern w:val="0"/>
          <w:szCs w:val="21"/>
          <w:highlight w:val="none"/>
        </w:rPr>
        <w:t xml:space="preserve">【标项1、2、3】具有基础电信运营商资质的企业(或其分支机构)或有线电视网络运营商； </w:t>
      </w:r>
    </w:p>
    <w:p>
      <w:pPr>
        <w:snapToGrid w:val="0"/>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outlineLvl w:val="1"/>
        <w:rPr>
          <w:rFonts w:asciiTheme="minorEastAsia" w:hAnsiTheme="minorEastAsia" w:eastAsiaTheme="minorEastAsia" w:cstheme="minorEastAsia"/>
          <w:b/>
          <w:color w:val="auto"/>
          <w:szCs w:val="21"/>
          <w:highlight w:val="none"/>
        </w:rPr>
      </w:pPr>
      <w:bookmarkStart w:id="16" w:name="_Toc15435"/>
      <w:r>
        <w:rPr>
          <w:rFonts w:hint="eastAsia" w:asciiTheme="minorEastAsia" w:hAnsiTheme="minorEastAsia" w:eastAsiaTheme="minorEastAsia" w:cstheme="minorEastAsia"/>
          <w:b/>
          <w:color w:val="auto"/>
          <w:szCs w:val="21"/>
          <w:highlight w:val="none"/>
        </w:rPr>
        <w:t>三、获取招标文件</w:t>
      </w:r>
      <w:bookmarkEnd w:id="16"/>
      <w:r>
        <w:rPr>
          <w:rFonts w:hint="eastAsia" w:asciiTheme="minorEastAsia" w:hAnsiTheme="minorEastAsia" w:eastAsiaTheme="minorEastAsia" w:cstheme="minorEastAsia"/>
          <w:b/>
          <w:color w:val="auto"/>
          <w:szCs w:val="21"/>
          <w:highlight w:val="none"/>
        </w:rPr>
        <w:t xml:space="preserve"> </w:t>
      </w:r>
    </w:p>
    <w:p>
      <w:pPr>
        <w:spacing w:line="360" w:lineRule="auto"/>
        <w:ind w:firstLine="422"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时间：</w:t>
      </w:r>
      <w:r>
        <w:rPr>
          <w:rFonts w:hint="eastAsia" w:asciiTheme="minorEastAsia" w:hAnsiTheme="minorEastAsia" w:eastAsiaTheme="minorEastAsia" w:cstheme="minorEastAsia"/>
          <w:color w:val="auto"/>
          <w:szCs w:val="21"/>
          <w:highlight w:val="none"/>
        </w:rPr>
        <w:t>2023年06月21日至2023年06月29日 ，每天上午00:00至12:00 ，下午12:00至23:59（北京时间，线上获取法定节假日均可，线下获取文件法定节假日除外）</w:t>
      </w:r>
    </w:p>
    <w:p>
      <w:pPr>
        <w:spacing w:line="360" w:lineRule="auto"/>
        <w:ind w:firstLine="422"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地点（网址）：</w:t>
      </w:r>
      <w:r>
        <w:rPr>
          <w:rFonts w:hint="eastAsia" w:asciiTheme="minorEastAsia" w:hAnsiTheme="minorEastAsia" w:eastAsiaTheme="minorEastAsia" w:cstheme="minorEastAsia"/>
          <w:color w:val="auto"/>
          <w:szCs w:val="21"/>
          <w:highlight w:val="none"/>
        </w:rPr>
        <w:t xml:space="preserve">政采云平台（https://www.zcygov.cn/） </w:t>
      </w:r>
    </w:p>
    <w:p>
      <w:pPr>
        <w:spacing w:line="360" w:lineRule="auto"/>
        <w:ind w:firstLine="422"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方式：</w:t>
      </w:r>
      <w:r>
        <w:rPr>
          <w:rFonts w:hint="eastAsia" w:asciiTheme="minorEastAsia" w:hAnsiTheme="minorEastAsia" w:eastAsiaTheme="minorEastAsia" w:cstheme="minorEastAsia"/>
          <w:color w:val="auto"/>
          <w:szCs w:val="21"/>
          <w:highlight w:val="none"/>
        </w:rPr>
        <w:t xml:space="preserve">供应商登录政采云平台https://www.zcygov.cn/在线申请获取采购文件（进入“项目采购”应用，在获取采购文件菜单中选择项目，申请获取采购文件）。 </w:t>
      </w:r>
    </w:p>
    <w:p>
      <w:pPr>
        <w:spacing w:line="360" w:lineRule="auto"/>
        <w:ind w:firstLine="422"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售价（元）：</w:t>
      </w:r>
      <w:r>
        <w:rPr>
          <w:rFonts w:hint="eastAsia" w:asciiTheme="minorEastAsia" w:hAnsiTheme="minorEastAsia" w:eastAsiaTheme="minorEastAsia" w:cstheme="minorEastAsia"/>
          <w:color w:val="auto"/>
          <w:szCs w:val="21"/>
          <w:highlight w:val="none"/>
        </w:rPr>
        <w:t xml:space="preserve">0 </w:t>
      </w:r>
      <w:r>
        <w:rPr>
          <w:rFonts w:hint="eastAsia" w:asciiTheme="minorEastAsia" w:hAnsiTheme="minorEastAsia" w:eastAsiaTheme="minorEastAsia" w:cstheme="minorEastAsia"/>
          <w:color w:val="auto"/>
          <w:szCs w:val="21"/>
          <w:highlight w:val="none"/>
        </w:rPr>
        <w:tab/>
      </w:r>
    </w:p>
    <w:p>
      <w:pPr>
        <w:spacing w:line="360" w:lineRule="auto"/>
        <w:outlineLvl w:val="1"/>
        <w:rPr>
          <w:rFonts w:asciiTheme="minorEastAsia" w:hAnsiTheme="minorEastAsia" w:eastAsiaTheme="minorEastAsia" w:cstheme="minorEastAsia"/>
          <w:b/>
          <w:color w:val="auto"/>
          <w:szCs w:val="21"/>
          <w:highlight w:val="none"/>
        </w:rPr>
      </w:pPr>
      <w:bookmarkStart w:id="17" w:name="_Toc18115"/>
      <w:r>
        <w:rPr>
          <w:rFonts w:hint="eastAsia" w:asciiTheme="minorEastAsia" w:hAnsiTheme="minorEastAsia" w:eastAsiaTheme="minorEastAsia" w:cstheme="minorEastAsia"/>
          <w:b/>
          <w:color w:val="auto"/>
          <w:szCs w:val="21"/>
          <w:highlight w:val="none"/>
        </w:rPr>
        <w:t>四、提交投标文件截止时间、开标时间和地点</w:t>
      </w:r>
      <w:bookmarkEnd w:id="17"/>
    </w:p>
    <w:p>
      <w:pPr>
        <w:spacing w:line="360" w:lineRule="auto"/>
        <w:ind w:firstLine="422"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提交投标文件截止时间：</w:t>
      </w:r>
      <w:r>
        <w:rPr>
          <w:rFonts w:hint="eastAsia" w:asciiTheme="minorEastAsia" w:hAnsiTheme="minorEastAsia" w:eastAsiaTheme="minorEastAsia" w:cstheme="minorEastAsia"/>
          <w:color w:val="auto"/>
          <w:szCs w:val="21"/>
          <w:highlight w:val="none"/>
        </w:rPr>
        <w:t>2023年07月12日 09:30（北京时间）</w:t>
      </w:r>
    </w:p>
    <w:p>
      <w:pPr>
        <w:spacing w:line="360" w:lineRule="auto"/>
        <w:ind w:firstLine="422"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投标地点（网址）：</w:t>
      </w:r>
      <w:r>
        <w:rPr>
          <w:rFonts w:hint="eastAsia" w:asciiTheme="minorEastAsia" w:hAnsiTheme="minorEastAsia" w:eastAsiaTheme="minorEastAsia" w:cstheme="minorEastAsia"/>
          <w:color w:val="auto"/>
          <w:szCs w:val="21"/>
          <w:highlight w:val="none"/>
        </w:rPr>
        <w:t>政采云平台（https://www.zcygov.cn/）</w:t>
      </w:r>
    </w:p>
    <w:p>
      <w:pPr>
        <w:spacing w:line="360" w:lineRule="auto"/>
        <w:ind w:firstLine="422"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开标时间：</w:t>
      </w:r>
      <w:r>
        <w:rPr>
          <w:rFonts w:hint="eastAsia" w:asciiTheme="minorEastAsia" w:hAnsiTheme="minorEastAsia" w:eastAsiaTheme="minorEastAsia" w:cstheme="minorEastAsia"/>
          <w:color w:val="auto"/>
          <w:szCs w:val="21"/>
          <w:highlight w:val="none"/>
        </w:rPr>
        <w:t xml:space="preserve">2023年07月12日 09:30 </w:t>
      </w:r>
    </w:p>
    <w:p>
      <w:pPr>
        <w:spacing w:line="360" w:lineRule="auto"/>
        <w:ind w:firstLine="422"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开标地点（网址）：</w:t>
      </w:r>
      <w:r>
        <w:rPr>
          <w:rFonts w:hint="eastAsia" w:asciiTheme="minorEastAsia" w:hAnsiTheme="minorEastAsia" w:eastAsiaTheme="minorEastAsia" w:cstheme="minorEastAsia"/>
          <w:color w:val="auto"/>
          <w:szCs w:val="21"/>
          <w:highlight w:val="none"/>
        </w:rPr>
        <w:t>政采云平台（https://www.zcygov.cn/）</w:t>
      </w:r>
    </w:p>
    <w:p>
      <w:pPr>
        <w:spacing w:line="360" w:lineRule="auto"/>
        <w:outlineLvl w:val="1"/>
        <w:rPr>
          <w:rFonts w:asciiTheme="minorEastAsia" w:hAnsiTheme="minorEastAsia" w:eastAsiaTheme="minorEastAsia" w:cstheme="minorEastAsia"/>
          <w:color w:val="auto"/>
          <w:szCs w:val="21"/>
          <w:highlight w:val="none"/>
        </w:rPr>
      </w:pPr>
      <w:bookmarkStart w:id="18" w:name="_Toc16463"/>
      <w:r>
        <w:rPr>
          <w:rFonts w:hint="eastAsia" w:asciiTheme="minorEastAsia" w:hAnsiTheme="minorEastAsia" w:eastAsiaTheme="minorEastAsia" w:cstheme="minorEastAsia"/>
          <w:b/>
          <w:color w:val="auto"/>
          <w:szCs w:val="21"/>
          <w:highlight w:val="none"/>
        </w:rPr>
        <w:t>五、公告期限</w:t>
      </w:r>
      <w:bookmarkEnd w:id="18"/>
      <w:r>
        <w:rPr>
          <w:rFonts w:hint="eastAsia" w:asciiTheme="minorEastAsia" w:hAnsiTheme="minorEastAsia" w:eastAsiaTheme="minorEastAsia" w:cstheme="minorEastAsia"/>
          <w:b/>
          <w:color w:val="auto"/>
          <w:szCs w:val="21"/>
          <w:highlight w:val="none"/>
        </w:rPr>
        <w:t xml:space="preserve"> </w:t>
      </w:r>
    </w:p>
    <w:p>
      <w:p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自本公告发布之日起5个工作日。</w:t>
      </w:r>
    </w:p>
    <w:p>
      <w:pPr>
        <w:spacing w:line="360" w:lineRule="auto"/>
        <w:outlineLvl w:val="1"/>
        <w:rPr>
          <w:rFonts w:asciiTheme="minorEastAsia" w:hAnsiTheme="minorEastAsia" w:eastAsiaTheme="minorEastAsia" w:cstheme="minorEastAsia"/>
          <w:b/>
          <w:color w:val="auto"/>
          <w:szCs w:val="21"/>
          <w:highlight w:val="none"/>
        </w:rPr>
      </w:pPr>
      <w:bookmarkStart w:id="19" w:name="_Toc20735"/>
      <w:r>
        <w:rPr>
          <w:rFonts w:hint="eastAsia" w:asciiTheme="minorEastAsia" w:hAnsiTheme="minorEastAsia" w:eastAsiaTheme="minorEastAsia" w:cstheme="minorEastAsia"/>
          <w:b/>
          <w:color w:val="auto"/>
          <w:szCs w:val="21"/>
          <w:highlight w:val="none"/>
        </w:rPr>
        <w:t>六、其他补充事宜</w:t>
      </w:r>
      <w:bookmarkEnd w:id="19"/>
    </w:p>
    <w:p>
      <w:p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1.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20" w:firstLineChars="200"/>
        <w:outlineLvl w:val="2"/>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2.其他事项：</w:t>
      </w:r>
    </w:p>
    <w:p>
      <w:p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（1）需要落实的政府采购政策：包括节约资源、保护环境、支持创新、促进中小企业发展等。详见招标文件的第二部分总则。</w:t>
      </w:r>
    </w:p>
    <w:p>
      <w:p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寄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w:t>
      </w:r>
    </w:p>
    <w:p>
      <w:pPr>
        <w:spacing w:line="360" w:lineRule="auto"/>
        <w:ind w:firstLine="420" w:firstLineChars="200"/>
        <w:outlineLvl w:val="3"/>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（3）招标文件公告期限与招标公告的公告期限一致。</w:t>
      </w:r>
    </w:p>
    <w:p>
      <w:pPr>
        <w:pStyle w:val="24"/>
        <w:rPr>
          <w:rFonts w:asciiTheme="minorEastAsia" w:hAnsiTheme="minorEastAsia" w:eastAsiaTheme="minorEastAsia" w:cstheme="minorEastAsia"/>
          <w:color w:val="auto"/>
          <w:sz w:val="21"/>
          <w:highlight w:val="none"/>
        </w:rPr>
      </w:pPr>
    </w:p>
    <w:p>
      <w:pPr>
        <w:spacing w:line="360" w:lineRule="auto"/>
        <w:outlineLvl w:val="1"/>
        <w:rPr>
          <w:rFonts w:asciiTheme="minorEastAsia" w:hAnsiTheme="minorEastAsia" w:eastAsiaTheme="minorEastAsia" w:cstheme="minorEastAsia"/>
          <w:b/>
          <w:color w:val="auto"/>
          <w:szCs w:val="21"/>
          <w:highlight w:val="none"/>
        </w:rPr>
      </w:pPr>
      <w:bookmarkStart w:id="20" w:name="_Toc3685"/>
      <w:r>
        <w:rPr>
          <w:rFonts w:hint="eastAsia" w:asciiTheme="minorEastAsia" w:hAnsiTheme="minorEastAsia" w:eastAsiaTheme="minorEastAsia" w:cstheme="minorEastAsia"/>
          <w:b/>
          <w:color w:val="auto"/>
          <w:szCs w:val="21"/>
          <w:highlight w:val="none"/>
        </w:rPr>
        <w:t>七、对本次采购提出询问、质疑、投诉，请按以下方式联系</w:t>
      </w:r>
      <w:bookmarkEnd w:id="20"/>
    </w:p>
    <w:p>
      <w:pPr>
        <w:adjustRightInd/>
        <w:spacing w:line="360" w:lineRule="auto"/>
        <w:ind w:firstLine="420" w:firstLineChars="200"/>
        <w:outlineLvl w:val="2"/>
        <w:rPr>
          <w:rFonts w:ascii="宋体" w:hAnsi="宋体" w:cs="宋体"/>
          <w:color w:val="auto"/>
          <w:szCs w:val="21"/>
          <w:highlight w:val="none"/>
        </w:rPr>
      </w:pPr>
      <w:r>
        <w:rPr>
          <w:rFonts w:hint="eastAsia" w:ascii="宋体" w:hAnsi="宋体" w:cs="宋体"/>
          <w:color w:val="auto"/>
          <w:szCs w:val="21"/>
          <w:highlight w:val="none"/>
        </w:rPr>
        <w:t>1.采购人信息</w:t>
      </w:r>
    </w:p>
    <w:p>
      <w:p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名   称：</w:t>
      </w:r>
      <w:r>
        <w:rPr>
          <w:rFonts w:hint="eastAsia" w:asciiTheme="minorEastAsia" w:hAnsiTheme="minorEastAsia" w:eastAsiaTheme="minorEastAsia" w:cstheme="minorEastAsia"/>
          <w:color w:val="auto"/>
          <w:szCs w:val="21"/>
          <w:highlight w:val="none"/>
          <w:lang w:eastAsia="zh-CN"/>
        </w:rPr>
        <w:t>宁波市公安局高新技术产业开发区分局</w:t>
      </w:r>
    </w:p>
    <w:p>
      <w:p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地   址：宁波市高新区玉兰路56号 </w:t>
      </w:r>
    </w:p>
    <w:p>
      <w:p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传    真：/  </w:t>
      </w:r>
    </w:p>
    <w:p>
      <w:p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项目联系人（询问）：吴建磊  </w:t>
      </w:r>
    </w:p>
    <w:p>
      <w:p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项目联系方式（询问）：0574-87738530 </w:t>
      </w:r>
    </w:p>
    <w:p>
      <w:p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质疑联系人：郑峰    </w:t>
      </w:r>
    </w:p>
    <w:p>
      <w:p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质疑联系方式：0574-87738576 </w:t>
      </w:r>
    </w:p>
    <w:p>
      <w:p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w:t>
      </w:r>
    </w:p>
    <w:p>
      <w:pPr>
        <w:spacing w:line="360" w:lineRule="auto"/>
        <w:ind w:firstLine="420" w:firstLineChars="200"/>
        <w:outlineLvl w:val="2"/>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2.采购代理机构信息            </w:t>
      </w:r>
    </w:p>
    <w:p>
      <w:p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名称：宁波中基国际招标有限公司             </w:t>
      </w:r>
    </w:p>
    <w:p>
      <w:p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地址：宁波市鄞州区天童南路666号中基大厦19楼             </w:t>
      </w:r>
    </w:p>
    <w:p>
      <w:p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传真：0574-87425386             </w:t>
      </w:r>
    </w:p>
    <w:p>
      <w:p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项目联系人（询问）：方芸、史维、吕勇         </w:t>
      </w:r>
    </w:p>
    <w:p>
      <w:p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项目联系方式（询问）：0574-88090063 </w:t>
      </w:r>
    </w:p>
    <w:p>
      <w:p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质疑联系人：陈冲              </w:t>
      </w:r>
    </w:p>
    <w:p>
      <w:p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质疑联系方式：0574-87425731 　　 　　　　　　     </w:t>
      </w:r>
    </w:p>
    <w:p>
      <w:p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w:t>
      </w:r>
    </w:p>
    <w:p>
      <w:pPr>
        <w:spacing w:line="360" w:lineRule="auto"/>
        <w:ind w:firstLine="420" w:firstLineChars="200"/>
        <w:outlineLvl w:val="2"/>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3.同级政府采购监督管理部门            </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名   称：高新区财政局             </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地   址：/             </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传    真：/             </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联  系  人：蔡科             </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监督投诉电话：0574-89288732</w:t>
      </w:r>
    </w:p>
    <w:p>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若对项目采购电子交易系统操作有疑问，可登录政采云（https://www.zcygov.cn/），点击右侧咨询小采，获取采小蜜智能服务管家帮助，或拨打政采云服务热线95763获取热线服务帮助。       </w:t>
      </w:r>
    </w:p>
    <w:p>
      <w:pPr>
        <w:spacing w:line="360" w:lineRule="auto"/>
        <w:ind w:firstLine="420" w:firstLineChars="200"/>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color w:val="auto"/>
          <w:szCs w:val="21"/>
          <w:highlight w:val="none"/>
        </w:rPr>
        <w:t xml:space="preserve">CA问题联系电话（人工）：汇信CA 400-888-4636；天谷CA 400-087-8198。               </w:t>
      </w:r>
      <w:r>
        <w:rPr>
          <w:rFonts w:hint="eastAsia" w:asciiTheme="minorEastAsia" w:hAnsiTheme="minorEastAsia" w:eastAsiaTheme="minorEastAsia" w:cstheme="minorEastAsia"/>
          <w:b/>
          <w:color w:val="auto"/>
          <w:szCs w:val="21"/>
          <w:highlight w:val="none"/>
        </w:rPr>
        <w:t xml:space="preserve"> </w:t>
      </w:r>
    </w:p>
    <w:p>
      <w:pPr>
        <w:pStyle w:val="4"/>
        <w:rPr>
          <w:rFonts w:asciiTheme="minorEastAsia" w:hAnsiTheme="minorEastAsia" w:eastAsiaTheme="minorEastAsia" w:cstheme="minorEastAsia"/>
          <w:snapToGrid w:val="0"/>
          <w:color w:val="auto"/>
          <w:sz w:val="21"/>
          <w:szCs w:val="21"/>
          <w:highlight w:val="none"/>
        </w:rPr>
      </w:pPr>
      <w:r>
        <w:rPr>
          <w:rFonts w:hint="eastAsia" w:asciiTheme="minorEastAsia" w:hAnsiTheme="minorEastAsia" w:eastAsiaTheme="minorEastAsia" w:cstheme="minorEastAsia"/>
          <w:color w:val="auto"/>
          <w:sz w:val="21"/>
          <w:szCs w:val="21"/>
          <w:highlight w:val="none"/>
        </w:rPr>
        <w:br w:type="page"/>
      </w:r>
    </w:p>
    <w:p>
      <w:pPr>
        <w:adjustRightInd/>
        <w:spacing w:line="360" w:lineRule="auto"/>
        <w:jc w:val="center"/>
        <w:outlineLvl w:val="0"/>
        <w:rPr>
          <w:rFonts w:ascii="宋体" w:hAnsi="宋体" w:cs="宋体"/>
          <w:b/>
          <w:color w:val="auto"/>
          <w:sz w:val="36"/>
          <w:szCs w:val="20"/>
          <w:highlight w:val="none"/>
        </w:rPr>
      </w:pPr>
      <w:bookmarkStart w:id="21" w:name="_Toc31038"/>
      <w:bookmarkStart w:id="22" w:name="_Toc1745"/>
      <w:r>
        <w:rPr>
          <w:rFonts w:hint="eastAsia" w:ascii="宋体" w:hAnsi="宋体" w:cs="宋体"/>
          <w:b/>
          <w:color w:val="auto"/>
          <w:sz w:val="36"/>
          <w:szCs w:val="20"/>
          <w:highlight w:val="none"/>
        </w:rPr>
        <w:t>第二部分</w:t>
      </w:r>
      <w:bookmarkEnd w:id="10"/>
      <w:r>
        <w:rPr>
          <w:rFonts w:hint="eastAsia" w:ascii="宋体" w:hAnsi="宋体" w:cs="宋体"/>
          <w:b/>
          <w:color w:val="auto"/>
          <w:sz w:val="36"/>
          <w:szCs w:val="20"/>
          <w:highlight w:val="none"/>
        </w:rPr>
        <w:t xml:space="preserve"> 投标人须知</w:t>
      </w:r>
      <w:bookmarkEnd w:id="11"/>
      <w:bookmarkEnd w:id="21"/>
      <w:bookmarkEnd w:id="22"/>
    </w:p>
    <w:p>
      <w:pPr>
        <w:adjustRightInd/>
        <w:spacing w:line="360" w:lineRule="auto"/>
        <w:ind w:firstLine="3845" w:firstLineChars="1197"/>
        <w:outlineLvl w:val="1"/>
        <w:rPr>
          <w:rFonts w:ascii="宋体" w:hAnsi="宋体" w:cs="宋体"/>
          <w:b/>
          <w:color w:val="auto"/>
          <w:sz w:val="32"/>
          <w:szCs w:val="20"/>
          <w:highlight w:val="none"/>
        </w:rPr>
      </w:pPr>
      <w:bookmarkStart w:id="23" w:name="_Toc17934"/>
      <w:r>
        <w:rPr>
          <w:rFonts w:hint="eastAsia" w:ascii="宋体" w:hAnsi="宋体" w:cs="宋体"/>
          <w:b/>
          <w:color w:val="auto"/>
          <w:sz w:val="32"/>
          <w:szCs w:val="20"/>
          <w:highlight w:val="none"/>
        </w:rPr>
        <w:t>前附表</w:t>
      </w:r>
      <w:bookmarkEnd w:id="23"/>
    </w:p>
    <w:tbl>
      <w:tblPr>
        <w:tblStyle w:val="6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551"/>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704" w:type="dxa"/>
            <w:shd w:val="clear" w:color="auto" w:fill="auto"/>
            <w:vAlign w:val="center"/>
          </w:tcPr>
          <w:p>
            <w:pPr>
              <w:spacing w:line="400" w:lineRule="exact"/>
              <w:jc w:val="center"/>
              <w:rPr>
                <w:rFonts w:ascii="宋体" w:hAnsi="宋体"/>
                <w:b/>
                <w:bCs/>
                <w:color w:val="auto"/>
                <w:szCs w:val="21"/>
                <w:highlight w:val="none"/>
              </w:rPr>
            </w:pPr>
            <w:r>
              <w:rPr>
                <w:rFonts w:hint="eastAsia" w:ascii="宋体" w:hAnsi="宋体"/>
                <w:b/>
                <w:bCs/>
                <w:color w:val="auto"/>
                <w:szCs w:val="21"/>
                <w:highlight w:val="none"/>
              </w:rPr>
              <w:t>序号</w:t>
            </w:r>
          </w:p>
        </w:tc>
        <w:tc>
          <w:tcPr>
            <w:tcW w:w="1551" w:type="dxa"/>
            <w:shd w:val="clear" w:color="auto" w:fill="auto"/>
            <w:vAlign w:val="center"/>
          </w:tcPr>
          <w:p>
            <w:pPr>
              <w:spacing w:line="400" w:lineRule="exact"/>
              <w:jc w:val="center"/>
              <w:rPr>
                <w:rFonts w:ascii="宋体" w:hAnsi="宋体"/>
                <w:b/>
                <w:bCs/>
                <w:color w:val="auto"/>
                <w:szCs w:val="21"/>
                <w:highlight w:val="none"/>
              </w:rPr>
            </w:pPr>
            <w:r>
              <w:rPr>
                <w:rFonts w:hint="eastAsia" w:ascii="宋体" w:hAnsi="宋体"/>
                <w:b/>
                <w:bCs/>
                <w:color w:val="auto"/>
                <w:szCs w:val="21"/>
                <w:highlight w:val="none"/>
              </w:rPr>
              <w:t>事项</w:t>
            </w:r>
          </w:p>
        </w:tc>
        <w:tc>
          <w:tcPr>
            <w:tcW w:w="6529" w:type="dxa"/>
            <w:shd w:val="clear" w:color="auto" w:fill="auto"/>
            <w:vAlign w:val="center"/>
          </w:tcPr>
          <w:p>
            <w:pPr>
              <w:spacing w:line="400" w:lineRule="exact"/>
              <w:jc w:val="center"/>
              <w:rPr>
                <w:rFonts w:ascii="宋体" w:hAnsi="宋体"/>
                <w:b/>
                <w:bCs/>
                <w:color w:val="auto"/>
                <w:szCs w:val="21"/>
                <w:highlight w:val="none"/>
              </w:rPr>
            </w:pPr>
            <w:r>
              <w:rPr>
                <w:rFonts w:hint="eastAsia" w:ascii="宋体" w:hAnsi="宋体"/>
                <w:b/>
                <w:bCs/>
                <w:color w:val="auto"/>
                <w:szCs w:val="21"/>
                <w:highlight w:val="none"/>
              </w:rPr>
              <w:t>本项目的特别规定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shd w:val="clear" w:color="auto" w:fill="auto"/>
            <w:vAlign w:val="center"/>
          </w:tcPr>
          <w:p>
            <w:pPr>
              <w:spacing w:line="400" w:lineRule="exact"/>
              <w:jc w:val="center"/>
              <w:rPr>
                <w:rFonts w:ascii="宋体" w:hAnsi="宋体"/>
                <w:color w:val="auto"/>
                <w:szCs w:val="21"/>
                <w:highlight w:val="none"/>
              </w:rPr>
            </w:pPr>
            <w:r>
              <w:rPr>
                <w:rFonts w:hint="eastAsia" w:ascii="宋体" w:hAnsi="宋体"/>
                <w:color w:val="auto"/>
                <w:szCs w:val="21"/>
                <w:highlight w:val="none"/>
              </w:rPr>
              <w:t>1</w:t>
            </w:r>
          </w:p>
        </w:tc>
        <w:tc>
          <w:tcPr>
            <w:tcW w:w="1551" w:type="dxa"/>
            <w:shd w:val="clear" w:color="auto" w:fill="auto"/>
            <w:vAlign w:val="center"/>
          </w:tcPr>
          <w:p>
            <w:pPr>
              <w:snapToGrid w:val="0"/>
              <w:spacing w:line="400" w:lineRule="exact"/>
              <w:jc w:val="center"/>
              <w:rPr>
                <w:rFonts w:ascii="宋体" w:hAnsi="宋体" w:cs="宋体"/>
                <w:b/>
                <w:color w:val="auto"/>
                <w:szCs w:val="21"/>
                <w:highlight w:val="none"/>
              </w:rPr>
            </w:pPr>
            <w:r>
              <w:rPr>
                <w:rFonts w:hint="eastAsia" w:ascii="宋体" w:hAnsi="宋体" w:cs="宋体"/>
                <w:b/>
                <w:color w:val="auto"/>
                <w:szCs w:val="21"/>
                <w:highlight w:val="none"/>
              </w:rPr>
              <w:t>项目属性与核心产品</w:t>
            </w:r>
          </w:p>
        </w:tc>
        <w:tc>
          <w:tcPr>
            <w:tcW w:w="6529" w:type="dxa"/>
            <w:shd w:val="clear" w:color="auto" w:fill="auto"/>
            <w:vAlign w:val="center"/>
          </w:tcPr>
          <w:p>
            <w:pPr>
              <w:spacing w:line="40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货物</w:t>
            </w:r>
            <w:r>
              <w:rPr>
                <w:rFonts w:hint="eastAsia" w:ascii="宋体" w:hAnsi="宋体" w:cs="宋体"/>
                <w:color w:val="auto"/>
                <w:szCs w:val="21"/>
                <w:highlight w:val="none"/>
              </w:rPr>
              <w:t>类</w:t>
            </w:r>
            <w:r>
              <w:rPr>
                <w:rFonts w:hint="eastAsia" w:ascii="宋体" w:hAnsi="宋体" w:cs="宋体"/>
                <w:color w:val="auto"/>
                <w:szCs w:val="21"/>
                <w:highlight w:val="none"/>
                <w:lang w:eastAsia="zh-CN"/>
              </w:rPr>
              <w:t>，</w:t>
            </w:r>
            <w:r>
              <w:rPr>
                <w:rFonts w:hint="eastAsia" w:ascii="宋体" w:hAnsi="宋体" w:eastAsia="宋体" w:cs="宋体"/>
                <w:color w:val="auto"/>
                <w:kern w:val="0"/>
                <w:sz w:val="21"/>
                <w:szCs w:val="21"/>
                <w:highlight w:val="none"/>
              </w:rPr>
              <w:t>核心产品为：</w:t>
            </w:r>
            <w:r>
              <w:rPr>
                <w:rFonts w:hint="eastAsia" w:ascii="宋体" w:hAnsi="宋体" w:cs="宋体"/>
                <w:b w:val="0"/>
                <w:bCs w:val="0"/>
                <w:color w:val="auto"/>
                <w:sz w:val="21"/>
                <w:szCs w:val="21"/>
                <w:highlight w:val="none"/>
                <w:u w:val="single"/>
                <w:lang w:val="en-US" w:eastAsia="zh-CN"/>
              </w:rPr>
              <w:t>服务器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shd w:val="clear" w:color="auto" w:fill="auto"/>
            <w:vAlign w:val="center"/>
          </w:tcPr>
          <w:p>
            <w:pPr>
              <w:spacing w:line="400" w:lineRule="exact"/>
              <w:jc w:val="center"/>
              <w:rPr>
                <w:rFonts w:ascii="宋体" w:hAnsi="宋体"/>
                <w:color w:val="auto"/>
                <w:szCs w:val="21"/>
                <w:highlight w:val="none"/>
              </w:rPr>
            </w:pPr>
            <w:r>
              <w:rPr>
                <w:rFonts w:hint="eastAsia" w:ascii="宋体" w:hAnsi="宋体"/>
                <w:color w:val="auto"/>
                <w:szCs w:val="21"/>
                <w:highlight w:val="none"/>
              </w:rPr>
              <w:t>2</w:t>
            </w:r>
          </w:p>
        </w:tc>
        <w:tc>
          <w:tcPr>
            <w:tcW w:w="1551" w:type="dxa"/>
            <w:shd w:val="clear" w:color="auto" w:fill="auto"/>
            <w:vAlign w:val="center"/>
          </w:tcPr>
          <w:p>
            <w:pPr>
              <w:snapToGrid w:val="0"/>
              <w:spacing w:line="400" w:lineRule="exact"/>
              <w:jc w:val="center"/>
              <w:rPr>
                <w:rFonts w:ascii="宋体" w:hAnsi="宋体" w:cs="宋体"/>
                <w:b/>
                <w:color w:val="auto"/>
                <w:szCs w:val="21"/>
                <w:highlight w:val="none"/>
              </w:rPr>
            </w:pPr>
            <w:r>
              <w:rPr>
                <w:rFonts w:hint="eastAsia" w:ascii="宋体" w:hAnsi="宋体" w:cs="宋体"/>
                <w:b/>
                <w:color w:val="auto"/>
                <w:szCs w:val="21"/>
                <w:highlight w:val="none"/>
              </w:rPr>
              <w:t>采购标的及其对应的中小企业划分标准所属行业</w:t>
            </w:r>
          </w:p>
        </w:tc>
        <w:tc>
          <w:tcPr>
            <w:tcW w:w="6529" w:type="dxa"/>
            <w:shd w:val="clear" w:color="auto" w:fill="auto"/>
            <w:vAlign w:val="center"/>
          </w:tcPr>
          <w:p>
            <w:pPr>
              <w:pStyle w:val="24"/>
              <w:numPr>
                <w:ilvl w:val="0"/>
                <w:numId w:val="1"/>
              </w:numPr>
              <w:spacing w:line="400" w:lineRule="exact"/>
              <w:rPr>
                <w:rFonts w:asciiTheme="minorEastAsia" w:hAnsiTheme="minorEastAsia" w:eastAsiaTheme="minorEastAsia" w:cstheme="minorEastAsia"/>
                <w:color w:val="auto"/>
                <w:sz w:val="21"/>
                <w:highlight w:val="none"/>
              </w:rPr>
            </w:pPr>
            <w:r>
              <w:rPr>
                <w:rFonts w:hint="eastAsia" w:hAnsi="宋体" w:cs="宋体"/>
                <w:color w:val="auto"/>
                <w:kern w:val="0"/>
                <w:sz w:val="21"/>
                <w:highlight w:val="none"/>
                <w:lang w:val="en-US"/>
              </w:rPr>
              <w:t>标项一</w:t>
            </w:r>
            <w:r>
              <w:rPr>
                <w:rFonts w:hint="eastAsia" w:hAnsi="宋体" w:cs="宋体"/>
                <w:color w:val="auto"/>
                <w:kern w:val="0"/>
                <w:sz w:val="21"/>
                <w:highlight w:val="none"/>
              </w:rPr>
              <w:t>标的</w:t>
            </w:r>
            <w:r>
              <w:rPr>
                <w:rFonts w:hint="eastAsia" w:hAnsi="宋体" w:cs="宋体"/>
                <w:color w:val="auto"/>
                <w:kern w:val="0"/>
                <w:sz w:val="21"/>
                <w:highlight w:val="none"/>
                <w:lang w:val="en-US"/>
              </w:rPr>
              <w:t>：</w:t>
            </w:r>
            <w:r>
              <w:rPr>
                <w:rFonts w:hint="eastAsia" w:asciiTheme="minorEastAsia" w:hAnsiTheme="minorEastAsia" w:eastAsiaTheme="minorEastAsia" w:cstheme="minorEastAsia"/>
                <w:color w:val="auto"/>
                <w:sz w:val="21"/>
                <w:highlight w:val="none"/>
              </w:rPr>
              <w:t>高新区公共视频监控一体化平台</w:t>
            </w:r>
            <w:r>
              <w:rPr>
                <w:rFonts w:hint="eastAsia" w:asciiTheme="minorEastAsia" w:hAnsiTheme="minorEastAsia" w:eastAsiaTheme="minorEastAsia" w:cstheme="minorEastAsia"/>
                <w:color w:val="auto"/>
                <w:sz w:val="21"/>
                <w:highlight w:val="none"/>
                <w:lang w:val="en-US"/>
              </w:rPr>
              <w:t>标项一</w:t>
            </w:r>
            <w:r>
              <w:rPr>
                <w:rFonts w:hint="eastAsia" w:asciiTheme="minorEastAsia" w:hAnsiTheme="minorEastAsia" w:eastAsiaTheme="minorEastAsia" w:cstheme="minorEastAsia"/>
                <w:color w:val="auto"/>
                <w:sz w:val="21"/>
                <w:highlight w:val="none"/>
              </w:rPr>
              <w:t>，属于</w:t>
            </w:r>
            <w:r>
              <w:rPr>
                <w:rFonts w:hint="eastAsia" w:asciiTheme="minorEastAsia" w:hAnsiTheme="minorEastAsia" w:eastAsiaTheme="minorEastAsia" w:cstheme="minorEastAsia"/>
                <w:color w:val="auto"/>
                <w:sz w:val="21"/>
                <w:highlight w:val="none"/>
                <w:lang w:val="en-US"/>
              </w:rPr>
              <w:t>工业</w:t>
            </w:r>
            <w:r>
              <w:rPr>
                <w:rFonts w:hint="eastAsia" w:asciiTheme="minorEastAsia" w:hAnsiTheme="minorEastAsia" w:eastAsiaTheme="minorEastAsia" w:cstheme="minorEastAsia"/>
                <w:color w:val="auto"/>
                <w:sz w:val="21"/>
                <w:highlight w:val="none"/>
              </w:rPr>
              <w:t>；</w:t>
            </w:r>
          </w:p>
          <w:p>
            <w:pPr>
              <w:pStyle w:val="24"/>
              <w:numPr>
                <w:ilvl w:val="0"/>
                <w:numId w:val="1"/>
              </w:numPr>
              <w:spacing w:line="400" w:lineRule="exact"/>
              <w:rPr>
                <w:rFonts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1"/>
                <w:highlight w:val="none"/>
                <w:lang w:val="en-US"/>
              </w:rPr>
              <w:t>标项二标的：</w:t>
            </w:r>
            <w:r>
              <w:rPr>
                <w:rFonts w:hint="eastAsia" w:asciiTheme="minorEastAsia" w:hAnsiTheme="minorEastAsia" w:eastAsiaTheme="minorEastAsia" w:cstheme="minorEastAsia"/>
                <w:color w:val="auto"/>
                <w:sz w:val="21"/>
                <w:highlight w:val="none"/>
              </w:rPr>
              <w:t>高新区公共视频监控一体化平台</w:t>
            </w:r>
            <w:r>
              <w:rPr>
                <w:rFonts w:hint="eastAsia" w:asciiTheme="minorEastAsia" w:hAnsiTheme="minorEastAsia" w:eastAsiaTheme="minorEastAsia" w:cstheme="minorEastAsia"/>
                <w:color w:val="auto"/>
                <w:sz w:val="21"/>
                <w:highlight w:val="none"/>
                <w:lang w:val="en-US"/>
              </w:rPr>
              <w:t>标项二</w:t>
            </w:r>
            <w:r>
              <w:rPr>
                <w:rFonts w:hint="eastAsia" w:asciiTheme="minorEastAsia" w:hAnsiTheme="minorEastAsia" w:eastAsiaTheme="minorEastAsia" w:cstheme="minorEastAsia"/>
                <w:color w:val="auto"/>
                <w:sz w:val="21"/>
                <w:highlight w:val="none"/>
              </w:rPr>
              <w:t>，属于</w:t>
            </w:r>
            <w:r>
              <w:rPr>
                <w:rFonts w:hint="eastAsia" w:asciiTheme="minorEastAsia" w:hAnsiTheme="minorEastAsia" w:eastAsiaTheme="minorEastAsia" w:cstheme="minorEastAsia"/>
                <w:color w:val="auto"/>
                <w:sz w:val="21"/>
                <w:highlight w:val="none"/>
                <w:lang w:val="en-US"/>
              </w:rPr>
              <w:t>工</w:t>
            </w:r>
            <w:r>
              <w:rPr>
                <w:rFonts w:hint="eastAsia" w:asciiTheme="minorEastAsia" w:hAnsiTheme="minorEastAsia" w:eastAsiaTheme="minorEastAsia" w:cstheme="minorEastAsia"/>
                <w:color w:val="auto"/>
                <w:sz w:val="21"/>
                <w:highlight w:val="none"/>
              </w:rPr>
              <w:t>业；</w:t>
            </w:r>
          </w:p>
          <w:p>
            <w:pPr>
              <w:pStyle w:val="24"/>
              <w:numPr>
                <w:ilvl w:val="0"/>
                <w:numId w:val="1"/>
              </w:numPr>
              <w:spacing w:line="400" w:lineRule="exact"/>
              <w:rPr>
                <w:rFonts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1"/>
                <w:highlight w:val="none"/>
                <w:lang w:val="en-US"/>
              </w:rPr>
              <w:t>标项三标的：</w:t>
            </w:r>
            <w:r>
              <w:rPr>
                <w:rFonts w:hint="eastAsia" w:asciiTheme="minorEastAsia" w:hAnsiTheme="minorEastAsia" w:eastAsiaTheme="minorEastAsia" w:cstheme="minorEastAsia"/>
                <w:color w:val="auto"/>
                <w:sz w:val="21"/>
                <w:highlight w:val="none"/>
              </w:rPr>
              <w:t>高新区公共视频监控一体化平台</w:t>
            </w:r>
            <w:r>
              <w:rPr>
                <w:rFonts w:hint="eastAsia" w:asciiTheme="minorEastAsia" w:hAnsiTheme="minorEastAsia" w:eastAsiaTheme="minorEastAsia" w:cstheme="minorEastAsia"/>
                <w:color w:val="auto"/>
                <w:sz w:val="21"/>
                <w:highlight w:val="none"/>
                <w:lang w:val="en-US"/>
              </w:rPr>
              <w:t>标项三</w:t>
            </w:r>
            <w:r>
              <w:rPr>
                <w:rFonts w:hint="eastAsia" w:asciiTheme="minorEastAsia" w:hAnsiTheme="minorEastAsia" w:eastAsiaTheme="minorEastAsia" w:cstheme="minorEastAsia"/>
                <w:color w:val="auto"/>
                <w:sz w:val="21"/>
                <w:highlight w:val="none"/>
              </w:rPr>
              <w:t>，属于</w:t>
            </w:r>
            <w:r>
              <w:rPr>
                <w:rFonts w:hint="eastAsia" w:asciiTheme="minorEastAsia" w:hAnsiTheme="minorEastAsia" w:eastAsiaTheme="minorEastAsia" w:cstheme="minorEastAsia"/>
                <w:color w:val="auto"/>
                <w:sz w:val="21"/>
                <w:highlight w:val="none"/>
                <w:lang w:val="en-US"/>
              </w:rPr>
              <w:t>工业</w:t>
            </w:r>
            <w:r>
              <w:rPr>
                <w:rFonts w:hint="eastAsia" w:asciiTheme="minorEastAsia" w:hAnsiTheme="minorEastAsia" w:eastAsiaTheme="minorEastAsia" w:cstheme="minorEastAsia"/>
                <w:color w:val="auto"/>
                <w:sz w:val="21"/>
                <w:highlight w:val="none"/>
              </w:rPr>
              <w:t>；</w:t>
            </w:r>
          </w:p>
          <w:p>
            <w:pPr>
              <w:pStyle w:val="24"/>
              <w:numPr>
                <w:ilvl w:val="0"/>
                <w:numId w:val="1"/>
              </w:numPr>
              <w:spacing w:line="400" w:lineRule="exact"/>
              <w:rPr>
                <w:rFonts w:hAnsi="宋体" w:cs="宋体"/>
                <w:color w:val="auto"/>
                <w:sz w:val="21"/>
                <w:highlight w:val="none"/>
                <w:lang w:val="en-US"/>
              </w:rPr>
            </w:pPr>
            <w:bookmarkStart w:id="24" w:name="_Toc15395"/>
            <w:r>
              <w:rPr>
                <w:rFonts w:hint="eastAsia" w:asciiTheme="minorEastAsia" w:hAnsiTheme="minorEastAsia" w:eastAsiaTheme="minorEastAsia" w:cstheme="minorEastAsia"/>
                <w:color w:val="auto"/>
                <w:sz w:val="21"/>
                <w:highlight w:val="none"/>
                <w:lang w:val="en-US"/>
              </w:rPr>
              <w:t>备注：《关于印发中小企业划型标准规定的通知》（工信</w:t>
            </w:r>
            <w:bookmarkEnd w:id="24"/>
            <w:bookmarkStart w:id="25" w:name="_Toc11782"/>
            <w:r>
              <w:rPr>
                <w:rFonts w:hint="eastAsia" w:asciiTheme="minorEastAsia" w:hAnsiTheme="minorEastAsia" w:eastAsiaTheme="minorEastAsia" w:cstheme="minorEastAsia"/>
                <w:color w:val="auto"/>
                <w:sz w:val="21"/>
                <w:highlight w:val="none"/>
                <w:lang w:val="en-US"/>
              </w:rPr>
              <w:t>部联企业</w:t>
            </w:r>
            <w:r>
              <w:rPr>
                <w:rFonts w:hint="eastAsia" w:hAnsi="宋体" w:cs="宋体"/>
                <w:color w:val="auto"/>
                <w:sz w:val="21"/>
                <w:highlight w:val="none"/>
                <w:lang w:val="en-US"/>
              </w:rPr>
              <w:t>〔2011〕300）：</w:t>
            </w:r>
            <w:bookmarkEnd w:id="25"/>
            <w:bookmarkStart w:id="26" w:name="_Toc30940"/>
          </w:p>
          <w:bookmarkEnd w:id="26"/>
          <w:p>
            <w:pPr>
              <w:spacing w:line="500" w:lineRule="exact"/>
              <w:ind w:firstLine="420" w:firstLineChars="200"/>
              <w:rPr>
                <w:rFonts w:ascii="宋体" w:hAnsi="宋体" w:eastAsia="宋体" w:cs="宋体"/>
                <w:b w:val="0"/>
                <w:bCs w:val="0"/>
                <w:color w:val="auto"/>
                <w:sz w:val="21"/>
                <w:szCs w:val="21"/>
                <w:highlight w:val="none"/>
                <w:lang w:val="en-US"/>
              </w:rPr>
            </w:pPr>
            <w:r>
              <w:rPr>
                <w:rFonts w:hint="eastAsia" w:ascii="宋体" w:hAnsi="宋体" w:eastAsia="宋体" w:cs="宋体"/>
                <w:snapToGrid w:val="0"/>
                <w:color w:val="auto"/>
                <w:kern w:val="0"/>
                <w:sz w:val="21"/>
                <w:szCs w:val="21"/>
                <w:highlight w:val="none"/>
                <w:lang w:val="en-US" w:eastAsia="zh-CN" w:bidi="ar-SA"/>
              </w:rPr>
              <w:t>工业</w:t>
            </w:r>
            <w:r>
              <w:rPr>
                <w:rFonts w:hint="eastAsia" w:ascii="宋体" w:hAnsi="宋体" w:eastAsia="宋体" w:cs="宋体"/>
                <w:snapToGrid w:val="0"/>
                <w:color w:val="auto"/>
                <w:kern w:val="0"/>
                <w:sz w:val="21"/>
                <w:szCs w:val="21"/>
                <w:highlight w:val="none"/>
                <w:lang w:val="zh-CN" w:eastAsia="zh-CN" w:bidi="ar-SA"/>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shd w:val="clear" w:color="auto" w:fill="auto"/>
            <w:vAlign w:val="center"/>
          </w:tcPr>
          <w:p>
            <w:pPr>
              <w:spacing w:line="400" w:lineRule="exact"/>
              <w:jc w:val="center"/>
              <w:rPr>
                <w:rFonts w:ascii="宋体" w:hAnsi="宋体"/>
                <w:color w:val="auto"/>
                <w:szCs w:val="21"/>
                <w:highlight w:val="none"/>
              </w:rPr>
            </w:pPr>
            <w:r>
              <w:rPr>
                <w:rFonts w:hint="eastAsia" w:ascii="宋体" w:hAnsi="宋体"/>
                <w:color w:val="auto"/>
                <w:szCs w:val="21"/>
                <w:highlight w:val="none"/>
              </w:rPr>
              <w:t>3</w:t>
            </w:r>
          </w:p>
        </w:tc>
        <w:tc>
          <w:tcPr>
            <w:tcW w:w="1551" w:type="dxa"/>
            <w:shd w:val="clear" w:color="auto" w:fill="auto"/>
            <w:vAlign w:val="center"/>
          </w:tcPr>
          <w:p>
            <w:pPr>
              <w:snapToGrid w:val="0"/>
              <w:spacing w:line="400" w:lineRule="exact"/>
              <w:jc w:val="center"/>
              <w:rPr>
                <w:rFonts w:ascii="宋体" w:hAnsi="宋体" w:cs="宋体"/>
                <w:b/>
                <w:color w:val="auto"/>
                <w:szCs w:val="21"/>
                <w:highlight w:val="none"/>
              </w:rPr>
            </w:pPr>
            <w:r>
              <w:rPr>
                <w:rFonts w:hint="eastAsia" w:ascii="宋体" w:hAnsi="宋体" w:cs="宋体"/>
                <w:b/>
                <w:color w:val="auto"/>
                <w:szCs w:val="21"/>
                <w:highlight w:val="none"/>
              </w:rPr>
              <w:t>是否允许采购进口产品</w:t>
            </w:r>
          </w:p>
        </w:tc>
        <w:tc>
          <w:tcPr>
            <w:tcW w:w="6529" w:type="dxa"/>
            <w:shd w:val="clear" w:color="auto" w:fill="auto"/>
            <w:vAlign w:val="center"/>
          </w:tcPr>
          <w:p>
            <w:pPr>
              <w:spacing w:line="400" w:lineRule="exact"/>
              <w:rPr>
                <w:rFonts w:ascii="宋体" w:hAnsi="宋体" w:cs="宋体"/>
                <w:color w:val="auto"/>
                <w:kern w:val="0"/>
                <w:szCs w:val="21"/>
                <w:highlight w:val="none"/>
              </w:rPr>
            </w:pPr>
            <w:r>
              <w:rPr>
                <w:rFonts w:hint="eastAsia" w:ascii="宋体" w:hAnsi="宋体" w:cs="宋体"/>
                <w:color w:val="auto"/>
                <w:kern w:val="0"/>
                <w:szCs w:val="21"/>
                <w:highlight w:val="none"/>
              </w:rPr>
              <w:sym w:font="Wingdings" w:char="00FE"/>
            </w:r>
            <w:r>
              <w:rPr>
                <w:rFonts w:hint="eastAsia" w:ascii="宋体" w:hAnsi="宋体" w:cs="宋体"/>
                <w:color w:val="auto"/>
                <w:kern w:val="0"/>
                <w:szCs w:val="21"/>
                <w:highlight w:val="none"/>
              </w:rPr>
              <w:t>本项目不允许采购进口产品。</w:t>
            </w:r>
          </w:p>
          <w:p>
            <w:pPr>
              <w:spacing w:line="400" w:lineRule="exact"/>
              <w:rPr>
                <w:rFonts w:ascii="宋体" w:hAnsi="宋体" w:cs="宋体"/>
                <w:color w:val="auto"/>
                <w:szCs w:val="21"/>
                <w:highlight w:val="none"/>
              </w:rPr>
            </w:pPr>
            <w:r>
              <w:rPr>
                <w:rFonts w:hint="eastAsia" w:ascii="宋体" w:hAnsi="宋体" w:cs="宋体"/>
                <w:color w:val="auto"/>
                <w:kern w:val="0"/>
                <w:szCs w:val="21"/>
                <w:highlight w:val="none"/>
              </w:rPr>
              <w:sym w:font="Wingdings" w:char="00A8"/>
            </w:r>
            <w:r>
              <w:rPr>
                <w:rFonts w:hint="eastAsia" w:ascii="宋体" w:hAnsi="宋体" w:cs="宋体"/>
                <w:color w:val="auto"/>
                <w:kern w:val="0"/>
                <w:szCs w:val="21"/>
                <w:highlight w:val="none"/>
              </w:rPr>
              <w:t>可以就_____采购进口产品。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shd w:val="clear" w:color="auto" w:fill="auto"/>
            <w:vAlign w:val="center"/>
          </w:tcPr>
          <w:p>
            <w:pPr>
              <w:spacing w:line="400" w:lineRule="exact"/>
              <w:jc w:val="center"/>
              <w:rPr>
                <w:rFonts w:ascii="宋体" w:hAnsi="宋体"/>
                <w:color w:val="auto"/>
                <w:szCs w:val="21"/>
                <w:highlight w:val="none"/>
              </w:rPr>
            </w:pPr>
            <w:r>
              <w:rPr>
                <w:rFonts w:hint="eastAsia" w:ascii="宋体" w:hAnsi="宋体"/>
                <w:color w:val="auto"/>
                <w:szCs w:val="21"/>
                <w:highlight w:val="none"/>
              </w:rPr>
              <w:t>4</w:t>
            </w:r>
          </w:p>
        </w:tc>
        <w:tc>
          <w:tcPr>
            <w:tcW w:w="1551" w:type="dxa"/>
            <w:shd w:val="clear" w:color="auto" w:fill="auto"/>
            <w:vAlign w:val="center"/>
          </w:tcPr>
          <w:p>
            <w:pPr>
              <w:snapToGrid w:val="0"/>
              <w:spacing w:line="40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分包</w:t>
            </w:r>
          </w:p>
        </w:tc>
        <w:tc>
          <w:tcPr>
            <w:tcW w:w="6529" w:type="dxa"/>
            <w:shd w:val="clear" w:color="auto" w:fill="auto"/>
            <w:vAlign w:val="center"/>
          </w:tcPr>
          <w:p>
            <w:pPr>
              <w:spacing w:line="400" w:lineRule="exact"/>
              <w:rPr>
                <w:rFonts w:ascii="宋体" w:hAnsi="宋体" w:cs="宋体"/>
                <w:color w:val="auto"/>
                <w:szCs w:val="21"/>
                <w:highlight w:val="none"/>
              </w:rPr>
            </w:pPr>
            <w:r>
              <w:rPr>
                <w:rFonts w:hint="eastAsia" w:ascii="宋体" w:hAnsi="宋体" w:cs="宋体"/>
                <w:color w:val="auto"/>
                <w:kern w:val="0"/>
                <w:szCs w:val="21"/>
                <w:highlight w:val="none"/>
              </w:rPr>
              <w:sym w:font="Wingdings" w:char="00A8"/>
            </w:r>
            <w:r>
              <w:rPr>
                <w:rFonts w:hint="eastAsia" w:ascii="宋体" w:hAnsi="宋体" w:cs="宋体"/>
                <w:color w:val="auto"/>
                <w:kern w:val="0"/>
                <w:szCs w:val="21"/>
                <w:highlight w:val="none"/>
              </w:rPr>
              <w:t>A</w:t>
            </w:r>
            <w:r>
              <w:rPr>
                <w:rFonts w:hint="eastAsia" w:ascii="宋体" w:hAnsi="宋体" w:cs="宋体"/>
                <w:color w:val="auto"/>
                <w:szCs w:val="21"/>
                <w:highlight w:val="none"/>
              </w:rPr>
              <w:t>同意将非主体、非关键性的工作分包。</w:t>
            </w:r>
          </w:p>
          <w:p>
            <w:pPr>
              <w:spacing w:line="400" w:lineRule="exact"/>
              <w:rPr>
                <w:rFonts w:ascii="宋体" w:hAnsi="宋体" w:cs="宋体"/>
                <w:color w:val="auto"/>
                <w:szCs w:val="21"/>
                <w:highlight w:val="none"/>
              </w:rPr>
            </w:pPr>
            <w:r>
              <w:rPr>
                <w:rFonts w:hint="eastAsia" w:ascii="宋体" w:hAnsi="宋体" w:cs="宋体"/>
                <w:color w:val="auto"/>
                <w:kern w:val="0"/>
                <w:szCs w:val="21"/>
                <w:highlight w:val="none"/>
              </w:rPr>
              <w:sym w:font="Wingdings" w:char="F0FE"/>
            </w:r>
            <w:r>
              <w:rPr>
                <w:rFonts w:hint="eastAsia" w:ascii="宋体" w:hAnsi="宋体" w:cs="宋体"/>
                <w:color w:val="auto"/>
                <w:kern w:val="0"/>
                <w:szCs w:val="21"/>
                <w:highlight w:val="none"/>
              </w:rPr>
              <w:t>B</w:t>
            </w:r>
            <w:r>
              <w:rPr>
                <w:rFonts w:hint="eastAsia" w:ascii="宋体" w:hAnsi="宋体" w:cs="宋体"/>
                <w:color w:val="auto"/>
                <w:szCs w:val="21"/>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shd w:val="clear" w:color="auto" w:fill="auto"/>
            <w:vAlign w:val="center"/>
          </w:tcPr>
          <w:p>
            <w:pPr>
              <w:spacing w:line="400" w:lineRule="exact"/>
              <w:jc w:val="center"/>
              <w:rPr>
                <w:rFonts w:ascii="宋体" w:hAnsi="宋体"/>
                <w:color w:val="auto"/>
                <w:szCs w:val="21"/>
                <w:highlight w:val="none"/>
              </w:rPr>
            </w:pPr>
            <w:r>
              <w:rPr>
                <w:rFonts w:hint="eastAsia" w:ascii="宋体" w:hAnsi="宋体"/>
                <w:color w:val="auto"/>
                <w:szCs w:val="21"/>
                <w:highlight w:val="none"/>
              </w:rPr>
              <w:t>5</w:t>
            </w:r>
          </w:p>
        </w:tc>
        <w:tc>
          <w:tcPr>
            <w:tcW w:w="1551" w:type="dxa"/>
            <w:shd w:val="clear" w:color="auto" w:fill="auto"/>
            <w:vAlign w:val="center"/>
          </w:tcPr>
          <w:p>
            <w:pPr>
              <w:snapToGrid w:val="0"/>
              <w:spacing w:line="400" w:lineRule="exact"/>
              <w:jc w:val="center"/>
              <w:rPr>
                <w:rFonts w:ascii="宋体" w:hAnsi="宋体" w:cs="宋体"/>
                <w:b/>
                <w:color w:val="auto"/>
                <w:szCs w:val="21"/>
                <w:highlight w:val="none"/>
              </w:rPr>
            </w:pPr>
            <w:r>
              <w:rPr>
                <w:rFonts w:hint="eastAsia" w:ascii="宋体" w:hAnsi="宋体" w:cs="宋体"/>
                <w:b/>
                <w:color w:val="auto"/>
                <w:szCs w:val="21"/>
                <w:highlight w:val="none"/>
              </w:rPr>
              <w:t>开标前答疑会或现场考察</w:t>
            </w:r>
          </w:p>
        </w:tc>
        <w:tc>
          <w:tcPr>
            <w:tcW w:w="6529" w:type="dxa"/>
            <w:shd w:val="clear" w:color="auto" w:fill="auto"/>
            <w:vAlign w:val="center"/>
          </w:tcPr>
          <w:p>
            <w:pPr>
              <w:spacing w:line="400" w:lineRule="exact"/>
              <w:rPr>
                <w:rFonts w:ascii="宋体" w:hAnsi="宋体" w:cs="宋体"/>
                <w:color w:val="auto"/>
                <w:szCs w:val="21"/>
                <w:highlight w:val="none"/>
              </w:rPr>
            </w:pPr>
            <w:sdt>
              <w:sdtPr>
                <w:rPr>
                  <w:rFonts w:hint="eastAsia" w:ascii="宋体" w:hAnsi="宋体" w:cs="宋体"/>
                  <w:color w:val="auto"/>
                  <w:kern w:val="0"/>
                  <w:szCs w:val="21"/>
                  <w:highlight w:val="none"/>
                </w:rPr>
                <w:id w:val="-212966419"/>
                <w14:checkbox>
                  <w14:checked w14:val="1"/>
                  <w14:checkedState w14:val="00FE" w14:font="Wingdings"/>
                  <w14:uncheckedState w14:val="2610" w14:font="MS Gothic"/>
                </w14:checkbox>
              </w:sdtPr>
              <w:sdtEndPr>
                <w:rPr>
                  <w:rFonts w:hint="eastAsia" w:ascii="宋体" w:hAnsi="宋体" w:cs="宋体"/>
                  <w:color w:val="auto"/>
                  <w:kern w:val="0"/>
                  <w:szCs w:val="21"/>
                  <w:highlight w:val="none"/>
                </w:rPr>
              </w:sdtEndPr>
              <w:sdtContent>
                <w:r>
                  <w:rPr>
                    <w:rFonts w:hint="eastAsia" w:ascii="宋体" w:hAnsi="宋体" w:cs="宋体"/>
                    <w:color w:val="auto"/>
                    <w:kern w:val="0"/>
                    <w:szCs w:val="21"/>
                    <w:highlight w:val="none"/>
                  </w:rPr>
                  <w:sym w:font="Wingdings" w:char="F0FE"/>
                </w:r>
              </w:sdtContent>
            </w:sdt>
            <w:r>
              <w:rPr>
                <w:rFonts w:hint="eastAsia" w:ascii="宋体" w:hAnsi="宋体" w:cs="宋体"/>
                <w:color w:val="auto"/>
                <w:kern w:val="0"/>
                <w:szCs w:val="21"/>
                <w:highlight w:val="none"/>
              </w:rPr>
              <w:t>A</w:t>
            </w:r>
            <w:r>
              <w:rPr>
                <w:rFonts w:hint="eastAsia" w:ascii="宋体" w:hAnsi="宋体" w:cs="宋体"/>
                <w:color w:val="auto"/>
                <w:szCs w:val="21"/>
                <w:highlight w:val="none"/>
              </w:rPr>
              <w:t>不组织。</w:t>
            </w:r>
          </w:p>
          <w:p>
            <w:pPr>
              <w:spacing w:line="400" w:lineRule="exact"/>
              <w:rPr>
                <w:rFonts w:ascii="宋体" w:hAnsi="宋体" w:cs="宋体"/>
                <w:color w:val="auto"/>
                <w:szCs w:val="21"/>
                <w:highlight w:val="none"/>
              </w:rPr>
            </w:pPr>
            <w:sdt>
              <w:sdtPr>
                <w:rPr>
                  <w:rFonts w:hint="eastAsia" w:ascii="宋体" w:hAnsi="宋体" w:cs="宋体"/>
                  <w:color w:val="auto"/>
                  <w:kern w:val="0"/>
                  <w:szCs w:val="21"/>
                  <w:highlight w:val="none"/>
                </w:rPr>
                <w:id w:val="-999802974"/>
                <w14:checkbox>
                  <w14:checked w14:val="0"/>
                  <w14:checkedState w14:val="00FE" w14:font="Wingdings"/>
                  <w14:uncheckedState w14:val="2610" w14:font="MS Gothic"/>
                </w14:checkbox>
              </w:sdtPr>
              <w:sdtEndPr>
                <w:rPr>
                  <w:rFonts w:hint="eastAsia" w:ascii="宋体" w:hAnsi="宋体" w:cs="宋体"/>
                  <w:color w:val="auto"/>
                  <w:kern w:val="0"/>
                  <w:szCs w:val="21"/>
                  <w:highlight w:val="none"/>
                </w:rPr>
              </w:sdtEndPr>
              <w:sdtContent>
                <w:r>
                  <w:rPr>
                    <w:rFonts w:ascii="Segoe UI Symbol" w:hAnsi="Segoe UI Symbol" w:cs="Segoe UI Symbol"/>
                    <w:color w:val="auto"/>
                    <w:kern w:val="0"/>
                    <w:szCs w:val="21"/>
                    <w:highlight w:val="none"/>
                  </w:rPr>
                  <w:t>☐</w:t>
                </w:r>
              </w:sdtContent>
            </w:sdt>
            <w:r>
              <w:rPr>
                <w:rFonts w:hint="eastAsia" w:ascii="宋体" w:hAnsi="宋体" w:cs="宋体"/>
                <w:color w:val="auto"/>
                <w:kern w:val="0"/>
                <w:szCs w:val="21"/>
                <w:highlight w:val="none"/>
              </w:rPr>
              <w:t>B组织，</w:t>
            </w:r>
            <w:r>
              <w:rPr>
                <w:rFonts w:hint="eastAsia" w:ascii="宋体" w:hAnsi="宋体" w:cs="宋体"/>
                <w:color w:val="auto"/>
                <w:szCs w:val="21"/>
                <w:highlight w:val="none"/>
              </w:rPr>
              <w:t>时间：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,地点：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，联系人：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，联系方式：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shd w:val="clear" w:color="auto" w:fill="auto"/>
            <w:vAlign w:val="center"/>
          </w:tcPr>
          <w:p>
            <w:pPr>
              <w:spacing w:line="400" w:lineRule="exact"/>
              <w:jc w:val="center"/>
              <w:rPr>
                <w:rFonts w:ascii="宋体" w:hAnsi="宋体"/>
                <w:color w:val="auto"/>
                <w:szCs w:val="21"/>
                <w:highlight w:val="none"/>
              </w:rPr>
            </w:pPr>
            <w:r>
              <w:rPr>
                <w:rFonts w:hint="eastAsia" w:ascii="宋体" w:hAnsi="宋体"/>
                <w:color w:val="auto"/>
                <w:szCs w:val="21"/>
                <w:highlight w:val="none"/>
              </w:rPr>
              <w:t>6</w:t>
            </w:r>
          </w:p>
        </w:tc>
        <w:tc>
          <w:tcPr>
            <w:tcW w:w="1551" w:type="dxa"/>
            <w:shd w:val="clear" w:color="auto" w:fill="auto"/>
            <w:vAlign w:val="center"/>
          </w:tcPr>
          <w:p>
            <w:pPr>
              <w:spacing w:line="400" w:lineRule="exact"/>
              <w:jc w:val="center"/>
              <w:rPr>
                <w:rFonts w:ascii="宋体" w:hAnsi="宋体"/>
                <w:color w:val="auto"/>
                <w:szCs w:val="21"/>
                <w:highlight w:val="none"/>
              </w:rPr>
            </w:pPr>
            <w:r>
              <w:rPr>
                <w:rFonts w:hint="eastAsia" w:ascii="宋体" w:hAnsi="宋体" w:cs="宋体"/>
                <w:b/>
                <w:color w:val="auto"/>
                <w:szCs w:val="21"/>
                <w:highlight w:val="none"/>
              </w:rPr>
              <w:t>样品提供</w:t>
            </w:r>
          </w:p>
        </w:tc>
        <w:tc>
          <w:tcPr>
            <w:tcW w:w="6529" w:type="dxa"/>
            <w:shd w:val="clear" w:color="auto" w:fill="auto"/>
          </w:tcPr>
          <w:p>
            <w:pPr>
              <w:spacing w:line="400" w:lineRule="exact"/>
              <w:rPr>
                <w:rFonts w:ascii="宋体" w:hAnsi="宋体" w:cs="宋体"/>
                <w:color w:val="auto"/>
                <w:szCs w:val="21"/>
                <w:highlight w:val="none"/>
              </w:rPr>
            </w:pPr>
            <w:r>
              <w:rPr>
                <w:rFonts w:hint="eastAsia" w:ascii="宋体" w:hAnsi="宋体" w:cs="宋体"/>
                <w:color w:val="auto"/>
                <w:kern w:val="0"/>
                <w:szCs w:val="21"/>
                <w:highlight w:val="none"/>
              </w:rPr>
              <w:sym w:font="Wingdings" w:char="00FE"/>
            </w:r>
            <w:r>
              <w:rPr>
                <w:rFonts w:hint="eastAsia" w:ascii="宋体" w:hAnsi="宋体" w:cs="宋体"/>
                <w:color w:val="auto"/>
                <w:kern w:val="0"/>
                <w:szCs w:val="21"/>
                <w:highlight w:val="none"/>
              </w:rPr>
              <w:t>A</w:t>
            </w:r>
            <w:r>
              <w:rPr>
                <w:rFonts w:hint="eastAsia" w:ascii="宋体" w:hAnsi="宋体" w:cs="宋体"/>
                <w:color w:val="auto"/>
                <w:szCs w:val="21"/>
                <w:highlight w:val="none"/>
              </w:rPr>
              <w:t>不要求提供；</w:t>
            </w:r>
          </w:p>
          <w:p>
            <w:pPr>
              <w:spacing w:line="400" w:lineRule="exact"/>
              <w:rPr>
                <w:rFonts w:ascii="宋体" w:hAnsi="宋体"/>
                <w:color w:val="auto"/>
                <w:szCs w:val="21"/>
                <w:highlight w:val="none"/>
              </w:rPr>
            </w:pPr>
            <w:r>
              <w:rPr>
                <w:rFonts w:hint="eastAsia" w:ascii="宋体" w:hAnsi="宋体" w:cs="宋体"/>
                <w:color w:val="auto"/>
                <w:kern w:val="0"/>
                <w:szCs w:val="21"/>
                <w:highlight w:val="none"/>
              </w:rPr>
              <w:sym w:font="Wingdings" w:char="00A8"/>
            </w:r>
            <w:r>
              <w:rPr>
                <w:rFonts w:hint="eastAsia" w:ascii="宋体" w:hAnsi="宋体" w:cs="宋体"/>
                <w:color w:val="auto"/>
                <w:kern w:val="0"/>
                <w:szCs w:val="21"/>
                <w:highlight w:val="none"/>
              </w:rPr>
              <w:t>B要求提供。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shd w:val="clear" w:color="auto" w:fill="auto"/>
            <w:vAlign w:val="center"/>
          </w:tcPr>
          <w:p>
            <w:pPr>
              <w:spacing w:line="400" w:lineRule="exact"/>
              <w:jc w:val="center"/>
              <w:rPr>
                <w:rFonts w:ascii="宋体" w:hAnsi="宋体"/>
                <w:color w:val="auto"/>
                <w:szCs w:val="21"/>
                <w:highlight w:val="none"/>
              </w:rPr>
            </w:pPr>
            <w:r>
              <w:rPr>
                <w:rFonts w:hint="eastAsia" w:ascii="宋体" w:hAnsi="宋体"/>
                <w:color w:val="auto"/>
                <w:szCs w:val="21"/>
                <w:highlight w:val="none"/>
              </w:rPr>
              <w:t>7</w:t>
            </w:r>
          </w:p>
        </w:tc>
        <w:tc>
          <w:tcPr>
            <w:tcW w:w="1551" w:type="dxa"/>
            <w:shd w:val="clear" w:color="auto" w:fill="auto"/>
            <w:vAlign w:val="center"/>
          </w:tcPr>
          <w:p>
            <w:pPr>
              <w:spacing w:line="400" w:lineRule="exact"/>
              <w:jc w:val="center"/>
              <w:rPr>
                <w:rFonts w:ascii="宋体" w:hAnsi="宋体"/>
                <w:color w:val="auto"/>
                <w:szCs w:val="21"/>
                <w:highlight w:val="none"/>
              </w:rPr>
            </w:pPr>
            <w:r>
              <w:rPr>
                <w:rFonts w:hint="eastAsia" w:ascii="宋体" w:hAnsi="宋体" w:cs="宋体"/>
                <w:b/>
                <w:color w:val="auto"/>
                <w:szCs w:val="21"/>
                <w:highlight w:val="none"/>
              </w:rPr>
              <w:t>方案讲解演示</w:t>
            </w:r>
          </w:p>
        </w:tc>
        <w:tc>
          <w:tcPr>
            <w:tcW w:w="6529" w:type="dxa"/>
            <w:shd w:val="clear" w:color="auto" w:fill="auto"/>
            <w:vAlign w:val="center"/>
          </w:tcPr>
          <w:p>
            <w:pPr>
              <w:spacing w:line="400" w:lineRule="exact"/>
              <w:rPr>
                <w:rFonts w:ascii="宋体" w:hAnsi="宋体" w:cs="宋体"/>
                <w:color w:val="auto"/>
                <w:szCs w:val="21"/>
                <w:highlight w:val="none"/>
              </w:rPr>
            </w:pPr>
            <w:sdt>
              <w:sdtPr>
                <w:rPr>
                  <w:rFonts w:hint="eastAsia" w:ascii="宋体" w:hAnsi="宋体" w:cs="宋体"/>
                  <w:color w:val="auto"/>
                  <w:kern w:val="0"/>
                  <w:szCs w:val="21"/>
                  <w:highlight w:val="none"/>
                </w:rPr>
                <w:id w:val="-1859348549"/>
                <w14:checkbox>
                  <w14:checked w14:val="1"/>
                  <w14:checkedState w14:val="00FE" w14:font="Wingdings"/>
                  <w14:uncheckedState w14:val="2610" w14:font="MS Gothic"/>
                </w14:checkbox>
              </w:sdtPr>
              <w:sdtEndPr>
                <w:rPr>
                  <w:rFonts w:hint="eastAsia" w:ascii="宋体" w:hAnsi="宋体" w:cs="宋体"/>
                  <w:color w:val="auto"/>
                  <w:kern w:val="0"/>
                  <w:szCs w:val="21"/>
                  <w:highlight w:val="none"/>
                </w:rPr>
              </w:sdtEndPr>
              <w:sdtContent>
                <w:r>
                  <w:rPr>
                    <w:rFonts w:ascii="Wingdings" w:hAnsi="Wingdings" w:eastAsia="MS Gothic" w:cs="宋体"/>
                    <w:color w:val="auto"/>
                    <w:kern w:val="0"/>
                    <w:szCs w:val="21"/>
                    <w:highlight w:val="none"/>
                  </w:rPr>
                  <w:t></w:t>
                </w:r>
              </w:sdtContent>
            </w:sdt>
            <w:r>
              <w:rPr>
                <w:rFonts w:hint="eastAsia" w:ascii="宋体" w:hAnsi="宋体" w:cs="宋体"/>
                <w:color w:val="auto"/>
                <w:kern w:val="0"/>
                <w:szCs w:val="21"/>
                <w:highlight w:val="none"/>
              </w:rPr>
              <w:t>A</w:t>
            </w:r>
            <w:r>
              <w:rPr>
                <w:rFonts w:hint="eastAsia" w:ascii="宋体" w:hAnsi="宋体" w:cs="宋体"/>
                <w:color w:val="auto"/>
                <w:szCs w:val="21"/>
                <w:highlight w:val="none"/>
              </w:rPr>
              <w:t>不组织。</w:t>
            </w:r>
          </w:p>
          <w:p>
            <w:pPr>
              <w:spacing w:line="400" w:lineRule="exact"/>
              <w:rPr>
                <w:rFonts w:ascii="宋体" w:hAnsi="宋体" w:cs="宋体"/>
                <w:color w:val="auto"/>
                <w:kern w:val="0"/>
                <w:szCs w:val="21"/>
                <w:highlight w:val="none"/>
              </w:rPr>
            </w:pPr>
            <w:sdt>
              <w:sdtPr>
                <w:rPr>
                  <w:rFonts w:hint="eastAsia" w:ascii="宋体" w:hAnsi="宋体" w:cs="宋体"/>
                  <w:color w:val="auto"/>
                  <w:kern w:val="0"/>
                  <w:szCs w:val="21"/>
                  <w:highlight w:val="none"/>
                </w:rPr>
                <w:id w:val="1174071719"/>
                <w14:checkbox>
                  <w14:checked w14:val="0"/>
                  <w14:checkedState w14:val="00FE" w14:font="Wingdings"/>
                  <w14:uncheckedState w14:val="2610" w14:font="MS Gothic"/>
                </w14:checkbox>
              </w:sdtPr>
              <w:sdtEndPr>
                <w:rPr>
                  <w:rFonts w:hint="eastAsia" w:ascii="宋体" w:hAnsi="宋体" w:cs="宋体"/>
                  <w:color w:val="auto"/>
                  <w:kern w:val="0"/>
                  <w:szCs w:val="21"/>
                  <w:highlight w:val="none"/>
                </w:rPr>
              </w:sdtEndPr>
              <w:sdtContent>
                <w:r>
                  <w:rPr>
                    <w:rFonts w:hint="eastAsia" w:ascii="MS Gothic" w:hAnsi="MS Gothic" w:cs="宋体"/>
                    <w:color w:val="auto"/>
                    <w:kern w:val="0"/>
                    <w:szCs w:val="21"/>
                    <w:highlight w:val="none"/>
                  </w:rPr>
                  <w:t>☐</w:t>
                </w:r>
              </w:sdtContent>
            </w:sdt>
            <w:r>
              <w:rPr>
                <w:rFonts w:hint="eastAsia" w:ascii="宋体" w:hAnsi="宋体" w:cs="宋体"/>
                <w:color w:val="auto"/>
                <w:kern w:val="0"/>
                <w:szCs w:val="21"/>
                <w:highlight w:val="none"/>
              </w:rPr>
              <w:t>B组织。</w:t>
            </w:r>
          </w:p>
          <w:p>
            <w:pPr>
              <w:snapToGrid w:val="0"/>
              <w:spacing w:line="400" w:lineRule="exact"/>
              <w:rPr>
                <w:rFonts w:ascii="宋体" w:hAnsi="宋体" w:cs="宋体"/>
                <w:color w:val="auto"/>
                <w:kern w:val="0"/>
                <w:szCs w:val="21"/>
                <w:highlight w:val="none"/>
              </w:rPr>
            </w:pPr>
            <w:r>
              <w:rPr>
                <w:rFonts w:hint="eastAsia" w:ascii="宋体" w:hAnsi="宋体" w:cs="宋体"/>
                <w:color w:val="auto"/>
                <w:kern w:val="0"/>
                <w:szCs w:val="21"/>
                <w:highlight w:val="none"/>
              </w:rPr>
              <w:t>（1）在评标时安排每个投标人进行方案讲解演示。每个投标人时间不超过</w:t>
            </w:r>
            <w:r>
              <w:rPr>
                <w:rFonts w:hint="eastAsia" w:ascii="宋体" w:hAnsi="宋体" w:cs="宋体"/>
                <w:color w:val="auto"/>
                <w:kern w:val="0"/>
                <w:szCs w:val="21"/>
                <w:highlight w:val="none"/>
                <w:u w:val="single"/>
              </w:rPr>
              <w:t>20（编制时可根据项目情况进行调整）</w:t>
            </w:r>
            <w:r>
              <w:rPr>
                <w:rFonts w:hint="eastAsia" w:ascii="宋体" w:hAnsi="宋体" w:cs="宋体"/>
                <w:color w:val="auto"/>
                <w:kern w:val="0"/>
                <w:szCs w:val="21"/>
                <w:highlight w:val="none"/>
              </w:rPr>
              <w:t>分钟，讲解次序以投标文件解密时间先后次序为准，讲解演示人员不超过</w:t>
            </w:r>
            <w:r>
              <w:rPr>
                <w:rFonts w:hint="eastAsia" w:ascii="宋体" w:hAnsi="宋体" w:cs="宋体"/>
                <w:color w:val="auto"/>
                <w:kern w:val="0"/>
                <w:szCs w:val="21"/>
                <w:highlight w:val="none"/>
                <w:u w:val="single"/>
              </w:rPr>
              <w:t>3（编制时可根据项目情况进行调整）</w:t>
            </w:r>
            <w:r>
              <w:rPr>
                <w:rFonts w:hint="eastAsia" w:ascii="宋体" w:hAnsi="宋体" w:cs="宋体"/>
                <w:color w:val="auto"/>
                <w:kern w:val="0"/>
                <w:szCs w:val="21"/>
                <w:highlight w:val="none"/>
              </w:rPr>
              <w:t>人。讲解演示结束后按要求解答评标委员会提问。</w:t>
            </w:r>
          </w:p>
          <w:p>
            <w:pPr>
              <w:snapToGrid w:val="0"/>
              <w:spacing w:line="400" w:lineRule="exact"/>
              <w:rPr>
                <w:rFonts w:ascii="宋体" w:hAnsi="宋体" w:cs="宋体"/>
                <w:color w:val="auto"/>
                <w:kern w:val="0"/>
                <w:szCs w:val="21"/>
                <w:highlight w:val="none"/>
              </w:rPr>
            </w:pPr>
            <w:r>
              <w:rPr>
                <w:rFonts w:hint="eastAsia" w:ascii="宋体" w:hAnsi="宋体" w:cs="宋体"/>
                <w:color w:val="auto"/>
                <w:kern w:val="0"/>
                <w:szCs w:val="21"/>
                <w:highlight w:val="none"/>
              </w:rPr>
              <w:t>（2）方案讲解演示可选择以下其中一种方式：</w:t>
            </w:r>
          </w:p>
          <w:p>
            <w:pPr>
              <w:snapToGrid w:val="0"/>
              <w:spacing w:line="400" w:lineRule="exact"/>
              <w:rPr>
                <w:rFonts w:ascii="宋体" w:hAnsi="宋体" w:cs="宋体"/>
                <w:color w:val="auto"/>
                <w:kern w:val="0"/>
                <w:szCs w:val="21"/>
                <w:highlight w:val="none"/>
              </w:rPr>
            </w:pPr>
            <w:r>
              <w:rPr>
                <w:rFonts w:hint="eastAsia" w:ascii="宋体" w:hAnsi="宋体" w:cs="宋体"/>
                <w:color w:val="auto"/>
                <w:kern w:val="0"/>
                <w:szCs w:val="21"/>
                <w:highlight w:val="none"/>
              </w:rPr>
              <w:t>方式一：政采云平台在线讲解演示。政采云平台在线讲解需投标人根据政采云平台操作要求做好准备工作，提前完善软硬件配置环境。</w:t>
            </w:r>
          </w:p>
          <w:p>
            <w:pPr>
              <w:snapToGrid w:val="0"/>
              <w:spacing w:line="400" w:lineRule="exact"/>
              <w:rPr>
                <w:rFonts w:ascii="宋体" w:hAnsi="宋体" w:cs="宋体"/>
                <w:color w:val="auto"/>
                <w:kern w:val="0"/>
                <w:szCs w:val="21"/>
                <w:highlight w:val="none"/>
              </w:rPr>
            </w:pPr>
            <w:r>
              <w:rPr>
                <w:rFonts w:hint="eastAsia" w:ascii="宋体" w:hAnsi="宋体" w:cs="宋体"/>
                <w:color w:val="auto"/>
                <w:kern w:val="0"/>
                <w:szCs w:val="21"/>
                <w:highlight w:val="none"/>
              </w:rPr>
              <w:t>方式二：交易中心现场讲解演示。现场讲解地点为</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，讲解演示所用电脑等设备由投标人自备。现场讲解演示人员进场时提供讲解人员名单（加盖公章或授权代表签名）及身份证明，否则不得讲解演示。</w:t>
            </w:r>
          </w:p>
          <w:p>
            <w:pPr>
              <w:spacing w:line="400" w:lineRule="exact"/>
              <w:rPr>
                <w:rFonts w:ascii="宋体" w:hAnsi="宋体"/>
                <w:color w:val="auto"/>
                <w:szCs w:val="21"/>
                <w:highlight w:val="none"/>
              </w:rPr>
            </w:pPr>
            <w:r>
              <w:rPr>
                <w:rFonts w:hint="eastAsia" w:ascii="宋体" w:hAnsi="宋体" w:cs="宋体"/>
                <w:color w:val="auto"/>
                <w:kern w:val="0"/>
                <w:szCs w:val="21"/>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shd w:val="clear" w:color="auto" w:fill="auto"/>
            <w:vAlign w:val="center"/>
          </w:tcPr>
          <w:p>
            <w:pPr>
              <w:spacing w:line="400" w:lineRule="exact"/>
              <w:jc w:val="center"/>
              <w:rPr>
                <w:rFonts w:ascii="宋体" w:hAnsi="宋体"/>
                <w:color w:val="auto"/>
                <w:szCs w:val="21"/>
                <w:highlight w:val="none"/>
              </w:rPr>
            </w:pPr>
            <w:r>
              <w:rPr>
                <w:rFonts w:hint="eastAsia" w:ascii="宋体" w:hAnsi="宋体"/>
                <w:color w:val="auto"/>
                <w:szCs w:val="21"/>
                <w:highlight w:val="none"/>
              </w:rPr>
              <w:t>8</w:t>
            </w:r>
          </w:p>
        </w:tc>
        <w:tc>
          <w:tcPr>
            <w:tcW w:w="1551" w:type="dxa"/>
            <w:shd w:val="clear" w:color="auto" w:fill="auto"/>
            <w:vAlign w:val="center"/>
          </w:tcPr>
          <w:p>
            <w:pPr>
              <w:spacing w:line="400" w:lineRule="exact"/>
              <w:jc w:val="center"/>
              <w:rPr>
                <w:rFonts w:ascii="宋体" w:hAnsi="宋体"/>
                <w:color w:val="auto"/>
                <w:szCs w:val="21"/>
                <w:highlight w:val="none"/>
              </w:rPr>
            </w:pPr>
            <w:r>
              <w:rPr>
                <w:rFonts w:hint="eastAsia" w:ascii="宋体" w:hAnsi="宋体" w:cs="宋体"/>
                <w:b/>
                <w:color w:val="auto"/>
                <w:szCs w:val="21"/>
                <w:highlight w:val="none"/>
              </w:rPr>
              <w:t>投标人应当提供的资格、资信证明文件</w:t>
            </w:r>
          </w:p>
        </w:tc>
        <w:tc>
          <w:tcPr>
            <w:tcW w:w="6529" w:type="dxa"/>
            <w:shd w:val="clear" w:color="auto" w:fill="auto"/>
          </w:tcPr>
          <w:p>
            <w:pPr>
              <w:snapToGrid w:val="0"/>
              <w:spacing w:line="400" w:lineRule="exact"/>
              <w:rPr>
                <w:rFonts w:ascii="宋体" w:hAnsi="宋体" w:cs="宋体"/>
                <w:color w:val="auto"/>
                <w:kern w:val="0"/>
                <w:szCs w:val="21"/>
                <w:highlight w:val="none"/>
              </w:rPr>
            </w:pPr>
            <w:r>
              <w:rPr>
                <w:rFonts w:hint="eastAsia" w:ascii="宋体" w:hAnsi="宋体" w:cs="宋体"/>
                <w:color w:val="auto"/>
                <w:kern w:val="0"/>
                <w:szCs w:val="21"/>
                <w:highlight w:val="none"/>
              </w:rPr>
              <w:t>（1）资格证明文件：见招标文件第二部分11.1。</w:t>
            </w:r>
          </w:p>
          <w:p>
            <w:pPr>
              <w:snapToGrid w:val="0"/>
              <w:spacing w:line="400" w:lineRule="exact"/>
              <w:rPr>
                <w:rFonts w:ascii="宋体" w:hAnsi="宋体" w:cs="宋体"/>
                <w:color w:val="auto"/>
                <w:kern w:val="0"/>
                <w:szCs w:val="21"/>
                <w:highlight w:val="none"/>
              </w:rPr>
            </w:pPr>
            <w:r>
              <w:rPr>
                <w:rFonts w:hint="eastAsia" w:ascii="宋体" w:hAnsi="宋体" w:cs="宋体"/>
                <w:color w:val="auto"/>
                <w:kern w:val="0"/>
                <w:szCs w:val="21"/>
                <w:highlight w:val="none"/>
              </w:rPr>
              <w:t>投标人未提供有效的资格证明文件的，视为投标人不具备招标文件中规定的资格要求，投标无效。</w:t>
            </w:r>
          </w:p>
          <w:p>
            <w:pPr>
              <w:snapToGrid w:val="0"/>
              <w:spacing w:line="400" w:lineRule="exact"/>
              <w:rPr>
                <w:color w:val="auto"/>
                <w:szCs w:val="21"/>
                <w:highlight w:val="none"/>
              </w:rPr>
            </w:pPr>
            <w:r>
              <w:rPr>
                <w:rFonts w:hint="eastAsia" w:ascii="宋体" w:hAnsi="宋体" w:cs="宋体"/>
                <w:color w:val="auto"/>
                <w:kern w:val="0"/>
                <w:szCs w:val="21"/>
                <w:highlight w:val="none"/>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shd w:val="clear" w:color="auto" w:fill="auto"/>
            <w:vAlign w:val="center"/>
          </w:tcPr>
          <w:p>
            <w:pPr>
              <w:spacing w:line="400" w:lineRule="exact"/>
              <w:jc w:val="center"/>
              <w:rPr>
                <w:rFonts w:ascii="宋体" w:hAnsi="宋体"/>
                <w:color w:val="auto"/>
                <w:szCs w:val="21"/>
                <w:highlight w:val="none"/>
              </w:rPr>
            </w:pPr>
            <w:r>
              <w:rPr>
                <w:rFonts w:hint="eastAsia" w:ascii="宋体" w:hAnsi="宋体"/>
                <w:color w:val="auto"/>
                <w:szCs w:val="21"/>
                <w:highlight w:val="none"/>
              </w:rPr>
              <w:t>9</w:t>
            </w:r>
          </w:p>
        </w:tc>
        <w:tc>
          <w:tcPr>
            <w:tcW w:w="1551" w:type="dxa"/>
            <w:shd w:val="clear" w:color="auto" w:fill="auto"/>
            <w:vAlign w:val="center"/>
          </w:tcPr>
          <w:p>
            <w:pPr>
              <w:spacing w:line="360" w:lineRule="auto"/>
              <w:jc w:val="center"/>
              <w:rPr>
                <w:rFonts w:ascii="宋体" w:hAnsi="宋体"/>
                <w:color w:val="auto"/>
                <w:szCs w:val="21"/>
                <w:highlight w:val="none"/>
              </w:rPr>
            </w:pPr>
            <w:r>
              <w:rPr>
                <w:rFonts w:hint="eastAsia" w:ascii="宋体" w:hAnsi="宋体" w:cs="宋体"/>
                <w:b/>
                <w:color w:val="auto"/>
                <w:szCs w:val="21"/>
                <w:highlight w:val="none"/>
              </w:rPr>
              <w:t>节能产品、环境标志产品</w:t>
            </w:r>
          </w:p>
        </w:tc>
        <w:tc>
          <w:tcPr>
            <w:tcW w:w="6529" w:type="dxa"/>
            <w:shd w:val="clear" w:color="auto" w:fill="auto"/>
          </w:tcPr>
          <w:p>
            <w:pPr>
              <w:snapToGrid w:val="0"/>
              <w:spacing w:line="360" w:lineRule="auto"/>
              <w:rPr>
                <w:rFonts w:ascii="宋体" w:hAnsi="宋体"/>
                <w:color w:val="auto"/>
                <w:szCs w:val="21"/>
                <w:highlight w:val="none"/>
              </w:rPr>
            </w:pPr>
            <w:r>
              <w:rPr>
                <w:rFonts w:hint="eastAsia" w:ascii="宋体" w:hAnsi="宋体" w:cs="宋体"/>
                <w:color w:val="auto"/>
                <w:kern w:val="0"/>
                <w:szCs w:val="21"/>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shd w:val="clear" w:color="auto" w:fill="auto"/>
            <w:vAlign w:val="center"/>
          </w:tcPr>
          <w:p>
            <w:pPr>
              <w:spacing w:line="400" w:lineRule="exact"/>
              <w:jc w:val="center"/>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0</w:t>
            </w:r>
          </w:p>
        </w:tc>
        <w:tc>
          <w:tcPr>
            <w:tcW w:w="1551" w:type="dxa"/>
            <w:shd w:val="clear" w:color="auto" w:fill="auto"/>
            <w:vAlign w:val="center"/>
          </w:tcPr>
          <w:p>
            <w:pPr>
              <w:spacing w:line="360" w:lineRule="auto"/>
              <w:jc w:val="center"/>
              <w:rPr>
                <w:rFonts w:ascii="宋体" w:hAnsi="宋体"/>
                <w:color w:val="auto"/>
                <w:szCs w:val="21"/>
                <w:highlight w:val="none"/>
              </w:rPr>
            </w:pPr>
            <w:r>
              <w:rPr>
                <w:rFonts w:hint="eastAsia" w:ascii="宋体" w:hAnsi="宋体" w:cs="宋体"/>
                <w:b/>
                <w:color w:val="auto"/>
                <w:szCs w:val="21"/>
                <w:highlight w:val="none"/>
              </w:rPr>
              <w:t>报价要求</w:t>
            </w:r>
          </w:p>
        </w:tc>
        <w:tc>
          <w:tcPr>
            <w:tcW w:w="6529" w:type="dxa"/>
            <w:shd w:val="clear" w:color="auto" w:fill="auto"/>
            <w:vAlign w:val="center"/>
          </w:tcPr>
          <w:p>
            <w:pPr>
              <w:snapToGrid w:val="0"/>
              <w:spacing w:line="360" w:lineRule="auto"/>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1、有关本项目实施所需的所有费用（含税费）均计入报价。</w:t>
            </w:r>
          </w:p>
          <w:p>
            <w:pPr>
              <w:snapToGrid w:val="0"/>
              <w:spacing w:line="360" w:lineRule="auto"/>
              <w:jc w:val="left"/>
              <w:rPr>
                <w:rFonts w:ascii="宋体" w:hAnsi="宋体" w:cs="宋体"/>
                <w:b/>
                <w:bCs/>
                <w:color w:val="auto"/>
                <w:szCs w:val="21"/>
                <w:highlight w:val="none"/>
              </w:rPr>
            </w:pPr>
            <w:r>
              <w:rPr>
                <w:rFonts w:hint="eastAsia" w:ascii="宋体" w:hAnsi="宋体" w:cs="宋体"/>
                <w:color w:val="auto"/>
                <w:kern w:val="0"/>
                <w:szCs w:val="21"/>
                <w:highlight w:val="none"/>
                <w:lang w:val="zh-CN"/>
              </w:rPr>
              <w:t>2、</w:t>
            </w:r>
            <w:r>
              <w:rPr>
                <w:rFonts w:hint="eastAsia" w:ascii="宋体" w:hAnsi="宋体" w:cs="宋体"/>
                <w:b/>
                <w:bCs/>
                <w:color w:val="auto"/>
                <w:kern w:val="0"/>
                <w:szCs w:val="21"/>
                <w:highlight w:val="none"/>
                <w:lang w:val="zh-CN"/>
              </w:rPr>
              <w:t>投标文件</w:t>
            </w:r>
            <w:r>
              <w:rPr>
                <w:rFonts w:hint="eastAsia" w:ascii="宋体" w:hAnsi="宋体" w:cs="宋体"/>
                <w:b/>
                <w:bCs/>
                <w:color w:val="auto"/>
                <w:szCs w:val="21"/>
                <w:highlight w:val="none"/>
              </w:rPr>
              <w:t>开标一览表（报价表）是报价的唯一载体，如投标人在政府采购云平台填写的投标报价与投标文件报价文件中开标一览表（报价表）不一致的，以报价文件中开标一览表（报价表）为准。</w:t>
            </w:r>
          </w:p>
          <w:p>
            <w:pPr>
              <w:tabs>
                <w:tab w:val="left" w:pos="647"/>
              </w:tabs>
              <w:spacing w:line="360" w:lineRule="auto"/>
              <w:rPr>
                <w:rFonts w:ascii="宋体" w:hAnsi="宋体" w:cs="宋体"/>
                <w:color w:val="auto"/>
                <w:szCs w:val="21"/>
                <w:highlight w:val="none"/>
              </w:rPr>
            </w:pPr>
            <w:r>
              <w:rPr>
                <w:rFonts w:hint="eastAsia" w:ascii="宋体" w:hAnsi="宋体" w:cs="宋体"/>
                <w:color w:val="auto"/>
                <w:szCs w:val="21"/>
                <w:highlight w:val="none"/>
              </w:rPr>
              <w:t>3、本项目投标报价是履行合同的最终价格，包括但不限于完成本项目的全部内容：设备、施工、基础、主材、辅材、预埋件、运输、安装、管理、维护、保险、利润、税金政策性文件规定及合同包含的所有风险、责任等各项应有费用。</w:t>
            </w:r>
          </w:p>
          <w:p>
            <w:pPr>
              <w:tabs>
                <w:tab w:val="left" w:pos="647"/>
              </w:tabs>
              <w:spacing w:line="360" w:lineRule="auto"/>
              <w:rPr>
                <w:rFonts w:ascii="宋体" w:hAnsi="宋体" w:cs="宋体"/>
                <w:color w:val="auto"/>
                <w:szCs w:val="21"/>
                <w:highlight w:val="none"/>
                <w:lang w:val="zh-CN"/>
              </w:rPr>
            </w:pPr>
            <w:r>
              <w:rPr>
                <w:rFonts w:hint="eastAsia" w:ascii="宋体" w:hAnsi="宋体" w:cs="宋体"/>
                <w:color w:val="auto"/>
                <w:szCs w:val="21"/>
                <w:highlight w:val="none"/>
              </w:rPr>
              <w:t>4、</w:t>
            </w:r>
            <w:r>
              <w:rPr>
                <w:rFonts w:hint="eastAsia" w:ascii="宋体" w:hAnsi="宋体" w:cs="宋体"/>
                <w:color w:val="auto"/>
                <w:szCs w:val="21"/>
                <w:highlight w:val="none"/>
                <w:lang w:val="zh-CN"/>
              </w:rPr>
              <w:t>投标报价出现下列情形的，投标无效：</w:t>
            </w:r>
          </w:p>
          <w:p>
            <w:pPr>
              <w:tabs>
                <w:tab w:val="left" w:pos="647"/>
              </w:tabs>
              <w:spacing w:line="360" w:lineRule="auto"/>
              <w:rPr>
                <w:rFonts w:ascii="宋体" w:hAnsi="宋体" w:cs="宋体"/>
                <w:color w:val="auto"/>
                <w:szCs w:val="21"/>
                <w:highlight w:val="none"/>
                <w:lang w:val="zh-CN"/>
              </w:rPr>
            </w:pPr>
            <w:r>
              <w:rPr>
                <w:rFonts w:hint="eastAsia" w:ascii="宋体" w:hAnsi="宋体" w:cs="宋体"/>
                <w:color w:val="auto"/>
                <w:szCs w:val="21"/>
                <w:highlight w:val="none"/>
                <w:lang w:val="zh-CN"/>
              </w:rPr>
              <w:t>（1）投标文件出现不是唯一的、有选择性投标报价的；</w:t>
            </w:r>
          </w:p>
          <w:p>
            <w:pPr>
              <w:tabs>
                <w:tab w:val="left" w:pos="647"/>
              </w:tabs>
              <w:spacing w:line="360" w:lineRule="auto"/>
              <w:rPr>
                <w:rFonts w:ascii="宋体" w:hAnsi="宋体" w:cs="宋体"/>
                <w:color w:val="auto"/>
                <w:szCs w:val="21"/>
                <w:highlight w:val="none"/>
                <w:lang w:val="zh-CN"/>
              </w:rPr>
            </w:pPr>
            <w:r>
              <w:rPr>
                <w:rFonts w:hint="eastAsia" w:ascii="宋体" w:hAnsi="宋体" w:cs="宋体"/>
                <w:color w:val="auto"/>
                <w:szCs w:val="21"/>
                <w:highlight w:val="none"/>
                <w:lang w:val="zh-CN"/>
              </w:rPr>
              <w:t>（2）投标报价超过招标文件中规定的</w:t>
            </w:r>
            <w:r>
              <w:rPr>
                <w:rFonts w:hint="eastAsia" w:ascii="宋体" w:hAnsi="宋体" w:cs="宋体"/>
                <w:color w:val="auto"/>
                <w:szCs w:val="21"/>
                <w:highlight w:val="none"/>
                <w:lang w:val="en-US" w:eastAsia="zh-CN"/>
              </w:rPr>
              <w:t>最高限价</w:t>
            </w:r>
            <w:r>
              <w:rPr>
                <w:rFonts w:hint="eastAsia" w:ascii="宋体" w:hAnsi="宋体" w:cs="宋体"/>
                <w:color w:val="auto"/>
                <w:szCs w:val="21"/>
                <w:highlight w:val="none"/>
                <w:lang w:val="zh-CN"/>
              </w:rPr>
              <w:t>的；</w:t>
            </w:r>
          </w:p>
          <w:p>
            <w:pPr>
              <w:tabs>
                <w:tab w:val="left" w:pos="647"/>
              </w:tabs>
              <w:spacing w:line="360" w:lineRule="auto"/>
              <w:rPr>
                <w:rFonts w:ascii="宋体" w:hAnsi="宋体" w:cs="宋体"/>
                <w:color w:val="auto"/>
                <w:szCs w:val="21"/>
                <w:highlight w:val="none"/>
              </w:rPr>
            </w:pPr>
            <w:r>
              <w:rPr>
                <w:rFonts w:hint="eastAsia" w:ascii="宋体" w:hAnsi="宋体" w:cs="宋体"/>
                <w:color w:val="auto"/>
                <w:szCs w:val="21"/>
                <w:highlight w:val="none"/>
              </w:rPr>
              <w:t>（3）报价明显低于其他通过符合性审查投标人的报价，有可能影响产品质量或者不能诚信履约的，未能按要求提供书面说明或者提交相关证明材料证明其报价合理性的；</w:t>
            </w:r>
          </w:p>
          <w:p>
            <w:pPr>
              <w:tabs>
                <w:tab w:val="left" w:pos="647"/>
              </w:tabs>
              <w:spacing w:line="360" w:lineRule="auto"/>
              <w:rPr>
                <w:rFonts w:ascii="宋体" w:hAnsi="宋体" w:cs="宋体"/>
                <w:color w:val="auto"/>
                <w:szCs w:val="21"/>
                <w:highlight w:val="none"/>
              </w:rPr>
            </w:pPr>
            <w:r>
              <w:rPr>
                <w:rFonts w:hint="eastAsia" w:ascii="宋体" w:hAnsi="宋体" w:cs="宋体"/>
                <w:color w:val="auto"/>
                <w:szCs w:val="21"/>
                <w:highlight w:val="none"/>
              </w:rPr>
              <w:t>（4）投标人对根据修正原则修正后的报价不确认的。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shd w:val="clear" w:color="auto" w:fill="auto"/>
            <w:vAlign w:val="center"/>
          </w:tcPr>
          <w:p>
            <w:pPr>
              <w:spacing w:line="400" w:lineRule="exact"/>
              <w:jc w:val="center"/>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1</w:t>
            </w:r>
          </w:p>
        </w:tc>
        <w:tc>
          <w:tcPr>
            <w:tcW w:w="1551" w:type="dxa"/>
            <w:shd w:val="clear" w:color="auto" w:fill="auto"/>
            <w:vAlign w:val="center"/>
          </w:tcPr>
          <w:p>
            <w:pPr>
              <w:snapToGrid w:val="0"/>
              <w:spacing w:line="400" w:lineRule="exact"/>
              <w:jc w:val="center"/>
              <w:rPr>
                <w:rFonts w:ascii="宋体" w:hAnsi="宋体" w:cs="宋体"/>
                <w:b/>
                <w:color w:val="auto"/>
                <w:szCs w:val="21"/>
                <w:highlight w:val="none"/>
              </w:rPr>
            </w:pPr>
            <w:r>
              <w:rPr>
                <w:rFonts w:hint="eastAsia" w:ascii="宋体" w:hAnsi="宋体" w:cs="宋体"/>
                <w:b/>
                <w:color w:val="auto"/>
                <w:szCs w:val="21"/>
                <w:highlight w:val="none"/>
              </w:rPr>
              <w:t>中小企业信用融资</w:t>
            </w:r>
          </w:p>
        </w:tc>
        <w:tc>
          <w:tcPr>
            <w:tcW w:w="6529" w:type="dxa"/>
            <w:shd w:val="clear" w:color="auto" w:fill="auto"/>
            <w:vAlign w:val="center"/>
          </w:tcPr>
          <w:p>
            <w:pPr>
              <w:spacing w:line="400" w:lineRule="exact"/>
              <w:rPr>
                <w:rFonts w:ascii="宋体" w:hAnsi="宋体" w:cs="宋体"/>
                <w:color w:val="auto"/>
                <w:szCs w:val="21"/>
                <w:highlight w:val="none"/>
              </w:rPr>
            </w:pPr>
            <w:r>
              <w:rPr>
                <w:rFonts w:hint="eastAsia" w:ascii="宋体" w:hAnsi="宋体" w:cs="宋体"/>
                <w:snapToGrid w:val="0"/>
                <w:color w:val="auto"/>
                <w:kern w:val="28"/>
                <w:szCs w:val="21"/>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shd w:val="clear" w:color="auto" w:fill="auto"/>
            <w:vAlign w:val="center"/>
          </w:tcPr>
          <w:p>
            <w:pPr>
              <w:spacing w:line="400" w:lineRule="exact"/>
              <w:jc w:val="center"/>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2</w:t>
            </w:r>
          </w:p>
        </w:tc>
        <w:tc>
          <w:tcPr>
            <w:tcW w:w="1551" w:type="dxa"/>
            <w:shd w:val="clear" w:color="auto" w:fill="auto"/>
            <w:vAlign w:val="center"/>
          </w:tcPr>
          <w:p>
            <w:pPr>
              <w:snapToGrid w:val="0"/>
              <w:spacing w:line="400" w:lineRule="exact"/>
              <w:jc w:val="center"/>
              <w:rPr>
                <w:rFonts w:ascii="宋体" w:hAnsi="宋体" w:cs="宋体"/>
                <w:b/>
                <w:color w:val="auto"/>
                <w:szCs w:val="21"/>
                <w:highlight w:val="none"/>
              </w:rPr>
            </w:pPr>
            <w:r>
              <w:rPr>
                <w:rFonts w:hint="eastAsia" w:ascii="宋体" w:hAnsi="宋体" w:cs="宋体"/>
                <w:b/>
                <w:color w:val="auto"/>
                <w:szCs w:val="21"/>
                <w:highlight w:val="none"/>
              </w:rPr>
              <w:t xml:space="preserve">备份投标文件送达地点和签收人员 </w:t>
            </w:r>
          </w:p>
        </w:tc>
        <w:tc>
          <w:tcPr>
            <w:tcW w:w="6529" w:type="dxa"/>
            <w:shd w:val="clear" w:color="auto" w:fill="auto"/>
            <w:vAlign w:val="center"/>
          </w:tcPr>
          <w:p>
            <w:pPr>
              <w:spacing w:line="400" w:lineRule="exact"/>
              <w:rPr>
                <w:rFonts w:ascii="宋体" w:hAnsi="宋体" w:cs="宋体"/>
                <w:snapToGrid w:val="0"/>
                <w:color w:val="auto"/>
                <w:kern w:val="28"/>
                <w:szCs w:val="21"/>
                <w:highlight w:val="none"/>
              </w:rPr>
            </w:pPr>
            <w:r>
              <w:rPr>
                <w:rFonts w:hint="eastAsia" w:ascii="宋体" w:hAnsi="宋体" w:cs="宋体"/>
                <w:snapToGrid w:val="0"/>
                <w:color w:val="auto"/>
                <w:kern w:val="28"/>
                <w:szCs w:val="21"/>
                <w:highlight w:val="none"/>
              </w:rPr>
              <w:t>投标人若需要递交备份投标文件的可按照以下要求进行递交：</w:t>
            </w:r>
          </w:p>
          <w:p>
            <w:pPr>
              <w:spacing w:line="400" w:lineRule="exact"/>
              <w:rPr>
                <w:rFonts w:ascii="宋体" w:hAnsi="宋体" w:cs="宋体"/>
                <w:snapToGrid w:val="0"/>
                <w:color w:val="auto"/>
                <w:kern w:val="28"/>
                <w:szCs w:val="21"/>
                <w:highlight w:val="none"/>
              </w:rPr>
            </w:pPr>
            <w:r>
              <w:rPr>
                <w:rFonts w:hint="eastAsia" w:ascii="宋体" w:hAnsi="宋体" w:cs="宋体"/>
                <w:snapToGrid w:val="0"/>
                <w:color w:val="auto"/>
                <w:kern w:val="28"/>
                <w:szCs w:val="21"/>
                <w:highlight w:val="none"/>
              </w:rPr>
              <w:t>①采用邮寄方式提交电子备份投标文件，需按以下要求递交：</w:t>
            </w:r>
          </w:p>
          <w:p>
            <w:pPr>
              <w:spacing w:line="400" w:lineRule="exact"/>
              <w:rPr>
                <w:rFonts w:ascii="宋体" w:hAnsi="宋体" w:cs="宋体"/>
                <w:snapToGrid w:val="0"/>
                <w:color w:val="auto"/>
                <w:kern w:val="28"/>
                <w:szCs w:val="21"/>
                <w:highlight w:val="none"/>
              </w:rPr>
            </w:pPr>
            <w:r>
              <w:rPr>
                <w:rFonts w:hint="eastAsia" w:ascii="宋体" w:hAnsi="宋体" w:cs="宋体"/>
                <w:snapToGrid w:val="0"/>
                <w:color w:val="auto"/>
                <w:kern w:val="28"/>
                <w:szCs w:val="21"/>
                <w:highlight w:val="none"/>
              </w:rPr>
              <w:t>供应商须在投标截止时间前一个工作日前将电子备份投标文件邮寄至规定地点，由招标代理工作人员进行签收。各供应商自行考虑邮寄在途时间，邮寄过程中无论何种因素导致备份投标文件未按时递交的后果，均由供应商自行负责。备份投标文件递交时间以招标代理实际收到投标文件的时间为准。迟到的电子备份投标文件将被拒收。请各供应商确保密封包装在邮寄过程密封包装完好，并在邮寄包裹上注明项目名称，因邮寄过程的密封破损造成不符合开标要求的，本招标代理及招标人概不负责。</w:t>
            </w:r>
          </w:p>
          <w:p>
            <w:pPr>
              <w:spacing w:line="400" w:lineRule="exact"/>
              <w:rPr>
                <w:rFonts w:ascii="宋体" w:hAnsi="宋体" w:cs="宋体"/>
                <w:snapToGrid w:val="0"/>
                <w:color w:val="auto"/>
                <w:kern w:val="28"/>
                <w:szCs w:val="21"/>
                <w:highlight w:val="none"/>
              </w:rPr>
            </w:pPr>
            <w:r>
              <w:rPr>
                <w:rFonts w:hint="eastAsia" w:ascii="宋体" w:hAnsi="宋体" w:cs="宋体"/>
                <w:snapToGrid w:val="0"/>
                <w:color w:val="auto"/>
                <w:kern w:val="28"/>
                <w:szCs w:val="21"/>
                <w:highlight w:val="none"/>
              </w:rPr>
              <w:t>电子备份投标文件邮寄地址为：宁波市鄞州区天童南路666号中基大厦19楼。</w:t>
            </w:r>
          </w:p>
          <w:p>
            <w:pPr>
              <w:spacing w:line="400" w:lineRule="exact"/>
              <w:rPr>
                <w:rFonts w:ascii="宋体" w:hAnsi="宋体" w:cs="宋体"/>
                <w:snapToGrid w:val="0"/>
                <w:color w:val="auto"/>
                <w:kern w:val="28"/>
                <w:szCs w:val="21"/>
                <w:highlight w:val="none"/>
              </w:rPr>
            </w:pPr>
            <w:r>
              <w:rPr>
                <w:rFonts w:hint="eastAsia" w:ascii="宋体" w:hAnsi="宋体" w:cs="宋体"/>
                <w:snapToGrid w:val="0"/>
                <w:color w:val="auto"/>
                <w:kern w:val="28"/>
                <w:szCs w:val="21"/>
                <w:highlight w:val="none"/>
              </w:rPr>
              <w:t>收件人：</w:t>
            </w:r>
            <w:r>
              <w:rPr>
                <w:rFonts w:hint="eastAsia" w:ascii="宋体" w:hAnsi="宋体" w:cs="宋体"/>
                <w:snapToGrid w:val="0"/>
                <w:color w:val="auto"/>
                <w:kern w:val="28"/>
                <w:szCs w:val="21"/>
                <w:highlight w:val="none"/>
                <w:lang w:val="en-US" w:eastAsia="zh-CN"/>
              </w:rPr>
              <w:t>史维</w:t>
            </w:r>
            <w:r>
              <w:rPr>
                <w:rFonts w:hint="eastAsia" w:ascii="宋体" w:hAnsi="宋体" w:cs="宋体"/>
                <w:snapToGrid w:val="0"/>
                <w:color w:val="auto"/>
                <w:kern w:val="28"/>
                <w:szCs w:val="21"/>
                <w:highlight w:val="none"/>
              </w:rPr>
              <w:t>，联系方式：0574-87425</w:t>
            </w:r>
            <w:r>
              <w:rPr>
                <w:rFonts w:hint="eastAsia" w:ascii="宋体" w:hAnsi="宋体" w:cs="宋体"/>
                <w:snapToGrid w:val="0"/>
                <w:color w:val="auto"/>
                <w:kern w:val="28"/>
                <w:szCs w:val="21"/>
                <w:highlight w:val="none"/>
                <w:lang w:val="en-US" w:eastAsia="zh-CN"/>
              </w:rPr>
              <w:t>467</w:t>
            </w:r>
            <w:r>
              <w:rPr>
                <w:rFonts w:hint="eastAsia" w:ascii="宋体" w:hAnsi="宋体" w:cs="宋体"/>
                <w:snapToGrid w:val="0"/>
                <w:color w:val="auto"/>
                <w:kern w:val="28"/>
                <w:szCs w:val="21"/>
                <w:highlight w:val="none"/>
              </w:rPr>
              <w:t>。</w:t>
            </w:r>
          </w:p>
          <w:p>
            <w:pPr>
              <w:spacing w:line="400" w:lineRule="exact"/>
              <w:rPr>
                <w:rFonts w:ascii="宋体" w:hAnsi="宋体" w:cs="宋体"/>
                <w:snapToGrid w:val="0"/>
                <w:color w:val="auto"/>
                <w:kern w:val="28"/>
                <w:szCs w:val="21"/>
                <w:highlight w:val="none"/>
              </w:rPr>
            </w:pPr>
            <w:r>
              <w:rPr>
                <w:rFonts w:hint="eastAsia" w:ascii="宋体" w:hAnsi="宋体" w:cs="宋体"/>
                <w:snapToGrid w:val="0"/>
                <w:color w:val="auto"/>
                <w:kern w:val="28"/>
                <w:szCs w:val="21"/>
                <w:highlight w:val="none"/>
              </w:rPr>
              <w:t>②采用</w:t>
            </w:r>
            <w:r>
              <w:rPr>
                <w:rFonts w:hint="eastAsia"/>
                <w:color w:val="auto"/>
                <w:highlight w:val="none"/>
              </w:rPr>
              <w:t>直接</w:t>
            </w:r>
            <w:r>
              <w:rPr>
                <w:rFonts w:hint="eastAsia" w:ascii="宋体" w:hAnsi="宋体" w:cs="宋体"/>
                <w:snapToGrid w:val="0"/>
                <w:color w:val="auto"/>
                <w:kern w:val="28"/>
                <w:szCs w:val="21"/>
                <w:highlight w:val="none"/>
              </w:rPr>
              <w:t xml:space="preserve">递交方式递交备份电子投标文件，在投标当天投标截止时间前投标人员进入开标现场[中基招标会议中心（宁波市鄞州区天童南路666号中基大厦1楼）开标室]递交备份投标文件。     </w:t>
            </w:r>
          </w:p>
          <w:p>
            <w:pPr>
              <w:spacing w:line="400" w:lineRule="exact"/>
              <w:rPr>
                <w:rFonts w:ascii="宋体" w:hAnsi="宋体"/>
                <w:color w:val="auto"/>
                <w:szCs w:val="21"/>
                <w:highlight w:val="none"/>
              </w:rPr>
            </w:pPr>
            <w:r>
              <w:rPr>
                <w:rFonts w:hint="eastAsia" w:ascii="宋体" w:hAnsi="宋体" w:cs="宋体"/>
                <w:b/>
                <w:bCs/>
                <w:snapToGrid w:val="0"/>
                <w:color w:val="auto"/>
                <w:kern w:val="28"/>
                <w:szCs w:val="21"/>
                <w:highlight w:val="none"/>
              </w:rPr>
              <w:t>采购人、采购代理机构不强制投标人提交备份投标文件。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restart"/>
            <w:shd w:val="clear" w:color="auto" w:fill="auto"/>
            <w:vAlign w:val="center"/>
          </w:tcPr>
          <w:p>
            <w:pPr>
              <w:spacing w:line="400" w:lineRule="exact"/>
              <w:jc w:val="center"/>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3</w:t>
            </w:r>
          </w:p>
        </w:tc>
        <w:tc>
          <w:tcPr>
            <w:tcW w:w="1551" w:type="dxa"/>
            <w:vMerge w:val="restart"/>
            <w:shd w:val="clear" w:color="auto" w:fill="auto"/>
            <w:vAlign w:val="center"/>
          </w:tcPr>
          <w:p>
            <w:pPr>
              <w:snapToGrid w:val="0"/>
              <w:spacing w:line="400" w:lineRule="exact"/>
              <w:jc w:val="center"/>
              <w:rPr>
                <w:rFonts w:ascii="宋体" w:hAnsi="宋体" w:cs="宋体"/>
                <w:b/>
                <w:color w:val="auto"/>
                <w:szCs w:val="21"/>
                <w:highlight w:val="none"/>
              </w:rPr>
            </w:pPr>
            <w:r>
              <w:rPr>
                <w:rFonts w:hint="eastAsia" w:ascii="宋体" w:hAnsi="宋体" w:cs="仿宋_GB2312"/>
                <w:b/>
                <w:color w:val="auto"/>
                <w:szCs w:val="21"/>
                <w:highlight w:val="none"/>
              </w:rPr>
              <w:t>特别说明</w:t>
            </w:r>
          </w:p>
        </w:tc>
        <w:tc>
          <w:tcPr>
            <w:tcW w:w="6529" w:type="dxa"/>
            <w:shd w:val="clear" w:color="auto" w:fill="auto"/>
            <w:vAlign w:val="center"/>
          </w:tcPr>
          <w:p>
            <w:pPr>
              <w:spacing w:line="400" w:lineRule="exact"/>
              <w:rPr>
                <w:rFonts w:ascii="宋体" w:hAnsi="宋体" w:cs="宋体"/>
                <w:snapToGrid w:val="0"/>
                <w:color w:val="auto"/>
                <w:kern w:val="28"/>
                <w:szCs w:val="21"/>
                <w:highlight w:val="none"/>
              </w:rPr>
            </w:pPr>
            <w:r>
              <w:rPr>
                <w:rFonts w:hint="eastAsia" w:ascii="宋体" w:hAnsi="宋体" w:cs="宋体"/>
                <w:snapToGrid w:val="0"/>
                <w:color w:val="auto"/>
                <w:kern w:val="28"/>
                <w:szCs w:val="21"/>
                <w:highlight w:val="none"/>
              </w:rPr>
              <w:t>联合体投标的，联合体各方分别提供与联合体协议中规定的分工内容相应的业绩证明材料，业绩数量以提供材料较少的一方为准。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shd w:val="clear" w:color="auto" w:fill="auto"/>
            <w:vAlign w:val="center"/>
          </w:tcPr>
          <w:p>
            <w:pPr>
              <w:spacing w:line="400" w:lineRule="exact"/>
              <w:jc w:val="center"/>
              <w:rPr>
                <w:rFonts w:ascii="宋体" w:hAnsi="宋体"/>
                <w:color w:val="auto"/>
                <w:szCs w:val="21"/>
                <w:highlight w:val="none"/>
              </w:rPr>
            </w:pPr>
          </w:p>
        </w:tc>
        <w:tc>
          <w:tcPr>
            <w:tcW w:w="1551" w:type="dxa"/>
            <w:vMerge w:val="continue"/>
            <w:shd w:val="clear" w:color="auto" w:fill="auto"/>
            <w:vAlign w:val="center"/>
          </w:tcPr>
          <w:p>
            <w:pPr>
              <w:snapToGrid w:val="0"/>
              <w:spacing w:line="400" w:lineRule="exact"/>
              <w:jc w:val="center"/>
              <w:rPr>
                <w:rFonts w:ascii="宋体" w:hAnsi="宋体" w:cs="宋体"/>
                <w:b/>
                <w:color w:val="auto"/>
                <w:szCs w:val="21"/>
                <w:highlight w:val="none"/>
              </w:rPr>
            </w:pPr>
          </w:p>
        </w:tc>
        <w:tc>
          <w:tcPr>
            <w:tcW w:w="6529" w:type="dxa"/>
            <w:shd w:val="clear" w:color="auto" w:fill="auto"/>
            <w:vAlign w:val="center"/>
          </w:tcPr>
          <w:p>
            <w:pPr>
              <w:spacing w:line="400" w:lineRule="exact"/>
              <w:rPr>
                <w:rFonts w:ascii="宋体" w:hAnsi="宋体" w:cs="宋体"/>
                <w:snapToGrid w:val="0"/>
                <w:color w:val="auto"/>
                <w:kern w:val="28"/>
                <w:szCs w:val="21"/>
                <w:highlight w:val="none"/>
              </w:rPr>
            </w:pPr>
            <w:sdt>
              <w:sdtPr>
                <w:rPr>
                  <w:rFonts w:hint="eastAsia" w:ascii="宋体" w:hAnsi="宋体" w:cs="宋体"/>
                  <w:color w:val="auto"/>
                  <w:kern w:val="0"/>
                  <w:szCs w:val="21"/>
                  <w:highlight w:val="none"/>
                </w:rPr>
                <w:id w:val="108333410"/>
                <w14:checkbox>
                  <w14:checked w14:val="1"/>
                  <w14:checkedState w14:val="00FE" w14:font="Wingdings"/>
                  <w14:uncheckedState w14:val="2610" w14:font="MS Gothic"/>
                </w14:checkbox>
              </w:sdtPr>
              <w:sdtEndPr>
                <w:rPr>
                  <w:rFonts w:hint="eastAsia" w:ascii="宋体" w:hAnsi="宋体" w:cs="宋体"/>
                  <w:color w:val="auto"/>
                  <w:kern w:val="0"/>
                  <w:szCs w:val="21"/>
                  <w:highlight w:val="none"/>
                </w:rPr>
              </w:sdtEndPr>
              <w:sdtContent>
                <w:r>
                  <w:rPr>
                    <w:rFonts w:ascii="Wingdings" w:hAnsi="Wingdings" w:cs="Segoe UI Symbol"/>
                    <w:color w:val="auto"/>
                    <w:kern w:val="0"/>
                    <w:szCs w:val="21"/>
                    <w:highlight w:val="none"/>
                  </w:rPr>
                  <w:t></w:t>
                </w:r>
              </w:sdtContent>
            </w:sdt>
            <w:r>
              <w:rPr>
                <w:rFonts w:hint="eastAsia" w:ascii="宋体" w:hAnsi="宋体" w:cs="宋体"/>
                <w:snapToGrid w:val="0"/>
                <w:color w:val="auto"/>
                <w:kern w:val="28"/>
                <w:szCs w:val="21"/>
                <w:highlight w:val="none"/>
              </w:rPr>
              <w:t>联合体投标的，联合体各方均需按招标文件第四部分评标标准要求提供资信证明文件，否则视为不符合相关要求。</w:t>
            </w:r>
          </w:p>
          <w:p>
            <w:pPr>
              <w:spacing w:line="400" w:lineRule="exact"/>
              <w:rPr>
                <w:rFonts w:ascii="宋体" w:hAnsi="宋体" w:cs="宋体"/>
                <w:snapToGrid w:val="0"/>
                <w:color w:val="auto"/>
                <w:kern w:val="28"/>
                <w:szCs w:val="21"/>
                <w:highlight w:val="none"/>
              </w:rPr>
            </w:pPr>
            <w:sdt>
              <w:sdtPr>
                <w:rPr>
                  <w:rFonts w:hint="eastAsia" w:ascii="宋体" w:hAnsi="宋体" w:cs="宋体"/>
                  <w:color w:val="auto"/>
                  <w:kern w:val="0"/>
                  <w:szCs w:val="21"/>
                  <w:highlight w:val="none"/>
                </w:rPr>
                <w:id w:val="-1445068260"/>
                <w14:checkbox>
                  <w14:checked w14:val="0"/>
                  <w14:checkedState w14:val="00FE" w14:font="Wingdings"/>
                  <w14:uncheckedState w14:val="2610" w14:font="MS Gothic"/>
                </w14:checkbox>
              </w:sdtPr>
              <w:sdtEndPr>
                <w:rPr>
                  <w:rFonts w:hint="eastAsia" w:ascii="宋体" w:hAnsi="宋体" w:cs="宋体"/>
                  <w:color w:val="auto"/>
                  <w:kern w:val="0"/>
                  <w:szCs w:val="21"/>
                  <w:highlight w:val="none"/>
                </w:rPr>
              </w:sdtEndPr>
              <w:sdtContent>
                <w:r>
                  <w:rPr>
                    <w:rFonts w:ascii="MS Gothic" w:hAnsi="MS Gothic" w:cs="Segoe UI Symbol"/>
                    <w:color w:val="auto"/>
                    <w:kern w:val="0"/>
                    <w:szCs w:val="21"/>
                    <w:highlight w:val="none"/>
                  </w:rPr>
                  <w:t>☐</w:t>
                </w:r>
              </w:sdtContent>
            </w:sdt>
            <w:r>
              <w:rPr>
                <w:rFonts w:hint="eastAsia" w:ascii="宋体" w:hAnsi="宋体" w:cs="宋体"/>
                <w:snapToGrid w:val="0"/>
                <w:color w:val="auto"/>
                <w:kern w:val="28"/>
                <w:szCs w:val="21"/>
                <w:highlight w:val="none"/>
              </w:rPr>
              <w:t>联合体投标的，联合体中有一方或者联合体成员根据分工按招标文件第四部分评标标准要求提供资信证明文件的，视为符合了相关要求。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shd w:val="clear" w:color="auto" w:fill="auto"/>
            <w:vAlign w:val="center"/>
          </w:tcPr>
          <w:p>
            <w:pPr>
              <w:spacing w:line="400" w:lineRule="exact"/>
              <w:jc w:val="center"/>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4</w:t>
            </w:r>
          </w:p>
        </w:tc>
        <w:tc>
          <w:tcPr>
            <w:tcW w:w="1551" w:type="dxa"/>
            <w:shd w:val="clear" w:color="auto" w:fill="auto"/>
            <w:vAlign w:val="center"/>
          </w:tcPr>
          <w:p>
            <w:pPr>
              <w:snapToGrid w:val="0"/>
              <w:spacing w:line="400" w:lineRule="exact"/>
              <w:jc w:val="center"/>
              <w:rPr>
                <w:rFonts w:ascii="宋体" w:hAnsi="宋体" w:cs="宋体"/>
                <w:b/>
                <w:color w:val="auto"/>
                <w:szCs w:val="21"/>
                <w:highlight w:val="none"/>
              </w:rPr>
            </w:pPr>
            <w:r>
              <w:rPr>
                <w:rFonts w:hint="eastAsia" w:ascii="宋体" w:hAnsi="宋体" w:cs="宋体"/>
                <w:b/>
                <w:color w:val="auto"/>
                <w:szCs w:val="21"/>
                <w:highlight w:val="none"/>
              </w:rPr>
              <w:t>采购代理服务费</w:t>
            </w:r>
          </w:p>
        </w:tc>
        <w:tc>
          <w:tcPr>
            <w:tcW w:w="6529" w:type="dxa"/>
            <w:shd w:val="clear" w:color="auto" w:fill="auto"/>
            <w:vAlign w:val="center"/>
          </w:tcPr>
          <w:p>
            <w:pPr>
              <w:spacing w:line="400" w:lineRule="exact"/>
              <w:rPr>
                <w:rFonts w:ascii="宋体" w:hAnsi="宋体" w:cs="宋体"/>
                <w:snapToGrid w:val="0"/>
                <w:color w:val="auto"/>
                <w:kern w:val="28"/>
                <w:szCs w:val="21"/>
                <w:highlight w:val="none"/>
              </w:rPr>
            </w:pPr>
            <w:r>
              <w:rPr>
                <w:rFonts w:hint="eastAsia" w:ascii="宋体" w:hAnsi="宋体" w:cs="宋体"/>
                <w:snapToGrid w:val="0"/>
                <w:color w:val="auto"/>
                <w:kern w:val="28"/>
                <w:szCs w:val="21"/>
                <w:highlight w:val="none"/>
              </w:rPr>
              <w:t>（1）收取方式：供应商应当自中标结果公告发布之日起5个工作日内一次性向采购代理机构支付代理服务费。</w:t>
            </w:r>
          </w:p>
          <w:p>
            <w:pPr>
              <w:spacing w:line="400" w:lineRule="exact"/>
              <w:rPr>
                <w:rFonts w:ascii="宋体" w:hAnsi="宋体" w:cs="宋体"/>
                <w:snapToGrid w:val="0"/>
                <w:color w:val="auto"/>
                <w:kern w:val="28"/>
                <w:szCs w:val="21"/>
                <w:highlight w:val="none"/>
              </w:rPr>
            </w:pPr>
            <w:r>
              <w:rPr>
                <w:rFonts w:hint="eastAsia" w:ascii="宋体" w:hAnsi="宋体" w:cs="宋体"/>
                <w:snapToGrid w:val="0"/>
                <w:color w:val="auto"/>
                <w:kern w:val="28"/>
                <w:szCs w:val="21"/>
                <w:highlight w:val="none"/>
              </w:rPr>
              <w:t>（2）采购代理服务费用收取标准：本项目采购代理服务费用参照《招标代理服务收费管理暂行办法》(计价格【2002】1980号)的规定，以预算金额为计费基数，按服务费率差额定律累进计取。</w:t>
            </w:r>
          </w:p>
          <w:p>
            <w:pPr>
              <w:spacing w:line="400" w:lineRule="exact"/>
              <w:rPr>
                <w:rFonts w:ascii="宋体" w:hAnsi="宋体" w:cs="宋体"/>
                <w:snapToGrid w:val="0"/>
                <w:color w:val="auto"/>
                <w:kern w:val="28"/>
                <w:szCs w:val="21"/>
                <w:highlight w:val="none"/>
              </w:rPr>
            </w:pPr>
            <w:r>
              <w:rPr>
                <w:rFonts w:hint="eastAsia" w:ascii="宋体" w:hAnsi="宋体" w:cs="宋体"/>
                <w:snapToGrid w:val="0"/>
                <w:color w:val="auto"/>
                <w:kern w:val="28"/>
                <w:szCs w:val="21"/>
                <w:highlight w:val="none"/>
              </w:rPr>
              <w:t>（3）支付形式及账号：</w:t>
            </w:r>
          </w:p>
          <w:p>
            <w:pPr>
              <w:spacing w:line="400" w:lineRule="exact"/>
              <w:rPr>
                <w:rFonts w:ascii="宋体" w:hAnsi="宋体" w:cs="宋体"/>
                <w:snapToGrid w:val="0"/>
                <w:color w:val="auto"/>
                <w:kern w:val="28"/>
                <w:szCs w:val="21"/>
                <w:highlight w:val="none"/>
              </w:rPr>
            </w:pPr>
            <w:r>
              <w:rPr>
                <w:rFonts w:hint="eastAsia" w:ascii="宋体" w:hAnsi="宋体" w:cs="宋体"/>
                <w:snapToGrid w:val="0"/>
                <w:color w:val="auto"/>
                <w:kern w:val="28"/>
                <w:szCs w:val="21"/>
                <w:highlight w:val="none"/>
              </w:rPr>
              <w:t>① 代理服务费缴纳形式：汇票/电汇/现金</w:t>
            </w:r>
          </w:p>
          <w:p>
            <w:pPr>
              <w:spacing w:line="400" w:lineRule="exact"/>
              <w:rPr>
                <w:rFonts w:ascii="宋体" w:hAnsi="宋体" w:cs="宋体"/>
                <w:snapToGrid w:val="0"/>
                <w:color w:val="auto"/>
                <w:kern w:val="28"/>
                <w:szCs w:val="21"/>
                <w:highlight w:val="none"/>
              </w:rPr>
            </w:pPr>
            <w:r>
              <w:rPr>
                <w:rFonts w:hint="eastAsia" w:ascii="宋体" w:hAnsi="宋体" w:cs="宋体"/>
                <w:snapToGrid w:val="0"/>
                <w:color w:val="auto"/>
                <w:kern w:val="28"/>
                <w:szCs w:val="21"/>
                <w:highlight w:val="none"/>
              </w:rPr>
              <w:t>② 代理服务费汇入以下账户 ：</w:t>
            </w:r>
          </w:p>
          <w:p>
            <w:pPr>
              <w:spacing w:line="400" w:lineRule="exact"/>
              <w:rPr>
                <w:rFonts w:ascii="宋体" w:hAnsi="宋体" w:cs="宋体"/>
                <w:snapToGrid w:val="0"/>
                <w:color w:val="auto"/>
                <w:kern w:val="28"/>
                <w:szCs w:val="21"/>
                <w:highlight w:val="none"/>
              </w:rPr>
            </w:pPr>
            <w:r>
              <w:rPr>
                <w:rFonts w:hint="eastAsia" w:ascii="宋体" w:hAnsi="宋体" w:cs="宋体"/>
                <w:snapToGrid w:val="0"/>
                <w:color w:val="auto"/>
                <w:kern w:val="28"/>
                <w:szCs w:val="21"/>
                <w:highlight w:val="none"/>
              </w:rPr>
              <w:t>收款单位（户名）：宁波中基国际招标有限公司</w:t>
            </w:r>
          </w:p>
          <w:p>
            <w:pPr>
              <w:spacing w:line="400" w:lineRule="exact"/>
              <w:rPr>
                <w:rFonts w:ascii="宋体" w:hAnsi="宋体" w:cs="宋体"/>
                <w:snapToGrid w:val="0"/>
                <w:color w:val="auto"/>
                <w:kern w:val="28"/>
                <w:szCs w:val="21"/>
                <w:highlight w:val="none"/>
              </w:rPr>
            </w:pPr>
            <w:r>
              <w:rPr>
                <w:rFonts w:hint="eastAsia" w:ascii="宋体" w:hAnsi="宋体" w:cs="宋体"/>
                <w:snapToGrid w:val="0"/>
                <w:color w:val="auto"/>
                <w:kern w:val="28"/>
                <w:szCs w:val="21"/>
                <w:highlight w:val="none"/>
              </w:rPr>
              <w:t>开户：宁波银行科技支行</w:t>
            </w:r>
          </w:p>
          <w:p>
            <w:pPr>
              <w:spacing w:line="400" w:lineRule="exact"/>
              <w:rPr>
                <w:rFonts w:ascii="宋体" w:hAnsi="宋体" w:cs="宋体"/>
                <w:snapToGrid w:val="0"/>
                <w:color w:val="auto"/>
                <w:kern w:val="28"/>
                <w:szCs w:val="21"/>
                <w:highlight w:val="none"/>
              </w:rPr>
            </w:pPr>
            <w:r>
              <w:rPr>
                <w:rFonts w:hint="eastAsia" w:ascii="宋体" w:hAnsi="宋体" w:cs="宋体"/>
                <w:snapToGrid w:val="0"/>
                <w:color w:val="auto"/>
                <w:kern w:val="28"/>
                <w:szCs w:val="21"/>
                <w:highlight w:val="none"/>
              </w:rPr>
              <w:t>账号：31010122000005488</w:t>
            </w:r>
          </w:p>
          <w:p>
            <w:pPr>
              <w:spacing w:line="400" w:lineRule="exact"/>
              <w:rPr>
                <w:rFonts w:ascii="宋体" w:hAnsi="宋体" w:cs="宋体"/>
                <w:snapToGrid w:val="0"/>
                <w:color w:val="auto"/>
                <w:kern w:val="28"/>
                <w:szCs w:val="21"/>
                <w:highlight w:val="none"/>
              </w:rPr>
            </w:pPr>
            <w:r>
              <w:rPr>
                <w:rFonts w:hint="eastAsia" w:ascii="宋体" w:hAnsi="宋体" w:cs="宋体"/>
                <w:snapToGrid w:val="0"/>
                <w:color w:val="auto"/>
                <w:kern w:val="28"/>
                <w:szCs w:val="21"/>
                <w:highlight w:val="none"/>
              </w:rPr>
              <w:t>（4）支付流程：中标供应商按照中标结果公告确定金额支付至采购代理机构账户后将汇款底单、开票信息和发票邮寄地址发送至</w:t>
            </w:r>
            <w:r>
              <w:rPr>
                <w:rFonts w:ascii="宋体" w:hAnsi="宋体" w:cs="宋体"/>
                <w:snapToGrid w:val="0"/>
                <w:color w:val="auto"/>
                <w:kern w:val="28"/>
                <w:szCs w:val="21"/>
                <w:highlight w:val="none"/>
                <w:u w:val="single"/>
              </w:rPr>
              <w:t>719126619@qq</w:t>
            </w:r>
            <w:r>
              <w:rPr>
                <w:rFonts w:hint="eastAsia" w:ascii="宋体" w:hAnsi="宋体" w:cs="宋体"/>
                <w:snapToGrid w:val="0"/>
                <w:color w:val="auto"/>
                <w:kern w:val="28"/>
                <w:szCs w:val="21"/>
                <w:highlight w:val="none"/>
                <w:u w:val="single"/>
              </w:rPr>
              <w:t>.</w:t>
            </w:r>
            <w:r>
              <w:rPr>
                <w:rFonts w:ascii="宋体" w:hAnsi="宋体" w:cs="宋体"/>
                <w:snapToGrid w:val="0"/>
                <w:color w:val="auto"/>
                <w:kern w:val="28"/>
                <w:szCs w:val="21"/>
                <w:highlight w:val="none"/>
                <w:u w:val="single"/>
              </w:rPr>
              <w:t>com</w:t>
            </w:r>
            <w:r>
              <w:rPr>
                <w:rFonts w:hint="eastAsia" w:ascii="宋体" w:hAnsi="宋体" w:cs="宋体"/>
                <w:snapToGrid w:val="0"/>
                <w:color w:val="auto"/>
                <w:kern w:val="28"/>
                <w:szCs w:val="21"/>
                <w:highlight w:val="none"/>
              </w:rPr>
              <w:t>，采购代理机构在收到邮件后开具发票。</w:t>
            </w:r>
          </w:p>
        </w:tc>
      </w:tr>
    </w:tbl>
    <w:p>
      <w:pPr>
        <w:snapToGrid w:val="0"/>
        <w:spacing w:line="360" w:lineRule="auto"/>
        <w:jc w:val="center"/>
        <w:rPr>
          <w:rFonts w:ascii="宋体" w:hAnsi="宋体" w:cs="宋体"/>
          <w:b/>
          <w:color w:val="auto"/>
          <w:sz w:val="32"/>
          <w:szCs w:val="20"/>
          <w:highlight w:val="none"/>
        </w:rPr>
      </w:pPr>
    </w:p>
    <w:bookmarkEnd w:id="12"/>
    <w:p>
      <w:pPr>
        <w:spacing w:line="360" w:lineRule="auto"/>
        <w:jc w:val="center"/>
        <w:outlineLvl w:val="1"/>
        <w:rPr>
          <w:rFonts w:ascii="宋体" w:hAnsi="宋体" w:cs="宋体"/>
          <w:b/>
          <w:color w:val="auto"/>
          <w:sz w:val="32"/>
          <w:szCs w:val="20"/>
          <w:highlight w:val="none"/>
        </w:rPr>
      </w:pPr>
      <w:bookmarkStart w:id="27" w:name="_Toc19896"/>
      <w:bookmarkStart w:id="28" w:name="_Toc164416483"/>
      <w:bookmarkStart w:id="29" w:name="第三部分"/>
      <w:r>
        <w:rPr>
          <w:rFonts w:hint="eastAsia" w:ascii="宋体" w:hAnsi="宋体" w:cs="宋体"/>
          <w:b/>
          <w:color w:val="auto"/>
          <w:sz w:val="32"/>
          <w:szCs w:val="20"/>
          <w:highlight w:val="none"/>
        </w:rPr>
        <w:t>一、总则</w:t>
      </w:r>
      <w:bookmarkEnd w:id="27"/>
    </w:p>
    <w:p>
      <w:pPr>
        <w:snapToGrid w:val="0"/>
        <w:spacing w:line="360" w:lineRule="auto"/>
        <w:ind w:firstLine="316" w:firstLineChars="150"/>
        <w:jc w:val="left"/>
        <w:outlineLvl w:val="2"/>
        <w:rPr>
          <w:rFonts w:asciiTheme="minorEastAsia" w:hAnsiTheme="minorEastAsia" w:eastAsiaTheme="minorEastAsia" w:cstheme="minorEastAsia"/>
          <w:b/>
          <w:color w:val="auto"/>
          <w:szCs w:val="21"/>
          <w:highlight w:val="none"/>
        </w:rPr>
      </w:pPr>
      <w:bookmarkStart w:id="30" w:name="_Toc4803"/>
      <w:r>
        <w:rPr>
          <w:rFonts w:hint="eastAsia" w:asciiTheme="minorEastAsia" w:hAnsiTheme="minorEastAsia" w:eastAsiaTheme="minorEastAsia" w:cstheme="minorEastAsia"/>
          <w:b/>
          <w:color w:val="auto"/>
          <w:szCs w:val="21"/>
          <w:highlight w:val="none"/>
        </w:rPr>
        <w:t>1. 适用范围</w:t>
      </w:r>
      <w:bookmarkEnd w:id="30"/>
    </w:p>
    <w:p>
      <w:pPr>
        <w:snapToGrid w:val="0"/>
        <w:spacing w:line="360" w:lineRule="auto"/>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本招标文件适用于该项目的招标、投标、开标、资格审查及信用信息查询、评标、定标、合同、验收等行为（法律、法规另有规定的，从其规定）。</w:t>
      </w:r>
    </w:p>
    <w:p>
      <w:pPr>
        <w:snapToGrid w:val="0"/>
        <w:spacing w:line="360" w:lineRule="auto"/>
        <w:ind w:firstLine="316" w:firstLineChars="150"/>
        <w:jc w:val="left"/>
        <w:outlineLvl w:val="2"/>
        <w:rPr>
          <w:rFonts w:asciiTheme="minorEastAsia" w:hAnsiTheme="minorEastAsia" w:eastAsiaTheme="minorEastAsia" w:cstheme="minorEastAsia"/>
          <w:b/>
          <w:color w:val="auto"/>
          <w:szCs w:val="21"/>
          <w:highlight w:val="none"/>
        </w:rPr>
      </w:pPr>
      <w:bookmarkStart w:id="31" w:name="_Toc17533"/>
      <w:r>
        <w:rPr>
          <w:rFonts w:hint="eastAsia" w:asciiTheme="minorEastAsia" w:hAnsiTheme="minorEastAsia" w:eastAsiaTheme="minorEastAsia" w:cstheme="minorEastAsia"/>
          <w:b/>
          <w:color w:val="auto"/>
          <w:szCs w:val="21"/>
          <w:highlight w:val="none"/>
        </w:rPr>
        <w:t>2.定义</w:t>
      </w:r>
      <w:bookmarkEnd w:id="31"/>
    </w:p>
    <w:p>
      <w:pPr>
        <w:spacing w:line="360" w:lineRule="auto"/>
        <w:ind w:firstLine="420" w:firstLineChars="200"/>
        <w:outlineLvl w:val="3"/>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2.1 “采购人”系指招标公告中载明的本项目的采购人。</w:t>
      </w:r>
    </w:p>
    <w:p>
      <w:p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2.2 “采购代理机构”系指招标公告中载明的本项目的采购代理机构。</w:t>
      </w:r>
    </w:p>
    <w:p>
      <w:p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2.3 “投标人”系指是指响应招标、参加投标竞争的法人、其他组织或者自然人。</w:t>
      </w:r>
    </w:p>
    <w:p>
      <w:p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2.4 “负责人”系指法人企业的法定负责人，或其他组织为法律、行政法规规定代表单位行使职权的主要负责人，或自然人本人。</w:t>
      </w:r>
    </w:p>
    <w:p>
      <w:p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2.6“电子交易平台”系指本项目政府采购活动所依托的政府采购云平台（https://www.zcygov.cn/）。</w:t>
      </w:r>
    </w:p>
    <w:p>
      <w:p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2.7 “▲” 系指实质性要求条款，“★”系指重要性要求条款，“</w:t>
      </w:r>
      <w:sdt>
        <w:sdtPr>
          <w:rPr>
            <w:rFonts w:hint="eastAsia" w:asciiTheme="minorEastAsia" w:hAnsiTheme="minorEastAsia" w:eastAsiaTheme="minorEastAsia" w:cstheme="minorEastAsia"/>
            <w:color w:val="auto"/>
            <w:kern w:val="0"/>
            <w:szCs w:val="21"/>
            <w:highlight w:val="none"/>
          </w:rPr>
          <w:id w:val="512970236"/>
          <w14:checkbox>
            <w14:checked w14:val="0"/>
            <w14:checkedState w14:val="00FE" w14:font="Wingdings"/>
            <w14:uncheckedState w14:val="2610" w14:font="MS Gothic"/>
          </w14:checkbox>
        </w:sdtPr>
        <w:sdtEndPr>
          <w:rPr>
            <w:rFonts w:hint="eastAsia" w:asciiTheme="minorEastAsia" w:hAnsiTheme="minorEastAsia" w:eastAsiaTheme="minorEastAsia" w:cstheme="minorEastAsia"/>
            <w:color w:val="auto"/>
            <w:kern w:val="0"/>
            <w:szCs w:val="21"/>
            <w:highlight w:val="none"/>
          </w:rPr>
        </w:sdtEndPr>
        <w:sdtContent>
          <w:r>
            <w:rPr>
              <w:rFonts w:hint="eastAsia" w:ascii="MS Gothic" w:hAnsi="MS Gothic" w:eastAsiaTheme="minorEastAsia" w:cstheme="minorEastAsia"/>
              <w:color w:val="auto"/>
              <w:kern w:val="0"/>
              <w:sz w:val="21"/>
              <w:szCs w:val="21"/>
              <w:highlight w:val="none"/>
              <w:lang w:val="en-US" w:eastAsia="zh-CN" w:bidi="ar-SA"/>
            </w:rPr>
            <w:t>☐</w:t>
          </w:r>
        </w:sdtContent>
      </w:sdt>
      <w:r>
        <w:rPr>
          <w:rFonts w:hint="eastAsia" w:asciiTheme="minorEastAsia" w:hAnsiTheme="minorEastAsia" w:eastAsiaTheme="minorEastAsia" w:cstheme="minorEastAsia"/>
          <w:color w:val="auto"/>
          <w:szCs w:val="21"/>
          <w:highlight w:val="none"/>
        </w:rPr>
        <w:t>” 系指适用本项目的要求，“</w:t>
      </w:r>
      <w:sdt>
        <w:sdtPr>
          <w:rPr>
            <w:rFonts w:hint="eastAsia" w:asciiTheme="minorEastAsia" w:hAnsiTheme="minorEastAsia" w:eastAsiaTheme="minorEastAsia" w:cstheme="minorEastAsia"/>
            <w:color w:val="auto"/>
            <w:kern w:val="0"/>
            <w:szCs w:val="21"/>
            <w:highlight w:val="none"/>
          </w:rPr>
          <w:id w:val="404888855"/>
          <w14:checkbox>
            <w14:checked w14:val="0"/>
            <w14:checkedState w14:val="00FE" w14:font="Wingdings"/>
            <w14:uncheckedState w14:val="2610" w14:font="MS Gothic"/>
          </w14:checkbox>
        </w:sdtPr>
        <w:sdtEndPr>
          <w:rPr>
            <w:rFonts w:hint="eastAsia" w:asciiTheme="minorEastAsia" w:hAnsiTheme="minorEastAsia" w:eastAsiaTheme="minorEastAsia" w:cstheme="minorEastAsia"/>
            <w:color w:val="auto"/>
            <w:kern w:val="0"/>
            <w:szCs w:val="21"/>
            <w:highlight w:val="none"/>
          </w:rPr>
        </w:sdtEndPr>
        <w:sdtContent>
          <w:r>
            <w:rPr>
              <w:rFonts w:hint="eastAsia" w:asciiTheme="minorEastAsia" w:hAnsiTheme="minorEastAsia" w:eastAsiaTheme="minorEastAsia" w:cstheme="minorEastAsia"/>
              <w:color w:val="auto"/>
              <w:kern w:val="0"/>
              <w:szCs w:val="21"/>
              <w:highlight w:val="none"/>
            </w:rPr>
            <w:t>☐</w:t>
          </w:r>
        </w:sdtContent>
      </w:sdt>
      <w:r>
        <w:rPr>
          <w:rFonts w:hint="eastAsia" w:asciiTheme="minorEastAsia" w:hAnsiTheme="minorEastAsia" w:eastAsiaTheme="minorEastAsia" w:cstheme="minorEastAsia"/>
          <w:color w:val="auto"/>
          <w:szCs w:val="21"/>
          <w:highlight w:val="none"/>
        </w:rPr>
        <w:t>” 系指不适用本项目的要求。</w:t>
      </w:r>
    </w:p>
    <w:p>
      <w:pPr>
        <w:spacing w:line="360" w:lineRule="auto"/>
        <w:ind w:firstLine="211" w:firstLineChars="100"/>
        <w:outlineLvl w:val="2"/>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3.</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b/>
          <w:color w:val="auto"/>
          <w:szCs w:val="21"/>
          <w:highlight w:val="none"/>
        </w:rPr>
        <w:t>采购项目需要落实的政府采购政策</w:t>
      </w:r>
    </w:p>
    <w:p>
      <w:pPr>
        <w:spacing w:line="360" w:lineRule="auto"/>
        <w:ind w:firstLine="210" w:firstLineChars="1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Theme="minorEastAsia" w:hAnsiTheme="minorEastAsia" w:eastAsiaTheme="minorEastAsia" w:cstheme="minorEastAsia"/>
          <w:color w:val="auto"/>
          <w:kern w:val="0"/>
          <w:szCs w:val="21"/>
          <w:highlight w:val="none"/>
        </w:rPr>
        <w:t>优先采购向我国企业转让技术、与我国企业签订消化吸收再创新方案的供应商的进口产品</w:t>
      </w:r>
      <w:r>
        <w:rPr>
          <w:rFonts w:hint="eastAsia" w:asciiTheme="minorEastAsia" w:hAnsiTheme="minorEastAsia" w:eastAsiaTheme="minorEastAsia" w:cstheme="minorEastAsia"/>
          <w:color w:val="auto"/>
          <w:szCs w:val="21"/>
          <w:highlight w:val="none"/>
        </w:rPr>
        <w:t>。</w:t>
      </w:r>
    </w:p>
    <w:p>
      <w:pPr>
        <w:spacing w:line="360" w:lineRule="auto"/>
        <w:ind w:firstLine="210" w:firstLineChars="100"/>
        <w:outlineLvl w:val="3"/>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3.2 支持绿色发展</w:t>
      </w:r>
    </w:p>
    <w:p>
      <w:pPr>
        <w:spacing w:line="360" w:lineRule="auto"/>
        <w:ind w:firstLine="420" w:firstLineChars="200"/>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color w:val="auto"/>
          <w:szCs w:val="21"/>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3.2.2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32" w:name="_Hlk107568539"/>
    </w:p>
    <w:p>
      <w:p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3.2.3 鼓励供应商在参加政府采购过程中开展绿色设计、选择绿色材料、打造绿色制造工艺、开展绿色运输、做好废弃产品回收处理，实现产品全周期的绿色环保。</w:t>
      </w:r>
      <w:bookmarkEnd w:id="32"/>
    </w:p>
    <w:p>
      <w:pPr>
        <w:spacing w:line="360" w:lineRule="auto"/>
        <w:ind w:firstLine="210" w:firstLineChars="100"/>
        <w:outlineLvl w:val="3"/>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3.3支持中小企业发展</w:t>
      </w:r>
    </w:p>
    <w:p>
      <w:p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符合中小企业划分标准的个体工商户，在政府采购活动中视同中小企业。</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bCs/>
          <w:color w:val="auto"/>
          <w:szCs w:val="21"/>
          <w:highlight w:val="none"/>
        </w:rPr>
        <w:t>3.3.2</w:t>
      </w:r>
      <w:r>
        <w:rPr>
          <w:rFonts w:hint="eastAsia" w:asciiTheme="minorEastAsia" w:hAnsiTheme="minorEastAsia" w:eastAsiaTheme="minorEastAsia" w:cstheme="minorEastAsia"/>
          <w:color w:val="auto"/>
          <w:kern w:val="0"/>
          <w:szCs w:val="21"/>
          <w:highlight w:val="none"/>
        </w:rPr>
        <w:t>在政府采购活动中，投标人提供服务符合下列情形的，享受中小企业扶持政策：在服务采购项目中，服务由中小企业承接，即提供服务的人员为中小企业依照《中华人民共和国民法典》订立劳动合同的从业人员。</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以联合体形式参加政府采购活动，联合体各方均为中小企业的，联合体视同中小企业。其中，联合体各方均为小微企业的，联合体视同小微企业。</w:t>
      </w:r>
    </w:p>
    <w:p>
      <w:p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3.3.3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w:t>
      </w:r>
      <w:bookmarkStart w:id="33" w:name="_Hlk101132181"/>
      <w:r>
        <w:rPr>
          <w:rFonts w:hint="eastAsia" w:asciiTheme="minorEastAsia" w:hAnsiTheme="minorEastAsia" w:eastAsiaTheme="minorEastAsia" w:cstheme="minorEastAsia"/>
          <w:color w:val="auto"/>
          <w:szCs w:val="21"/>
          <w:highlight w:val="none"/>
        </w:rPr>
        <w:t>联合协议或者分包意向协议约定小微企业的合同份额占到合同总金额30%以上的</w:t>
      </w:r>
      <w:bookmarkEnd w:id="33"/>
      <w:r>
        <w:rPr>
          <w:rFonts w:hint="eastAsia" w:asciiTheme="minorEastAsia" w:hAnsiTheme="minorEastAsia" w:eastAsiaTheme="minorEastAsia" w:cstheme="minorEastAsia"/>
          <w:color w:val="auto"/>
          <w:szCs w:val="21"/>
          <w:highlight w:val="none"/>
        </w:rPr>
        <w:t>，对联合体或者大中型企业的报价给予4%的扣除，用扣除后的价格参加评审。组成联合体或者接受分包的小微企业与联合体内其他企业、分包企业之间存在直接控股、管理关系的，不享受价格扣除优惠政策。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3.3.4符合《关于促进残疾人就业政府采购政策的通知》（财库〔2017〕141号）规定的条件并提供《残疾人福利性单位声明函》（附件1）的残疾人福利性单位视同小型、微型企业；</w:t>
      </w:r>
    </w:p>
    <w:p>
      <w:p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3.3.7中小企业享受扶持政策获得政府采购合同的，小微企业不得将合同分包给大中型企业，中型企业不得将合同分包给大型企业。</w:t>
      </w:r>
    </w:p>
    <w:p>
      <w:pPr>
        <w:spacing w:line="360" w:lineRule="auto"/>
        <w:ind w:firstLine="210" w:firstLineChars="100"/>
        <w:outlineLvl w:val="3"/>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3.4</w:t>
      </w:r>
      <w:r>
        <w:rPr>
          <w:rFonts w:hint="eastAsia" w:asciiTheme="minorEastAsia" w:hAnsiTheme="minorEastAsia" w:eastAsiaTheme="minorEastAsia" w:cstheme="minorEastAsia"/>
          <w:bCs/>
          <w:color w:val="auto"/>
          <w:szCs w:val="21"/>
          <w:highlight w:val="none"/>
        </w:rPr>
        <w:t>支持创新发展</w:t>
      </w:r>
    </w:p>
    <w:p>
      <w:p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3.4.1 采购人优先采购被认定为首台套产品和“制造精品”的自主创新产品。</w:t>
      </w:r>
    </w:p>
    <w:p>
      <w:p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pPr>
        <w:spacing w:line="360" w:lineRule="auto"/>
        <w:ind w:firstLine="210" w:firstLineChars="100"/>
        <w:outlineLvl w:val="3"/>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3.5平等对待内外资企业和符合条件的破产重整企业</w:t>
      </w:r>
    </w:p>
    <w:p>
      <w:pPr>
        <w:spacing w:line="360" w:lineRule="auto"/>
        <w:ind w:firstLine="420" w:firstLineChars="200"/>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color w:val="auto"/>
          <w:szCs w:val="21"/>
          <w:highlight w:val="none"/>
        </w:rPr>
        <w:t>平等对待内外资企业和符合条件的破产重整企业，切实保障企业公平竞争，平等维护企业的合法利益。</w:t>
      </w:r>
      <w:r>
        <w:rPr>
          <w:rFonts w:hint="eastAsia" w:asciiTheme="minorEastAsia" w:hAnsiTheme="minorEastAsia" w:eastAsiaTheme="minorEastAsia" w:cstheme="minorEastAsia"/>
          <w:color w:val="auto"/>
          <w:szCs w:val="21"/>
          <w:highlight w:val="none"/>
        </w:rPr>
        <w:cr/>
      </w:r>
      <w:r>
        <w:rPr>
          <w:rFonts w:hint="eastAsia" w:asciiTheme="minorEastAsia" w:hAnsiTheme="minorEastAsia" w:eastAsiaTheme="minorEastAsia" w:cstheme="minorEastAsia"/>
          <w:b/>
          <w:color w:val="auto"/>
          <w:szCs w:val="21"/>
          <w:highlight w:val="none"/>
        </w:rPr>
        <w:t>4. 询问、质疑、投诉</w:t>
      </w:r>
    </w:p>
    <w:p>
      <w:pPr>
        <w:autoSpaceDE w:val="0"/>
        <w:autoSpaceDN w:val="0"/>
        <w:spacing w:line="360" w:lineRule="auto"/>
        <w:ind w:firstLine="210" w:firstLineChars="100"/>
        <w:jc w:val="left"/>
        <w:outlineLvl w:val="3"/>
        <w:rPr>
          <w:rFonts w:asciiTheme="minorEastAsia" w:hAnsiTheme="minorEastAsia" w:eastAsiaTheme="minorEastAsia" w:cstheme="minorEastAsia"/>
          <w:color w:val="auto"/>
          <w:kern w:val="0"/>
          <w:szCs w:val="21"/>
          <w:highlight w:val="none"/>
          <w:lang w:val="zh-CN"/>
        </w:rPr>
      </w:pPr>
      <w:r>
        <w:rPr>
          <w:rFonts w:hint="eastAsia" w:asciiTheme="minorEastAsia" w:hAnsiTheme="minorEastAsia" w:eastAsiaTheme="minorEastAsia" w:cstheme="minorEastAsia"/>
          <w:color w:val="auto"/>
          <w:kern w:val="0"/>
          <w:szCs w:val="21"/>
          <w:highlight w:val="none"/>
          <w:lang w:val="zh-CN"/>
        </w:rPr>
        <w:t>4.</w:t>
      </w:r>
      <w:r>
        <w:rPr>
          <w:rFonts w:hint="eastAsia" w:asciiTheme="minorEastAsia" w:hAnsiTheme="minorEastAsia" w:eastAsiaTheme="minorEastAsia" w:cstheme="minorEastAsia"/>
          <w:color w:val="auto"/>
          <w:kern w:val="0"/>
          <w:szCs w:val="21"/>
          <w:highlight w:val="none"/>
        </w:rPr>
        <w:t>1</w:t>
      </w:r>
      <w:r>
        <w:rPr>
          <w:rFonts w:hint="eastAsia" w:asciiTheme="minorEastAsia" w:hAnsiTheme="minorEastAsia" w:eastAsiaTheme="minorEastAsia" w:cstheme="minorEastAsia"/>
          <w:color w:val="auto"/>
          <w:kern w:val="0"/>
          <w:szCs w:val="21"/>
          <w:highlight w:val="none"/>
          <w:lang w:val="zh-CN"/>
        </w:rPr>
        <w:t>供应商询问</w:t>
      </w:r>
    </w:p>
    <w:p>
      <w:pPr>
        <w:autoSpaceDE w:val="0"/>
        <w:autoSpaceDN w:val="0"/>
        <w:spacing w:line="360" w:lineRule="auto"/>
        <w:ind w:firstLine="420" w:firstLineChars="200"/>
        <w:jc w:val="left"/>
        <w:rPr>
          <w:rFonts w:asciiTheme="minorEastAsia" w:hAnsiTheme="minorEastAsia" w:eastAsiaTheme="minorEastAsia" w:cstheme="minorEastAsia"/>
          <w:color w:val="auto"/>
          <w:kern w:val="0"/>
          <w:szCs w:val="21"/>
          <w:highlight w:val="none"/>
          <w:lang w:val="zh-CN"/>
        </w:rPr>
      </w:pPr>
      <w:r>
        <w:rPr>
          <w:rFonts w:hint="eastAsia" w:asciiTheme="minorEastAsia" w:hAnsiTheme="minorEastAsia" w:eastAsiaTheme="minorEastAsia" w:cstheme="minorEastAsia"/>
          <w:color w:val="auto"/>
          <w:kern w:val="0"/>
          <w:szCs w:val="21"/>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10" w:firstLineChars="100"/>
        <w:jc w:val="left"/>
        <w:outlineLvl w:val="3"/>
        <w:rPr>
          <w:rFonts w:asciiTheme="minorEastAsia" w:hAnsiTheme="minorEastAsia" w:eastAsiaTheme="minorEastAsia" w:cstheme="minorEastAsia"/>
          <w:color w:val="auto"/>
          <w:kern w:val="0"/>
          <w:szCs w:val="21"/>
          <w:highlight w:val="none"/>
          <w:lang w:val="zh-CN"/>
        </w:rPr>
      </w:pPr>
      <w:r>
        <w:rPr>
          <w:rFonts w:hint="eastAsia" w:asciiTheme="minorEastAsia" w:hAnsiTheme="minorEastAsia" w:eastAsiaTheme="minorEastAsia" w:cstheme="minorEastAsia"/>
          <w:color w:val="auto"/>
          <w:kern w:val="0"/>
          <w:szCs w:val="21"/>
          <w:highlight w:val="none"/>
          <w:lang w:val="zh-CN"/>
        </w:rPr>
        <w:t>4.</w:t>
      </w:r>
      <w:r>
        <w:rPr>
          <w:rFonts w:hint="eastAsia" w:asciiTheme="minorEastAsia" w:hAnsiTheme="minorEastAsia" w:eastAsiaTheme="minorEastAsia" w:cstheme="minorEastAsia"/>
          <w:color w:val="auto"/>
          <w:kern w:val="0"/>
          <w:szCs w:val="21"/>
          <w:highlight w:val="none"/>
        </w:rPr>
        <w:t>2</w:t>
      </w:r>
      <w:r>
        <w:rPr>
          <w:rFonts w:hint="eastAsia" w:asciiTheme="minorEastAsia" w:hAnsiTheme="minorEastAsia" w:eastAsiaTheme="minorEastAsia" w:cstheme="minorEastAsia"/>
          <w:color w:val="auto"/>
          <w:kern w:val="0"/>
          <w:szCs w:val="21"/>
          <w:highlight w:val="none"/>
          <w:lang w:val="zh-CN"/>
        </w:rPr>
        <w:t>供应商质疑</w:t>
      </w:r>
    </w:p>
    <w:p>
      <w:pPr>
        <w:pStyle w:val="33"/>
        <w:spacing w:line="360" w:lineRule="auto"/>
        <w:ind w:firstLine="42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0"/>
          <w:highlight w:val="none"/>
          <w:lang w:val="zh-CN"/>
        </w:rPr>
        <w:t>4.</w:t>
      </w:r>
      <w:r>
        <w:rPr>
          <w:rFonts w:hint="eastAsia" w:asciiTheme="minorEastAsia" w:hAnsiTheme="minorEastAsia" w:eastAsiaTheme="minorEastAsia" w:cstheme="minorEastAsia"/>
          <w:color w:val="auto"/>
          <w:kern w:val="0"/>
          <w:highlight w:val="none"/>
        </w:rPr>
        <w:t>2</w:t>
      </w:r>
      <w:r>
        <w:rPr>
          <w:rFonts w:hint="eastAsia" w:asciiTheme="minorEastAsia" w:hAnsiTheme="minorEastAsia" w:eastAsiaTheme="minorEastAsia" w:cstheme="minorEastAsia"/>
          <w:color w:val="auto"/>
          <w:highlight w:val="none"/>
        </w:rPr>
        <w:t>.1提出质疑的供应商应当是参与所质疑项目采购活动的供应商。潜在供应商已依法获取其可质疑的招标文件的，可以对该文件提出质疑。</w:t>
      </w:r>
    </w:p>
    <w:p>
      <w:pPr>
        <w:pStyle w:val="33"/>
        <w:spacing w:line="360" w:lineRule="auto"/>
        <w:ind w:firstLine="42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0"/>
          <w:highlight w:val="none"/>
          <w:lang w:val="zh-CN"/>
        </w:rPr>
        <w:t>4.</w:t>
      </w:r>
      <w:r>
        <w:rPr>
          <w:rFonts w:hint="eastAsia" w:asciiTheme="minorEastAsia" w:hAnsiTheme="minorEastAsia" w:eastAsiaTheme="minorEastAsia" w:cstheme="minorEastAsia"/>
          <w:color w:val="auto"/>
          <w:kern w:val="0"/>
          <w:highlight w:val="none"/>
        </w:rPr>
        <w:t>2</w:t>
      </w:r>
      <w:r>
        <w:rPr>
          <w:rFonts w:hint="eastAsia" w:asciiTheme="minorEastAsia" w:hAnsiTheme="minorEastAsia" w:eastAsiaTheme="minorEastAsia" w:cstheme="minorEastAsia"/>
          <w:color w:val="auto"/>
          <w:highlight w:val="none"/>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pPr>
        <w:pStyle w:val="16"/>
        <w:spacing w:line="360" w:lineRule="auto"/>
        <w:ind w:firstLine="420" w:firstLineChars="200"/>
        <w:rPr>
          <w:rFonts w:asciiTheme="minorEastAsia" w:hAnsiTheme="minorEastAsia" w:eastAsiaTheme="minorEastAsia" w:cstheme="minorEastAsia"/>
          <w:snapToGrid/>
          <w:color w:val="auto"/>
          <w:kern w:val="2"/>
          <w:sz w:val="21"/>
          <w:szCs w:val="21"/>
          <w:highlight w:val="none"/>
        </w:rPr>
      </w:pPr>
      <w:r>
        <w:rPr>
          <w:rFonts w:hint="eastAsia" w:asciiTheme="minorEastAsia" w:hAnsiTheme="minorEastAsia" w:eastAsiaTheme="minorEastAsia" w:cstheme="minorEastAsia"/>
          <w:snapToGrid/>
          <w:color w:val="auto"/>
          <w:kern w:val="2"/>
          <w:sz w:val="21"/>
          <w:szCs w:val="21"/>
          <w:highlight w:val="none"/>
        </w:rPr>
        <w:t>4.2.2.1对招标文件提出质疑的，质疑期限为供应商获得招标文件之日或者招标文件公告期限届满之日起计算。</w:t>
      </w:r>
    </w:p>
    <w:p>
      <w:pPr>
        <w:pStyle w:val="33"/>
        <w:spacing w:line="360" w:lineRule="auto"/>
        <w:ind w:left="479" w:leftChars="228"/>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4.2.2.2对采购过程提出质疑的，质疑期限为各采购程序环节结束之日起计算。4.2.2.3对采购结果提出质疑的，质疑期限自采购结果公告期限届满之日起计算。</w:t>
      </w:r>
    </w:p>
    <w:p>
      <w:pPr>
        <w:pStyle w:val="33"/>
        <w:spacing w:line="360" w:lineRule="auto"/>
        <w:ind w:firstLine="420" w:firstLineChars="200"/>
        <w:rPr>
          <w:rFonts w:asciiTheme="minorEastAsia" w:hAnsiTheme="minorEastAsia" w:eastAsiaTheme="minorEastAsia" w:cstheme="minorEastAsia"/>
          <w:color w:val="auto"/>
          <w:kern w:val="0"/>
          <w:highlight w:val="none"/>
          <w:lang w:val="zh-CN"/>
        </w:rPr>
      </w:pPr>
      <w:r>
        <w:rPr>
          <w:rFonts w:hint="eastAsia" w:asciiTheme="minorEastAsia" w:hAnsiTheme="minorEastAsia" w:eastAsiaTheme="minorEastAsia" w:cstheme="minorEastAsia"/>
          <w:color w:val="auto"/>
          <w:kern w:val="0"/>
          <w:highlight w:val="none"/>
          <w:lang w:val="zh-CN"/>
        </w:rPr>
        <w:t>4.</w:t>
      </w:r>
      <w:r>
        <w:rPr>
          <w:rFonts w:hint="eastAsia" w:asciiTheme="minorEastAsia" w:hAnsiTheme="minorEastAsia" w:eastAsiaTheme="minorEastAsia" w:cstheme="minorEastAsia"/>
          <w:color w:val="auto"/>
          <w:kern w:val="0"/>
          <w:highlight w:val="none"/>
        </w:rPr>
        <w:t>2</w:t>
      </w:r>
      <w:r>
        <w:rPr>
          <w:rFonts w:hint="eastAsia" w:asciiTheme="minorEastAsia" w:hAnsiTheme="minorEastAsia" w:eastAsiaTheme="minorEastAsia" w:cstheme="minorEastAsia"/>
          <w:color w:val="auto"/>
          <w:kern w:val="0"/>
          <w:highlight w:val="none"/>
          <w:lang w:val="zh-CN"/>
        </w:rPr>
        <w:t>.3</w:t>
      </w:r>
      <w:r>
        <w:rPr>
          <w:rFonts w:hint="eastAsia" w:asciiTheme="minorEastAsia" w:hAnsiTheme="minorEastAsia" w:eastAsiaTheme="minorEastAsia" w:cstheme="minorEastAsia"/>
          <w:color w:val="auto"/>
          <w:highlight w:val="none"/>
        </w:rPr>
        <w:t>供应商提出质疑应当提交质疑函和必要的证明材料。质疑函应当包括下列内容：</w:t>
      </w:r>
    </w:p>
    <w:p>
      <w:pPr>
        <w:pStyle w:val="33"/>
        <w:spacing w:line="360" w:lineRule="auto"/>
        <w:ind w:firstLine="420" w:firstLineChars="200"/>
        <w:rPr>
          <w:rFonts w:asciiTheme="minorEastAsia" w:hAnsiTheme="minorEastAsia" w:eastAsiaTheme="minorEastAsia" w:cstheme="minorEastAsia"/>
          <w:color w:val="auto"/>
          <w:kern w:val="0"/>
          <w:highlight w:val="none"/>
          <w:lang w:val="zh-CN"/>
        </w:rPr>
      </w:pPr>
      <w:r>
        <w:rPr>
          <w:rFonts w:hint="eastAsia" w:asciiTheme="minorEastAsia" w:hAnsiTheme="minorEastAsia" w:eastAsiaTheme="minorEastAsia" w:cstheme="minorEastAsia"/>
          <w:color w:val="auto"/>
          <w:kern w:val="0"/>
          <w:highlight w:val="none"/>
          <w:lang w:val="zh-CN"/>
        </w:rPr>
        <w:t>　　4.</w:t>
      </w:r>
      <w:r>
        <w:rPr>
          <w:rFonts w:hint="eastAsia" w:asciiTheme="minorEastAsia" w:hAnsiTheme="minorEastAsia" w:eastAsiaTheme="minorEastAsia" w:cstheme="minorEastAsia"/>
          <w:color w:val="auto"/>
          <w:kern w:val="0"/>
          <w:highlight w:val="none"/>
        </w:rPr>
        <w:t>2</w:t>
      </w:r>
      <w:r>
        <w:rPr>
          <w:rFonts w:hint="eastAsia" w:asciiTheme="minorEastAsia" w:hAnsiTheme="minorEastAsia" w:eastAsiaTheme="minorEastAsia" w:cstheme="minorEastAsia"/>
          <w:color w:val="auto"/>
          <w:kern w:val="0"/>
          <w:highlight w:val="none"/>
          <w:lang w:val="zh-CN"/>
        </w:rPr>
        <w:t>.3.1供应商的姓名或者名称、地址、邮编、联系人及联系电话；</w:t>
      </w:r>
    </w:p>
    <w:p>
      <w:pPr>
        <w:pStyle w:val="33"/>
        <w:spacing w:line="360" w:lineRule="auto"/>
        <w:ind w:firstLine="420" w:firstLineChars="200"/>
        <w:rPr>
          <w:rFonts w:asciiTheme="minorEastAsia" w:hAnsiTheme="minorEastAsia" w:eastAsiaTheme="minorEastAsia" w:cstheme="minorEastAsia"/>
          <w:color w:val="auto"/>
          <w:kern w:val="0"/>
          <w:highlight w:val="none"/>
          <w:lang w:val="zh-CN"/>
        </w:rPr>
      </w:pPr>
      <w:r>
        <w:rPr>
          <w:rFonts w:hint="eastAsia" w:asciiTheme="minorEastAsia" w:hAnsiTheme="minorEastAsia" w:eastAsiaTheme="minorEastAsia" w:cstheme="minorEastAsia"/>
          <w:color w:val="auto"/>
          <w:kern w:val="0"/>
          <w:highlight w:val="none"/>
          <w:lang w:val="zh-CN"/>
        </w:rPr>
        <w:t>　　4.</w:t>
      </w:r>
      <w:r>
        <w:rPr>
          <w:rFonts w:hint="eastAsia" w:asciiTheme="minorEastAsia" w:hAnsiTheme="minorEastAsia" w:eastAsiaTheme="minorEastAsia" w:cstheme="minorEastAsia"/>
          <w:color w:val="auto"/>
          <w:kern w:val="0"/>
          <w:highlight w:val="none"/>
        </w:rPr>
        <w:t>2</w:t>
      </w:r>
      <w:r>
        <w:rPr>
          <w:rFonts w:hint="eastAsia" w:asciiTheme="minorEastAsia" w:hAnsiTheme="minorEastAsia" w:eastAsiaTheme="minorEastAsia" w:cstheme="minorEastAsia"/>
          <w:color w:val="auto"/>
          <w:kern w:val="0"/>
          <w:highlight w:val="none"/>
          <w:lang w:val="zh-CN"/>
        </w:rPr>
        <w:t>.3.2质疑项目的名称、编号；</w:t>
      </w:r>
    </w:p>
    <w:p>
      <w:pPr>
        <w:pStyle w:val="33"/>
        <w:spacing w:line="360" w:lineRule="auto"/>
        <w:ind w:firstLine="420" w:firstLineChars="200"/>
        <w:rPr>
          <w:rFonts w:asciiTheme="minorEastAsia" w:hAnsiTheme="minorEastAsia" w:eastAsiaTheme="minorEastAsia" w:cstheme="minorEastAsia"/>
          <w:color w:val="auto"/>
          <w:kern w:val="0"/>
          <w:highlight w:val="none"/>
          <w:lang w:val="zh-CN"/>
        </w:rPr>
      </w:pPr>
      <w:r>
        <w:rPr>
          <w:rFonts w:hint="eastAsia" w:asciiTheme="minorEastAsia" w:hAnsiTheme="minorEastAsia" w:eastAsiaTheme="minorEastAsia" w:cstheme="minorEastAsia"/>
          <w:color w:val="auto"/>
          <w:kern w:val="0"/>
          <w:highlight w:val="none"/>
          <w:lang w:val="zh-CN"/>
        </w:rPr>
        <w:t>　　4.</w:t>
      </w:r>
      <w:r>
        <w:rPr>
          <w:rFonts w:hint="eastAsia" w:asciiTheme="minorEastAsia" w:hAnsiTheme="minorEastAsia" w:eastAsiaTheme="minorEastAsia" w:cstheme="minorEastAsia"/>
          <w:color w:val="auto"/>
          <w:kern w:val="0"/>
          <w:highlight w:val="none"/>
        </w:rPr>
        <w:t>2</w:t>
      </w:r>
      <w:r>
        <w:rPr>
          <w:rFonts w:hint="eastAsia" w:asciiTheme="minorEastAsia" w:hAnsiTheme="minorEastAsia" w:eastAsiaTheme="minorEastAsia" w:cstheme="minorEastAsia"/>
          <w:color w:val="auto"/>
          <w:kern w:val="0"/>
          <w:highlight w:val="none"/>
          <w:lang w:val="zh-CN"/>
        </w:rPr>
        <w:t>.3.3具体、明确的质疑事项和与质疑事项相关的请求；</w:t>
      </w:r>
    </w:p>
    <w:p>
      <w:pPr>
        <w:pStyle w:val="33"/>
        <w:spacing w:line="360" w:lineRule="auto"/>
        <w:ind w:firstLine="420" w:firstLineChars="200"/>
        <w:rPr>
          <w:rFonts w:asciiTheme="minorEastAsia" w:hAnsiTheme="minorEastAsia" w:eastAsiaTheme="minorEastAsia" w:cstheme="minorEastAsia"/>
          <w:color w:val="auto"/>
          <w:kern w:val="0"/>
          <w:highlight w:val="none"/>
          <w:lang w:val="zh-CN"/>
        </w:rPr>
      </w:pPr>
      <w:r>
        <w:rPr>
          <w:rFonts w:hint="eastAsia" w:asciiTheme="minorEastAsia" w:hAnsiTheme="minorEastAsia" w:eastAsiaTheme="minorEastAsia" w:cstheme="minorEastAsia"/>
          <w:color w:val="auto"/>
          <w:kern w:val="0"/>
          <w:highlight w:val="none"/>
          <w:lang w:val="zh-CN"/>
        </w:rPr>
        <w:t>　　4.</w:t>
      </w:r>
      <w:r>
        <w:rPr>
          <w:rFonts w:hint="eastAsia" w:asciiTheme="minorEastAsia" w:hAnsiTheme="minorEastAsia" w:eastAsiaTheme="minorEastAsia" w:cstheme="minorEastAsia"/>
          <w:color w:val="auto"/>
          <w:kern w:val="0"/>
          <w:highlight w:val="none"/>
        </w:rPr>
        <w:t>2</w:t>
      </w:r>
      <w:r>
        <w:rPr>
          <w:rFonts w:hint="eastAsia" w:asciiTheme="minorEastAsia" w:hAnsiTheme="minorEastAsia" w:eastAsiaTheme="minorEastAsia" w:cstheme="minorEastAsia"/>
          <w:color w:val="auto"/>
          <w:kern w:val="0"/>
          <w:highlight w:val="none"/>
          <w:lang w:val="zh-CN"/>
        </w:rPr>
        <w:t>.3.4事实依据；</w:t>
      </w:r>
    </w:p>
    <w:p>
      <w:pPr>
        <w:pStyle w:val="33"/>
        <w:spacing w:line="360" w:lineRule="auto"/>
        <w:ind w:firstLine="420" w:firstLineChars="200"/>
        <w:rPr>
          <w:rFonts w:asciiTheme="minorEastAsia" w:hAnsiTheme="minorEastAsia" w:eastAsiaTheme="minorEastAsia" w:cstheme="minorEastAsia"/>
          <w:color w:val="auto"/>
          <w:kern w:val="0"/>
          <w:highlight w:val="none"/>
          <w:lang w:val="zh-CN"/>
        </w:rPr>
      </w:pPr>
      <w:r>
        <w:rPr>
          <w:rFonts w:hint="eastAsia" w:asciiTheme="minorEastAsia" w:hAnsiTheme="minorEastAsia" w:eastAsiaTheme="minorEastAsia" w:cstheme="minorEastAsia"/>
          <w:color w:val="auto"/>
          <w:kern w:val="0"/>
          <w:highlight w:val="none"/>
          <w:lang w:val="zh-CN"/>
        </w:rPr>
        <w:t>　　4.</w:t>
      </w:r>
      <w:r>
        <w:rPr>
          <w:rFonts w:hint="eastAsia" w:asciiTheme="minorEastAsia" w:hAnsiTheme="minorEastAsia" w:eastAsiaTheme="minorEastAsia" w:cstheme="minorEastAsia"/>
          <w:color w:val="auto"/>
          <w:kern w:val="0"/>
          <w:highlight w:val="none"/>
        </w:rPr>
        <w:t>2</w:t>
      </w:r>
      <w:r>
        <w:rPr>
          <w:rFonts w:hint="eastAsia" w:asciiTheme="minorEastAsia" w:hAnsiTheme="minorEastAsia" w:eastAsiaTheme="minorEastAsia" w:cstheme="minorEastAsia"/>
          <w:color w:val="auto"/>
          <w:kern w:val="0"/>
          <w:highlight w:val="none"/>
          <w:lang w:val="zh-CN"/>
        </w:rPr>
        <w:t>.3.5必要的法律依据；</w:t>
      </w:r>
    </w:p>
    <w:p>
      <w:pPr>
        <w:pStyle w:val="33"/>
        <w:spacing w:line="360" w:lineRule="auto"/>
        <w:ind w:firstLine="840" w:firstLineChars="400"/>
        <w:rPr>
          <w:rFonts w:asciiTheme="minorEastAsia" w:hAnsiTheme="minorEastAsia" w:eastAsiaTheme="minorEastAsia" w:cstheme="minorEastAsia"/>
          <w:color w:val="auto"/>
          <w:kern w:val="0"/>
          <w:highlight w:val="none"/>
          <w:lang w:val="zh-CN"/>
        </w:rPr>
      </w:pPr>
      <w:r>
        <w:rPr>
          <w:rFonts w:hint="eastAsia" w:asciiTheme="minorEastAsia" w:hAnsiTheme="minorEastAsia" w:eastAsiaTheme="minorEastAsia" w:cstheme="minorEastAsia"/>
          <w:color w:val="auto"/>
          <w:kern w:val="0"/>
          <w:highlight w:val="none"/>
          <w:lang w:val="zh-CN"/>
        </w:rPr>
        <w:t>4.</w:t>
      </w:r>
      <w:r>
        <w:rPr>
          <w:rFonts w:hint="eastAsia" w:asciiTheme="minorEastAsia" w:hAnsiTheme="minorEastAsia" w:eastAsiaTheme="minorEastAsia" w:cstheme="minorEastAsia"/>
          <w:color w:val="auto"/>
          <w:kern w:val="0"/>
          <w:highlight w:val="none"/>
        </w:rPr>
        <w:t>2</w:t>
      </w:r>
      <w:r>
        <w:rPr>
          <w:rFonts w:hint="eastAsia" w:asciiTheme="minorEastAsia" w:hAnsiTheme="minorEastAsia" w:eastAsiaTheme="minorEastAsia" w:cstheme="minorEastAsia"/>
          <w:color w:val="auto"/>
          <w:kern w:val="0"/>
          <w:highlight w:val="none"/>
          <w:lang w:val="zh-CN"/>
        </w:rPr>
        <w:t>.3.6提出质疑的日期。</w:t>
      </w:r>
    </w:p>
    <w:p>
      <w:pPr>
        <w:pStyle w:val="33"/>
        <w:spacing w:line="360" w:lineRule="auto"/>
        <w:ind w:firstLine="420" w:firstLineChars="200"/>
        <w:rPr>
          <w:rFonts w:asciiTheme="minorEastAsia" w:hAnsiTheme="minorEastAsia" w:eastAsiaTheme="minorEastAsia" w:cstheme="minorEastAsia"/>
          <w:color w:val="auto"/>
          <w:kern w:val="0"/>
          <w:highlight w:val="none"/>
          <w:lang w:val="zh-CN"/>
        </w:rPr>
      </w:pPr>
      <w:r>
        <w:rPr>
          <w:rFonts w:hint="eastAsia" w:asciiTheme="minorEastAsia" w:hAnsiTheme="minorEastAsia" w:eastAsiaTheme="minorEastAsia" w:cstheme="minorEastAsia"/>
          <w:color w:val="auto"/>
          <w:kern w:val="0"/>
          <w:highlight w:val="none"/>
          <w:lang w:val="zh-CN"/>
        </w:rPr>
        <w:t>供应商提交的质疑函需一式三份。供应商为自然人的，应当由本人签字；供应商为法人或者其他组织的，应当由法定代表人、主要负责人，或者其授权代表签字或者盖章，并加盖公章。</w:t>
      </w:r>
    </w:p>
    <w:p>
      <w:pPr>
        <w:pStyle w:val="33"/>
        <w:spacing w:line="360" w:lineRule="auto"/>
        <w:ind w:firstLine="420" w:firstLineChars="200"/>
        <w:rPr>
          <w:rFonts w:asciiTheme="minorEastAsia" w:hAnsiTheme="minorEastAsia" w:eastAsiaTheme="minorEastAsia" w:cstheme="minorEastAsia"/>
          <w:color w:val="auto"/>
          <w:kern w:val="0"/>
          <w:highlight w:val="none"/>
          <w:lang w:val="zh-CN"/>
        </w:rPr>
      </w:pPr>
      <w:r>
        <w:rPr>
          <w:rFonts w:hint="eastAsia" w:asciiTheme="minorEastAsia" w:hAnsiTheme="minorEastAsia" w:eastAsiaTheme="minorEastAsia" w:cstheme="minorEastAsia"/>
          <w:color w:val="auto"/>
          <w:kern w:val="0"/>
          <w:highlight w:val="none"/>
          <w:lang w:val="zh-CN"/>
        </w:rPr>
        <w:t>质疑函范本请到浙江政府采购网下载专区下载。</w:t>
      </w:r>
    </w:p>
    <w:p>
      <w:pPr>
        <w:pStyle w:val="33"/>
        <w:spacing w:line="360" w:lineRule="auto"/>
        <w:ind w:firstLine="420" w:firstLineChars="200"/>
        <w:rPr>
          <w:rFonts w:asciiTheme="minorEastAsia" w:hAnsiTheme="minorEastAsia" w:eastAsiaTheme="minorEastAsia" w:cstheme="minorEastAsia"/>
          <w:color w:val="auto"/>
          <w:kern w:val="0"/>
          <w:highlight w:val="none"/>
          <w:lang w:val="zh-CN"/>
        </w:rPr>
      </w:pPr>
      <w:r>
        <w:rPr>
          <w:rFonts w:hint="eastAsia" w:asciiTheme="minorEastAsia" w:hAnsiTheme="minorEastAsia" w:eastAsiaTheme="minorEastAsia" w:cstheme="minorEastAsia"/>
          <w:color w:val="auto"/>
          <w:kern w:val="0"/>
          <w:highlight w:val="none"/>
        </w:rPr>
        <w:t>4.2.4</w:t>
      </w:r>
      <w:r>
        <w:rPr>
          <w:rFonts w:hint="eastAsia" w:asciiTheme="minorEastAsia" w:hAnsiTheme="minorEastAsia" w:eastAsiaTheme="minorEastAsia" w:cstheme="minorEastAsia"/>
          <w:color w:val="auto"/>
          <w:kern w:val="0"/>
          <w:highlight w:val="none"/>
          <w:lang w:val="zh-CN"/>
        </w:rPr>
        <w:t>对同一采购程序环节的质疑，供应商须在法定质疑期内一次性提出。</w:t>
      </w:r>
    </w:p>
    <w:p>
      <w:pPr>
        <w:pStyle w:val="33"/>
        <w:spacing w:line="360" w:lineRule="auto"/>
        <w:ind w:firstLine="420" w:firstLineChars="200"/>
        <w:rPr>
          <w:rFonts w:asciiTheme="minorEastAsia" w:hAnsiTheme="minorEastAsia" w:eastAsiaTheme="minorEastAsia" w:cstheme="minorEastAsia"/>
          <w:color w:val="auto"/>
          <w:kern w:val="0"/>
          <w:highlight w:val="none"/>
          <w:lang w:val="zh-CN"/>
        </w:rPr>
      </w:pPr>
      <w:r>
        <w:rPr>
          <w:rFonts w:hint="eastAsia" w:asciiTheme="minorEastAsia" w:hAnsiTheme="minorEastAsia" w:eastAsiaTheme="minorEastAsia" w:cstheme="minorEastAsia"/>
          <w:color w:val="auto"/>
          <w:kern w:val="0"/>
          <w:highlight w:val="none"/>
        </w:rPr>
        <w:t>4.2.5</w:t>
      </w:r>
      <w:r>
        <w:rPr>
          <w:rFonts w:hint="eastAsia" w:asciiTheme="minorEastAsia" w:hAnsiTheme="minorEastAsia" w:eastAsiaTheme="minorEastAsia" w:cstheme="minorEastAsia"/>
          <w:color w:val="auto"/>
          <w:kern w:val="0"/>
          <w:highlight w:val="none"/>
          <w:lang w:val="zh-CN"/>
        </w:rPr>
        <w:t>采购人或者采购代理机构应当在收到供应商的书面质疑后七个工作日内作出答复，并以书面形式通知质疑供应商和其他与质疑处理结果有利害关系的政府采购当事人，但答复的内容不得涉及商业秘密。根据《</w:t>
      </w:r>
      <w:r>
        <w:rPr>
          <w:rFonts w:hint="eastAsia" w:asciiTheme="minorEastAsia" w:hAnsiTheme="minorEastAsia" w:eastAsiaTheme="minorEastAsia" w:cstheme="minorEastAsia"/>
          <w:color w:val="auto"/>
          <w:kern w:val="0"/>
          <w:highlight w:val="none"/>
        </w:rPr>
        <w:t>浙江省财政厅关于进一步加强政府采购公平竞争打造最优营商环境的通知</w:t>
      </w:r>
      <w:r>
        <w:rPr>
          <w:rFonts w:hint="eastAsia" w:asciiTheme="minorEastAsia" w:hAnsiTheme="minorEastAsia" w:eastAsiaTheme="minorEastAsia" w:cstheme="minorEastAsia"/>
          <w:color w:val="auto"/>
          <w:kern w:val="0"/>
          <w:highlight w:val="none"/>
          <w:lang w:val="zh-CN"/>
        </w:rPr>
        <w:t>》（</w:t>
      </w:r>
      <w:r>
        <w:rPr>
          <w:rFonts w:hint="eastAsia" w:asciiTheme="minorEastAsia" w:hAnsiTheme="minorEastAsia" w:eastAsiaTheme="minorEastAsia" w:cstheme="minorEastAsia"/>
          <w:color w:val="auto"/>
          <w:kern w:val="0"/>
          <w:highlight w:val="none"/>
        </w:rPr>
        <w:t>浙财</w:t>
      </w:r>
      <w:r>
        <w:rPr>
          <w:rFonts w:hint="eastAsia" w:asciiTheme="minorEastAsia" w:hAnsiTheme="minorEastAsia" w:eastAsiaTheme="minorEastAsia" w:cstheme="minorEastAsia"/>
          <w:color w:val="auto"/>
          <w:kern w:val="0"/>
          <w:highlight w:val="none"/>
          <w:lang w:val="zh-CN"/>
        </w:rPr>
        <w:t>采监〔2021〕</w:t>
      </w:r>
      <w:r>
        <w:rPr>
          <w:rFonts w:hint="eastAsia" w:asciiTheme="minorEastAsia" w:hAnsiTheme="minorEastAsia" w:eastAsiaTheme="minorEastAsia" w:cstheme="minorEastAsia"/>
          <w:color w:val="auto"/>
          <w:kern w:val="0"/>
          <w:highlight w:val="none"/>
        </w:rPr>
        <w:t>22</w:t>
      </w:r>
      <w:r>
        <w:rPr>
          <w:rFonts w:hint="eastAsia" w:asciiTheme="minorEastAsia" w:hAnsiTheme="minorEastAsia" w:eastAsiaTheme="minorEastAsia" w:cstheme="minorEastAsia"/>
          <w:color w:val="auto"/>
          <w:kern w:val="0"/>
          <w:highlight w:val="none"/>
          <w:lang w:val="zh-CN"/>
        </w:rPr>
        <w:t>号）,采购人或者采购代理机构在质疑回复后5个工作日内，在浙江政府采购网的“其他公告”栏目公开质疑答复，答复内容应当完整。质疑函作为附件上传。</w:t>
      </w:r>
    </w:p>
    <w:p>
      <w:pPr>
        <w:pStyle w:val="33"/>
        <w:spacing w:line="360" w:lineRule="auto"/>
        <w:ind w:firstLine="420" w:firstLineChars="200"/>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4</w:t>
      </w:r>
      <w:r>
        <w:rPr>
          <w:rFonts w:hint="eastAsia" w:asciiTheme="minorEastAsia" w:hAnsiTheme="minorEastAsia" w:eastAsiaTheme="minorEastAsia" w:cstheme="minorEastAsia"/>
          <w:color w:val="auto"/>
          <w:kern w:val="0"/>
          <w:highlight w:val="none"/>
          <w:lang w:val="zh-CN"/>
        </w:rPr>
        <w:t>.2</w:t>
      </w:r>
      <w:r>
        <w:rPr>
          <w:rFonts w:hint="eastAsia" w:asciiTheme="minorEastAsia" w:hAnsiTheme="minorEastAsia" w:eastAsiaTheme="minorEastAsia" w:cstheme="minorEastAsia"/>
          <w:color w:val="auto"/>
          <w:kern w:val="0"/>
          <w:highlight w:val="none"/>
        </w:rPr>
        <w:t>.5询问或者质疑事项可能影响采购结果的，采购人应当暂停签订合同，已经签订合同的，应当中止履行合同。</w:t>
      </w:r>
    </w:p>
    <w:p>
      <w:pPr>
        <w:pStyle w:val="33"/>
        <w:spacing w:line="360" w:lineRule="auto"/>
        <w:ind w:firstLine="420" w:firstLineChars="200"/>
        <w:outlineLvl w:val="3"/>
        <w:rPr>
          <w:rFonts w:asciiTheme="minorEastAsia" w:hAnsiTheme="minorEastAsia" w:eastAsiaTheme="minorEastAsia" w:cstheme="minorEastAsia"/>
          <w:color w:val="auto"/>
          <w:kern w:val="0"/>
          <w:highlight w:val="none"/>
          <w:lang w:val="zh-CN"/>
        </w:rPr>
      </w:pPr>
      <w:r>
        <w:rPr>
          <w:rFonts w:hint="eastAsia" w:asciiTheme="minorEastAsia" w:hAnsiTheme="minorEastAsia" w:eastAsiaTheme="minorEastAsia" w:cstheme="minorEastAsia"/>
          <w:color w:val="auto"/>
          <w:kern w:val="0"/>
          <w:highlight w:val="none"/>
        </w:rPr>
        <w:t>4</w:t>
      </w:r>
      <w:r>
        <w:rPr>
          <w:rFonts w:hint="eastAsia" w:asciiTheme="minorEastAsia" w:hAnsiTheme="minorEastAsia" w:eastAsiaTheme="minorEastAsia" w:cstheme="minorEastAsia"/>
          <w:color w:val="auto"/>
          <w:kern w:val="0"/>
          <w:highlight w:val="none"/>
          <w:lang w:val="zh-CN"/>
        </w:rPr>
        <w:t>.3供应商投诉</w:t>
      </w:r>
    </w:p>
    <w:p>
      <w:pPr>
        <w:pStyle w:val="33"/>
        <w:spacing w:line="360" w:lineRule="auto"/>
        <w:ind w:firstLine="420" w:firstLineChars="200"/>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4.3.1质疑供应商对采购人、采购代理机构的答复不满意或者采购人、采购代理机构未在规定的时间内作出答复的，可以在答复期满后十五个工作日内向同级政府采购监督管理部门提出投诉。</w:t>
      </w:r>
    </w:p>
    <w:p>
      <w:pPr>
        <w:pStyle w:val="33"/>
        <w:spacing w:line="360" w:lineRule="auto"/>
        <w:ind w:firstLine="420" w:firstLineChars="200"/>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4.3.</w:t>
      </w:r>
      <w:r>
        <w:rPr>
          <w:rFonts w:hint="eastAsia" w:asciiTheme="minorEastAsia" w:hAnsiTheme="minorEastAsia" w:eastAsiaTheme="minorEastAsia" w:cstheme="minorEastAsia"/>
          <w:color w:val="auto"/>
          <w:kern w:val="0"/>
          <w:highlight w:val="none"/>
          <w:lang w:val="zh-CN"/>
        </w:rPr>
        <w:t>2</w:t>
      </w:r>
      <w:r>
        <w:rPr>
          <w:rFonts w:hint="eastAsia" w:asciiTheme="minorEastAsia" w:hAnsiTheme="minorEastAsia" w:eastAsiaTheme="minorEastAsia" w:cstheme="minorEastAsia"/>
          <w:color w:val="auto"/>
          <w:kern w:val="0"/>
          <w:highlight w:val="none"/>
        </w:rPr>
        <w:t>供应商投诉的事项不得超出已质疑事项的范围，基于质疑答复内容提出的投诉事项除外。</w:t>
      </w:r>
    </w:p>
    <w:p>
      <w:pPr>
        <w:pStyle w:val="33"/>
        <w:spacing w:line="360" w:lineRule="auto"/>
        <w:ind w:firstLine="420" w:firstLineChars="200"/>
        <w:outlineLvl w:val="4"/>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4.3.3供应商投诉应当有明确的请求和必要的证明材料。</w:t>
      </w:r>
    </w:p>
    <w:p>
      <w:pPr>
        <w:pStyle w:val="33"/>
        <w:spacing w:line="360" w:lineRule="auto"/>
        <w:ind w:firstLine="420" w:firstLineChars="200"/>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4.3.5 以联合体形式参加政府采购活动的，其投诉应当由组成联合体的所有供应商共同提出。</w:t>
      </w:r>
    </w:p>
    <w:p>
      <w:pPr>
        <w:pStyle w:val="33"/>
        <w:spacing w:line="360" w:lineRule="auto"/>
        <w:ind w:firstLine="420" w:firstLineChars="200"/>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投诉书范本请到浙江政府采购网下载专区下载。</w:t>
      </w:r>
    </w:p>
    <w:p>
      <w:pPr>
        <w:pStyle w:val="133"/>
        <w:snapToGrid w:val="0"/>
        <w:spacing w:before="0"/>
        <w:ind w:firstLine="360"/>
        <w:rPr>
          <w:rFonts w:ascii="宋体" w:hAnsi="宋体" w:cs="宋体"/>
          <w:color w:val="auto"/>
          <w:sz w:val="18"/>
          <w:szCs w:val="18"/>
          <w:highlight w:val="none"/>
        </w:rPr>
      </w:pPr>
    </w:p>
    <w:p>
      <w:pPr>
        <w:adjustRightInd/>
        <w:spacing w:line="360" w:lineRule="auto"/>
        <w:jc w:val="center"/>
        <w:outlineLvl w:val="1"/>
        <w:rPr>
          <w:rFonts w:ascii="宋体" w:hAnsi="宋体" w:cs="宋体"/>
          <w:b/>
          <w:color w:val="auto"/>
          <w:sz w:val="32"/>
          <w:szCs w:val="20"/>
          <w:highlight w:val="none"/>
        </w:rPr>
      </w:pPr>
      <w:r>
        <w:rPr>
          <w:rFonts w:hint="eastAsia" w:ascii="宋体" w:hAnsi="宋体" w:cs="宋体"/>
          <w:b/>
          <w:color w:val="auto"/>
          <w:sz w:val="32"/>
          <w:szCs w:val="20"/>
          <w:highlight w:val="none"/>
        </w:rPr>
        <w:t xml:space="preserve">      </w:t>
      </w:r>
      <w:bookmarkStart w:id="34" w:name="_Toc20717"/>
      <w:r>
        <w:rPr>
          <w:rFonts w:hint="eastAsia" w:ascii="宋体" w:hAnsi="宋体" w:cs="宋体"/>
          <w:b/>
          <w:color w:val="auto"/>
          <w:sz w:val="32"/>
          <w:szCs w:val="20"/>
          <w:highlight w:val="none"/>
        </w:rPr>
        <w:t>二、招标文件的构成、澄清、修改</w:t>
      </w:r>
      <w:bookmarkEnd w:id="34"/>
    </w:p>
    <w:p>
      <w:pPr>
        <w:pStyle w:val="33"/>
        <w:spacing w:line="360" w:lineRule="auto"/>
        <w:outlineLvl w:val="2"/>
        <w:rPr>
          <w:rFonts w:hAnsi="宋体" w:cs="宋体"/>
          <w:b/>
          <w:color w:val="auto"/>
          <w:highlight w:val="none"/>
        </w:rPr>
      </w:pPr>
      <w:r>
        <w:rPr>
          <w:rFonts w:hint="eastAsia" w:hAnsi="宋体" w:cs="宋体"/>
          <w:b/>
          <w:color w:val="auto"/>
          <w:highlight w:val="none"/>
        </w:rPr>
        <w:t>5．招标文件的构成</w:t>
      </w:r>
    </w:p>
    <w:p>
      <w:pPr>
        <w:pStyle w:val="33"/>
        <w:spacing w:line="360" w:lineRule="auto"/>
        <w:ind w:firstLine="420" w:firstLineChars="200"/>
        <w:outlineLvl w:val="3"/>
        <w:rPr>
          <w:rFonts w:hAnsi="宋体" w:cs="宋体"/>
          <w:color w:val="auto"/>
          <w:highlight w:val="none"/>
        </w:rPr>
      </w:pPr>
      <w:r>
        <w:rPr>
          <w:rFonts w:hint="eastAsia" w:hAnsi="宋体" w:cs="宋体"/>
          <w:color w:val="auto"/>
          <w:highlight w:val="none"/>
        </w:rPr>
        <w:t>5.1 招标文件包括下列文件及附件：</w:t>
      </w:r>
    </w:p>
    <w:p>
      <w:pPr>
        <w:pStyle w:val="33"/>
        <w:tabs>
          <w:tab w:val="left" w:pos="840"/>
        </w:tabs>
        <w:spacing w:line="360" w:lineRule="auto"/>
        <w:ind w:firstLine="840" w:firstLineChars="400"/>
        <w:rPr>
          <w:rFonts w:hAnsi="宋体" w:cs="宋体"/>
          <w:color w:val="auto"/>
          <w:highlight w:val="none"/>
        </w:rPr>
      </w:pPr>
      <w:r>
        <w:rPr>
          <w:rFonts w:hint="eastAsia" w:hAnsi="宋体" w:cs="宋体"/>
          <w:color w:val="auto"/>
          <w:highlight w:val="none"/>
        </w:rPr>
        <w:t>5.1.1招标公告；</w:t>
      </w:r>
    </w:p>
    <w:p>
      <w:pPr>
        <w:pStyle w:val="33"/>
        <w:tabs>
          <w:tab w:val="left" w:pos="840"/>
        </w:tabs>
        <w:spacing w:line="360" w:lineRule="auto"/>
        <w:ind w:firstLine="840" w:firstLineChars="400"/>
        <w:rPr>
          <w:rFonts w:hAnsi="宋体" w:cs="宋体"/>
          <w:color w:val="auto"/>
          <w:highlight w:val="none"/>
        </w:rPr>
      </w:pPr>
      <w:r>
        <w:rPr>
          <w:rFonts w:hint="eastAsia" w:hAnsi="宋体" w:cs="宋体"/>
          <w:color w:val="auto"/>
          <w:highlight w:val="none"/>
        </w:rPr>
        <w:t>5.1.2投标人须知；</w:t>
      </w:r>
    </w:p>
    <w:p>
      <w:pPr>
        <w:pStyle w:val="33"/>
        <w:tabs>
          <w:tab w:val="left" w:pos="840"/>
        </w:tabs>
        <w:spacing w:line="360" w:lineRule="auto"/>
        <w:ind w:firstLine="840" w:firstLineChars="400"/>
        <w:rPr>
          <w:rFonts w:hAnsi="宋体" w:cs="宋体"/>
          <w:color w:val="auto"/>
          <w:highlight w:val="none"/>
        </w:rPr>
      </w:pPr>
      <w:r>
        <w:rPr>
          <w:rFonts w:hint="eastAsia" w:hAnsi="宋体" w:cs="宋体"/>
          <w:color w:val="auto"/>
          <w:highlight w:val="none"/>
        </w:rPr>
        <w:t>5.1.3采购需求；</w:t>
      </w:r>
    </w:p>
    <w:p>
      <w:pPr>
        <w:pStyle w:val="33"/>
        <w:tabs>
          <w:tab w:val="left" w:pos="840"/>
        </w:tabs>
        <w:spacing w:line="360" w:lineRule="auto"/>
        <w:ind w:firstLine="840" w:firstLineChars="400"/>
        <w:rPr>
          <w:rFonts w:hAnsi="宋体" w:cs="宋体"/>
          <w:color w:val="auto"/>
          <w:highlight w:val="none"/>
        </w:rPr>
      </w:pPr>
      <w:r>
        <w:rPr>
          <w:rFonts w:hint="eastAsia" w:hAnsi="宋体" w:cs="宋体"/>
          <w:color w:val="auto"/>
          <w:highlight w:val="none"/>
        </w:rPr>
        <w:t>5.1.4评标办法；</w:t>
      </w:r>
    </w:p>
    <w:p>
      <w:pPr>
        <w:pStyle w:val="33"/>
        <w:tabs>
          <w:tab w:val="left" w:pos="840"/>
        </w:tabs>
        <w:spacing w:line="360" w:lineRule="auto"/>
        <w:ind w:firstLine="840" w:firstLineChars="400"/>
        <w:rPr>
          <w:rFonts w:hAnsi="宋体" w:cs="宋体"/>
          <w:color w:val="auto"/>
          <w:highlight w:val="none"/>
        </w:rPr>
      </w:pPr>
      <w:r>
        <w:rPr>
          <w:rFonts w:hint="eastAsia" w:hAnsi="宋体" w:cs="宋体"/>
          <w:color w:val="auto"/>
          <w:highlight w:val="none"/>
        </w:rPr>
        <w:t>5.1.5拟签订的合同文本；</w:t>
      </w:r>
    </w:p>
    <w:p>
      <w:pPr>
        <w:pStyle w:val="33"/>
        <w:tabs>
          <w:tab w:val="left" w:pos="840"/>
        </w:tabs>
        <w:spacing w:line="360" w:lineRule="auto"/>
        <w:ind w:firstLine="840" w:firstLineChars="400"/>
        <w:rPr>
          <w:rFonts w:hAnsi="宋体" w:cs="宋体"/>
          <w:color w:val="auto"/>
          <w:highlight w:val="none"/>
        </w:rPr>
      </w:pPr>
      <w:r>
        <w:rPr>
          <w:rFonts w:hint="eastAsia" w:hAnsi="宋体" w:cs="宋体"/>
          <w:color w:val="auto"/>
          <w:highlight w:val="none"/>
        </w:rPr>
        <w:t>5.1.6应提交的有关格式范例。</w:t>
      </w:r>
    </w:p>
    <w:p>
      <w:pPr>
        <w:spacing w:line="360" w:lineRule="auto"/>
        <w:ind w:firstLine="420" w:firstLineChars="200"/>
        <w:outlineLvl w:val="3"/>
        <w:rPr>
          <w:rFonts w:ascii="宋体" w:hAnsi="宋体" w:cs="宋体"/>
          <w:color w:val="auto"/>
          <w:szCs w:val="21"/>
          <w:highlight w:val="none"/>
        </w:rPr>
      </w:pPr>
      <w:r>
        <w:rPr>
          <w:rFonts w:hint="eastAsia" w:ascii="宋体" w:hAnsi="宋体" w:cs="宋体"/>
          <w:color w:val="auto"/>
          <w:szCs w:val="21"/>
          <w:highlight w:val="none"/>
        </w:rPr>
        <w:t>5.2与本项目有关的</w:t>
      </w:r>
      <w:r>
        <w:rPr>
          <w:rFonts w:hint="eastAsia" w:ascii="宋体" w:hAnsi="宋体" w:cs="宋体"/>
          <w:bCs/>
          <w:color w:val="auto"/>
          <w:szCs w:val="21"/>
          <w:highlight w:val="none"/>
        </w:rPr>
        <w:t>澄清或者修改的内容为招标文件的组成部分</w:t>
      </w:r>
      <w:r>
        <w:rPr>
          <w:rFonts w:hint="eastAsia" w:ascii="宋体" w:hAnsi="宋体" w:cs="宋体"/>
          <w:color w:val="auto"/>
          <w:szCs w:val="21"/>
          <w:highlight w:val="none"/>
        </w:rPr>
        <w:t>。</w:t>
      </w:r>
    </w:p>
    <w:p>
      <w:pPr>
        <w:pStyle w:val="33"/>
        <w:spacing w:line="360" w:lineRule="auto"/>
        <w:outlineLvl w:val="2"/>
        <w:rPr>
          <w:rFonts w:hAnsi="宋体" w:cs="宋体"/>
          <w:b/>
          <w:color w:val="auto"/>
          <w:highlight w:val="none"/>
        </w:rPr>
      </w:pPr>
      <w:r>
        <w:rPr>
          <w:rFonts w:hint="eastAsia" w:hAnsi="宋体" w:cs="宋体"/>
          <w:b/>
          <w:color w:val="auto"/>
          <w:highlight w:val="none"/>
        </w:rPr>
        <w:t>6. 招标文件的澄清、修改</w:t>
      </w:r>
    </w:p>
    <w:p>
      <w:pPr>
        <w:pStyle w:val="133"/>
        <w:snapToGrid w:val="0"/>
        <w:spacing w:before="0"/>
        <w:ind w:firstLine="420"/>
        <w:rPr>
          <w:rFonts w:ascii="宋体" w:hAnsi="宋体" w:cs="宋体"/>
          <w:color w:val="auto"/>
          <w:sz w:val="21"/>
          <w:szCs w:val="21"/>
          <w:highlight w:val="none"/>
        </w:rPr>
      </w:pPr>
      <w:r>
        <w:rPr>
          <w:rFonts w:hint="eastAsia" w:ascii="宋体" w:hAnsi="宋体" w:cs="宋体"/>
          <w:color w:val="auto"/>
          <w:sz w:val="21"/>
          <w:szCs w:val="21"/>
          <w:highlight w:val="none"/>
        </w:rPr>
        <w:t>6.1已获取招标文件的潜在投标人，若有问题需要澄清，应于投标截止时间前，以书面形式向采购代理机构提出。</w:t>
      </w:r>
    </w:p>
    <w:p>
      <w:pPr>
        <w:pStyle w:val="133"/>
        <w:snapToGrid w:val="0"/>
        <w:spacing w:before="0"/>
        <w:ind w:firstLine="420"/>
        <w:rPr>
          <w:rFonts w:ascii="宋体" w:hAnsi="宋体" w:cs="宋体"/>
          <w:color w:val="auto"/>
          <w:sz w:val="21"/>
          <w:szCs w:val="21"/>
          <w:highlight w:val="none"/>
        </w:rPr>
      </w:pPr>
      <w:r>
        <w:rPr>
          <w:rFonts w:hint="eastAsia" w:ascii="宋体" w:hAnsi="宋体" w:cs="宋体"/>
          <w:color w:val="auto"/>
          <w:sz w:val="21"/>
          <w:szCs w:val="21"/>
          <w:highlight w:val="none"/>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4"/>
        <w:rPr>
          <w:rFonts w:hAnsi="宋体" w:cs="宋体"/>
          <w:color w:val="auto"/>
          <w:sz w:val="18"/>
          <w:szCs w:val="18"/>
          <w:highlight w:val="none"/>
          <w:lang w:val="en-US"/>
        </w:rPr>
      </w:pPr>
      <w:r>
        <w:rPr>
          <w:rFonts w:hint="eastAsia" w:hAnsi="宋体" w:cs="宋体"/>
          <w:color w:val="auto"/>
          <w:szCs w:val="24"/>
          <w:highlight w:val="none"/>
          <w:lang w:val="en-US"/>
        </w:rPr>
        <w:t xml:space="preserve">    </w:t>
      </w:r>
    </w:p>
    <w:p>
      <w:pPr>
        <w:adjustRightInd/>
        <w:spacing w:line="360" w:lineRule="auto"/>
        <w:jc w:val="center"/>
        <w:outlineLvl w:val="1"/>
        <w:rPr>
          <w:rFonts w:ascii="宋体" w:hAnsi="宋体" w:cs="宋体"/>
          <w:b/>
          <w:color w:val="auto"/>
          <w:sz w:val="30"/>
          <w:szCs w:val="20"/>
          <w:highlight w:val="none"/>
        </w:rPr>
      </w:pPr>
      <w:bookmarkStart w:id="35" w:name="_Toc6708"/>
      <w:r>
        <w:rPr>
          <w:rFonts w:hint="eastAsia" w:ascii="宋体" w:hAnsi="宋体" w:cs="宋体"/>
          <w:b/>
          <w:color w:val="auto"/>
          <w:sz w:val="30"/>
          <w:szCs w:val="20"/>
          <w:highlight w:val="none"/>
        </w:rPr>
        <w:t>三、投标</w:t>
      </w:r>
      <w:bookmarkEnd w:id="35"/>
    </w:p>
    <w:p>
      <w:pPr>
        <w:pStyle w:val="33"/>
        <w:spacing w:line="360" w:lineRule="auto"/>
        <w:outlineLvl w:val="2"/>
        <w:rPr>
          <w:rFonts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7. 招标文件的获取</w:t>
      </w:r>
    </w:p>
    <w:p>
      <w:pPr>
        <w:spacing w:line="360" w:lineRule="auto"/>
        <w:ind w:firstLine="420" w:firstLineChars="200"/>
        <w:rPr>
          <w:rFonts w:asciiTheme="minorEastAsia" w:hAnsiTheme="minorEastAsia" w:eastAsiaTheme="minorEastAsia" w:cstheme="minorEastAsia"/>
          <w:snapToGrid w:val="0"/>
          <w:color w:val="auto"/>
          <w:kern w:val="28"/>
          <w:szCs w:val="21"/>
          <w:highlight w:val="none"/>
        </w:rPr>
      </w:pPr>
      <w:r>
        <w:rPr>
          <w:rFonts w:hint="eastAsia" w:asciiTheme="minorEastAsia" w:hAnsiTheme="minorEastAsia" w:eastAsiaTheme="minorEastAsia" w:cstheme="minorEastAsia"/>
          <w:snapToGrid w:val="0"/>
          <w:color w:val="auto"/>
          <w:kern w:val="28"/>
          <w:szCs w:val="21"/>
          <w:highlight w:val="none"/>
        </w:rPr>
        <w:t>详见招标公告中获取招标文件的时间期限、地点、方式及招标文件售价。</w:t>
      </w:r>
    </w:p>
    <w:p>
      <w:pPr>
        <w:pStyle w:val="33"/>
        <w:spacing w:line="360" w:lineRule="auto"/>
        <w:outlineLvl w:val="2"/>
        <w:rPr>
          <w:rFonts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8.开标前答疑会或现场考察</w:t>
      </w:r>
    </w:p>
    <w:p>
      <w:pPr>
        <w:pStyle w:val="33"/>
        <w:spacing w:line="360" w:lineRule="auto"/>
        <w:ind w:firstLine="42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采购人组织潜在投标人现场考察或者召开开标前答疑会的，潜在投标人按第二部分投标人须知前附表的规定参加现场考察或者开标前答疑会。</w:t>
      </w:r>
    </w:p>
    <w:p>
      <w:pPr>
        <w:pStyle w:val="33"/>
        <w:spacing w:line="360" w:lineRule="auto"/>
        <w:outlineLvl w:val="2"/>
        <w:rPr>
          <w:rFonts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kern w:val="28"/>
          <w:highlight w:val="none"/>
        </w:rPr>
        <w:t>9.投标保证金</w:t>
      </w:r>
    </w:p>
    <w:p>
      <w:pPr>
        <w:pStyle w:val="16"/>
        <w:spacing w:line="360" w:lineRule="auto"/>
        <w:ind w:firstLine="411" w:firstLineChars="196"/>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本项目不需缴纳投标保证金。</w:t>
      </w:r>
    </w:p>
    <w:p>
      <w:pPr>
        <w:pStyle w:val="33"/>
        <w:spacing w:line="360" w:lineRule="auto"/>
        <w:outlineLvl w:val="2"/>
        <w:rPr>
          <w:rFonts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10. 投标文件的语言</w:t>
      </w:r>
    </w:p>
    <w:p>
      <w:pPr>
        <w:autoSpaceDE w:val="0"/>
        <w:autoSpaceDN w:val="0"/>
        <w:spacing w:line="360" w:lineRule="auto"/>
        <w:ind w:firstLine="420" w:firstLineChars="200"/>
        <w:rPr>
          <w:rFonts w:asciiTheme="minorEastAsia" w:hAnsiTheme="minorEastAsia" w:eastAsiaTheme="minorEastAsia" w:cstheme="minorEastAsia"/>
          <w:color w:val="auto"/>
          <w:szCs w:val="21"/>
          <w:highlight w:val="none"/>
          <w:lang w:val="zh-CN"/>
        </w:rPr>
      </w:pPr>
      <w:r>
        <w:rPr>
          <w:rFonts w:hint="eastAsia" w:asciiTheme="minorEastAsia" w:hAnsiTheme="minorEastAsia" w:eastAsiaTheme="minorEastAsia" w:cstheme="minorEastAsia"/>
          <w:color w:val="auto"/>
          <w:szCs w:val="21"/>
          <w:highlight w:val="none"/>
        </w:rPr>
        <w:t>投标文件及投标人与采购有关的来往通知、函件和文件均应使用中文。</w:t>
      </w:r>
    </w:p>
    <w:p>
      <w:pPr>
        <w:pStyle w:val="33"/>
        <w:spacing w:line="360" w:lineRule="auto"/>
        <w:outlineLvl w:val="2"/>
        <w:rPr>
          <w:rFonts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11. 投标文件的组成</w:t>
      </w:r>
    </w:p>
    <w:p>
      <w:pPr>
        <w:snapToGrid w:val="0"/>
        <w:spacing w:line="360" w:lineRule="auto"/>
        <w:ind w:firstLine="420" w:firstLineChars="200"/>
        <w:outlineLvl w:val="3"/>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11.1</w:t>
      </w:r>
      <w:r>
        <w:rPr>
          <w:rFonts w:hint="eastAsia" w:asciiTheme="minorEastAsia" w:hAnsiTheme="minorEastAsia" w:eastAsiaTheme="minorEastAsia" w:cstheme="minorEastAsia"/>
          <w:b/>
          <w:color w:val="auto"/>
          <w:szCs w:val="21"/>
          <w:highlight w:val="none"/>
        </w:rPr>
        <w:t>资格文件</w:t>
      </w:r>
      <w:r>
        <w:rPr>
          <w:rFonts w:hint="eastAsia" w:asciiTheme="minorEastAsia" w:hAnsiTheme="minorEastAsia" w:eastAsiaTheme="minorEastAsia" w:cstheme="minorEastAsia"/>
          <w:color w:val="auto"/>
          <w:szCs w:val="21"/>
          <w:highlight w:val="none"/>
        </w:rPr>
        <w:t>：</w:t>
      </w:r>
    </w:p>
    <w:p>
      <w:pPr>
        <w:snapToGrid w:val="0"/>
        <w:spacing w:line="360" w:lineRule="auto"/>
        <w:ind w:left="479" w:leftChars="228"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11.1.1有效的企业营业执照（或事业法人登记证）、其他组织（个体工商户）的营业执照或者民办非企业单位登记证书；</w:t>
      </w:r>
    </w:p>
    <w:p>
      <w:pPr>
        <w:snapToGrid w:val="0"/>
        <w:spacing w:line="360" w:lineRule="auto"/>
        <w:ind w:firstLine="840" w:firstLineChars="400"/>
        <w:outlineLvl w:val="4"/>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11.1.2符合参加政府采购活动应当具备的一般条件的承诺函；</w:t>
      </w:r>
    </w:p>
    <w:p>
      <w:pPr>
        <w:snapToGrid w:val="0"/>
        <w:spacing w:line="360" w:lineRule="auto"/>
        <w:ind w:firstLine="840" w:firstLineChars="400"/>
        <w:rPr>
          <w:rFonts w:hint="eastAsia" w:asciiTheme="minorEastAsia" w:hAnsiTheme="minorEastAsia" w:eastAsiaTheme="minorEastAsia" w:cstheme="minorEastAsia"/>
          <w:snapToGrid w:val="0"/>
          <w:color w:val="auto"/>
          <w:kern w:val="28"/>
          <w:szCs w:val="21"/>
          <w:highlight w:val="none"/>
          <w:lang w:val="en-US" w:eastAsia="zh-CN"/>
        </w:rPr>
      </w:pPr>
      <w:r>
        <w:rPr>
          <w:rFonts w:hint="eastAsia" w:asciiTheme="minorEastAsia" w:hAnsiTheme="minorEastAsia" w:eastAsiaTheme="minorEastAsia" w:cstheme="minorEastAsia"/>
          <w:color w:val="auto"/>
          <w:szCs w:val="21"/>
          <w:highlight w:val="none"/>
        </w:rPr>
        <w:t>11.1.</w:t>
      </w:r>
      <w:bookmarkStart w:id="36" w:name="_Hlk101259339"/>
      <w:r>
        <w:rPr>
          <w:rFonts w:hint="eastAsia" w:asciiTheme="minorEastAsia" w:hAnsiTheme="minorEastAsia" w:eastAsiaTheme="minorEastAsia" w:cstheme="minorEastAsia"/>
          <w:color w:val="auto"/>
          <w:szCs w:val="21"/>
          <w:highlight w:val="none"/>
        </w:rPr>
        <w:t>3</w:t>
      </w:r>
      <w:bookmarkEnd w:id="36"/>
      <w:r>
        <w:rPr>
          <w:rFonts w:hint="eastAsia" w:asciiTheme="minorEastAsia" w:hAnsiTheme="minorEastAsia" w:eastAsiaTheme="minorEastAsia" w:cstheme="minorEastAsia"/>
          <w:color w:val="auto"/>
          <w:szCs w:val="21"/>
          <w:highlight w:val="none"/>
        </w:rPr>
        <w:t>落实政府采购政策需满足的资格要求（提供下列证明材料之一）</w:t>
      </w:r>
      <w:r>
        <w:rPr>
          <w:rFonts w:hint="eastAsia" w:asciiTheme="minorEastAsia" w:hAnsiTheme="minorEastAsia" w:eastAsiaTheme="minorEastAsia" w:cstheme="minorEastAsia"/>
          <w:snapToGrid w:val="0"/>
          <w:color w:val="auto"/>
          <w:kern w:val="28"/>
          <w:szCs w:val="21"/>
          <w:highlight w:val="none"/>
        </w:rPr>
        <w:t>：</w:t>
      </w:r>
      <w:r>
        <w:rPr>
          <w:rFonts w:hint="eastAsia" w:asciiTheme="minorEastAsia" w:hAnsiTheme="minorEastAsia" w:eastAsiaTheme="minorEastAsia" w:cstheme="minorEastAsia"/>
          <w:snapToGrid w:val="0"/>
          <w:color w:val="auto"/>
          <w:kern w:val="28"/>
          <w:szCs w:val="21"/>
          <w:highlight w:val="none"/>
          <w:lang w:val="en-US" w:eastAsia="zh-CN"/>
        </w:rPr>
        <w:t>无</w:t>
      </w:r>
    </w:p>
    <w:p>
      <w:pPr>
        <w:snapToGrid w:val="0"/>
        <w:spacing w:line="360" w:lineRule="auto"/>
        <w:ind w:firstLine="840" w:firstLineChars="4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11.1.4本项目的特定资格要求：</w:t>
      </w:r>
      <w:r>
        <w:rPr>
          <w:rFonts w:hint="eastAsia" w:asciiTheme="minorEastAsia" w:hAnsiTheme="minorEastAsia" w:eastAsiaTheme="minorEastAsia" w:cstheme="minorEastAsia"/>
          <w:color w:val="auto"/>
          <w:szCs w:val="21"/>
          <w:highlight w:val="none"/>
          <w:lang w:val="en-US" w:eastAsia="zh-CN"/>
        </w:rPr>
        <w:t>提供</w:t>
      </w:r>
      <w:r>
        <w:rPr>
          <w:rFonts w:hint="eastAsia" w:ascii="宋体" w:hAnsi="宋体" w:cs="宋体"/>
          <w:color w:val="auto"/>
          <w:kern w:val="0"/>
          <w:szCs w:val="21"/>
          <w:highlight w:val="none"/>
        </w:rPr>
        <w:t>基础电信运营商资质的企业(或其分支机构)或有线电视</w:t>
      </w:r>
      <w:r>
        <w:rPr>
          <w:rFonts w:hint="eastAsia" w:ascii="宋体" w:hAnsi="宋体" w:cs="宋体"/>
          <w:color w:val="auto"/>
          <w:kern w:val="0"/>
          <w:szCs w:val="21"/>
          <w:highlight w:val="none"/>
          <w:lang w:val="en-US" w:eastAsia="zh-CN"/>
        </w:rPr>
        <w:t>网络</w:t>
      </w:r>
      <w:r>
        <w:rPr>
          <w:rFonts w:hint="eastAsia" w:ascii="宋体" w:hAnsi="宋体" w:cs="宋体"/>
          <w:color w:val="auto"/>
          <w:kern w:val="0"/>
          <w:szCs w:val="21"/>
          <w:highlight w:val="none"/>
        </w:rPr>
        <w:t>运营商</w:t>
      </w:r>
      <w:r>
        <w:rPr>
          <w:rFonts w:hint="eastAsia" w:ascii="宋体" w:hAnsi="宋体" w:cs="宋体"/>
          <w:color w:val="auto"/>
          <w:kern w:val="0"/>
          <w:szCs w:val="21"/>
          <w:highlight w:val="none"/>
          <w:lang w:val="en-US" w:eastAsia="zh-CN"/>
        </w:rPr>
        <w:t>证明材料</w:t>
      </w:r>
      <w:r>
        <w:rPr>
          <w:rFonts w:hint="eastAsia" w:asciiTheme="minorEastAsia" w:hAnsiTheme="minorEastAsia" w:eastAsiaTheme="minorEastAsia" w:cstheme="minorEastAsia"/>
          <w:color w:val="auto"/>
          <w:szCs w:val="21"/>
          <w:highlight w:val="none"/>
        </w:rPr>
        <w:t>；</w:t>
      </w:r>
    </w:p>
    <w:p>
      <w:pPr>
        <w:snapToGrid w:val="0"/>
        <w:spacing w:line="360" w:lineRule="auto"/>
        <w:ind w:firstLine="840" w:firstLineChars="4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11.1.5联合协议（如果有）；</w:t>
      </w:r>
    </w:p>
    <w:p>
      <w:pPr>
        <w:pStyle w:val="24"/>
        <w:rPr>
          <w:rFonts w:asciiTheme="minorEastAsia" w:hAnsiTheme="minorEastAsia" w:eastAsiaTheme="minorEastAsia" w:cstheme="minorEastAsia"/>
          <w:color w:val="auto"/>
          <w:sz w:val="21"/>
          <w:highlight w:val="none"/>
          <w:lang w:val="en-US"/>
        </w:rPr>
      </w:pPr>
      <w:r>
        <w:rPr>
          <w:rFonts w:hint="eastAsia" w:asciiTheme="minorEastAsia" w:hAnsiTheme="minorEastAsia" w:eastAsiaTheme="minorEastAsia" w:cstheme="minorEastAsia"/>
          <w:color w:val="auto"/>
          <w:sz w:val="21"/>
          <w:highlight w:val="none"/>
          <w:lang w:val="en-US"/>
        </w:rPr>
        <w:t xml:space="preserve">        11.1.6</w:t>
      </w:r>
      <w:r>
        <w:rPr>
          <w:rFonts w:hint="eastAsia" w:asciiTheme="minorEastAsia" w:hAnsiTheme="minorEastAsia" w:eastAsiaTheme="minorEastAsia" w:cstheme="minorEastAsia"/>
          <w:color w:val="auto"/>
          <w:kern w:val="0"/>
          <w:sz w:val="21"/>
          <w:highlight w:val="none"/>
        </w:rPr>
        <w:t>业务专用章使用说明函（如适用）。</w:t>
      </w:r>
    </w:p>
    <w:p>
      <w:pPr>
        <w:snapToGrid w:val="0"/>
        <w:spacing w:line="360" w:lineRule="auto"/>
        <w:ind w:firstLine="420" w:firstLineChars="200"/>
        <w:outlineLvl w:val="3"/>
        <w:rPr>
          <w:rFonts w:asciiTheme="minorEastAsia" w:hAnsiTheme="minorEastAsia" w:eastAsiaTheme="minorEastAsia" w:cstheme="minorEastAsia"/>
          <w:color w:val="auto"/>
          <w:szCs w:val="21"/>
          <w:highlight w:val="none"/>
          <w:lang w:val="zh-CN"/>
        </w:rPr>
      </w:pPr>
      <w:r>
        <w:rPr>
          <w:rFonts w:hint="eastAsia" w:asciiTheme="minorEastAsia" w:hAnsiTheme="minorEastAsia" w:eastAsiaTheme="minorEastAsia" w:cstheme="minorEastAsia"/>
          <w:color w:val="auto"/>
          <w:szCs w:val="21"/>
          <w:highlight w:val="none"/>
          <w:lang w:val="zh-CN"/>
        </w:rPr>
        <w:t>11.</w:t>
      </w:r>
      <w:r>
        <w:rPr>
          <w:rFonts w:hint="eastAsia" w:asciiTheme="minorEastAsia" w:hAnsiTheme="minorEastAsia" w:eastAsiaTheme="minorEastAsia" w:cstheme="minorEastAsia"/>
          <w:color w:val="auto"/>
          <w:szCs w:val="21"/>
          <w:highlight w:val="none"/>
        </w:rPr>
        <w:t>2</w:t>
      </w:r>
      <w:r>
        <w:rPr>
          <w:rFonts w:hint="eastAsia" w:asciiTheme="minorEastAsia" w:hAnsiTheme="minorEastAsia" w:eastAsiaTheme="minorEastAsia" w:cstheme="minorEastAsia"/>
          <w:color w:val="auto"/>
          <w:szCs w:val="21"/>
          <w:highlight w:val="none"/>
          <w:lang w:val="zh-CN"/>
        </w:rPr>
        <w:t xml:space="preserve">  </w:t>
      </w:r>
      <w:r>
        <w:rPr>
          <w:rFonts w:hint="eastAsia" w:asciiTheme="minorEastAsia" w:hAnsiTheme="minorEastAsia" w:eastAsiaTheme="minorEastAsia" w:cstheme="minorEastAsia"/>
          <w:color w:val="auto"/>
          <w:szCs w:val="21"/>
          <w:highlight w:val="none"/>
        </w:rPr>
        <w:t>商务技术</w:t>
      </w:r>
      <w:r>
        <w:rPr>
          <w:rFonts w:hint="eastAsia" w:asciiTheme="minorEastAsia" w:hAnsiTheme="minorEastAsia" w:eastAsiaTheme="minorEastAsia" w:cstheme="minorEastAsia"/>
          <w:color w:val="auto"/>
          <w:szCs w:val="21"/>
          <w:highlight w:val="none"/>
          <w:lang w:val="zh-CN"/>
        </w:rPr>
        <w:t>文件：</w:t>
      </w:r>
    </w:p>
    <w:p>
      <w:pPr>
        <w:snapToGrid w:val="0"/>
        <w:spacing w:line="360" w:lineRule="auto"/>
        <w:ind w:firstLine="840" w:firstLineChars="400"/>
        <w:outlineLvl w:val="4"/>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11.2.1投标函；</w:t>
      </w:r>
    </w:p>
    <w:p>
      <w:pPr>
        <w:snapToGrid w:val="0"/>
        <w:spacing w:line="360" w:lineRule="auto"/>
        <w:ind w:firstLine="840" w:firstLineChars="4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11.2.2授权委托书或法定代表人（单位负责人、自然人本人）身份证明；</w:t>
      </w:r>
    </w:p>
    <w:p>
      <w:pPr>
        <w:snapToGrid w:val="0"/>
        <w:spacing w:line="360" w:lineRule="auto"/>
        <w:ind w:firstLine="840" w:firstLineChars="4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11.2.3分包意向协议</w:t>
      </w:r>
      <w:r>
        <w:rPr>
          <w:rFonts w:hint="eastAsia" w:asciiTheme="minorEastAsia" w:hAnsiTheme="minorEastAsia" w:eastAsiaTheme="minorEastAsia" w:cstheme="minorEastAsia"/>
          <w:snapToGrid w:val="0"/>
          <w:color w:val="auto"/>
          <w:kern w:val="28"/>
          <w:szCs w:val="21"/>
          <w:highlight w:val="none"/>
        </w:rPr>
        <w:t>（本项目不适用)；</w:t>
      </w:r>
    </w:p>
    <w:p>
      <w:pPr>
        <w:snapToGrid w:val="0"/>
        <w:spacing w:line="360" w:lineRule="auto"/>
        <w:ind w:firstLine="840" w:firstLineChars="4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11.2.4符合性审查资料；</w:t>
      </w:r>
    </w:p>
    <w:p>
      <w:pPr>
        <w:snapToGrid w:val="0"/>
        <w:spacing w:line="360" w:lineRule="auto"/>
        <w:ind w:firstLine="840" w:firstLineChars="400"/>
        <w:rPr>
          <w:rFonts w:asciiTheme="minorEastAsia" w:hAnsiTheme="minorEastAsia" w:eastAsiaTheme="minorEastAsia" w:cstheme="minorEastAsia"/>
          <w:color w:val="auto"/>
          <w:szCs w:val="21"/>
          <w:highlight w:val="none"/>
          <w:lang w:val="zh-CN"/>
        </w:rPr>
      </w:pPr>
      <w:r>
        <w:rPr>
          <w:rFonts w:hint="eastAsia" w:asciiTheme="minorEastAsia" w:hAnsiTheme="minorEastAsia" w:eastAsiaTheme="minorEastAsia" w:cstheme="minorEastAsia"/>
          <w:color w:val="auto"/>
          <w:szCs w:val="21"/>
          <w:highlight w:val="none"/>
        </w:rPr>
        <w:t>11.2.5</w:t>
      </w:r>
      <w:r>
        <w:rPr>
          <w:rFonts w:hint="eastAsia" w:asciiTheme="minorEastAsia" w:hAnsiTheme="minorEastAsia" w:eastAsiaTheme="minorEastAsia" w:cstheme="minorEastAsia"/>
          <w:color w:val="auto"/>
          <w:szCs w:val="21"/>
          <w:highlight w:val="none"/>
          <w:lang w:val="zh-CN"/>
        </w:rPr>
        <w:t>政府采购供应商廉洁自律承诺书</w:t>
      </w:r>
      <w:r>
        <w:rPr>
          <w:rFonts w:hint="eastAsia" w:asciiTheme="minorEastAsia" w:hAnsiTheme="minorEastAsia" w:eastAsiaTheme="minorEastAsia" w:cstheme="minorEastAsia"/>
          <w:color w:val="auto"/>
          <w:szCs w:val="21"/>
          <w:highlight w:val="none"/>
        </w:rPr>
        <w:t>；</w:t>
      </w:r>
    </w:p>
    <w:p>
      <w:pPr>
        <w:snapToGrid w:val="0"/>
        <w:spacing w:line="360" w:lineRule="auto"/>
        <w:ind w:firstLine="840" w:firstLineChars="4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11.2.6 采购要求偏离表；</w:t>
      </w:r>
    </w:p>
    <w:p>
      <w:pPr>
        <w:snapToGrid w:val="0"/>
        <w:spacing w:line="360" w:lineRule="auto"/>
        <w:ind w:firstLine="840" w:firstLineChars="4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11.2.7商务要求偏离表 ；</w:t>
      </w:r>
    </w:p>
    <w:p>
      <w:pPr>
        <w:snapToGrid w:val="0"/>
        <w:spacing w:line="360" w:lineRule="auto"/>
        <w:ind w:firstLine="840" w:firstLineChars="4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11.2.8评标标准相应的商务技术资料；</w:t>
      </w:r>
    </w:p>
    <w:p>
      <w:pPr>
        <w:snapToGrid w:val="0"/>
        <w:spacing w:line="360" w:lineRule="auto"/>
        <w:ind w:firstLine="840" w:firstLineChars="4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（8-1）</w:t>
      </w:r>
      <w:r>
        <w:rPr>
          <w:rFonts w:hint="eastAsia" w:asciiTheme="minorEastAsia" w:hAnsiTheme="minorEastAsia" w:eastAsiaTheme="minorEastAsia" w:cstheme="minorEastAsia"/>
          <w:color w:val="auto"/>
          <w:szCs w:val="21"/>
          <w:highlight w:val="none"/>
          <w:lang w:bidi="ar"/>
        </w:rPr>
        <w:t>本项目工程的实施方案</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lang w:bidi="ar"/>
        </w:rPr>
        <w:t>施工组织方案</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lang w:bidi="ar"/>
        </w:rPr>
        <w:t>安全保障措施</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lang w:bidi="ar"/>
        </w:rPr>
        <w:t>质量保障措施</w:t>
      </w:r>
      <w:r>
        <w:rPr>
          <w:rFonts w:hint="eastAsia" w:asciiTheme="minorEastAsia" w:hAnsiTheme="minorEastAsia" w:eastAsiaTheme="minorEastAsia" w:cstheme="minorEastAsia"/>
          <w:color w:val="auto"/>
          <w:szCs w:val="21"/>
          <w:highlight w:val="none"/>
          <w:lang w:eastAsia="zh-CN" w:bidi="ar"/>
        </w:rPr>
        <w:t>、</w:t>
      </w:r>
      <w:r>
        <w:rPr>
          <w:rFonts w:hint="eastAsia" w:ascii="宋体" w:hAnsi="宋体" w:cs="宋体"/>
          <w:color w:val="auto"/>
          <w:kern w:val="0"/>
          <w:szCs w:val="21"/>
          <w:highlight w:val="none"/>
        </w:rPr>
        <w:t>项目进度安排</w:t>
      </w:r>
      <w:r>
        <w:rPr>
          <w:rFonts w:hint="eastAsia" w:asciiTheme="minorEastAsia" w:hAnsiTheme="minorEastAsia" w:eastAsiaTheme="minorEastAsia" w:cstheme="minorEastAsia"/>
          <w:color w:val="auto"/>
          <w:szCs w:val="21"/>
          <w:highlight w:val="none"/>
        </w:rPr>
        <w:t>）（格式自拟）；</w:t>
      </w:r>
    </w:p>
    <w:p>
      <w:pPr>
        <w:snapToGrid w:val="0"/>
        <w:spacing w:line="360" w:lineRule="auto"/>
        <w:ind w:firstLine="840" w:firstLineChars="400"/>
        <w:rPr>
          <w:rFonts w:ascii="宋体" w:hAnsi="宋体"/>
          <w:color w:val="auto"/>
          <w:szCs w:val="21"/>
          <w:highlight w:val="none"/>
        </w:rPr>
      </w:pPr>
      <w:r>
        <w:rPr>
          <w:rFonts w:hint="eastAsia" w:asciiTheme="minorEastAsia" w:hAnsiTheme="minorEastAsia" w:eastAsiaTheme="minorEastAsia" w:cstheme="minorEastAsia"/>
          <w:color w:val="auto"/>
          <w:szCs w:val="21"/>
          <w:highlight w:val="none"/>
        </w:rPr>
        <w:t>（8-2）</w:t>
      </w:r>
      <w:r>
        <w:rPr>
          <w:rFonts w:hint="eastAsia" w:ascii="宋体" w:hAnsi="宋体"/>
          <w:color w:val="auto"/>
          <w:szCs w:val="21"/>
          <w:highlight w:val="none"/>
        </w:rPr>
        <w:t>售后服务方案（人员保障能力、施工车辆配备情况、设备配备情况）（格式自拟）；</w:t>
      </w:r>
    </w:p>
    <w:p>
      <w:pPr>
        <w:snapToGrid w:val="0"/>
        <w:spacing w:line="360" w:lineRule="auto"/>
        <w:ind w:firstLine="840" w:firstLineChars="400"/>
        <w:rPr>
          <w:rFonts w:ascii="宋体" w:hAnsi="宋体"/>
          <w:color w:val="auto"/>
          <w:szCs w:val="21"/>
          <w:highlight w:val="none"/>
        </w:rPr>
      </w:pPr>
      <w:r>
        <w:rPr>
          <w:rFonts w:hint="eastAsia" w:ascii="宋体" w:hAnsi="宋体"/>
          <w:color w:val="auto"/>
          <w:szCs w:val="21"/>
          <w:highlight w:val="none"/>
        </w:rPr>
        <w:t>（8-3）业绩一览表；</w:t>
      </w:r>
    </w:p>
    <w:p>
      <w:pPr>
        <w:snapToGrid w:val="0"/>
        <w:spacing w:line="360" w:lineRule="auto"/>
        <w:ind w:firstLine="840" w:firstLineChars="400"/>
        <w:rPr>
          <w:rFonts w:hint="eastAsia" w:ascii="宋体" w:hAnsi="宋体" w:eastAsia="宋体"/>
          <w:color w:val="auto"/>
          <w:szCs w:val="21"/>
          <w:highlight w:val="none"/>
          <w:lang w:eastAsia="zh-CN"/>
        </w:rPr>
      </w:pPr>
      <w:r>
        <w:rPr>
          <w:rFonts w:hint="eastAsia" w:ascii="宋体" w:hAnsi="宋体"/>
          <w:color w:val="auto"/>
          <w:szCs w:val="21"/>
          <w:highlight w:val="none"/>
        </w:rPr>
        <w:t>（8-4）</w:t>
      </w:r>
      <w:r>
        <w:rPr>
          <w:rFonts w:hint="eastAsia" w:ascii="宋体" w:hAnsi="宋体" w:cs="宋体"/>
          <w:color w:val="auto"/>
          <w:spacing w:val="-5"/>
          <w:kern w:val="0"/>
          <w:szCs w:val="21"/>
          <w:highlight w:val="none"/>
          <w:lang w:bidi="ar"/>
        </w:rPr>
        <w:t>投标人实力</w:t>
      </w:r>
      <w:r>
        <w:rPr>
          <w:rFonts w:hint="eastAsia" w:ascii="宋体" w:hAnsi="宋体" w:cs="宋体"/>
          <w:color w:val="auto"/>
          <w:spacing w:val="-5"/>
          <w:kern w:val="0"/>
          <w:szCs w:val="21"/>
          <w:highlight w:val="none"/>
          <w:lang w:eastAsia="zh-CN" w:bidi="ar"/>
        </w:rPr>
        <w:t>（</w:t>
      </w:r>
      <w:r>
        <w:rPr>
          <w:rFonts w:hint="eastAsia" w:ascii="宋体" w:hAnsi="宋体" w:cs="宋体"/>
          <w:color w:val="auto"/>
          <w:spacing w:val="-5"/>
          <w:kern w:val="0"/>
          <w:szCs w:val="21"/>
          <w:highlight w:val="none"/>
          <w:lang w:val="en-US" w:eastAsia="zh-CN" w:bidi="ar"/>
        </w:rPr>
        <w:t>提供证明材料复印件加盖公章</w:t>
      </w:r>
      <w:r>
        <w:rPr>
          <w:rFonts w:hint="eastAsia" w:ascii="宋体" w:hAnsi="宋体" w:cs="宋体"/>
          <w:color w:val="auto"/>
          <w:spacing w:val="-5"/>
          <w:kern w:val="0"/>
          <w:szCs w:val="21"/>
          <w:highlight w:val="none"/>
          <w:lang w:eastAsia="zh-CN" w:bidi="ar"/>
        </w:rPr>
        <w:t>）；</w:t>
      </w:r>
    </w:p>
    <w:p>
      <w:pPr>
        <w:snapToGrid w:val="0"/>
        <w:spacing w:line="360" w:lineRule="auto"/>
        <w:ind w:firstLine="840" w:firstLineChars="4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（8-5）</w:t>
      </w:r>
      <w:r>
        <w:rPr>
          <w:rFonts w:hint="eastAsia" w:ascii="宋体" w:hAnsi="宋体" w:cs="宋体"/>
          <w:color w:val="auto"/>
          <w:szCs w:val="21"/>
          <w:highlight w:val="none"/>
        </w:rPr>
        <w:t>人员配置</w:t>
      </w:r>
      <w:r>
        <w:rPr>
          <w:rFonts w:hint="eastAsia" w:ascii="宋体" w:hAnsi="宋体" w:cs="宋体"/>
          <w:color w:val="auto"/>
          <w:spacing w:val="-5"/>
          <w:kern w:val="0"/>
          <w:szCs w:val="21"/>
          <w:highlight w:val="none"/>
          <w:lang w:eastAsia="zh-CN" w:bidi="ar"/>
        </w:rPr>
        <w:t>（</w:t>
      </w:r>
      <w:r>
        <w:rPr>
          <w:rFonts w:hint="eastAsia" w:ascii="宋体" w:hAnsi="宋体" w:cs="宋体"/>
          <w:color w:val="auto"/>
          <w:spacing w:val="-5"/>
          <w:kern w:val="0"/>
          <w:szCs w:val="21"/>
          <w:highlight w:val="none"/>
          <w:lang w:val="en-US" w:eastAsia="zh-CN" w:bidi="ar"/>
        </w:rPr>
        <w:t>提供证明材料复印件加盖公章</w:t>
      </w:r>
      <w:r>
        <w:rPr>
          <w:rFonts w:hint="eastAsia" w:ascii="宋体" w:hAnsi="宋体" w:cs="宋体"/>
          <w:color w:val="auto"/>
          <w:spacing w:val="-5"/>
          <w:kern w:val="0"/>
          <w:szCs w:val="21"/>
          <w:highlight w:val="none"/>
          <w:lang w:eastAsia="zh-CN" w:bidi="ar"/>
        </w:rPr>
        <w:t>）</w:t>
      </w:r>
    </w:p>
    <w:p>
      <w:pPr>
        <w:snapToGrid w:val="0"/>
        <w:spacing w:line="360" w:lineRule="auto"/>
        <w:ind w:firstLine="840" w:firstLineChars="4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（8-</w:t>
      </w:r>
      <w:r>
        <w:rPr>
          <w:rFonts w:hint="eastAsia" w:asciiTheme="minorEastAsia" w:hAnsiTheme="minorEastAsia" w:eastAsiaTheme="minorEastAsia" w:cstheme="minorEastAsia"/>
          <w:color w:val="auto"/>
          <w:szCs w:val="21"/>
          <w:highlight w:val="none"/>
          <w:lang w:val="en-US" w:eastAsia="zh-CN"/>
        </w:rPr>
        <w:t>6</w:t>
      </w:r>
      <w:r>
        <w:rPr>
          <w:rFonts w:hint="eastAsia" w:asciiTheme="minorEastAsia" w:hAnsiTheme="minorEastAsia" w:eastAsiaTheme="minorEastAsia" w:cstheme="minorEastAsia"/>
          <w:color w:val="auto"/>
          <w:szCs w:val="21"/>
          <w:highlight w:val="none"/>
        </w:rPr>
        <w:t>）评标标准相应的其他商务技术资料。</w:t>
      </w:r>
    </w:p>
    <w:p>
      <w:pPr>
        <w:snapToGrid w:val="0"/>
        <w:spacing w:line="360" w:lineRule="auto"/>
        <w:ind w:firstLine="420" w:firstLineChars="200"/>
        <w:outlineLvl w:val="3"/>
        <w:rPr>
          <w:rFonts w:asciiTheme="minorEastAsia" w:hAnsiTheme="minorEastAsia" w:eastAsiaTheme="minorEastAsia" w:cstheme="minorEastAsia"/>
          <w:color w:val="auto"/>
          <w:szCs w:val="21"/>
          <w:highlight w:val="none"/>
          <w:u w:val="single"/>
          <w:lang w:val="zh-CN"/>
        </w:rPr>
      </w:pPr>
      <w:r>
        <w:rPr>
          <w:rFonts w:hint="eastAsia" w:asciiTheme="minorEastAsia" w:hAnsiTheme="minorEastAsia" w:eastAsiaTheme="minorEastAsia" w:cstheme="minorEastAsia"/>
          <w:color w:val="auto"/>
          <w:kern w:val="0"/>
          <w:szCs w:val="21"/>
          <w:highlight w:val="none"/>
          <w:lang w:val="zh-CN"/>
        </w:rPr>
        <w:t>11.</w:t>
      </w:r>
      <w:r>
        <w:rPr>
          <w:rFonts w:hint="eastAsia" w:asciiTheme="minorEastAsia" w:hAnsiTheme="minorEastAsia" w:eastAsiaTheme="minorEastAsia" w:cstheme="minorEastAsia"/>
          <w:color w:val="auto"/>
          <w:kern w:val="0"/>
          <w:szCs w:val="21"/>
          <w:highlight w:val="none"/>
        </w:rPr>
        <w:t>3</w:t>
      </w:r>
      <w:r>
        <w:rPr>
          <w:rFonts w:hint="eastAsia" w:asciiTheme="minorEastAsia" w:hAnsiTheme="minorEastAsia" w:eastAsiaTheme="minorEastAsia" w:cstheme="minorEastAsia"/>
          <w:b/>
          <w:color w:val="auto"/>
          <w:szCs w:val="21"/>
          <w:highlight w:val="none"/>
        </w:rPr>
        <w:t>报价文件：</w:t>
      </w:r>
      <w:r>
        <w:rPr>
          <w:rFonts w:hint="eastAsia" w:asciiTheme="minorEastAsia" w:hAnsiTheme="minorEastAsia" w:eastAsiaTheme="minorEastAsia" w:cstheme="minorEastAsia"/>
          <w:color w:val="auto"/>
          <w:szCs w:val="21"/>
          <w:highlight w:val="none"/>
        </w:rPr>
        <w:t xml:space="preserve"> </w:t>
      </w:r>
    </w:p>
    <w:p>
      <w:pPr>
        <w:snapToGrid w:val="0"/>
        <w:spacing w:line="360" w:lineRule="auto"/>
        <w:ind w:firstLine="840" w:firstLineChars="4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11.3.1开标一览表（报价表）；</w:t>
      </w:r>
    </w:p>
    <w:p>
      <w:pPr>
        <w:snapToGrid w:val="0"/>
        <w:spacing w:line="360" w:lineRule="auto"/>
        <w:ind w:firstLine="840" w:firstLineChars="400"/>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rPr>
        <w:t>11.3.2分项报价表</w:t>
      </w:r>
      <w:r>
        <w:rPr>
          <w:rFonts w:hint="eastAsia" w:asciiTheme="minorEastAsia" w:hAnsiTheme="minorEastAsia" w:eastAsiaTheme="minorEastAsia" w:cstheme="minorEastAsia"/>
          <w:color w:val="auto"/>
          <w:szCs w:val="21"/>
          <w:highlight w:val="none"/>
          <w:lang w:eastAsia="zh-CN"/>
        </w:rPr>
        <w:t>；</w:t>
      </w:r>
    </w:p>
    <w:p>
      <w:pPr>
        <w:snapToGrid w:val="0"/>
        <w:spacing w:line="360" w:lineRule="auto"/>
        <w:ind w:firstLine="840" w:firstLineChars="4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11.3.</w:t>
      </w:r>
      <w:r>
        <w:rPr>
          <w:rFonts w:hint="eastAsia" w:asciiTheme="minorEastAsia" w:hAnsiTheme="minorEastAsia" w:eastAsiaTheme="minorEastAsia" w:cstheme="minorEastAsia"/>
          <w:color w:val="auto"/>
          <w:szCs w:val="21"/>
          <w:highlight w:val="none"/>
          <w:lang w:val="en-US" w:eastAsia="zh-CN"/>
        </w:rPr>
        <w:t>3</w:t>
      </w:r>
      <w:r>
        <w:rPr>
          <w:rFonts w:hint="eastAsia" w:asciiTheme="minorEastAsia" w:hAnsiTheme="minorEastAsia" w:eastAsiaTheme="minorEastAsia" w:cstheme="minorEastAsia"/>
          <w:color w:val="auto"/>
          <w:szCs w:val="21"/>
          <w:highlight w:val="none"/>
        </w:rPr>
        <w:t>中小企业声明函</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lang w:val="en-US" w:eastAsia="zh-CN"/>
        </w:rPr>
        <w:t>如有请提供</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w:t>
      </w:r>
    </w:p>
    <w:p>
      <w:pPr>
        <w:snapToGrid w:val="0"/>
        <w:spacing w:line="360" w:lineRule="auto"/>
        <w:ind w:firstLine="840" w:firstLineChars="4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11.3.</w:t>
      </w:r>
      <w:r>
        <w:rPr>
          <w:rFonts w:hint="eastAsia" w:asciiTheme="minorEastAsia" w:hAnsiTheme="minorEastAsia" w:eastAsiaTheme="minorEastAsia" w:cstheme="minorEastAsia"/>
          <w:color w:val="auto"/>
          <w:szCs w:val="21"/>
          <w:highlight w:val="none"/>
          <w:lang w:val="en-US" w:eastAsia="zh-CN"/>
        </w:rPr>
        <w:t>3</w:t>
      </w:r>
      <w:r>
        <w:rPr>
          <w:rFonts w:hint="eastAsia" w:asciiTheme="minorEastAsia" w:hAnsiTheme="minorEastAsia" w:eastAsiaTheme="minorEastAsia" w:cstheme="minorEastAsia"/>
          <w:color w:val="auto"/>
          <w:szCs w:val="21"/>
          <w:highlight w:val="none"/>
        </w:rPr>
        <w:t>残疾人福利性单位声明函</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lang w:val="en-US" w:eastAsia="zh-CN"/>
        </w:rPr>
        <w:t>如有请提供</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w:t>
      </w:r>
    </w:p>
    <w:p>
      <w:pPr>
        <w:snapToGrid w:val="0"/>
        <w:spacing w:line="360" w:lineRule="auto"/>
        <w:ind w:firstLine="840" w:firstLineChars="4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11.3.</w:t>
      </w:r>
      <w:r>
        <w:rPr>
          <w:rFonts w:hint="eastAsia" w:asciiTheme="minorEastAsia" w:hAnsiTheme="minorEastAsia" w:eastAsiaTheme="minorEastAsia" w:cstheme="minorEastAsia"/>
          <w:color w:val="auto"/>
          <w:szCs w:val="21"/>
          <w:highlight w:val="none"/>
          <w:lang w:val="en-US" w:eastAsia="zh-CN"/>
        </w:rPr>
        <w:t>5</w:t>
      </w:r>
      <w:r>
        <w:rPr>
          <w:rFonts w:hint="eastAsia" w:asciiTheme="minorEastAsia" w:hAnsiTheme="minorEastAsia" w:eastAsiaTheme="minorEastAsia" w:cstheme="minorEastAsia"/>
          <w:color w:val="auto"/>
          <w:szCs w:val="21"/>
          <w:highlight w:val="none"/>
        </w:rPr>
        <w:t>由省级以上监狱管理局、戒毒管理局（含新疆生产建设兵团）出具的属于监狱企业的证明文件</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lang w:val="en-US" w:eastAsia="zh-CN"/>
        </w:rPr>
        <w:t>如有请提供</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w:t>
      </w:r>
    </w:p>
    <w:p>
      <w:pPr>
        <w:spacing w:line="360" w:lineRule="auto"/>
        <w:ind w:firstLine="632" w:firstLineChars="300"/>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投标文件含有采购人不能接受的附加条件的，投标无效；</w:t>
      </w:r>
    </w:p>
    <w:p>
      <w:pPr>
        <w:spacing w:line="360" w:lineRule="auto"/>
        <w:ind w:firstLine="632" w:firstLineChars="300"/>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投标人提供虚假材料投标的，投标无效。</w:t>
      </w:r>
    </w:p>
    <w:p>
      <w:pPr>
        <w:snapToGrid w:val="0"/>
        <w:spacing w:line="360" w:lineRule="auto"/>
        <w:outlineLvl w:val="2"/>
        <w:rPr>
          <w:rFonts w:asciiTheme="minorEastAsia" w:hAnsiTheme="minorEastAsia" w:eastAsiaTheme="minorEastAsia" w:cstheme="minorEastAsia"/>
          <w:b/>
          <w:color w:val="auto"/>
          <w:szCs w:val="21"/>
          <w:highlight w:val="none"/>
        </w:rPr>
      </w:pPr>
      <w:bookmarkStart w:id="37" w:name="_Toc14413"/>
      <w:r>
        <w:rPr>
          <w:rFonts w:hint="eastAsia" w:asciiTheme="minorEastAsia" w:hAnsiTheme="minorEastAsia" w:eastAsiaTheme="minorEastAsia" w:cstheme="minorEastAsia"/>
          <w:b/>
          <w:color w:val="auto"/>
          <w:szCs w:val="21"/>
          <w:highlight w:val="none"/>
        </w:rPr>
        <w:t>12</w:t>
      </w:r>
      <w:r>
        <w:rPr>
          <w:rFonts w:hint="eastAsia" w:asciiTheme="minorEastAsia" w:hAnsiTheme="minorEastAsia" w:eastAsiaTheme="minorEastAsia" w:cstheme="minorEastAsia"/>
          <w:b/>
          <w:color w:val="auto"/>
          <w:szCs w:val="21"/>
          <w:highlight w:val="none"/>
          <w:lang w:val="zh-CN"/>
        </w:rPr>
        <w:t xml:space="preserve">. </w:t>
      </w:r>
      <w:r>
        <w:rPr>
          <w:rFonts w:hint="eastAsia" w:asciiTheme="minorEastAsia" w:hAnsiTheme="minorEastAsia" w:eastAsiaTheme="minorEastAsia" w:cstheme="minorEastAsia"/>
          <w:b/>
          <w:color w:val="auto"/>
          <w:szCs w:val="21"/>
          <w:highlight w:val="none"/>
        </w:rPr>
        <w:t>投标文件的编制</w:t>
      </w:r>
      <w:bookmarkEnd w:id="37"/>
    </w:p>
    <w:p>
      <w:pPr>
        <w:spacing w:line="360" w:lineRule="auto"/>
        <w:ind w:firstLine="420" w:firstLineChars="200"/>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color w:val="auto"/>
          <w:kern w:val="0"/>
          <w:szCs w:val="21"/>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20" w:firstLineChars="200"/>
        <w:rPr>
          <w:rFonts w:asciiTheme="minorEastAsia" w:hAnsiTheme="minorEastAsia" w:eastAsiaTheme="minorEastAsia" w:cstheme="minorEastAsia"/>
          <w:color w:val="auto"/>
          <w:kern w:val="0"/>
          <w:szCs w:val="21"/>
          <w:highlight w:val="none"/>
          <w:lang w:val="zh-CN"/>
        </w:rPr>
      </w:pPr>
      <w:r>
        <w:rPr>
          <w:rFonts w:hint="eastAsia" w:asciiTheme="minorEastAsia" w:hAnsiTheme="minorEastAsia" w:eastAsiaTheme="minorEastAsia" w:cstheme="minorEastAsia"/>
          <w:color w:val="auto"/>
          <w:kern w:val="0"/>
          <w:szCs w:val="21"/>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360" w:lineRule="auto"/>
        <w:ind w:firstLine="420" w:firstLineChars="200"/>
        <w:rPr>
          <w:rFonts w:asciiTheme="minorEastAsia" w:hAnsiTheme="minorEastAsia" w:eastAsiaTheme="minorEastAsia" w:cstheme="minorEastAsia"/>
          <w:color w:val="auto"/>
          <w:kern w:val="0"/>
          <w:szCs w:val="21"/>
          <w:highlight w:val="none"/>
          <w:lang w:val="zh-CN"/>
        </w:rPr>
      </w:pPr>
      <w:r>
        <w:rPr>
          <w:rFonts w:hint="eastAsia" w:asciiTheme="minorEastAsia" w:hAnsiTheme="minorEastAsia" w:eastAsiaTheme="minorEastAsia" w:cstheme="minorEastAsia"/>
          <w:color w:val="auto"/>
          <w:kern w:val="0"/>
          <w:szCs w:val="21"/>
          <w:highlight w:val="none"/>
          <w:lang w:val="zh-CN"/>
        </w:rPr>
        <w:t>12.3使用“政采云电子交易客户端”需要提前申领CA数字证书，申领流程请自行前往“浙江政府采购网-下载专区-电子交易客户端-CA驱动和申领流程”进行查阅。</w:t>
      </w:r>
    </w:p>
    <w:p>
      <w:pPr>
        <w:snapToGrid w:val="0"/>
        <w:spacing w:line="360" w:lineRule="auto"/>
        <w:outlineLvl w:val="2"/>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13.投标文件的签署、盖章</w:t>
      </w:r>
    </w:p>
    <w:p>
      <w:pPr>
        <w:pStyle w:val="133"/>
        <w:snapToGrid w:val="0"/>
        <w:spacing w:before="0"/>
        <w:ind w:firstLine="420"/>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color w:val="auto"/>
          <w:sz w:val="21"/>
          <w:szCs w:val="21"/>
          <w:highlight w:val="none"/>
        </w:rPr>
        <w:t>13.1投标文件按照招标文件第六部分格式要求进行签署、盖章。</w:t>
      </w:r>
      <w:r>
        <w:rPr>
          <w:rFonts w:hint="eastAsia" w:asciiTheme="minorEastAsia" w:hAnsiTheme="minorEastAsia" w:eastAsiaTheme="minorEastAsia" w:cstheme="minorEastAsia"/>
          <w:b/>
          <w:color w:val="auto"/>
          <w:sz w:val="21"/>
          <w:szCs w:val="21"/>
          <w:highlight w:val="none"/>
        </w:rPr>
        <w:t>▲投标人的投标文件未按照招标文件要求签署、盖章的，其投标无效</w:t>
      </w:r>
      <w:r>
        <w:rPr>
          <w:rFonts w:hint="eastAsia" w:asciiTheme="minorEastAsia" w:hAnsiTheme="minorEastAsia" w:eastAsiaTheme="minorEastAsia" w:cstheme="minorEastAsia"/>
          <w:color w:val="auto"/>
          <w:sz w:val="21"/>
          <w:szCs w:val="21"/>
          <w:highlight w:val="none"/>
        </w:rPr>
        <w:t>。</w:t>
      </w:r>
    </w:p>
    <w:p>
      <w:pPr>
        <w:pStyle w:val="133"/>
        <w:snapToGrid w:val="0"/>
        <w:spacing w:before="0"/>
        <w:ind w:firstLine="420"/>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13.2为确保网上操作合法、有效和安全，投标人应当在投标截止时间前完成在“政府采购云平台”的身份认证，确保在电子投标过程中能够对相关数据电文进行加密和使用电子签名。</w:t>
      </w:r>
    </w:p>
    <w:p>
      <w:pPr>
        <w:pStyle w:val="133"/>
        <w:snapToGrid w:val="0"/>
        <w:spacing w:before="0"/>
        <w:ind w:firstLine="420"/>
        <w:outlineLvl w:val="3"/>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13.3招标文件对投标文件签署、盖章的要求适用于电子签名。</w:t>
      </w:r>
    </w:p>
    <w:p>
      <w:pPr>
        <w:pStyle w:val="133"/>
        <w:spacing w:before="0"/>
        <w:ind w:firstLine="0" w:firstLineChars="0"/>
        <w:outlineLvl w:val="2"/>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14. 投标文件的提交、补充、修改、撤回</w:t>
      </w:r>
    </w:p>
    <w:p>
      <w:pPr>
        <w:pStyle w:val="133"/>
        <w:ind w:firstLine="420"/>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33"/>
        <w:spacing w:before="0"/>
        <w:ind w:firstLine="420"/>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14.2电子交易平台收到投标文件，将妥善保存并即时向供应商发出确认回执通知。在投标截止时间前，除供应商补充、修改或者撤回投标文件外，任何单位和个人不得解密或提取投标文件。</w:t>
      </w:r>
    </w:p>
    <w:p>
      <w:pPr>
        <w:pStyle w:val="133"/>
        <w:spacing w:before="0"/>
        <w:ind w:firstLine="420"/>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14.3采购人、采购代理机构可以视情况延长投标文件提交的截止时间。在上述情况下，采购代理机构与投标人以前在投标截止期方面的全部权利、责任和义务，将适用于延长至新的投标截止期。</w:t>
      </w:r>
    </w:p>
    <w:p>
      <w:pPr>
        <w:pStyle w:val="33"/>
        <w:spacing w:line="360" w:lineRule="auto"/>
        <w:outlineLvl w:val="2"/>
        <w:rPr>
          <w:rFonts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15.备份投标文件</w:t>
      </w:r>
    </w:p>
    <w:p>
      <w:pPr>
        <w:pStyle w:val="33"/>
        <w:spacing w:line="360" w:lineRule="auto"/>
        <w:ind w:firstLine="315" w:firstLineChars="150"/>
        <w:rPr>
          <w:rFonts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color w:val="auto"/>
          <w:highlight w:val="none"/>
        </w:rPr>
        <w:t xml:space="preserve"> 15.1投标人在电子交易平台传输递交投标文件后，还可以在投标截止时间前直接提交或者以邮寄方式递交备份投标文件1份，</w:t>
      </w:r>
      <w:r>
        <w:rPr>
          <w:rFonts w:hint="eastAsia" w:asciiTheme="minorEastAsia" w:hAnsiTheme="minorEastAsia" w:eastAsiaTheme="minorEastAsia" w:cstheme="minorEastAsia"/>
          <w:b/>
          <w:color w:val="auto"/>
          <w:highlight w:val="none"/>
        </w:rPr>
        <w:t>但采购人、采购代理机构不强制投标人提交备份投标文件。</w:t>
      </w:r>
    </w:p>
    <w:p>
      <w:pPr>
        <w:pStyle w:val="33"/>
        <w:spacing w:line="360" w:lineRule="auto"/>
        <w:ind w:firstLine="420" w:firstLineChars="200"/>
        <w:rPr>
          <w:rFonts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color w:val="auto"/>
          <w:highlight w:val="none"/>
        </w:rPr>
        <w:t>15.2备份投标文件须在“政采云投标客户端”制作生成，并储存在</w:t>
      </w:r>
      <w:r>
        <w:rPr>
          <w:rFonts w:hint="eastAsia" w:asciiTheme="minorEastAsia" w:hAnsiTheme="minorEastAsia" w:eastAsiaTheme="minorEastAsia" w:cstheme="minorEastAsia"/>
          <w:color w:val="auto"/>
          <w:kern w:val="28"/>
          <w:highlight w:val="none"/>
        </w:rPr>
        <w:t>U盘存储</w:t>
      </w:r>
      <w:r>
        <w:rPr>
          <w:rFonts w:hint="eastAsia" w:asciiTheme="minorEastAsia" w:hAnsiTheme="minorEastAsia" w:eastAsiaTheme="minorEastAsia" w:cstheme="minorEastAsia"/>
          <w:color w:val="auto"/>
          <w:highlight w:val="none"/>
        </w:rPr>
        <w:t>介质中。备份投标文件应当密封包装并在包装上加盖公章并注明投标项目名称，投标人名称(联合体投标的，包装物封面需注明联合体投标，并注明联合体成员各方的名称和联合协议中约定的牵头人的名称)。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Theme="minorEastAsia" w:hAnsiTheme="minorEastAsia" w:eastAsiaTheme="minorEastAsia" w:cstheme="minorEastAsia"/>
          <w:b/>
          <w:color w:val="auto"/>
          <w:highlight w:val="none"/>
        </w:rPr>
        <w:t>不符合上述制作、存储、密封规定的备份投标文件将被视为无效或者被拒绝接收。</w:t>
      </w:r>
    </w:p>
    <w:p>
      <w:pPr>
        <w:pStyle w:val="33"/>
        <w:spacing w:line="360" w:lineRule="auto"/>
        <w:ind w:firstLine="42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15.3直接提交备份投标文件的，投标人应于投标截止时间前在</w:t>
      </w:r>
      <w:r>
        <w:rPr>
          <w:rFonts w:hint="eastAsia" w:asciiTheme="minorEastAsia" w:hAnsiTheme="minorEastAsia" w:eastAsiaTheme="minorEastAsia" w:cstheme="minorEastAsia"/>
          <w:snapToGrid/>
          <w:color w:val="auto"/>
          <w:highlight w:val="none"/>
        </w:rPr>
        <w:t>招标文件第二部分投标人须知前附表载明</w:t>
      </w:r>
      <w:r>
        <w:rPr>
          <w:rFonts w:hint="eastAsia" w:asciiTheme="minorEastAsia" w:hAnsiTheme="minorEastAsia" w:eastAsiaTheme="minorEastAsia" w:cstheme="minorEastAsia"/>
          <w:color w:val="auto"/>
          <w:highlight w:val="none"/>
        </w:rPr>
        <w:t>地点将备份投标文件提交给采购代理机构，采购代理机构将拒绝接受逾期送达的备份投标文件。</w:t>
      </w:r>
    </w:p>
    <w:p>
      <w:pPr>
        <w:pStyle w:val="33"/>
        <w:spacing w:line="360" w:lineRule="auto"/>
        <w:ind w:firstLine="42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15.4以邮寄方式递交备份投标文件的，投标人应先将备份投标文件按要求密封和标记，再进行邮件外包装后邮寄。备份投标文件须在招标文件第二部分投标人须知前附表规定的截止时间之前送达到规定的地点</w:t>
      </w:r>
      <w:r>
        <w:rPr>
          <w:rFonts w:hint="eastAsia" w:asciiTheme="minorEastAsia" w:hAnsiTheme="minorEastAsia" w:eastAsiaTheme="minorEastAsia" w:cstheme="minorEastAsia"/>
          <w:snapToGrid/>
          <w:color w:val="auto"/>
          <w:highlight w:val="none"/>
        </w:rPr>
        <w:t>；</w:t>
      </w:r>
      <w:r>
        <w:rPr>
          <w:rFonts w:hint="eastAsia" w:asciiTheme="minorEastAsia" w:hAnsiTheme="minorEastAsia" w:eastAsiaTheme="minorEastAsia" w:cstheme="minorEastAsia"/>
          <w:color w:val="auto"/>
          <w:highlight w:val="none"/>
        </w:rPr>
        <w:t>送达时间以签收人签收时间为准。采购代理机构将拒绝接受逾期送达的备份投标文件。邮寄过程中，电子备份投标文件发生泄露、遗失、损坏或延期送达等情况的，由投标人自行负责。</w:t>
      </w:r>
    </w:p>
    <w:p>
      <w:pPr>
        <w:pStyle w:val="33"/>
        <w:spacing w:line="360" w:lineRule="auto"/>
        <w:ind w:firstLine="420" w:firstLineChars="199"/>
        <w:rPr>
          <w:rFonts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15.5投标人仅提交备份投标文件，未在电子交易平台传输递交投标文件的，投标无效。</w:t>
      </w:r>
    </w:p>
    <w:p>
      <w:pPr>
        <w:pStyle w:val="133"/>
        <w:spacing w:before="0"/>
        <w:ind w:firstLine="0" w:firstLineChars="0"/>
        <w:outlineLvl w:val="2"/>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16.投标文件的无效处理</w:t>
      </w:r>
    </w:p>
    <w:p>
      <w:pPr>
        <w:pStyle w:val="25"/>
        <w:spacing w:line="360" w:lineRule="auto"/>
        <w:ind w:firstLine="315" w:firstLineChars="150"/>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有招标文件第四部分4.2规定的情形之一的，投标无效：</w:t>
      </w:r>
    </w:p>
    <w:p>
      <w:pPr>
        <w:pStyle w:val="133"/>
        <w:spacing w:before="0"/>
        <w:ind w:firstLine="0" w:firstLineChars="0"/>
        <w:outlineLvl w:val="2"/>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17.投标有效期</w:t>
      </w:r>
    </w:p>
    <w:p>
      <w:pPr>
        <w:spacing w:line="360" w:lineRule="auto"/>
        <w:ind w:firstLine="420" w:firstLineChars="200"/>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color w:val="auto"/>
          <w:szCs w:val="21"/>
          <w:highlight w:val="none"/>
        </w:rPr>
        <w:t>17.1投标有效期为从提交投标文件的截止之日起90天。▲</w:t>
      </w:r>
      <w:r>
        <w:rPr>
          <w:rFonts w:hint="eastAsia" w:asciiTheme="minorEastAsia" w:hAnsiTheme="minorEastAsia" w:eastAsiaTheme="minorEastAsia" w:cstheme="minorEastAsia"/>
          <w:b/>
          <w:color w:val="auto"/>
          <w:szCs w:val="21"/>
          <w:highlight w:val="none"/>
        </w:rPr>
        <w:t>投标人的投标文件中承诺的投标有效期少于招标文件中载明的投标有效期的，投标无效。</w:t>
      </w:r>
    </w:p>
    <w:p>
      <w:pPr>
        <w:pStyle w:val="133"/>
        <w:spacing w:before="0"/>
        <w:ind w:firstLine="420"/>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17.2投标文件合格投递后，自投标截止日期起，在投标有效期内有效。</w:t>
      </w:r>
    </w:p>
    <w:p>
      <w:pPr>
        <w:pStyle w:val="133"/>
        <w:spacing w:before="0"/>
        <w:ind w:firstLine="420"/>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17.3在原定投标有效期满之前，如果出现特殊情况，采购代理机构可以以书面形式通知投标人延长投标有效期。投标人同意延长的，不得要求或被允许修改其投标文件，投标人拒绝延长的，其投标无效。</w:t>
      </w:r>
    </w:p>
    <w:p>
      <w:pPr>
        <w:pStyle w:val="133"/>
        <w:spacing w:before="0"/>
        <w:ind w:firstLine="643"/>
        <w:rPr>
          <w:rFonts w:ascii="宋体" w:hAnsi="宋体" w:cs="宋体"/>
          <w:b/>
          <w:color w:val="auto"/>
          <w:sz w:val="32"/>
          <w:highlight w:val="none"/>
        </w:rPr>
      </w:pPr>
    </w:p>
    <w:p>
      <w:pPr>
        <w:pStyle w:val="133"/>
        <w:spacing w:before="0"/>
        <w:ind w:firstLine="1928" w:firstLineChars="600"/>
        <w:outlineLvl w:val="1"/>
        <w:rPr>
          <w:rFonts w:ascii="宋体" w:hAnsi="宋体" w:cs="宋体"/>
          <w:b/>
          <w:color w:val="auto"/>
          <w:sz w:val="32"/>
          <w:highlight w:val="none"/>
        </w:rPr>
      </w:pPr>
      <w:bookmarkStart w:id="38" w:name="_Toc24357"/>
      <w:r>
        <w:rPr>
          <w:rFonts w:hint="eastAsia" w:ascii="宋体" w:hAnsi="宋体" w:cs="宋体"/>
          <w:b/>
          <w:color w:val="auto"/>
          <w:sz w:val="32"/>
          <w:highlight w:val="none"/>
        </w:rPr>
        <w:t>四、开标、资格审查与信用信息查询</w:t>
      </w:r>
      <w:bookmarkEnd w:id="38"/>
    </w:p>
    <w:p>
      <w:pPr>
        <w:pStyle w:val="557"/>
        <w:spacing w:before="0" w:line="360" w:lineRule="auto"/>
        <w:ind w:left="0" w:firstLine="211" w:firstLineChars="100"/>
        <w:contextualSpacing/>
        <w:outlineLvl w:val="2"/>
        <w:rPr>
          <w:rFonts w:ascii="宋体" w:hAnsi="宋体" w:cs="宋体"/>
          <w:color w:val="auto"/>
          <w:sz w:val="21"/>
          <w:szCs w:val="21"/>
          <w:highlight w:val="none"/>
        </w:rPr>
      </w:pPr>
      <w:r>
        <w:rPr>
          <w:rFonts w:hint="eastAsia" w:ascii="宋体" w:hAnsi="宋体" w:cs="宋体"/>
          <w:b/>
          <w:color w:val="auto"/>
          <w:sz w:val="21"/>
          <w:szCs w:val="21"/>
          <w:highlight w:val="none"/>
        </w:rPr>
        <w:t>18.开标</w:t>
      </w:r>
      <w:r>
        <w:rPr>
          <w:rFonts w:hint="eastAsia" w:ascii="宋体" w:hAnsi="宋体" w:cs="宋体"/>
          <w:color w:val="auto"/>
          <w:sz w:val="21"/>
          <w:szCs w:val="21"/>
          <w:highlight w:val="none"/>
        </w:rPr>
        <w:t xml:space="preserve"> </w:t>
      </w:r>
    </w:p>
    <w:p>
      <w:pPr>
        <w:pStyle w:val="557"/>
        <w:spacing w:before="0" w:line="360" w:lineRule="auto"/>
        <w:ind w:left="0" w:firstLine="420" w:firstLineChars="200"/>
        <w:contextualSpacing/>
        <w:rPr>
          <w:rFonts w:ascii="宋体" w:hAnsi="宋体" w:cs="宋体"/>
          <w:color w:val="auto"/>
          <w:sz w:val="21"/>
          <w:szCs w:val="21"/>
          <w:highlight w:val="none"/>
        </w:rPr>
      </w:pPr>
      <w:r>
        <w:rPr>
          <w:rFonts w:hint="eastAsia" w:ascii="宋体" w:hAnsi="宋体" w:cs="宋体"/>
          <w:color w:val="auto"/>
          <w:sz w:val="21"/>
          <w:szCs w:val="21"/>
          <w:highlight w:val="none"/>
        </w:rPr>
        <w:t>18.1采购代理机构按照招标文件规定的时间通过电子交易平台组织开标，所有投标人均应当准时在线参加。投标人不足3家的，不得开标。</w:t>
      </w:r>
    </w:p>
    <w:p>
      <w:pPr>
        <w:pStyle w:val="557"/>
        <w:spacing w:before="0" w:line="360" w:lineRule="auto"/>
        <w:ind w:left="0" w:firstLine="210" w:firstLineChars="100"/>
        <w:contextualSpacing/>
        <w:rPr>
          <w:rFonts w:ascii="宋体" w:hAnsi="宋体" w:cs="宋体"/>
          <w:color w:val="auto"/>
          <w:sz w:val="21"/>
          <w:szCs w:val="21"/>
          <w:highlight w:val="none"/>
        </w:rPr>
      </w:pPr>
      <w:r>
        <w:rPr>
          <w:rFonts w:hint="eastAsia" w:ascii="宋体" w:hAnsi="宋体" w:cs="宋体"/>
          <w:color w:val="auto"/>
          <w:sz w:val="21"/>
          <w:szCs w:val="21"/>
          <w:highlight w:val="none"/>
        </w:rPr>
        <w:t>　18.2开标时，电子交易平台按开标时间自动提取所有投标文件。采购代理机构依托电子交易平台发起开始解密指令，投标人按照平台提示和招标文件的规定在半小时内完成在线解密。</w:t>
      </w:r>
    </w:p>
    <w:p>
      <w:pPr>
        <w:pStyle w:val="557"/>
        <w:spacing w:before="0" w:line="360" w:lineRule="auto"/>
        <w:ind w:left="0" w:firstLine="210" w:firstLineChars="100"/>
        <w:contextualSpacing/>
        <w:rPr>
          <w:rFonts w:ascii="宋体" w:hAnsi="宋体" w:cs="宋体"/>
          <w:b/>
          <w:color w:val="auto"/>
          <w:sz w:val="21"/>
          <w:szCs w:val="21"/>
          <w:highlight w:val="none"/>
        </w:rPr>
      </w:pPr>
      <w:r>
        <w:rPr>
          <w:rFonts w:hint="eastAsia" w:ascii="宋体" w:hAnsi="宋体" w:cs="宋体"/>
          <w:color w:val="auto"/>
          <w:sz w:val="21"/>
          <w:szCs w:val="21"/>
          <w:highlight w:val="none"/>
        </w:rPr>
        <w:t>　18.3</w:t>
      </w:r>
      <w:r>
        <w:rPr>
          <w:rFonts w:hint="eastAsia" w:ascii="宋体" w:hAnsi="宋体" w:cs="宋体"/>
          <w:b/>
          <w:color w:val="auto"/>
          <w:sz w:val="21"/>
          <w:szCs w:val="21"/>
          <w:highlight w:val="none"/>
        </w:rPr>
        <w:t>投标文件未按时解密，投标人提供了备份投标文件的，以备份投标文件作为依据，否则视为投标文件撤回。投标文件已按时解密的，备份投标文件自动失效。</w:t>
      </w:r>
    </w:p>
    <w:p>
      <w:pPr>
        <w:widowControl/>
        <w:spacing w:line="360" w:lineRule="auto"/>
        <w:jc w:val="left"/>
        <w:outlineLvl w:val="2"/>
        <w:rPr>
          <w:rFonts w:ascii="宋体" w:hAnsi="宋体" w:cs="宋体"/>
          <w:b/>
          <w:color w:val="auto"/>
          <w:szCs w:val="21"/>
          <w:highlight w:val="none"/>
        </w:rPr>
      </w:pPr>
      <w:r>
        <w:rPr>
          <w:rFonts w:hint="eastAsia" w:ascii="宋体" w:hAnsi="宋体" w:cs="宋体"/>
          <w:b/>
          <w:color w:val="auto"/>
          <w:szCs w:val="21"/>
          <w:highlight w:val="none"/>
        </w:rPr>
        <w:t>　19、资格审查</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kern w:val="0"/>
          <w:szCs w:val="21"/>
          <w:highlight w:val="none"/>
        </w:rPr>
        <w:t>19.1</w:t>
      </w:r>
      <w:r>
        <w:rPr>
          <w:rFonts w:hint="eastAsia" w:ascii="宋体" w:hAnsi="宋体" w:cs="宋体"/>
          <w:color w:val="auto"/>
          <w:szCs w:val="21"/>
          <w:highlight w:val="none"/>
        </w:rPr>
        <w:t>采购人或采购代理机构依据法律法规和招标文件的规定，对投标人的资格进行审查。</w:t>
      </w:r>
    </w:p>
    <w:p>
      <w:pPr>
        <w:pStyle w:val="133"/>
        <w:spacing w:before="0"/>
        <w:ind w:firstLine="420"/>
        <w:rPr>
          <w:rFonts w:ascii="宋体" w:hAnsi="宋体" w:cs="宋体"/>
          <w:color w:val="auto"/>
          <w:sz w:val="21"/>
          <w:szCs w:val="21"/>
          <w:highlight w:val="none"/>
        </w:rPr>
      </w:pPr>
      <w:r>
        <w:rPr>
          <w:rFonts w:hint="eastAsia" w:ascii="宋体" w:hAnsi="宋体" w:cs="宋体"/>
          <w:color w:val="auto"/>
          <w:kern w:val="0"/>
          <w:sz w:val="21"/>
          <w:szCs w:val="21"/>
          <w:highlight w:val="none"/>
        </w:rPr>
        <w:t>19.2投标人未按照招标文件要求提供与</w:t>
      </w:r>
      <w:r>
        <w:rPr>
          <w:rFonts w:hint="eastAsia" w:ascii="宋体" w:hAnsi="宋体" w:cs="宋体"/>
          <w:color w:val="auto"/>
          <w:sz w:val="21"/>
          <w:szCs w:val="21"/>
          <w:highlight w:val="none"/>
        </w:rPr>
        <w:t>资格条件相应的</w:t>
      </w:r>
      <w:r>
        <w:rPr>
          <w:rFonts w:hint="eastAsia" w:ascii="宋体" w:hAnsi="宋体" w:cs="宋体"/>
          <w:color w:val="auto"/>
          <w:kern w:val="0"/>
          <w:sz w:val="21"/>
          <w:szCs w:val="21"/>
          <w:highlight w:val="none"/>
        </w:rPr>
        <w:t>有效资格证明材料的，视为</w:t>
      </w:r>
      <w:r>
        <w:rPr>
          <w:rFonts w:hint="eastAsia" w:ascii="宋体" w:hAnsi="宋体" w:cs="宋体"/>
          <w:color w:val="auto"/>
          <w:sz w:val="21"/>
          <w:szCs w:val="21"/>
          <w:highlight w:val="none"/>
        </w:rPr>
        <w:t>投标人不具备招标文件中规定的资格要求，其投标无效。</w:t>
      </w:r>
    </w:p>
    <w:p>
      <w:pPr>
        <w:pStyle w:val="133"/>
        <w:spacing w:before="0"/>
        <w:ind w:firstLine="420"/>
        <w:rPr>
          <w:rFonts w:ascii="宋体" w:hAnsi="宋体" w:cs="宋体"/>
          <w:color w:val="auto"/>
          <w:sz w:val="21"/>
          <w:szCs w:val="21"/>
          <w:highlight w:val="none"/>
        </w:rPr>
      </w:pPr>
      <w:r>
        <w:rPr>
          <w:rFonts w:hint="eastAsia" w:ascii="宋体" w:hAnsi="宋体" w:cs="宋体"/>
          <w:color w:val="auto"/>
          <w:kern w:val="0"/>
          <w:sz w:val="21"/>
          <w:szCs w:val="21"/>
          <w:highlight w:val="none"/>
        </w:rPr>
        <w:t>19.</w:t>
      </w:r>
      <w:r>
        <w:rPr>
          <w:rFonts w:hint="eastAsia" w:ascii="宋体" w:hAnsi="宋体" w:cs="宋体"/>
          <w:color w:val="auto"/>
          <w:sz w:val="21"/>
          <w:szCs w:val="21"/>
          <w:highlight w:val="none"/>
        </w:rPr>
        <w:t>3对未通过资格审查的投标人，采购人或采购代理机构告知其未通过的原因。</w:t>
      </w:r>
    </w:p>
    <w:p>
      <w:pPr>
        <w:pStyle w:val="133"/>
        <w:spacing w:before="0"/>
        <w:ind w:firstLine="420"/>
        <w:outlineLvl w:val="3"/>
        <w:rPr>
          <w:rFonts w:ascii="宋体" w:hAnsi="宋体" w:cs="宋体"/>
          <w:color w:val="auto"/>
          <w:sz w:val="21"/>
          <w:szCs w:val="21"/>
          <w:highlight w:val="none"/>
        </w:rPr>
      </w:pPr>
      <w:r>
        <w:rPr>
          <w:rFonts w:hint="eastAsia" w:ascii="宋体" w:hAnsi="宋体" w:cs="宋体"/>
          <w:color w:val="auto"/>
          <w:kern w:val="0"/>
          <w:sz w:val="21"/>
          <w:szCs w:val="21"/>
          <w:highlight w:val="none"/>
        </w:rPr>
        <w:t>19.</w:t>
      </w:r>
      <w:r>
        <w:rPr>
          <w:rFonts w:hint="eastAsia" w:ascii="宋体" w:hAnsi="宋体" w:cs="宋体"/>
          <w:color w:val="auto"/>
          <w:sz w:val="21"/>
          <w:szCs w:val="21"/>
          <w:highlight w:val="none"/>
        </w:rPr>
        <w:t>4合格投标人不足3家的，不再评标。</w:t>
      </w:r>
    </w:p>
    <w:p>
      <w:pPr>
        <w:pStyle w:val="133"/>
        <w:spacing w:before="0"/>
        <w:ind w:firstLine="0" w:firstLineChars="0"/>
        <w:outlineLvl w:val="2"/>
        <w:rPr>
          <w:rFonts w:ascii="宋体" w:hAnsi="宋体" w:cs="宋体"/>
          <w:b/>
          <w:color w:val="auto"/>
          <w:sz w:val="21"/>
          <w:szCs w:val="21"/>
          <w:highlight w:val="none"/>
        </w:rPr>
      </w:pPr>
      <w:r>
        <w:rPr>
          <w:rFonts w:hint="eastAsia" w:ascii="宋体" w:hAnsi="宋体" w:cs="宋体"/>
          <w:b/>
          <w:color w:val="auto"/>
          <w:sz w:val="21"/>
          <w:szCs w:val="21"/>
          <w:highlight w:val="none"/>
        </w:rPr>
        <w:t>20、信用信息查询</w:t>
      </w:r>
    </w:p>
    <w:p>
      <w:pPr>
        <w:pStyle w:val="133"/>
        <w:spacing w:before="0"/>
        <w:ind w:firstLine="49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20.1信用信息查询渠道及截止时间：采购代理机构将在资格审查时通过“信用中国”网站(www.creditchina.gov.cn)、中国政府采购网(www.ccgp.gov.cn)渠道查询投标人接受资格审查时的信用记录。</w:t>
      </w:r>
    </w:p>
    <w:p>
      <w:pPr>
        <w:pStyle w:val="133"/>
        <w:spacing w:before="0"/>
        <w:ind w:firstLine="49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20.2信用信息查询记录和证据留存的具体方式：现场查询的投标人的信用记录、查询结果经确认后将与采购文件一起存档。</w:t>
      </w:r>
    </w:p>
    <w:p>
      <w:pPr>
        <w:pStyle w:val="133"/>
        <w:spacing w:before="0"/>
        <w:ind w:firstLine="49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20.3信用信息的使用规则：经查询列入失信被执行人名单、重大税收违法案件当事人名单、政府采购严重违法失信行为记录名单的投标人将被拒绝参与政府采购活动。</w:t>
      </w:r>
    </w:p>
    <w:p>
      <w:pPr>
        <w:pStyle w:val="133"/>
        <w:spacing w:before="0"/>
        <w:ind w:firstLine="420"/>
        <w:rPr>
          <w:rFonts w:ascii="宋体" w:hAnsi="宋体" w:cs="宋体"/>
          <w:color w:val="auto"/>
          <w:sz w:val="21"/>
          <w:szCs w:val="21"/>
          <w:highlight w:val="none"/>
        </w:rPr>
      </w:pPr>
      <w:r>
        <w:rPr>
          <w:rFonts w:hint="eastAsia" w:ascii="宋体" w:hAnsi="宋体" w:cs="宋体"/>
          <w:color w:val="auto"/>
          <w:kern w:val="0"/>
          <w:sz w:val="21"/>
          <w:szCs w:val="21"/>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sz w:val="21"/>
          <w:szCs w:val="21"/>
          <w:highlight w:val="none"/>
        </w:rPr>
        <w:t>。</w:t>
      </w:r>
    </w:p>
    <w:p>
      <w:pPr>
        <w:snapToGrid w:val="0"/>
        <w:spacing w:line="360" w:lineRule="auto"/>
        <w:jc w:val="center"/>
        <w:outlineLvl w:val="1"/>
        <w:rPr>
          <w:rFonts w:ascii="宋体" w:hAnsi="宋体" w:cs="宋体"/>
          <w:b/>
          <w:color w:val="auto"/>
          <w:sz w:val="36"/>
          <w:szCs w:val="36"/>
          <w:highlight w:val="none"/>
        </w:rPr>
      </w:pPr>
      <w:bookmarkStart w:id="39" w:name="_Toc23139"/>
      <w:r>
        <w:rPr>
          <w:rFonts w:hint="eastAsia" w:ascii="宋体" w:hAnsi="宋体" w:cs="宋体"/>
          <w:b/>
          <w:color w:val="auto"/>
          <w:sz w:val="36"/>
          <w:szCs w:val="36"/>
          <w:highlight w:val="none"/>
        </w:rPr>
        <w:t>五、评标</w:t>
      </w:r>
      <w:bookmarkEnd w:id="39"/>
    </w:p>
    <w:p>
      <w:pPr>
        <w:spacing w:line="360" w:lineRule="auto"/>
        <w:rPr>
          <w:rFonts w:ascii="宋体" w:hAnsi="宋体" w:cs="宋体"/>
          <w:b/>
          <w:color w:val="auto"/>
          <w:szCs w:val="21"/>
          <w:highlight w:val="none"/>
        </w:rPr>
      </w:pPr>
      <w:bookmarkStart w:id="40" w:name="_Toc91899903"/>
      <w:r>
        <w:rPr>
          <w:rFonts w:hint="eastAsia" w:ascii="宋体" w:hAnsi="宋体" w:cs="宋体"/>
          <w:b/>
          <w:color w:val="auto"/>
          <w:szCs w:val="21"/>
          <w:highlight w:val="none"/>
        </w:rPr>
        <w:t>21.</w:t>
      </w:r>
      <w:r>
        <w:rPr>
          <w:rFonts w:hint="eastAsia" w:ascii="宋体" w:hAnsi="宋体" w:cs="宋体"/>
          <w:color w:val="auto"/>
          <w:szCs w:val="21"/>
          <w:highlight w:val="none"/>
        </w:rPr>
        <w:t xml:space="preserve"> 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Cs w:val="21"/>
          <w:highlight w:val="none"/>
        </w:rPr>
        <w:t>详见招标文件第四部分评标办法。</w:t>
      </w:r>
    </w:p>
    <w:p>
      <w:pPr>
        <w:spacing w:line="360" w:lineRule="auto"/>
        <w:rPr>
          <w:rFonts w:ascii="宋体" w:hAnsi="宋体" w:cs="宋体"/>
          <w:b/>
          <w:color w:val="auto"/>
          <w:sz w:val="24"/>
          <w:highlight w:val="none"/>
        </w:rPr>
      </w:pPr>
    </w:p>
    <w:p>
      <w:pPr>
        <w:snapToGrid w:val="0"/>
        <w:spacing w:line="360" w:lineRule="auto"/>
        <w:jc w:val="center"/>
        <w:outlineLvl w:val="1"/>
        <w:rPr>
          <w:rFonts w:ascii="宋体" w:hAnsi="宋体" w:cs="宋体"/>
          <w:b/>
          <w:color w:val="auto"/>
          <w:sz w:val="36"/>
          <w:szCs w:val="36"/>
          <w:highlight w:val="none"/>
        </w:rPr>
      </w:pPr>
      <w:bookmarkStart w:id="41" w:name="_Toc32708"/>
      <w:r>
        <w:rPr>
          <w:rFonts w:hint="eastAsia" w:ascii="宋体" w:hAnsi="宋体" w:cs="宋体"/>
          <w:b/>
          <w:color w:val="auto"/>
          <w:sz w:val="36"/>
          <w:szCs w:val="36"/>
          <w:highlight w:val="none"/>
        </w:rPr>
        <w:t>六、定 标</w:t>
      </w:r>
      <w:bookmarkEnd w:id="41"/>
    </w:p>
    <w:p>
      <w:pPr>
        <w:pStyle w:val="25"/>
        <w:spacing w:line="360" w:lineRule="auto"/>
        <w:ind w:left="420" w:hanging="420" w:hangingChars="199"/>
        <w:outlineLvl w:val="2"/>
        <w:rPr>
          <w:rFonts w:cs="宋体"/>
          <w:b/>
          <w:color w:val="auto"/>
          <w:sz w:val="21"/>
          <w:szCs w:val="21"/>
          <w:highlight w:val="none"/>
        </w:rPr>
      </w:pPr>
      <w:r>
        <w:rPr>
          <w:rFonts w:hint="eastAsia" w:cs="宋体"/>
          <w:b/>
          <w:color w:val="auto"/>
          <w:sz w:val="21"/>
          <w:szCs w:val="21"/>
          <w:highlight w:val="none"/>
        </w:rPr>
        <w:t>22. 确定中标供应商</w:t>
      </w:r>
    </w:p>
    <w:p>
      <w:pPr>
        <w:pStyle w:val="133"/>
        <w:snapToGrid w:val="0"/>
        <w:spacing w:before="0"/>
        <w:ind w:firstLine="420"/>
        <w:rPr>
          <w:rFonts w:ascii="宋体" w:hAnsi="宋体" w:cs="宋体"/>
          <w:b/>
          <w:color w:val="auto"/>
          <w:sz w:val="21"/>
          <w:szCs w:val="21"/>
          <w:highlight w:val="none"/>
        </w:rPr>
      </w:pPr>
      <w:r>
        <w:rPr>
          <w:rFonts w:hint="eastAsia" w:ascii="宋体" w:hAnsi="宋体" w:cs="宋体"/>
          <w:color w:val="auto"/>
          <w:sz w:val="21"/>
          <w:szCs w:val="21"/>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pPr>
        <w:pStyle w:val="133"/>
        <w:numPr>
          <w:ilvl w:val="0"/>
          <w:numId w:val="2"/>
        </w:numPr>
        <w:snapToGrid w:val="0"/>
        <w:spacing w:before="0"/>
        <w:ind w:firstLine="0" w:firstLineChars="0"/>
        <w:outlineLvl w:val="2"/>
        <w:rPr>
          <w:rFonts w:ascii="宋体" w:hAnsi="宋体" w:cs="宋体"/>
          <w:b/>
          <w:color w:val="auto"/>
          <w:sz w:val="21"/>
          <w:szCs w:val="21"/>
          <w:highlight w:val="none"/>
        </w:rPr>
      </w:pPr>
      <w:r>
        <w:rPr>
          <w:rFonts w:hint="eastAsia" w:ascii="宋体" w:hAnsi="宋体" w:cs="宋体"/>
          <w:b/>
          <w:color w:val="auto"/>
          <w:sz w:val="21"/>
          <w:szCs w:val="21"/>
          <w:highlight w:val="none"/>
        </w:rPr>
        <w:t>中标通知与中标结果公告</w:t>
      </w:r>
    </w:p>
    <w:p>
      <w:pPr>
        <w:pStyle w:val="133"/>
        <w:snapToGrid w:val="0"/>
        <w:spacing w:before="0"/>
        <w:ind w:firstLine="420"/>
        <w:rPr>
          <w:rFonts w:ascii="宋体" w:hAnsi="宋体" w:cs="宋体"/>
          <w:color w:val="auto"/>
          <w:sz w:val="21"/>
          <w:szCs w:val="21"/>
          <w:highlight w:val="none"/>
        </w:rPr>
      </w:pPr>
      <w:r>
        <w:rPr>
          <w:rFonts w:hint="eastAsia" w:ascii="宋体" w:hAnsi="宋体" w:cs="宋体"/>
          <w:color w:val="auto"/>
          <w:sz w:val="21"/>
          <w:szCs w:val="21"/>
          <w:highlight w:val="none"/>
        </w:rPr>
        <w:t>23.1自中标人确定之日起2个工作日内，采购代理机构通过电子交易平台向中标人发出中标通知书，同时编制发布采购结果公告。采购代理机构也可以以纸质形式进行中标通知。</w:t>
      </w:r>
    </w:p>
    <w:p>
      <w:pPr>
        <w:pStyle w:val="133"/>
        <w:snapToGrid w:val="0"/>
        <w:spacing w:before="0"/>
        <w:ind w:firstLine="420"/>
        <w:rPr>
          <w:rFonts w:ascii="宋体" w:hAnsi="宋体" w:cs="宋体"/>
          <w:color w:val="auto"/>
          <w:sz w:val="21"/>
          <w:szCs w:val="21"/>
          <w:highlight w:val="none"/>
        </w:rPr>
      </w:pPr>
      <w:r>
        <w:rPr>
          <w:rFonts w:hint="eastAsia" w:ascii="宋体" w:hAnsi="宋体" w:cs="宋体"/>
          <w:color w:val="auto"/>
          <w:sz w:val="21"/>
          <w:szCs w:val="21"/>
          <w:highlight w:val="none"/>
        </w:rPr>
        <w:t>23.2中标结果公告内容包括采购人及其委托的采购代理机构的名称、地址、联系方式，项目名称和项目编号，中标人名称、地址和中标金额，主要中标标的的名称、规格型号、数量、单价、服务要求或者标的基本概况，开标记录、中标公告期限以及评审专家名单、评分汇总及明细。</w:t>
      </w:r>
    </w:p>
    <w:p>
      <w:pPr>
        <w:pStyle w:val="133"/>
        <w:snapToGrid w:val="0"/>
        <w:spacing w:before="0"/>
        <w:ind w:firstLine="420"/>
        <w:outlineLvl w:val="3"/>
        <w:rPr>
          <w:rFonts w:ascii="宋体" w:hAnsi="宋体" w:cs="宋体"/>
          <w:color w:val="auto"/>
          <w:sz w:val="21"/>
          <w:szCs w:val="21"/>
          <w:highlight w:val="none"/>
        </w:rPr>
      </w:pPr>
      <w:r>
        <w:rPr>
          <w:rFonts w:hint="eastAsia" w:ascii="宋体" w:hAnsi="宋体" w:cs="宋体"/>
          <w:color w:val="auto"/>
          <w:sz w:val="21"/>
          <w:szCs w:val="21"/>
          <w:highlight w:val="none"/>
        </w:rPr>
        <w:t>23.3公告期限为1个工作日。</w:t>
      </w:r>
    </w:p>
    <w:p>
      <w:pPr>
        <w:snapToGrid w:val="0"/>
        <w:spacing w:line="360" w:lineRule="auto"/>
        <w:ind w:left="120" w:leftChars="57" w:firstLine="482" w:firstLineChars="150"/>
        <w:jc w:val="center"/>
        <w:rPr>
          <w:rFonts w:ascii="宋体" w:hAnsi="宋体" w:cs="宋体"/>
          <w:b/>
          <w:color w:val="auto"/>
          <w:sz w:val="32"/>
          <w:highlight w:val="none"/>
        </w:rPr>
      </w:pPr>
    </w:p>
    <w:p>
      <w:pPr>
        <w:snapToGrid w:val="0"/>
        <w:spacing w:line="360" w:lineRule="auto"/>
        <w:ind w:left="120" w:leftChars="57" w:firstLine="482" w:firstLineChars="150"/>
        <w:jc w:val="center"/>
        <w:outlineLvl w:val="1"/>
        <w:rPr>
          <w:rFonts w:ascii="宋体" w:hAnsi="宋体" w:cs="宋体"/>
          <w:b/>
          <w:color w:val="auto"/>
          <w:sz w:val="32"/>
          <w:highlight w:val="none"/>
        </w:rPr>
      </w:pPr>
      <w:bookmarkStart w:id="42" w:name="_Toc22272"/>
      <w:r>
        <w:rPr>
          <w:rFonts w:hint="eastAsia" w:ascii="宋体" w:hAnsi="宋体" w:cs="宋体"/>
          <w:b/>
          <w:color w:val="auto"/>
          <w:sz w:val="32"/>
          <w:highlight w:val="none"/>
        </w:rPr>
        <w:t>七、合同授予</w:t>
      </w:r>
      <w:bookmarkEnd w:id="42"/>
    </w:p>
    <w:p>
      <w:pPr>
        <w:pStyle w:val="25"/>
        <w:spacing w:line="360" w:lineRule="auto"/>
        <w:ind w:left="420" w:hanging="420" w:hangingChars="199"/>
        <w:rPr>
          <w:rFonts w:cs="宋体"/>
          <w:b/>
          <w:color w:val="auto"/>
          <w:sz w:val="21"/>
          <w:szCs w:val="21"/>
          <w:highlight w:val="none"/>
        </w:rPr>
      </w:pPr>
      <w:r>
        <w:rPr>
          <w:rFonts w:hint="eastAsia" w:cs="宋体"/>
          <w:b/>
          <w:color w:val="auto"/>
          <w:sz w:val="21"/>
          <w:szCs w:val="21"/>
          <w:highlight w:val="none"/>
        </w:rPr>
        <w:t xml:space="preserve">24. </w:t>
      </w:r>
      <w:r>
        <w:rPr>
          <w:rFonts w:hint="eastAsia" w:cs="宋体"/>
          <w:color w:val="auto"/>
          <w:sz w:val="21"/>
          <w:szCs w:val="21"/>
          <w:highlight w:val="none"/>
        </w:rPr>
        <w:t>合同主要条款详见第五部分拟签订的合同文本。</w:t>
      </w:r>
    </w:p>
    <w:p>
      <w:pPr>
        <w:pStyle w:val="25"/>
        <w:spacing w:line="360" w:lineRule="auto"/>
        <w:ind w:left="420" w:hanging="420" w:hangingChars="199"/>
        <w:rPr>
          <w:rFonts w:cs="宋体"/>
          <w:b/>
          <w:color w:val="auto"/>
          <w:sz w:val="21"/>
          <w:szCs w:val="21"/>
          <w:highlight w:val="none"/>
        </w:rPr>
      </w:pPr>
      <w:r>
        <w:rPr>
          <w:rFonts w:hint="eastAsia" w:cs="宋体"/>
          <w:b/>
          <w:color w:val="auto"/>
          <w:sz w:val="21"/>
          <w:szCs w:val="21"/>
          <w:highlight w:val="none"/>
        </w:rPr>
        <w:t>25. 合同的签订</w:t>
      </w:r>
    </w:p>
    <w:p>
      <w:pPr>
        <w:pStyle w:val="133"/>
        <w:spacing w:before="0"/>
        <w:ind w:firstLine="420"/>
        <w:rPr>
          <w:rFonts w:ascii="宋体" w:hAnsi="宋体" w:cs="宋体"/>
          <w:color w:val="auto"/>
          <w:sz w:val="21"/>
          <w:szCs w:val="21"/>
          <w:highlight w:val="none"/>
        </w:rPr>
      </w:pPr>
      <w:r>
        <w:rPr>
          <w:rFonts w:hint="eastAsia" w:ascii="宋体" w:hAnsi="宋体" w:cs="宋体"/>
          <w:color w:val="auto"/>
          <w:sz w:val="21"/>
          <w:szCs w:val="21"/>
          <w:highlight w:val="none"/>
        </w:rPr>
        <w:t>25.1 采购人与中标供应商应当通过电子交易平台在中标通知书发出之日起三十日内，按照招标文件及中标供应商的投标文件确定的事项签订政府采购合同，并在合同签订之日起2个工作日内依法发布合同公告。</w:t>
      </w:r>
    </w:p>
    <w:p>
      <w:pPr>
        <w:pStyle w:val="133"/>
        <w:snapToGrid w:val="0"/>
        <w:spacing w:before="0"/>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lang w:val="zh-CN"/>
        </w:rPr>
        <w:t>25.2中标人按规定的日期、时间、地点，由法定代表人或其授权代表与采购人代表签订合同。如中标人为联合体的，由联合体成员各方法定代表人或其授权代表与采购人代表签订合同。</w:t>
      </w:r>
    </w:p>
    <w:p>
      <w:pPr>
        <w:pStyle w:val="133"/>
        <w:snapToGrid w:val="0"/>
        <w:spacing w:before="0"/>
        <w:ind w:firstLine="420"/>
        <w:rPr>
          <w:rFonts w:ascii="宋体" w:hAnsi="宋体" w:cs="宋体"/>
          <w:color w:val="auto"/>
          <w:sz w:val="21"/>
          <w:szCs w:val="21"/>
          <w:highlight w:val="none"/>
        </w:rPr>
      </w:pPr>
      <w:r>
        <w:rPr>
          <w:rFonts w:hint="eastAsia" w:ascii="宋体" w:hAnsi="宋体" w:cs="宋体"/>
          <w:color w:val="auto"/>
          <w:sz w:val="21"/>
          <w:szCs w:val="21"/>
          <w:highlight w:val="none"/>
        </w:rPr>
        <w:t>25.3如签订合同并生效后，供应商无故拒绝或延期，除按照合同条款处理外，列入不良行为记录一次，并给予通报。</w:t>
      </w:r>
    </w:p>
    <w:p>
      <w:pPr>
        <w:pStyle w:val="133"/>
        <w:snapToGrid w:val="0"/>
        <w:spacing w:before="0"/>
        <w:ind w:firstLine="420"/>
        <w:rPr>
          <w:rFonts w:ascii="宋体" w:hAnsi="宋体" w:cs="宋体"/>
          <w:color w:val="auto"/>
          <w:sz w:val="21"/>
          <w:szCs w:val="21"/>
          <w:highlight w:val="none"/>
        </w:rPr>
      </w:pPr>
      <w:r>
        <w:rPr>
          <w:rFonts w:hint="eastAsia" w:ascii="宋体" w:hAnsi="宋体" w:cs="宋体"/>
          <w:color w:val="auto"/>
          <w:sz w:val="21"/>
          <w:szCs w:val="21"/>
          <w:highlight w:val="none"/>
        </w:rPr>
        <w:t>25.4中标供应商拒绝与采购人签订合同的，采购人可以按照评审报告推荐的中标或者成交候选人名单排序，确定下一候选人为中标供应商，也可以重新开展政府采购活动。</w:t>
      </w:r>
    </w:p>
    <w:p>
      <w:pPr>
        <w:pStyle w:val="133"/>
        <w:snapToGrid w:val="0"/>
        <w:spacing w:before="0" w:after="120"/>
        <w:ind w:firstLine="420"/>
        <w:rPr>
          <w:rFonts w:ascii="宋体" w:hAnsi="宋体" w:cs="宋体"/>
          <w:color w:val="auto"/>
          <w:sz w:val="21"/>
          <w:szCs w:val="21"/>
          <w:highlight w:val="none"/>
        </w:rPr>
      </w:pPr>
      <w:r>
        <w:rPr>
          <w:rFonts w:hint="eastAsia" w:ascii="宋体" w:hAnsi="宋体" w:cs="宋体"/>
          <w:color w:val="auto"/>
          <w:sz w:val="21"/>
          <w:szCs w:val="21"/>
          <w:highlight w:val="none"/>
        </w:rPr>
        <w:t>25.5采购合同由采购人与中标供应商根据招标文件、投标文件等内容通过政府采购电子交易平台在线签订，自动备案。</w:t>
      </w:r>
    </w:p>
    <w:p>
      <w:pPr>
        <w:pStyle w:val="25"/>
        <w:spacing w:line="360" w:lineRule="auto"/>
        <w:ind w:left="420" w:hanging="420" w:hangingChars="199"/>
        <w:outlineLvl w:val="2"/>
        <w:rPr>
          <w:rFonts w:cs="宋体"/>
          <w:b/>
          <w:color w:val="auto"/>
          <w:sz w:val="21"/>
          <w:szCs w:val="21"/>
          <w:highlight w:val="none"/>
        </w:rPr>
      </w:pPr>
      <w:r>
        <w:rPr>
          <w:rFonts w:hint="eastAsia" w:cs="宋体"/>
          <w:b/>
          <w:color w:val="auto"/>
          <w:sz w:val="21"/>
          <w:szCs w:val="21"/>
          <w:highlight w:val="none"/>
        </w:rPr>
        <w:t>26. 履约保证金</w:t>
      </w:r>
    </w:p>
    <w:p>
      <w:pPr>
        <w:tabs>
          <w:tab w:val="left" w:pos="0"/>
        </w:tabs>
        <w:spacing w:line="360" w:lineRule="auto"/>
        <w:ind w:firstLine="482"/>
        <w:rPr>
          <w:rFonts w:ascii="宋体" w:hAnsi="宋体" w:cs="宋体"/>
          <w:color w:val="auto"/>
          <w:szCs w:val="21"/>
          <w:highlight w:val="none"/>
        </w:rPr>
      </w:pPr>
      <w:r>
        <w:rPr>
          <w:rFonts w:hint="eastAsia" w:ascii="宋体" w:hAnsi="宋体" w:cs="宋体"/>
          <w:color w:val="auto"/>
          <w:kern w:val="0"/>
          <w:szCs w:val="21"/>
          <w:highlight w:val="none"/>
        </w:rPr>
        <w:t>拟签订的合同文本要求中标供应商提交履约保证金的，供应商应当以支票、汇票、本票或者金融机构、担保机构出具的保函等非现金形式提交</w:t>
      </w:r>
      <w:r>
        <w:rPr>
          <w:rFonts w:hint="eastAsia" w:ascii="宋体" w:hAnsi="宋体" w:cs="宋体"/>
          <w:color w:val="auto"/>
          <w:szCs w:val="21"/>
          <w:highlight w:val="none"/>
        </w:rPr>
        <w:t>。履约保证金的数额不得超过政府采购合同金额的</w:t>
      </w:r>
      <w:r>
        <w:rPr>
          <w:rFonts w:ascii="宋体" w:hAnsi="宋体" w:cs="宋体"/>
          <w:color w:val="auto"/>
          <w:szCs w:val="21"/>
          <w:highlight w:val="none"/>
        </w:rPr>
        <w:t>1</w:t>
      </w:r>
      <w:r>
        <w:rPr>
          <w:rFonts w:hint="eastAsia" w:ascii="宋体" w:hAnsi="宋体" w:cs="宋体"/>
          <w:color w:val="auto"/>
          <w:szCs w:val="21"/>
          <w:highlight w:val="none"/>
        </w:rPr>
        <w:t>%。</w:t>
      </w:r>
    </w:p>
    <w:p>
      <w:pPr>
        <w:pStyle w:val="4"/>
        <w:ind w:left="0" w:firstLine="420" w:firstLineChars="200"/>
        <w:rPr>
          <w:rFonts w:ascii="宋体" w:hAnsi="宋体" w:eastAsia="宋体" w:cs="宋体"/>
          <w:b w:val="0"/>
          <w:bCs w:val="0"/>
          <w:snapToGrid w:val="0"/>
          <w:color w:val="auto"/>
          <w:kern w:val="28"/>
          <w:sz w:val="21"/>
          <w:szCs w:val="21"/>
          <w:highlight w:val="none"/>
        </w:rPr>
      </w:pPr>
      <w:bookmarkStart w:id="43" w:name="_Toc5410"/>
      <w:r>
        <w:rPr>
          <w:rFonts w:hint="eastAsia" w:ascii="宋体" w:hAnsi="宋体" w:eastAsia="宋体" w:cs="宋体"/>
          <w:b w:val="0"/>
          <w:bCs w:val="0"/>
          <w:snapToGrid w:val="0"/>
          <w:color w:val="auto"/>
          <w:kern w:val="28"/>
          <w:sz w:val="21"/>
          <w:szCs w:val="21"/>
          <w:highlight w:val="none"/>
        </w:rPr>
        <w:t>供应商</w:t>
      </w:r>
      <w:r>
        <w:rPr>
          <w:rFonts w:hint="eastAsia" w:ascii="宋体" w:hAnsi="宋体" w:eastAsia="宋体" w:cs="宋体"/>
          <w:b w:val="0"/>
          <w:bCs w:val="0"/>
          <w:snapToGrid w:val="0"/>
          <w:color w:val="auto"/>
          <w:kern w:val="28"/>
          <w:sz w:val="21"/>
          <w:szCs w:val="21"/>
          <w:highlight w:val="none"/>
          <w:lang w:val="en-US"/>
        </w:rPr>
        <w:t>可</w:t>
      </w:r>
      <w:r>
        <w:rPr>
          <w:rFonts w:hint="eastAsia" w:ascii="宋体" w:hAnsi="宋体" w:eastAsia="宋体" w:cs="宋体"/>
          <w:b w:val="0"/>
          <w:bCs w:val="0"/>
          <w:snapToGrid w:val="0"/>
          <w:color w:val="auto"/>
          <w:kern w:val="28"/>
          <w:sz w:val="21"/>
          <w:szCs w:val="21"/>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bookmarkEnd w:id="43"/>
    </w:p>
    <w:p>
      <w:pPr>
        <w:rPr>
          <w:color w:val="auto"/>
          <w:szCs w:val="21"/>
          <w:highlight w:val="none"/>
        </w:rPr>
      </w:pPr>
    </w:p>
    <w:p>
      <w:pPr>
        <w:snapToGrid w:val="0"/>
        <w:spacing w:line="360" w:lineRule="auto"/>
        <w:ind w:firstLine="2203" w:firstLineChars="1045"/>
        <w:rPr>
          <w:rFonts w:ascii="宋体" w:hAnsi="宋体" w:cs="宋体"/>
          <w:b/>
          <w:color w:val="auto"/>
          <w:szCs w:val="21"/>
          <w:highlight w:val="none"/>
        </w:rPr>
      </w:pPr>
    </w:p>
    <w:p>
      <w:pPr>
        <w:snapToGrid w:val="0"/>
        <w:spacing w:line="360" w:lineRule="auto"/>
        <w:ind w:firstLine="3357" w:firstLineChars="1045"/>
        <w:outlineLvl w:val="1"/>
        <w:rPr>
          <w:rFonts w:ascii="宋体" w:hAnsi="宋体" w:cs="宋体"/>
          <w:b/>
          <w:color w:val="auto"/>
          <w:sz w:val="24"/>
          <w:highlight w:val="none"/>
        </w:rPr>
      </w:pPr>
      <w:bookmarkStart w:id="44" w:name="_Toc362"/>
      <w:r>
        <w:rPr>
          <w:rFonts w:hint="eastAsia" w:ascii="宋体" w:hAnsi="宋体" w:cs="宋体"/>
          <w:b/>
          <w:color w:val="auto"/>
          <w:sz w:val="32"/>
          <w:highlight w:val="none"/>
        </w:rPr>
        <w:t>八、电子交易活动的中止</w:t>
      </w:r>
      <w:bookmarkEnd w:id="44"/>
    </w:p>
    <w:p>
      <w:pPr>
        <w:pStyle w:val="133"/>
        <w:snapToGrid w:val="0"/>
        <w:spacing w:before="0"/>
        <w:ind w:firstLine="0" w:firstLineChars="0"/>
        <w:rPr>
          <w:rFonts w:ascii="宋体" w:hAnsi="宋体" w:cs="宋体"/>
          <w:color w:val="auto"/>
          <w:sz w:val="21"/>
          <w:szCs w:val="21"/>
          <w:highlight w:val="none"/>
        </w:rPr>
      </w:pPr>
      <w:r>
        <w:rPr>
          <w:rFonts w:hint="eastAsia" w:ascii="宋体" w:hAnsi="宋体" w:cs="宋体"/>
          <w:b/>
          <w:bCs/>
          <w:color w:val="auto"/>
          <w:sz w:val="21"/>
          <w:szCs w:val="21"/>
          <w:highlight w:val="none"/>
        </w:rPr>
        <w:t>27</w:t>
      </w:r>
      <w:r>
        <w:rPr>
          <w:rFonts w:hint="eastAsia" w:ascii="宋体" w:hAnsi="宋体" w:cs="宋体"/>
          <w:b/>
          <w:color w:val="auto"/>
          <w:sz w:val="21"/>
          <w:szCs w:val="21"/>
          <w:highlight w:val="none"/>
        </w:rPr>
        <w:t>. 电子交易活动的中止。</w:t>
      </w:r>
      <w:r>
        <w:rPr>
          <w:rFonts w:hint="eastAsia" w:ascii="宋体" w:hAnsi="宋体" w:cs="宋体"/>
          <w:color w:val="auto"/>
          <w:sz w:val="21"/>
          <w:szCs w:val="21"/>
          <w:highlight w:val="none"/>
        </w:rPr>
        <w:t>采购过程中出现以下情形，导致电子交易平台无法正常运行，或者无法保证电子交易的公平、公正和安全时，采购代理机构可中止电子交易活动：</w:t>
      </w:r>
    </w:p>
    <w:p>
      <w:pPr>
        <w:pStyle w:val="133"/>
        <w:snapToGrid w:val="0"/>
        <w:spacing w:before="0"/>
        <w:ind w:firstLine="420"/>
        <w:outlineLvl w:val="2"/>
        <w:rPr>
          <w:rFonts w:ascii="宋体" w:hAnsi="宋体" w:cs="宋体"/>
          <w:color w:val="auto"/>
          <w:sz w:val="21"/>
          <w:szCs w:val="21"/>
          <w:highlight w:val="none"/>
        </w:rPr>
      </w:pPr>
      <w:r>
        <w:rPr>
          <w:rFonts w:hint="eastAsia" w:ascii="宋体" w:hAnsi="宋体" w:cs="宋体"/>
          <w:color w:val="auto"/>
          <w:sz w:val="21"/>
          <w:szCs w:val="21"/>
          <w:highlight w:val="none"/>
        </w:rPr>
        <w:t xml:space="preserve">27.1电子交易平台发生故障而无法登录访问的； </w:t>
      </w:r>
    </w:p>
    <w:p>
      <w:pPr>
        <w:pStyle w:val="133"/>
        <w:snapToGrid w:val="0"/>
        <w:spacing w:before="0"/>
        <w:ind w:firstLine="420"/>
        <w:rPr>
          <w:rFonts w:ascii="宋体" w:hAnsi="宋体" w:cs="宋体"/>
          <w:color w:val="auto"/>
          <w:sz w:val="21"/>
          <w:szCs w:val="21"/>
          <w:highlight w:val="none"/>
        </w:rPr>
      </w:pPr>
      <w:r>
        <w:rPr>
          <w:rFonts w:hint="eastAsia" w:ascii="宋体" w:hAnsi="宋体" w:cs="宋体"/>
          <w:color w:val="auto"/>
          <w:sz w:val="21"/>
          <w:szCs w:val="21"/>
          <w:highlight w:val="none"/>
        </w:rPr>
        <w:t>27.2电子交易平台应用或数据库出现错误，不能进行正常操作的；</w:t>
      </w:r>
    </w:p>
    <w:p>
      <w:pPr>
        <w:pStyle w:val="133"/>
        <w:snapToGrid w:val="0"/>
        <w:spacing w:before="0"/>
        <w:ind w:firstLine="420"/>
        <w:rPr>
          <w:rFonts w:ascii="宋体" w:hAnsi="宋体" w:cs="宋体"/>
          <w:color w:val="auto"/>
          <w:sz w:val="21"/>
          <w:szCs w:val="21"/>
          <w:highlight w:val="none"/>
        </w:rPr>
      </w:pPr>
      <w:r>
        <w:rPr>
          <w:rFonts w:hint="eastAsia" w:ascii="宋体" w:hAnsi="宋体" w:cs="宋体"/>
          <w:color w:val="auto"/>
          <w:sz w:val="21"/>
          <w:szCs w:val="21"/>
          <w:highlight w:val="none"/>
        </w:rPr>
        <w:t>27.3电子交易平台发现严重安全漏洞，有潜在泄密危险的；</w:t>
      </w:r>
    </w:p>
    <w:p>
      <w:pPr>
        <w:pStyle w:val="133"/>
        <w:snapToGrid w:val="0"/>
        <w:spacing w:before="0"/>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27.4病毒发作导致不能进行正常操作的； </w:t>
      </w:r>
    </w:p>
    <w:p>
      <w:pPr>
        <w:pStyle w:val="133"/>
        <w:snapToGrid w:val="0"/>
        <w:spacing w:before="0"/>
        <w:ind w:firstLine="420"/>
        <w:rPr>
          <w:rFonts w:ascii="宋体" w:hAnsi="宋体" w:cs="宋体"/>
          <w:color w:val="auto"/>
          <w:sz w:val="21"/>
          <w:szCs w:val="21"/>
          <w:highlight w:val="none"/>
        </w:rPr>
      </w:pPr>
      <w:r>
        <w:rPr>
          <w:rFonts w:hint="eastAsia" w:ascii="宋体" w:hAnsi="宋体" w:cs="宋体"/>
          <w:color w:val="auto"/>
          <w:sz w:val="21"/>
          <w:szCs w:val="21"/>
          <w:highlight w:val="none"/>
        </w:rPr>
        <w:t>27.5其他无法保证电子交易的公平、公正和安全的情况。</w:t>
      </w:r>
    </w:p>
    <w:p>
      <w:pPr>
        <w:pStyle w:val="133"/>
        <w:snapToGrid w:val="0"/>
        <w:spacing w:before="0"/>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 xml:space="preserve"> 28.出现以上情形，不影响采购公平、公正性的，采购组织机构可以待上述情形消除后继续组织电子交易活动，也可以决定某些环节以纸质形式进行；影响或可能影响采购公平、公正性的，应当重新采购。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ascii="宋体" w:hAnsi="宋体" w:cs="宋体"/>
          <w:color w:val="auto"/>
          <w:sz w:val="24"/>
          <w:highlight w:val="none"/>
        </w:rPr>
      </w:pPr>
    </w:p>
    <w:p>
      <w:pPr>
        <w:snapToGrid w:val="0"/>
        <w:spacing w:line="360" w:lineRule="auto"/>
        <w:ind w:left="120" w:leftChars="57" w:firstLine="482" w:firstLineChars="150"/>
        <w:jc w:val="center"/>
        <w:outlineLvl w:val="1"/>
        <w:rPr>
          <w:rFonts w:ascii="宋体" w:hAnsi="宋体" w:cs="宋体"/>
          <w:b/>
          <w:color w:val="auto"/>
          <w:sz w:val="32"/>
          <w:highlight w:val="none"/>
        </w:rPr>
      </w:pPr>
      <w:bookmarkStart w:id="45" w:name="_Toc12798"/>
      <w:r>
        <w:rPr>
          <w:rFonts w:hint="eastAsia" w:ascii="宋体" w:hAnsi="宋体" w:cs="宋体"/>
          <w:b/>
          <w:color w:val="auto"/>
          <w:sz w:val="32"/>
          <w:highlight w:val="none"/>
        </w:rPr>
        <w:t>九、验收</w:t>
      </w:r>
      <w:bookmarkEnd w:id="45"/>
    </w:p>
    <w:p>
      <w:pPr>
        <w:pStyle w:val="25"/>
        <w:spacing w:line="360" w:lineRule="auto"/>
        <w:ind w:firstLine="0" w:firstLineChars="0"/>
        <w:outlineLvl w:val="2"/>
        <w:rPr>
          <w:rFonts w:cs="宋体"/>
          <w:b/>
          <w:color w:val="auto"/>
          <w:sz w:val="21"/>
          <w:szCs w:val="21"/>
          <w:highlight w:val="none"/>
        </w:rPr>
      </w:pPr>
      <w:r>
        <w:rPr>
          <w:rFonts w:hint="eastAsia" w:cs="宋体"/>
          <w:b/>
          <w:color w:val="auto"/>
          <w:sz w:val="21"/>
          <w:szCs w:val="21"/>
          <w:highlight w:val="none"/>
        </w:rPr>
        <w:t>29.验收</w:t>
      </w:r>
    </w:p>
    <w:p>
      <w:pPr>
        <w:tabs>
          <w:tab w:val="left" w:pos="0"/>
        </w:tabs>
        <w:spacing w:line="360" w:lineRule="auto"/>
        <w:ind w:firstLine="480"/>
        <w:rPr>
          <w:rFonts w:ascii="宋体" w:hAnsi="宋体" w:cs="宋体"/>
          <w:color w:val="auto"/>
          <w:kern w:val="0"/>
          <w:szCs w:val="21"/>
          <w:highlight w:val="none"/>
        </w:rPr>
      </w:pPr>
      <w:r>
        <w:rPr>
          <w:rFonts w:hint="eastAsia" w:ascii="宋体" w:hAnsi="宋体" w:cs="宋体"/>
          <w:color w:val="auto"/>
          <w:kern w:val="0"/>
          <w:szCs w:val="21"/>
          <w:highlight w:val="none"/>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宋体" w:hAnsi="宋体" w:cs="宋体"/>
          <w:color w:val="auto"/>
          <w:kern w:val="0"/>
          <w:szCs w:val="21"/>
          <w:highlight w:val="none"/>
        </w:rPr>
      </w:pPr>
      <w:r>
        <w:rPr>
          <w:rFonts w:hint="eastAsia" w:ascii="宋体" w:hAnsi="宋体" w:cs="宋体"/>
          <w:color w:val="auto"/>
          <w:kern w:val="0"/>
          <w:szCs w:val="21"/>
          <w:highlight w:val="none"/>
        </w:rPr>
        <w:t>29.2采购人可以邀请参加本项目的其他投标人或者第三方机构参与验收。参与验收的投标人或者第三方机构的意见作为验收书的参考资料一并存档。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ascii="宋体" w:hAnsi="宋体" w:cs="宋体"/>
          <w:color w:val="auto"/>
          <w:kern w:val="0"/>
          <w:szCs w:val="21"/>
          <w:highlight w:val="none"/>
        </w:rPr>
      </w:pPr>
      <w:r>
        <w:rPr>
          <w:rFonts w:hint="eastAsia" w:ascii="宋体" w:hAnsi="宋体" w:cs="宋体"/>
          <w:color w:val="auto"/>
          <w:kern w:val="0"/>
          <w:szCs w:val="21"/>
          <w:highlight w:val="none"/>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宋体" w:hAnsi="宋体" w:cs="宋体"/>
          <w:color w:val="auto"/>
          <w:kern w:val="0"/>
          <w:szCs w:val="21"/>
          <w:highlight w:val="none"/>
        </w:rPr>
        <w:sectPr>
          <w:headerReference r:id="rId4" w:type="first"/>
          <w:footerReference r:id="rId6" w:type="first"/>
          <w:headerReference r:id="rId3" w:type="default"/>
          <w:footerReference r:id="rId5" w:type="default"/>
          <w:pgSz w:w="11906" w:h="16838"/>
          <w:pgMar w:top="680" w:right="1418" w:bottom="468" w:left="1418" w:header="851" w:footer="992" w:gutter="0"/>
          <w:cols w:space="720" w:num="1"/>
          <w:titlePg/>
          <w:docGrid w:linePitch="312" w:charSpace="0"/>
        </w:sectPr>
      </w:pPr>
      <w:r>
        <w:rPr>
          <w:rFonts w:hint="eastAsia" w:ascii="宋体" w:hAnsi="宋体" w:cs="宋体"/>
          <w:color w:val="auto"/>
          <w:kern w:val="0"/>
          <w:szCs w:val="21"/>
          <w:highlight w:val="none"/>
        </w:rPr>
        <w:t>29.4验收合格的项目，采购人将根据采购合同的约定及时向供应商支付采购资金、退还履约保证金。验收不合格的项目，采购人将依法及时处理。采购合同的履行、违约责任和解决争议的方式等适用《中华人民共和国民法典》。</w:t>
      </w:r>
      <w:bookmarkEnd w:id="40"/>
      <w:bookmarkStart w:id="46" w:name="_Hlt68072998"/>
      <w:bookmarkEnd w:id="46"/>
      <w:bookmarkStart w:id="47" w:name="_Hlt74714665"/>
      <w:bookmarkEnd w:id="47"/>
      <w:bookmarkStart w:id="48" w:name="_Hlt68057669"/>
      <w:bookmarkEnd w:id="48"/>
      <w:bookmarkStart w:id="49" w:name="_Hlt68403820"/>
      <w:bookmarkEnd w:id="49"/>
      <w:bookmarkStart w:id="50" w:name="_Hlt68072990"/>
      <w:bookmarkEnd w:id="50"/>
      <w:bookmarkStart w:id="51" w:name="_Hlt68073093"/>
      <w:bookmarkEnd w:id="51"/>
      <w:bookmarkStart w:id="52" w:name="_Hlt75236011"/>
      <w:bookmarkEnd w:id="52"/>
      <w:bookmarkStart w:id="53" w:name="_Hlt74707468"/>
      <w:bookmarkEnd w:id="53"/>
      <w:bookmarkStart w:id="54" w:name="_Hlt75236290"/>
      <w:bookmarkEnd w:id="54"/>
      <w:bookmarkStart w:id="55" w:name="_Hlt74730295"/>
      <w:bookmarkEnd w:id="55"/>
      <w:bookmarkStart w:id="56" w:name="_Hlt74729768"/>
      <w:bookmarkEnd w:id="56"/>
      <w:bookmarkStart w:id="57" w:name="_Hlt75236101"/>
      <w:bookmarkEnd w:id="57"/>
    </w:p>
    <w:bookmarkEnd w:id="28"/>
    <w:bookmarkEnd w:id="29"/>
    <w:p>
      <w:pPr>
        <w:spacing w:line="360" w:lineRule="auto"/>
        <w:jc w:val="center"/>
        <w:outlineLvl w:val="0"/>
        <w:rPr>
          <w:rFonts w:ascii="宋体" w:hAnsi="宋体" w:cs="宋体"/>
          <w:b/>
          <w:color w:val="auto"/>
          <w:sz w:val="36"/>
          <w:szCs w:val="36"/>
          <w:highlight w:val="none"/>
        </w:rPr>
      </w:pPr>
      <w:bookmarkStart w:id="58" w:name="_Toc9424"/>
      <w:bookmarkStart w:id="59" w:name="_Toc17321"/>
      <w:bookmarkStart w:id="60" w:name="第四部分"/>
      <w:r>
        <w:rPr>
          <w:rFonts w:hint="eastAsia" w:ascii="宋体" w:hAnsi="宋体" w:cs="宋体"/>
          <w:b/>
          <w:color w:val="auto"/>
          <w:sz w:val="36"/>
          <w:szCs w:val="36"/>
          <w:highlight w:val="none"/>
        </w:rPr>
        <w:t>第三部分   采购需求</w:t>
      </w:r>
      <w:bookmarkEnd w:id="58"/>
      <w:bookmarkEnd w:id="59"/>
    </w:p>
    <w:p>
      <w:pPr>
        <w:spacing w:line="360" w:lineRule="auto"/>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一、商务要求表</w:t>
      </w:r>
    </w:p>
    <w:tbl>
      <w:tblPr>
        <w:tblStyle w:val="65"/>
        <w:tblW w:w="889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80"/>
        <w:gridCol w:w="721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05" w:hRule="atLeast"/>
          <w:jc w:val="center"/>
        </w:trPr>
        <w:tc>
          <w:tcPr>
            <w:tcW w:w="1680" w:type="dxa"/>
            <w:vAlign w:val="center"/>
          </w:tcPr>
          <w:p>
            <w:pPr>
              <w:pStyle w:val="783"/>
              <w:spacing w:line="400" w:lineRule="exact"/>
              <w:ind w:left="-210" w:right="-105" w:firstLine="210"/>
              <w:jc w:val="center"/>
              <w:rPr>
                <w:color w:val="auto"/>
                <w:kern w:val="2"/>
                <w:highlight w:val="none"/>
              </w:rPr>
            </w:pPr>
            <w:r>
              <w:rPr>
                <w:rFonts w:hint="eastAsia"/>
                <w:color w:val="auto"/>
                <w:kern w:val="2"/>
                <w:highlight w:val="none"/>
              </w:rPr>
              <w:t>工期</w:t>
            </w:r>
          </w:p>
        </w:tc>
        <w:tc>
          <w:tcPr>
            <w:tcW w:w="7214" w:type="dxa"/>
            <w:vAlign w:val="center"/>
          </w:tcPr>
          <w:p>
            <w:pPr>
              <w:spacing w:line="400" w:lineRule="exact"/>
              <w:rPr>
                <w:rFonts w:hint="eastAsia"/>
                <w:color w:val="auto"/>
                <w:szCs w:val="21"/>
                <w:highlight w:val="none"/>
                <w:lang w:eastAsia="zh-CN"/>
              </w:rPr>
            </w:pPr>
            <w:r>
              <w:rPr>
                <w:rFonts w:hint="eastAsia"/>
                <w:color w:val="auto"/>
                <w:szCs w:val="21"/>
                <w:highlight w:val="none"/>
                <w:lang w:val="en-US" w:eastAsia="zh-CN"/>
              </w:rPr>
              <w:t>标项一：</w:t>
            </w:r>
            <w:r>
              <w:rPr>
                <w:rFonts w:hint="eastAsia"/>
                <w:color w:val="auto"/>
                <w:szCs w:val="21"/>
                <w:highlight w:val="none"/>
                <w:lang w:eastAsia="zh-Hans"/>
              </w:rPr>
              <w:t>合同签订</w:t>
            </w:r>
            <w:r>
              <w:rPr>
                <w:rFonts w:hint="eastAsia"/>
                <w:color w:val="auto"/>
                <w:szCs w:val="21"/>
                <w:highlight w:val="none"/>
              </w:rPr>
              <w:t>之日起</w:t>
            </w:r>
            <w:r>
              <w:rPr>
                <w:rFonts w:hint="eastAsia"/>
                <w:color w:val="auto"/>
                <w:szCs w:val="21"/>
                <w:highlight w:val="none"/>
                <w:lang w:val="en-US" w:eastAsia="zh-CN"/>
              </w:rPr>
              <w:t>5</w:t>
            </w:r>
            <w:r>
              <w:rPr>
                <w:rFonts w:hint="eastAsia"/>
                <w:color w:val="auto"/>
                <w:szCs w:val="21"/>
                <w:highlight w:val="none"/>
              </w:rPr>
              <w:t>个月</w:t>
            </w:r>
            <w:r>
              <w:rPr>
                <w:rFonts w:hint="eastAsia"/>
                <w:color w:val="auto"/>
                <w:szCs w:val="21"/>
                <w:highlight w:val="none"/>
                <w:lang w:eastAsia="zh-Hans"/>
              </w:rPr>
              <w:t>内</w:t>
            </w:r>
            <w:r>
              <w:rPr>
                <w:rFonts w:hint="eastAsia"/>
                <w:color w:val="auto"/>
                <w:szCs w:val="21"/>
                <w:highlight w:val="none"/>
                <w:lang w:eastAsia="zh-CN"/>
              </w:rPr>
              <w:t>；</w:t>
            </w:r>
          </w:p>
          <w:p>
            <w:pPr>
              <w:spacing w:line="400" w:lineRule="exact"/>
              <w:rPr>
                <w:rFonts w:hint="eastAsia"/>
                <w:color w:val="auto"/>
                <w:szCs w:val="21"/>
                <w:highlight w:val="none"/>
                <w:lang w:val="en-US" w:eastAsia="zh-CN"/>
              </w:rPr>
            </w:pPr>
            <w:r>
              <w:rPr>
                <w:rFonts w:hint="eastAsia"/>
                <w:color w:val="auto"/>
                <w:szCs w:val="21"/>
                <w:highlight w:val="none"/>
                <w:lang w:val="en-US" w:eastAsia="zh-CN"/>
              </w:rPr>
              <w:t>标项二：</w:t>
            </w:r>
            <w:r>
              <w:rPr>
                <w:rFonts w:hint="eastAsia"/>
                <w:color w:val="auto"/>
                <w:szCs w:val="21"/>
                <w:highlight w:val="none"/>
                <w:lang w:eastAsia="zh-Hans"/>
              </w:rPr>
              <w:t>合同签订</w:t>
            </w:r>
            <w:r>
              <w:rPr>
                <w:rFonts w:hint="eastAsia"/>
                <w:color w:val="auto"/>
                <w:szCs w:val="21"/>
                <w:highlight w:val="none"/>
              </w:rPr>
              <w:t>之日起</w:t>
            </w:r>
            <w:r>
              <w:rPr>
                <w:rFonts w:hint="eastAsia"/>
                <w:color w:val="auto"/>
                <w:szCs w:val="21"/>
                <w:highlight w:val="none"/>
                <w:lang w:val="en-US" w:eastAsia="zh-CN"/>
              </w:rPr>
              <w:t>1</w:t>
            </w:r>
            <w:r>
              <w:rPr>
                <w:rFonts w:hint="eastAsia"/>
                <w:color w:val="auto"/>
                <w:szCs w:val="21"/>
                <w:highlight w:val="none"/>
              </w:rPr>
              <w:t>个月</w:t>
            </w:r>
            <w:r>
              <w:rPr>
                <w:rFonts w:hint="eastAsia"/>
                <w:color w:val="auto"/>
                <w:szCs w:val="21"/>
                <w:highlight w:val="none"/>
                <w:lang w:eastAsia="zh-Hans"/>
              </w:rPr>
              <w:t>内</w:t>
            </w:r>
            <w:r>
              <w:rPr>
                <w:rFonts w:hint="eastAsia"/>
                <w:color w:val="auto"/>
                <w:szCs w:val="21"/>
                <w:highlight w:val="none"/>
                <w:lang w:eastAsia="zh-CN"/>
              </w:rPr>
              <w:t>；</w:t>
            </w:r>
          </w:p>
          <w:p>
            <w:pPr>
              <w:spacing w:line="400" w:lineRule="exact"/>
              <w:rPr>
                <w:rFonts w:hint="eastAsia" w:eastAsia="宋体"/>
                <w:color w:val="auto"/>
                <w:szCs w:val="21"/>
                <w:highlight w:val="none"/>
                <w:lang w:eastAsia="zh-CN"/>
              </w:rPr>
            </w:pPr>
            <w:r>
              <w:rPr>
                <w:rFonts w:hint="eastAsia"/>
                <w:color w:val="auto"/>
                <w:szCs w:val="21"/>
                <w:highlight w:val="none"/>
                <w:lang w:val="en-US" w:eastAsia="zh-CN"/>
              </w:rPr>
              <w:t>标项三：</w:t>
            </w:r>
            <w:r>
              <w:rPr>
                <w:rFonts w:hint="eastAsia"/>
                <w:color w:val="auto"/>
                <w:szCs w:val="21"/>
                <w:highlight w:val="none"/>
                <w:lang w:eastAsia="zh-Hans"/>
              </w:rPr>
              <w:t>合同签订</w:t>
            </w:r>
            <w:r>
              <w:rPr>
                <w:rFonts w:hint="eastAsia"/>
                <w:color w:val="auto"/>
                <w:szCs w:val="21"/>
                <w:highlight w:val="none"/>
              </w:rPr>
              <w:t>之日起</w:t>
            </w:r>
            <w:r>
              <w:rPr>
                <w:rFonts w:hint="eastAsia"/>
                <w:color w:val="auto"/>
                <w:szCs w:val="21"/>
                <w:highlight w:val="none"/>
                <w:lang w:val="en-US" w:eastAsia="zh-CN"/>
              </w:rPr>
              <w:t>1</w:t>
            </w:r>
            <w:r>
              <w:rPr>
                <w:rFonts w:hint="eastAsia"/>
                <w:color w:val="auto"/>
                <w:szCs w:val="21"/>
                <w:highlight w:val="none"/>
              </w:rPr>
              <w:t>个月</w:t>
            </w:r>
            <w:r>
              <w:rPr>
                <w:rFonts w:hint="eastAsia"/>
                <w:color w:val="auto"/>
                <w:szCs w:val="21"/>
                <w:highlight w:val="none"/>
                <w:lang w:eastAsia="zh-Hans"/>
              </w:rPr>
              <w:t>内</w:t>
            </w:r>
            <w:r>
              <w:rPr>
                <w:rFonts w:hint="eastAsia"/>
                <w:color w:val="auto"/>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2" w:hRule="atLeast"/>
          <w:jc w:val="center"/>
        </w:trPr>
        <w:tc>
          <w:tcPr>
            <w:tcW w:w="1680" w:type="dxa"/>
            <w:vAlign w:val="center"/>
          </w:tcPr>
          <w:p>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质量保证期</w:t>
            </w:r>
          </w:p>
          <w:p>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（或保修期）</w:t>
            </w:r>
          </w:p>
        </w:tc>
        <w:tc>
          <w:tcPr>
            <w:tcW w:w="7214" w:type="dxa"/>
            <w:vAlign w:val="center"/>
          </w:tcPr>
          <w:p>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硬件质保期：项目验收合格之日起三年，招标文件有特殊要求的，按招标文件规定的时间提供质保；</w:t>
            </w:r>
          </w:p>
          <w:p>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运行维护期：项目验收合格之日起</w:t>
            </w:r>
            <w:r>
              <w:rPr>
                <w:rFonts w:hint="eastAsia" w:asciiTheme="minorEastAsia" w:hAnsiTheme="minorEastAsia" w:eastAsiaTheme="minorEastAsia" w:cstheme="minorEastAsia"/>
                <w:color w:val="auto"/>
                <w:szCs w:val="21"/>
                <w:highlight w:val="none"/>
                <w:lang w:val="en-US" w:eastAsia="zh-CN"/>
              </w:rPr>
              <w:t>三</w:t>
            </w:r>
            <w:r>
              <w:rPr>
                <w:rFonts w:hint="eastAsia" w:asciiTheme="minorEastAsia" w:hAnsiTheme="minorEastAsia" w:eastAsiaTheme="minorEastAsia" w:cstheme="minorEastAsia"/>
                <w:color w:val="auto"/>
                <w:szCs w:val="21"/>
                <w:highlight w:val="none"/>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5" w:hRule="atLeast"/>
          <w:jc w:val="center"/>
        </w:trPr>
        <w:tc>
          <w:tcPr>
            <w:tcW w:w="1680" w:type="dxa"/>
            <w:vAlign w:val="center"/>
          </w:tcPr>
          <w:p>
            <w:pPr>
              <w:pStyle w:val="783"/>
              <w:spacing w:line="400" w:lineRule="exact"/>
              <w:ind w:left="-210" w:right="-105" w:firstLine="210"/>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2"/>
                <w:highlight w:val="none"/>
              </w:rPr>
              <w:t>安装或交货地点</w:t>
            </w:r>
          </w:p>
        </w:tc>
        <w:tc>
          <w:tcPr>
            <w:tcW w:w="7214" w:type="dxa"/>
            <w:vAlign w:val="center"/>
          </w:tcPr>
          <w:p>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680" w:type="dxa"/>
            <w:vAlign w:val="center"/>
          </w:tcPr>
          <w:p>
            <w:pPr>
              <w:spacing w:line="40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付款条件</w:t>
            </w:r>
          </w:p>
        </w:tc>
        <w:tc>
          <w:tcPr>
            <w:tcW w:w="7214" w:type="dxa"/>
            <w:vAlign w:val="center"/>
          </w:tcPr>
          <w:p>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1、第一次付款：在合同生效以及具备实施条件后7个工作日内支付合同金额的40%。</w:t>
            </w:r>
          </w:p>
          <w:p>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2、第二次付款：项目完成后支付合同金额的40%；</w:t>
            </w:r>
          </w:p>
          <w:p>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3、第三次付款：项目验收合格后7个工作日内,按最终结算金额支付项目剩余款项。</w:t>
            </w:r>
          </w:p>
          <w:p>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（注：投标人应提供相应合法票据；投标人应提供施工结算材料，作为审计依据）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20" w:hRule="atLeast"/>
          <w:jc w:val="center"/>
        </w:trPr>
        <w:tc>
          <w:tcPr>
            <w:tcW w:w="1680" w:type="dxa"/>
            <w:vAlign w:val="center"/>
          </w:tcPr>
          <w:p>
            <w:pPr>
              <w:spacing w:line="40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履约保证金</w:t>
            </w:r>
          </w:p>
        </w:tc>
        <w:tc>
          <w:tcPr>
            <w:tcW w:w="7214" w:type="dxa"/>
            <w:vAlign w:val="center"/>
          </w:tcPr>
          <w:p>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履约保证金金额：合同金额的1%；</w:t>
            </w:r>
          </w:p>
          <w:p>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履约保证金递交时间：合同签订后；</w:t>
            </w:r>
          </w:p>
          <w:p>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履约保证金形式：</w:t>
            </w:r>
            <w:r>
              <w:rPr>
                <w:rFonts w:hint="eastAsia" w:ascii="宋体" w:hAnsi="宋体" w:cs="宋体"/>
                <w:color w:val="auto"/>
                <w:kern w:val="0"/>
                <w:szCs w:val="21"/>
                <w:highlight w:val="none"/>
              </w:rPr>
              <w:t>支票、汇票、本票或者金融机构、担保机构出具的保函等非现金形式提交</w:t>
            </w:r>
            <w:r>
              <w:rPr>
                <w:rFonts w:hint="eastAsia" w:asciiTheme="minorEastAsia" w:hAnsiTheme="minorEastAsia" w:eastAsiaTheme="minorEastAsia" w:cstheme="minorEastAsia"/>
                <w:color w:val="auto"/>
                <w:szCs w:val="21"/>
                <w:highlight w:val="none"/>
              </w:rPr>
              <w:t>。履约保证金将在中标人履行完合同规定的义务，完成签收手续后一周内无息退还。如中标人拒绝履行合同规定的义务，履约保证金将作为违约金被没收。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10" w:hRule="atLeast"/>
          <w:jc w:val="center"/>
        </w:trPr>
        <w:tc>
          <w:tcPr>
            <w:tcW w:w="1680" w:type="dxa"/>
            <w:vAlign w:val="center"/>
          </w:tcPr>
          <w:p>
            <w:pPr>
              <w:spacing w:line="40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售后服务</w:t>
            </w:r>
          </w:p>
        </w:tc>
        <w:tc>
          <w:tcPr>
            <w:tcW w:w="7214" w:type="dxa"/>
            <w:vAlign w:val="center"/>
          </w:tcPr>
          <w:p>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出现故障，要求投标人在接到招标人的电话后2小时内响应,</w:t>
            </w:r>
            <w:r>
              <w:rPr>
                <w:rFonts w:hint="eastAsia" w:asciiTheme="minorEastAsia" w:hAnsiTheme="minorEastAsia" w:eastAsiaTheme="minorEastAsia" w:cstheme="minorEastAsia"/>
                <w:color w:val="auto"/>
                <w:szCs w:val="21"/>
                <w:highlight w:val="none"/>
                <w:lang w:val="en-US" w:eastAsia="zh-CN"/>
              </w:rPr>
              <w:t>12</w:t>
            </w:r>
            <w:r>
              <w:rPr>
                <w:rFonts w:hint="eastAsia" w:asciiTheme="minorEastAsia" w:hAnsiTheme="minorEastAsia" w:eastAsiaTheme="minorEastAsia" w:cstheme="minorEastAsia"/>
                <w:color w:val="auto"/>
                <w:szCs w:val="21"/>
                <w:highlight w:val="none"/>
              </w:rPr>
              <w:t>小时内修复,更换送修在2个自然日内完成,质保期内出现质量问题,投标人负责包修、包退、包换。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0" w:hRule="atLeast"/>
          <w:jc w:val="center"/>
        </w:trPr>
        <w:tc>
          <w:tcPr>
            <w:tcW w:w="1680" w:type="dxa"/>
            <w:vAlign w:val="center"/>
          </w:tcPr>
          <w:p>
            <w:pPr>
              <w:spacing w:line="40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签订合同时间</w:t>
            </w:r>
          </w:p>
        </w:tc>
        <w:tc>
          <w:tcPr>
            <w:tcW w:w="7214" w:type="dxa"/>
            <w:vAlign w:val="center"/>
          </w:tcPr>
          <w:p>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中标通知书发出之日起30日内签订合同，具体签约时间以招标人通知为准。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20" w:hRule="atLeast"/>
          <w:jc w:val="center"/>
        </w:trPr>
        <w:tc>
          <w:tcPr>
            <w:tcW w:w="1680" w:type="dxa"/>
            <w:vAlign w:val="center"/>
          </w:tcPr>
          <w:p>
            <w:pPr>
              <w:spacing w:line="40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其他</w:t>
            </w:r>
          </w:p>
        </w:tc>
        <w:tc>
          <w:tcPr>
            <w:tcW w:w="7214" w:type="dxa"/>
            <w:vAlign w:val="center"/>
          </w:tcPr>
          <w:p>
            <w:pPr>
              <w:pStyle w:val="24"/>
              <w:rPr>
                <w:color w:val="auto"/>
                <w:sz w:val="21"/>
                <w:highlight w:val="none"/>
                <w:lang w:val="en-US"/>
              </w:rPr>
            </w:pPr>
            <w:r>
              <w:rPr>
                <w:rFonts w:hint="eastAsia"/>
                <w:color w:val="auto"/>
                <w:sz w:val="21"/>
                <w:highlight w:val="none"/>
                <w:lang w:val="en-US"/>
              </w:rPr>
              <w:t>在采购及合同执行过程中，投标人应承担由于其行为所造成的人身伤害、财产损失或损坏的责任，无论何种原因所造成，招标人均不负责。</w:t>
            </w:r>
          </w:p>
        </w:tc>
      </w:tr>
    </w:tbl>
    <w:p>
      <w:pPr>
        <w:spacing w:line="360" w:lineRule="auto"/>
        <w:rPr>
          <w:rFonts w:ascii="宋体" w:hAnsi="宋体" w:cs="宋体"/>
          <w:b/>
          <w:bCs/>
          <w:color w:val="auto"/>
          <w:sz w:val="24"/>
          <w:highlight w:val="none"/>
        </w:rPr>
      </w:pPr>
    </w:p>
    <w:p>
      <w:pPr>
        <w:rPr>
          <w:rFonts w:ascii="宋体" w:hAnsi="宋体" w:cs="宋体"/>
          <w:b/>
          <w:bCs/>
          <w:color w:val="auto"/>
          <w:sz w:val="24"/>
          <w:highlight w:val="none"/>
        </w:rPr>
      </w:pPr>
      <w:r>
        <w:rPr>
          <w:rFonts w:ascii="宋体" w:hAnsi="宋体" w:cs="宋体"/>
          <w:b/>
          <w:bCs/>
          <w:color w:val="auto"/>
          <w:sz w:val="24"/>
          <w:highlight w:val="none"/>
        </w:rPr>
        <w:br w:type="page"/>
      </w:r>
    </w:p>
    <w:p>
      <w:pPr>
        <w:spacing w:line="360" w:lineRule="auto"/>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二、采购要求</w:t>
      </w:r>
    </w:p>
    <w:p>
      <w:pPr>
        <w:spacing w:line="360" w:lineRule="auto"/>
        <w:outlineLvl w:val="1"/>
        <w:rPr>
          <w:rFonts w:asciiTheme="minorEastAsia" w:hAnsiTheme="minorEastAsia" w:eastAsiaTheme="minorEastAsia" w:cstheme="minorEastAsia"/>
          <w:b/>
          <w:color w:val="auto"/>
          <w:szCs w:val="21"/>
          <w:highlight w:val="none"/>
        </w:rPr>
      </w:pPr>
      <w:bookmarkStart w:id="61" w:name="_Toc241827249"/>
      <w:bookmarkStart w:id="62" w:name="_Toc13492"/>
      <w:bookmarkStart w:id="63" w:name="_Toc28002"/>
      <w:bookmarkStart w:id="64" w:name="_Toc22878"/>
      <w:bookmarkStart w:id="65" w:name="_Toc22578"/>
      <w:r>
        <w:rPr>
          <w:rFonts w:hint="eastAsia" w:asciiTheme="minorEastAsia" w:hAnsiTheme="minorEastAsia" w:eastAsiaTheme="minorEastAsia" w:cstheme="minorEastAsia"/>
          <w:b/>
          <w:color w:val="auto"/>
          <w:szCs w:val="21"/>
          <w:highlight w:val="none"/>
        </w:rPr>
        <w:t>（一）、招标需求及限价</w:t>
      </w:r>
    </w:p>
    <w:tbl>
      <w:tblPr>
        <w:tblStyle w:val="65"/>
        <w:tblW w:w="7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8"/>
        <w:gridCol w:w="4244"/>
        <w:gridCol w:w="1170"/>
        <w:gridCol w:w="1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93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标项</w:t>
            </w:r>
          </w:p>
        </w:tc>
        <w:tc>
          <w:tcPr>
            <w:tcW w:w="424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名称</w:t>
            </w:r>
          </w:p>
        </w:tc>
        <w:tc>
          <w:tcPr>
            <w:tcW w:w="11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数量</w:t>
            </w:r>
          </w:p>
        </w:tc>
        <w:tc>
          <w:tcPr>
            <w:tcW w:w="16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Theme="minorEastAsia" w:hAnsiTheme="minorEastAsia" w:eastAsiaTheme="minorEastAsia" w:cstheme="minorEastAsia"/>
                <w:b/>
                <w:color w:val="auto"/>
                <w:szCs w:val="21"/>
                <w:highlight w:val="none"/>
                <w:lang w:val="en-US" w:eastAsia="zh-CN"/>
              </w:rPr>
            </w:pPr>
            <w:r>
              <w:rPr>
                <w:rFonts w:hint="eastAsia" w:asciiTheme="minorEastAsia" w:hAnsiTheme="minorEastAsia" w:eastAsiaTheme="minorEastAsia" w:cstheme="minorEastAsia"/>
                <w:b/>
                <w:color w:val="auto"/>
                <w:szCs w:val="21"/>
                <w:highlight w:val="none"/>
                <w:lang w:val="en-US" w:eastAsia="zh-CN"/>
              </w:rPr>
              <w:t>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93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一</w:t>
            </w:r>
          </w:p>
        </w:tc>
        <w:tc>
          <w:tcPr>
            <w:tcW w:w="424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高新区公共视频监控一体化平台标项一</w:t>
            </w:r>
          </w:p>
        </w:tc>
        <w:tc>
          <w:tcPr>
            <w:tcW w:w="1170"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center"/>
              <w:rPr>
                <w:rFonts w:asciiTheme="minorEastAsia" w:hAnsiTheme="minorEastAsia" w:eastAsiaTheme="minorEastAsia" w:cstheme="minorEastAsia"/>
                <w:color w:val="auto"/>
                <w:szCs w:val="21"/>
                <w:highlight w:val="none"/>
              </w:rPr>
            </w:pPr>
            <w:r>
              <w:rPr>
                <w:rFonts w:hint="eastAsia" w:ascii="宋体" w:hAnsi="宋体"/>
                <w:color w:val="auto"/>
                <w:szCs w:val="21"/>
                <w:highlight w:val="none"/>
              </w:rPr>
              <w:t>一批</w:t>
            </w:r>
          </w:p>
        </w:tc>
        <w:tc>
          <w:tcPr>
            <w:tcW w:w="1627"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571.5775</w:t>
            </w:r>
            <w:r>
              <w:rPr>
                <w:rFonts w:hint="eastAsia" w:ascii="宋体" w:hAnsi="宋体"/>
                <w:color w:val="auto"/>
                <w:szCs w:val="21"/>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93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二</w:t>
            </w:r>
          </w:p>
        </w:tc>
        <w:tc>
          <w:tcPr>
            <w:tcW w:w="424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高新区公共视频监控一体化平台标项二</w:t>
            </w:r>
          </w:p>
        </w:tc>
        <w:tc>
          <w:tcPr>
            <w:tcW w:w="1170"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center"/>
              <w:rPr>
                <w:rFonts w:asciiTheme="minorEastAsia" w:hAnsiTheme="minorEastAsia" w:eastAsiaTheme="minorEastAsia" w:cstheme="minorEastAsia"/>
                <w:color w:val="auto"/>
                <w:szCs w:val="21"/>
                <w:highlight w:val="none"/>
              </w:rPr>
            </w:pPr>
            <w:r>
              <w:rPr>
                <w:rFonts w:hint="eastAsia" w:ascii="宋体" w:hAnsi="宋体"/>
                <w:color w:val="auto"/>
                <w:szCs w:val="21"/>
                <w:highlight w:val="none"/>
              </w:rPr>
              <w:t>一批</w:t>
            </w:r>
          </w:p>
        </w:tc>
        <w:tc>
          <w:tcPr>
            <w:tcW w:w="1627"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648.529</w:t>
            </w:r>
            <w:r>
              <w:rPr>
                <w:rFonts w:hint="eastAsia" w:ascii="宋体" w:hAnsi="宋体"/>
                <w:color w:val="auto"/>
                <w:szCs w:val="21"/>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93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三</w:t>
            </w:r>
          </w:p>
        </w:tc>
        <w:tc>
          <w:tcPr>
            <w:tcW w:w="424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高新区公共视频监控一体化平台标项三</w:t>
            </w:r>
          </w:p>
        </w:tc>
        <w:tc>
          <w:tcPr>
            <w:tcW w:w="1170"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center"/>
              <w:rPr>
                <w:rFonts w:asciiTheme="minorEastAsia" w:hAnsiTheme="minorEastAsia" w:eastAsiaTheme="minorEastAsia" w:cstheme="minorEastAsia"/>
                <w:color w:val="auto"/>
                <w:szCs w:val="21"/>
                <w:highlight w:val="none"/>
              </w:rPr>
            </w:pPr>
            <w:r>
              <w:rPr>
                <w:rFonts w:hint="eastAsia" w:ascii="宋体" w:hAnsi="宋体"/>
                <w:color w:val="auto"/>
                <w:szCs w:val="21"/>
                <w:highlight w:val="none"/>
              </w:rPr>
              <w:t>一批</w:t>
            </w:r>
          </w:p>
        </w:tc>
        <w:tc>
          <w:tcPr>
            <w:tcW w:w="1627"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365.4896</w:t>
            </w:r>
            <w:r>
              <w:rPr>
                <w:rFonts w:hint="eastAsia" w:ascii="宋体" w:hAnsi="宋体"/>
                <w:color w:val="auto"/>
                <w:szCs w:val="21"/>
                <w:highlight w:val="none"/>
              </w:rPr>
              <w:t>万元</w:t>
            </w:r>
          </w:p>
        </w:tc>
      </w:tr>
      <w:bookmarkEnd w:id="61"/>
    </w:tbl>
    <w:p>
      <w:pPr>
        <w:spacing w:line="360" w:lineRule="auto"/>
        <w:rPr>
          <w:b/>
          <w:bCs/>
          <w:color w:val="auto"/>
          <w:highlight w:val="none"/>
        </w:rPr>
      </w:pPr>
    </w:p>
    <w:p>
      <w:pPr>
        <w:spacing w:line="360" w:lineRule="auto"/>
        <w:outlineLvl w:val="2"/>
        <w:rPr>
          <w:rFonts w:cs="宋体"/>
          <w:color w:val="auto"/>
          <w:highlight w:val="none"/>
        </w:rPr>
      </w:pPr>
      <w:r>
        <w:rPr>
          <w:rFonts w:hint="eastAsia"/>
          <w:b/>
          <w:bCs/>
          <w:color w:val="auto"/>
          <w:highlight w:val="none"/>
        </w:rPr>
        <w:t>三、</w:t>
      </w:r>
      <w:r>
        <w:rPr>
          <w:rFonts w:hint="eastAsia" w:cs="宋体"/>
          <w:b/>
          <w:bCs/>
          <w:color w:val="auto"/>
          <w:szCs w:val="16"/>
          <w:highlight w:val="none"/>
          <w:lang w:bidi="ar"/>
        </w:rPr>
        <w:t>技术需求</w:t>
      </w:r>
      <w:r>
        <w:rPr>
          <w:rFonts w:hint="eastAsia" w:cs="宋体"/>
          <w:color w:val="auto"/>
          <w:szCs w:val="16"/>
          <w:highlight w:val="none"/>
          <w:lang w:bidi="ar"/>
        </w:rPr>
        <w:t>：</w:t>
      </w:r>
    </w:p>
    <w:p>
      <w:pPr>
        <w:spacing w:line="360" w:lineRule="auto"/>
        <w:jc w:val="left"/>
        <w:outlineLvl w:val="1"/>
        <w:rPr>
          <w:rFonts w:ascii="宋体" w:hAnsi="宋体"/>
          <w:b/>
          <w:color w:val="auto"/>
          <w:sz w:val="24"/>
          <w:highlight w:val="none"/>
        </w:rPr>
      </w:pPr>
      <w:r>
        <w:rPr>
          <w:rFonts w:hint="eastAsia" w:ascii="宋体" w:hAnsi="宋体"/>
          <w:b/>
          <w:color w:val="auto"/>
          <w:szCs w:val="21"/>
          <w:highlight w:val="none"/>
        </w:rPr>
        <w:t>（一）</w:t>
      </w:r>
      <w:r>
        <w:rPr>
          <w:rFonts w:hint="eastAsia" w:ascii="宋体" w:hAnsi="宋体"/>
          <w:b/>
          <w:color w:val="auto"/>
          <w:sz w:val="24"/>
          <w:highlight w:val="none"/>
        </w:rPr>
        <w:t>主要技术要求</w:t>
      </w:r>
    </w:p>
    <w:p>
      <w:pPr>
        <w:spacing w:line="360" w:lineRule="auto"/>
        <w:outlineLvl w:val="2"/>
        <w:rPr>
          <w:rFonts w:ascii="宋体" w:hAnsi="宋体"/>
          <w:b/>
          <w:color w:val="auto"/>
          <w:sz w:val="24"/>
          <w:highlight w:val="none"/>
        </w:rPr>
      </w:pPr>
      <w:bookmarkStart w:id="66" w:name="_Toc29691"/>
      <w:bookmarkStart w:id="67" w:name="_Toc2099"/>
      <w:r>
        <w:rPr>
          <w:rFonts w:hint="eastAsia" w:ascii="宋体" w:hAnsi="宋体"/>
          <w:b/>
          <w:color w:val="auto"/>
          <w:sz w:val="24"/>
          <w:highlight w:val="none"/>
        </w:rPr>
        <w:t>1、公共安全视频传输网</w:t>
      </w:r>
      <w:bookmarkEnd w:id="66"/>
      <w:r>
        <w:rPr>
          <w:rFonts w:hint="eastAsia" w:ascii="宋体" w:hAnsi="宋体"/>
          <w:b/>
          <w:color w:val="auto"/>
          <w:sz w:val="24"/>
          <w:highlight w:val="none"/>
        </w:rPr>
        <w:t>、社会面接入网</w:t>
      </w:r>
      <w:bookmarkEnd w:id="67"/>
    </w:p>
    <w:p>
      <w:pPr>
        <w:spacing w:line="360" w:lineRule="auto"/>
        <w:outlineLvl w:val="3"/>
        <w:rPr>
          <w:rFonts w:ascii="宋体" w:hAnsi="宋体"/>
          <w:b/>
          <w:color w:val="auto"/>
          <w:sz w:val="24"/>
          <w:highlight w:val="none"/>
        </w:rPr>
      </w:pPr>
      <w:r>
        <w:rPr>
          <w:rFonts w:hint="eastAsia" w:ascii="宋体" w:hAnsi="宋体"/>
          <w:b/>
          <w:color w:val="auto"/>
          <w:sz w:val="24"/>
          <w:highlight w:val="none"/>
        </w:rPr>
        <w:t>1.1 接入网要求</w:t>
      </w:r>
    </w:p>
    <w:p>
      <w:pPr>
        <w:spacing w:line="360" w:lineRule="auto"/>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公共视频监控和社会面视频接入此次通过有线方式接入，公安自建点位统一由公共安全视频传输网接入，社会面视频资源统一通过社会面接入网接入。</w:t>
      </w:r>
    </w:p>
    <w:p>
      <w:pPr>
        <w:spacing w:line="360" w:lineRule="auto"/>
        <w:outlineLvl w:val="3"/>
        <w:rPr>
          <w:rFonts w:ascii="宋体" w:hAnsi="宋体"/>
          <w:b/>
          <w:color w:val="auto"/>
          <w:sz w:val="24"/>
          <w:highlight w:val="none"/>
        </w:rPr>
      </w:pPr>
      <w:r>
        <w:rPr>
          <w:rFonts w:hint="eastAsia" w:ascii="宋体" w:hAnsi="宋体"/>
          <w:b/>
          <w:color w:val="auto"/>
          <w:sz w:val="24"/>
          <w:highlight w:val="none"/>
        </w:rPr>
        <w:t>1.2 IP地址规划要求</w:t>
      </w:r>
    </w:p>
    <w:p>
      <w:pPr>
        <w:spacing w:line="360" w:lineRule="auto"/>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公共安全视频传输网、社会面接入网应统一进行IP地址规划，具体以部、省相关要求为准。</w:t>
      </w:r>
    </w:p>
    <w:p>
      <w:pPr>
        <w:spacing w:line="360" w:lineRule="auto"/>
        <w:outlineLvl w:val="3"/>
        <w:rPr>
          <w:rFonts w:ascii="宋体" w:hAnsi="宋体"/>
          <w:b/>
          <w:color w:val="auto"/>
          <w:sz w:val="24"/>
          <w:highlight w:val="none"/>
        </w:rPr>
      </w:pPr>
      <w:r>
        <w:rPr>
          <w:rFonts w:hint="eastAsia" w:ascii="宋体" w:hAnsi="宋体"/>
          <w:b/>
          <w:color w:val="auto"/>
          <w:sz w:val="24"/>
          <w:highlight w:val="none"/>
        </w:rPr>
        <w:t>1.3 网络带宽要求</w:t>
      </w:r>
    </w:p>
    <w:p>
      <w:pPr>
        <w:spacing w:line="360" w:lineRule="auto"/>
        <w:ind w:firstLine="420" w:firstLineChars="200"/>
        <w:jc w:val="left"/>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rPr>
        <w:t>根据接入的视频监控前端设备数量和单路视频带宽确定接入网的带宽，满足实际应用</w:t>
      </w:r>
      <w:r>
        <w:rPr>
          <w:rFonts w:hint="eastAsia" w:asciiTheme="minorEastAsia" w:hAnsiTheme="minorEastAsia" w:eastAsiaTheme="minorEastAsia" w:cstheme="minorEastAsia"/>
          <w:color w:val="auto"/>
          <w:szCs w:val="21"/>
          <w:highlight w:val="none"/>
          <w:lang w:eastAsia="zh-CN"/>
        </w:rPr>
        <w:t>。</w:t>
      </w:r>
    </w:p>
    <w:p>
      <w:pPr>
        <w:spacing w:line="360" w:lineRule="auto"/>
        <w:rPr>
          <w:rFonts w:ascii="宋体" w:hAnsi="宋体"/>
          <w:b/>
          <w:color w:val="auto"/>
          <w:sz w:val="24"/>
          <w:highlight w:val="none"/>
        </w:rPr>
      </w:pPr>
      <w:bookmarkStart w:id="68" w:name="_Toc4698"/>
      <w:bookmarkStart w:id="69" w:name="_Toc5151"/>
      <w:bookmarkStart w:id="70" w:name="_Toc110599795"/>
    </w:p>
    <w:p>
      <w:pPr>
        <w:spacing w:line="360" w:lineRule="auto"/>
        <w:outlineLvl w:val="2"/>
        <w:rPr>
          <w:rFonts w:ascii="宋体" w:hAnsi="宋体"/>
          <w:b/>
          <w:color w:val="auto"/>
          <w:sz w:val="24"/>
          <w:highlight w:val="none"/>
        </w:rPr>
      </w:pPr>
      <w:r>
        <w:rPr>
          <w:rFonts w:hint="eastAsia" w:ascii="宋体" w:hAnsi="宋体"/>
          <w:b/>
          <w:color w:val="auto"/>
          <w:sz w:val="24"/>
          <w:highlight w:val="none"/>
        </w:rPr>
        <w:t>2、安全防护体系</w:t>
      </w:r>
      <w:bookmarkEnd w:id="68"/>
      <w:bookmarkEnd w:id="69"/>
    </w:p>
    <w:p>
      <w:pPr>
        <w:spacing w:line="360" w:lineRule="auto"/>
        <w:outlineLvl w:val="3"/>
        <w:rPr>
          <w:rFonts w:ascii="宋体" w:hAnsi="宋体"/>
          <w:b/>
          <w:color w:val="auto"/>
          <w:sz w:val="24"/>
          <w:highlight w:val="none"/>
        </w:rPr>
      </w:pPr>
      <w:r>
        <w:rPr>
          <w:rFonts w:hint="eastAsia" w:ascii="宋体" w:hAnsi="宋体"/>
          <w:b/>
          <w:color w:val="auto"/>
          <w:sz w:val="24"/>
          <w:highlight w:val="none"/>
        </w:rPr>
        <w:t>2.1前端设备接入安全</w:t>
      </w:r>
    </w:p>
    <w:p>
      <w:pPr>
        <w:spacing w:line="360" w:lineRule="auto"/>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加强视频终端安全管理，要求公共安全视频传输网只允许授信视频终端接入，保证网络前端边界安全可控。同时防范非法私接并及时告警，对公共安全视频传输网内的设备信息盘点、设备加固做到“设备可知、入网可信”。</w:t>
      </w:r>
    </w:p>
    <w:p>
      <w:pPr>
        <w:spacing w:line="360" w:lineRule="auto"/>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（1）建设准入系统，对前端设备进行设备管理、准入管理、违规管理。</w:t>
      </w:r>
    </w:p>
    <w:p>
      <w:pPr>
        <w:spacing w:line="360" w:lineRule="auto"/>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（2）建设流量监测系统，阻断前端摄像机的异常流量或有异常流量的设备。</w:t>
      </w:r>
    </w:p>
    <w:p>
      <w:pPr>
        <w:spacing w:line="360" w:lineRule="auto"/>
        <w:outlineLvl w:val="3"/>
        <w:rPr>
          <w:rFonts w:ascii="宋体" w:hAnsi="宋体"/>
          <w:b/>
          <w:color w:val="auto"/>
          <w:sz w:val="24"/>
          <w:highlight w:val="none"/>
        </w:rPr>
      </w:pPr>
      <w:r>
        <w:rPr>
          <w:rFonts w:hint="eastAsia" w:ascii="宋体" w:hAnsi="宋体"/>
          <w:b/>
          <w:color w:val="auto"/>
          <w:sz w:val="24"/>
          <w:highlight w:val="none"/>
        </w:rPr>
        <w:t>2.2横向边界区安全</w:t>
      </w:r>
    </w:p>
    <w:p>
      <w:pPr>
        <w:spacing w:line="360" w:lineRule="auto"/>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公共安全视频传输网边界主要涉及与公安信息网、电子政务网和社会面接入网等公共网络的边界，不同网络边界之间需要部署边界安全交互平台，主要包括公安信息网视频边界接入平台、公安信息内网交互平台和电子政务网边界交互平台，实现公共安全视频传输网与同级其他网络间的安全连接以及资源的安全共享。</w:t>
      </w:r>
    </w:p>
    <w:p>
      <w:pPr>
        <w:spacing w:line="360" w:lineRule="auto"/>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（1）公安信息网视频边界接入平台应包含交换机、边界交换系统、数据网闸或光闸、视频网闸、防火墙实现视频图像数据安全互联。</w:t>
      </w:r>
    </w:p>
    <w:p>
      <w:pPr>
        <w:spacing w:line="360" w:lineRule="auto"/>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（2）公安信息内网交互平台应包含交换机、边界交换系统、数据网闸、视频网闸、防火墙实现视频图像数据安全互联共享。</w:t>
      </w:r>
    </w:p>
    <w:p>
      <w:pPr>
        <w:spacing w:line="360" w:lineRule="auto"/>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（3）电子政务网交互平台应包含交换机、视频网闸、防火墙、准入、抗DDOS、可信边界网关，实现视频数据安全单向传输。</w:t>
      </w:r>
    </w:p>
    <w:p>
      <w:pPr>
        <w:spacing w:line="360" w:lineRule="auto"/>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（4）社会接入网交互平台应包含交换机，视频网闸、数据网闸、防火墙，实现视频图像数据安全互联共享。</w:t>
      </w:r>
    </w:p>
    <w:p>
      <w:pPr>
        <w:spacing w:line="360" w:lineRule="auto"/>
        <w:outlineLvl w:val="3"/>
        <w:rPr>
          <w:rFonts w:ascii="宋体" w:hAnsi="宋体"/>
          <w:b/>
          <w:color w:val="auto"/>
          <w:sz w:val="24"/>
          <w:highlight w:val="none"/>
        </w:rPr>
      </w:pPr>
      <w:r>
        <w:rPr>
          <w:rFonts w:hint="eastAsia" w:ascii="宋体" w:hAnsi="宋体"/>
          <w:b/>
          <w:color w:val="auto"/>
          <w:sz w:val="24"/>
          <w:highlight w:val="none"/>
        </w:rPr>
        <w:t>2.3纵向防护区安全</w:t>
      </w:r>
    </w:p>
    <w:p>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建设纵向安全防护区，实现高新技术产业开发区公安分局公共安全视频传输网与宁波市公共安全视频传输网的安全连接和访问控制。</w:t>
      </w:r>
    </w:p>
    <w:p>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（1）应部署防火墙系统，实现访问控制、统一威胁防护、流量过滤。</w:t>
      </w:r>
    </w:p>
    <w:p>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（2）宜部署全包取证系统，对历史流量进行保存，用于还原取证、分析和统计</w:t>
      </w:r>
    </w:p>
    <w:p>
      <w:pPr>
        <w:widowControl/>
        <w:spacing w:line="360" w:lineRule="auto"/>
        <w:ind w:firstLine="420" w:firstLineChars="200"/>
        <w:jc w:val="left"/>
        <w:outlineLvl w:val="4"/>
        <w:rPr>
          <w:rFonts w:ascii="宋体" w:hAnsi="宋体" w:cs="宋体"/>
          <w:color w:val="auto"/>
          <w:szCs w:val="21"/>
          <w:highlight w:val="none"/>
        </w:rPr>
      </w:pPr>
      <w:r>
        <w:rPr>
          <w:rFonts w:hint="eastAsia" w:ascii="宋体" w:hAnsi="宋体" w:cs="宋体"/>
          <w:color w:val="auto"/>
          <w:szCs w:val="21"/>
          <w:highlight w:val="none"/>
        </w:rPr>
        <w:t>（3）宜部署流量审计设备，对网络流量进行审计，用于事后溯源。</w:t>
      </w:r>
    </w:p>
    <w:p>
      <w:pPr>
        <w:widowControl/>
        <w:spacing w:line="360" w:lineRule="auto"/>
        <w:ind w:firstLine="420" w:firstLineChars="200"/>
        <w:jc w:val="left"/>
        <w:outlineLvl w:val="9"/>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）审计设备日志要求保存180天以上。</w:t>
      </w:r>
    </w:p>
    <w:p>
      <w:pPr>
        <w:spacing w:line="360" w:lineRule="auto"/>
        <w:outlineLvl w:val="3"/>
        <w:rPr>
          <w:rFonts w:ascii="宋体" w:hAnsi="宋体"/>
          <w:b/>
          <w:color w:val="auto"/>
          <w:sz w:val="24"/>
          <w:highlight w:val="none"/>
        </w:rPr>
      </w:pPr>
      <w:r>
        <w:rPr>
          <w:rFonts w:hint="eastAsia" w:ascii="宋体" w:hAnsi="宋体"/>
          <w:b/>
          <w:color w:val="auto"/>
          <w:sz w:val="24"/>
          <w:highlight w:val="none"/>
        </w:rPr>
        <w:t>2.4计算环境安全</w:t>
      </w:r>
    </w:p>
    <w:p>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围绕网络、设备、应用、数据建设计算环境安全防护能力，实现对公共安全视频传输网中的应用系统、数据、设备的管理、检测、加固、防护以及修复，提升计算环境的整体安全水平。</w:t>
      </w:r>
    </w:p>
    <w:p>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视频类系统应满足《信息安全技术GB/T22239-2019网络安全等级保护基本要求》二级或三级等保要求；图像类系统应满足《信息安全技术GB/T22239-2019网络安全等级保护基本要求》三级等保要求。</w:t>
      </w:r>
    </w:p>
    <w:p>
      <w:pPr>
        <w:spacing w:line="360" w:lineRule="auto"/>
        <w:outlineLvl w:val="3"/>
        <w:rPr>
          <w:rFonts w:ascii="宋体" w:hAnsi="宋体"/>
          <w:b/>
          <w:color w:val="auto"/>
          <w:sz w:val="24"/>
          <w:highlight w:val="none"/>
        </w:rPr>
      </w:pPr>
      <w:r>
        <w:rPr>
          <w:rFonts w:hint="eastAsia" w:ascii="宋体" w:hAnsi="宋体"/>
          <w:b/>
          <w:color w:val="auto"/>
          <w:sz w:val="24"/>
          <w:highlight w:val="none"/>
        </w:rPr>
        <w:t>2.5敏感数据管理</w:t>
      </w:r>
    </w:p>
    <w:p>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根据《宁波市公安局办公室关于进一步规范公安机关以外单位联接公安视频传输网和使用公安视频流数据审批管理工作的通知》要求，规范视频数据对外共享管理和敏感视频数据保密管理，同时具备以下技术手段：</w:t>
      </w:r>
    </w:p>
    <w:p>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（1）应部署水印系统，对申请授权的公共视频监控资源实况预览时，通过添加水印防止视频数据泄露。</w:t>
      </w:r>
    </w:p>
    <w:p>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（2）应部署高级威胁发现攻击系统，防范数据攻击。</w:t>
      </w:r>
    </w:p>
    <w:p>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（3）宜部署加密系统，对敏感数据进行加密存储。</w:t>
      </w:r>
    </w:p>
    <w:p>
      <w:pPr>
        <w:spacing w:line="360" w:lineRule="auto"/>
        <w:rPr>
          <w:rFonts w:ascii="宋体" w:hAnsi="宋体"/>
          <w:b/>
          <w:color w:val="auto"/>
          <w:sz w:val="24"/>
          <w:highlight w:val="none"/>
        </w:rPr>
      </w:pPr>
      <w:bookmarkStart w:id="71" w:name="_Toc5657"/>
      <w:bookmarkStart w:id="72" w:name="_Toc31391"/>
    </w:p>
    <w:p>
      <w:pPr>
        <w:spacing w:line="360" w:lineRule="auto"/>
        <w:outlineLvl w:val="2"/>
        <w:rPr>
          <w:rFonts w:ascii="宋体" w:hAnsi="宋体"/>
          <w:b/>
          <w:color w:val="auto"/>
          <w:sz w:val="24"/>
          <w:highlight w:val="none"/>
        </w:rPr>
      </w:pPr>
      <w:r>
        <w:rPr>
          <w:rFonts w:hint="eastAsia" w:ascii="宋体" w:hAnsi="宋体"/>
          <w:b/>
          <w:color w:val="auto"/>
          <w:sz w:val="24"/>
          <w:highlight w:val="none"/>
        </w:rPr>
        <w:t>3、视频图像统一</w:t>
      </w:r>
      <w:bookmarkEnd w:id="70"/>
      <w:bookmarkEnd w:id="71"/>
      <w:r>
        <w:rPr>
          <w:rFonts w:hint="eastAsia" w:ascii="宋体" w:hAnsi="宋体"/>
          <w:b/>
          <w:color w:val="auto"/>
          <w:sz w:val="24"/>
          <w:highlight w:val="none"/>
        </w:rPr>
        <w:t>接入推送</w:t>
      </w:r>
      <w:bookmarkEnd w:id="72"/>
    </w:p>
    <w:p>
      <w:pPr>
        <w:spacing w:line="360" w:lineRule="auto"/>
        <w:outlineLvl w:val="3"/>
        <w:rPr>
          <w:rFonts w:ascii="宋体" w:hAnsi="宋体"/>
          <w:b/>
          <w:color w:val="auto"/>
          <w:sz w:val="24"/>
          <w:highlight w:val="none"/>
        </w:rPr>
      </w:pPr>
      <w:r>
        <w:rPr>
          <w:rFonts w:hint="eastAsia" w:ascii="宋体" w:hAnsi="宋体"/>
          <w:b/>
          <w:color w:val="auto"/>
          <w:sz w:val="24"/>
          <w:highlight w:val="none"/>
        </w:rPr>
        <w:t>3.1区共享总平台</w:t>
      </w:r>
    </w:p>
    <w:p>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依托电子政务外网/电子政务视联网建设区共享总平台，通过GB/T28181国标协议级联市级共享总平台，以及区公安分平台，整合全区各类视频监控资源，纵向上实现市、区视频监控互联互通；横向上实现跨区域、跨部门视频图像信息的共享共用。</w:t>
      </w:r>
    </w:p>
    <w:p>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平台建设由高新技术产业开发区工信局建设。</w:t>
      </w:r>
    </w:p>
    <w:p>
      <w:pPr>
        <w:spacing w:line="360" w:lineRule="auto"/>
        <w:rPr>
          <w:rFonts w:ascii="宋体" w:hAnsi="宋体"/>
          <w:b/>
          <w:color w:val="auto"/>
          <w:sz w:val="24"/>
          <w:highlight w:val="none"/>
        </w:rPr>
      </w:pPr>
    </w:p>
    <w:p>
      <w:pPr>
        <w:spacing w:line="360" w:lineRule="auto"/>
        <w:outlineLvl w:val="3"/>
        <w:rPr>
          <w:rFonts w:ascii="宋体" w:hAnsi="宋体"/>
          <w:b/>
          <w:color w:val="auto"/>
          <w:sz w:val="24"/>
          <w:highlight w:val="none"/>
        </w:rPr>
      </w:pPr>
      <w:r>
        <w:rPr>
          <w:rFonts w:hint="eastAsia" w:ascii="宋体" w:hAnsi="宋体"/>
          <w:b/>
          <w:color w:val="auto"/>
          <w:sz w:val="24"/>
          <w:highlight w:val="none"/>
        </w:rPr>
        <w:t>3.2区公安分平台</w:t>
      </w:r>
    </w:p>
    <w:p>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依托公共安全视频传输网建设区公安分平台，实现公共视频监控统一整合与共享、综合运维管理、视频图像数据存储、视频结构化推送（视频流推送）。</w:t>
      </w:r>
    </w:p>
    <w:p>
      <w:pPr>
        <w:widowControl/>
        <w:spacing w:line="360" w:lineRule="auto"/>
        <w:ind w:firstLine="420" w:firstLineChars="200"/>
        <w:jc w:val="left"/>
        <w:outlineLvl w:val="4"/>
        <w:rPr>
          <w:rFonts w:ascii="宋体" w:hAnsi="宋体" w:cs="宋体"/>
          <w:color w:val="auto"/>
          <w:szCs w:val="21"/>
          <w:highlight w:val="none"/>
        </w:rPr>
      </w:pPr>
      <w:r>
        <w:rPr>
          <w:rFonts w:hint="eastAsia" w:ascii="宋体" w:hAnsi="宋体" w:cs="宋体"/>
          <w:color w:val="auto"/>
          <w:szCs w:val="21"/>
          <w:highlight w:val="none"/>
        </w:rPr>
        <w:t>3.2.1、公共视频感知设备统一接入</w:t>
      </w:r>
    </w:p>
    <w:p>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区公安分平台通过GB/T28181、GA/T1400等标准协议实现公共视频监控设备统一接入，通过GB/T28181国标协议级联社会面视频图像汇聚平台、区移动视频接入平台，整合汇聚辖区内各类视频监控资源，并级联推送至市级公安分平台。</w:t>
      </w:r>
    </w:p>
    <w:p>
      <w:pPr>
        <w:widowControl/>
        <w:spacing w:line="360" w:lineRule="auto"/>
        <w:ind w:firstLine="420" w:firstLineChars="200"/>
        <w:jc w:val="left"/>
        <w:outlineLvl w:val="4"/>
        <w:rPr>
          <w:rFonts w:ascii="宋体" w:hAnsi="宋体" w:cs="宋体"/>
          <w:color w:val="auto"/>
          <w:szCs w:val="21"/>
          <w:highlight w:val="none"/>
        </w:rPr>
      </w:pPr>
      <w:r>
        <w:rPr>
          <w:rFonts w:hint="eastAsia" w:ascii="宋体" w:hAnsi="宋体" w:cs="宋体"/>
          <w:color w:val="auto"/>
          <w:szCs w:val="21"/>
          <w:highlight w:val="none"/>
        </w:rPr>
        <w:t>3.2.2、视频数据存储与共享</w:t>
      </w:r>
    </w:p>
    <w:p>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区公安分平台通过集中式存储设备存储视频图像数据。</w:t>
      </w:r>
    </w:p>
    <w:p>
      <w:pPr>
        <w:widowControl/>
        <w:spacing w:line="360" w:lineRule="auto"/>
        <w:ind w:firstLine="420" w:firstLineChars="200"/>
        <w:jc w:val="left"/>
        <w:outlineLvl w:val="4"/>
        <w:rPr>
          <w:rFonts w:ascii="宋体" w:hAnsi="宋体" w:cs="宋体"/>
          <w:color w:val="auto"/>
          <w:szCs w:val="21"/>
          <w:highlight w:val="none"/>
        </w:rPr>
      </w:pPr>
      <w:r>
        <w:rPr>
          <w:rFonts w:hint="eastAsia" w:ascii="宋体" w:hAnsi="宋体" w:cs="宋体"/>
          <w:color w:val="auto"/>
          <w:szCs w:val="21"/>
          <w:highlight w:val="none"/>
        </w:rPr>
        <w:t>3.2.3、结构化分析与推送</w:t>
      </w:r>
    </w:p>
    <w:p>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新增智能视觉解析算力（视频流结构化算力）</w:t>
      </w:r>
      <w:r>
        <w:rPr>
          <w:rFonts w:hint="eastAsia" w:ascii="宋体" w:hAnsi="宋体" w:cs="宋体"/>
          <w:color w:val="auto"/>
          <w:szCs w:val="21"/>
          <w:highlight w:val="none"/>
          <w:lang w:eastAsia="zh-CN"/>
        </w:rPr>
        <w:t>，</w:t>
      </w:r>
      <w:r>
        <w:rPr>
          <w:rFonts w:hint="eastAsia" w:ascii="宋体" w:hAnsi="宋体" w:cs="宋体"/>
          <w:color w:val="auto"/>
          <w:szCs w:val="21"/>
          <w:highlight w:val="none"/>
        </w:rPr>
        <w:t>对视频流数据中的人、车等活动目标进行结构化分析，并利用人像、人体聚档能力，形成多维感知档案；对视频感知数据中的异常行为、环境态势进行检测分析并生成预警。</w:t>
      </w:r>
    </w:p>
    <w:p>
      <w:pPr>
        <w:widowControl/>
        <w:spacing w:line="360" w:lineRule="auto"/>
        <w:ind w:firstLine="420" w:firstLineChars="200"/>
        <w:jc w:val="left"/>
        <w:outlineLvl w:val="4"/>
        <w:rPr>
          <w:rFonts w:ascii="宋体" w:hAnsi="宋体" w:cs="宋体"/>
          <w:color w:val="auto"/>
          <w:szCs w:val="21"/>
          <w:highlight w:val="none"/>
        </w:rPr>
      </w:pPr>
      <w:r>
        <w:rPr>
          <w:rFonts w:hint="eastAsia" w:ascii="宋体" w:hAnsi="宋体" w:cs="宋体"/>
          <w:color w:val="auto"/>
          <w:szCs w:val="21"/>
          <w:highlight w:val="none"/>
        </w:rPr>
        <w:t>3.2.4、综合运维管理</w:t>
      </w:r>
    </w:p>
    <w:p>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建设综合运维管理平台，监测自建公共视频监控相关软硬件的稳定性和可用性，保障各系统应用完好率。</w:t>
      </w:r>
    </w:p>
    <w:p>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提供公共视频监控系统中前端设备、网络设备、安全设备以及平台设备的网络连通性、图像质量、网络利用率、软硬件运行状态等内容进行监测和处理，并跟踪处理情况、展现运维结果，提高运维效能和质量。</w:t>
      </w:r>
    </w:p>
    <w:p>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（2）提供视频图像运维数据分析能力，实现对公共视频监控系统运维数据的统一接收、综合分析和可视化展示，生成运维分析报告。</w:t>
      </w:r>
    </w:p>
    <w:p>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（3）构建运维工单流转体系，针对运维管理平台及上级监测考核平台生成的预警单、故障单、问题单进行统一处理和跟踪，实现对运维团队执行情况进行跟踪、展示和考核统计。</w:t>
      </w:r>
    </w:p>
    <w:p>
      <w:pPr>
        <w:widowControl/>
        <w:spacing w:line="360" w:lineRule="auto"/>
        <w:ind w:firstLine="420" w:firstLineChars="200"/>
        <w:jc w:val="left"/>
        <w:outlineLvl w:val="4"/>
        <w:rPr>
          <w:rFonts w:ascii="宋体" w:hAnsi="宋体" w:cs="宋体"/>
          <w:color w:val="auto"/>
          <w:szCs w:val="21"/>
          <w:highlight w:val="none"/>
        </w:rPr>
      </w:pPr>
      <w:bookmarkStart w:id="73" w:name="_Toc18595"/>
      <w:bookmarkStart w:id="74" w:name="_Toc110599796"/>
      <w:r>
        <w:rPr>
          <w:rFonts w:hint="eastAsia" w:ascii="宋体" w:hAnsi="宋体" w:cs="宋体"/>
          <w:color w:val="auto"/>
          <w:szCs w:val="21"/>
          <w:highlight w:val="none"/>
        </w:rPr>
        <w:t>3.2.5.机房搬迁及存储扩容</w:t>
      </w:r>
    </w:p>
    <w:p>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对高新技术产业开发区公安分局2楼机房交换机、服务器、链路等拆除，并且对服务器、交换机等设备搬移并整理线路（对原有线路进行打标签），1楼机房设备迁入和整理打标签等工作。</w:t>
      </w:r>
    </w:p>
    <w:p>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根据公共视频建设任务要求，购置云存储节点和大数据存储节点对原有存储系统进行扩容。</w:t>
      </w:r>
    </w:p>
    <w:bookmarkEnd w:id="73"/>
    <w:bookmarkEnd w:id="74"/>
    <w:p>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区社会面视频、图像汇聚平台</w:t>
      </w:r>
    </w:p>
    <w:p>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区社会面视频接入转发系统具备通过GB/T28181国标协议汇聚社会面视频监控（三类点），单向推送至区公安分平台，实现所辖区域内社会监控资源整合，平台要求具备至少2000路流媒体转发能力。</w:t>
      </w:r>
    </w:p>
    <w:p>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区社会面图像接入转发系统具备支持视图库标准协议（GA/T1400）和私有协议对社会面人脸、车辆、人体数据的接入、级联和共享；支持视图库标准协议（GA/T1400）和私有协议对道闸、门禁、访客等数据的接入等。</w:t>
      </w:r>
    </w:p>
    <w:p>
      <w:pPr>
        <w:spacing w:line="360" w:lineRule="auto"/>
        <w:outlineLvl w:val="2"/>
        <w:rPr>
          <w:rFonts w:ascii="宋体" w:hAnsi="宋体"/>
          <w:b/>
          <w:color w:val="auto"/>
          <w:sz w:val="24"/>
          <w:highlight w:val="none"/>
        </w:rPr>
      </w:pPr>
      <w:bookmarkStart w:id="75" w:name="_Toc18685"/>
      <w:bookmarkStart w:id="76" w:name="_Toc14316"/>
      <w:r>
        <w:rPr>
          <w:rFonts w:hint="eastAsia" w:ascii="宋体" w:hAnsi="宋体"/>
          <w:b/>
          <w:color w:val="auto"/>
          <w:sz w:val="24"/>
          <w:highlight w:val="none"/>
        </w:rPr>
        <w:t>4、区公安多维数据接入转发系统</w:t>
      </w:r>
    </w:p>
    <w:p>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区公安多维数据接入转发系统具备支持视图库标准协议（GA/T1400）和私有协议对社会面人脸、车辆、人体数据的接入、级联和共享；支持视图库标准协议（GA/T1400）和私有协议对道闸、门禁、访客等数据的接入等。</w:t>
      </w:r>
    </w:p>
    <w:p>
      <w:pPr>
        <w:rPr>
          <w:rFonts w:ascii="宋体" w:hAnsi="宋体"/>
          <w:b/>
          <w:color w:val="auto"/>
          <w:sz w:val="24"/>
          <w:highlight w:val="none"/>
        </w:rPr>
      </w:pPr>
      <w:bookmarkStart w:id="77" w:name="_Toc18901"/>
      <w:r>
        <w:rPr>
          <w:rFonts w:hint="eastAsia" w:ascii="宋体" w:hAnsi="宋体"/>
          <w:b/>
          <w:color w:val="auto"/>
          <w:sz w:val="24"/>
          <w:highlight w:val="none"/>
        </w:rPr>
        <w:br w:type="page"/>
      </w:r>
    </w:p>
    <w:p>
      <w:pPr>
        <w:spacing w:line="360" w:lineRule="auto"/>
        <w:outlineLvl w:val="1"/>
        <w:rPr>
          <w:rFonts w:ascii="宋体" w:hAnsi="宋体"/>
          <w:b/>
          <w:color w:val="auto"/>
          <w:sz w:val="24"/>
          <w:highlight w:val="none"/>
        </w:rPr>
      </w:pPr>
      <w:r>
        <w:rPr>
          <w:rFonts w:hint="eastAsia" w:ascii="宋体" w:hAnsi="宋体"/>
          <w:b/>
          <w:color w:val="auto"/>
          <w:sz w:val="24"/>
          <w:highlight w:val="none"/>
        </w:rPr>
        <w:t>（二）可利用的资源</w:t>
      </w:r>
      <w:bookmarkEnd w:id="75"/>
      <w:bookmarkEnd w:id="76"/>
      <w:bookmarkEnd w:id="77"/>
    </w:p>
    <w:p>
      <w:pPr>
        <w:spacing w:line="360" w:lineRule="auto"/>
        <w:outlineLvl w:val="2"/>
        <w:rPr>
          <w:rFonts w:ascii="宋体" w:hAnsi="宋体"/>
          <w:b/>
          <w:color w:val="auto"/>
          <w:sz w:val="24"/>
          <w:highlight w:val="none"/>
        </w:rPr>
      </w:pPr>
      <w:bookmarkStart w:id="78" w:name="_Toc30312"/>
      <w:r>
        <w:rPr>
          <w:rFonts w:hint="eastAsia" w:ascii="宋体" w:hAnsi="宋体"/>
          <w:b/>
          <w:color w:val="auto"/>
          <w:sz w:val="24"/>
          <w:highlight w:val="none"/>
        </w:rPr>
        <w:t>1、前端杆件资源利旧</w:t>
      </w:r>
      <w:bookmarkEnd w:id="78"/>
    </w:p>
    <w:p>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前端杆件资源利旧</w:t>
      </w:r>
    </w:p>
    <w:p>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此次新建感知点位进行借杆建设，借杆利旧的同时需考虑取电、网络等因素。部分点位有遮挡的，则优先选取无遮挡位置的杆件。新建杆件规格采用统一化设计，统一基础、杆件尺寸，便于后续维护更换，减少杆件、箱子等资源的重复投资建设。</w:t>
      </w:r>
    </w:p>
    <w:p>
      <w:pPr>
        <w:widowControl/>
        <w:spacing w:line="360" w:lineRule="auto"/>
        <w:ind w:firstLine="420" w:firstLineChars="200"/>
        <w:jc w:val="left"/>
        <w:outlineLvl w:val="3"/>
        <w:rPr>
          <w:rFonts w:ascii="宋体" w:hAnsi="宋体" w:cs="宋体"/>
          <w:color w:val="auto"/>
          <w:szCs w:val="21"/>
          <w:highlight w:val="none"/>
        </w:rPr>
      </w:pPr>
      <w:bookmarkStart w:id="79" w:name="2.1.1、普通球机杆件复用建议"/>
      <w:bookmarkEnd w:id="79"/>
      <w:bookmarkStart w:id="80" w:name="2.1.2、普通枪机杆件复用建议"/>
      <w:bookmarkEnd w:id="80"/>
      <w:bookmarkStart w:id="81" w:name="_Toc98085780"/>
      <w:bookmarkStart w:id="82" w:name="_Toc98191842"/>
      <w:bookmarkStart w:id="83" w:name="_Toc97800964"/>
      <w:bookmarkStart w:id="84" w:name="_Toc98077678"/>
      <w:bookmarkStart w:id="85" w:name="_Toc97802085"/>
      <w:r>
        <w:rPr>
          <w:rFonts w:hint="eastAsia" w:ascii="宋体" w:hAnsi="宋体" w:cs="宋体"/>
          <w:color w:val="auto"/>
          <w:szCs w:val="21"/>
          <w:highlight w:val="none"/>
        </w:rPr>
        <w:t>（1）普通球机杆件复用</w:t>
      </w:r>
      <w:bookmarkEnd w:id="81"/>
      <w:bookmarkEnd w:id="82"/>
      <w:bookmarkEnd w:id="83"/>
      <w:bookmarkEnd w:id="84"/>
      <w:bookmarkEnd w:id="85"/>
      <w:r>
        <w:rPr>
          <w:rFonts w:hint="eastAsia" w:ascii="宋体" w:hAnsi="宋体" w:cs="宋体"/>
          <w:color w:val="auto"/>
          <w:szCs w:val="21"/>
          <w:highlight w:val="none"/>
        </w:rPr>
        <w:t>要求</w:t>
      </w:r>
    </w:p>
    <w:p>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球机主要用于监控大场景区域，有效照射距离约为250米，在空旷区域，以某个特定监控场景为圆点中心，半径250米处有立杆的，可进行杆件利旧。</w:t>
      </w:r>
    </w:p>
    <w:p>
      <w:pPr>
        <w:widowControl/>
        <w:spacing w:line="360" w:lineRule="auto"/>
        <w:ind w:firstLine="420" w:firstLineChars="200"/>
        <w:jc w:val="left"/>
        <w:outlineLvl w:val="3"/>
        <w:rPr>
          <w:rFonts w:ascii="宋体" w:hAnsi="宋体" w:cs="宋体"/>
          <w:color w:val="auto"/>
          <w:szCs w:val="21"/>
          <w:highlight w:val="none"/>
        </w:rPr>
      </w:pPr>
      <w:bookmarkStart w:id="86" w:name="_Toc97802086"/>
      <w:bookmarkStart w:id="87" w:name="_Toc98085781"/>
      <w:bookmarkStart w:id="88" w:name="_Toc97800965"/>
      <w:bookmarkStart w:id="89" w:name="_Toc98191843"/>
      <w:bookmarkStart w:id="90" w:name="_Toc98077679"/>
      <w:r>
        <w:rPr>
          <w:rFonts w:hint="eastAsia" w:ascii="宋体" w:hAnsi="宋体" w:cs="宋体"/>
          <w:color w:val="auto"/>
          <w:szCs w:val="21"/>
          <w:highlight w:val="none"/>
        </w:rPr>
        <w:t>（2）普通枪机杆件复用</w:t>
      </w:r>
      <w:bookmarkEnd w:id="86"/>
      <w:bookmarkEnd w:id="87"/>
      <w:bookmarkEnd w:id="88"/>
      <w:bookmarkEnd w:id="89"/>
      <w:bookmarkEnd w:id="90"/>
      <w:r>
        <w:rPr>
          <w:rFonts w:hint="eastAsia" w:ascii="宋体" w:hAnsi="宋体" w:cs="宋体"/>
          <w:color w:val="auto"/>
          <w:szCs w:val="21"/>
          <w:highlight w:val="none"/>
        </w:rPr>
        <w:t>要求</w:t>
      </w:r>
    </w:p>
    <w:p>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枪机主要用于监控某个特定场景，有效照射距离约为40米，在空旷区域，以某个特定监控场景为圆点中心，半径40米处有立杆的，可进行杆件利旧（具体位置根据监控的角度和需要照射的场景而定）。</w:t>
      </w:r>
    </w:p>
    <w:p>
      <w:pPr>
        <w:widowControl/>
        <w:spacing w:line="360" w:lineRule="auto"/>
        <w:ind w:firstLine="420" w:firstLineChars="200"/>
        <w:jc w:val="left"/>
        <w:outlineLvl w:val="3"/>
        <w:rPr>
          <w:rFonts w:ascii="宋体" w:hAnsi="宋体" w:cs="宋体"/>
          <w:color w:val="auto"/>
          <w:szCs w:val="21"/>
          <w:highlight w:val="none"/>
        </w:rPr>
      </w:pPr>
      <w:bookmarkStart w:id="91" w:name="2.1.3、车辆卡口杆件建议"/>
      <w:bookmarkEnd w:id="91"/>
      <w:bookmarkStart w:id="92" w:name="_Toc98191844"/>
      <w:bookmarkStart w:id="93" w:name="_Toc97802087"/>
      <w:bookmarkStart w:id="94" w:name="_Toc98077680"/>
      <w:bookmarkStart w:id="95" w:name="_Toc98085782"/>
      <w:bookmarkStart w:id="96" w:name="_Toc97800966"/>
      <w:r>
        <w:rPr>
          <w:rFonts w:hint="eastAsia" w:ascii="宋体" w:hAnsi="宋体" w:cs="宋体"/>
          <w:color w:val="auto"/>
          <w:szCs w:val="21"/>
          <w:highlight w:val="none"/>
        </w:rPr>
        <w:t>（3）车辆卡口杆件复用</w:t>
      </w:r>
      <w:bookmarkEnd w:id="92"/>
      <w:bookmarkEnd w:id="93"/>
      <w:bookmarkEnd w:id="94"/>
      <w:bookmarkEnd w:id="95"/>
      <w:bookmarkEnd w:id="96"/>
      <w:r>
        <w:rPr>
          <w:rFonts w:hint="eastAsia" w:ascii="宋体" w:hAnsi="宋体" w:cs="宋体"/>
          <w:color w:val="auto"/>
          <w:szCs w:val="21"/>
          <w:highlight w:val="none"/>
        </w:rPr>
        <w:t>要求</w:t>
      </w:r>
    </w:p>
    <w:p>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车辆卡口主要部署于各道路和车辆出入口，部署于各道路的抓拍点到立杆的有效照射距离约为19-26米，部署于车辆出入口的抓拍点到立杆的有效照射距离约为3.5-5米，因此道路卡口距离抓拍点直线距离19-26米有立杆的（杆件高度不低于6米），车辆出入口距离抓拍点半径3.5-5米有立杆的，可进行杆件利旧。</w:t>
      </w:r>
    </w:p>
    <w:p>
      <w:pPr>
        <w:widowControl/>
        <w:spacing w:line="360" w:lineRule="auto"/>
        <w:ind w:firstLine="420" w:firstLineChars="200"/>
        <w:jc w:val="left"/>
        <w:outlineLvl w:val="3"/>
        <w:rPr>
          <w:rFonts w:ascii="宋体" w:hAnsi="宋体" w:cs="宋体"/>
          <w:color w:val="auto"/>
          <w:szCs w:val="21"/>
          <w:highlight w:val="none"/>
        </w:rPr>
      </w:pPr>
      <w:bookmarkStart w:id="97" w:name="2.1.5、其他智能应用摄像机杆件建议"/>
      <w:bookmarkEnd w:id="97"/>
      <w:bookmarkStart w:id="98" w:name="2.1.4、人脸抓拍杆件建议"/>
      <w:bookmarkEnd w:id="98"/>
      <w:bookmarkStart w:id="99" w:name="_Toc97800967"/>
      <w:bookmarkStart w:id="100" w:name="_Toc98085783"/>
      <w:bookmarkStart w:id="101" w:name="_Toc97802088"/>
      <w:bookmarkStart w:id="102" w:name="_Toc98191845"/>
      <w:bookmarkStart w:id="103" w:name="_Toc98077681"/>
      <w:r>
        <w:rPr>
          <w:rFonts w:hint="eastAsia" w:ascii="宋体" w:hAnsi="宋体" w:cs="宋体"/>
          <w:color w:val="auto"/>
          <w:szCs w:val="21"/>
          <w:highlight w:val="none"/>
        </w:rPr>
        <w:t>（4）人脸抓拍杆件复用</w:t>
      </w:r>
      <w:bookmarkEnd w:id="99"/>
      <w:bookmarkEnd w:id="100"/>
      <w:bookmarkEnd w:id="101"/>
      <w:bookmarkEnd w:id="102"/>
      <w:bookmarkEnd w:id="103"/>
      <w:r>
        <w:rPr>
          <w:rFonts w:hint="eastAsia" w:ascii="宋体" w:hAnsi="宋体" w:cs="宋体"/>
          <w:color w:val="auto"/>
          <w:szCs w:val="21"/>
          <w:highlight w:val="none"/>
        </w:rPr>
        <w:t>要求</w:t>
      </w:r>
    </w:p>
    <w:p>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人脸抓拍主要部署于各主要通道的出入口及人员主要聚集区域，推荐安装于通道正前方，抓拍最佳距离约为4.5-5.5米，允许小于30°的左右偏转，安装条件相对比较苛刻，如有特殊位置杆件能满足上述要求，可进行利旧。</w:t>
      </w:r>
    </w:p>
    <w:p>
      <w:pPr>
        <w:widowControl/>
        <w:spacing w:line="360" w:lineRule="auto"/>
        <w:ind w:firstLine="420" w:firstLineChars="200"/>
        <w:jc w:val="left"/>
        <w:outlineLvl w:val="3"/>
        <w:rPr>
          <w:rFonts w:ascii="宋体" w:hAnsi="宋体" w:cs="宋体"/>
          <w:color w:val="auto"/>
          <w:szCs w:val="21"/>
          <w:highlight w:val="none"/>
        </w:rPr>
      </w:pPr>
      <w:bookmarkStart w:id="104" w:name="_Toc97802089"/>
      <w:bookmarkStart w:id="105" w:name="_Toc97800968"/>
      <w:bookmarkStart w:id="106" w:name="_Toc98191846"/>
      <w:bookmarkStart w:id="107" w:name="_Toc98085784"/>
      <w:bookmarkStart w:id="108" w:name="_Toc98077682"/>
      <w:r>
        <w:rPr>
          <w:rFonts w:hint="eastAsia" w:ascii="宋体" w:hAnsi="宋体" w:cs="宋体"/>
          <w:color w:val="auto"/>
          <w:szCs w:val="21"/>
          <w:highlight w:val="none"/>
        </w:rPr>
        <w:t>（5）其他智能应用摄像机杆件</w:t>
      </w:r>
      <w:bookmarkEnd w:id="104"/>
      <w:bookmarkEnd w:id="105"/>
      <w:bookmarkEnd w:id="106"/>
      <w:bookmarkEnd w:id="107"/>
      <w:bookmarkEnd w:id="108"/>
      <w:r>
        <w:rPr>
          <w:rFonts w:hint="eastAsia" w:ascii="宋体" w:hAnsi="宋体" w:cs="宋体"/>
          <w:color w:val="auto"/>
          <w:szCs w:val="21"/>
          <w:highlight w:val="none"/>
        </w:rPr>
        <w:t>要求</w:t>
      </w:r>
    </w:p>
    <w:p>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其他智能应用摄像机根据有效照射距离、角度、安装位置等的特殊性，根据实际情况选择是否可借杆。</w:t>
      </w:r>
    </w:p>
    <w:p>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本项目拟计划70个点位的现有杆件进行利旧：</w:t>
      </w:r>
    </w:p>
    <w:tbl>
      <w:tblPr>
        <w:tblStyle w:val="65"/>
        <w:tblW w:w="5000" w:type="pct"/>
        <w:tblInd w:w="0" w:type="dxa"/>
        <w:tblLayout w:type="fixed"/>
        <w:tblCellMar>
          <w:top w:w="0" w:type="dxa"/>
          <w:left w:w="108" w:type="dxa"/>
          <w:bottom w:w="0" w:type="dxa"/>
          <w:right w:w="108" w:type="dxa"/>
        </w:tblCellMar>
      </w:tblPr>
      <w:tblGrid>
        <w:gridCol w:w="894"/>
        <w:gridCol w:w="5853"/>
        <w:gridCol w:w="1768"/>
      </w:tblGrid>
      <w:tr>
        <w:tblPrEx>
          <w:tblCellMar>
            <w:top w:w="0" w:type="dxa"/>
            <w:left w:w="108" w:type="dxa"/>
            <w:bottom w:w="0" w:type="dxa"/>
            <w:right w:w="108" w:type="dxa"/>
          </w:tblCellMar>
        </w:tblPrEx>
        <w:trPr>
          <w:trHeight w:val="428" w:hRule="atLeast"/>
        </w:trPr>
        <w:tc>
          <w:tcPr>
            <w:tcW w:w="525" w:type="pct"/>
            <w:tcBorders>
              <w:top w:val="single" w:color="000000" w:sz="8" w:space="0"/>
              <w:left w:val="single" w:color="000000" w:sz="8" w:space="0"/>
              <w:bottom w:val="nil"/>
              <w:right w:val="single" w:color="000000" w:sz="8" w:space="0"/>
            </w:tcBorders>
            <w:shd w:val="clear" w:color="auto" w:fill="auto"/>
            <w:vAlign w:val="center"/>
          </w:tcPr>
          <w:p>
            <w:pPr>
              <w:widowControl/>
              <w:adjustRightInd/>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3436" w:type="pct"/>
            <w:tcBorders>
              <w:top w:val="single" w:color="000000" w:sz="8" w:space="0"/>
              <w:left w:val="nil"/>
              <w:bottom w:val="single" w:color="000000" w:sz="8" w:space="0"/>
              <w:right w:val="single" w:color="000000" w:sz="8" w:space="0"/>
            </w:tcBorders>
            <w:shd w:val="clear" w:color="auto" w:fill="auto"/>
            <w:vAlign w:val="center"/>
          </w:tcPr>
          <w:p>
            <w:pPr>
              <w:widowControl/>
              <w:adjustRightInd/>
              <w:jc w:val="center"/>
              <w:rPr>
                <w:rFonts w:ascii="宋体" w:hAnsi="宋体" w:cs="宋体"/>
                <w:b/>
                <w:bCs/>
                <w:color w:val="auto"/>
                <w:szCs w:val="21"/>
                <w:highlight w:val="none"/>
              </w:rPr>
            </w:pPr>
            <w:r>
              <w:rPr>
                <w:rFonts w:hint="eastAsia" w:ascii="宋体" w:hAnsi="宋体" w:cs="宋体"/>
                <w:b/>
                <w:bCs/>
                <w:color w:val="auto"/>
                <w:szCs w:val="21"/>
                <w:highlight w:val="none"/>
              </w:rPr>
              <w:t>安装点位</w:t>
            </w:r>
          </w:p>
        </w:tc>
        <w:tc>
          <w:tcPr>
            <w:tcW w:w="1038" w:type="pct"/>
            <w:tcBorders>
              <w:top w:val="single" w:color="000000" w:sz="8" w:space="0"/>
              <w:left w:val="nil"/>
              <w:bottom w:val="single" w:color="000000" w:sz="8" w:space="0"/>
              <w:right w:val="single" w:color="000000" w:sz="8" w:space="0"/>
            </w:tcBorders>
            <w:shd w:val="clear" w:color="auto" w:fill="auto"/>
            <w:vAlign w:val="center"/>
          </w:tcPr>
          <w:p>
            <w:pPr>
              <w:widowControl/>
              <w:adjustRightInd/>
              <w:jc w:val="center"/>
              <w:rPr>
                <w:rFonts w:ascii="宋体" w:hAnsi="宋体" w:cs="宋体"/>
                <w:b/>
                <w:bCs/>
                <w:color w:val="auto"/>
                <w:szCs w:val="21"/>
                <w:highlight w:val="none"/>
              </w:rPr>
            </w:pPr>
            <w:r>
              <w:rPr>
                <w:rFonts w:hint="eastAsia" w:ascii="宋体" w:hAnsi="宋体" w:cs="宋体"/>
                <w:b/>
                <w:bCs/>
                <w:color w:val="auto"/>
                <w:szCs w:val="21"/>
                <w:highlight w:val="none"/>
              </w:rPr>
              <w:t>利旧方式</w:t>
            </w:r>
          </w:p>
        </w:tc>
      </w:tr>
      <w:tr>
        <w:tblPrEx>
          <w:tblCellMar>
            <w:top w:w="0" w:type="dxa"/>
            <w:left w:w="108" w:type="dxa"/>
            <w:bottom w:w="0" w:type="dxa"/>
            <w:right w:w="108" w:type="dxa"/>
          </w:tblCellMar>
        </w:tblPrEx>
        <w:trPr>
          <w:trHeight w:val="456"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通途路-杨木碶路路口</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通途路-河清北路路口</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移动通信大厦前科技公园站</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院士桥下</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江南路-杨木碶路路口西南侧</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杨木碶路315号（江南一品门口南）</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杨木碶路347号（江南一品前门）</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杨木碶路375号（江南一品门口北）</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江南路-杨木碶路路口</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杨木碶路227号（明辰紫月东门）</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11</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杨木碶路226号（明辰紫月西门）</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丹桂路-杨木碶路路口</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13</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海棠路-杨木碶路路口</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14</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滨江花苑（杨木碶路西侧）</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15</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广贤路-翔云路路口</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16</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广贤路-创苑路路口</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17</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广贤路-聚贤路路口</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18</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丹桂路-聚贤路</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19</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江南路-聚贤路路口</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20</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扬帆路-聚贤路路口</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21</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聚贤路-光华路</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22</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聚贤路-晶辉路路口</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23</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聚贤路-通途路路口</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24</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剑兰路-通途路路口</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25</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通途路-清水桥路路口</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26</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通途路-沧海路路口</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27</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福明路-明珠路路口</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28</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江南路-沧海路路口</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29</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清水桥路-江南路</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30</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甬江大道涨浦景苑小区入口</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31</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丹桂路-院士路口g</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32</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创苑路-光华路路口</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33</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光华路河边</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34</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光华路与东青路</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35</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高新区管委会</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36</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木槿路（春和集团）</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37</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菁华路-新梅路路口</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38</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东外环--通途路路口{桥上沿}</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39</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梅景路--梅墟路路口</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40</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江南路--梅墟路交叉口</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41</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梅景路梅福园门口</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42</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梅景路741号{梅江东苑北区}</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43</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梅景路480号</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44</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梅景路桥头</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45</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梅墟路南段东侧</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46</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云杉路--东方幼儿园路口</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47</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上塘王村</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48</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山塘2</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49</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凌云路人才基地</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50</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浙江大学软件学院</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51</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宁波电信局国家高新区分局</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52</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中国联合网络通信有限公司宁波市分公司</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53</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格雷斯酒店路口</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54</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德逸瑞酒店路口</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55</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创苑路与甬江大道</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56</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宁波市职业高级中学</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57</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宁波国家高新区梅南幼儿园</w:t>
            </w:r>
            <w:r>
              <w:rPr>
                <w:rStyle w:val="124"/>
                <w:rFonts w:hint="eastAsia" w:ascii="宋体" w:hAnsi="宋体" w:cs="宋体"/>
                <w:color w:val="auto"/>
                <w:sz w:val="21"/>
                <w:szCs w:val="21"/>
                <w:highlight w:val="none"/>
                <w:lang w:bidi="ar"/>
              </w:rPr>
              <w:br w:type="textWrapping"/>
            </w:r>
            <w:r>
              <w:rPr>
                <w:rStyle w:val="124"/>
                <w:rFonts w:hint="eastAsia" w:ascii="宋体" w:hAnsi="宋体" w:cs="宋体"/>
                <w:color w:val="auto"/>
                <w:sz w:val="21"/>
                <w:szCs w:val="21"/>
                <w:highlight w:val="none"/>
                <w:lang w:bidi="ar"/>
              </w:rPr>
              <w:t>东和雅苑门口</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58</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宁波市体育运动学校</w:t>
            </w:r>
            <w:r>
              <w:rPr>
                <w:rStyle w:val="124"/>
                <w:rFonts w:hint="eastAsia" w:ascii="宋体" w:hAnsi="宋体" w:cs="宋体"/>
                <w:color w:val="auto"/>
                <w:sz w:val="21"/>
                <w:szCs w:val="21"/>
                <w:highlight w:val="none"/>
                <w:lang w:bidi="ar"/>
              </w:rPr>
              <w:br w:type="textWrapping"/>
            </w:r>
            <w:r>
              <w:rPr>
                <w:rStyle w:val="124"/>
                <w:rFonts w:hint="eastAsia" w:ascii="宋体" w:hAnsi="宋体" w:cs="宋体"/>
                <w:color w:val="auto"/>
                <w:sz w:val="21"/>
                <w:szCs w:val="21"/>
                <w:highlight w:val="none"/>
                <w:lang w:bidi="ar"/>
              </w:rPr>
              <w:t>宁波高新区培英体艺幼儿园</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59</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宁波鄞州农村商业银行股份有限公司梅墟支行</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60</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中国银行股份有限公司宁波市科技支行</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61</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中国光大银行股份有限公司宁波国家高新区支行</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62</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中银（宁波）电池有限公司</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63</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清水芙蓉</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64</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桔红宾馆</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65</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瑞祥商务宾馆</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66</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宁波高新区海铂酒店有限公司</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67</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宁波高新区万拓图文设计经营部</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68</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宁波高新区梅墟御车汇汽车维修店</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69</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宁波英宗汽车维修服务有限公司</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12"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70</w:t>
            </w:r>
          </w:p>
        </w:tc>
        <w:tc>
          <w:tcPr>
            <w:tcW w:w="3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420" w:firstLineChars="20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宁波高新区新明刘磊车行</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bl>
    <w:p>
      <w:pPr>
        <w:spacing w:line="360" w:lineRule="auto"/>
        <w:outlineLvl w:val="2"/>
        <w:rPr>
          <w:rFonts w:ascii="宋体" w:hAnsi="宋体"/>
          <w:b/>
          <w:color w:val="auto"/>
          <w:sz w:val="24"/>
          <w:highlight w:val="none"/>
        </w:rPr>
      </w:pPr>
      <w:bookmarkStart w:id="109" w:name="_Toc472"/>
      <w:bookmarkStart w:id="110" w:name="_Toc21585"/>
      <w:r>
        <w:rPr>
          <w:rFonts w:hint="eastAsia" w:ascii="宋体" w:hAnsi="宋体"/>
          <w:b/>
          <w:color w:val="auto"/>
          <w:sz w:val="24"/>
          <w:highlight w:val="none"/>
        </w:rPr>
        <w:t>2、设备机箱资源利旧</w:t>
      </w:r>
      <w:bookmarkEnd w:id="109"/>
      <w:bookmarkEnd w:id="110"/>
    </w:p>
    <w:p>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对机箱内空间、网络、电力资源满足新增视频监控接入需求的立杆机箱进行借杆共用。</w:t>
      </w:r>
      <w:bookmarkStart w:id="111" w:name="_Toc18289"/>
      <w:bookmarkStart w:id="112" w:name="_Toc1723"/>
    </w:p>
    <w:p>
      <w:pPr>
        <w:spacing w:line="360" w:lineRule="auto"/>
        <w:outlineLvl w:val="2"/>
        <w:rPr>
          <w:rFonts w:ascii="宋体" w:hAnsi="宋体"/>
          <w:b/>
          <w:color w:val="auto"/>
          <w:sz w:val="24"/>
          <w:highlight w:val="none"/>
        </w:rPr>
      </w:pPr>
      <w:r>
        <w:rPr>
          <w:rFonts w:hint="eastAsia" w:ascii="宋体" w:hAnsi="宋体"/>
          <w:b/>
          <w:color w:val="auto"/>
          <w:sz w:val="24"/>
          <w:highlight w:val="none"/>
        </w:rPr>
        <w:t>3、取电线路利旧</w:t>
      </w:r>
      <w:bookmarkEnd w:id="111"/>
      <w:bookmarkEnd w:id="112"/>
    </w:p>
    <w:p>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行政执法局一期视频监控改造点位取电线路及防浪涌防雷设施利旧；</w:t>
      </w:r>
    </w:p>
    <w:p>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针对可借杆建设的前端点位，取电进行合并。针对无法借杆并杆的前端点位，处于就近供电路由上的，进行取电管线合并；未处于同一路由上的，则就近敷管线取电。</w:t>
      </w:r>
    </w:p>
    <w:p>
      <w:pPr>
        <w:spacing w:line="360" w:lineRule="auto"/>
        <w:outlineLvl w:val="2"/>
        <w:rPr>
          <w:rFonts w:ascii="宋体" w:hAnsi="宋体"/>
          <w:b/>
          <w:color w:val="auto"/>
          <w:sz w:val="24"/>
          <w:highlight w:val="none"/>
        </w:rPr>
      </w:pPr>
      <w:bookmarkStart w:id="113" w:name="_Toc2819"/>
      <w:bookmarkStart w:id="114" w:name="_Toc11443"/>
      <w:r>
        <w:rPr>
          <w:rFonts w:hint="eastAsia" w:ascii="宋体" w:hAnsi="宋体"/>
          <w:b/>
          <w:color w:val="auto"/>
          <w:sz w:val="24"/>
          <w:highlight w:val="none"/>
        </w:rPr>
        <w:t>4、网络传输链路利旧</w:t>
      </w:r>
      <w:bookmarkEnd w:id="113"/>
      <w:bookmarkEnd w:id="114"/>
    </w:p>
    <w:p>
      <w:pPr>
        <w:spacing w:line="360" w:lineRule="auto"/>
        <w:outlineLvl w:val="3"/>
        <w:rPr>
          <w:rFonts w:ascii="宋体" w:hAnsi="宋体"/>
          <w:b/>
          <w:color w:val="auto"/>
          <w:sz w:val="24"/>
          <w:highlight w:val="none"/>
        </w:rPr>
      </w:pPr>
      <w:r>
        <w:rPr>
          <w:rFonts w:hint="eastAsia" w:ascii="宋体" w:hAnsi="宋体"/>
          <w:b/>
          <w:color w:val="auto"/>
          <w:sz w:val="24"/>
          <w:highlight w:val="none"/>
        </w:rPr>
        <w:t>4.1传输链路利旧</w:t>
      </w:r>
    </w:p>
    <w:p>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利旧前端现有的公共安全视频传输网运营商光纤接入链路，经过前期初步勘测，共梳理27个点位的链路可利旧使用。采用此方式需要对场所内外公共安全视频传输网接入点带宽余量是否满足传输进行现场核定，以降低链路运营成本，体现项目的集约化建设。</w:t>
      </w:r>
    </w:p>
    <w:p>
      <w:pPr>
        <w:widowControl/>
        <w:spacing w:line="360" w:lineRule="auto"/>
        <w:ind w:firstLine="422" w:firstLineChars="200"/>
        <w:jc w:val="center"/>
        <w:rPr>
          <w:rFonts w:ascii="宋体" w:hAnsi="宋体" w:cs="宋体"/>
          <w:b/>
          <w:bCs/>
          <w:color w:val="auto"/>
          <w:szCs w:val="21"/>
          <w:highlight w:val="none"/>
        </w:rPr>
      </w:pPr>
      <w:r>
        <w:rPr>
          <w:rFonts w:hint="eastAsia" w:ascii="宋体" w:hAnsi="宋体" w:cs="宋体"/>
          <w:b/>
          <w:bCs/>
          <w:color w:val="auto"/>
          <w:szCs w:val="21"/>
          <w:highlight w:val="none"/>
        </w:rPr>
        <w:t>以下是利旧现有光纤链路点位情况汇总表：</w:t>
      </w:r>
    </w:p>
    <w:tbl>
      <w:tblPr>
        <w:tblStyle w:val="65"/>
        <w:tblW w:w="51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1810"/>
        <w:gridCol w:w="3834"/>
        <w:gridCol w:w="2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2" w:type="pct"/>
            <w:shd w:val="clear" w:color="auto" w:fill="auto"/>
            <w:vAlign w:val="center"/>
          </w:tcPr>
          <w:p>
            <w:pPr>
              <w:widowControl/>
              <w:bidi/>
              <w:adjustRightInd/>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1042" w:type="pct"/>
            <w:shd w:val="clear" w:color="auto" w:fill="auto"/>
            <w:vAlign w:val="center"/>
          </w:tcPr>
          <w:p>
            <w:pPr>
              <w:widowControl/>
              <w:bidi/>
              <w:adjustRightInd/>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部门需求</w:t>
            </w:r>
          </w:p>
        </w:tc>
        <w:tc>
          <w:tcPr>
            <w:tcW w:w="2206" w:type="pct"/>
            <w:shd w:val="clear" w:color="auto" w:fill="auto"/>
            <w:vAlign w:val="center"/>
          </w:tcPr>
          <w:p>
            <w:pPr>
              <w:widowControl/>
              <w:bidi/>
              <w:adjustRightInd/>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安装点位</w:t>
            </w:r>
          </w:p>
        </w:tc>
        <w:tc>
          <w:tcPr>
            <w:tcW w:w="1298" w:type="pct"/>
            <w:shd w:val="clear" w:color="auto" w:fill="auto"/>
            <w:vAlign w:val="center"/>
          </w:tcPr>
          <w:p>
            <w:pPr>
              <w:widowControl/>
              <w:bidi/>
              <w:adjustRightInd/>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监控编号或名称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2" w:type="pct"/>
            <w:shd w:val="clear" w:color="auto" w:fill="auto"/>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042" w:type="pct"/>
            <w:shd w:val="clear" w:color="auto" w:fill="auto"/>
            <w:vAlign w:val="center"/>
          </w:tcPr>
          <w:p>
            <w:pPr>
              <w:widowControl/>
              <w:bidi/>
              <w:adjustRightInd/>
              <w:spacing w:line="360" w:lineRule="auto"/>
              <w:jc w:val="center"/>
              <w:rPr>
                <w:rFonts w:ascii="宋体" w:hAnsi="宋体" w:cs="宋体"/>
                <w:color w:val="auto"/>
                <w:szCs w:val="21"/>
                <w:highlight w:val="none"/>
              </w:rPr>
            </w:pPr>
            <w:r>
              <w:rPr>
                <w:rFonts w:hint="eastAsia" w:ascii="宋体" w:hAnsi="宋体" w:cs="宋体"/>
                <w:color w:val="auto"/>
                <w:szCs w:val="21"/>
                <w:highlight w:val="none"/>
              </w:rPr>
              <w:t>行政执法局监</w:t>
            </w:r>
            <w:r>
              <w:rPr>
                <w:rFonts w:hint="eastAsia" w:ascii="宋体" w:hAnsi="宋体" w:cs="宋体"/>
                <w:color w:val="auto"/>
                <w:kern w:val="0"/>
                <w:szCs w:val="21"/>
                <w:highlight w:val="none"/>
                <w:lang w:bidi="ar"/>
              </w:rPr>
              <w:t>控</w:t>
            </w:r>
          </w:p>
        </w:tc>
        <w:tc>
          <w:tcPr>
            <w:tcW w:w="2206" w:type="pct"/>
            <w:shd w:val="clear" w:color="auto" w:fill="FFFFFF"/>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广贤路-聚贤路路口</w:t>
            </w:r>
          </w:p>
        </w:tc>
        <w:tc>
          <w:tcPr>
            <w:tcW w:w="1298" w:type="pct"/>
            <w:shd w:val="clear" w:color="auto" w:fill="auto"/>
            <w:vAlign w:val="bottom"/>
          </w:tcPr>
          <w:p>
            <w:pPr>
              <w:widowControl/>
              <w:adjustRightInd/>
              <w:spacing w:line="360" w:lineRule="auto"/>
              <w:jc w:val="center"/>
              <w:rPr>
                <w:rFonts w:ascii="宋体" w:hAnsi="宋体" w:cs="宋体"/>
                <w:color w:val="auto"/>
                <w:szCs w:val="21"/>
                <w:highlight w:val="none"/>
              </w:rPr>
            </w:pPr>
            <w:r>
              <w:rPr>
                <w:rFonts w:hint="eastAsia" w:ascii="宋体" w:hAnsi="宋体" w:cs="宋体"/>
                <w:color w:val="auto"/>
                <w:szCs w:val="21"/>
                <w:highlight w:val="none"/>
              </w:rPr>
              <w:t>99000147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2" w:type="pct"/>
            <w:shd w:val="clear" w:color="auto" w:fill="auto"/>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042" w:type="pct"/>
            <w:shd w:val="clear" w:color="auto" w:fill="auto"/>
            <w:vAlign w:val="center"/>
          </w:tcPr>
          <w:p>
            <w:pPr>
              <w:widowControl/>
              <w:bidi/>
              <w:adjustRightInd/>
              <w:spacing w:line="360" w:lineRule="auto"/>
              <w:jc w:val="center"/>
              <w:rPr>
                <w:rFonts w:ascii="宋体" w:hAnsi="宋体" w:cs="宋体"/>
                <w:color w:val="auto"/>
                <w:szCs w:val="21"/>
                <w:highlight w:val="none"/>
              </w:rPr>
            </w:pPr>
            <w:r>
              <w:rPr>
                <w:rFonts w:hint="eastAsia" w:ascii="宋体" w:hAnsi="宋体" w:cs="宋体"/>
                <w:color w:val="auto"/>
                <w:szCs w:val="21"/>
                <w:highlight w:val="none"/>
              </w:rPr>
              <w:t>行政执法局监</w:t>
            </w:r>
            <w:r>
              <w:rPr>
                <w:rFonts w:hint="eastAsia" w:ascii="宋体" w:hAnsi="宋体" w:cs="宋体"/>
                <w:color w:val="auto"/>
                <w:kern w:val="0"/>
                <w:szCs w:val="21"/>
                <w:highlight w:val="none"/>
                <w:lang w:bidi="ar"/>
              </w:rPr>
              <w:t>控</w:t>
            </w:r>
          </w:p>
        </w:tc>
        <w:tc>
          <w:tcPr>
            <w:tcW w:w="2206" w:type="pct"/>
            <w:shd w:val="clear" w:color="auto" w:fill="auto"/>
            <w:noWrap/>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木槿路（春和集团）</w:t>
            </w:r>
          </w:p>
        </w:tc>
        <w:tc>
          <w:tcPr>
            <w:tcW w:w="1298" w:type="pct"/>
            <w:shd w:val="clear" w:color="auto" w:fill="auto"/>
            <w:noWrap/>
            <w:vAlign w:val="bottom"/>
          </w:tcPr>
          <w:p>
            <w:pPr>
              <w:widowControl/>
              <w:adjustRightInd/>
              <w:spacing w:line="360" w:lineRule="auto"/>
              <w:jc w:val="center"/>
              <w:rPr>
                <w:rFonts w:ascii="宋体" w:hAnsi="宋体" w:cs="宋体"/>
                <w:color w:val="auto"/>
                <w:szCs w:val="21"/>
                <w:highlight w:val="none"/>
              </w:rPr>
            </w:pPr>
            <w:r>
              <w:rPr>
                <w:rFonts w:hint="eastAsia" w:ascii="宋体" w:hAnsi="宋体" w:cs="宋体"/>
                <w:color w:val="auto"/>
                <w:szCs w:val="21"/>
                <w:highlight w:val="none"/>
              </w:rPr>
              <w:t>99000521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2" w:type="pct"/>
            <w:shd w:val="clear" w:color="auto" w:fill="auto"/>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1042" w:type="pct"/>
            <w:shd w:val="clear" w:color="auto" w:fill="auto"/>
            <w:vAlign w:val="center"/>
          </w:tcPr>
          <w:p>
            <w:pPr>
              <w:widowControl/>
              <w:bidi/>
              <w:adjustRightInd/>
              <w:spacing w:line="360" w:lineRule="auto"/>
              <w:jc w:val="center"/>
              <w:rPr>
                <w:rFonts w:ascii="宋体" w:hAnsi="宋体" w:cs="宋体"/>
                <w:color w:val="auto"/>
                <w:szCs w:val="21"/>
                <w:highlight w:val="none"/>
              </w:rPr>
            </w:pPr>
            <w:r>
              <w:rPr>
                <w:rFonts w:hint="eastAsia" w:ascii="宋体" w:hAnsi="宋体" w:cs="宋体"/>
                <w:color w:val="auto"/>
                <w:szCs w:val="21"/>
                <w:highlight w:val="none"/>
              </w:rPr>
              <w:t>行政执法局监</w:t>
            </w:r>
            <w:r>
              <w:rPr>
                <w:rFonts w:hint="eastAsia" w:ascii="宋体" w:hAnsi="宋体" w:cs="宋体"/>
                <w:color w:val="auto"/>
                <w:kern w:val="0"/>
                <w:szCs w:val="21"/>
                <w:highlight w:val="none"/>
                <w:lang w:bidi="ar"/>
              </w:rPr>
              <w:t>控</w:t>
            </w:r>
          </w:p>
        </w:tc>
        <w:tc>
          <w:tcPr>
            <w:tcW w:w="2206" w:type="pct"/>
            <w:shd w:val="clear" w:color="auto" w:fill="auto"/>
            <w:noWrap/>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梅景路--梅墟路路口</w:t>
            </w:r>
          </w:p>
        </w:tc>
        <w:tc>
          <w:tcPr>
            <w:tcW w:w="1298" w:type="pct"/>
            <w:shd w:val="clear" w:color="auto" w:fill="auto"/>
            <w:noWrap/>
            <w:vAlign w:val="bottom"/>
          </w:tcPr>
          <w:p>
            <w:pPr>
              <w:widowControl/>
              <w:adjustRightInd/>
              <w:spacing w:line="360" w:lineRule="auto"/>
              <w:jc w:val="center"/>
              <w:rPr>
                <w:rFonts w:ascii="宋体" w:hAnsi="宋体" w:cs="宋体"/>
                <w:color w:val="auto"/>
                <w:szCs w:val="21"/>
                <w:highlight w:val="none"/>
              </w:rPr>
            </w:pPr>
            <w:r>
              <w:rPr>
                <w:rFonts w:hint="eastAsia" w:ascii="宋体" w:hAnsi="宋体" w:cs="宋体"/>
                <w:color w:val="auto"/>
                <w:szCs w:val="21"/>
                <w:highlight w:val="none"/>
              </w:rPr>
              <w:t>99000312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2" w:type="pct"/>
            <w:shd w:val="clear" w:color="auto" w:fill="auto"/>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1042" w:type="pct"/>
            <w:shd w:val="clear" w:color="auto" w:fill="auto"/>
            <w:vAlign w:val="center"/>
          </w:tcPr>
          <w:p>
            <w:pPr>
              <w:widowControl/>
              <w:bidi/>
              <w:adjustRightInd/>
              <w:spacing w:line="360" w:lineRule="auto"/>
              <w:jc w:val="center"/>
              <w:rPr>
                <w:rFonts w:ascii="宋体" w:hAnsi="宋体" w:cs="宋体"/>
                <w:color w:val="auto"/>
                <w:szCs w:val="21"/>
                <w:highlight w:val="none"/>
              </w:rPr>
            </w:pPr>
            <w:r>
              <w:rPr>
                <w:rFonts w:hint="eastAsia" w:ascii="宋体" w:hAnsi="宋体" w:cs="宋体"/>
                <w:color w:val="auto"/>
                <w:szCs w:val="21"/>
                <w:highlight w:val="none"/>
              </w:rPr>
              <w:t>行政执法局监</w:t>
            </w:r>
            <w:r>
              <w:rPr>
                <w:rFonts w:hint="eastAsia" w:ascii="宋体" w:hAnsi="宋体" w:cs="宋体"/>
                <w:color w:val="auto"/>
                <w:kern w:val="0"/>
                <w:szCs w:val="21"/>
                <w:highlight w:val="none"/>
                <w:lang w:bidi="ar"/>
              </w:rPr>
              <w:t>控</w:t>
            </w:r>
          </w:p>
        </w:tc>
        <w:tc>
          <w:tcPr>
            <w:tcW w:w="2206" w:type="pct"/>
            <w:shd w:val="clear" w:color="auto" w:fill="auto"/>
            <w:noWrap/>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梅景路741号{梅江东苑北区}</w:t>
            </w:r>
          </w:p>
        </w:tc>
        <w:tc>
          <w:tcPr>
            <w:tcW w:w="1298" w:type="pct"/>
            <w:shd w:val="clear" w:color="auto" w:fill="auto"/>
            <w:noWrap/>
            <w:vAlign w:val="bottom"/>
          </w:tcPr>
          <w:p>
            <w:pPr>
              <w:widowControl/>
              <w:adjustRightInd/>
              <w:spacing w:line="360" w:lineRule="auto"/>
              <w:jc w:val="center"/>
              <w:rPr>
                <w:rFonts w:ascii="宋体" w:hAnsi="宋体" w:cs="宋体"/>
                <w:color w:val="auto"/>
                <w:szCs w:val="21"/>
                <w:highlight w:val="none"/>
              </w:rPr>
            </w:pPr>
            <w:r>
              <w:rPr>
                <w:rFonts w:hint="eastAsia" w:ascii="宋体" w:hAnsi="宋体" w:cs="宋体"/>
                <w:color w:val="auto"/>
                <w:szCs w:val="21"/>
                <w:highlight w:val="none"/>
              </w:rPr>
              <w:t>99000296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2" w:type="pct"/>
            <w:shd w:val="clear" w:color="auto" w:fill="auto"/>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w:t>
            </w:r>
          </w:p>
        </w:tc>
        <w:tc>
          <w:tcPr>
            <w:tcW w:w="1042" w:type="pct"/>
            <w:shd w:val="clear" w:color="auto" w:fill="auto"/>
            <w:vAlign w:val="center"/>
          </w:tcPr>
          <w:p>
            <w:pPr>
              <w:widowControl/>
              <w:bidi/>
              <w:adjustRightInd/>
              <w:spacing w:line="360" w:lineRule="auto"/>
              <w:jc w:val="center"/>
              <w:rPr>
                <w:rFonts w:ascii="宋体" w:hAnsi="宋体" w:cs="宋体"/>
                <w:color w:val="auto"/>
                <w:szCs w:val="21"/>
                <w:highlight w:val="none"/>
              </w:rPr>
            </w:pPr>
            <w:r>
              <w:rPr>
                <w:rFonts w:hint="eastAsia" w:ascii="宋体" w:hAnsi="宋体" w:cs="宋体"/>
                <w:color w:val="auto"/>
                <w:szCs w:val="21"/>
                <w:highlight w:val="none"/>
              </w:rPr>
              <w:t>行政执法局监</w:t>
            </w:r>
            <w:r>
              <w:rPr>
                <w:rFonts w:hint="eastAsia" w:ascii="宋体" w:hAnsi="宋体" w:cs="宋体"/>
                <w:color w:val="auto"/>
                <w:kern w:val="0"/>
                <w:szCs w:val="21"/>
                <w:highlight w:val="none"/>
                <w:lang w:bidi="ar"/>
              </w:rPr>
              <w:t>控</w:t>
            </w:r>
          </w:p>
        </w:tc>
        <w:tc>
          <w:tcPr>
            <w:tcW w:w="2206" w:type="pct"/>
            <w:shd w:val="clear" w:color="auto" w:fill="auto"/>
            <w:noWrap/>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云杉路--东方幼儿园路口</w:t>
            </w:r>
          </w:p>
        </w:tc>
        <w:tc>
          <w:tcPr>
            <w:tcW w:w="1298" w:type="pct"/>
            <w:shd w:val="clear" w:color="auto" w:fill="auto"/>
            <w:noWrap/>
            <w:vAlign w:val="bottom"/>
          </w:tcPr>
          <w:p>
            <w:pPr>
              <w:widowControl/>
              <w:adjustRightInd/>
              <w:spacing w:line="360" w:lineRule="auto"/>
              <w:jc w:val="center"/>
              <w:rPr>
                <w:rFonts w:ascii="宋体" w:hAnsi="宋体" w:cs="宋体"/>
                <w:color w:val="auto"/>
                <w:szCs w:val="21"/>
                <w:highlight w:val="none"/>
              </w:rPr>
            </w:pPr>
            <w:r>
              <w:rPr>
                <w:rFonts w:hint="eastAsia" w:ascii="宋体" w:hAnsi="宋体" w:cs="宋体"/>
                <w:color w:val="auto"/>
                <w:szCs w:val="21"/>
                <w:highlight w:val="none"/>
              </w:rPr>
              <w:t>99000096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2" w:type="pct"/>
            <w:shd w:val="clear" w:color="auto" w:fill="auto"/>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1042" w:type="pct"/>
            <w:shd w:val="clear" w:color="auto" w:fill="auto"/>
            <w:vAlign w:val="center"/>
          </w:tcPr>
          <w:p>
            <w:pPr>
              <w:widowControl/>
              <w:bidi/>
              <w:adjustRightInd/>
              <w:spacing w:line="360" w:lineRule="auto"/>
              <w:jc w:val="center"/>
              <w:rPr>
                <w:rFonts w:ascii="宋体" w:hAnsi="宋体" w:cs="宋体"/>
                <w:color w:val="auto"/>
                <w:szCs w:val="21"/>
                <w:highlight w:val="none"/>
              </w:rPr>
            </w:pPr>
            <w:r>
              <w:rPr>
                <w:rFonts w:hint="eastAsia" w:ascii="宋体" w:hAnsi="宋体" w:cs="宋体"/>
                <w:color w:val="auto"/>
                <w:szCs w:val="21"/>
                <w:highlight w:val="none"/>
              </w:rPr>
              <w:t>重要感知点位</w:t>
            </w:r>
          </w:p>
        </w:tc>
        <w:tc>
          <w:tcPr>
            <w:tcW w:w="2206" w:type="pct"/>
            <w:shd w:val="clear" w:color="auto" w:fill="auto"/>
            <w:noWrap/>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凌云路人才基地</w:t>
            </w:r>
          </w:p>
        </w:tc>
        <w:tc>
          <w:tcPr>
            <w:tcW w:w="1298" w:type="pct"/>
            <w:shd w:val="clear" w:color="auto" w:fill="auto"/>
            <w:noWrap/>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凌云路人才基地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2" w:type="pct"/>
            <w:shd w:val="clear" w:color="auto" w:fill="auto"/>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w:t>
            </w:r>
          </w:p>
        </w:tc>
        <w:tc>
          <w:tcPr>
            <w:tcW w:w="1042" w:type="pct"/>
            <w:shd w:val="clear" w:color="auto" w:fill="auto"/>
            <w:vAlign w:val="center"/>
          </w:tcPr>
          <w:p>
            <w:pPr>
              <w:widowControl/>
              <w:bidi/>
              <w:adjustRightInd/>
              <w:spacing w:line="360" w:lineRule="auto"/>
              <w:jc w:val="center"/>
              <w:rPr>
                <w:rFonts w:ascii="宋体" w:hAnsi="宋体" w:cs="宋体"/>
                <w:color w:val="auto"/>
                <w:szCs w:val="21"/>
                <w:highlight w:val="none"/>
              </w:rPr>
            </w:pPr>
            <w:r>
              <w:rPr>
                <w:rFonts w:hint="eastAsia" w:ascii="宋体" w:hAnsi="宋体" w:cs="宋体"/>
                <w:color w:val="auto"/>
                <w:szCs w:val="21"/>
                <w:highlight w:val="none"/>
              </w:rPr>
              <w:t>重要感知点位</w:t>
            </w:r>
          </w:p>
        </w:tc>
        <w:tc>
          <w:tcPr>
            <w:tcW w:w="2206" w:type="pct"/>
            <w:shd w:val="clear" w:color="auto" w:fill="auto"/>
            <w:noWrap/>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浙江大学软件学院</w:t>
            </w:r>
          </w:p>
        </w:tc>
        <w:tc>
          <w:tcPr>
            <w:tcW w:w="1298" w:type="pct"/>
            <w:shd w:val="clear" w:color="auto" w:fill="auto"/>
            <w:noWrap/>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0334球冬青路-东海府西门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2" w:type="pct"/>
            <w:shd w:val="clear" w:color="auto" w:fill="auto"/>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w:t>
            </w:r>
          </w:p>
        </w:tc>
        <w:tc>
          <w:tcPr>
            <w:tcW w:w="1042" w:type="pct"/>
            <w:shd w:val="clear" w:color="auto" w:fill="auto"/>
            <w:vAlign w:val="center"/>
          </w:tcPr>
          <w:p>
            <w:pPr>
              <w:widowControl/>
              <w:bidi/>
              <w:adjustRightInd/>
              <w:spacing w:line="360" w:lineRule="auto"/>
              <w:jc w:val="center"/>
              <w:rPr>
                <w:rFonts w:ascii="宋体" w:hAnsi="宋体" w:cs="宋体"/>
                <w:color w:val="auto"/>
                <w:szCs w:val="21"/>
                <w:highlight w:val="none"/>
              </w:rPr>
            </w:pPr>
            <w:r>
              <w:rPr>
                <w:rFonts w:hint="eastAsia" w:ascii="宋体" w:hAnsi="宋体" w:cs="宋体"/>
                <w:color w:val="auto"/>
                <w:szCs w:val="21"/>
                <w:highlight w:val="none"/>
              </w:rPr>
              <w:t>重要感知点位</w:t>
            </w:r>
          </w:p>
        </w:tc>
        <w:tc>
          <w:tcPr>
            <w:tcW w:w="2206" w:type="pct"/>
            <w:shd w:val="clear" w:color="auto" w:fill="auto"/>
            <w:noWrap/>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宁波电信局国家高新区分局</w:t>
            </w:r>
          </w:p>
        </w:tc>
        <w:tc>
          <w:tcPr>
            <w:tcW w:w="1298" w:type="pct"/>
            <w:shd w:val="clear" w:color="auto" w:fill="auto"/>
            <w:noWrap/>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0230枪名仕嘉景苑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2" w:type="pct"/>
            <w:shd w:val="clear" w:color="auto" w:fill="auto"/>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w:t>
            </w:r>
          </w:p>
        </w:tc>
        <w:tc>
          <w:tcPr>
            <w:tcW w:w="1042" w:type="pct"/>
            <w:shd w:val="clear" w:color="auto" w:fill="auto"/>
            <w:vAlign w:val="center"/>
          </w:tcPr>
          <w:p>
            <w:pPr>
              <w:widowControl/>
              <w:bidi/>
              <w:adjustRightInd/>
              <w:spacing w:line="360" w:lineRule="auto"/>
              <w:jc w:val="center"/>
              <w:rPr>
                <w:rFonts w:ascii="宋体" w:hAnsi="宋体" w:cs="宋体"/>
                <w:color w:val="auto"/>
                <w:szCs w:val="21"/>
                <w:highlight w:val="none"/>
              </w:rPr>
            </w:pPr>
            <w:r>
              <w:rPr>
                <w:rFonts w:hint="eastAsia" w:ascii="宋体" w:hAnsi="宋体" w:cs="宋体"/>
                <w:color w:val="auto"/>
                <w:szCs w:val="21"/>
                <w:highlight w:val="none"/>
              </w:rPr>
              <w:t>重要感知点位</w:t>
            </w:r>
          </w:p>
        </w:tc>
        <w:tc>
          <w:tcPr>
            <w:tcW w:w="2206" w:type="pct"/>
            <w:shd w:val="clear" w:color="auto" w:fill="auto"/>
            <w:noWrap/>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中国联合网络通信有限公司宁波市分公司</w:t>
            </w:r>
          </w:p>
        </w:tc>
        <w:tc>
          <w:tcPr>
            <w:tcW w:w="1298" w:type="pct"/>
            <w:shd w:val="clear" w:color="auto" w:fill="auto"/>
            <w:noWrap/>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0042球凌云路-星光路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2" w:type="pct"/>
            <w:shd w:val="clear" w:color="auto" w:fill="auto"/>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w:t>
            </w:r>
          </w:p>
        </w:tc>
        <w:tc>
          <w:tcPr>
            <w:tcW w:w="1042" w:type="pct"/>
            <w:shd w:val="clear" w:color="auto" w:fill="auto"/>
            <w:vAlign w:val="center"/>
          </w:tcPr>
          <w:p>
            <w:pPr>
              <w:widowControl/>
              <w:bidi/>
              <w:adjustRightInd/>
              <w:spacing w:line="360" w:lineRule="auto"/>
              <w:jc w:val="center"/>
              <w:rPr>
                <w:rFonts w:ascii="宋体" w:hAnsi="宋体" w:cs="宋体"/>
                <w:color w:val="auto"/>
                <w:szCs w:val="21"/>
                <w:highlight w:val="none"/>
              </w:rPr>
            </w:pPr>
            <w:r>
              <w:rPr>
                <w:rFonts w:hint="eastAsia" w:ascii="宋体" w:hAnsi="宋体" w:cs="宋体"/>
                <w:color w:val="auto"/>
                <w:szCs w:val="21"/>
                <w:highlight w:val="none"/>
              </w:rPr>
              <w:t>重要感知点位</w:t>
            </w:r>
          </w:p>
        </w:tc>
        <w:tc>
          <w:tcPr>
            <w:tcW w:w="2206" w:type="pct"/>
            <w:shd w:val="clear" w:color="auto" w:fill="auto"/>
            <w:noWrap/>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格雷斯酒店路口</w:t>
            </w:r>
          </w:p>
        </w:tc>
        <w:tc>
          <w:tcPr>
            <w:tcW w:w="1298" w:type="pct"/>
            <w:shd w:val="clear" w:color="auto" w:fill="auto"/>
            <w:noWrap/>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0494球祥天-杨帆路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2" w:type="pct"/>
            <w:shd w:val="clear" w:color="auto" w:fill="auto"/>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11</w:t>
            </w:r>
          </w:p>
        </w:tc>
        <w:tc>
          <w:tcPr>
            <w:tcW w:w="1042" w:type="pct"/>
            <w:shd w:val="clear" w:color="auto" w:fill="auto"/>
            <w:vAlign w:val="center"/>
          </w:tcPr>
          <w:p>
            <w:pPr>
              <w:widowControl/>
              <w:bidi/>
              <w:adjustRightInd/>
              <w:spacing w:line="360" w:lineRule="auto"/>
              <w:jc w:val="center"/>
              <w:rPr>
                <w:rFonts w:ascii="宋体" w:hAnsi="宋体" w:cs="宋体"/>
                <w:color w:val="auto"/>
                <w:szCs w:val="21"/>
                <w:highlight w:val="none"/>
              </w:rPr>
            </w:pPr>
            <w:r>
              <w:rPr>
                <w:rFonts w:hint="eastAsia" w:ascii="宋体" w:hAnsi="宋体" w:cs="宋体"/>
                <w:color w:val="auto"/>
                <w:szCs w:val="21"/>
                <w:highlight w:val="none"/>
              </w:rPr>
              <w:t>重要感知点位</w:t>
            </w:r>
          </w:p>
        </w:tc>
        <w:tc>
          <w:tcPr>
            <w:tcW w:w="2206" w:type="pct"/>
            <w:shd w:val="clear" w:color="auto" w:fill="auto"/>
            <w:noWrap/>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德逸瑞酒店路口</w:t>
            </w:r>
          </w:p>
        </w:tc>
        <w:tc>
          <w:tcPr>
            <w:tcW w:w="1298" w:type="pct"/>
            <w:shd w:val="clear" w:color="auto" w:fill="auto"/>
            <w:noWrap/>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利旧现有公安链路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2" w:type="pct"/>
            <w:shd w:val="clear" w:color="auto" w:fill="auto"/>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w:t>
            </w:r>
          </w:p>
        </w:tc>
        <w:tc>
          <w:tcPr>
            <w:tcW w:w="1042" w:type="pct"/>
            <w:shd w:val="clear" w:color="auto" w:fill="auto"/>
            <w:vAlign w:val="center"/>
          </w:tcPr>
          <w:p>
            <w:pPr>
              <w:widowControl/>
              <w:bidi/>
              <w:adjustRightInd/>
              <w:spacing w:line="360" w:lineRule="auto"/>
              <w:jc w:val="center"/>
              <w:rPr>
                <w:rFonts w:ascii="宋体" w:hAnsi="宋体" w:cs="宋体"/>
                <w:color w:val="auto"/>
                <w:szCs w:val="21"/>
                <w:highlight w:val="none"/>
              </w:rPr>
            </w:pPr>
            <w:r>
              <w:rPr>
                <w:rFonts w:hint="eastAsia" w:ascii="宋体" w:hAnsi="宋体" w:cs="宋体"/>
                <w:color w:val="auto"/>
                <w:szCs w:val="21"/>
                <w:highlight w:val="none"/>
              </w:rPr>
              <w:t>重要感知点位</w:t>
            </w:r>
          </w:p>
        </w:tc>
        <w:tc>
          <w:tcPr>
            <w:tcW w:w="2206" w:type="pct"/>
            <w:shd w:val="clear" w:color="auto" w:fill="auto"/>
            <w:noWrap/>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创苑路与甬江大道</w:t>
            </w:r>
          </w:p>
        </w:tc>
        <w:tc>
          <w:tcPr>
            <w:tcW w:w="1298" w:type="pct"/>
            <w:shd w:val="clear" w:color="auto" w:fill="auto"/>
            <w:noWrap/>
            <w:vAlign w:val="bottom"/>
          </w:tcPr>
          <w:p>
            <w:pPr>
              <w:widowControl/>
              <w:adjustRightInd/>
              <w:spacing w:line="360" w:lineRule="auto"/>
              <w:jc w:val="center"/>
              <w:rPr>
                <w:rFonts w:ascii="宋体" w:hAnsi="宋体" w:cs="宋体"/>
                <w:color w:val="auto"/>
                <w:szCs w:val="21"/>
                <w:highlight w:val="none"/>
              </w:rPr>
            </w:pPr>
            <w:r>
              <w:rPr>
                <w:rFonts w:hint="eastAsia" w:ascii="宋体" w:hAnsi="宋体" w:cs="宋体"/>
                <w:color w:val="auto"/>
                <w:szCs w:val="21"/>
                <w:highlight w:val="none"/>
              </w:rPr>
              <w:t>99000344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2" w:type="pct"/>
            <w:shd w:val="clear" w:color="auto" w:fill="auto"/>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13</w:t>
            </w:r>
          </w:p>
        </w:tc>
        <w:tc>
          <w:tcPr>
            <w:tcW w:w="1042" w:type="pct"/>
            <w:shd w:val="clear" w:color="auto" w:fill="auto"/>
            <w:vAlign w:val="center"/>
          </w:tcPr>
          <w:p>
            <w:pPr>
              <w:widowControl/>
              <w:bidi/>
              <w:adjustRightInd/>
              <w:spacing w:line="360" w:lineRule="auto"/>
              <w:jc w:val="center"/>
              <w:rPr>
                <w:rFonts w:ascii="宋体" w:hAnsi="宋体" w:cs="宋体"/>
                <w:color w:val="auto"/>
                <w:szCs w:val="21"/>
                <w:highlight w:val="none"/>
              </w:rPr>
            </w:pPr>
            <w:r>
              <w:rPr>
                <w:rFonts w:hint="eastAsia" w:ascii="宋体" w:hAnsi="宋体" w:cs="宋体"/>
                <w:color w:val="auto"/>
                <w:szCs w:val="21"/>
                <w:highlight w:val="none"/>
              </w:rPr>
              <w:t>重要感知点位</w:t>
            </w:r>
          </w:p>
        </w:tc>
        <w:tc>
          <w:tcPr>
            <w:tcW w:w="2206" w:type="pct"/>
            <w:shd w:val="clear" w:color="auto" w:fill="auto"/>
            <w:noWrap/>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宁波市职业高级中学</w:t>
            </w:r>
          </w:p>
        </w:tc>
        <w:tc>
          <w:tcPr>
            <w:tcW w:w="1298" w:type="pct"/>
            <w:shd w:val="clear" w:color="auto" w:fill="auto"/>
            <w:noWrap/>
            <w:vAlign w:val="bottom"/>
          </w:tcPr>
          <w:p>
            <w:pPr>
              <w:widowControl/>
              <w:adjustRightInd/>
              <w:spacing w:line="360" w:lineRule="auto"/>
              <w:jc w:val="center"/>
              <w:rPr>
                <w:rFonts w:ascii="宋体" w:hAnsi="宋体" w:cs="宋体"/>
                <w:color w:val="auto"/>
                <w:szCs w:val="21"/>
                <w:highlight w:val="none"/>
              </w:rPr>
            </w:pPr>
            <w:r>
              <w:rPr>
                <w:rFonts w:hint="eastAsia" w:ascii="宋体" w:hAnsi="宋体" w:cs="宋体"/>
                <w:color w:val="auto"/>
                <w:szCs w:val="21"/>
                <w:highlight w:val="none"/>
              </w:rPr>
              <w:t>99000061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2" w:type="pct"/>
            <w:shd w:val="clear" w:color="auto" w:fill="auto"/>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14</w:t>
            </w:r>
          </w:p>
        </w:tc>
        <w:tc>
          <w:tcPr>
            <w:tcW w:w="1042" w:type="pct"/>
            <w:shd w:val="clear" w:color="auto" w:fill="auto"/>
            <w:vAlign w:val="center"/>
          </w:tcPr>
          <w:p>
            <w:pPr>
              <w:widowControl/>
              <w:bidi/>
              <w:adjustRightInd/>
              <w:spacing w:line="360" w:lineRule="auto"/>
              <w:jc w:val="center"/>
              <w:rPr>
                <w:rFonts w:ascii="宋体" w:hAnsi="宋体" w:cs="宋体"/>
                <w:color w:val="auto"/>
                <w:szCs w:val="21"/>
                <w:highlight w:val="none"/>
              </w:rPr>
            </w:pPr>
            <w:r>
              <w:rPr>
                <w:rFonts w:hint="eastAsia" w:ascii="宋体" w:hAnsi="宋体" w:cs="宋体"/>
                <w:color w:val="auto"/>
                <w:szCs w:val="21"/>
                <w:highlight w:val="none"/>
              </w:rPr>
              <w:t>重要感知点位</w:t>
            </w:r>
          </w:p>
        </w:tc>
        <w:tc>
          <w:tcPr>
            <w:tcW w:w="2206" w:type="pct"/>
            <w:shd w:val="clear" w:color="auto" w:fill="auto"/>
            <w:noWrap/>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宁波国家高新区梅南幼儿园</w:t>
            </w:r>
            <w:r>
              <w:rPr>
                <w:rStyle w:val="124"/>
                <w:rFonts w:hint="eastAsia" w:ascii="宋体" w:hAnsi="宋体" w:cs="宋体"/>
                <w:color w:val="auto"/>
                <w:sz w:val="21"/>
                <w:szCs w:val="21"/>
                <w:highlight w:val="none"/>
                <w:lang w:bidi="ar"/>
              </w:rPr>
              <w:br w:type="textWrapping"/>
            </w:r>
            <w:r>
              <w:rPr>
                <w:rStyle w:val="124"/>
                <w:rFonts w:hint="eastAsia" w:ascii="宋体" w:hAnsi="宋体" w:cs="宋体"/>
                <w:color w:val="auto"/>
                <w:sz w:val="21"/>
                <w:szCs w:val="21"/>
                <w:highlight w:val="none"/>
                <w:lang w:bidi="ar"/>
              </w:rPr>
              <w:t>东和雅苑门口</w:t>
            </w:r>
          </w:p>
        </w:tc>
        <w:tc>
          <w:tcPr>
            <w:tcW w:w="1298" w:type="pct"/>
            <w:shd w:val="clear" w:color="auto" w:fill="auto"/>
            <w:noWrap/>
            <w:vAlign w:val="bottom"/>
          </w:tcPr>
          <w:p>
            <w:pPr>
              <w:widowControl/>
              <w:adjustRightInd/>
              <w:spacing w:line="360" w:lineRule="auto"/>
              <w:jc w:val="center"/>
              <w:rPr>
                <w:rFonts w:ascii="宋体" w:hAnsi="宋体" w:cs="宋体"/>
                <w:color w:val="auto"/>
                <w:szCs w:val="21"/>
                <w:highlight w:val="none"/>
              </w:rPr>
            </w:pPr>
            <w:r>
              <w:rPr>
                <w:rStyle w:val="124"/>
                <w:rFonts w:hint="eastAsia" w:ascii="宋体" w:hAnsi="宋体" w:cs="宋体"/>
                <w:color w:val="auto"/>
                <w:sz w:val="21"/>
                <w:szCs w:val="21"/>
                <w:highlight w:val="none"/>
                <w:lang w:bidi="ar"/>
              </w:rPr>
              <w:t>0133枪梅南幼儿园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2" w:type="pct"/>
            <w:shd w:val="clear" w:color="auto" w:fill="auto"/>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15</w:t>
            </w:r>
          </w:p>
        </w:tc>
        <w:tc>
          <w:tcPr>
            <w:tcW w:w="1042" w:type="pct"/>
            <w:shd w:val="clear" w:color="auto" w:fill="auto"/>
            <w:vAlign w:val="center"/>
          </w:tcPr>
          <w:p>
            <w:pPr>
              <w:widowControl/>
              <w:bidi/>
              <w:adjustRightInd/>
              <w:spacing w:line="360" w:lineRule="auto"/>
              <w:jc w:val="center"/>
              <w:rPr>
                <w:rFonts w:ascii="宋体" w:hAnsi="宋体" w:cs="宋体"/>
                <w:color w:val="auto"/>
                <w:szCs w:val="21"/>
                <w:highlight w:val="none"/>
              </w:rPr>
            </w:pPr>
            <w:r>
              <w:rPr>
                <w:rFonts w:hint="eastAsia" w:ascii="宋体" w:hAnsi="宋体" w:cs="宋体"/>
                <w:color w:val="auto"/>
                <w:szCs w:val="21"/>
                <w:highlight w:val="none"/>
              </w:rPr>
              <w:t>重要感知点位</w:t>
            </w:r>
          </w:p>
        </w:tc>
        <w:tc>
          <w:tcPr>
            <w:tcW w:w="2206" w:type="pct"/>
            <w:shd w:val="clear" w:color="auto" w:fill="auto"/>
            <w:noWrap/>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宁波市体育运动学校</w:t>
            </w:r>
            <w:r>
              <w:rPr>
                <w:rStyle w:val="124"/>
                <w:rFonts w:hint="eastAsia" w:ascii="宋体" w:hAnsi="宋体" w:cs="宋体"/>
                <w:color w:val="auto"/>
                <w:sz w:val="21"/>
                <w:szCs w:val="21"/>
                <w:highlight w:val="none"/>
                <w:lang w:bidi="ar"/>
              </w:rPr>
              <w:br w:type="textWrapping"/>
            </w:r>
            <w:r>
              <w:rPr>
                <w:rStyle w:val="124"/>
                <w:rFonts w:hint="eastAsia" w:ascii="宋体" w:hAnsi="宋体" w:cs="宋体"/>
                <w:color w:val="auto"/>
                <w:sz w:val="21"/>
                <w:szCs w:val="21"/>
                <w:highlight w:val="none"/>
                <w:lang w:bidi="ar"/>
              </w:rPr>
              <w:t>宁波高新区培英体艺幼儿园</w:t>
            </w:r>
          </w:p>
        </w:tc>
        <w:tc>
          <w:tcPr>
            <w:tcW w:w="1298" w:type="pct"/>
            <w:shd w:val="clear" w:color="auto" w:fill="auto"/>
            <w:noWrap/>
            <w:vAlign w:val="bottom"/>
          </w:tcPr>
          <w:p>
            <w:pPr>
              <w:widowControl/>
              <w:adjustRightInd/>
              <w:spacing w:line="360" w:lineRule="auto"/>
              <w:jc w:val="center"/>
              <w:rPr>
                <w:rFonts w:ascii="宋体" w:hAnsi="宋体" w:cs="宋体"/>
                <w:color w:val="auto"/>
                <w:szCs w:val="21"/>
                <w:highlight w:val="none"/>
              </w:rPr>
            </w:pPr>
            <w:r>
              <w:rPr>
                <w:rFonts w:hint="eastAsia" w:ascii="宋体" w:hAnsi="宋体" w:cs="宋体"/>
                <w:color w:val="auto"/>
                <w:szCs w:val="21"/>
                <w:highlight w:val="none"/>
              </w:rPr>
              <w:t>利旧现有公安链路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2" w:type="pct"/>
            <w:shd w:val="clear" w:color="auto" w:fill="auto"/>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16</w:t>
            </w:r>
          </w:p>
        </w:tc>
        <w:tc>
          <w:tcPr>
            <w:tcW w:w="1042" w:type="pct"/>
            <w:shd w:val="clear" w:color="auto" w:fill="auto"/>
            <w:vAlign w:val="center"/>
          </w:tcPr>
          <w:p>
            <w:pPr>
              <w:widowControl/>
              <w:bidi/>
              <w:adjustRightInd/>
              <w:spacing w:line="360" w:lineRule="auto"/>
              <w:jc w:val="center"/>
              <w:rPr>
                <w:rFonts w:ascii="宋体" w:hAnsi="宋体" w:cs="宋体"/>
                <w:color w:val="auto"/>
                <w:szCs w:val="21"/>
                <w:highlight w:val="none"/>
              </w:rPr>
            </w:pPr>
            <w:r>
              <w:rPr>
                <w:rFonts w:hint="eastAsia" w:ascii="宋体" w:hAnsi="宋体" w:cs="宋体"/>
                <w:color w:val="auto"/>
                <w:szCs w:val="21"/>
                <w:highlight w:val="none"/>
              </w:rPr>
              <w:t>重要感知点位</w:t>
            </w:r>
          </w:p>
        </w:tc>
        <w:tc>
          <w:tcPr>
            <w:tcW w:w="2206" w:type="pct"/>
            <w:shd w:val="clear" w:color="auto" w:fill="auto"/>
            <w:noWrap/>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宁波鄞州农村商业银行股份有限公司梅墟支行</w:t>
            </w:r>
          </w:p>
        </w:tc>
        <w:tc>
          <w:tcPr>
            <w:tcW w:w="1298" w:type="pct"/>
            <w:shd w:val="clear" w:color="auto" w:fill="auto"/>
            <w:noWrap/>
            <w:vAlign w:val="bottom"/>
          </w:tcPr>
          <w:p>
            <w:pPr>
              <w:widowControl/>
              <w:adjustRightInd/>
              <w:spacing w:line="360" w:lineRule="auto"/>
              <w:jc w:val="center"/>
              <w:rPr>
                <w:rFonts w:ascii="宋体" w:hAnsi="宋体" w:cs="宋体"/>
                <w:color w:val="auto"/>
                <w:szCs w:val="21"/>
                <w:highlight w:val="none"/>
              </w:rPr>
            </w:pPr>
            <w:r>
              <w:rPr>
                <w:rFonts w:hint="eastAsia" w:ascii="宋体" w:hAnsi="宋体" w:cs="宋体"/>
                <w:color w:val="auto"/>
                <w:szCs w:val="21"/>
                <w:highlight w:val="none"/>
              </w:rPr>
              <w:t>利旧现有公安链路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2" w:type="pct"/>
            <w:shd w:val="clear" w:color="auto" w:fill="auto"/>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17</w:t>
            </w:r>
          </w:p>
        </w:tc>
        <w:tc>
          <w:tcPr>
            <w:tcW w:w="1042" w:type="pct"/>
            <w:shd w:val="clear" w:color="auto" w:fill="auto"/>
            <w:vAlign w:val="center"/>
          </w:tcPr>
          <w:p>
            <w:pPr>
              <w:widowControl/>
              <w:bidi/>
              <w:adjustRightInd/>
              <w:spacing w:line="360" w:lineRule="auto"/>
              <w:jc w:val="center"/>
              <w:rPr>
                <w:rFonts w:ascii="宋体" w:hAnsi="宋体" w:cs="宋体"/>
                <w:color w:val="auto"/>
                <w:szCs w:val="21"/>
                <w:highlight w:val="none"/>
              </w:rPr>
            </w:pPr>
            <w:r>
              <w:rPr>
                <w:rFonts w:hint="eastAsia" w:ascii="宋体" w:hAnsi="宋体" w:cs="宋体"/>
                <w:color w:val="auto"/>
                <w:szCs w:val="21"/>
                <w:highlight w:val="none"/>
              </w:rPr>
              <w:t>重要感知点位</w:t>
            </w:r>
          </w:p>
        </w:tc>
        <w:tc>
          <w:tcPr>
            <w:tcW w:w="2206" w:type="pct"/>
            <w:shd w:val="clear" w:color="auto" w:fill="auto"/>
            <w:noWrap/>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中国银行股份有限公司宁波市科技支行</w:t>
            </w:r>
          </w:p>
        </w:tc>
        <w:tc>
          <w:tcPr>
            <w:tcW w:w="1298" w:type="pct"/>
            <w:shd w:val="clear" w:color="auto" w:fill="auto"/>
            <w:noWrap/>
            <w:vAlign w:val="bottom"/>
          </w:tcPr>
          <w:p>
            <w:pPr>
              <w:widowControl/>
              <w:adjustRightInd/>
              <w:spacing w:line="360" w:lineRule="auto"/>
              <w:jc w:val="center"/>
              <w:rPr>
                <w:rFonts w:ascii="宋体" w:hAnsi="宋体" w:cs="宋体"/>
                <w:color w:val="auto"/>
                <w:szCs w:val="21"/>
                <w:highlight w:val="none"/>
              </w:rPr>
            </w:pPr>
            <w:r>
              <w:rPr>
                <w:rFonts w:hint="eastAsia" w:ascii="宋体" w:hAnsi="宋体" w:cs="宋体"/>
                <w:color w:val="auto"/>
                <w:szCs w:val="21"/>
                <w:highlight w:val="none"/>
              </w:rPr>
              <w:t>利旧现有公安链路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2" w:type="pct"/>
            <w:shd w:val="clear" w:color="auto" w:fill="auto"/>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18</w:t>
            </w:r>
          </w:p>
        </w:tc>
        <w:tc>
          <w:tcPr>
            <w:tcW w:w="1042" w:type="pct"/>
            <w:shd w:val="clear" w:color="auto" w:fill="auto"/>
            <w:noWrap/>
            <w:vAlign w:val="center"/>
          </w:tcPr>
          <w:p>
            <w:pPr>
              <w:widowControl/>
              <w:bidi/>
              <w:adjustRightInd/>
              <w:spacing w:line="360" w:lineRule="auto"/>
              <w:jc w:val="center"/>
              <w:rPr>
                <w:rFonts w:ascii="宋体" w:hAnsi="宋体" w:cs="宋体"/>
                <w:color w:val="auto"/>
                <w:szCs w:val="21"/>
                <w:highlight w:val="none"/>
              </w:rPr>
            </w:pPr>
            <w:r>
              <w:rPr>
                <w:rFonts w:hint="eastAsia" w:ascii="宋体" w:hAnsi="宋体" w:cs="宋体"/>
                <w:color w:val="auto"/>
                <w:szCs w:val="21"/>
                <w:highlight w:val="none"/>
              </w:rPr>
              <w:t>重要感知点位</w:t>
            </w:r>
          </w:p>
        </w:tc>
        <w:tc>
          <w:tcPr>
            <w:tcW w:w="2206" w:type="pct"/>
            <w:shd w:val="clear" w:color="auto" w:fill="auto"/>
            <w:noWrap/>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中国光大银行股份有限公司宁波国家高新区支行</w:t>
            </w:r>
          </w:p>
        </w:tc>
        <w:tc>
          <w:tcPr>
            <w:tcW w:w="1298" w:type="pct"/>
            <w:shd w:val="clear" w:color="auto" w:fill="auto"/>
            <w:noWrap/>
            <w:vAlign w:val="bottom"/>
          </w:tcPr>
          <w:p>
            <w:pPr>
              <w:widowControl/>
              <w:adjustRightInd/>
              <w:spacing w:line="360" w:lineRule="auto"/>
              <w:jc w:val="center"/>
              <w:rPr>
                <w:rFonts w:ascii="宋体" w:hAnsi="宋体" w:cs="宋体"/>
                <w:color w:val="auto"/>
                <w:szCs w:val="21"/>
                <w:highlight w:val="none"/>
              </w:rPr>
            </w:pPr>
            <w:r>
              <w:rPr>
                <w:rFonts w:hint="eastAsia" w:ascii="宋体" w:hAnsi="宋体" w:cs="宋体"/>
                <w:color w:val="auto"/>
                <w:szCs w:val="21"/>
                <w:highlight w:val="none"/>
              </w:rPr>
              <w:t>利旧现有公安链路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2" w:type="pct"/>
            <w:shd w:val="clear" w:color="auto" w:fill="auto"/>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19</w:t>
            </w:r>
          </w:p>
        </w:tc>
        <w:tc>
          <w:tcPr>
            <w:tcW w:w="1042" w:type="pct"/>
            <w:shd w:val="clear" w:color="auto" w:fill="auto"/>
            <w:noWrap/>
            <w:vAlign w:val="center"/>
          </w:tcPr>
          <w:p>
            <w:pPr>
              <w:widowControl/>
              <w:bidi/>
              <w:adjustRightInd/>
              <w:spacing w:line="360" w:lineRule="auto"/>
              <w:jc w:val="center"/>
              <w:rPr>
                <w:rFonts w:ascii="宋体" w:hAnsi="宋体" w:cs="宋体"/>
                <w:color w:val="auto"/>
                <w:szCs w:val="21"/>
                <w:highlight w:val="none"/>
              </w:rPr>
            </w:pPr>
            <w:r>
              <w:rPr>
                <w:rFonts w:hint="eastAsia" w:ascii="宋体" w:hAnsi="宋体" w:cs="宋体"/>
                <w:color w:val="auto"/>
                <w:szCs w:val="21"/>
                <w:highlight w:val="none"/>
              </w:rPr>
              <w:t>重要感知点位</w:t>
            </w:r>
          </w:p>
        </w:tc>
        <w:tc>
          <w:tcPr>
            <w:tcW w:w="2206" w:type="pct"/>
            <w:shd w:val="clear" w:color="auto" w:fill="auto"/>
            <w:noWrap/>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中银（宁波）电池有限公司</w:t>
            </w:r>
          </w:p>
        </w:tc>
        <w:tc>
          <w:tcPr>
            <w:tcW w:w="1298" w:type="pct"/>
            <w:shd w:val="clear" w:color="auto" w:fill="auto"/>
            <w:noWrap/>
            <w:vAlign w:val="bottom"/>
          </w:tcPr>
          <w:p>
            <w:pPr>
              <w:widowControl/>
              <w:adjustRightInd/>
              <w:spacing w:line="360" w:lineRule="auto"/>
              <w:jc w:val="center"/>
              <w:rPr>
                <w:rFonts w:ascii="宋体" w:hAnsi="宋体" w:cs="宋体"/>
                <w:color w:val="auto"/>
                <w:szCs w:val="21"/>
                <w:highlight w:val="none"/>
              </w:rPr>
            </w:pPr>
            <w:r>
              <w:rPr>
                <w:rFonts w:hint="eastAsia" w:ascii="宋体" w:hAnsi="宋体" w:cs="宋体"/>
                <w:color w:val="auto"/>
                <w:szCs w:val="21"/>
                <w:highlight w:val="none"/>
              </w:rPr>
              <w:t>利旧现有公安链路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2" w:type="pct"/>
            <w:shd w:val="clear" w:color="auto" w:fill="auto"/>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20</w:t>
            </w:r>
          </w:p>
        </w:tc>
        <w:tc>
          <w:tcPr>
            <w:tcW w:w="1042" w:type="pct"/>
            <w:shd w:val="clear" w:color="auto" w:fill="auto"/>
            <w:noWrap/>
            <w:vAlign w:val="center"/>
          </w:tcPr>
          <w:p>
            <w:pPr>
              <w:widowControl/>
              <w:bidi/>
              <w:adjustRightInd/>
              <w:spacing w:line="360" w:lineRule="auto"/>
              <w:jc w:val="center"/>
              <w:rPr>
                <w:rFonts w:ascii="宋体" w:hAnsi="宋体" w:cs="宋体"/>
                <w:color w:val="auto"/>
                <w:szCs w:val="21"/>
                <w:highlight w:val="none"/>
              </w:rPr>
            </w:pPr>
            <w:r>
              <w:rPr>
                <w:rFonts w:hint="eastAsia" w:ascii="宋体" w:hAnsi="宋体" w:cs="宋体"/>
                <w:color w:val="auto"/>
                <w:szCs w:val="21"/>
                <w:highlight w:val="none"/>
              </w:rPr>
              <w:t>重要感知点位</w:t>
            </w:r>
          </w:p>
        </w:tc>
        <w:tc>
          <w:tcPr>
            <w:tcW w:w="2206" w:type="pct"/>
            <w:shd w:val="clear" w:color="auto" w:fill="auto"/>
            <w:noWrap/>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清水芙蓉</w:t>
            </w:r>
          </w:p>
        </w:tc>
        <w:tc>
          <w:tcPr>
            <w:tcW w:w="1298" w:type="pct"/>
            <w:shd w:val="clear" w:color="auto" w:fill="auto"/>
            <w:noWrap/>
            <w:vAlign w:val="bottom"/>
          </w:tcPr>
          <w:p>
            <w:pPr>
              <w:widowControl/>
              <w:adjustRightInd/>
              <w:spacing w:line="360" w:lineRule="auto"/>
              <w:jc w:val="center"/>
              <w:rPr>
                <w:rFonts w:ascii="宋体" w:hAnsi="宋体" w:cs="宋体"/>
                <w:color w:val="auto"/>
                <w:szCs w:val="21"/>
                <w:highlight w:val="none"/>
              </w:rPr>
            </w:pPr>
            <w:r>
              <w:rPr>
                <w:rFonts w:hint="eastAsia" w:ascii="宋体" w:hAnsi="宋体" w:cs="宋体"/>
                <w:color w:val="auto"/>
                <w:szCs w:val="21"/>
                <w:highlight w:val="none"/>
              </w:rPr>
              <w:t>利旧现有公安链路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2" w:type="pct"/>
            <w:shd w:val="clear" w:color="auto" w:fill="auto"/>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21</w:t>
            </w:r>
          </w:p>
        </w:tc>
        <w:tc>
          <w:tcPr>
            <w:tcW w:w="1042" w:type="pct"/>
            <w:shd w:val="clear" w:color="auto" w:fill="auto"/>
            <w:noWrap/>
            <w:vAlign w:val="center"/>
          </w:tcPr>
          <w:p>
            <w:pPr>
              <w:widowControl/>
              <w:bidi/>
              <w:adjustRightInd/>
              <w:spacing w:line="360" w:lineRule="auto"/>
              <w:jc w:val="center"/>
              <w:rPr>
                <w:rFonts w:ascii="宋体" w:hAnsi="宋体" w:cs="宋体"/>
                <w:color w:val="auto"/>
                <w:szCs w:val="21"/>
                <w:highlight w:val="none"/>
              </w:rPr>
            </w:pPr>
            <w:r>
              <w:rPr>
                <w:rFonts w:hint="eastAsia" w:ascii="宋体" w:hAnsi="宋体" w:cs="宋体"/>
                <w:color w:val="auto"/>
                <w:szCs w:val="21"/>
                <w:highlight w:val="none"/>
              </w:rPr>
              <w:t>重要感知点位</w:t>
            </w:r>
          </w:p>
        </w:tc>
        <w:tc>
          <w:tcPr>
            <w:tcW w:w="2206" w:type="pct"/>
            <w:shd w:val="clear" w:color="auto" w:fill="auto"/>
            <w:noWrap/>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桔红宾馆</w:t>
            </w:r>
          </w:p>
        </w:tc>
        <w:tc>
          <w:tcPr>
            <w:tcW w:w="1298" w:type="pct"/>
            <w:shd w:val="clear" w:color="auto" w:fill="auto"/>
            <w:noWrap/>
            <w:vAlign w:val="bottom"/>
          </w:tcPr>
          <w:p>
            <w:pPr>
              <w:widowControl/>
              <w:adjustRightInd/>
              <w:spacing w:line="360" w:lineRule="auto"/>
              <w:jc w:val="center"/>
              <w:rPr>
                <w:rFonts w:ascii="宋体" w:hAnsi="宋体" w:cs="宋体"/>
                <w:color w:val="auto"/>
                <w:szCs w:val="21"/>
                <w:highlight w:val="none"/>
              </w:rPr>
            </w:pPr>
            <w:r>
              <w:rPr>
                <w:rFonts w:hint="eastAsia" w:ascii="宋体" w:hAnsi="宋体" w:cs="宋体"/>
                <w:color w:val="auto"/>
                <w:szCs w:val="21"/>
                <w:highlight w:val="none"/>
              </w:rPr>
              <w:t>99000818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2" w:type="pct"/>
            <w:shd w:val="clear" w:color="auto" w:fill="auto"/>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22</w:t>
            </w:r>
          </w:p>
        </w:tc>
        <w:tc>
          <w:tcPr>
            <w:tcW w:w="1042" w:type="pct"/>
            <w:shd w:val="clear" w:color="auto" w:fill="auto"/>
            <w:noWrap/>
            <w:vAlign w:val="center"/>
          </w:tcPr>
          <w:p>
            <w:pPr>
              <w:widowControl/>
              <w:bidi/>
              <w:adjustRightInd/>
              <w:spacing w:line="360" w:lineRule="auto"/>
              <w:jc w:val="center"/>
              <w:rPr>
                <w:rFonts w:ascii="宋体" w:hAnsi="宋体" w:cs="宋体"/>
                <w:color w:val="auto"/>
                <w:szCs w:val="21"/>
                <w:highlight w:val="none"/>
              </w:rPr>
            </w:pPr>
            <w:r>
              <w:rPr>
                <w:rFonts w:hint="eastAsia" w:ascii="宋体" w:hAnsi="宋体" w:cs="宋体"/>
                <w:color w:val="auto"/>
                <w:szCs w:val="21"/>
                <w:highlight w:val="none"/>
              </w:rPr>
              <w:t>重要感知点位</w:t>
            </w:r>
          </w:p>
        </w:tc>
        <w:tc>
          <w:tcPr>
            <w:tcW w:w="2206" w:type="pct"/>
            <w:shd w:val="clear" w:color="auto" w:fill="auto"/>
            <w:noWrap/>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瑞祥商务宾馆</w:t>
            </w:r>
          </w:p>
        </w:tc>
        <w:tc>
          <w:tcPr>
            <w:tcW w:w="1298" w:type="pct"/>
            <w:shd w:val="clear" w:color="auto" w:fill="auto"/>
            <w:noWrap/>
            <w:vAlign w:val="bottom"/>
          </w:tcPr>
          <w:p>
            <w:pPr>
              <w:widowControl/>
              <w:adjustRightInd/>
              <w:spacing w:line="360" w:lineRule="auto"/>
              <w:jc w:val="center"/>
              <w:rPr>
                <w:rFonts w:ascii="宋体" w:hAnsi="宋体" w:cs="宋体"/>
                <w:color w:val="auto"/>
                <w:szCs w:val="21"/>
                <w:highlight w:val="none"/>
              </w:rPr>
            </w:pPr>
            <w:r>
              <w:rPr>
                <w:rFonts w:hint="eastAsia" w:ascii="宋体" w:hAnsi="宋体" w:cs="宋体"/>
                <w:color w:val="auto"/>
                <w:szCs w:val="21"/>
                <w:highlight w:val="none"/>
              </w:rPr>
              <w:t>利旧现有公安链路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2" w:type="pct"/>
            <w:shd w:val="clear" w:color="auto" w:fill="auto"/>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23</w:t>
            </w:r>
          </w:p>
        </w:tc>
        <w:tc>
          <w:tcPr>
            <w:tcW w:w="1042" w:type="pct"/>
            <w:shd w:val="clear" w:color="auto" w:fill="auto"/>
            <w:noWrap/>
            <w:vAlign w:val="center"/>
          </w:tcPr>
          <w:p>
            <w:pPr>
              <w:widowControl/>
              <w:bidi/>
              <w:adjustRightInd/>
              <w:spacing w:line="360" w:lineRule="auto"/>
              <w:jc w:val="center"/>
              <w:rPr>
                <w:rFonts w:ascii="宋体" w:hAnsi="宋体" w:cs="宋体"/>
                <w:color w:val="auto"/>
                <w:szCs w:val="21"/>
                <w:highlight w:val="none"/>
              </w:rPr>
            </w:pPr>
            <w:r>
              <w:rPr>
                <w:rFonts w:hint="eastAsia" w:ascii="宋体" w:hAnsi="宋体" w:cs="宋体"/>
                <w:color w:val="auto"/>
                <w:szCs w:val="21"/>
                <w:highlight w:val="none"/>
              </w:rPr>
              <w:t>重要感知点位</w:t>
            </w:r>
          </w:p>
        </w:tc>
        <w:tc>
          <w:tcPr>
            <w:tcW w:w="2206" w:type="pct"/>
            <w:shd w:val="clear" w:color="auto" w:fill="auto"/>
            <w:noWrap/>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宁波高新区海铂酒店有限公司</w:t>
            </w:r>
          </w:p>
        </w:tc>
        <w:tc>
          <w:tcPr>
            <w:tcW w:w="1298" w:type="pct"/>
            <w:shd w:val="clear" w:color="auto" w:fill="auto"/>
            <w:noWrap/>
            <w:vAlign w:val="bottom"/>
          </w:tcPr>
          <w:p>
            <w:pPr>
              <w:widowControl/>
              <w:adjustRightInd/>
              <w:spacing w:line="360" w:lineRule="auto"/>
              <w:jc w:val="center"/>
              <w:rPr>
                <w:rFonts w:ascii="宋体" w:hAnsi="宋体" w:cs="宋体"/>
                <w:color w:val="auto"/>
                <w:szCs w:val="21"/>
                <w:highlight w:val="none"/>
              </w:rPr>
            </w:pPr>
            <w:r>
              <w:rPr>
                <w:rFonts w:hint="eastAsia" w:ascii="宋体" w:hAnsi="宋体" w:cs="宋体"/>
                <w:color w:val="auto"/>
                <w:szCs w:val="21"/>
                <w:highlight w:val="none"/>
              </w:rPr>
              <w:t>利旧现有公安链路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2" w:type="pct"/>
            <w:shd w:val="clear" w:color="auto" w:fill="auto"/>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24</w:t>
            </w:r>
          </w:p>
        </w:tc>
        <w:tc>
          <w:tcPr>
            <w:tcW w:w="1042" w:type="pct"/>
            <w:shd w:val="clear" w:color="auto" w:fill="auto"/>
            <w:noWrap/>
            <w:vAlign w:val="center"/>
          </w:tcPr>
          <w:p>
            <w:pPr>
              <w:widowControl/>
              <w:bidi/>
              <w:adjustRightInd/>
              <w:spacing w:line="360" w:lineRule="auto"/>
              <w:jc w:val="center"/>
              <w:rPr>
                <w:rFonts w:ascii="宋体" w:hAnsi="宋体" w:cs="宋体"/>
                <w:color w:val="auto"/>
                <w:szCs w:val="21"/>
                <w:highlight w:val="none"/>
              </w:rPr>
            </w:pPr>
            <w:r>
              <w:rPr>
                <w:rFonts w:hint="eastAsia" w:ascii="宋体" w:hAnsi="宋体" w:cs="宋体"/>
                <w:color w:val="auto"/>
                <w:szCs w:val="21"/>
                <w:highlight w:val="none"/>
              </w:rPr>
              <w:t>重要感知点位</w:t>
            </w:r>
          </w:p>
        </w:tc>
        <w:tc>
          <w:tcPr>
            <w:tcW w:w="2206" w:type="pct"/>
            <w:shd w:val="clear" w:color="auto" w:fill="auto"/>
            <w:noWrap/>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宁波高新区万拓图文设计经营部</w:t>
            </w:r>
          </w:p>
        </w:tc>
        <w:tc>
          <w:tcPr>
            <w:tcW w:w="1298" w:type="pct"/>
            <w:shd w:val="clear" w:color="auto" w:fill="auto"/>
            <w:noWrap/>
            <w:vAlign w:val="bottom"/>
          </w:tcPr>
          <w:p>
            <w:pPr>
              <w:widowControl/>
              <w:adjustRightInd/>
              <w:spacing w:line="360" w:lineRule="auto"/>
              <w:jc w:val="center"/>
              <w:rPr>
                <w:rFonts w:ascii="宋体" w:hAnsi="宋体" w:cs="宋体"/>
                <w:color w:val="auto"/>
                <w:szCs w:val="21"/>
                <w:highlight w:val="none"/>
              </w:rPr>
            </w:pPr>
            <w:r>
              <w:rPr>
                <w:rFonts w:hint="eastAsia" w:ascii="宋体" w:hAnsi="宋体" w:cs="宋体"/>
                <w:color w:val="auto"/>
                <w:szCs w:val="21"/>
                <w:highlight w:val="none"/>
              </w:rPr>
              <w:t>99000221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2" w:type="pct"/>
            <w:shd w:val="clear" w:color="auto" w:fill="auto"/>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25</w:t>
            </w:r>
          </w:p>
        </w:tc>
        <w:tc>
          <w:tcPr>
            <w:tcW w:w="1042" w:type="pct"/>
            <w:shd w:val="clear" w:color="auto" w:fill="auto"/>
            <w:noWrap/>
            <w:vAlign w:val="center"/>
          </w:tcPr>
          <w:p>
            <w:pPr>
              <w:widowControl/>
              <w:bidi/>
              <w:adjustRightInd/>
              <w:spacing w:line="360" w:lineRule="auto"/>
              <w:jc w:val="center"/>
              <w:rPr>
                <w:rFonts w:ascii="宋体" w:hAnsi="宋体" w:cs="宋体"/>
                <w:color w:val="auto"/>
                <w:szCs w:val="21"/>
                <w:highlight w:val="none"/>
              </w:rPr>
            </w:pPr>
            <w:r>
              <w:rPr>
                <w:rFonts w:hint="eastAsia" w:ascii="宋体" w:hAnsi="宋体" w:cs="宋体"/>
                <w:color w:val="auto"/>
                <w:szCs w:val="21"/>
                <w:highlight w:val="none"/>
              </w:rPr>
              <w:t>重要感知点位</w:t>
            </w:r>
          </w:p>
        </w:tc>
        <w:tc>
          <w:tcPr>
            <w:tcW w:w="2206" w:type="pct"/>
            <w:shd w:val="clear" w:color="auto" w:fill="auto"/>
            <w:noWrap/>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宁波高新区梅墟御车汇汽车维修店</w:t>
            </w:r>
          </w:p>
        </w:tc>
        <w:tc>
          <w:tcPr>
            <w:tcW w:w="1298" w:type="pct"/>
            <w:shd w:val="clear" w:color="auto" w:fill="auto"/>
            <w:noWrap/>
            <w:vAlign w:val="bottom"/>
          </w:tcPr>
          <w:p>
            <w:pPr>
              <w:widowControl/>
              <w:adjustRightInd/>
              <w:spacing w:line="360" w:lineRule="auto"/>
              <w:jc w:val="center"/>
              <w:rPr>
                <w:rFonts w:ascii="宋体" w:hAnsi="宋体" w:cs="宋体"/>
                <w:color w:val="auto"/>
                <w:szCs w:val="21"/>
                <w:highlight w:val="none"/>
              </w:rPr>
            </w:pPr>
            <w:r>
              <w:rPr>
                <w:rFonts w:hint="eastAsia" w:ascii="宋体" w:hAnsi="宋体" w:cs="宋体"/>
                <w:color w:val="auto"/>
                <w:szCs w:val="21"/>
                <w:highlight w:val="none"/>
              </w:rPr>
              <w:t>利旧现有公安链路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2" w:type="pct"/>
            <w:shd w:val="clear" w:color="auto" w:fill="auto"/>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26</w:t>
            </w:r>
          </w:p>
        </w:tc>
        <w:tc>
          <w:tcPr>
            <w:tcW w:w="1042" w:type="pct"/>
            <w:shd w:val="clear" w:color="auto" w:fill="auto"/>
            <w:noWrap/>
            <w:vAlign w:val="center"/>
          </w:tcPr>
          <w:p>
            <w:pPr>
              <w:widowControl/>
              <w:bidi/>
              <w:adjustRightInd/>
              <w:spacing w:line="360" w:lineRule="auto"/>
              <w:jc w:val="center"/>
              <w:rPr>
                <w:rFonts w:ascii="宋体" w:hAnsi="宋体" w:cs="宋体"/>
                <w:color w:val="auto"/>
                <w:szCs w:val="21"/>
                <w:highlight w:val="none"/>
              </w:rPr>
            </w:pPr>
            <w:r>
              <w:rPr>
                <w:rFonts w:hint="eastAsia" w:ascii="宋体" w:hAnsi="宋体" w:cs="宋体"/>
                <w:color w:val="auto"/>
                <w:szCs w:val="21"/>
                <w:highlight w:val="none"/>
              </w:rPr>
              <w:t>重要感知点位</w:t>
            </w:r>
          </w:p>
        </w:tc>
        <w:tc>
          <w:tcPr>
            <w:tcW w:w="2206" w:type="pct"/>
            <w:shd w:val="clear" w:color="auto" w:fill="auto"/>
            <w:noWrap/>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宁波英宗汽车维修服务有限公司</w:t>
            </w:r>
          </w:p>
        </w:tc>
        <w:tc>
          <w:tcPr>
            <w:tcW w:w="1298" w:type="pct"/>
            <w:shd w:val="clear" w:color="auto" w:fill="auto"/>
            <w:noWrap/>
            <w:vAlign w:val="bottom"/>
          </w:tcPr>
          <w:p>
            <w:pPr>
              <w:widowControl/>
              <w:adjustRightInd/>
              <w:spacing w:line="360" w:lineRule="auto"/>
              <w:jc w:val="center"/>
              <w:rPr>
                <w:rFonts w:ascii="宋体" w:hAnsi="宋体" w:cs="宋体"/>
                <w:color w:val="auto"/>
                <w:szCs w:val="21"/>
                <w:highlight w:val="none"/>
              </w:rPr>
            </w:pPr>
            <w:r>
              <w:rPr>
                <w:rFonts w:hint="eastAsia" w:ascii="宋体" w:hAnsi="宋体" w:cs="宋体"/>
                <w:color w:val="auto"/>
                <w:szCs w:val="21"/>
                <w:highlight w:val="none"/>
              </w:rPr>
              <w:t>99000811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2" w:type="pct"/>
            <w:shd w:val="clear" w:color="auto" w:fill="auto"/>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27</w:t>
            </w:r>
          </w:p>
        </w:tc>
        <w:tc>
          <w:tcPr>
            <w:tcW w:w="1042" w:type="pct"/>
            <w:shd w:val="clear" w:color="auto" w:fill="auto"/>
            <w:noWrap/>
            <w:vAlign w:val="center"/>
          </w:tcPr>
          <w:p>
            <w:pPr>
              <w:widowControl/>
              <w:bidi/>
              <w:adjustRightInd/>
              <w:spacing w:line="360" w:lineRule="auto"/>
              <w:jc w:val="center"/>
              <w:rPr>
                <w:rFonts w:ascii="宋体" w:hAnsi="宋体" w:cs="宋体"/>
                <w:color w:val="auto"/>
                <w:szCs w:val="21"/>
                <w:highlight w:val="none"/>
              </w:rPr>
            </w:pPr>
            <w:r>
              <w:rPr>
                <w:rFonts w:hint="eastAsia" w:ascii="宋体" w:hAnsi="宋体" w:cs="宋体"/>
                <w:color w:val="auto"/>
                <w:szCs w:val="21"/>
                <w:highlight w:val="none"/>
              </w:rPr>
              <w:t>重要感知点位</w:t>
            </w:r>
          </w:p>
        </w:tc>
        <w:tc>
          <w:tcPr>
            <w:tcW w:w="2206" w:type="pct"/>
            <w:shd w:val="clear" w:color="auto" w:fill="auto"/>
            <w:noWrap/>
            <w:vAlign w:val="center"/>
          </w:tcPr>
          <w:p>
            <w:pPr>
              <w:widowControl/>
              <w:adjustRightInd/>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宁波高新区新明刘磊车行</w:t>
            </w:r>
          </w:p>
        </w:tc>
        <w:tc>
          <w:tcPr>
            <w:tcW w:w="1298" w:type="pct"/>
            <w:shd w:val="clear" w:color="auto" w:fill="auto"/>
            <w:noWrap/>
            <w:vAlign w:val="bottom"/>
          </w:tcPr>
          <w:p>
            <w:pPr>
              <w:widowControl/>
              <w:adjustRightInd/>
              <w:spacing w:line="360" w:lineRule="auto"/>
              <w:jc w:val="center"/>
              <w:rPr>
                <w:rFonts w:ascii="宋体" w:hAnsi="宋体" w:cs="宋体"/>
                <w:color w:val="auto"/>
                <w:szCs w:val="21"/>
                <w:highlight w:val="none"/>
              </w:rPr>
            </w:pPr>
            <w:r>
              <w:rPr>
                <w:rFonts w:hint="eastAsia" w:ascii="宋体" w:hAnsi="宋体" w:cs="宋体"/>
                <w:color w:val="auto"/>
                <w:szCs w:val="21"/>
                <w:highlight w:val="none"/>
              </w:rPr>
              <w:t>利旧现有公安链路</w:t>
            </w:r>
          </w:p>
        </w:tc>
      </w:tr>
    </w:tbl>
    <w:p>
      <w:pPr>
        <w:spacing w:line="360" w:lineRule="auto"/>
        <w:outlineLvl w:val="2"/>
        <w:rPr>
          <w:rFonts w:ascii="宋体" w:hAnsi="宋体"/>
          <w:b/>
          <w:color w:val="auto"/>
          <w:sz w:val="24"/>
          <w:highlight w:val="none"/>
        </w:rPr>
      </w:pPr>
      <w:bookmarkStart w:id="115" w:name="_Toc22839"/>
      <w:bookmarkStart w:id="116" w:name="_Toc21313"/>
      <w:r>
        <w:rPr>
          <w:rFonts w:hint="eastAsia" w:ascii="宋体" w:hAnsi="宋体"/>
          <w:b/>
          <w:color w:val="auto"/>
          <w:sz w:val="24"/>
          <w:highlight w:val="none"/>
        </w:rPr>
        <w:t>5、网络安全系统利旧</w:t>
      </w:r>
      <w:bookmarkEnd w:id="115"/>
      <w:bookmarkEnd w:id="116"/>
    </w:p>
    <w:p>
      <w:pPr>
        <w:pStyle w:val="969"/>
        <w:ind w:firstLine="422"/>
        <w:outlineLvl w:val="3"/>
        <w:rPr>
          <w:rFonts w:ascii="宋体" w:hAnsi="宋体" w:eastAsia="宋体" w:cs="宋体"/>
          <w:b/>
          <w:color w:val="auto"/>
          <w:kern w:val="0"/>
          <w:szCs w:val="21"/>
          <w:highlight w:val="none"/>
          <w:lang w:bidi="ar"/>
        </w:rPr>
      </w:pPr>
      <w:r>
        <w:rPr>
          <w:rFonts w:hint="eastAsia" w:ascii="宋体" w:hAnsi="宋体" w:eastAsia="宋体" w:cs="宋体"/>
          <w:b/>
          <w:color w:val="auto"/>
          <w:kern w:val="0"/>
          <w:szCs w:val="21"/>
          <w:highlight w:val="none"/>
          <w:lang w:bidi="ar"/>
        </w:rPr>
        <w:t>利旧跨网安全传输架构</w:t>
      </w:r>
    </w:p>
    <w:p>
      <w:pPr>
        <w:pStyle w:val="969"/>
        <w:ind w:firstLine="420"/>
        <w:rPr>
          <w:rFonts w:ascii="宋体" w:hAnsi="宋体" w:eastAsia="宋体" w:cs="宋体"/>
          <w:bCs/>
          <w:color w:val="auto"/>
          <w:kern w:val="0"/>
          <w:szCs w:val="21"/>
          <w:highlight w:val="none"/>
          <w:lang w:bidi="ar"/>
        </w:rPr>
      </w:pPr>
      <w:r>
        <w:rPr>
          <w:rFonts w:hint="eastAsia" w:ascii="宋体" w:hAnsi="宋体" w:eastAsia="宋体" w:cs="宋体"/>
          <w:bCs/>
          <w:color w:val="auto"/>
          <w:kern w:val="0"/>
          <w:szCs w:val="21"/>
          <w:highlight w:val="none"/>
          <w:lang w:bidi="ar"/>
        </w:rPr>
        <w:t>利用高新区疫情防控“小门”无感智控平台</w:t>
      </w:r>
      <w:r>
        <w:rPr>
          <w:rFonts w:hint="eastAsia" w:ascii="宋体" w:hAnsi="宋体" w:eastAsia="宋体" w:cs="宋体"/>
          <w:bCs/>
          <w:color w:val="auto"/>
          <w:kern w:val="0"/>
          <w:szCs w:val="21"/>
          <w:highlight w:val="none"/>
          <w:lang w:val="en-US" w:eastAsia="zh-CN" w:bidi="ar"/>
        </w:rPr>
        <w:t>安全设备</w:t>
      </w:r>
      <w:r>
        <w:rPr>
          <w:rFonts w:hint="eastAsia" w:ascii="宋体" w:hAnsi="宋体" w:eastAsia="宋体" w:cs="宋体"/>
          <w:bCs/>
          <w:color w:val="auto"/>
          <w:kern w:val="0"/>
          <w:szCs w:val="21"/>
          <w:highlight w:val="none"/>
          <w:lang w:bidi="ar"/>
        </w:rPr>
        <w:t>。</w:t>
      </w:r>
    </w:p>
    <w:p>
      <w:pPr>
        <w:pStyle w:val="969"/>
        <w:ind w:firstLine="422"/>
        <w:rPr>
          <w:rFonts w:ascii="宋体" w:hAnsi="宋体" w:eastAsia="宋体" w:cs="宋体"/>
          <w:b/>
          <w:color w:val="auto"/>
          <w:kern w:val="0"/>
          <w:szCs w:val="21"/>
          <w:highlight w:val="none"/>
          <w:lang w:bidi="ar"/>
        </w:rPr>
      </w:pPr>
      <w:r>
        <w:rPr>
          <w:rFonts w:hint="eastAsia" w:ascii="宋体" w:hAnsi="宋体" w:eastAsia="宋体" w:cs="宋体"/>
          <w:b/>
          <w:color w:val="auto"/>
          <w:kern w:val="0"/>
          <w:szCs w:val="21"/>
          <w:highlight w:val="none"/>
          <w:lang w:bidi="ar"/>
        </w:rPr>
        <w:t>利旧跨网安全传输设备</w:t>
      </w:r>
    </w:p>
    <w:p>
      <w:pPr>
        <w:pStyle w:val="969"/>
        <w:ind w:firstLine="420"/>
        <w:rPr>
          <w:rFonts w:ascii="宋体" w:hAnsi="宋体" w:eastAsia="宋体" w:cs="宋体"/>
          <w:bCs/>
          <w:color w:val="auto"/>
          <w:kern w:val="0"/>
          <w:szCs w:val="21"/>
          <w:highlight w:val="none"/>
          <w:lang w:bidi="ar"/>
        </w:rPr>
      </w:pPr>
      <w:r>
        <w:rPr>
          <w:rFonts w:hint="eastAsia" w:ascii="宋体" w:hAnsi="宋体" w:eastAsia="宋体" w:cs="宋体"/>
          <w:bCs/>
          <w:color w:val="auto"/>
          <w:kern w:val="0"/>
          <w:szCs w:val="21"/>
          <w:highlight w:val="none"/>
          <w:lang w:bidi="ar"/>
        </w:rPr>
        <w:t>利旧智安小区接入平台社会资源网、公安信息网与公共安全视频传输网之间的安全边界。</w:t>
      </w:r>
    </w:p>
    <w:p>
      <w:pPr>
        <w:spacing w:line="360" w:lineRule="auto"/>
        <w:outlineLvl w:val="2"/>
        <w:rPr>
          <w:rFonts w:ascii="宋体" w:hAnsi="宋体"/>
          <w:b/>
          <w:color w:val="auto"/>
          <w:sz w:val="24"/>
          <w:highlight w:val="none"/>
        </w:rPr>
      </w:pPr>
      <w:bookmarkStart w:id="117" w:name="_Toc895"/>
      <w:bookmarkStart w:id="118" w:name="_Toc19356"/>
      <w:r>
        <w:rPr>
          <w:rFonts w:hint="eastAsia" w:ascii="宋体" w:hAnsi="宋体"/>
          <w:b/>
          <w:color w:val="auto"/>
          <w:sz w:val="24"/>
          <w:highlight w:val="none"/>
        </w:rPr>
        <w:t>6、平台利旧</w:t>
      </w:r>
      <w:bookmarkEnd w:id="117"/>
      <w:bookmarkEnd w:id="118"/>
    </w:p>
    <w:p>
      <w:pPr>
        <w:pStyle w:val="969"/>
        <w:ind w:firstLine="0" w:firstLineChars="0"/>
        <w:jc w:val="left"/>
        <w:outlineLvl w:val="3"/>
        <w:rPr>
          <w:rFonts w:ascii="宋体" w:hAnsi="宋体" w:eastAsia="宋体" w:cs="宋体"/>
          <w:b/>
          <w:color w:val="auto"/>
          <w:kern w:val="0"/>
          <w:szCs w:val="21"/>
          <w:highlight w:val="none"/>
          <w:lang w:bidi="ar"/>
        </w:rPr>
      </w:pPr>
      <w:r>
        <w:rPr>
          <w:rFonts w:hint="eastAsia" w:ascii="宋体" w:hAnsi="宋体" w:eastAsia="宋体" w:cs="宋体"/>
          <w:b/>
          <w:color w:val="auto"/>
          <w:kern w:val="0"/>
          <w:szCs w:val="21"/>
          <w:highlight w:val="none"/>
          <w:lang w:bidi="ar"/>
        </w:rPr>
        <w:t>6.1、公安视频信息共享平台</w:t>
      </w:r>
    </w:p>
    <w:p>
      <w:pPr>
        <w:pStyle w:val="969"/>
        <w:ind w:firstLine="420"/>
        <w:rPr>
          <w:rFonts w:ascii="宋体" w:hAnsi="宋体" w:eastAsia="宋体" w:cs="宋体"/>
          <w:bCs/>
          <w:color w:val="auto"/>
          <w:kern w:val="0"/>
          <w:szCs w:val="21"/>
          <w:highlight w:val="none"/>
          <w:lang w:bidi="ar"/>
        </w:rPr>
      </w:pPr>
      <w:r>
        <w:rPr>
          <w:rFonts w:hint="eastAsia" w:ascii="宋体" w:hAnsi="宋体" w:eastAsia="宋体" w:cs="宋体"/>
          <w:bCs/>
          <w:color w:val="auto"/>
          <w:kern w:val="0"/>
          <w:szCs w:val="21"/>
          <w:highlight w:val="none"/>
          <w:lang w:bidi="ar"/>
        </w:rPr>
        <w:t>本项目利旧此平台，并且将平台升级为公共安全视频图像信息共享平台公安分平台，实现对本项目建设的视频接入、校时、存储、转发、回放、下载、电子地图等功能。</w:t>
      </w:r>
    </w:p>
    <w:p>
      <w:pPr>
        <w:pStyle w:val="969"/>
        <w:ind w:firstLine="420"/>
        <w:rPr>
          <w:rFonts w:ascii="宋体" w:hAnsi="宋体" w:eastAsia="宋体" w:cs="宋体"/>
          <w:bCs/>
          <w:color w:val="auto"/>
          <w:kern w:val="0"/>
          <w:szCs w:val="21"/>
          <w:highlight w:val="none"/>
          <w:lang w:bidi="ar"/>
        </w:rPr>
      </w:pPr>
      <w:r>
        <w:rPr>
          <w:rFonts w:hint="eastAsia" w:ascii="宋体" w:hAnsi="宋体" w:eastAsia="宋体" w:cs="宋体"/>
          <w:bCs/>
          <w:color w:val="auto"/>
          <w:kern w:val="0"/>
          <w:szCs w:val="21"/>
          <w:highlight w:val="none"/>
          <w:lang w:bidi="ar"/>
        </w:rPr>
        <w:t>视频接入管理：本项目新建设的359路视频数据按照《公共安全视频监控联网系统信息传输、交换、控制技术要求》（GB/T28181-2016）标准协议接入公共安全视频图像信息共享平台公安分平。视频通过平台推送给高新区公共安全视频赋能平台，实现视频资源按需共享。</w:t>
      </w:r>
    </w:p>
    <w:p>
      <w:pPr>
        <w:pStyle w:val="969"/>
        <w:ind w:firstLine="0" w:firstLineChars="0"/>
        <w:jc w:val="left"/>
        <w:outlineLvl w:val="3"/>
        <w:rPr>
          <w:rFonts w:ascii="宋体" w:hAnsi="宋体" w:eastAsia="宋体" w:cs="宋体"/>
          <w:b/>
          <w:color w:val="auto"/>
          <w:kern w:val="0"/>
          <w:szCs w:val="21"/>
          <w:highlight w:val="none"/>
          <w:lang w:bidi="ar"/>
        </w:rPr>
      </w:pPr>
      <w:r>
        <w:rPr>
          <w:rFonts w:hint="eastAsia" w:ascii="宋体" w:hAnsi="宋体" w:eastAsia="宋体" w:cs="宋体"/>
          <w:b/>
          <w:color w:val="auto"/>
          <w:kern w:val="0"/>
          <w:szCs w:val="21"/>
          <w:highlight w:val="none"/>
          <w:lang w:bidi="ar"/>
        </w:rPr>
        <w:t>6.2、高新区公安分局情指行一体化合成作战中心平台</w:t>
      </w:r>
    </w:p>
    <w:p>
      <w:pPr>
        <w:pStyle w:val="969"/>
        <w:ind w:firstLine="420"/>
        <w:rPr>
          <w:rFonts w:ascii="宋体" w:hAnsi="宋体" w:eastAsia="宋体" w:cs="宋体"/>
          <w:bCs/>
          <w:color w:val="auto"/>
          <w:kern w:val="0"/>
          <w:szCs w:val="21"/>
          <w:highlight w:val="none"/>
          <w:lang w:bidi="ar"/>
        </w:rPr>
      </w:pPr>
      <w:r>
        <w:rPr>
          <w:rFonts w:hint="eastAsia" w:ascii="宋体" w:hAnsi="宋体" w:eastAsia="宋体" w:cs="宋体"/>
          <w:bCs/>
          <w:color w:val="auto"/>
          <w:kern w:val="0"/>
          <w:szCs w:val="21"/>
          <w:highlight w:val="none"/>
          <w:lang w:bidi="ar"/>
        </w:rPr>
        <w:t>通过此次</w:t>
      </w:r>
      <w:r>
        <w:rPr>
          <w:rFonts w:hint="eastAsia" w:ascii="宋体" w:hAnsi="宋体" w:eastAsia="宋体" w:cs="宋体"/>
          <w:bCs/>
          <w:color w:val="auto"/>
          <w:kern w:val="0"/>
          <w:szCs w:val="21"/>
          <w:highlight w:val="none"/>
          <w:lang w:val="en-US" w:eastAsia="zh-CN" w:bidi="ar"/>
        </w:rPr>
        <w:t>新增</w:t>
      </w:r>
      <w:r>
        <w:rPr>
          <w:rFonts w:hint="eastAsia" w:ascii="宋体" w:hAnsi="宋体" w:eastAsia="宋体" w:cs="宋体"/>
          <w:bCs/>
          <w:color w:val="auto"/>
          <w:kern w:val="0"/>
          <w:szCs w:val="21"/>
          <w:highlight w:val="none"/>
          <w:lang w:bidi="ar"/>
        </w:rPr>
        <w:t>视频流结构化解析算法算力对视频进行结构化解析，解析结果传送摆渡至高新区公安分局情指行一体化合成作战中心平台智能解析应用，实现对高新公安分局所接入的感知点位视频流数据进行实时和离线结构化解析功能。</w:t>
      </w:r>
    </w:p>
    <w:p>
      <w:pPr>
        <w:pStyle w:val="969"/>
        <w:ind w:firstLine="0" w:firstLineChars="0"/>
        <w:jc w:val="left"/>
        <w:outlineLvl w:val="3"/>
        <w:rPr>
          <w:rFonts w:ascii="宋体" w:hAnsi="宋体" w:eastAsia="宋体" w:cs="宋体"/>
          <w:b/>
          <w:color w:val="auto"/>
          <w:kern w:val="0"/>
          <w:szCs w:val="21"/>
          <w:highlight w:val="none"/>
          <w:lang w:bidi="ar"/>
        </w:rPr>
      </w:pPr>
      <w:r>
        <w:rPr>
          <w:rFonts w:hint="eastAsia" w:ascii="宋体" w:hAnsi="宋体" w:eastAsia="宋体" w:cs="宋体"/>
          <w:b/>
          <w:color w:val="auto"/>
          <w:kern w:val="0"/>
          <w:szCs w:val="21"/>
          <w:highlight w:val="none"/>
          <w:lang w:bidi="ar"/>
        </w:rPr>
        <w:t>6.3、疫情防控“小门”无感智控平台利旧</w:t>
      </w:r>
    </w:p>
    <w:p>
      <w:pPr>
        <w:pStyle w:val="969"/>
        <w:ind w:firstLine="420"/>
        <w:rPr>
          <w:rFonts w:ascii="宋体" w:hAnsi="宋体" w:eastAsia="宋体" w:cs="宋体"/>
          <w:bCs/>
          <w:color w:val="auto"/>
          <w:kern w:val="0"/>
          <w:szCs w:val="21"/>
          <w:highlight w:val="none"/>
          <w:lang w:bidi="ar"/>
        </w:rPr>
      </w:pPr>
      <w:r>
        <w:rPr>
          <w:rFonts w:hint="eastAsia" w:ascii="宋体" w:hAnsi="宋体" w:eastAsia="宋体" w:cs="宋体"/>
          <w:bCs/>
          <w:color w:val="auto"/>
          <w:kern w:val="0"/>
          <w:szCs w:val="21"/>
          <w:highlight w:val="none"/>
          <w:lang w:bidi="ar"/>
        </w:rPr>
        <w:t>本次可利旧无感小门资源释放服务器5台。</w:t>
      </w:r>
    </w:p>
    <w:p>
      <w:pPr>
        <w:pStyle w:val="969"/>
        <w:ind w:firstLine="0" w:firstLineChars="0"/>
        <w:jc w:val="left"/>
        <w:outlineLvl w:val="3"/>
        <w:rPr>
          <w:rFonts w:ascii="宋体" w:hAnsi="宋体" w:eastAsia="宋体" w:cs="宋体"/>
          <w:b/>
          <w:color w:val="auto"/>
          <w:kern w:val="0"/>
          <w:szCs w:val="21"/>
          <w:highlight w:val="none"/>
          <w:lang w:bidi="ar"/>
        </w:rPr>
      </w:pPr>
      <w:r>
        <w:rPr>
          <w:rFonts w:hint="eastAsia" w:ascii="宋体" w:hAnsi="宋体" w:eastAsia="宋体" w:cs="宋体"/>
          <w:b/>
          <w:color w:val="auto"/>
          <w:kern w:val="0"/>
          <w:szCs w:val="21"/>
          <w:highlight w:val="none"/>
          <w:lang w:bidi="ar"/>
        </w:rPr>
        <w:t>6.4高新区MAC平台、“智安”小区平台</w:t>
      </w:r>
    </w:p>
    <w:p>
      <w:pPr>
        <w:pStyle w:val="969"/>
        <w:ind w:firstLine="420"/>
        <w:rPr>
          <w:rFonts w:ascii="宋体" w:hAnsi="宋体" w:eastAsia="宋体" w:cs="宋体"/>
          <w:bCs/>
          <w:color w:val="auto"/>
          <w:kern w:val="0"/>
          <w:szCs w:val="21"/>
          <w:highlight w:val="none"/>
          <w:lang w:bidi="ar"/>
        </w:rPr>
      </w:pPr>
      <w:r>
        <w:rPr>
          <w:rFonts w:hint="eastAsia" w:ascii="宋体" w:hAnsi="宋体" w:eastAsia="宋体" w:cs="宋体"/>
          <w:bCs/>
          <w:color w:val="auto"/>
          <w:kern w:val="0"/>
          <w:szCs w:val="21"/>
          <w:highlight w:val="none"/>
          <w:lang w:bidi="ar"/>
        </w:rPr>
        <w:t>利旧高新区原有MAC平台和“智安”小区平台硬件资源及所部署软件，整合建设。</w:t>
      </w:r>
    </w:p>
    <w:p>
      <w:pPr>
        <w:pStyle w:val="969"/>
        <w:ind w:firstLine="0" w:firstLineChars="0"/>
        <w:rPr>
          <w:rFonts w:ascii="宋体" w:hAnsi="宋体" w:eastAsia="宋体"/>
          <w:b/>
          <w:color w:val="auto"/>
          <w:sz w:val="24"/>
          <w:szCs w:val="24"/>
          <w:highlight w:val="none"/>
        </w:rPr>
      </w:pPr>
      <w:bookmarkStart w:id="119" w:name="_Toc26397"/>
      <w:bookmarkStart w:id="120" w:name="_Toc14755"/>
    </w:p>
    <w:p>
      <w:pPr>
        <w:pStyle w:val="969"/>
        <w:ind w:firstLine="0" w:firstLineChars="0"/>
        <w:outlineLvl w:val="2"/>
        <w:rPr>
          <w:rFonts w:ascii="宋体" w:hAnsi="宋体" w:eastAsia="宋体"/>
          <w:b/>
          <w:color w:val="auto"/>
          <w:sz w:val="24"/>
          <w:szCs w:val="24"/>
          <w:highlight w:val="none"/>
        </w:rPr>
      </w:pPr>
      <w:r>
        <w:rPr>
          <w:rFonts w:hint="eastAsia" w:ascii="宋体" w:hAnsi="宋体" w:eastAsia="宋体"/>
          <w:b/>
          <w:color w:val="auto"/>
          <w:sz w:val="24"/>
          <w:szCs w:val="24"/>
          <w:highlight w:val="none"/>
        </w:rPr>
        <w:t>7、中心机房条件利旧</w:t>
      </w:r>
      <w:bookmarkEnd w:id="119"/>
      <w:bookmarkEnd w:id="120"/>
    </w:p>
    <w:p>
      <w:pPr>
        <w:pStyle w:val="969"/>
        <w:ind w:firstLine="420"/>
        <w:rPr>
          <w:rFonts w:ascii="宋体" w:hAnsi="宋体" w:eastAsia="宋体" w:cs="宋体"/>
          <w:bCs/>
          <w:color w:val="auto"/>
          <w:kern w:val="0"/>
          <w:szCs w:val="21"/>
          <w:highlight w:val="none"/>
          <w:lang w:bidi="ar"/>
        </w:rPr>
      </w:pPr>
      <w:r>
        <w:rPr>
          <w:rFonts w:hint="eastAsia" w:ascii="宋体" w:hAnsi="宋体" w:eastAsia="宋体" w:cs="宋体"/>
          <w:bCs/>
          <w:color w:val="auto"/>
          <w:kern w:val="0"/>
          <w:szCs w:val="21"/>
          <w:highlight w:val="none"/>
          <w:lang w:bidi="ar"/>
        </w:rPr>
        <w:t>本项目将利旧区公安分局二楼核心机房和一楼数据中心机房内现有的安装机柜、供电系统、安全等机房现有的资源环境，实现中心端硬件安装和应用部署。</w:t>
      </w:r>
    </w:p>
    <w:p>
      <w:pPr>
        <w:pStyle w:val="969"/>
        <w:ind w:firstLine="420"/>
        <w:rPr>
          <w:rFonts w:ascii="宋体" w:hAnsi="宋体" w:eastAsia="宋体" w:cs="宋体"/>
          <w:bCs/>
          <w:color w:val="auto"/>
          <w:kern w:val="0"/>
          <w:szCs w:val="21"/>
          <w:highlight w:val="none"/>
          <w:lang w:bidi="ar"/>
        </w:rPr>
      </w:pPr>
      <w:r>
        <w:rPr>
          <w:rFonts w:hint="eastAsia" w:ascii="宋体" w:hAnsi="宋体" w:eastAsia="宋体" w:cs="宋体"/>
          <w:bCs/>
          <w:color w:val="auto"/>
          <w:kern w:val="0"/>
          <w:szCs w:val="21"/>
          <w:highlight w:val="none"/>
          <w:lang w:bidi="ar"/>
        </w:rPr>
        <w:t>目前区公安分局二楼核心中心机房处于超负荷运行状态，通过本项目对二楼机房进行设备搬迁后，本项目后端存储、平台扩容、传输等设备扩容提供安装空间。</w:t>
      </w:r>
    </w:p>
    <w:p>
      <w:pPr>
        <w:pStyle w:val="969"/>
        <w:ind w:firstLine="420"/>
        <w:rPr>
          <w:rFonts w:ascii="宋体" w:hAnsi="宋体" w:eastAsia="宋体" w:cs="宋体"/>
          <w:bCs/>
          <w:color w:val="auto"/>
          <w:kern w:val="0"/>
          <w:szCs w:val="21"/>
          <w:highlight w:val="none"/>
          <w:lang w:bidi="ar"/>
        </w:rPr>
      </w:pPr>
      <w:r>
        <w:rPr>
          <w:rFonts w:hint="eastAsia" w:ascii="宋体" w:hAnsi="宋体" w:eastAsia="宋体" w:cs="宋体"/>
          <w:bCs/>
          <w:color w:val="auto"/>
          <w:kern w:val="0"/>
          <w:szCs w:val="21"/>
          <w:highlight w:val="none"/>
          <w:lang w:bidi="ar"/>
        </w:rPr>
        <w:t>目前区公安分局一楼数据中心机房，尚有柜体处于空置状态，可对保证二楼核心机房设备搬迁和本项目后端存储、平台扩容、传输等设备扩容提供安装空间。</w:t>
      </w:r>
    </w:p>
    <w:p>
      <w:pPr>
        <w:spacing w:line="360" w:lineRule="auto"/>
        <w:rPr>
          <w:rFonts w:ascii="宋体" w:hAnsi="宋体"/>
          <w:b/>
          <w:color w:val="auto"/>
          <w:szCs w:val="21"/>
          <w:highlight w:val="none"/>
        </w:rPr>
      </w:pPr>
    </w:p>
    <w:p>
      <w:pPr>
        <w:spacing w:line="360" w:lineRule="auto"/>
        <w:outlineLvl w:val="1"/>
        <w:rPr>
          <w:rFonts w:ascii="宋体" w:hAnsi="宋体"/>
          <w:b/>
          <w:color w:val="auto"/>
          <w:szCs w:val="21"/>
          <w:highlight w:val="none"/>
        </w:rPr>
      </w:pPr>
      <w:r>
        <w:rPr>
          <w:rFonts w:hint="eastAsia" w:ascii="宋体" w:hAnsi="宋体"/>
          <w:b/>
          <w:color w:val="auto"/>
          <w:szCs w:val="21"/>
          <w:highlight w:val="none"/>
        </w:rPr>
        <w:t>（三）主要建设内容</w:t>
      </w:r>
    </w:p>
    <w:p>
      <w:pPr>
        <w:spacing w:line="360" w:lineRule="auto"/>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项目建设内容主要包括感知点位建设、社会面接入网建设、后端软硬件升级建设。建设内容包括：</w:t>
      </w:r>
    </w:p>
    <w:p>
      <w:pPr>
        <w:spacing w:line="360" w:lineRule="auto"/>
        <w:ind w:firstLine="422" w:firstLineChars="200"/>
        <w:jc w:val="left"/>
        <w:outlineLvl w:val="2"/>
        <w:rPr>
          <w:rFonts w:asciiTheme="minorEastAsia" w:hAnsiTheme="minorEastAsia" w:eastAsiaTheme="minorEastAsia" w:cstheme="minorEastAsia"/>
          <w:color w:val="auto"/>
          <w:szCs w:val="21"/>
          <w:highlight w:val="none"/>
        </w:rPr>
      </w:pPr>
      <w:bookmarkStart w:id="121" w:name="_Toc11386"/>
      <w:bookmarkStart w:id="122" w:name="_Toc4170"/>
      <w:r>
        <w:rPr>
          <w:rFonts w:hint="eastAsia" w:asciiTheme="minorEastAsia" w:hAnsiTheme="minorEastAsia" w:eastAsiaTheme="minorEastAsia" w:cstheme="minorEastAsia"/>
          <w:b/>
          <w:bCs/>
          <w:color w:val="auto"/>
          <w:szCs w:val="21"/>
          <w:highlight w:val="none"/>
        </w:rPr>
        <w:t>1.感知点位建设</w:t>
      </w:r>
    </w:p>
    <w:p>
      <w:pPr>
        <w:spacing w:line="360" w:lineRule="auto"/>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对高新区行政执法局监控一期设备进行改造升级以及区</w:t>
      </w:r>
      <w:r>
        <w:rPr>
          <w:rFonts w:hint="eastAsia" w:asciiTheme="minorEastAsia" w:hAnsiTheme="minorEastAsia" w:eastAsiaTheme="minorEastAsia" w:cstheme="minorEastAsia"/>
          <w:color w:val="auto"/>
          <w:szCs w:val="21"/>
          <w:highlight w:val="none"/>
          <w:lang w:val="en-US" w:eastAsia="zh-CN"/>
        </w:rPr>
        <w:t>内</w:t>
      </w:r>
      <w:r>
        <w:rPr>
          <w:rFonts w:hint="eastAsia" w:asciiTheme="minorEastAsia" w:hAnsiTheme="minorEastAsia" w:eastAsiaTheme="minorEastAsia" w:cstheme="minorEastAsia"/>
          <w:color w:val="auto"/>
          <w:szCs w:val="21"/>
          <w:highlight w:val="none"/>
        </w:rPr>
        <w:t>重要出入口及人员密集场所公共区域进行增点扩面，并且按照五统一建设要求进行前端感知点位并杆建设；</w:t>
      </w:r>
    </w:p>
    <w:p>
      <w:pPr>
        <w:spacing w:line="360" w:lineRule="auto"/>
        <w:ind w:firstLine="422" w:firstLineChars="200"/>
        <w:jc w:val="left"/>
        <w:outlineLvl w:val="2"/>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2.社会面接入网建设</w:t>
      </w:r>
    </w:p>
    <w:p>
      <w:pPr>
        <w:spacing w:line="360" w:lineRule="auto"/>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对高新区社会面视频资源（三类点）统一建设接入网，进行安全接入。</w:t>
      </w:r>
    </w:p>
    <w:p>
      <w:pPr>
        <w:spacing w:line="360" w:lineRule="auto"/>
        <w:ind w:firstLine="422" w:firstLineChars="200"/>
        <w:jc w:val="left"/>
        <w:outlineLvl w:val="2"/>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3.社会面视频接入转发系统建设</w:t>
      </w:r>
    </w:p>
    <w:p>
      <w:pPr>
        <w:spacing w:line="360" w:lineRule="auto"/>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在社会面接入网搭建社会面视频接入转发系统，对接入的视频进行统一共享应用。</w:t>
      </w:r>
    </w:p>
    <w:p>
      <w:pPr>
        <w:spacing w:line="360" w:lineRule="auto"/>
        <w:ind w:firstLine="422" w:firstLineChars="200"/>
        <w:jc w:val="left"/>
        <w:outlineLvl w:val="2"/>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4.社会面图像接入转发系统建设</w:t>
      </w:r>
    </w:p>
    <w:p>
      <w:pPr>
        <w:spacing w:line="360" w:lineRule="auto"/>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改造无感小门电子政务外网安全接入系统为社会面图像接入转发系统，安全接入人脸、门禁道闸、车辆道闸、访客机等数据。</w:t>
      </w:r>
    </w:p>
    <w:p>
      <w:pPr>
        <w:spacing w:line="360" w:lineRule="auto"/>
        <w:ind w:firstLine="422" w:firstLineChars="200"/>
        <w:jc w:val="left"/>
        <w:outlineLvl w:val="2"/>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5.公安视频专网扩容</w:t>
      </w:r>
    </w:p>
    <w:p>
      <w:pPr>
        <w:spacing w:line="360" w:lineRule="auto"/>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提升公安视频专网内部传输能力，构建网络安全防护能力，提档升级为区公共安全视频传输网。</w:t>
      </w:r>
    </w:p>
    <w:p>
      <w:pPr>
        <w:spacing w:line="360" w:lineRule="auto"/>
        <w:ind w:firstLine="422" w:firstLineChars="200"/>
        <w:jc w:val="left"/>
        <w:outlineLvl w:val="2"/>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6.区公安分局视频信息共享平台升级</w:t>
      </w:r>
    </w:p>
    <w:p>
      <w:pPr>
        <w:spacing w:line="360" w:lineRule="auto"/>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按照一类点标准安全统接高新区二类点资源，购置车辆大数据模块、配置国标网管、搭建综合运维管理平台，并且依托多维数据接入转发系统使区公安分局视频信息共享平台升级为区公共安全视频图像信息共享平台公安分平台。</w:t>
      </w:r>
    </w:p>
    <w:p>
      <w:pPr>
        <w:spacing w:line="360" w:lineRule="auto"/>
        <w:ind w:firstLine="422" w:firstLineChars="200"/>
        <w:jc w:val="left"/>
        <w:outlineLvl w:val="2"/>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7.多维数据接入转发系统整合</w:t>
      </w:r>
    </w:p>
    <w:p>
      <w:pPr>
        <w:spacing w:line="360" w:lineRule="auto"/>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根据原有多维数据架构梳理，整合智安小区后端平台项目各类平台和接入的多维数据统一为多维数据接入转发系统，并且建立高性能图片缓存和结构化数据缓存，将数据快速便捷的摆渡至公安信息网合成作战中心的智能解析应用存储。</w:t>
      </w:r>
    </w:p>
    <w:p>
      <w:pPr>
        <w:spacing w:line="360" w:lineRule="auto"/>
        <w:ind w:firstLine="422" w:firstLineChars="200"/>
        <w:jc w:val="left"/>
        <w:outlineLvl w:val="2"/>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8.智能解析应用整合扩容</w:t>
      </w:r>
    </w:p>
    <w:p>
      <w:pPr>
        <w:spacing w:line="360" w:lineRule="auto"/>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将公安信息网智安小区应用平台合并至合成作战中心智能解析应用，并且扩容结构化数据存储服务器、以图搜图能力、比对能力、解析能力和配置车辆图片结构化能力，最后配置算法仓库和资源调度管理系统；</w:t>
      </w:r>
    </w:p>
    <w:p>
      <w:pPr>
        <w:spacing w:line="360" w:lineRule="auto"/>
        <w:ind w:firstLine="422" w:firstLineChars="200"/>
        <w:jc w:val="left"/>
        <w:outlineLvl w:val="2"/>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9.通用计算资源池建设</w:t>
      </w:r>
    </w:p>
    <w:p>
      <w:pPr>
        <w:spacing w:line="360" w:lineRule="auto"/>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在区公共安全视频传输网和公安信息网合成作战中心分别建立一套通用计算存储池资源，用于业务部署。</w:t>
      </w:r>
    </w:p>
    <w:p>
      <w:pPr>
        <w:spacing w:line="360" w:lineRule="auto"/>
        <w:ind w:firstLine="422" w:firstLineChars="200"/>
        <w:jc w:val="left"/>
        <w:outlineLvl w:val="2"/>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10.解析能力租赁</w:t>
      </w:r>
    </w:p>
    <w:p>
      <w:pPr>
        <w:spacing w:line="360" w:lineRule="auto"/>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新建</w:t>
      </w:r>
      <w:r>
        <w:rPr>
          <w:rFonts w:hint="eastAsia" w:asciiTheme="minorEastAsia" w:hAnsiTheme="minorEastAsia" w:eastAsiaTheme="minorEastAsia" w:cstheme="minorEastAsia"/>
          <w:color w:val="auto"/>
          <w:szCs w:val="21"/>
          <w:highlight w:val="none"/>
        </w:rPr>
        <w:t>1000路视频结构化解析能力，具备视频流</w:t>
      </w:r>
      <w:r>
        <w:rPr>
          <w:rFonts w:hint="eastAsia" w:asciiTheme="minorEastAsia" w:hAnsiTheme="minorEastAsia" w:eastAsiaTheme="minorEastAsia" w:cstheme="minorEastAsia"/>
          <w:color w:val="auto"/>
          <w:szCs w:val="21"/>
          <w:highlight w:val="none"/>
          <w:lang w:val="en-US" w:eastAsia="zh-CN"/>
        </w:rPr>
        <w:t>结构化</w:t>
      </w:r>
      <w:r>
        <w:rPr>
          <w:rFonts w:hint="eastAsia" w:asciiTheme="minorEastAsia" w:hAnsiTheme="minorEastAsia" w:eastAsiaTheme="minorEastAsia" w:cstheme="minorEastAsia"/>
          <w:color w:val="auto"/>
          <w:szCs w:val="21"/>
          <w:highlight w:val="none"/>
        </w:rPr>
        <w:t>解析能力。</w:t>
      </w:r>
    </w:p>
    <w:bookmarkEnd w:id="121"/>
    <w:bookmarkEnd w:id="122"/>
    <w:p>
      <w:pPr>
        <w:spacing w:line="360" w:lineRule="auto"/>
        <w:ind w:firstLine="422" w:firstLineChars="200"/>
        <w:jc w:val="left"/>
        <w:outlineLvl w:val="2"/>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11.存储能力建设</w:t>
      </w:r>
    </w:p>
    <w:p>
      <w:pPr>
        <w:pStyle w:val="971"/>
        <w:ind w:firstLine="420"/>
        <w:rPr>
          <w:color w:val="auto"/>
          <w:highlight w:val="none"/>
        </w:rPr>
      </w:pPr>
      <w:r>
        <w:rPr>
          <w:rFonts w:hint="eastAsia" w:asciiTheme="minorEastAsia" w:hAnsiTheme="minorEastAsia" w:eastAsiaTheme="minorEastAsia" w:cstheme="minorEastAsia"/>
          <w:color w:val="auto"/>
          <w:sz w:val="21"/>
          <w:szCs w:val="21"/>
          <w:highlight w:val="none"/>
        </w:rPr>
        <w:t>根据建设任务要求，增加高新技术产业开发区公安分局存储系统容量。</w:t>
      </w:r>
    </w:p>
    <w:p>
      <w:pPr>
        <w:spacing w:line="360" w:lineRule="auto"/>
        <w:rPr>
          <w:rFonts w:ascii="宋体" w:hAnsi="宋体"/>
          <w:b/>
          <w:color w:val="auto"/>
          <w:sz w:val="24"/>
          <w:highlight w:val="none"/>
        </w:rPr>
      </w:pPr>
    </w:p>
    <w:p>
      <w:pPr>
        <w:spacing w:line="360" w:lineRule="auto"/>
        <w:outlineLvl w:val="1"/>
        <w:rPr>
          <w:rFonts w:ascii="宋体" w:hAnsi="宋体"/>
          <w:b/>
          <w:color w:val="auto"/>
          <w:sz w:val="24"/>
          <w:highlight w:val="none"/>
        </w:rPr>
      </w:pPr>
      <w:r>
        <w:rPr>
          <w:rFonts w:hint="eastAsia" w:ascii="宋体" w:hAnsi="宋体"/>
          <w:b/>
          <w:color w:val="auto"/>
          <w:sz w:val="24"/>
          <w:highlight w:val="none"/>
        </w:rPr>
        <w:t>（四）</w:t>
      </w:r>
      <w:bookmarkStart w:id="123" w:name="_Toc27418"/>
      <w:r>
        <w:rPr>
          <w:rFonts w:hint="eastAsia" w:ascii="宋体" w:hAnsi="宋体"/>
          <w:b/>
          <w:color w:val="auto"/>
          <w:sz w:val="24"/>
          <w:highlight w:val="none"/>
        </w:rPr>
        <w:t>感知点位建设</w:t>
      </w:r>
      <w:bookmarkEnd w:id="123"/>
    </w:p>
    <w:p>
      <w:pPr>
        <w:spacing w:line="360" w:lineRule="auto"/>
        <w:outlineLvl w:val="2"/>
        <w:rPr>
          <w:rFonts w:ascii="宋体" w:hAnsi="宋体"/>
          <w:b/>
          <w:color w:val="auto"/>
          <w:sz w:val="24"/>
          <w:highlight w:val="none"/>
        </w:rPr>
      </w:pPr>
      <w:bookmarkStart w:id="124" w:name="_Toc3881"/>
      <w:r>
        <w:rPr>
          <w:rFonts w:hint="eastAsia" w:ascii="宋体" w:hAnsi="宋体"/>
          <w:b/>
          <w:color w:val="auto"/>
          <w:sz w:val="24"/>
          <w:highlight w:val="none"/>
        </w:rPr>
        <w:t>1、建设原则</w:t>
      </w:r>
      <w:bookmarkEnd w:id="124"/>
    </w:p>
    <w:p>
      <w:pPr>
        <w:pStyle w:val="82"/>
        <w:ind w:firstLine="420"/>
        <w:rPr>
          <w:rFonts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此次高新区公共视频监控一体化项目感知点位建设按照一体化统一筹划建设为原则，通过高新区联席会议归集个局委办街道职能单位建设需求，本次新建及改造建设349路感知通道，其中高新区行政执法管理局改造50路，公安新建296路感知点位。</w:t>
      </w:r>
    </w:p>
    <w:p>
      <w:pPr>
        <w:spacing w:line="360" w:lineRule="auto"/>
        <w:outlineLvl w:val="2"/>
        <w:rPr>
          <w:rFonts w:ascii="宋体" w:hAnsi="宋体"/>
          <w:b/>
          <w:color w:val="auto"/>
          <w:sz w:val="24"/>
          <w:highlight w:val="none"/>
        </w:rPr>
      </w:pPr>
      <w:bookmarkStart w:id="125" w:name="_Toc31192"/>
      <w:r>
        <w:rPr>
          <w:rFonts w:hint="eastAsia" w:ascii="宋体" w:hAnsi="宋体"/>
          <w:b/>
          <w:color w:val="auto"/>
          <w:sz w:val="24"/>
          <w:highlight w:val="none"/>
        </w:rPr>
        <w:t>2、建设要求</w:t>
      </w:r>
      <w:bookmarkEnd w:id="125"/>
    </w:p>
    <w:p>
      <w:pPr>
        <w:spacing w:line="360" w:lineRule="auto"/>
        <w:outlineLvl w:val="3"/>
        <w:rPr>
          <w:rFonts w:ascii="宋体" w:hAnsi="宋体"/>
          <w:b/>
          <w:color w:val="auto"/>
          <w:sz w:val="24"/>
          <w:highlight w:val="none"/>
        </w:rPr>
      </w:pPr>
      <w:r>
        <w:rPr>
          <w:rFonts w:hint="eastAsia" w:ascii="宋体" w:hAnsi="宋体"/>
          <w:b/>
          <w:color w:val="auto"/>
          <w:sz w:val="24"/>
          <w:highlight w:val="none"/>
        </w:rPr>
        <w:t>2.1、感知点位安装要求</w:t>
      </w:r>
    </w:p>
    <w:p>
      <w:pPr>
        <w:adjustRightInd/>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感知点位前端高清设备安装及数据质量要求按照《浙江省公安机关人像比对应用系统技术规范》、《宁波市公安机关动态人脸识别及应用系统建设技术规范》、《安全防范工程技术标准》等文件以及前端点位要求实施，确保前端规范安装及数据质量。</w:t>
      </w:r>
    </w:p>
    <w:p>
      <w:pPr>
        <w:spacing w:line="360" w:lineRule="auto"/>
        <w:outlineLvl w:val="3"/>
        <w:rPr>
          <w:rFonts w:ascii="宋体" w:hAnsi="宋体"/>
          <w:b/>
          <w:color w:val="auto"/>
          <w:sz w:val="24"/>
          <w:highlight w:val="none"/>
        </w:rPr>
      </w:pPr>
      <w:r>
        <w:rPr>
          <w:rFonts w:hint="eastAsia" w:ascii="宋体" w:hAnsi="宋体"/>
          <w:b/>
          <w:color w:val="auto"/>
          <w:sz w:val="24"/>
          <w:highlight w:val="none"/>
        </w:rPr>
        <w:t>2.2、前端接入要求</w:t>
      </w:r>
    </w:p>
    <w:p>
      <w:pPr>
        <w:adjustRightInd/>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本项目感知点位人脸抓拍及高清监控的图片和视频利用区公共安全视频传输网现有线链路和新敷设专线进行数据传输，将前端感知点位的人脸抓拍机及高清监控的视频和图片传输至高新区公安分局机房。</w:t>
      </w:r>
    </w:p>
    <w:p>
      <w:pPr>
        <w:adjustRightInd/>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人脸抓拍图片（结构化数据）一路通过公共安全视频传输网垂直传输给市局平台；一路接入至高新区公共安全视频传输网的应用平台，平台需集成主流设备厂商摄像机SDK或协议，接入的数据应包括人脸小图和全景大图文件、抓拍地点、时间、经纬度以及人脸小图所对应的全景大图和人脸在全景大图中的位置。</w:t>
      </w:r>
    </w:p>
    <w:p>
      <w:pPr>
        <w:adjustRightInd/>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（2）前端感知点位视频流接入高新技术产业开发区公安分局现有的区公共安全视频图像信息共享平台公安分平台，根据一机一档管理要求对点位信息进行添加，并通过公安分平台向市局的平台推送。</w:t>
      </w:r>
    </w:p>
    <w:p>
      <w:pPr>
        <w:spacing w:line="360" w:lineRule="auto"/>
        <w:outlineLvl w:val="3"/>
        <w:rPr>
          <w:rFonts w:ascii="宋体" w:hAnsi="宋体"/>
          <w:b/>
          <w:color w:val="auto"/>
          <w:sz w:val="24"/>
          <w:highlight w:val="none"/>
        </w:rPr>
      </w:pPr>
      <w:r>
        <w:rPr>
          <w:rFonts w:hint="eastAsia" w:ascii="宋体" w:hAnsi="宋体"/>
          <w:b/>
          <w:color w:val="auto"/>
          <w:sz w:val="24"/>
          <w:highlight w:val="none"/>
        </w:rPr>
        <w:t>2.3、智能占比</w:t>
      </w:r>
    </w:p>
    <w:p>
      <w:pPr>
        <w:adjustRightInd/>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梳理新建及改造场景的感知能力需求，以人脸识别系统和车辆卡口系统建设为抓手，提升前端智能化水平，实现公共视频监控智能化占比不低于60%的目标。</w:t>
      </w:r>
    </w:p>
    <w:p>
      <w:pPr>
        <w:spacing w:line="360" w:lineRule="auto"/>
        <w:outlineLvl w:val="3"/>
        <w:rPr>
          <w:rFonts w:ascii="宋体" w:hAnsi="宋体"/>
          <w:b/>
          <w:color w:val="auto"/>
          <w:sz w:val="24"/>
          <w:highlight w:val="none"/>
        </w:rPr>
      </w:pPr>
      <w:r>
        <w:rPr>
          <w:rFonts w:hint="eastAsia" w:ascii="宋体" w:hAnsi="宋体"/>
          <w:b/>
          <w:color w:val="auto"/>
          <w:sz w:val="24"/>
          <w:highlight w:val="none"/>
        </w:rPr>
        <w:t>2.4.多维感知</w:t>
      </w:r>
    </w:p>
    <w:p>
      <w:pPr>
        <w:adjustRightInd/>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根据实际业务场景，按需采用多感知能力复合型的智能视频采集设备，将多个智能检测、识别算法集成在一个视频终端中，兼顾不同业务应用要求，利用多技术、多手段融合的信息采集方式，对各要素进行全量采集，提升视频监控设备的智能化和集约化建设。</w:t>
      </w:r>
    </w:p>
    <w:p>
      <w:pPr>
        <w:spacing w:line="360" w:lineRule="auto"/>
        <w:outlineLvl w:val="3"/>
        <w:rPr>
          <w:rFonts w:ascii="宋体" w:hAnsi="宋体"/>
          <w:b/>
          <w:color w:val="auto"/>
          <w:sz w:val="24"/>
          <w:highlight w:val="none"/>
        </w:rPr>
      </w:pPr>
      <w:r>
        <w:rPr>
          <w:rFonts w:hint="eastAsia" w:ascii="宋体" w:hAnsi="宋体"/>
          <w:b/>
          <w:color w:val="auto"/>
          <w:sz w:val="24"/>
          <w:highlight w:val="none"/>
        </w:rPr>
        <w:t>2.5.系统设计</w:t>
      </w:r>
    </w:p>
    <w:p>
      <w:pPr>
        <w:adjustRightInd/>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（1）感知设备应具备抗风、抗震、防雨、防雷电、防尘、防盐雾、防房蚀、防变形、防人为破坏及易检修的技术要求。</w:t>
      </w:r>
    </w:p>
    <w:p>
      <w:pPr>
        <w:adjustRightInd/>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（2）抓拍摄像机必须能够全天候工作，白天和夜间都可以拍摄清晰的视频，具有浪涌保护和防雷击功能，应具有开放兼容的控制协议以及标准控制接口。</w:t>
      </w:r>
    </w:p>
    <w:p>
      <w:pPr>
        <w:adjustRightInd/>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感知设备具备散热、防水、除雾、防虚焦、防刮擦设计。</w:t>
      </w:r>
    </w:p>
    <w:p>
      <w:pPr>
        <w:pStyle w:val="53"/>
        <w:ind w:left="0" w:leftChars="0"/>
        <w:jc w:val="center"/>
        <w:rPr>
          <w:color w:val="auto"/>
          <w:highlight w:val="none"/>
        </w:rPr>
      </w:pPr>
      <w:bookmarkStart w:id="126" w:name="_Toc11513"/>
    </w:p>
    <w:bookmarkEnd w:id="126"/>
    <w:p>
      <w:pPr>
        <w:spacing w:line="360" w:lineRule="auto"/>
        <w:outlineLvl w:val="2"/>
        <w:rPr>
          <w:rFonts w:ascii="宋体" w:hAnsi="宋体"/>
          <w:b/>
          <w:color w:val="auto"/>
          <w:sz w:val="24"/>
          <w:highlight w:val="none"/>
        </w:rPr>
      </w:pPr>
      <w:bookmarkStart w:id="127" w:name="_Toc13152"/>
      <w:r>
        <w:rPr>
          <w:rFonts w:hint="eastAsia" w:ascii="宋体" w:hAnsi="宋体"/>
          <w:b/>
          <w:color w:val="auto"/>
          <w:sz w:val="24"/>
          <w:highlight w:val="none"/>
        </w:rPr>
        <w:t>3、感知点位规划</w:t>
      </w:r>
      <w:bookmarkEnd w:id="127"/>
    </w:p>
    <w:p>
      <w:pPr>
        <w:pStyle w:val="82"/>
        <w:ind w:firstLine="420"/>
        <w:rPr>
          <w:rFonts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在本次项目中，共设计建设349路感知通道，其中高清球机（全结构化球机）共144路、高清视枪机187路（全结构化枪机）、高空球机2路（全结构化高空球）、车脸枪机7路、车辆卡口9个。</w:t>
      </w:r>
    </w:p>
    <w:p>
      <w:pPr>
        <w:pStyle w:val="82"/>
        <w:ind w:firstLine="420"/>
        <w:rPr>
          <w:rFonts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整体规划分为改造点位和新建点位，其中改造点位共53路，新建点位296路，点位规划如下</w:t>
      </w:r>
    </w:p>
    <w:p>
      <w:pPr>
        <w:pStyle w:val="6"/>
        <w:tabs>
          <w:tab w:val="left" w:pos="0"/>
          <w:tab w:val="left" w:pos="993"/>
          <w:tab w:val="clear" w:pos="864"/>
        </w:tabs>
        <w:rPr>
          <w:rFonts w:asciiTheme="minorEastAsia" w:hAnsiTheme="minorEastAsia" w:eastAsiaTheme="minorEastAsia" w:cstheme="minorEastAsia"/>
          <w:color w:val="auto"/>
          <w:sz w:val="21"/>
          <w:szCs w:val="21"/>
          <w:highlight w:val="none"/>
          <w:lang w:val="en-US"/>
        </w:rPr>
        <w:sectPr>
          <w:footerReference r:id="rId7" w:type="default"/>
          <w:pgSz w:w="11905" w:h="16838"/>
          <w:pgMar w:top="1440" w:right="1803" w:bottom="1440" w:left="1803" w:header="851" w:footer="992" w:gutter="0"/>
          <w:cols w:space="0" w:num="1"/>
          <w:docGrid w:type="lines" w:linePitch="319" w:charSpace="0"/>
        </w:sectPr>
      </w:pPr>
    </w:p>
    <w:p>
      <w:pPr>
        <w:pStyle w:val="6"/>
        <w:tabs>
          <w:tab w:val="left" w:pos="0"/>
          <w:tab w:val="left" w:pos="993"/>
          <w:tab w:val="clear" w:pos="864"/>
        </w:tabs>
        <w:rPr>
          <w:rFonts w:ascii="宋体" w:hAnsi="宋体" w:eastAsia="宋体"/>
          <w:bCs w:val="0"/>
          <w:color w:val="auto"/>
          <w:sz w:val="24"/>
          <w:szCs w:val="24"/>
          <w:highlight w:val="none"/>
          <w:lang w:val="en-US"/>
        </w:rPr>
      </w:pPr>
      <w:r>
        <w:rPr>
          <w:rFonts w:hint="eastAsia" w:ascii="宋体" w:hAnsi="宋体" w:eastAsia="宋体"/>
          <w:bCs w:val="0"/>
          <w:color w:val="auto"/>
          <w:sz w:val="24"/>
          <w:szCs w:val="24"/>
          <w:highlight w:val="none"/>
          <w:lang w:val="en-US"/>
        </w:rPr>
        <w:t>3.1改造点位</w:t>
      </w:r>
    </w:p>
    <w:tbl>
      <w:tblPr>
        <w:tblStyle w:val="65"/>
        <w:tblW w:w="5287" w:type="pct"/>
        <w:jc w:val="center"/>
        <w:tblLayout w:type="fixed"/>
        <w:tblCellMar>
          <w:top w:w="0" w:type="dxa"/>
          <w:left w:w="108" w:type="dxa"/>
          <w:bottom w:w="0" w:type="dxa"/>
          <w:right w:w="108" w:type="dxa"/>
        </w:tblCellMar>
      </w:tblPr>
      <w:tblGrid>
        <w:gridCol w:w="497"/>
        <w:gridCol w:w="1499"/>
        <w:gridCol w:w="944"/>
        <w:gridCol w:w="495"/>
        <w:gridCol w:w="675"/>
        <w:gridCol w:w="749"/>
        <w:gridCol w:w="764"/>
        <w:gridCol w:w="675"/>
        <w:gridCol w:w="764"/>
        <w:gridCol w:w="423"/>
        <w:gridCol w:w="666"/>
        <w:gridCol w:w="666"/>
        <w:gridCol w:w="666"/>
        <w:gridCol w:w="474"/>
        <w:gridCol w:w="600"/>
        <w:gridCol w:w="675"/>
        <w:gridCol w:w="735"/>
        <w:gridCol w:w="644"/>
        <w:gridCol w:w="647"/>
        <w:gridCol w:w="660"/>
        <w:gridCol w:w="1073"/>
      </w:tblGrid>
      <w:tr>
        <w:tblPrEx>
          <w:tblCellMar>
            <w:top w:w="0" w:type="dxa"/>
            <w:left w:w="108" w:type="dxa"/>
            <w:bottom w:w="0" w:type="dxa"/>
            <w:right w:w="108" w:type="dxa"/>
          </w:tblCellMar>
        </w:tblPrEx>
        <w:trPr>
          <w:trHeight w:val="582" w:hRule="atLeast"/>
          <w:jc w:val="center"/>
        </w:trPr>
        <w:tc>
          <w:tcPr>
            <w:tcW w:w="5000" w:type="pct"/>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行政执法局点位规划汇总表</w:t>
            </w:r>
          </w:p>
        </w:tc>
      </w:tr>
      <w:tr>
        <w:tblPrEx>
          <w:tblCellMar>
            <w:top w:w="0" w:type="dxa"/>
            <w:left w:w="108" w:type="dxa"/>
            <w:bottom w:w="0" w:type="dxa"/>
            <w:right w:w="108" w:type="dxa"/>
          </w:tblCellMar>
        </w:tblPrEx>
        <w:trPr>
          <w:trHeight w:val="522" w:hRule="atLeast"/>
          <w:jc w:val="center"/>
        </w:trPr>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序号</w:t>
            </w:r>
          </w:p>
        </w:tc>
        <w:tc>
          <w:tcPr>
            <w:tcW w:w="50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点位名称</w:t>
            </w:r>
          </w:p>
        </w:tc>
        <w:tc>
          <w:tcPr>
            <w:tcW w:w="3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安装位置</w:t>
            </w:r>
          </w:p>
        </w:tc>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摄像机数量</w:t>
            </w:r>
          </w:p>
        </w:tc>
        <w:tc>
          <w:tcPr>
            <w:tcW w:w="1351"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摄像机类型</w:t>
            </w:r>
          </w:p>
        </w:tc>
        <w:tc>
          <w:tcPr>
            <w:tcW w:w="1925"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杆件类型</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机箱类型</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备注</w:t>
            </w:r>
          </w:p>
        </w:tc>
      </w:tr>
      <w:tr>
        <w:tblPrEx>
          <w:tblCellMar>
            <w:top w:w="0" w:type="dxa"/>
            <w:left w:w="108" w:type="dxa"/>
            <w:bottom w:w="0" w:type="dxa"/>
            <w:right w:w="108" w:type="dxa"/>
          </w:tblCellMar>
        </w:tblPrEx>
        <w:trPr>
          <w:trHeight w:val="600" w:hRule="atLeast"/>
          <w:jc w:val="center"/>
        </w:trPr>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b/>
                <w:bCs/>
                <w:color w:val="auto"/>
                <w:szCs w:val="21"/>
                <w:highlight w:val="none"/>
              </w:rPr>
            </w:pPr>
          </w:p>
        </w:tc>
        <w:tc>
          <w:tcPr>
            <w:tcW w:w="5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ascii="宋体" w:hAnsi="宋体" w:cs="宋体"/>
                <w:b/>
                <w:bCs/>
                <w:color w:val="auto"/>
                <w:szCs w:val="21"/>
                <w:highlight w:val="none"/>
              </w:rPr>
            </w:pPr>
          </w:p>
        </w:tc>
        <w:tc>
          <w:tcPr>
            <w:tcW w:w="3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ascii="宋体" w:hAnsi="宋体" w:cs="宋体"/>
                <w:b/>
                <w:bCs/>
                <w:color w:val="auto"/>
                <w:szCs w:val="21"/>
                <w:highlight w:val="none"/>
              </w:rPr>
            </w:pPr>
          </w:p>
        </w:tc>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ascii="宋体" w:hAnsi="宋体" w:cs="宋体"/>
                <w:b/>
                <w:bCs/>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高清球机</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高清枪机</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400万人脸</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高空球机</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800万人脸</w:t>
            </w:r>
          </w:p>
        </w:tc>
        <w:tc>
          <w:tcPr>
            <w:tcW w:w="1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车脸</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L6挑1</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L6挑2</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L6挑3</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L6挑4</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1米抱杆</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1.2米抱杆</w:t>
            </w: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1.5米抱杆</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2米抱杆</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落地</w:t>
            </w:r>
          </w:p>
        </w:tc>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抱箱</w:t>
            </w:r>
          </w:p>
        </w:tc>
        <w:tc>
          <w:tcPr>
            <w:tcW w:w="355" w:type="pct"/>
            <w:tcBorders>
              <w:top w:val="single" w:color="000000" w:sz="4" w:space="0"/>
              <w:left w:val="single" w:color="000000" w:sz="4" w:space="0"/>
              <w:right w:val="single" w:color="000000" w:sz="4" w:space="0"/>
            </w:tcBorders>
            <w:shd w:val="clear" w:color="auto" w:fill="auto"/>
            <w:noWrap/>
            <w:vAlign w:val="center"/>
          </w:tcPr>
          <w:p>
            <w:pPr>
              <w:widowControl/>
              <w:adjustRightInd/>
              <w:jc w:val="center"/>
              <w:rPr>
                <w:rFonts w:ascii="宋体" w:hAnsi="宋体" w:cs="宋体"/>
                <w:b/>
                <w:bCs/>
                <w:color w:val="auto"/>
                <w:szCs w:val="21"/>
                <w:highlight w:val="none"/>
              </w:rPr>
            </w:pPr>
          </w:p>
        </w:tc>
      </w:tr>
      <w:tr>
        <w:tblPrEx>
          <w:tblCellMar>
            <w:top w:w="0" w:type="dxa"/>
            <w:left w:w="108" w:type="dxa"/>
            <w:bottom w:w="0" w:type="dxa"/>
            <w:right w:w="108" w:type="dxa"/>
          </w:tblCellMar>
        </w:tblPrEx>
        <w:trPr>
          <w:trHeight w:val="600" w:hRule="atLeast"/>
          <w:jc w:val="center"/>
        </w:trPr>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通途路-杨木碶路路口</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原杆件利旧</w:t>
            </w: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r>
      <w:tr>
        <w:tblPrEx>
          <w:tblCellMar>
            <w:top w:w="0" w:type="dxa"/>
            <w:left w:w="108" w:type="dxa"/>
            <w:bottom w:w="0" w:type="dxa"/>
            <w:right w:w="108" w:type="dxa"/>
          </w:tblCellMar>
        </w:tblPrEx>
        <w:trPr>
          <w:trHeight w:val="525" w:hRule="atLeast"/>
          <w:jc w:val="center"/>
        </w:trPr>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通途路-河清北路路口</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原杆件利旧</w:t>
            </w: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r>
      <w:tr>
        <w:tblPrEx>
          <w:tblCellMar>
            <w:top w:w="0" w:type="dxa"/>
            <w:left w:w="108" w:type="dxa"/>
            <w:bottom w:w="0" w:type="dxa"/>
            <w:right w:w="108" w:type="dxa"/>
          </w:tblCellMar>
        </w:tblPrEx>
        <w:trPr>
          <w:trHeight w:val="525" w:hRule="atLeast"/>
          <w:jc w:val="center"/>
        </w:trPr>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移动通信大厦前科技公园站</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原杆件利旧</w:t>
            </w: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r>
      <w:tr>
        <w:tblPrEx>
          <w:tblCellMar>
            <w:top w:w="0" w:type="dxa"/>
            <w:left w:w="108" w:type="dxa"/>
            <w:bottom w:w="0" w:type="dxa"/>
            <w:right w:w="108" w:type="dxa"/>
          </w:tblCellMar>
        </w:tblPrEx>
        <w:trPr>
          <w:trHeight w:val="525" w:hRule="atLeast"/>
          <w:jc w:val="center"/>
        </w:trPr>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院士桥下</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原杆件利旧</w:t>
            </w: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r>
      <w:tr>
        <w:tblPrEx>
          <w:tblCellMar>
            <w:top w:w="0" w:type="dxa"/>
            <w:left w:w="108" w:type="dxa"/>
            <w:bottom w:w="0" w:type="dxa"/>
            <w:right w:w="108" w:type="dxa"/>
          </w:tblCellMar>
        </w:tblPrEx>
        <w:trPr>
          <w:trHeight w:val="525" w:hRule="atLeast"/>
          <w:jc w:val="center"/>
        </w:trPr>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江南路-杨木碶路路口西南侧</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原杆件利旧</w:t>
            </w: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r>
      <w:tr>
        <w:tblPrEx>
          <w:tblCellMar>
            <w:top w:w="0" w:type="dxa"/>
            <w:left w:w="108" w:type="dxa"/>
            <w:bottom w:w="0" w:type="dxa"/>
            <w:right w:w="108" w:type="dxa"/>
          </w:tblCellMar>
        </w:tblPrEx>
        <w:trPr>
          <w:trHeight w:val="525" w:hRule="atLeast"/>
          <w:jc w:val="center"/>
        </w:trPr>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杨木碶路315号（江南一品门口南）</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原杆件利旧</w:t>
            </w: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r>
      <w:tr>
        <w:tblPrEx>
          <w:tblCellMar>
            <w:top w:w="0" w:type="dxa"/>
            <w:left w:w="108" w:type="dxa"/>
            <w:bottom w:w="0" w:type="dxa"/>
            <w:right w:w="108" w:type="dxa"/>
          </w:tblCellMar>
        </w:tblPrEx>
        <w:trPr>
          <w:trHeight w:val="525" w:hRule="atLeast"/>
          <w:jc w:val="center"/>
        </w:trPr>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杨木碶路347号（江南一品前门）</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原杆件利旧</w:t>
            </w: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r>
      <w:tr>
        <w:tblPrEx>
          <w:tblCellMar>
            <w:top w:w="0" w:type="dxa"/>
            <w:left w:w="108" w:type="dxa"/>
            <w:bottom w:w="0" w:type="dxa"/>
            <w:right w:w="108" w:type="dxa"/>
          </w:tblCellMar>
        </w:tblPrEx>
        <w:trPr>
          <w:trHeight w:val="525" w:hRule="atLeast"/>
          <w:jc w:val="center"/>
        </w:trPr>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杨木碶路375号（江南一品门口北）</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原杆件利旧</w:t>
            </w: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r>
      <w:tr>
        <w:tblPrEx>
          <w:tblCellMar>
            <w:top w:w="0" w:type="dxa"/>
            <w:left w:w="108" w:type="dxa"/>
            <w:bottom w:w="0" w:type="dxa"/>
            <w:right w:w="108" w:type="dxa"/>
          </w:tblCellMar>
        </w:tblPrEx>
        <w:trPr>
          <w:trHeight w:val="525" w:hRule="atLeast"/>
          <w:jc w:val="center"/>
        </w:trPr>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江南路-杨木碶路路口</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原杆件利旧</w:t>
            </w: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r>
      <w:tr>
        <w:tblPrEx>
          <w:tblCellMar>
            <w:top w:w="0" w:type="dxa"/>
            <w:left w:w="108" w:type="dxa"/>
            <w:bottom w:w="0" w:type="dxa"/>
            <w:right w:w="108" w:type="dxa"/>
          </w:tblCellMar>
        </w:tblPrEx>
        <w:trPr>
          <w:trHeight w:val="525" w:hRule="atLeast"/>
          <w:jc w:val="center"/>
        </w:trPr>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杨木碶路227号（明辰紫月东门）</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原杆件利旧</w:t>
            </w: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r>
      <w:tr>
        <w:tblPrEx>
          <w:tblCellMar>
            <w:top w:w="0" w:type="dxa"/>
            <w:left w:w="108" w:type="dxa"/>
            <w:bottom w:w="0" w:type="dxa"/>
            <w:right w:w="108" w:type="dxa"/>
          </w:tblCellMar>
        </w:tblPrEx>
        <w:trPr>
          <w:trHeight w:val="525" w:hRule="atLeast"/>
          <w:jc w:val="center"/>
        </w:trPr>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11</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杨木碶路226号（明辰紫月西门）</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原杆件利旧</w:t>
            </w: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r>
      <w:tr>
        <w:tblPrEx>
          <w:tblCellMar>
            <w:top w:w="0" w:type="dxa"/>
            <w:left w:w="108" w:type="dxa"/>
            <w:bottom w:w="0" w:type="dxa"/>
            <w:right w:w="108" w:type="dxa"/>
          </w:tblCellMar>
        </w:tblPrEx>
        <w:trPr>
          <w:trHeight w:val="525" w:hRule="atLeast"/>
          <w:jc w:val="center"/>
        </w:trPr>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丹桂路-杨木碶路路口</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原杆件利旧</w:t>
            </w: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r>
      <w:tr>
        <w:tblPrEx>
          <w:tblCellMar>
            <w:top w:w="0" w:type="dxa"/>
            <w:left w:w="108" w:type="dxa"/>
            <w:bottom w:w="0" w:type="dxa"/>
            <w:right w:w="108" w:type="dxa"/>
          </w:tblCellMar>
        </w:tblPrEx>
        <w:trPr>
          <w:trHeight w:val="525" w:hRule="atLeast"/>
          <w:jc w:val="center"/>
        </w:trPr>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13</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海棠路-杨木碶路路口</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原杆件利旧</w:t>
            </w: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r>
      <w:tr>
        <w:tblPrEx>
          <w:tblCellMar>
            <w:top w:w="0" w:type="dxa"/>
            <w:left w:w="108" w:type="dxa"/>
            <w:bottom w:w="0" w:type="dxa"/>
            <w:right w:w="108" w:type="dxa"/>
          </w:tblCellMar>
        </w:tblPrEx>
        <w:trPr>
          <w:trHeight w:val="525" w:hRule="atLeast"/>
          <w:jc w:val="center"/>
        </w:trPr>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14</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滨江花苑（杨木碶路西侧）</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原杆件利旧</w:t>
            </w: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r>
      <w:tr>
        <w:tblPrEx>
          <w:tblCellMar>
            <w:top w:w="0" w:type="dxa"/>
            <w:left w:w="108" w:type="dxa"/>
            <w:bottom w:w="0" w:type="dxa"/>
            <w:right w:w="108" w:type="dxa"/>
          </w:tblCellMar>
        </w:tblPrEx>
        <w:trPr>
          <w:trHeight w:val="525" w:hRule="atLeast"/>
          <w:jc w:val="center"/>
        </w:trPr>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15</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广贤路-翔云路路口</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原杆件利旧</w:t>
            </w: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r>
      <w:tr>
        <w:tblPrEx>
          <w:tblCellMar>
            <w:top w:w="0" w:type="dxa"/>
            <w:left w:w="108" w:type="dxa"/>
            <w:bottom w:w="0" w:type="dxa"/>
            <w:right w:w="108" w:type="dxa"/>
          </w:tblCellMar>
        </w:tblPrEx>
        <w:trPr>
          <w:trHeight w:val="525" w:hRule="atLeast"/>
          <w:jc w:val="center"/>
        </w:trPr>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16</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广贤路-创苑路路口</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原杆件利旧</w:t>
            </w: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r>
      <w:tr>
        <w:tblPrEx>
          <w:tblCellMar>
            <w:top w:w="0" w:type="dxa"/>
            <w:left w:w="108" w:type="dxa"/>
            <w:bottom w:w="0" w:type="dxa"/>
            <w:right w:w="108" w:type="dxa"/>
          </w:tblCellMar>
        </w:tblPrEx>
        <w:trPr>
          <w:trHeight w:val="525" w:hRule="atLeast"/>
          <w:jc w:val="center"/>
        </w:trPr>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17</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广贤路-聚贤路路口</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共杆建设</w:t>
            </w: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与编号99000147共杆吊装</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原杆件机箱拆除</w:t>
            </w:r>
          </w:p>
        </w:tc>
      </w:tr>
      <w:tr>
        <w:tblPrEx>
          <w:tblCellMar>
            <w:top w:w="0" w:type="dxa"/>
            <w:left w:w="108" w:type="dxa"/>
            <w:bottom w:w="0" w:type="dxa"/>
            <w:right w:w="108" w:type="dxa"/>
          </w:tblCellMar>
        </w:tblPrEx>
        <w:trPr>
          <w:trHeight w:val="525" w:hRule="atLeast"/>
          <w:jc w:val="center"/>
        </w:trPr>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18</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丹桂路-聚贤路</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原杆件利旧</w:t>
            </w: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r>
      <w:tr>
        <w:tblPrEx>
          <w:tblCellMar>
            <w:top w:w="0" w:type="dxa"/>
            <w:left w:w="108" w:type="dxa"/>
            <w:bottom w:w="0" w:type="dxa"/>
            <w:right w:w="108" w:type="dxa"/>
          </w:tblCellMar>
        </w:tblPrEx>
        <w:trPr>
          <w:trHeight w:val="525" w:hRule="atLeast"/>
          <w:jc w:val="center"/>
        </w:trPr>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19</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江南路-聚贤路路口</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原杆件利旧</w:t>
            </w: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r>
      <w:tr>
        <w:tblPrEx>
          <w:tblCellMar>
            <w:top w:w="0" w:type="dxa"/>
            <w:left w:w="108" w:type="dxa"/>
            <w:bottom w:w="0" w:type="dxa"/>
            <w:right w:w="108" w:type="dxa"/>
          </w:tblCellMar>
        </w:tblPrEx>
        <w:trPr>
          <w:trHeight w:val="525" w:hRule="atLeast"/>
          <w:jc w:val="center"/>
        </w:trPr>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20</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扬帆路-聚贤路路口</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原杆件利旧</w:t>
            </w: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kern w:val="0"/>
                <w:szCs w:val="21"/>
                <w:highlight w:val="none"/>
                <w:lang w:bidi="ar"/>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并杆建设</w:t>
            </w:r>
          </w:p>
          <w:p>
            <w:pPr>
              <w:widowControl/>
              <w:adjustRightInd/>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原杆件机箱拆除</w:t>
            </w:r>
          </w:p>
        </w:tc>
      </w:tr>
      <w:tr>
        <w:tblPrEx>
          <w:tblCellMar>
            <w:top w:w="0" w:type="dxa"/>
            <w:left w:w="108" w:type="dxa"/>
            <w:bottom w:w="0" w:type="dxa"/>
            <w:right w:w="108" w:type="dxa"/>
          </w:tblCellMar>
        </w:tblPrEx>
        <w:trPr>
          <w:trHeight w:val="525" w:hRule="atLeast"/>
          <w:jc w:val="center"/>
        </w:trPr>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21</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聚贤路-光华路</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原杆件利旧</w:t>
            </w: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r>
      <w:tr>
        <w:tblPrEx>
          <w:tblCellMar>
            <w:top w:w="0" w:type="dxa"/>
            <w:left w:w="108" w:type="dxa"/>
            <w:bottom w:w="0" w:type="dxa"/>
            <w:right w:w="108" w:type="dxa"/>
          </w:tblCellMar>
        </w:tblPrEx>
        <w:trPr>
          <w:trHeight w:val="525" w:hRule="atLeast"/>
          <w:jc w:val="center"/>
        </w:trPr>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22</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聚贤路-晶辉路路口</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原杆件利旧</w:t>
            </w: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r>
      <w:tr>
        <w:tblPrEx>
          <w:tblCellMar>
            <w:top w:w="0" w:type="dxa"/>
            <w:left w:w="108" w:type="dxa"/>
            <w:bottom w:w="0" w:type="dxa"/>
            <w:right w:w="108" w:type="dxa"/>
          </w:tblCellMar>
        </w:tblPrEx>
        <w:trPr>
          <w:trHeight w:val="525" w:hRule="atLeast"/>
          <w:jc w:val="center"/>
        </w:trPr>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23</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聚贤路-通途路路口</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原杆件利旧</w:t>
            </w: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r>
      <w:tr>
        <w:tblPrEx>
          <w:tblCellMar>
            <w:top w:w="0" w:type="dxa"/>
            <w:left w:w="108" w:type="dxa"/>
            <w:bottom w:w="0" w:type="dxa"/>
            <w:right w:w="108" w:type="dxa"/>
          </w:tblCellMar>
        </w:tblPrEx>
        <w:trPr>
          <w:trHeight w:val="525" w:hRule="atLeast"/>
          <w:jc w:val="center"/>
        </w:trPr>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24</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剑兰路-通途路路口</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原杆件利旧</w:t>
            </w: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r>
      <w:tr>
        <w:tblPrEx>
          <w:tblCellMar>
            <w:top w:w="0" w:type="dxa"/>
            <w:left w:w="108" w:type="dxa"/>
            <w:bottom w:w="0" w:type="dxa"/>
            <w:right w:w="108" w:type="dxa"/>
          </w:tblCellMar>
        </w:tblPrEx>
        <w:trPr>
          <w:trHeight w:val="525" w:hRule="atLeast"/>
          <w:jc w:val="center"/>
        </w:trPr>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25</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通途路-清水桥路路口</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原杆件利旧</w:t>
            </w: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r>
      <w:tr>
        <w:tblPrEx>
          <w:tblCellMar>
            <w:top w:w="0" w:type="dxa"/>
            <w:left w:w="108" w:type="dxa"/>
            <w:bottom w:w="0" w:type="dxa"/>
            <w:right w:w="108" w:type="dxa"/>
          </w:tblCellMar>
        </w:tblPrEx>
        <w:trPr>
          <w:trHeight w:val="525" w:hRule="atLeast"/>
          <w:jc w:val="center"/>
        </w:trPr>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26</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通途路-沧海路路口</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原杆件利旧</w:t>
            </w: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r>
      <w:tr>
        <w:tblPrEx>
          <w:tblCellMar>
            <w:top w:w="0" w:type="dxa"/>
            <w:left w:w="108" w:type="dxa"/>
            <w:bottom w:w="0" w:type="dxa"/>
            <w:right w:w="108" w:type="dxa"/>
          </w:tblCellMar>
        </w:tblPrEx>
        <w:trPr>
          <w:trHeight w:val="525" w:hRule="atLeast"/>
          <w:jc w:val="center"/>
        </w:trPr>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27</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福明路-明珠路路口</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原杆件利旧</w:t>
            </w: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r>
      <w:tr>
        <w:tblPrEx>
          <w:tblCellMar>
            <w:top w:w="0" w:type="dxa"/>
            <w:left w:w="108" w:type="dxa"/>
            <w:bottom w:w="0" w:type="dxa"/>
            <w:right w:w="108" w:type="dxa"/>
          </w:tblCellMar>
        </w:tblPrEx>
        <w:trPr>
          <w:trHeight w:val="525" w:hRule="atLeast"/>
          <w:jc w:val="center"/>
        </w:trPr>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28</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江南路-沧海路路口</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原杆件利旧</w:t>
            </w: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r>
      <w:tr>
        <w:tblPrEx>
          <w:tblCellMar>
            <w:top w:w="0" w:type="dxa"/>
            <w:left w:w="108" w:type="dxa"/>
            <w:bottom w:w="0" w:type="dxa"/>
            <w:right w:w="108" w:type="dxa"/>
          </w:tblCellMar>
        </w:tblPrEx>
        <w:trPr>
          <w:trHeight w:val="604" w:hRule="atLeast"/>
          <w:jc w:val="center"/>
        </w:trPr>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29</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清水桥路-江南路</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原杆件利旧</w:t>
            </w: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r>
      <w:tr>
        <w:tblPrEx>
          <w:tblCellMar>
            <w:top w:w="0" w:type="dxa"/>
            <w:left w:w="108" w:type="dxa"/>
            <w:bottom w:w="0" w:type="dxa"/>
            <w:right w:w="108" w:type="dxa"/>
          </w:tblCellMar>
        </w:tblPrEx>
        <w:trPr>
          <w:trHeight w:val="604" w:hRule="atLeast"/>
          <w:jc w:val="center"/>
        </w:trPr>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30</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甬江大道涨浦景苑小区入口</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原杆件利旧</w:t>
            </w: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r>
      <w:tr>
        <w:tblPrEx>
          <w:tblCellMar>
            <w:top w:w="0" w:type="dxa"/>
            <w:left w:w="108" w:type="dxa"/>
            <w:bottom w:w="0" w:type="dxa"/>
            <w:right w:w="108" w:type="dxa"/>
          </w:tblCellMar>
        </w:tblPrEx>
        <w:trPr>
          <w:trHeight w:val="604" w:hRule="atLeast"/>
          <w:jc w:val="center"/>
        </w:trPr>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31</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丹桂路-院士路口</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原杆件利旧</w:t>
            </w: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r>
      <w:tr>
        <w:tblPrEx>
          <w:tblCellMar>
            <w:top w:w="0" w:type="dxa"/>
            <w:left w:w="108" w:type="dxa"/>
            <w:bottom w:w="0" w:type="dxa"/>
            <w:right w:w="108" w:type="dxa"/>
          </w:tblCellMar>
        </w:tblPrEx>
        <w:trPr>
          <w:trHeight w:val="604" w:hRule="atLeast"/>
          <w:jc w:val="center"/>
        </w:trPr>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32</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创苑路-光华路路口</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原杆件利旧</w:t>
            </w: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r>
      <w:tr>
        <w:tblPrEx>
          <w:tblCellMar>
            <w:top w:w="0" w:type="dxa"/>
            <w:left w:w="108" w:type="dxa"/>
            <w:bottom w:w="0" w:type="dxa"/>
            <w:right w:w="108" w:type="dxa"/>
          </w:tblCellMar>
        </w:tblPrEx>
        <w:trPr>
          <w:trHeight w:val="525" w:hRule="atLeast"/>
          <w:jc w:val="center"/>
        </w:trPr>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33</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光华路河边</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借路灯杆</w:t>
            </w: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r>
      <w:tr>
        <w:tblPrEx>
          <w:tblCellMar>
            <w:top w:w="0" w:type="dxa"/>
            <w:left w:w="108" w:type="dxa"/>
            <w:bottom w:w="0" w:type="dxa"/>
            <w:right w:w="108" w:type="dxa"/>
          </w:tblCellMar>
        </w:tblPrEx>
        <w:trPr>
          <w:trHeight w:val="525" w:hRule="atLeast"/>
          <w:jc w:val="center"/>
        </w:trPr>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34</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光华路与东青路</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借路灯杆</w:t>
            </w: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r>
      <w:tr>
        <w:tblPrEx>
          <w:tblCellMar>
            <w:top w:w="0" w:type="dxa"/>
            <w:left w:w="108" w:type="dxa"/>
            <w:bottom w:w="0" w:type="dxa"/>
            <w:right w:w="108" w:type="dxa"/>
          </w:tblCellMar>
        </w:tblPrEx>
        <w:trPr>
          <w:trHeight w:val="525" w:hRule="atLeast"/>
          <w:jc w:val="center"/>
        </w:trPr>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35</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高新区管委会</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原杆件利旧</w:t>
            </w: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r>
      <w:tr>
        <w:tblPrEx>
          <w:tblCellMar>
            <w:top w:w="0" w:type="dxa"/>
            <w:left w:w="108" w:type="dxa"/>
            <w:bottom w:w="0" w:type="dxa"/>
            <w:right w:w="108" w:type="dxa"/>
          </w:tblCellMar>
        </w:tblPrEx>
        <w:trPr>
          <w:trHeight w:val="525" w:hRule="atLeast"/>
          <w:jc w:val="center"/>
        </w:trPr>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36</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木槿路（春和集团）</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共杆建设</w:t>
            </w: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99000521</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原杆件机箱拆除</w:t>
            </w:r>
          </w:p>
        </w:tc>
      </w:tr>
      <w:tr>
        <w:tblPrEx>
          <w:tblCellMar>
            <w:top w:w="0" w:type="dxa"/>
            <w:left w:w="108" w:type="dxa"/>
            <w:bottom w:w="0" w:type="dxa"/>
            <w:right w:w="108" w:type="dxa"/>
          </w:tblCellMar>
        </w:tblPrEx>
        <w:trPr>
          <w:trHeight w:val="525" w:hRule="atLeast"/>
          <w:jc w:val="center"/>
        </w:trPr>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37</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菁华路-新梅路路口</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原杆件利旧</w:t>
            </w: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r>
      <w:tr>
        <w:tblPrEx>
          <w:tblCellMar>
            <w:top w:w="0" w:type="dxa"/>
            <w:left w:w="108" w:type="dxa"/>
            <w:bottom w:w="0" w:type="dxa"/>
            <w:right w:w="108" w:type="dxa"/>
          </w:tblCellMar>
        </w:tblPrEx>
        <w:trPr>
          <w:trHeight w:val="525" w:hRule="atLeast"/>
          <w:jc w:val="center"/>
        </w:trPr>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38</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远大工地</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高空球</w:t>
            </w: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r>
      <w:tr>
        <w:tblPrEx>
          <w:tblCellMar>
            <w:top w:w="0" w:type="dxa"/>
            <w:left w:w="108" w:type="dxa"/>
            <w:bottom w:w="0" w:type="dxa"/>
            <w:right w:w="108" w:type="dxa"/>
          </w:tblCellMar>
        </w:tblPrEx>
        <w:trPr>
          <w:trHeight w:val="525" w:hRule="atLeast"/>
          <w:jc w:val="center"/>
        </w:trPr>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39</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智慧园</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高空球</w:t>
            </w: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r>
      <w:tr>
        <w:tblPrEx>
          <w:tblCellMar>
            <w:top w:w="0" w:type="dxa"/>
            <w:left w:w="108" w:type="dxa"/>
            <w:bottom w:w="0" w:type="dxa"/>
            <w:right w:w="108" w:type="dxa"/>
          </w:tblCellMar>
        </w:tblPrEx>
        <w:trPr>
          <w:trHeight w:val="525" w:hRule="atLeast"/>
          <w:jc w:val="center"/>
        </w:trPr>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40</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东外环--通途路路口{桥上沿}</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原杆件利旧</w:t>
            </w: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r>
              <w:rPr>
                <w:rFonts w:hint="eastAsia" w:ascii="宋体" w:hAnsi="宋体" w:cs="宋体"/>
                <w:color w:val="auto"/>
                <w:szCs w:val="21"/>
                <w:highlight w:val="none"/>
              </w:rPr>
              <w:t>通途往东外环辅路</w:t>
            </w:r>
          </w:p>
        </w:tc>
      </w:tr>
      <w:tr>
        <w:tblPrEx>
          <w:tblCellMar>
            <w:top w:w="0" w:type="dxa"/>
            <w:left w:w="108" w:type="dxa"/>
            <w:bottom w:w="0" w:type="dxa"/>
            <w:right w:w="108" w:type="dxa"/>
          </w:tblCellMar>
        </w:tblPrEx>
        <w:trPr>
          <w:trHeight w:val="525" w:hRule="atLeast"/>
          <w:jc w:val="center"/>
        </w:trPr>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41</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梅景路--梅墟路路口</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原杆件利旧</w:t>
            </w: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99000312杆件共杆件到城管</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原杆件机箱拆除</w:t>
            </w:r>
          </w:p>
        </w:tc>
      </w:tr>
      <w:tr>
        <w:tblPrEx>
          <w:tblCellMar>
            <w:top w:w="0" w:type="dxa"/>
            <w:left w:w="108" w:type="dxa"/>
            <w:bottom w:w="0" w:type="dxa"/>
            <w:right w:w="108" w:type="dxa"/>
          </w:tblCellMar>
        </w:tblPrEx>
        <w:trPr>
          <w:trHeight w:val="525" w:hRule="atLeast"/>
          <w:jc w:val="center"/>
        </w:trPr>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42</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江南路--梅墟路交叉口</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原杆件利旧</w:t>
            </w: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增加一个人脸枪机挑杆</w:t>
            </w:r>
          </w:p>
        </w:tc>
      </w:tr>
      <w:tr>
        <w:tblPrEx>
          <w:tblCellMar>
            <w:top w:w="0" w:type="dxa"/>
            <w:left w:w="108" w:type="dxa"/>
            <w:bottom w:w="0" w:type="dxa"/>
            <w:right w:w="108" w:type="dxa"/>
          </w:tblCellMar>
        </w:tblPrEx>
        <w:trPr>
          <w:trHeight w:val="525" w:hRule="atLeast"/>
          <w:jc w:val="center"/>
        </w:trPr>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43</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梅景路梅福园门口</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原杆件利旧</w:t>
            </w: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增加一个人脸枪机挑杆</w:t>
            </w:r>
          </w:p>
        </w:tc>
      </w:tr>
      <w:tr>
        <w:tblPrEx>
          <w:tblCellMar>
            <w:top w:w="0" w:type="dxa"/>
            <w:left w:w="108" w:type="dxa"/>
            <w:bottom w:w="0" w:type="dxa"/>
            <w:right w:w="108" w:type="dxa"/>
          </w:tblCellMar>
        </w:tblPrEx>
        <w:trPr>
          <w:trHeight w:val="525" w:hRule="atLeast"/>
          <w:jc w:val="center"/>
        </w:trPr>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44</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梅景路741号{梅江东苑北区}</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原杆件利旧</w:t>
            </w: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99000296并杆，挑杆建设</w:t>
            </w:r>
          </w:p>
        </w:tc>
      </w:tr>
      <w:tr>
        <w:tblPrEx>
          <w:tblCellMar>
            <w:top w:w="0" w:type="dxa"/>
            <w:left w:w="108" w:type="dxa"/>
            <w:bottom w:w="0" w:type="dxa"/>
            <w:right w:w="108" w:type="dxa"/>
          </w:tblCellMar>
        </w:tblPrEx>
        <w:trPr>
          <w:trHeight w:val="525" w:hRule="atLeast"/>
          <w:jc w:val="center"/>
        </w:trPr>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45</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梅景路480号</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原杆件利旧</w:t>
            </w: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r>
      <w:tr>
        <w:tblPrEx>
          <w:tblCellMar>
            <w:top w:w="0" w:type="dxa"/>
            <w:left w:w="108" w:type="dxa"/>
            <w:bottom w:w="0" w:type="dxa"/>
            <w:right w:w="108" w:type="dxa"/>
          </w:tblCellMar>
        </w:tblPrEx>
        <w:trPr>
          <w:trHeight w:val="525" w:hRule="atLeast"/>
          <w:jc w:val="center"/>
        </w:trPr>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46</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梅景路桥头</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原杆件利旧</w:t>
            </w: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r>
      <w:tr>
        <w:tblPrEx>
          <w:tblCellMar>
            <w:top w:w="0" w:type="dxa"/>
            <w:left w:w="108" w:type="dxa"/>
            <w:bottom w:w="0" w:type="dxa"/>
            <w:right w:w="108" w:type="dxa"/>
          </w:tblCellMar>
        </w:tblPrEx>
        <w:trPr>
          <w:trHeight w:val="619" w:hRule="atLeast"/>
          <w:jc w:val="center"/>
        </w:trPr>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47</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梅墟路南段东侧</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借广告牌</w:t>
            </w: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借广告牌增加人脸枪机，挑杆建设</w:t>
            </w:r>
          </w:p>
        </w:tc>
      </w:tr>
      <w:tr>
        <w:tblPrEx>
          <w:tblCellMar>
            <w:top w:w="0" w:type="dxa"/>
            <w:left w:w="108" w:type="dxa"/>
            <w:bottom w:w="0" w:type="dxa"/>
            <w:right w:w="108" w:type="dxa"/>
          </w:tblCellMar>
        </w:tblPrEx>
        <w:trPr>
          <w:trHeight w:val="702" w:hRule="atLeast"/>
          <w:jc w:val="center"/>
        </w:trPr>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48</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云杉路--东方幼儿园路口</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原杆件利旧</w:t>
            </w: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99000096挑杆建设</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原杆件处于施工区域，并且拆除杆件和机箱</w:t>
            </w:r>
          </w:p>
        </w:tc>
      </w:tr>
      <w:tr>
        <w:tblPrEx>
          <w:tblCellMar>
            <w:top w:w="0" w:type="dxa"/>
            <w:left w:w="108" w:type="dxa"/>
            <w:bottom w:w="0" w:type="dxa"/>
            <w:right w:w="108" w:type="dxa"/>
          </w:tblCellMar>
        </w:tblPrEx>
        <w:trPr>
          <w:trHeight w:val="525" w:hRule="atLeast"/>
          <w:jc w:val="center"/>
        </w:trPr>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49</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上塘王村</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原杆件利旧</w:t>
            </w: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r>
      <w:tr>
        <w:tblPrEx>
          <w:tblCellMar>
            <w:top w:w="0" w:type="dxa"/>
            <w:left w:w="108" w:type="dxa"/>
            <w:bottom w:w="0" w:type="dxa"/>
            <w:right w:w="108" w:type="dxa"/>
          </w:tblCellMar>
        </w:tblPrEx>
        <w:trPr>
          <w:trHeight w:val="660" w:hRule="atLeast"/>
          <w:jc w:val="center"/>
        </w:trPr>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50</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山塘2</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原杆件利旧</w:t>
            </w: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8米杆件</w:t>
            </w:r>
          </w:p>
        </w:tc>
      </w:tr>
      <w:tr>
        <w:tblPrEx>
          <w:tblCellMar>
            <w:top w:w="0" w:type="dxa"/>
            <w:left w:w="108" w:type="dxa"/>
            <w:bottom w:w="0" w:type="dxa"/>
            <w:right w:w="108" w:type="dxa"/>
          </w:tblCellMar>
        </w:tblPrEx>
        <w:trPr>
          <w:trHeight w:val="660" w:hRule="atLeast"/>
          <w:jc w:val="center"/>
        </w:trPr>
        <w:tc>
          <w:tcPr>
            <w:tcW w:w="981"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合计</w:t>
            </w: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53</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kern w:val="0"/>
                <w:szCs w:val="21"/>
                <w:highlight w:val="none"/>
                <w:lang w:bidi="ar"/>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rPr>
                <w:rFonts w:ascii="宋体" w:hAnsi="宋体" w:cs="宋体"/>
                <w:color w:val="auto"/>
                <w:szCs w:val="21"/>
                <w:highlight w:val="none"/>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ascii="宋体" w:hAnsi="宋体" w:cs="宋体"/>
                <w:color w:val="auto"/>
                <w:szCs w:val="21"/>
                <w:highlight w:val="none"/>
              </w:rPr>
            </w:pPr>
          </w:p>
        </w:tc>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kern w:val="0"/>
                <w:szCs w:val="21"/>
                <w:highlight w:val="none"/>
                <w:lang w:bidi="ar"/>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textAlignment w:val="center"/>
              <w:rPr>
                <w:rFonts w:ascii="宋体" w:hAnsi="宋体" w:cs="宋体"/>
                <w:color w:val="auto"/>
                <w:kern w:val="0"/>
                <w:szCs w:val="21"/>
                <w:highlight w:val="none"/>
                <w:lang w:bidi="ar"/>
              </w:rPr>
            </w:pPr>
          </w:p>
        </w:tc>
      </w:tr>
      <w:tr>
        <w:tblPrEx>
          <w:tblCellMar>
            <w:top w:w="0" w:type="dxa"/>
            <w:left w:w="108" w:type="dxa"/>
            <w:bottom w:w="0" w:type="dxa"/>
            <w:right w:w="108" w:type="dxa"/>
          </w:tblCellMar>
        </w:tblPrEx>
        <w:trPr>
          <w:trHeight w:val="660" w:hRule="atLeast"/>
          <w:jc w:val="center"/>
        </w:trPr>
        <w:tc>
          <w:tcPr>
            <w:tcW w:w="5000" w:type="pct"/>
            <w:gridSpan w:val="21"/>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p>
          <w:p>
            <w:pPr>
              <w:widowControl/>
              <w:adjustRightInd/>
              <w:jc w:val="left"/>
              <w:textAlignment w:val="center"/>
              <w:rPr>
                <w:rFonts w:ascii="宋体" w:hAnsi="宋体" w:cs="宋体"/>
                <w:color w:val="auto"/>
                <w:kern w:val="0"/>
                <w:szCs w:val="21"/>
                <w:highlight w:val="none"/>
                <w:lang w:bidi="ar"/>
              </w:rPr>
            </w:pPr>
          </w:p>
        </w:tc>
      </w:tr>
    </w:tbl>
    <w:p>
      <w:pPr>
        <w:rPr>
          <w:rFonts w:ascii="宋体" w:hAnsi="宋体" w:cs="宋体"/>
          <w:color w:val="auto"/>
          <w:sz w:val="24"/>
          <w:highlight w:val="none"/>
        </w:rPr>
      </w:pPr>
      <w:r>
        <w:rPr>
          <w:rFonts w:hint="eastAsia" w:ascii="宋体" w:hAnsi="宋体" w:cs="宋体"/>
          <w:color w:val="auto"/>
          <w:sz w:val="24"/>
          <w:highlight w:val="none"/>
        </w:rPr>
        <w:br w:type="page"/>
      </w:r>
    </w:p>
    <w:p>
      <w:pPr>
        <w:pStyle w:val="6"/>
        <w:tabs>
          <w:tab w:val="left" w:pos="0"/>
          <w:tab w:val="left" w:pos="993"/>
          <w:tab w:val="clear" w:pos="864"/>
        </w:tabs>
        <w:rPr>
          <w:rFonts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3.2新建点位</w:t>
      </w:r>
    </w:p>
    <w:tbl>
      <w:tblPr>
        <w:tblStyle w:val="65"/>
        <w:tblW w:w="5277" w:type="pct"/>
        <w:jc w:val="center"/>
        <w:tblLayout w:type="fixed"/>
        <w:tblCellMar>
          <w:top w:w="0" w:type="dxa"/>
          <w:left w:w="108" w:type="dxa"/>
          <w:bottom w:w="0" w:type="dxa"/>
          <w:right w:w="108" w:type="dxa"/>
        </w:tblCellMar>
      </w:tblPr>
      <w:tblGrid>
        <w:gridCol w:w="645"/>
        <w:gridCol w:w="164"/>
        <w:gridCol w:w="131"/>
        <w:gridCol w:w="360"/>
        <w:gridCol w:w="792"/>
        <w:gridCol w:w="1"/>
        <w:gridCol w:w="162"/>
        <w:gridCol w:w="261"/>
        <w:gridCol w:w="2"/>
        <w:gridCol w:w="215"/>
        <w:gridCol w:w="267"/>
        <w:gridCol w:w="2"/>
        <w:gridCol w:w="209"/>
        <w:gridCol w:w="184"/>
        <w:gridCol w:w="398"/>
        <w:gridCol w:w="153"/>
        <w:gridCol w:w="332"/>
        <w:gridCol w:w="2"/>
        <w:gridCol w:w="336"/>
        <w:gridCol w:w="62"/>
        <w:gridCol w:w="141"/>
        <w:gridCol w:w="343"/>
        <w:gridCol w:w="40"/>
        <w:gridCol w:w="86"/>
        <w:gridCol w:w="671"/>
        <w:gridCol w:w="12"/>
        <w:gridCol w:w="152"/>
        <w:gridCol w:w="2"/>
        <w:gridCol w:w="378"/>
        <w:gridCol w:w="2"/>
        <w:gridCol w:w="127"/>
        <w:gridCol w:w="335"/>
        <w:gridCol w:w="292"/>
        <w:gridCol w:w="44"/>
        <w:gridCol w:w="48"/>
        <w:gridCol w:w="314"/>
        <w:gridCol w:w="149"/>
        <w:gridCol w:w="162"/>
        <w:gridCol w:w="41"/>
        <w:gridCol w:w="181"/>
        <w:gridCol w:w="208"/>
        <w:gridCol w:w="241"/>
        <w:gridCol w:w="124"/>
        <w:gridCol w:w="136"/>
        <w:gridCol w:w="259"/>
        <w:gridCol w:w="163"/>
        <w:gridCol w:w="236"/>
        <w:gridCol w:w="52"/>
        <w:gridCol w:w="347"/>
        <w:gridCol w:w="37"/>
        <w:gridCol w:w="326"/>
        <w:gridCol w:w="36"/>
        <w:gridCol w:w="309"/>
        <w:gridCol w:w="39"/>
        <w:gridCol w:w="51"/>
        <w:gridCol w:w="332"/>
        <w:gridCol w:w="66"/>
        <w:gridCol w:w="182"/>
        <w:gridCol w:w="215"/>
        <w:gridCol w:w="87"/>
        <w:gridCol w:w="62"/>
        <w:gridCol w:w="314"/>
        <w:gridCol w:w="109"/>
        <w:gridCol w:w="274"/>
        <w:gridCol w:w="135"/>
        <w:gridCol w:w="8"/>
        <w:gridCol w:w="320"/>
        <w:gridCol w:w="212"/>
        <w:gridCol w:w="58"/>
        <w:gridCol w:w="53"/>
        <w:gridCol w:w="180"/>
        <w:gridCol w:w="237"/>
        <w:gridCol w:w="105"/>
        <w:gridCol w:w="237"/>
        <w:gridCol w:w="188"/>
        <w:gridCol w:w="57"/>
        <w:gridCol w:w="162"/>
        <w:gridCol w:w="605"/>
      </w:tblGrid>
      <w:tr>
        <w:tblPrEx>
          <w:tblCellMar>
            <w:top w:w="0" w:type="dxa"/>
            <w:left w:w="108" w:type="dxa"/>
            <w:bottom w:w="0" w:type="dxa"/>
            <w:right w:w="108" w:type="dxa"/>
          </w:tblCellMar>
        </w:tblPrEx>
        <w:trPr>
          <w:trHeight w:val="285" w:hRule="atLeast"/>
          <w:jc w:val="center"/>
        </w:trPr>
        <w:tc>
          <w:tcPr>
            <w:tcW w:w="5000" w:type="pct"/>
            <w:gridSpan w:val="78"/>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r>
              <w:rPr>
                <w:rFonts w:hint="eastAsia" w:ascii="宋体" w:hAnsi="宋体" w:cs="宋体"/>
                <w:b/>
                <w:bCs/>
                <w:color w:val="auto"/>
                <w:kern w:val="0"/>
                <w:szCs w:val="21"/>
                <w:highlight w:val="none"/>
                <w:lang w:bidi="ar"/>
              </w:rPr>
              <w:t>重要出入口感知点位规划汇总表</w:t>
            </w:r>
          </w:p>
        </w:tc>
      </w:tr>
      <w:tr>
        <w:tblPrEx>
          <w:tblCellMar>
            <w:top w:w="0" w:type="dxa"/>
            <w:left w:w="108" w:type="dxa"/>
            <w:bottom w:w="0" w:type="dxa"/>
            <w:right w:w="108" w:type="dxa"/>
          </w:tblCellMar>
        </w:tblPrEx>
        <w:trPr>
          <w:trHeight w:val="285" w:hRule="atLeast"/>
          <w:jc w:val="center"/>
        </w:trPr>
        <w:tc>
          <w:tcPr>
            <w:tcW w:w="315" w:type="pct"/>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2"/>
              <w:spacing w:line="240" w:lineRule="auto"/>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重点区域社区</w:t>
            </w:r>
            <w:r>
              <w:rPr>
                <w:rFonts w:hint="eastAsia" w:ascii="宋体" w:hAnsi="宋体" w:cs="宋体"/>
                <w:color w:val="auto"/>
                <w:sz w:val="21"/>
                <w:szCs w:val="21"/>
                <w:highlight w:val="none"/>
                <w:lang w:bidi="ar"/>
              </w:rPr>
              <w:t>序号</w:t>
            </w:r>
          </w:p>
        </w:tc>
        <w:tc>
          <w:tcPr>
            <w:tcW w:w="439" w:type="pct"/>
            <w:gridSpan w:val="4"/>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全称</w:t>
            </w:r>
          </w:p>
        </w:tc>
        <w:tc>
          <w:tcPr>
            <w:tcW w:w="160" w:type="pct"/>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人脸</w:t>
            </w:r>
          </w:p>
        </w:tc>
        <w:tc>
          <w:tcPr>
            <w:tcW w:w="160" w:type="pct"/>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车脸</w:t>
            </w:r>
          </w:p>
        </w:tc>
        <w:tc>
          <w:tcPr>
            <w:tcW w:w="246" w:type="pct"/>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人车一体</w:t>
            </w:r>
          </w:p>
        </w:tc>
        <w:tc>
          <w:tcPr>
            <w:tcW w:w="1799" w:type="pct"/>
            <w:gridSpan w:val="30"/>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人脸</w:t>
            </w:r>
          </w:p>
        </w:tc>
        <w:tc>
          <w:tcPr>
            <w:tcW w:w="899" w:type="pct"/>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车脸</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285" w:hRule="atLeast"/>
          <w:jc w:val="center"/>
        </w:trPr>
        <w:tc>
          <w:tcPr>
            <w:tcW w:w="315"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439"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0"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0"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46"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449"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东门</w:t>
            </w:r>
          </w:p>
        </w:tc>
        <w:tc>
          <w:tcPr>
            <w:tcW w:w="449"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南门</w:t>
            </w:r>
          </w:p>
        </w:tc>
        <w:tc>
          <w:tcPr>
            <w:tcW w:w="449"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西门</w:t>
            </w:r>
          </w:p>
        </w:tc>
        <w:tc>
          <w:tcPr>
            <w:tcW w:w="449"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北门</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东门</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南门</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西门</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北门</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公寓楼/写字楼</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已安装个数</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缺少个数</w:t>
            </w:r>
          </w:p>
        </w:tc>
      </w:tr>
      <w:tr>
        <w:tblPrEx>
          <w:tblCellMar>
            <w:top w:w="0" w:type="dxa"/>
            <w:left w:w="108" w:type="dxa"/>
            <w:bottom w:w="0" w:type="dxa"/>
            <w:right w:w="108" w:type="dxa"/>
          </w:tblCellMar>
        </w:tblPrEx>
        <w:trPr>
          <w:trHeight w:val="285" w:hRule="atLeast"/>
          <w:jc w:val="center"/>
        </w:trPr>
        <w:tc>
          <w:tcPr>
            <w:tcW w:w="315"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439"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0"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0"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46"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东门-进</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东门-出</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南门-进</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南门-出</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西门-进</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西门-出</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北门-进</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北门-出</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东门-进</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南门-进</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西门-进</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北门-进</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进口</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300"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绿城绿园</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缺2</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缺1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r>
      <w:tr>
        <w:tblPrEx>
          <w:tblCellMar>
            <w:top w:w="0" w:type="dxa"/>
            <w:left w:w="108" w:type="dxa"/>
            <w:bottom w:w="0" w:type="dxa"/>
            <w:right w:w="108" w:type="dxa"/>
          </w:tblCellMar>
        </w:tblPrEx>
        <w:trPr>
          <w:trHeight w:val="300"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嘉利广场</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缺1</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r>
      <w:tr>
        <w:tblPrEx>
          <w:tblCellMar>
            <w:top w:w="0" w:type="dxa"/>
            <w:left w:w="108" w:type="dxa"/>
            <w:bottom w:w="0" w:type="dxa"/>
            <w:right w:w="108" w:type="dxa"/>
          </w:tblCellMar>
        </w:tblPrEx>
        <w:trPr>
          <w:trHeight w:val="300"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沧海明珠苑</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缺1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r>
      <w:tr>
        <w:tblPrEx>
          <w:tblCellMar>
            <w:top w:w="0" w:type="dxa"/>
            <w:left w:w="108" w:type="dxa"/>
            <w:bottom w:w="0" w:type="dxa"/>
            <w:right w:w="108" w:type="dxa"/>
          </w:tblCellMar>
        </w:tblPrEx>
        <w:trPr>
          <w:trHeight w:val="300"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星辰明月里</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4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银珠明园</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00"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东郡名苑</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缺1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缺1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缺1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r>
      <w:tr>
        <w:tblPrEx>
          <w:tblCellMar>
            <w:top w:w="0" w:type="dxa"/>
            <w:left w:w="108" w:type="dxa"/>
            <w:bottom w:w="0" w:type="dxa"/>
            <w:right w:w="108" w:type="dxa"/>
          </w:tblCellMar>
        </w:tblPrEx>
        <w:trPr>
          <w:trHeight w:val="34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逸树园</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00"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玖著里</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00"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华丰庄园</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缺1</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缺1</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缺1</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r>
      <w:tr>
        <w:tblPrEx>
          <w:tblCellMar>
            <w:top w:w="0" w:type="dxa"/>
            <w:left w:w="108" w:type="dxa"/>
            <w:bottom w:w="0" w:type="dxa"/>
            <w:right w:w="108" w:type="dxa"/>
          </w:tblCellMar>
        </w:tblPrEx>
        <w:trPr>
          <w:trHeight w:val="34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凤凰水岸小区</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缺1</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缺1</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r>
      <w:tr>
        <w:tblPrEx>
          <w:tblCellMar>
            <w:top w:w="0" w:type="dxa"/>
            <w:left w:w="108" w:type="dxa"/>
            <w:bottom w:w="0" w:type="dxa"/>
            <w:right w:w="108" w:type="dxa"/>
          </w:tblCellMar>
        </w:tblPrEx>
        <w:trPr>
          <w:trHeight w:val="300"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11</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荟博雅苑</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缺1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缺1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r>
      <w:tr>
        <w:tblPrEx>
          <w:tblCellMar>
            <w:top w:w="0" w:type="dxa"/>
            <w:left w:w="108" w:type="dxa"/>
            <w:bottom w:w="0" w:type="dxa"/>
            <w:right w:w="108" w:type="dxa"/>
          </w:tblCellMar>
        </w:tblPrEx>
        <w:trPr>
          <w:trHeight w:val="300"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丹桂苑</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缺1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缺1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缺1</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r>
      <w:tr>
        <w:tblPrEx>
          <w:tblCellMar>
            <w:top w:w="0" w:type="dxa"/>
            <w:left w:w="108" w:type="dxa"/>
            <w:bottom w:w="0" w:type="dxa"/>
            <w:right w:w="108" w:type="dxa"/>
          </w:tblCellMar>
        </w:tblPrEx>
        <w:trPr>
          <w:trHeight w:val="285" w:hRule="atLeast"/>
          <w:jc w:val="center"/>
        </w:trPr>
        <w:tc>
          <w:tcPr>
            <w:tcW w:w="315" w:type="pct"/>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13</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明辰紫苑东区</w:t>
            </w:r>
          </w:p>
        </w:tc>
        <w:tc>
          <w:tcPr>
            <w:tcW w:w="160" w:type="pct"/>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160" w:type="pct"/>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285" w:hRule="atLeast"/>
          <w:jc w:val="center"/>
        </w:trPr>
        <w:tc>
          <w:tcPr>
            <w:tcW w:w="315"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明辰紫苑西区</w:t>
            </w:r>
          </w:p>
        </w:tc>
        <w:tc>
          <w:tcPr>
            <w:tcW w:w="160"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0"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缺1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r>
      <w:tr>
        <w:tblPrEx>
          <w:tblCellMar>
            <w:top w:w="0" w:type="dxa"/>
            <w:left w:w="108" w:type="dxa"/>
            <w:bottom w:w="0" w:type="dxa"/>
            <w:right w:w="108" w:type="dxa"/>
          </w:tblCellMar>
        </w:tblPrEx>
        <w:trPr>
          <w:trHeight w:val="300"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14</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商都大厦</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缺1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r>
      <w:tr>
        <w:tblPrEx>
          <w:tblCellMar>
            <w:top w:w="0" w:type="dxa"/>
            <w:left w:w="108" w:type="dxa"/>
            <w:bottom w:w="0" w:type="dxa"/>
            <w:right w:w="108" w:type="dxa"/>
          </w:tblCellMar>
        </w:tblPrEx>
        <w:trPr>
          <w:trHeight w:val="300"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15</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香洲晓筑</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00"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16</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桃园别墅</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00"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17</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名仕嘉景苑</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00"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18</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东城峰汇</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00"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19</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中宁花园</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r>
      <w:tr>
        <w:tblPrEx>
          <w:tblCellMar>
            <w:top w:w="0" w:type="dxa"/>
            <w:left w:w="108" w:type="dxa"/>
            <w:bottom w:w="0" w:type="dxa"/>
            <w:right w:w="108" w:type="dxa"/>
          </w:tblCellMar>
        </w:tblPrEx>
        <w:trPr>
          <w:trHeight w:val="300"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20</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润和园</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缺1</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r>
      <w:tr>
        <w:tblPrEx>
          <w:tblCellMar>
            <w:top w:w="0" w:type="dxa"/>
            <w:left w:w="108" w:type="dxa"/>
            <w:bottom w:w="0" w:type="dxa"/>
            <w:right w:w="108" w:type="dxa"/>
          </w:tblCellMar>
        </w:tblPrEx>
        <w:trPr>
          <w:trHeight w:val="300"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21</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围海小区</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缺1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r>
      <w:tr>
        <w:tblPrEx>
          <w:tblCellMar>
            <w:top w:w="0" w:type="dxa"/>
            <w:left w:w="108" w:type="dxa"/>
            <w:bottom w:w="0" w:type="dxa"/>
            <w:right w:w="108" w:type="dxa"/>
          </w:tblCellMar>
        </w:tblPrEx>
        <w:trPr>
          <w:trHeight w:val="300"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22</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宾果公寓</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00"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23</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永久花园</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缺1</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r>
      <w:tr>
        <w:tblPrEx>
          <w:tblCellMar>
            <w:top w:w="0" w:type="dxa"/>
            <w:left w:w="108" w:type="dxa"/>
            <w:bottom w:w="0" w:type="dxa"/>
            <w:right w:w="108" w:type="dxa"/>
          </w:tblCellMar>
        </w:tblPrEx>
        <w:trPr>
          <w:trHeight w:val="300"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24</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紫园</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00"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25</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葵花苑</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00"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26</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滨江花苑一期</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缺1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r>
      <w:tr>
        <w:tblPrEx>
          <w:tblCellMar>
            <w:top w:w="0" w:type="dxa"/>
            <w:left w:w="108" w:type="dxa"/>
            <w:bottom w:w="0" w:type="dxa"/>
            <w:right w:w="108" w:type="dxa"/>
          </w:tblCellMar>
        </w:tblPrEx>
        <w:trPr>
          <w:trHeight w:val="300"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27</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锦诚名都</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缺1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缺1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r>
      <w:tr>
        <w:tblPrEx>
          <w:tblCellMar>
            <w:top w:w="0" w:type="dxa"/>
            <w:left w:w="108" w:type="dxa"/>
            <w:bottom w:w="0" w:type="dxa"/>
            <w:right w:w="108" w:type="dxa"/>
          </w:tblCellMar>
        </w:tblPrEx>
        <w:trPr>
          <w:trHeight w:val="300"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28</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滨江海晨苑</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00"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29</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丁香苑二期</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缺1</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r>
      <w:tr>
        <w:tblPrEx>
          <w:tblCellMar>
            <w:top w:w="0" w:type="dxa"/>
            <w:left w:w="108" w:type="dxa"/>
            <w:bottom w:w="0" w:type="dxa"/>
            <w:right w:w="108" w:type="dxa"/>
          </w:tblCellMar>
        </w:tblPrEx>
        <w:trPr>
          <w:trHeight w:val="300"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30</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老庙小区</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00"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31</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锦诚花园</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缺1</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r>
      <w:tr>
        <w:tblPrEx>
          <w:tblCellMar>
            <w:top w:w="0" w:type="dxa"/>
            <w:left w:w="108" w:type="dxa"/>
            <w:bottom w:w="0" w:type="dxa"/>
            <w:right w:w="108" w:type="dxa"/>
          </w:tblCellMar>
        </w:tblPrEx>
        <w:trPr>
          <w:trHeight w:val="300"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32</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滨江花苑</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缺1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r>
      <w:tr>
        <w:tblPrEx>
          <w:tblCellMar>
            <w:top w:w="0" w:type="dxa"/>
            <w:left w:w="108" w:type="dxa"/>
            <w:bottom w:w="0" w:type="dxa"/>
            <w:right w:w="108" w:type="dxa"/>
          </w:tblCellMar>
        </w:tblPrEx>
        <w:trPr>
          <w:trHeight w:val="300"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33</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丁香苑一期</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缺1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r>
      <w:tr>
        <w:tblPrEx>
          <w:tblCellMar>
            <w:top w:w="0" w:type="dxa"/>
            <w:left w:w="108" w:type="dxa"/>
            <w:bottom w:w="0" w:type="dxa"/>
            <w:right w:w="108" w:type="dxa"/>
          </w:tblCellMar>
        </w:tblPrEx>
        <w:trPr>
          <w:trHeight w:val="300"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34</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涨浦景苑</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缺2</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缺1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r>
      <w:tr>
        <w:tblPrEx>
          <w:tblCellMar>
            <w:top w:w="0" w:type="dxa"/>
            <w:left w:w="108" w:type="dxa"/>
            <w:bottom w:w="0" w:type="dxa"/>
            <w:right w:w="108" w:type="dxa"/>
          </w:tblCellMar>
        </w:tblPrEx>
        <w:trPr>
          <w:trHeight w:val="300"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35</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秀东尚座</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缺2</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r>
      <w:tr>
        <w:tblPrEx>
          <w:tblCellMar>
            <w:top w:w="0" w:type="dxa"/>
            <w:left w:w="108" w:type="dxa"/>
            <w:bottom w:w="0" w:type="dxa"/>
            <w:right w:w="108" w:type="dxa"/>
          </w:tblCellMar>
        </w:tblPrEx>
        <w:trPr>
          <w:trHeight w:val="300"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36</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欧宝花苑</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00"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37</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和美城广场</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4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38</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衡春四季里</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4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39</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江南一品</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4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40</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蓝海公寓</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缺1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缺1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r>
      <w:tr>
        <w:tblPrEx>
          <w:tblCellMar>
            <w:top w:w="0" w:type="dxa"/>
            <w:left w:w="108" w:type="dxa"/>
            <w:bottom w:w="0" w:type="dxa"/>
            <w:right w:w="108" w:type="dxa"/>
          </w:tblCellMar>
        </w:tblPrEx>
        <w:trPr>
          <w:trHeight w:val="34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41</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九五花园</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4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42</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华城花园</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4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43</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翡翠湾</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缺1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缺1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r>
      <w:tr>
        <w:tblPrEx>
          <w:tblCellMar>
            <w:top w:w="0" w:type="dxa"/>
            <w:left w:w="108" w:type="dxa"/>
            <w:bottom w:w="0" w:type="dxa"/>
            <w:right w:w="108" w:type="dxa"/>
          </w:tblCellMar>
        </w:tblPrEx>
        <w:trPr>
          <w:trHeight w:val="34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44</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嘉苑广场</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缺1</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缺1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r>
      <w:tr>
        <w:tblPrEx>
          <w:tblCellMar>
            <w:top w:w="0" w:type="dxa"/>
            <w:left w:w="108" w:type="dxa"/>
            <w:bottom w:w="0" w:type="dxa"/>
            <w:right w:w="108" w:type="dxa"/>
          </w:tblCellMar>
        </w:tblPrEx>
        <w:trPr>
          <w:trHeight w:val="34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45</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金东岸</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4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46</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宁兴御府</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缺1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缺1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r>
      <w:tr>
        <w:tblPrEx>
          <w:tblCellMar>
            <w:top w:w="0" w:type="dxa"/>
            <w:left w:w="108" w:type="dxa"/>
            <w:bottom w:w="0" w:type="dxa"/>
            <w:right w:w="108" w:type="dxa"/>
          </w:tblCellMar>
        </w:tblPrEx>
        <w:trPr>
          <w:trHeight w:val="34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47</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梅盛苑</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4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48</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梅龙新村</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4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49</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明州园别墅</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4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50</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民和家园</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缺1</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r>
      <w:tr>
        <w:tblPrEx>
          <w:tblCellMar>
            <w:top w:w="0" w:type="dxa"/>
            <w:left w:w="108" w:type="dxa"/>
            <w:bottom w:w="0" w:type="dxa"/>
            <w:right w:w="108" w:type="dxa"/>
          </w:tblCellMar>
        </w:tblPrEx>
        <w:trPr>
          <w:trHeight w:val="34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51</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梅沁园</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13</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缺1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16</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r>
      <w:tr>
        <w:tblPrEx>
          <w:tblCellMar>
            <w:top w:w="0" w:type="dxa"/>
            <w:left w:w="108" w:type="dxa"/>
            <w:bottom w:w="0" w:type="dxa"/>
            <w:right w:w="108" w:type="dxa"/>
          </w:tblCellMar>
        </w:tblPrEx>
        <w:trPr>
          <w:trHeight w:val="34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52</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枫香庭院</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4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53</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万景梅庭</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4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54</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梅江北苑</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缺1</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r>
      <w:tr>
        <w:tblPrEx>
          <w:tblCellMar>
            <w:top w:w="0" w:type="dxa"/>
            <w:left w:w="108" w:type="dxa"/>
            <w:bottom w:w="0" w:type="dxa"/>
            <w:right w:w="108" w:type="dxa"/>
          </w:tblCellMar>
        </w:tblPrEx>
        <w:trPr>
          <w:trHeight w:val="34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55</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梅福园</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缺1</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r>
      <w:tr>
        <w:tblPrEx>
          <w:tblCellMar>
            <w:top w:w="0" w:type="dxa"/>
            <w:left w:w="108" w:type="dxa"/>
            <w:bottom w:w="0" w:type="dxa"/>
            <w:right w:w="108" w:type="dxa"/>
          </w:tblCellMar>
        </w:tblPrEx>
        <w:trPr>
          <w:trHeight w:val="34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56</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蓝庭花园</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缺1</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r>
      <w:tr>
        <w:tblPrEx>
          <w:tblCellMar>
            <w:top w:w="0" w:type="dxa"/>
            <w:left w:w="108" w:type="dxa"/>
            <w:bottom w:w="0" w:type="dxa"/>
            <w:right w:w="108" w:type="dxa"/>
          </w:tblCellMar>
        </w:tblPrEx>
        <w:trPr>
          <w:trHeight w:val="34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57</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名人别墅</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缺1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r>
      <w:tr>
        <w:tblPrEx>
          <w:tblCellMar>
            <w:top w:w="0" w:type="dxa"/>
            <w:left w:w="108" w:type="dxa"/>
            <w:bottom w:w="0" w:type="dxa"/>
            <w:right w:w="108" w:type="dxa"/>
          </w:tblCellMar>
        </w:tblPrEx>
        <w:trPr>
          <w:trHeight w:val="34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58</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亿嘉商业广场</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4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59</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金地东御</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4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60</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紫东名府</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4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61</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海景华庭</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4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62</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梅江西苑</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45" w:hRule="atLeast"/>
          <w:jc w:val="center"/>
        </w:trPr>
        <w:tc>
          <w:tcPr>
            <w:tcW w:w="315" w:type="pct"/>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63</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梅江东苑南区</w:t>
            </w:r>
          </w:p>
        </w:tc>
        <w:tc>
          <w:tcPr>
            <w:tcW w:w="160" w:type="pct"/>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11</w:t>
            </w:r>
          </w:p>
        </w:tc>
        <w:tc>
          <w:tcPr>
            <w:tcW w:w="160" w:type="pct"/>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45" w:hRule="atLeast"/>
          <w:jc w:val="center"/>
        </w:trPr>
        <w:tc>
          <w:tcPr>
            <w:tcW w:w="315"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梅江东苑北区</w:t>
            </w:r>
          </w:p>
        </w:tc>
        <w:tc>
          <w:tcPr>
            <w:tcW w:w="160"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0"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4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64</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梅江南苑</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4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65</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东和雅苑</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4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66</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五和苑</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4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67</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齐和家园</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4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68</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庄和家园</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4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69</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深蓝公寓</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4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70</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晟郡华庭</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4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71</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皇冠花园三期</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缺1</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r>
      <w:tr>
        <w:tblPrEx>
          <w:tblCellMar>
            <w:top w:w="0" w:type="dxa"/>
            <w:left w:w="108" w:type="dxa"/>
            <w:bottom w:w="0" w:type="dxa"/>
            <w:right w:w="108" w:type="dxa"/>
          </w:tblCellMar>
        </w:tblPrEx>
        <w:trPr>
          <w:trHeight w:val="34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72</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扬帆广场</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4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73</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皇冠花园二期</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4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74</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前程智慧城</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00"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75</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研发园</w:t>
            </w:r>
            <w:r>
              <w:rPr>
                <w:rStyle w:val="287"/>
                <w:rFonts w:hint="eastAsia" w:ascii="宋体" w:hAnsi="宋体" w:eastAsia="宋体" w:cs="宋体"/>
                <w:color w:val="auto"/>
                <w:sz w:val="21"/>
                <w:szCs w:val="21"/>
                <w:highlight w:val="none"/>
                <w:lang w:bidi="ar"/>
              </w:rPr>
              <w:t>C3</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4（美食城）</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4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76</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宁波市高新区科技广场</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4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77</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皇冠花园一期</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4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78</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华苑银座</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4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79</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印创广场</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7</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11</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4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80</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东海景花苑</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宋体" w:hAnsi="宋体" w:cs="宋体"/>
                <w:color w:val="auto"/>
                <w:szCs w:val="21"/>
                <w:highlight w:val="none"/>
              </w:rPr>
            </w:pP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4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81</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蓝湾花园</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4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82</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江南景苑南区</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4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83</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御江花苑</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宋体" w:hAnsi="宋体" w:cs="宋体"/>
                <w:color w:val="auto"/>
                <w:szCs w:val="21"/>
                <w:highlight w:val="none"/>
              </w:rPr>
            </w:pP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4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84</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悦之湾</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r>
      <w:tr>
        <w:tblPrEx>
          <w:tblCellMar>
            <w:top w:w="0" w:type="dxa"/>
            <w:left w:w="108" w:type="dxa"/>
            <w:bottom w:w="0" w:type="dxa"/>
            <w:right w:w="108" w:type="dxa"/>
          </w:tblCellMar>
        </w:tblPrEx>
        <w:trPr>
          <w:trHeight w:val="34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85</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涨馨苑</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00"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86</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珑耀华庭</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4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87</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瑞臻华庭</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4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88</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江南景苑北区</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4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89</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凌云公寓</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34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90</w:t>
            </w: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东晟府</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宋体" w:hAnsi="宋体" w:cs="宋体"/>
                <w:color w:val="auto"/>
                <w:szCs w:val="21"/>
                <w:highlight w:val="none"/>
              </w:rPr>
            </w:pP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缺1</w:t>
            </w: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w:t>
            </w: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r>
      <w:tr>
        <w:tblPrEx>
          <w:tblCellMar>
            <w:top w:w="0" w:type="dxa"/>
            <w:left w:w="108" w:type="dxa"/>
            <w:bottom w:w="0" w:type="dxa"/>
            <w:right w:w="108" w:type="dxa"/>
          </w:tblCellMar>
        </w:tblPrEx>
        <w:trPr>
          <w:trHeight w:val="285" w:hRule="atLeast"/>
          <w:jc w:val="center"/>
        </w:trPr>
        <w:tc>
          <w:tcPr>
            <w:tcW w:w="3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auto"/>
                <w:szCs w:val="21"/>
                <w:highlight w:val="none"/>
              </w:rPr>
            </w:pPr>
          </w:p>
        </w:tc>
        <w:tc>
          <w:tcPr>
            <w:tcW w:w="4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合计</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319</w:t>
            </w:r>
          </w:p>
        </w:tc>
        <w:tc>
          <w:tcPr>
            <w:tcW w:w="1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135</w:t>
            </w:r>
          </w:p>
        </w:tc>
        <w:tc>
          <w:tcPr>
            <w:tcW w:w="2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宋体" w:hAnsi="宋体" w:cs="宋体"/>
                <w:color w:val="auto"/>
                <w:szCs w:val="21"/>
                <w:highlight w:val="none"/>
              </w:rPr>
            </w:pP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宋体" w:hAnsi="宋体" w:cs="宋体"/>
                <w:color w:val="auto"/>
                <w:szCs w:val="21"/>
                <w:highlight w:val="none"/>
              </w:rPr>
            </w:pP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宋体" w:hAnsi="宋体" w:cs="宋体"/>
                <w:color w:val="auto"/>
                <w:szCs w:val="21"/>
                <w:highlight w:val="none"/>
              </w:rPr>
            </w:pPr>
          </w:p>
        </w:tc>
        <w:tc>
          <w:tcPr>
            <w:tcW w:w="2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宋体" w:hAnsi="宋体" w:cs="宋体"/>
                <w:color w:val="auto"/>
                <w:szCs w:val="21"/>
                <w:highlight w:val="none"/>
              </w:rPr>
            </w:pP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宋体" w:hAnsi="宋体" w:cs="宋体"/>
                <w:color w:val="auto"/>
                <w:szCs w:val="21"/>
                <w:highlight w:val="none"/>
              </w:rPr>
            </w:pP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宋体" w:hAnsi="宋体" w:cs="宋体"/>
                <w:color w:val="auto"/>
                <w:szCs w:val="21"/>
                <w:highlight w:val="none"/>
              </w:rPr>
            </w:pP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宋体" w:hAnsi="宋体" w:cs="宋体"/>
                <w:color w:val="auto"/>
                <w:szCs w:val="21"/>
                <w:highlight w:val="none"/>
              </w:rPr>
            </w:pP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宋体" w:hAnsi="宋体" w:cs="宋体"/>
                <w:color w:val="auto"/>
                <w:szCs w:val="21"/>
                <w:highlight w:val="none"/>
              </w:rPr>
            </w:pPr>
          </w:p>
        </w:tc>
        <w:tc>
          <w:tcPr>
            <w:tcW w:w="224" w:type="pct"/>
            <w:gridSpan w:val="3"/>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宋体" w:hAnsi="宋体" w:cs="宋体"/>
                <w:color w:val="auto"/>
                <w:szCs w:val="21"/>
                <w:highlight w:val="none"/>
              </w:rPr>
            </w:pPr>
          </w:p>
        </w:tc>
        <w:tc>
          <w:tcPr>
            <w:tcW w:w="2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宋体" w:hAnsi="宋体" w:cs="宋体"/>
                <w:color w:val="auto"/>
                <w:szCs w:val="21"/>
                <w:highlight w:val="none"/>
              </w:rPr>
            </w:pPr>
          </w:p>
        </w:tc>
        <w:tc>
          <w:tcPr>
            <w:tcW w:w="224" w:type="pct"/>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宋体" w:hAnsi="宋体" w:cs="宋体"/>
                <w:color w:val="auto"/>
                <w:szCs w:val="21"/>
                <w:highlight w:val="none"/>
              </w:rPr>
            </w:pPr>
          </w:p>
        </w:tc>
        <w:tc>
          <w:tcPr>
            <w:tcW w:w="3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宋体" w:hAnsi="宋体" w:cs="宋体"/>
                <w:color w:val="auto"/>
                <w:szCs w:val="21"/>
                <w:highlight w:val="none"/>
              </w:rPr>
            </w:pPr>
          </w:p>
        </w:tc>
        <w:tc>
          <w:tcPr>
            <w:tcW w:w="2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457</w:t>
            </w:r>
          </w:p>
        </w:tc>
        <w:tc>
          <w:tcPr>
            <w:tcW w:w="3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5000" w:type="pct"/>
            <w:gridSpan w:val="78"/>
            <w:tcBorders>
              <w:tl2br w:val="nil"/>
              <w:tr2bl w:val="nil"/>
            </w:tcBorders>
            <w:shd w:val="clear" w:color="auto" w:fill="auto"/>
            <w:noWrap/>
            <w:vAlign w:val="center"/>
          </w:tcPr>
          <w:p>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重要感知点位规划汇总表1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71" w:type="pct"/>
            <w:gridSpan w:val="2"/>
            <w:vMerge w:val="restart"/>
            <w:tcBorders>
              <w:tl2br w:val="nil"/>
              <w:tr2bl w:val="nil"/>
            </w:tcBorders>
            <w:shd w:val="clear" w:color="auto" w:fill="auto"/>
            <w:noWrap/>
            <w:vAlign w:val="center"/>
          </w:tcPr>
          <w:p>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序号</w:t>
            </w:r>
          </w:p>
        </w:tc>
        <w:tc>
          <w:tcPr>
            <w:tcW w:w="1160" w:type="pct"/>
            <w:gridSpan w:val="15"/>
            <w:vMerge w:val="restart"/>
            <w:tcBorders>
              <w:tl2br w:val="nil"/>
              <w:tr2bl w:val="nil"/>
            </w:tcBorders>
            <w:shd w:val="clear" w:color="auto" w:fill="auto"/>
            <w:vAlign w:val="center"/>
          </w:tcPr>
          <w:p>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点位名称</w:t>
            </w:r>
          </w:p>
        </w:tc>
        <w:tc>
          <w:tcPr>
            <w:tcW w:w="181" w:type="pct"/>
            <w:gridSpan w:val="4"/>
            <w:vMerge w:val="restart"/>
            <w:tcBorders>
              <w:tl2br w:val="nil"/>
              <w:tr2bl w:val="nil"/>
            </w:tcBorders>
            <w:shd w:val="clear" w:color="auto" w:fill="auto"/>
            <w:vAlign w:val="center"/>
          </w:tcPr>
          <w:p>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安装位置</w:t>
            </w:r>
          </w:p>
        </w:tc>
        <w:tc>
          <w:tcPr>
            <w:tcW w:w="128" w:type="pct"/>
            <w:gridSpan w:val="2"/>
            <w:vMerge w:val="restart"/>
            <w:tcBorders>
              <w:tl2br w:val="nil"/>
              <w:tr2bl w:val="nil"/>
            </w:tcBorders>
            <w:shd w:val="clear" w:color="auto" w:fill="auto"/>
            <w:vAlign w:val="center"/>
          </w:tcPr>
          <w:p>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摄像机数量</w:t>
            </w:r>
          </w:p>
        </w:tc>
        <w:tc>
          <w:tcPr>
            <w:tcW w:w="823" w:type="pct"/>
            <w:gridSpan w:val="13"/>
            <w:tcBorders>
              <w:tl2br w:val="nil"/>
              <w:tr2bl w:val="nil"/>
            </w:tcBorders>
            <w:shd w:val="clear" w:color="auto" w:fill="auto"/>
            <w:noWrap/>
            <w:vAlign w:val="center"/>
          </w:tcPr>
          <w:p>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摄像机类型</w:t>
            </w:r>
          </w:p>
        </w:tc>
        <w:tc>
          <w:tcPr>
            <w:tcW w:w="1846" w:type="pct"/>
            <w:gridSpan w:val="34"/>
            <w:tcBorders>
              <w:tl2br w:val="nil"/>
              <w:tr2bl w:val="nil"/>
            </w:tcBorders>
            <w:shd w:val="clear" w:color="auto" w:fill="auto"/>
            <w:noWrap/>
            <w:vAlign w:val="center"/>
          </w:tcPr>
          <w:p>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杆件类型</w:t>
            </w:r>
          </w:p>
        </w:tc>
        <w:tc>
          <w:tcPr>
            <w:tcW w:w="316" w:type="pct"/>
            <w:gridSpan w:val="5"/>
            <w:tcBorders>
              <w:tl2br w:val="nil"/>
              <w:tr2bl w:val="nil"/>
            </w:tcBorders>
            <w:shd w:val="clear" w:color="auto" w:fill="auto"/>
            <w:noWrap/>
            <w:vAlign w:val="center"/>
          </w:tcPr>
          <w:p>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机箱类型</w:t>
            </w:r>
          </w:p>
        </w:tc>
        <w:tc>
          <w:tcPr>
            <w:tcW w:w="271" w:type="pct"/>
            <w:gridSpan w:val="3"/>
            <w:tcBorders>
              <w:tl2br w:val="nil"/>
              <w:tr2bl w:val="nil"/>
            </w:tcBorders>
            <w:shd w:val="clear" w:color="auto" w:fill="auto"/>
            <w:noWrap/>
            <w:vAlign w:val="center"/>
          </w:tcPr>
          <w:p>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71" w:type="pct"/>
            <w:gridSpan w:val="2"/>
            <w:vMerge w:val="continue"/>
            <w:tcBorders>
              <w:tl2br w:val="nil"/>
              <w:tr2bl w:val="nil"/>
            </w:tcBorders>
            <w:shd w:val="clear" w:color="auto" w:fill="auto"/>
            <w:noWrap/>
            <w:vAlign w:val="center"/>
          </w:tcPr>
          <w:p>
            <w:pPr>
              <w:widowControl/>
              <w:adjustRightInd/>
              <w:jc w:val="center"/>
              <w:rPr>
                <w:rFonts w:ascii="宋体" w:hAnsi="宋体" w:cs="宋体"/>
                <w:b/>
                <w:bCs/>
                <w:color w:val="auto"/>
                <w:szCs w:val="21"/>
                <w:highlight w:val="none"/>
              </w:rPr>
            </w:pPr>
          </w:p>
        </w:tc>
        <w:tc>
          <w:tcPr>
            <w:tcW w:w="1160" w:type="pct"/>
            <w:gridSpan w:val="15"/>
            <w:vMerge w:val="continue"/>
            <w:tcBorders>
              <w:tl2br w:val="nil"/>
              <w:tr2bl w:val="nil"/>
            </w:tcBorders>
            <w:shd w:val="clear" w:color="auto" w:fill="auto"/>
            <w:vAlign w:val="center"/>
          </w:tcPr>
          <w:p>
            <w:pPr>
              <w:widowControl/>
              <w:adjustRightInd/>
              <w:jc w:val="center"/>
              <w:rPr>
                <w:rFonts w:ascii="宋体" w:hAnsi="宋体" w:cs="宋体"/>
                <w:b/>
                <w:bCs/>
                <w:color w:val="auto"/>
                <w:szCs w:val="21"/>
                <w:highlight w:val="none"/>
              </w:rPr>
            </w:pPr>
          </w:p>
        </w:tc>
        <w:tc>
          <w:tcPr>
            <w:tcW w:w="181" w:type="pct"/>
            <w:gridSpan w:val="4"/>
            <w:vMerge w:val="continue"/>
            <w:tcBorders>
              <w:tl2br w:val="nil"/>
              <w:tr2bl w:val="nil"/>
            </w:tcBorders>
            <w:shd w:val="clear" w:color="auto" w:fill="auto"/>
            <w:vAlign w:val="center"/>
          </w:tcPr>
          <w:p>
            <w:pPr>
              <w:widowControl/>
              <w:adjustRightInd/>
              <w:jc w:val="center"/>
              <w:rPr>
                <w:rFonts w:ascii="宋体" w:hAnsi="宋体" w:cs="宋体"/>
                <w:b/>
                <w:bCs/>
                <w:color w:val="auto"/>
                <w:szCs w:val="21"/>
                <w:highlight w:val="none"/>
              </w:rPr>
            </w:pPr>
          </w:p>
        </w:tc>
        <w:tc>
          <w:tcPr>
            <w:tcW w:w="128" w:type="pct"/>
            <w:gridSpan w:val="2"/>
            <w:vMerge w:val="continue"/>
            <w:tcBorders>
              <w:tl2br w:val="nil"/>
              <w:tr2bl w:val="nil"/>
            </w:tcBorders>
            <w:shd w:val="clear" w:color="auto" w:fill="auto"/>
            <w:vAlign w:val="center"/>
          </w:tcPr>
          <w:p>
            <w:pPr>
              <w:widowControl/>
              <w:adjustRightInd/>
              <w:jc w:val="center"/>
              <w:rPr>
                <w:rFonts w:ascii="宋体" w:hAnsi="宋体" w:cs="宋体"/>
                <w:b/>
                <w:bCs/>
                <w:color w:val="auto"/>
                <w:szCs w:val="21"/>
                <w:highlight w:val="none"/>
              </w:rPr>
            </w:pPr>
          </w:p>
        </w:tc>
        <w:tc>
          <w:tcPr>
            <w:tcW w:w="308" w:type="pct"/>
            <w:gridSpan w:val="4"/>
            <w:tcBorders>
              <w:tl2br w:val="nil"/>
              <w:tr2bl w:val="nil"/>
            </w:tcBorders>
            <w:shd w:val="clear" w:color="auto" w:fill="FFFFFF"/>
            <w:vAlign w:val="center"/>
          </w:tcPr>
          <w:p>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高清球机</w:t>
            </w:r>
          </w:p>
        </w:tc>
        <w:tc>
          <w:tcPr>
            <w:tcW w:w="127" w:type="pct"/>
            <w:gridSpan w:val="2"/>
            <w:tcBorders>
              <w:tl2br w:val="nil"/>
              <w:tr2bl w:val="nil"/>
            </w:tcBorders>
            <w:shd w:val="clear" w:color="auto" w:fill="FFFFFF"/>
            <w:vAlign w:val="center"/>
          </w:tcPr>
          <w:p>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高清枪机</w:t>
            </w:r>
          </w:p>
        </w:tc>
        <w:tc>
          <w:tcPr>
            <w:tcW w:w="155" w:type="pct"/>
            <w:gridSpan w:val="3"/>
            <w:tcBorders>
              <w:tl2br w:val="nil"/>
              <w:tr2bl w:val="nil"/>
            </w:tcBorders>
            <w:shd w:val="clear" w:color="auto" w:fill="FFFFFF"/>
            <w:vAlign w:val="center"/>
          </w:tcPr>
          <w:p>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400万人脸</w:t>
            </w:r>
          </w:p>
        </w:tc>
        <w:tc>
          <w:tcPr>
            <w:tcW w:w="128" w:type="pct"/>
            <w:gridSpan w:val="3"/>
            <w:tcBorders>
              <w:tl2br w:val="nil"/>
              <w:tr2bl w:val="nil"/>
            </w:tcBorders>
            <w:shd w:val="clear" w:color="auto" w:fill="FFFFFF"/>
            <w:vAlign w:val="center"/>
          </w:tcPr>
          <w:p>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全结构化相机</w:t>
            </w:r>
          </w:p>
        </w:tc>
        <w:tc>
          <w:tcPr>
            <w:tcW w:w="155" w:type="pct"/>
            <w:gridSpan w:val="2"/>
            <w:tcBorders>
              <w:tl2br w:val="nil"/>
              <w:tr2bl w:val="nil"/>
            </w:tcBorders>
            <w:shd w:val="clear" w:color="auto" w:fill="FFFFFF"/>
            <w:vAlign w:val="center"/>
          </w:tcPr>
          <w:p>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800万人脸</w:t>
            </w:r>
          </w:p>
        </w:tc>
        <w:tc>
          <w:tcPr>
            <w:tcW w:w="128" w:type="pct"/>
            <w:gridSpan w:val="3"/>
            <w:tcBorders>
              <w:tl2br w:val="nil"/>
              <w:tr2bl w:val="nil"/>
            </w:tcBorders>
            <w:shd w:val="clear" w:color="auto" w:fill="FFFFFF"/>
            <w:vAlign w:val="center"/>
          </w:tcPr>
          <w:p>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车脸</w:t>
            </w:r>
          </w:p>
        </w:tc>
        <w:tc>
          <w:tcPr>
            <w:tcW w:w="237" w:type="pct"/>
            <w:gridSpan w:val="4"/>
            <w:tcBorders>
              <w:tl2br w:val="nil"/>
              <w:tr2bl w:val="nil"/>
            </w:tcBorders>
            <w:shd w:val="clear" w:color="auto" w:fill="FFFFFF"/>
            <w:noWrap/>
            <w:vAlign w:val="center"/>
          </w:tcPr>
          <w:p>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L4挑1</w:t>
            </w:r>
          </w:p>
        </w:tc>
        <w:tc>
          <w:tcPr>
            <w:tcW w:w="237" w:type="pct"/>
            <w:gridSpan w:val="4"/>
            <w:tcBorders>
              <w:tl2br w:val="nil"/>
              <w:tr2bl w:val="nil"/>
            </w:tcBorders>
            <w:shd w:val="clear" w:color="auto" w:fill="FFFFFF"/>
            <w:noWrap/>
            <w:vAlign w:val="center"/>
          </w:tcPr>
          <w:p>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L4挑2</w:t>
            </w:r>
          </w:p>
        </w:tc>
        <w:tc>
          <w:tcPr>
            <w:tcW w:w="237" w:type="pct"/>
            <w:gridSpan w:val="3"/>
            <w:tcBorders>
              <w:tl2br w:val="nil"/>
              <w:tr2bl w:val="nil"/>
            </w:tcBorders>
            <w:shd w:val="clear" w:color="auto" w:fill="FFFFFF"/>
            <w:noWrap/>
            <w:vAlign w:val="center"/>
          </w:tcPr>
          <w:p>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L3挑1</w:t>
            </w:r>
          </w:p>
        </w:tc>
        <w:tc>
          <w:tcPr>
            <w:tcW w:w="128" w:type="pct"/>
            <w:gridSpan w:val="3"/>
            <w:tcBorders>
              <w:tl2br w:val="nil"/>
              <w:tr2bl w:val="nil"/>
            </w:tcBorders>
            <w:shd w:val="clear" w:color="auto" w:fill="FFFFFF"/>
            <w:vAlign w:val="center"/>
          </w:tcPr>
          <w:p>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吊杆</w:t>
            </w:r>
          </w:p>
        </w:tc>
        <w:tc>
          <w:tcPr>
            <w:tcW w:w="128" w:type="pct"/>
            <w:gridSpan w:val="2"/>
            <w:tcBorders>
              <w:tl2br w:val="nil"/>
              <w:tr2bl w:val="nil"/>
            </w:tcBorders>
            <w:shd w:val="clear" w:color="auto" w:fill="FFFFFF"/>
            <w:vAlign w:val="center"/>
          </w:tcPr>
          <w:p>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支架</w:t>
            </w:r>
          </w:p>
        </w:tc>
        <w:tc>
          <w:tcPr>
            <w:tcW w:w="155" w:type="pct"/>
            <w:gridSpan w:val="3"/>
            <w:tcBorders>
              <w:tl2br w:val="nil"/>
              <w:tr2bl w:val="nil"/>
            </w:tcBorders>
            <w:shd w:val="clear" w:color="auto" w:fill="FFFFFF"/>
            <w:vAlign w:val="center"/>
          </w:tcPr>
          <w:p>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0.6米抱杆</w:t>
            </w:r>
          </w:p>
        </w:tc>
        <w:tc>
          <w:tcPr>
            <w:tcW w:w="155" w:type="pct"/>
            <w:gridSpan w:val="3"/>
            <w:tcBorders>
              <w:tl2br w:val="nil"/>
              <w:tr2bl w:val="nil"/>
            </w:tcBorders>
            <w:shd w:val="clear" w:color="auto" w:fill="auto"/>
            <w:vAlign w:val="center"/>
          </w:tcPr>
          <w:p>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0.8米抱杆</w:t>
            </w:r>
          </w:p>
        </w:tc>
        <w:tc>
          <w:tcPr>
            <w:tcW w:w="128" w:type="pct"/>
            <w:gridSpan w:val="2"/>
            <w:tcBorders>
              <w:tl2br w:val="nil"/>
              <w:tr2bl w:val="nil"/>
            </w:tcBorders>
            <w:shd w:val="clear" w:color="auto" w:fill="FFFFFF"/>
            <w:vAlign w:val="center"/>
          </w:tcPr>
          <w:p>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1米抱杆</w:t>
            </w:r>
          </w:p>
        </w:tc>
        <w:tc>
          <w:tcPr>
            <w:tcW w:w="155" w:type="pct"/>
            <w:gridSpan w:val="3"/>
            <w:tcBorders>
              <w:tl2br w:val="nil"/>
              <w:tr2bl w:val="nil"/>
            </w:tcBorders>
            <w:shd w:val="clear" w:color="auto" w:fill="auto"/>
            <w:vAlign w:val="center"/>
          </w:tcPr>
          <w:p>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1.2米抱杆</w:t>
            </w:r>
          </w:p>
        </w:tc>
        <w:tc>
          <w:tcPr>
            <w:tcW w:w="168" w:type="pct"/>
            <w:gridSpan w:val="4"/>
            <w:tcBorders>
              <w:tl2br w:val="nil"/>
              <w:tr2bl w:val="nil"/>
            </w:tcBorders>
            <w:shd w:val="clear" w:color="auto" w:fill="auto"/>
            <w:vAlign w:val="center"/>
          </w:tcPr>
          <w:p>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1.5米抱杆</w:t>
            </w:r>
          </w:p>
        </w:tc>
        <w:tc>
          <w:tcPr>
            <w:tcW w:w="114" w:type="pct"/>
            <w:gridSpan w:val="2"/>
            <w:tcBorders>
              <w:tl2br w:val="nil"/>
              <w:tr2bl w:val="nil"/>
            </w:tcBorders>
            <w:shd w:val="clear" w:color="auto" w:fill="FFFFFF"/>
            <w:vAlign w:val="center"/>
          </w:tcPr>
          <w:p>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2米抱杆</w:t>
            </w:r>
          </w:p>
        </w:tc>
        <w:tc>
          <w:tcPr>
            <w:tcW w:w="161" w:type="pct"/>
            <w:gridSpan w:val="3"/>
            <w:tcBorders>
              <w:tl2br w:val="nil"/>
              <w:tr2bl w:val="nil"/>
            </w:tcBorders>
            <w:shd w:val="clear" w:color="auto" w:fill="FFFFFF"/>
            <w:vAlign w:val="center"/>
          </w:tcPr>
          <w:p>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室外</w:t>
            </w:r>
          </w:p>
        </w:tc>
        <w:tc>
          <w:tcPr>
            <w:tcW w:w="247" w:type="pct"/>
            <w:gridSpan w:val="2"/>
            <w:tcBorders>
              <w:tl2br w:val="nil"/>
              <w:tr2bl w:val="nil"/>
            </w:tcBorders>
            <w:shd w:val="clear" w:color="auto" w:fill="FFFFFF"/>
            <w:vAlign w:val="center"/>
          </w:tcPr>
          <w:p>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71" w:type="pct"/>
            <w:gridSpan w:val="2"/>
            <w:tcBorders>
              <w:tl2br w:val="nil"/>
              <w:tr2bl w:val="nil"/>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160" w:type="pct"/>
            <w:gridSpan w:val="15"/>
            <w:tcBorders>
              <w:tl2br w:val="nil"/>
              <w:tr2bl w:val="nil"/>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宝龙广场，文智路拐角，非机动车停车位</w:t>
            </w:r>
          </w:p>
        </w:tc>
        <w:tc>
          <w:tcPr>
            <w:tcW w:w="181" w:type="pct"/>
            <w:gridSpan w:val="4"/>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w:t>
            </w:r>
          </w:p>
        </w:tc>
        <w:tc>
          <w:tcPr>
            <w:tcW w:w="128" w:type="pct"/>
            <w:gridSpan w:val="2"/>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08" w:type="pct"/>
            <w:gridSpan w:val="4"/>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7"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2"/>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28"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237" w:type="pct"/>
            <w:gridSpan w:val="4"/>
            <w:tcBorders>
              <w:tl2br w:val="nil"/>
              <w:tr2bl w:val="nil"/>
            </w:tcBorders>
            <w:shd w:val="clear" w:color="auto" w:fill="auto"/>
            <w:noWrap/>
            <w:vAlign w:val="center"/>
          </w:tcPr>
          <w:p>
            <w:pPr>
              <w:widowControl/>
              <w:adjustRightInd/>
              <w:rPr>
                <w:rFonts w:ascii="宋体" w:hAnsi="宋体" w:cs="宋体"/>
                <w:color w:val="auto"/>
                <w:szCs w:val="21"/>
                <w:highlight w:val="none"/>
              </w:rPr>
            </w:pPr>
          </w:p>
        </w:tc>
        <w:tc>
          <w:tcPr>
            <w:tcW w:w="237" w:type="pct"/>
            <w:gridSpan w:val="4"/>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237" w:type="pct"/>
            <w:gridSpan w:val="3"/>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28"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2"/>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68" w:type="pct"/>
            <w:gridSpan w:val="4"/>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14"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61" w:type="pct"/>
            <w:gridSpan w:val="3"/>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7"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71" w:type="pct"/>
            <w:gridSpan w:val="2"/>
            <w:tcBorders>
              <w:tl2br w:val="nil"/>
              <w:tr2bl w:val="nil"/>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160" w:type="pct"/>
            <w:gridSpan w:val="15"/>
            <w:tcBorders>
              <w:tl2br w:val="nil"/>
              <w:tr2bl w:val="nil"/>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文智路至新晖南路非机动车车位</w:t>
            </w:r>
          </w:p>
        </w:tc>
        <w:tc>
          <w:tcPr>
            <w:tcW w:w="181" w:type="pct"/>
            <w:gridSpan w:val="4"/>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w:t>
            </w:r>
          </w:p>
        </w:tc>
        <w:tc>
          <w:tcPr>
            <w:tcW w:w="128" w:type="pct"/>
            <w:gridSpan w:val="2"/>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08" w:type="pct"/>
            <w:gridSpan w:val="4"/>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7"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2"/>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28"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237" w:type="pct"/>
            <w:gridSpan w:val="4"/>
            <w:tcBorders>
              <w:tl2br w:val="nil"/>
              <w:tr2bl w:val="nil"/>
            </w:tcBorders>
            <w:shd w:val="clear" w:color="auto" w:fill="auto"/>
            <w:noWrap/>
            <w:vAlign w:val="center"/>
          </w:tcPr>
          <w:p>
            <w:pPr>
              <w:widowControl/>
              <w:adjustRightInd/>
              <w:rPr>
                <w:rFonts w:ascii="宋体" w:hAnsi="宋体" w:cs="宋体"/>
                <w:color w:val="auto"/>
                <w:szCs w:val="21"/>
                <w:highlight w:val="none"/>
              </w:rPr>
            </w:pPr>
          </w:p>
        </w:tc>
        <w:tc>
          <w:tcPr>
            <w:tcW w:w="237" w:type="pct"/>
            <w:gridSpan w:val="4"/>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237"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68" w:type="pct"/>
            <w:gridSpan w:val="4"/>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14" w:type="pct"/>
            <w:gridSpan w:val="2"/>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1" w:type="pct"/>
            <w:gridSpan w:val="3"/>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7"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71" w:type="pct"/>
            <w:gridSpan w:val="2"/>
            <w:tcBorders>
              <w:tl2br w:val="nil"/>
              <w:tr2bl w:val="nil"/>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1160" w:type="pct"/>
            <w:gridSpan w:val="15"/>
            <w:tcBorders>
              <w:tl2br w:val="nil"/>
              <w:tr2bl w:val="nil"/>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华苑银座地下一层</w:t>
            </w:r>
          </w:p>
        </w:tc>
        <w:tc>
          <w:tcPr>
            <w:tcW w:w="181" w:type="pct"/>
            <w:gridSpan w:val="4"/>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壁装</w:t>
            </w:r>
          </w:p>
        </w:tc>
        <w:tc>
          <w:tcPr>
            <w:tcW w:w="128" w:type="pct"/>
            <w:gridSpan w:val="2"/>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08" w:type="pct"/>
            <w:gridSpan w:val="4"/>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7" w:type="pct"/>
            <w:gridSpan w:val="2"/>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237" w:type="pct"/>
            <w:gridSpan w:val="4"/>
            <w:tcBorders>
              <w:tl2br w:val="nil"/>
              <w:tr2bl w:val="nil"/>
            </w:tcBorders>
            <w:shd w:val="clear" w:color="auto" w:fill="auto"/>
            <w:noWrap/>
            <w:vAlign w:val="center"/>
          </w:tcPr>
          <w:p>
            <w:pPr>
              <w:widowControl/>
              <w:adjustRightInd/>
              <w:rPr>
                <w:rFonts w:ascii="宋体" w:hAnsi="宋体" w:cs="宋体"/>
                <w:color w:val="auto"/>
                <w:szCs w:val="21"/>
                <w:highlight w:val="none"/>
              </w:rPr>
            </w:pPr>
          </w:p>
        </w:tc>
        <w:tc>
          <w:tcPr>
            <w:tcW w:w="237" w:type="pct"/>
            <w:gridSpan w:val="4"/>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237"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2"/>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68" w:type="pct"/>
            <w:gridSpan w:val="4"/>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14"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61" w:type="pct"/>
            <w:gridSpan w:val="3"/>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7"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71" w:type="pct"/>
            <w:gridSpan w:val="2"/>
            <w:tcBorders>
              <w:tl2br w:val="nil"/>
              <w:tr2bl w:val="nil"/>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1160" w:type="pct"/>
            <w:gridSpan w:val="15"/>
            <w:tcBorders>
              <w:tl2br w:val="nil"/>
              <w:tr2bl w:val="nil"/>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天港禧悦门口监控</w:t>
            </w:r>
          </w:p>
        </w:tc>
        <w:tc>
          <w:tcPr>
            <w:tcW w:w="181" w:type="pct"/>
            <w:gridSpan w:val="4"/>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立杆</w:t>
            </w:r>
          </w:p>
        </w:tc>
        <w:tc>
          <w:tcPr>
            <w:tcW w:w="128" w:type="pct"/>
            <w:gridSpan w:val="2"/>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08" w:type="pct"/>
            <w:gridSpan w:val="4"/>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27"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237" w:type="pct"/>
            <w:gridSpan w:val="4"/>
            <w:tcBorders>
              <w:tl2br w:val="nil"/>
              <w:tr2bl w:val="nil"/>
            </w:tcBorders>
            <w:shd w:val="clear" w:color="auto" w:fill="auto"/>
            <w:noWrap/>
            <w:vAlign w:val="center"/>
          </w:tcPr>
          <w:p>
            <w:pPr>
              <w:widowControl/>
              <w:adjustRightInd/>
              <w:rPr>
                <w:rFonts w:ascii="宋体" w:hAnsi="宋体" w:cs="宋体"/>
                <w:color w:val="auto"/>
                <w:szCs w:val="21"/>
                <w:highlight w:val="none"/>
              </w:rPr>
            </w:pPr>
          </w:p>
        </w:tc>
        <w:tc>
          <w:tcPr>
            <w:tcW w:w="237" w:type="pct"/>
            <w:gridSpan w:val="4"/>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37"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68" w:type="pct"/>
            <w:gridSpan w:val="4"/>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14"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61" w:type="pct"/>
            <w:gridSpan w:val="3"/>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7"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71" w:type="pct"/>
            <w:gridSpan w:val="2"/>
            <w:tcBorders>
              <w:tl2br w:val="nil"/>
              <w:tr2bl w:val="nil"/>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w:t>
            </w:r>
          </w:p>
        </w:tc>
        <w:tc>
          <w:tcPr>
            <w:tcW w:w="1160" w:type="pct"/>
            <w:gridSpan w:val="15"/>
            <w:tcBorders>
              <w:tl2br w:val="nil"/>
              <w:tr2bl w:val="nil"/>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研发园C</w:t>
            </w:r>
          </w:p>
        </w:tc>
        <w:tc>
          <w:tcPr>
            <w:tcW w:w="181" w:type="pct"/>
            <w:gridSpan w:val="4"/>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立杆</w:t>
            </w:r>
          </w:p>
        </w:tc>
        <w:tc>
          <w:tcPr>
            <w:tcW w:w="128" w:type="pct"/>
            <w:gridSpan w:val="2"/>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08" w:type="pct"/>
            <w:gridSpan w:val="4"/>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7"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2"/>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28"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237" w:type="pct"/>
            <w:gridSpan w:val="4"/>
            <w:tcBorders>
              <w:tl2br w:val="nil"/>
              <w:tr2bl w:val="nil"/>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37" w:type="pct"/>
            <w:gridSpan w:val="4"/>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237"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68" w:type="pct"/>
            <w:gridSpan w:val="4"/>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14"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61" w:type="pct"/>
            <w:gridSpan w:val="3"/>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7"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71" w:type="pct"/>
            <w:gridSpan w:val="2"/>
            <w:tcBorders>
              <w:tl2br w:val="nil"/>
              <w:tr2bl w:val="nil"/>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1160" w:type="pct"/>
            <w:gridSpan w:val="15"/>
            <w:tcBorders>
              <w:tl2br w:val="nil"/>
              <w:tr2bl w:val="nil"/>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扬帆路与聚贤路交叉口工地</w:t>
            </w:r>
          </w:p>
        </w:tc>
        <w:tc>
          <w:tcPr>
            <w:tcW w:w="181" w:type="pct"/>
            <w:gridSpan w:val="4"/>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立杆</w:t>
            </w:r>
          </w:p>
        </w:tc>
        <w:tc>
          <w:tcPr>
            <w:tcW w:w="128" w:type="pct"/>
            <w:gridSpan w:val="2"/>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08" w:type="pct"/>
            <w:gridSpan w:val="4"/>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7"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2"/>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28"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237" w:type="pct"/>
            <w:gridSpan w:val="4"/>
            <w:tcBorders>
              <w:tl2br w:val="nil"/>
              <w:tr2bl w:val="nil"/>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37" w:type="pct"/>
            <w:gridSpan w:val="4"/>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237"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68" w:type="pct"/>
            <w:gridSpan w:val="4"/>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14"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61" w:type="pct"/>
            <w:gridSpan w:val="3"/>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7"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71" w:type="pct"/>
            <w:gridSpan w:val="2"/>
            <w:tcBorders>
              <w:tl2br w:val="nil"/>
              <w:tr2bl w:val="nil"/>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w:t>
            </w:r>
          </w:p>
        </w:tc>
        <w:tc>
          <w:tcPr>
            <w:tcW w:w="1160" w:type="pct"/>
            <w:gridSpan w:val="15"/>
            <w:tcBorders>
              <w:tl2br w:val="nil"/>
              <w:tr2bl w:val="nil"/>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李惠利西门，院士路辅路非机动车停车处</w:t>
            </w:r>
          </w:p>
        </w:tc>
        <w:tc>
          <w:tcPr>
            <w:tcW w:w="181" w:type="pct"/>
            <w:gridSpan w:val="4"/>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立杆</w:t>
            </w:r>
          </w:p>
        </w:tc>
        <w:tc>
          <w:tcPr>
            <w:tcW w:w="128" w:type="pct"/>
            <w:gridSpan w:val="2"/>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308" w:type="pct"/>
            <w:gridSpan w:val="4"/>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7"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2"/>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28"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237" w:type="pct"/>
            <w:gridSpan w:val="4"/>
            <w:tcBorders>
              <w:tl2br w:val="nil"/>
              <w:tr2bl w:val="nil"/>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37" w:type="pct"/>
            <w:gridSpan w:val="4"/>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237"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68" w:type="pct"/>
            <w:gridSpan w:val="4"/>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14"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61" w:type="pct"/>
            <w:gridSpan w:val="3"/>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7"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71" w:type="pct"/>
            <w:gridSpan w:val="2"/>
            <w:tcBorders>
              <w:tl2br w:val="nil"/>
              <w:tr2bl w:val="nil"/>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w:t>
            </w:r>
          </w:p>
        </w:tc>
        <w:tc>
          <w:tcPr>
            <w:tcW w:w="1160" w:type="pct"/>
            <w:gridSpan w:val="15"/>
            <w:tcBorders>
              <w:tl2br w:val="nil"/>
              <w:tr2bl w:val="nil"/>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智慧园二期、凤竹路至翔云北路非机动车车位</w:t>
            </w:r>
          </w:p>
        </w:tc>
        <w:tc>
          <w:tcPr>
            <w:tcW w:w="181" w:type="pct"/>
            <w:gridSpan w:val="4"/>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w:t>
            </w:r>
          </w:p>
        </w:tc>
        <w:tc>
          <w:tcPr>
            <w:tcW w:w="128" w:type="pct"/>
            <w:gridSpan w:val="2"/>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08" w:type="pct"/>
            <w:gridSpan w:val="4"/>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7"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2"/>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28"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237" w:type="pct"/>
            <w:gridSpan w:val="4"/>
            <w:tcBorders>
              <w:tl2br w:val="nil"/>
              <w:tr2bl w:val="nil"/>
            </w:tcBorders>
            <w:shd w:val="clear" w:color="auto" w:fill="auto"/>
            <w:noWrap/>
            <w:vAlign w:val="center"/>
          </w:tcPr>
          <w:p>
            <w:pPr>
              <w:widowControl/>
              <w:adjustRightInd/>
              <w:rPr>
                <w:rFonts w:ascii="宋体" w:hAnsi="宋体" w:cs="宋体"/>
                <w:color w:val="auto"/>
                <w:szCs w:val="21"/>
                <w:highlight w:val="none"/>
              </w:rPr>
            </w:pPr>
          </w:p>
        </w:tc>
        <w:tc>
          <w:tcPr>
            <w:tcW w:w="237" w:type="pct"/>
            <w:gridSpan w:val="4"/>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237"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2"/>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68" w:type="pct"/>
            <w:gridSpan w:val="4"/>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14"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61" w:type="pct"/>
            <w:gridSpan w:val="3"/>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7"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71" w:type="pct"/>
            <w:gridSpan w:val="2"/>
            <w:tcBorders>
              <w:tl2br w:val="nil"/>
              <w:tr2bl w:val="nil"/>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w:t>
            </w:r>
          </w:p>
        </w:tc>
        <w:tc>
          <w:tcPr>
            <w:tcW w:w="1160" w:type="pct"/>
            <w:gridSpan w:val="15"/>
            <w:tcBorders>
              <w:tl2br w:val="nil"/>
              <w:tr2bl w:val="nil"/>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智慧园A7门口路边非机动车停车位</w:t>
            </w:r>
          </w:p>
        </w:tc>
        <w:tc>
          <w:tcPr>
            <w:tcW w:w="181" w:type="pct"/>
            <w:gridSpan w:val="4"/>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立杆</w:t>
            </w:r>
          </w:p>
        </w:tc>
        <w:tc>
          <w:tcPr>
            <w:tcW w:w="128" w:type="pct"/>
            <w:gridSpan w:val="2"/>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08" w:type="pct"/>
            <w:gridSpan w:val="4"/>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7"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2"/>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28"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237" w:type="pct"/>
            <w:gridSpan w:val="4"/>
            <w:tcBorders>
              <w:tl2br w:val="nil"/>
              <w:tr2bl w:val="nil"/>
            </w:tcBorders>
            <w:shd w:val="clear" w:color="auto" w:fill="auto"/>
            <w:noWrap/>
            <w:vAlign w:val="center"/>
          </w:tcPr>
          <w:p>
            <w:pPr>
              <w:widowControl/>
              <w:adjustRightInd/>
              <w:rPr>
                <w:rFonts w:ascii="宋体" w:hAnsi="宋体" w:cs="宋体"/>
                <w:color w:val="auto"/>
                <w:szCs w:val="21"/>
                <w:highlight w:val="none"/>
              </w:rPr>
            </w:pPr>
          </w:p>
        </w:tc>
        <w:tc>
          <w:tcPr>
            <w:tcW w:w="237" w:type="pct"/>
            <w:gridSpan w:val="4"/>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37"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68" w:type="pct"/>
            <w:gridSpan w:val="4"/>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14"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61" w:type="pct"/>
            <w:gridSpan w:val="3"/>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7"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71" w:type="pct"/>
            <w:gridSpan w:val="2"/>
            <w:tcBorders>
              <w:tl2br w:val="nil"/>
              <w:tr2bl w:val="nil"/>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w:t>
            </w:r>
          </w:p>
        </w:tc>
        <w:tc>
          <w:tcPr>
            <w:tcW w:w="1160" w:type="pct"/>
            <w:gridSpan w:val="15"/>
            <w:tcBorders>
              <w:tl2br w:val="nil"/>
              <w:tr2bl w:val="nil"/>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腊梅路至金菊路</w:t>
            </w:r>
          </w:p>
        </w:tc>
        <w:tc>
          <w:tcPr>
            <w:tcW w:w="181" w:type="pct"/>
            <w:gridSpan w:val="4"/>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w:t>
            </w:r>
          </w:p>
        </w:tc>
        <w:tc>
          <w:tcPr>
            <w:tcW w:w="128" w:type="pct"/>
            <w:gridSpan w:val="2"/>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08" w:type="pct"/>
            <w:gridSpan w:val="4"/>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7"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2"/>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28"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237" w:type="pct"/>
            <w:gridSpan w:val="4"/>
            <w:tcBorders>
              <w:tl2br w:val="nil"/>
              <w:tr2bl w:val="nil"/>
            </w:tcBorders>
            <w:shd w:val="clear" w:color="auto" w:fill="auto"/>
            <w:noWrap/>
            <w:vAlign w:val="center"/>
          </w:tcPr>
          <w:p>
            <w:pPr>
              <w:widowControl/>
              <w:adjustRightInd/>
              <w:rPr>
                <w:rFonts w:ascii="宋体" w:hAnsi="宋体" w:cs="宋体"/>
                <w:color w:val="auto"/>
                <w:szCs w:val="21"/>
                <w:highlight w:val="none"/>
              </w:rPr>
            </w:pPr>
          </w:p>
        </w:tc>
        <w:tc>
          <w:tcPr>
            <w:tcW w:w="237" w:type="pct"/>
            <w:gridSpan w:val="4"/>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237"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2"/>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68" w:type="pct"/>
            <w:gridSpan w:val="4"/>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14"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61" w:type="pct"/>
            <w:gridSpan w:val="3"/>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7"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71" w:type="pct"/>
            <w:gridSpan w:val="2"/>
            <w:tcBorders>
              <w:tl2br w:val="nil"/>
              <w:tr2bl w:val="nil"/>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11</w:t>
            </w:r>
          </w:p>
        </w:tc>
        <w:tc>
          <w:tcPr>
            <w:tcW w:w="1160" w:type="pct"/>
            <w:gridSpan w:val="15"/>
            <w:tcBorders>
              <w:tl2br w:val="nil"/>
              <w:tr2bl w:val="nil"/>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盎孟港路</w:t>
            </w:r>
          </w:p>
        </w:tc>
        <w:tc>
          <w:tcPr>
            <w:tcW w:w="181" w:type="pct"/>
            <w:gridSpan w:val="4"/>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立杆</w:t>
            </w:r>
          </w:p>
        </w:tc>
        <w:tc>
          <w:tcPr>
            <w:tcW w:w="128" w:type="pct"/>
            <w:gridSpan w:val="2"/>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308" w:type="pct"/>
            <w:gridSpan w:val="4"/>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27"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2"/>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28"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237" w:type="pct"/>
            <w:gridSpan w:val="4"/>
            <w:tcBorders>
              <w:tl2br w:val="nil"/>
              <w:tr2bl w:val="nil"/>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37" w:type="pct"/>
            <w:gridSpan w:val="4"/>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237"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68" w:type="pct"/>
            <w:gridSpan w:val="4"/>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14"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61" w:type="pct"/>
            <w:gridSpan w:val="3"/>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7"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71" w:type="pct"/>
            <w:gridSpan w:val="2"/>
            <w:tcBorders>
              <w:tl2br w:val="nil"/>
              <w:tr2bl w:val="nil"/>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w:t>
            </w:r>
          </w:p>
        </w:tc>
        <w:tc>
          <w:tcPr>
            <w:tcW w:w="1160" w:type="pct"/>
            <w:gridSpan w:val="15"/>
            <w:tcBorders>
              <w:tl2br w:val="nil"/>
              <w:tr2bl w:val="nil"/>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创苑路百合路迪信通广场路口</w:t>
            </w:r>
          </w:p>
        </w:tc>
        <w:tc>
          <w:tcPr>
            <w:tcW w:w="181" w:type="pct"/>
            <w:gridSpan w:val="4"/>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w:t>
            </w:r>
          </w:p>
        </w:tc>
        <w:tc>
          <w:tcPr>
            <w:tcW w:w="128" w:type="pct"/>
            <w:gridSpan w:val="2"/>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08" w:type="pct"/>
            <w:gridSpan w:val="4"/>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7"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2"/>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28"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237" w:type="pct"/>
            <w:gridSpan w:val="4"/>
            <w:tcBorders>
              <w:tl2br w:val="nil"/>
              <w:tr2bl w:val="nil"/>
            </w:tcBorders>
            <w:shd w:val="clear" w:color="auto" w:fill="auto"/>
            <w:noWrap/>
            <w:vAlign w:val="center"/>
          </w:tcPr>
          <w:p>
            <w:pPr>
              <w:widowControl/>
              <w:adjustRightInd/>
              <w:rPr>
                <w:rFonts w:ascii="宋体" w:hAnsi="宋体" w:cs="宋体"/>
                <w:color w:val="auto"/>
                <w:szCs w:val="21"/>
                <w:highlight w:val="none"/>
              </w:rPr>
            </w:pPr>
          </w:p>
        </w:tc>
        <w:tc>
          <w:tcPr>
            <w:tcW w:w="237" w:type="pct"/>
            <w:gridSpan w:val="4"/>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237"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2"/>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68" w:type="pct"/>
            <w:gridSpan w:val="4"/>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14"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61" w:type="pct"/>
            <w:gridSpan w:val="3"/>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7"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71" w:type="pct"/>
            <w:gridSpan w:val="2"/>
            <w:tcBorders>
              <w:tl2br w:val="nil"/>
              <w:tr2bl w:val="nil"/>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13</w:t>
            </w:r>
          </w:p>
        </w:tc>
        <w:tc>
          <w:tcPr>
            <w:tcW w:w="1160" w:type="pct"/>
            <w:gridSpan w:val="15"/>
            <w:tcBorders>
              <w:tl2br w:val="nil"/>
              <w:tr2bl w:val="nil"/>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丹桂路（翔云北路至聚贤路）</w:t>
            </w:r>
          </w:p>
        </w:tc>
        <w:tc>
          <w:tcPr>
            <w:tcW w:w="181" w:type="pct"/>
            <w:gridSpan w:val="4"/>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w:t>
            </w:r>
          </w:p>
        </w:tc>
        <w:tc>
          <w:tcPr>
            <w:tcW w:w="128" w:type="pct"/>
            <w:gridSpan w:val="2"/>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08" w:type="pct"/>
            <w:gridSpan w:val="4"/>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7"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2"/>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28"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237" w:type="pct"/>
            <w:gridSpan w:val="4"/>
            <w:tcBorders>
              <w:tl2br w:val="nil"/>
              <w:tr2bl w:val="nil"/>
            </w:tcBorders>
            <w:shd w:val="clear" w:color="auto" w:fill="auto"/>
            <w:noWrap/>
            <w:vAlign w:val="center"/>
          </w:tcPr>
          <w:p>
            <w:pPr>
              <w:widowControl/>
              <w:adjustRightInd/>
              <w:rPr>
                <w:rFonts w:ascii="宋体" w:hAnsi="宋体" w:cs="宋体"/>
                <w:color w:val="auto"/>
                <w:szCs w:val="21"/>
                <w:highlight w:val="none"/>
              </w:rPr>
            </w:pPr>
          </w:p>
        </w:tc>
        <w:tc>
          <w:tcPr>
            <w:tcW w:w="237" w:type="pct"/>
            <w:gridSpan w:val="4"/>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237"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2"/>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68" w:type="pct"/>
            <w:gridSpan w:val="4"/>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14"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61" w:type="pct"/>
            <w:gridSpan w:val="3"/>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7"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71" w:type="pct"/>
            <w:gridSpan w:val="2"/>
            <w:tcBorders>
              <w:tl2br w:val="nil"/>
              <w:tr2bl w:val="nil"/>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14</w:t>
            </w:r>
          </w:p>
        </w:tc>
        <w:tc>
          <w:tcPr>
            <w:tcW w:w="1160" w:type="pct"/>
            <w:gridSpan w:val="15"/>
            <w:tcBorders>
              <w:tl2br w:val="nil"/>
              <w:tr2bl w:val="nil"/>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玉兰路（创苑路至聚贤路）</w:t>
            </w:r>
          </w:p>
        </w:tc>
        <w:tc>
          <w:tcPr>
            <w:tcW w:w="181" w:type="pct"/>
            <w:gridSpan w:val="4"/>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w:t>
            </w:r>
          </w:p>
        </w:tc>
        <w:tc>
          <w:tcPr>
            <w:tcW w:w="128" w:type="pct"/>
            <w:gridSpan w:val="2"/>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08" w:type="pct"/>
            <w:gridSpan w:val="4"/>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7"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2"/>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28"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237" w:type="pct"/>
            <w:gridSpan w:val="4"/>
            <w:tcBorders>
              <w:tl2br w:val="nil"/>
              <w:tr2bl w:val="nil"/>
            </w:tcBorders>
            <w:shd w:val="clear" w:color="auto" w:fill="auto"/>
            <w:noWrap/>
            <w:vAlign w:val="center"/>
          </w:tcPr>
          <w:p>
            <w:pPr>
              <w:widowControl/>
              <w:adjustRightInd/>
              <w:rPr>
                <w:rFonts w:ascii="宋体" w:hAnsi="宋体" w:cs="宋体"/>
                <w:color w:val="auto"/>
                <w:szCs w:val="21"/>
                <w:highlight w:val="none"/>
              </w:rPr>
            </w:pPr>
          </w:p>
        </w:tc>
        <w:tc>
          <w:tcPr>
            <w:tcW w:w="237" w:type="pct"/>
            <w:gridSpan w:val="4"/>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237"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2"/>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68" w:type="pct"/>
            <w:gridSpan w:val="4"/>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14"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61" w:type="pct"/>
            <w:gridSpan w:val="3"/>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7"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71" w:type="pct"/>
            <w:gridSpan w:val="2"/>
            <w:tcBorders>
              <w:tl2br w:val="nil"/>
              <w:tr2bl w:val="nil"/>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15</w:t>
            </w:r>
          </w:p>
        </w:tc>
        <w:tc>
          <w:tcPr>
            <w:tcW w:w="1160" w:type="pct"/>
            <w:gridSpan w:val="15"/>
            <w:tcBorders>
              <w:tl2br w:val="nil"/>
              <w:tr2bl w:val="nil"/>
            </w:tcBorders>
            <w:shd w:val="clear" w:color="auto" w:fill="auto"/>
            <w:noWrap/>
            <w:vAlign w:val="center"/>
          </w:tcPr>
          <w:p>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研发园b区扬帆路上非机动车车位</w:t>
            </w:r>
          </w:p>
        </w:tc>
        <w:tc>
          <w:tcPr>
            <w:tcW w:w="181" w:type="pct"/>
            <w:gridSpan w:val="4"/>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w:t>
            </w:r>
          </w:p>
        </w:tc>
        <w:tc>
          <w:tcPr>
            <w:tcW w:w="128" w:type="pct"/>
            <w:gridSpan w:val="2"/>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308" w:type="pct"/>
            <w:gridSpan w:val="4"/>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7"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2"/>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28"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237" w:type="pct"/>
            <w:gridSpan w:val="4"/>
            <w:tcBorders>
              <w:tl2br w:val="nil"/>
              <w:tr2bl w:val="nil"/>
            </w:tcBorders>
            <w:shd w:val="clear" w:color="auto" w:fill="auto"/>
            <w:noWrap/>
            <w:vAlign w:val="center"/>
          </w:tcPr>
          <w:p>
            <w:pPr>
              <w:widowControl/>
              <w:adjustRightInd/>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37" w:type="pct"/>
            <w:gridSpan w:val="4"/>
            <w:tcBorders>
              <w:tl2br w:val="nil"/>
              <w:tr2bl w:val="nil"/>
            </w:tcBorders>
            <w:shd w:val="clear" w:color="auto" w:fill="auto"/>
            <w:noWrap/>
            <w:vAlign w:val="center"/>
          </w:tcPr>
          <w:p>
            <w:pPr>
              <w:widowControl/>
              <w:adjustRightInd/>
              <w:rPr>
                <w:rFonts w:ascii="宋体" w:hAnsi="宋体" w:cs="宋体"/>
                <w:color w:val="auto"/>
                <w:szCs w:val="21"/>
                <w:highlight w:val="none"/>
              </w:rPr>
            </w:pPr>
          </w:p>
        </w:tc>
        <w:tc>
          <w:tcPr>
            <w:tcW w:w="237" w:type="pct"/>
            <w:gridSpan w:val="3"/>
            <w:tcBorders>
              <w:tl2br w:val="nil"/>
              <w:tr2bl w:val="nil"/>
            </w:tcBorders>
            <w:shd w:val="clear" w:color="auto" w:fill="auto"/>
            <w:noWrap/>
            <w:vAlign w:val="center"/>
          </w:tcPr>
          <w:p>
            <w:pPr>
              <w:widowControl/>
              <w:adjustRightInd/>
              <w:rPr>
                <w:rFonts w:ascii="宋体" w:hAnsi="宋体" w:cs="宋体"/>
                <w:color w:val="auto"/>
                <w:szCs w:val="21"/>
                <w:highlight w:val="none"/>
              </w:rPr>
            </w:pPr>
          </w:p>
        </w:tc>
        <w:tc>
          <w:tcPr>
            <w:tcW w:w="128"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68" w:type="pct"/>
            <w:gridSpan w:val="4"/>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14"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61" w:type="pct"/>
            <w:gridSpan w:val="3"/>
            <w:tcBorders>
              <w:tl2br w:val="nil"/>
              <w:tr2bl w:val="nil"/>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47"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71" w:type="pct"/>
            <w:gridSpan w:val="2"/>
            <w:tcBorders>
              <w:tl2br w:val="nil"/>
              <w:tr2bl w:val="nil"/>
            </w:tcBorders>
            <w:shd w:val="clear" w:color="auto" w:fill="auto"/>
            <w:noWrap/>
            <w:vAlign w:val="center"/>
          </w:tcPr>
          <w:p>
            <w:pPr>
              <w:widowControl/>
              <w:adjustRightInd/>
              <w:jc w:val="righ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16</w:t>
            </w:r>
          </w:p>
        </w:tc>
        <w:tc>
          <w:tcPr>
            <w:tcW w:w="1160" w:type="pct"/>
            <w:gridSpan w:val="15"/>
            <w:tcBorders>
              <w:tl2br w:val="nil"/>
              <w:tr2bl w:val="nil"/>
            </w:tcBorders>
            <w:shd w:val="clear" w:color="auto" w:fill="auto"/>
            <w:noWrap/>
            <w:vAlign w:val="center"/>
          </w:tcPr>
          <w:p>
            <w:pPr>
              <w:widowControl/>
              <w:adjustRightInd/>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韵升科技工业园北门</w:t>
            </w:r>
          </w:p>
        </w:tc>
        <w:tc>
          <w:tcPr>
            <w:tcW w:w="181" w:type="pct"/>
            <w:gridSpan w:val="4"/>
            <w:tcBorders>
              <w:tl2br w:val="nil"/>
              <w:tr2bl w:val="nil"/>
            </w:tcBorders>
            <w:shd w:val="clear" w:color="auto" w:fill="auto"/>
            <w:noWrap/>
            <w:vAlign w:val="center"/>
          </w:tcPr>
          <w:p>
            <w:pPr>
              <w:widowControl/>
              <w:adjustRightInd/>
              <w:jc w:val="center"/>
              <w:textAlignment w:val="center"/>
              <w:rPr>
                <w:rFonts w:ascii="宋体" w:hAnsi="宋体" w:cs="宋体"/>
                <w:color w:val="auto"/>
                <w:kern w:val="0"/>
                <w:szCs w:val="21"/>
                <w:highlight w:val="none"/>
                <w:lang w:bidi="ar"/>
              </w:rPr>
            </w:pPr>
          </w:p>
        </w:tc>
        <w:tc>
          <w:tcPr>
            <w:tcW w:w="128" w:type="pct"/>
            <w:gridSpan w:val="2"/>
            <w:tcBorders>
              <w:tl2br w:val="nil"/>
              <w:tr2bl w:val="nil"/>
            </w:tcBorders>
            <w:shd w:val="clear" w:color="auto" w:fill="auto"/>
            <w:noWrap/>
            <w:vAlign w:val="center"/>
          </w:tcPr>
          <w:p>
            <w:pPr>
              <w:widowControl/>
              <w:adjustRightInd/>
              <w:jc w:val="center"/>
              <w:textAlignment w:val="center"/>
              <w:rPr>
                <w:rFonts w:ascii="宋体" w:hAnsi="宋体" w:cs="宋体"/>
                <w:color w:val="auto"/>
                <w:kern w:val="0"/>
                <w:szCs w:val="21"/>
                <w:highlight w:val="none"/>
                <w:lang w:bidi="ar"/>
              </w:rPr>
            </w:pPr>
          </w:p>
        </w:tc>
        <w:tc>
          <w:tcPr>
            <w:tcW w:w="308" w:type="pct"/>
            <w:gridSpan w:val="4"/>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7"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2"/>
            <w:tcBorders>
              <w:tl2br w:val="nil"/>
              <w:tr2bl w:val="nil"/>
            </w:tcBorders>
            <w:shd w:val="clear" w:color="auto" w:fill="auto"/>
            <w:noWrap/>
            <w:vAlign w:val="center"/>
          </w:tcPr>
          <w:p>
            <w:pPr>
              <w:widowControl/>
              <w:adjustRightInd/>
              <w:jc w:val="center"/>
              <w:textAlignment w:val="center"/>
              <w:rPr>
                <w:rFonts w:ascii="宋体" w:hAnsi="宋体" w:cs="宋体"/>
                <w:color w:val="auto"/>
                <w:kern w:val="0"/>
                <w:szCs w:val="21"/>
                <w:highlight w:val="none"/>
                <w:lang w:bidi="ar"/>
              </w:rPr>
            </w:pPr>
          </w:p>
        </w:tc>
        <w:tc>
          <w:tcPr>
            <w:tcW w:w="128"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237" w:type="pct"/>
            <w:gridSpan w:val="4"/>
            <w:tcBorders>
              <w:tl2br w:val="nil"/>
              <w:tr2bl w:val="nil"/>
            </w:tcBorders>
            <w:shd w:val="clear" w:color="auto" w:fill="auto"/>
            <w:noWrap/>
            <w:vAlign w:val="center"/>
          </w:tcPr>
          <w:p>
            <w:pPr>
              <w:widowControl/>
              <w:adjustRightInd/>
              <w:jc w:val="right"/>
              <w:textAlignment w:val="center"/>
              <w:rPr>
                <w:rFonts w:ascii="宋体" w:hAnsi="宋体" w:cs="宋体"/>
                <w:color w:val="auto"/>
                <w:kern w:val="0"/>
                <w:szCs w:val="21"/>
                <w:highlight w:val="none"/>
                <w:lang w:bidi="ar"/>
              </w:rPr>
            </w:pPr>
          </w:p>
        </w:tc>
        <w:tc>
          <w:tcPr>
            <w:tcW w:w="237" w:type="pct"/>
            <w:gridSpan w:val="4"/>
            <w:tcBorders>
              <w:tl2br w:val="nil"/>
              <w:tr2bl w:val="nil"/>
            </w:tcBorders>
            <w:shd w:val="clear" w:color="auto" w:fill="auto"/>
            <w:noWrap/>
            <w:vAlign w:val="center"/>
          </w:tcPr>
          <w:p>
            <w:pPr>
              <w:widowControl/>
              <w:adjustRightInd/>
              <w:rPr>
                <w:rFonts w:ascii="宋体" w:hAnsi="宋体" w:cs="宋体"/>
                <w:color w:val="auto"/>
                <w:szCs w:val="21"/>
                <w:highlight w:val="none"/>
              </w:rPr>
            </w:pPr>
          </w:p>
        </w:tc>
        <w:tc>
          <w:tcPr>
            <w:tcW w:w="237" w:type="pct"/>
            <w:gridSpan w:val="3"/>
            <w:tcBorders>
              <w:tl2br w:val="nil"/>
              <w:tr2bl w:val="nil"/>
            </w:tcBorders>
            <w:shd w:val="clear" w:color="auto" w:fill="auto"/>
            <w:noWrap/>
            <w:vAlign w:val="center"/>
          </w:tcPr>
          <w:p>
            <w:pPr>
              <w:widowControl/>
              <w:adjustRightInd/>
              <w:rPr>
                <w:rFonts w:ascii="宋体" w:hAnsi="宋体" w:cs="宋体"/>
                <w:color w:val="auto"/>
                <w:szCs w:val="21"/>
                <w:highlight w:val="none"/>
              </w:rPr>
            </w:pPr>
          </w:p>
        </w:tc>
        <w:tc>
          <w:tcPr>
            <w:tcW w:w="128"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28"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55" w:type="pct"/>
            <w:gridSpan w:val="3"/>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68" w:type="pct"/>
            <w:gridSpan w:val="4"/>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14"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c>
          <w:tcPr>
            <w:tcW w:w="161" w:type="pct"/>
            <w:gridSpan w:val="3"/>
            <w:tcBorders>
              <w:tl2br w:val="nil"/>
              <w:tr2bl w:val="nil"/>
            </w:tcBorders>
            <w:shd w:val="clear" w:color="auto" w:fill="auto"/>
            <w:noWrap/>
            <w:vAlign w:val="center"/>
          </w:tcPr>
          <w:p>
            <w:pPr>
              <w:widowControl/>
              <w:adjustRightInd/>
              <w:jc w:val="center"/>
              <w:textAlignment w:val="center"/>
              <w:rPr>
                <w:rFonts w:ascii="宋体" w:hAnsi="宋体" w:cs="宋体"/>
                <w:color w:val="auto"/>
                <w:kern w:val="0"/>
                <w:szCs w:val="21"/>
                <w:highlight w:val="none"/>
                <w:lang w:bidi="ar"/>
              </w:rPr>
            </w:pPr>
          </w:p>
        </w:tc>
        <w:tc>
          <w:tcPr>
            <w:tcW w:w="247" w:type="pct"/>
            <w:gridSpan w:val="2"/>
            <w:tcBorders>
              <w:tl2br w:val="nil"/>
              <w:tr2bl w:val="nil"/>
            </w:tcBorders>
            <w:shd w:val="clear" w:color="auto" w:fill="auto"/>
            <w:noWrap/>
            <w:vAlign w:val="center"/>
          </w:tcPr>
          <w:p>
            <w:pPr>
              <w:widowControl/>
              <w:adjustRightInd/>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450" w:hRule="atLeast"/>
          <w:jc w:val="center"/>
        </w:trPr>
        <w:tc>
          <w:tcPr>
            <w:tcW w:w="5000" w:type="pct"/>
            <w:gridSpan w:val="78"/>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重要感知点位规划汇总表2</w:t>
            </w:r>
          </w:p>
        </w:tc>
      </w:tr>
      <w:tr>
        <w:tblPrEx>
          <w:tblCellMar>
            <w:top w:w="0" w:type="dxa"/>
            <w:left w:w="108" w:type="dxa"/>
            <w:bottom w:w="0" w:type="dxa"/>
            <w:right w:w="108" w:type="dxa"/>
          </w:tblCellMar>
        </w:tblPrEx>
        <w:trPr>
          <w:trHeight w:val="450" w:hRule="atLeast"/>
          <w:jc w:val="center"/>
        </w:trPr>
        <w:tc>
          <w:tcPr>
            <w:tcW w:w="21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序号</w:t>
            </w:r>
          </w:p>
        </w:tc>
        <w:tc>
          <w:tcPr>
            <w:tcW w:w="484" w:type="pct"/>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点位名称</w:t>
            </w:r>
          </w:p>
        </w:tc>
        <w:tc>
          <w:tcPr>
            <w:tcW w:w="142"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安装位置</w:t>
            </w:r>
          </w:p>
        </w:tc>
        <w:tc>
          <w:tcPr>
            <w:tcW w:w="162"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摄像机数量</w:t>
            </w:r>
          </w:p>
        </w:tc>
        <w:tc>
          <w:tcPr>
            <w:tcW w:w="993" w:type="pct"/>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摄像机类型</w:t>
            </w:r>
          </w:p>
        </w:tc>
        <w:tc>
          <w:tcPr>
            <w:tcW w:w="1916" w:type="pct"/>
            <w:gridSpan w:val="3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杆件类型</w:t>
            </w:r>
          </w:p>
        </w:tc>
        <w:tc>
          <w:tcPr>
            <w:tcW w:w="281"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机箱类型</w:t>
            </w:r>
          </w:p>
        </w:tc>
        <w:tc>
          <w:tcPr>
            <w:tcW w:w="804" w:type="pct"/>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备注</w:t>
            </w:r>
          </w:p>
        </w:tc>
      </w:tr>
      <w:tr>
        <w:tblPrEx>
          <w:tblCellMar>
            <w:top w:w="0" w:type="dxa"/>
            <w:left w:w="108" w:type="dxa"/>
            <w:bottom w:w="0" w:type="dxa"/>
            <w:right w:w="108" w:type="dxa"/>
          </w:tblCellMar>
        </w:tblPrEx>
        <w:trPr>
          <w:trHeight w:val="1350" w:hRule="atLeast"/>
          <w:jc w:val="center"/>
        </w:trPr>
        <w:tc>
          <w:tcPr>
            <w:tcW w:w="21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b/>
                <w:bCs/>
                <w:color w:val="auto"/>
                <w:szCs w:val="21"/>
                <w:highlight w:val="none"/>
              </w:rPr>
            </w:pPr>
          </w:p>
        </w:tc>
        <w:tc>
          <w:tcPr>
            <w:tcW w:w="484"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auto"/>
                <w:szCs w:val="21"/>
                <w:highlight w:val="none"/>
              </w:rPr>
            </w:pPr>
          </w:p>
        </w:tc>
        <w:tc>
          <w:tcPr>
            <w:tcW w:w="142"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auto"/>
                <w:szCs w:val="21"/>
                <w:highlight w:val="none"/>
              </w:rPr>
            </w:pPr>
          </w:p>
        </w:tc>
        <w:tc>
          <w:tcPr>
            <w:tcW w:w="162"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auto"/>
                <w:szCs w:val="21"/>
                <w:highlight w:val="none"/>
              </w:rPr>
            </w:pP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高清球机</w:t>
            </w:r>
          </w:p>
        </w:tc>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高清枪机</w:t>
            </w: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400万人脸</w:t>
            </w: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高空球机</w:t>
            </w: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800万人脸</w:t>
            </w: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全结构化枪机</w:t>
            </w: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车脸</w:t>
            </w: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L6挑1</w:t>
            </w: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L6挑2</w:t>
            </w: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L6挑3</w:t>
            </w: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L6挑4</w:t>
            </w: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5挑1</w:t>
            </w: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4挑1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吊杆</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支架</w:t>
            </w: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1米抱杆</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1.2米抱杆</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1.5米抱杆</w:t>
            </w: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2米抱杆</w:t>
            </w: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抱杆</w:t>
            </w: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落地</w:t>
            </w: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抱箱</w:t>
            </w:r>
          </w:p>
        </w:tc>
        <w:tc>
          <w:tcPr>
            <w:tcW w:w="195" w:type="pct"/>
            <w:tcBorders>
              <w:top w:val="single" w:color="000000" w:sz="4" w:space="0"/>
              <w:left w:val="single" w:color="000000" w:sz="4" w:space="0"/>
              <w:right w:val="single" w:color="000000" w:sz="4" w:space="0"/>
            </w:tcBorders>
            <w:shd w:val="clear" w:color="auto" w:fill="auto"/>
            <w:noWrap/>
            <w:vAlign w:val="center"/>
          </w:tcPr>
          <w:p>
            <w:pPr>
              <w:jc w:val="center"/>
              <w:rPr>
                <w:rFonts w:ascii="宋体" w:hAnsi="宋体" w:cs="宋体"/>
                <w:b/>
                <w:bCs/>
                <w:color w:val="auto"/>
                <w:szCs w:val="21"/>
                <w:highlight w:val="none"/>
              </w:rPr>
            </w:pPr>
          </w:p>
        </w:tc>
      </w:tr>
      <w:tr>
        <w:tblPrEx>
          <w:tblCellMar>
            <w:top w:w="0" w:type="dxa"/>
            <w:left w:w="108" w:type="dxa"/>
            <w:bottom w:w="0" w:type="dxa"/>
            <w:right w:w="108" w:type="dxa"/>
          </w:tblCellMar>
        </w:tblPrEx>
        <w:trPr>
          <w:trHeight w:val="9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浙江省烟草公司宁波市分公司</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150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凌云路人才基地</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凌云路人才基地</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w:t>
            </w:r>
          </w:p>
        </w:tc>
      </w:tr>
      <w:tr>
        <w:tblPrEx>
          <w:tblCellMar>
            <w:top w:w="0" w:type="dxa"/>
            <w:left w:w="108" w:type="dxa"/>
            <w:bottom w:w="0" w:type="dxa"/>
            <w:right w:w="108" w:type="dxa"/>
          </w:tblCellMar>
        </w:tblPrEx>
        <w:trPr>
          <w:trHeight w:val="1125"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聚贤路扬帆路西北角</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2625"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宁波市公共交通集团有限公司江南路568号</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0016枪欧宝大酒店</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w:t>
            </w:r>
          </w:p>
        </w:tc>
      </w:tr>
      <w:tr>
        <w:tblPrEx>
          <w:tblCellMar>
            <w:top w:w="0" w:type="dxa"/>
            <w:left w:w="108" w:type="dxa"/>
            <w:bottom w:w="0" w:type="dxa"/>
            <w:right w:w="108" w:type="dxa"/>
          </w:tblCellMar>
        </w:tblPrEx>
        <w:trPr>
          <w:trHeight w:val="9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浙江大学软件学院</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0334球冬青路-东海府西门</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w:t>
            </w:r>
          </w:p>
        </w:tc>
      </w:tr>
      <w:tr>
        <w:tblPrEx>
          <w:tblCellMar>
            <w:top w:w="0" w:type="dxa"/>
            <w:left w:w="108" w:type="dxa"/>
            <w:bottom w:w="0" w:type="dxa"/>
            <w:right w:w="108" w:type="dxa"/>
          </w:tblCellMar>
        </w:tblPrEx>
        <w:trPr>
          <w:trHeight w:val="9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宁波电信局国家高新区分局</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0230枪名仕嘉景苑</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w:t>
            </w:r>
          </w:p>
        </w:tc>
      </w:tr>
      <w:tr>
        <w:tblPrEx>
          <w:tblCellMar>
            <w:top w:w="0" w:type="dxa"/>
            <w:left w:w="108" w:type="dxa"/>
            <w:bottom w:w="0" w:type="dxa"/>
            <w:right w:w="108" w:type="dxa"/>
          </w:tblCellMar>
        </w:tblPrEx>
        <w:trPr>
          <w:trHeight w:val="785"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中国联合网络通信有限公司宁波市分公司</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0042球凌云路-星光路</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w:t>
            </w:r>
          </w:p>
        </w:tc>
      </w:tr>
      <w:tr>
        <w:tblPrEx>
          <w:tblCellMar>
            <w:top w:w="0" w:type="dxa"/>
            <w:left w:w="108" w:type="dxa"/>
            <w:bottom w:w="0" w:type="dxa"/>
            <w:right w:w="108" w:type="dxa"/>
          </w:tblCellMar>
        </w:tblPrEx>
        <w:trPr>
          <w:trHeight w:val="150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新材料创新中心人民法院</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75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凤竹路翔海路</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9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宁波市产品质量监督检验研究院</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借杆路灯</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w:t>
            </w:r>
          </w:p>
        </w:tc>
      </w:tr>
      <w:tr>
        <w:tblPrEx>
          <w:tblCellMar>
            <w:top w:w="0" w:type="dxa"/>
            <w:left w:w="108" w:type="dxa"/>
            <w:bottom w:w="0" w:type="dxa"/>
            <w:right w:w="108" w:type="dxa"/>
          </w:tblCellMar>
        </w:tblPrEx>
        <w:trPr>
          <w:trHeight w:val="71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11</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中国兵器科学研究院宁波分院</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借杆路灯</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w:t>
            </w:r>
          </w:p>
        </w:tc>
      </w:tr>
      <w:tr>
        <w:tblPrEx>
          <w:tblCellMar>
            <w:top w:w="0" w:type="dxa"/>
            <w:left w:w="108" w:type="dxa"/>
            <w:bottom w:w="0" w:type="dxa"/>
            <w:right w:w="108" w:type="dxa"/>
          </w:tblCellMar>
        </w:tblPrEx>
        <w:trPr>
          <w:trHeight w:val="1125"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文康路拾意酒店对面</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9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13</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德逸瑞酒店路口</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150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14</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格雷斯酒店路口</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0494球祥天-杨帆路</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w:t>
            </w:r>
          </w:p>
        </w:tc>
      </w:tr>
      <w:tr>
        <w:tblPrEx>
          <w:tblCellMar>
            <w:top w:w="0" w:type="dxa"/>
            <w:left w:w="108" w:type="dxa"/>
            <w:bottom w:w="0" w:type="dxa"/>
            <w:right w:w="108" w:type="dxa"/>
          </w:tblCellMar>
        </w:tblPrEx>
        <w:trPr>
          <w:trHeight w:val="9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15</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创苑路与甬江大道</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w:t>
            </w:r>
          </w:p>
        </w:tc>
      </w:tr>
      <w:tr>
        <w:tblPrEx>
          <w:tblCellMar>
            <w:top w:w="0" w:type="dxa"/>
            <w:left w:w="108" w:type="dxa"/>
            <w:bottom w:w="0" w:type="dxa"/>
            <w:right w:w="108" w:type="dxa"/>
          </w:tblCellMar>
        </w:tblPrEx>
        <w:trPr>
          <w:trHeight w:val="80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16</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江南一品小区每夜优品酒店对面</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375"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17</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喜百客</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借杆路灯</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w:t>
            </w:r>
          </w:p>
        </w:tc>
      </w:tr>
      <w:tr>
        <w:tblPrEx>
          <w:tblCellMar>
            <w:top w:w="0" w:type="dxa"/>
            <w:left w:w="108" w:type="dxa"/>
            <w:bottom w:w="0" w:type="dxa"/>
            <w:right w:w="108" w:type="dxa"/>
          </w:tblCellMar>
        </w:tblPrEx>
        <w:trPr>
          <w:trHeight w:val="75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18</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香菲酒店门口</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47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19</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心悦四季酒店门口</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宁波新乐造船集团有限公司</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9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20</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四季庭院酒店门口</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95"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21</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宁波天衡检测有限公司</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9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22</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宁波国家高新区实验幼儿园明辰分园</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395"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23</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宁波国家高新区第一幼儿园华城分园</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9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24</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宁波市医疗中心李惠利医院（东部院区）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祥云北路与玉兰路口</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w:t>
            </w:r>
          </w:p>
        </w:tc>
      </w:tr>
      <w:tr>
        <w:tblPrEx>
          <w:tblCellMar>
            <w:top w:w="0" w:type="dxa"/>
            <w:left w:w="108" w:type="dxa"/>
            <w:bottom w:w="0" w:type="dxa"/>
            <w:right w:w="108" w:type="dxa"/>
          </w:tblCellMar>
        </w:tblPrEx>
        <w:trPr>
          <w:trHeight w:val="150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27</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宁波市鄞州职业高级中学</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80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29</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宁波诺丁汉大学附属中学北门</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9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30</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宁波诺丁汉大学附属中学西南门朝南朝北</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9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31</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宁波国家高新区梅南幼儿园</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东和雅苑门口</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借杆0133枪梅南幼儿园</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96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33</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宁波市体育运动学校</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宁波高新区培英体艺幼儿园</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3" w:type="pct"/>
            <w:gridSpan w:val="3"/>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2" w:type="pct"/>
            <w:gridSpan w:val="3"/>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95" w:type="pct"/>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借杆详见勘点表</w:t>
            </w:r>
          </w:p>
        </w:tc>
      </w:tr>
      <w:tr>
        <w:tblPrEx>
          <w:tblCellMar>
            <w:top w:w="0" w:type="dxa"/>
            <w:left w:w="108" w:type="dxa"/>
            <w:bottom w:w="0" w:type="dxa"/>
            <w:right w:w="108" w:type="dxa"/>
          </w:tblCellMar>
        </w:tblPrEx>
        <w:trPr>
          <w:trHeight w:val="35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34</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交通银行宁波分行高新区支行</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9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35</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中国农业银行股份有限公司宁波高新区支行营业部</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17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36</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广发银行股份有限公司宁波高新区支行</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65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37</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中国建设银行股份有限公司宁波高新区支行</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9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38</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中信银行股份有限公司宁波高新区支行</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41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39</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上海浦东发展银行宁波高新区支行</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125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40</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宁波鄞州农村商业银行股份有限公司梅墟支行</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9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41</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中国银行股份有限公司宁波市科技支行</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9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42</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中国工商银行股份有限公司宁波国家高新区支行</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1055"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43</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中国光大银行股份有限公司宁波国家高新区支行</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236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44</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中国民生银行股份有限公司宁波分行</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宁波汇杰汽车服务有限公司</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113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45</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宁波鄞州农村商业银行股份有限公司高新区支行</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365"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46</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上海银行股份有限公司宁波分行</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155"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47</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浙商银行股份有限公司宁波分行</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9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48</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宁波银行股份有限公司国家高新区支行</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9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49</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中国邮政储蓄银行股份有限公司宁波分行</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665"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50</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浙江民泰商业银行股份有限公司宁波分行</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305"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51</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宁波电工合金材料有限公司</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西南门</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65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53</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均胜集团有限公司</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107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54</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浙江省围海建设集团股份有限公司</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101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55</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中银（宁波）电池有限公司</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41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56</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宁波赛尔富电子有限公司</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北门</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59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57</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中石化宁波工程有限公司</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西门</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326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58</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浙江中一检测研究院股份有限公司</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宁波辰奥汽车销售服务有限公司</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宁波高新区鑫东奥汽车维修服务有限公司</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150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60</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宁波永新光学股份有限公司</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南门西南门</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455"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61</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宁波大红鹰药业股份有限公司</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32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62</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宁波韵升集团股份有限公司</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东南门</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75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63</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宁波颐乐园</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东南门西南门</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75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64</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瑞祥商务宾馆</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305"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66</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清水芙蓉洗浴中心</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1085"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68</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亚朵酒店（宁波燕庐酒店有限公司）</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20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69</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桔红宾馆</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140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70</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深蓝城市民宿（宁波高新区豪沃宾馆）</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75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71</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芙蓉宾馆</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92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72</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宁波高新区海铂酒店有限公司</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1125"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73</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东方石浦大饭店</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正门西门</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1125"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74</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宁波三脚猫电竞酒店</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75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75</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百谷商务宾馆</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75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81</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岚湖里酒店</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137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82</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维珍天使酒店（宁波繁趣酒店管理有限公司））</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83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83</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宁波高新区麦田娱乐中心</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进口</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77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84</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宁波高新区御海湾足浴休闲会所</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11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85</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好印德图文工作室</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101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86</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宁波市高新区心愿照相馆</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1955"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87</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恩来会计刻章</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宁波高新区靓车一族汽车美容装浦服务有限公司</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53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88</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宁波高新区乔木刻章服务部</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62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90</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宁波高新区万拓图文设计经营部</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295"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91</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宁波高新区教冠快汽车维修服务有限公司</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现叫途虎养车</w:t>
            </w:r>
          </w:p>
        </w:tc>
      </w:tr>
      <w:tr>
        <w:tblPrEx>
          <w:tblCellMar>
            <w:top w:w="0" w:type="dxa"/>
            <w:left w:w="108" w:type="dxa"/>
            <w:bottom w:w="0" w:type="dxa"/>
            <w:right w:w="108" w:type="dxa"/>
          </w:tblCellMar>
        </w:tblPrEx>
        <w:trPr>
          <w:trHeight w:val="95"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92</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宁波一森汽车科技有限公司</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1145"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93</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宁波高新区梅墟易卡捷汽车维修服务部</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134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94</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宁波高新区永源通汽车服务部</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9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95</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宁波红枫汽车服务有限公司</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1835"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96</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宁波羽格汽车服务有限公司</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宁波高新区吉愿汽车维修服务部</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现叫天猫养车</w:t>
            </w:r>
          </w:p>
        </w:tc>
      </w:tr>
      <w:tr>
        <w:tblPrEx>
          <w:tblCellMar>
            <w:top w:w="0" w:type="dxa"/>
            <w:left w:w="108" w:type="dxa"/>
            <w:bottom w:w="0" w:type="dxa"/>
            <w:right w:w="108" w:type="dxa"/>
          </w:tblCellMar>
        </w:tblPrEx>
        <w:trPr>
          <w:trHeight w:val="14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97</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宁波高新区金扳手汽车服务有限公司</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trike/>
                <w:color w:val="auto"/>
                <w:szCs w:val="21"/>
                <w:highlight w:val="none"/>
              </w:rPr>
            </w:pPr>
          </w:p>
        </w:tc>
      </w:tr>
      <w:tr>
        <w:tblPrEx>
          <w:tblCellMar>
            <w:top w:w="0" w:type="dxa"/>
            <w:left w:w="108" w:type="dxa"/>
            <w:bottom w:w="0" w:type="dxa"/>
            <w:right w:w="108" w:type="dxa"/>
          </w:tblCellMar>
        </w:tblPrEx>
        <w:trPr>
          <w:trHeight w:val="9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98</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宁波高新区金曼汽车维修经营部</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14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99</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宁波市高新区友道有范汽车维修服务部</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9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100</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宁波高新区鑫耀汽车服务有限公司</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宁波高新区梅墟小文汽车维修服务部</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p>
        </w:tc>
      </w:tr>
      <w:tr>
        <w:tblPrEx>
          <w:tblCellMar>
            <w:top w:w="0" w:type="dxa"/>
            <w:left w:w="108" w:type="dxa"/>
            <w:bottom w:w="0" w:type="dxa"/>
            <w:right w:w="108" w:type="dxa"/>
          </w:tblCellMar>
        </w:tblPrEx>
        <w:trPr>
          <w:trHeight w:val="9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102</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宁波高新区正隆汽车服务部</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56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104</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宁波市高新区小红帽汽车修理店</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65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105</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宁波高新区梅墟长发汽车维修店</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785"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106</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宁波新视野汽车服务有限公司</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9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107</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宁波高新区甬怪汽车用品店</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车膜汇</w:t>
            </w:r>
          </w:p>
        </w:tc>
      </w:tr>
      <w:tr>
        <w:tblPrEx>
          <w:tblCellMar>
            <w:top w:w="0" w:type="dxa"/>
            <w:left w:w="108" w:type="dxa"/>
            <w:bottom w:w="0" w:type="dxa"/>
            <w:right w:w="108" w:type="dxa"/>
          </w:tblCellMar>
        </w:tblPrEx>
        <w:trPr>
          <w:trHeight w:val="755"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108</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宁波高新区梅墟御车汇汽车维修店</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875"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110</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宁波高新区宇阳洗车经营部</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宁波路源汽车维修有限公司</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现叫爱车e族</w:t>
            </w:r>
          </w:p>
        </w:tc>
      </w:tr>
      <w:tr>
        <w:tblPrEx>
          <w:tblCellMar>
            <w:top w:w="0" w:type="dxa"/>
            <w:left w:w="108" w:type="dxa"/>
            <w:bottom w:w="0" w:type="dxa"/>
            <w:right w:w="108" w:type="dxa"/>
          </w:tblCellMar>
        </w:tblPrEx>
        <w:trPr>
          <w:trHeight w:val="9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111</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宁波英宗汽车维修服务有限公司</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515"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115</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宁波市高新区亮捷汽车装潢服务部</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53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116</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高新区宏斌车管家一站式服务中心</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815"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117</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宁波高新区丰德汽车服务有限公司(捍路者精致汽车生活馆）</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74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118</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宁波高新区渤帆汽车修理店</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9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120</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宁波市一颗星汽车服务有限公司</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455"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122</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宁波高新区新鑫汽车美容服务部</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86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123</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宁波高新区梅墟琪宇汽车服务部</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29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124</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宁波甬成优行新能源汽车销售服务有限公司</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9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125</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宁波丰顺汽车销售服务有限公司</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1125"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127</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宁波翼之杰汽车服务</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381"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131</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宁波高新区海琴汽车服务部</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现叫宾御</w:t>
            </w:r>
          </w:p>
        </w:tc>
      </w:tr>
      <w:tr>
        <w:tblPrEx>
          <w:tblCellMar>
            <w:top w:w="0" w:type="dxa"/>
            <w:left w:w="108" w:type="dxa"/>
            <w:bottom w:w="0" w:type="dxa"/>
            <w:right w:w="108" w:type="dxa"/>
          </w:tblCellMar>
        </w:tblPrEx>
        <w:trPr>
          <w:trHeight w:val="23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132</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宁波高新区层语汽车维修服务部(车之星汽车服务）</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95"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133</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宁波润耀汽车维修有限公司A10-3</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宁波高新区和风汽车维修服务部A10-1</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波迪之杰新能源销售服务有限公司A15-1</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宁波海辰汽车服务有限公司</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宁波高新区友好汽车修理店</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宁波高新区一春汽车修理服务部A10-2宁波迈卡汽车服务有限公司</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68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143</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宁波高新区生升汽车维修服务部</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新鑫</w:t>
            </w:r>
          </w:p>
        </w:tc>
      </w:tr>
      <w:tr>
        <w:tblPrEx>
          <w:tblCellMar>
            <w:top w:w="0" w:type="dxa"/>
            <w:left w:w="108" w:type="dxa"/>
            <w:bottom w:w="0" w:type="dxa"/>
            <w:right w:w="108" w:type="dxa"/>
          </w:tblCellMar>
        </w:tblPrEx>
        <w:trPr>
          <w:trHeight w:val="9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144</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宁波高新区雷纳汽车用品商行</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1866"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145</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28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宁波高新区海城进口汽车维修中心</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宁波高新区卡熙汽车服务有限公司</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宁波路源汽车维修有限公司</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245"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147</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宁波高新区新明车美轩汽车维修服务部</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1875"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149</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宁波耀兴途达汽车服务有限公司</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现叫途虎</w:t>
            </w:r>
          </w:p>
        </w:tc>
      </w:tr>
      <w:tr>
        <w:tblPrEx>
          <w:tblCellMar>
            <w:top w:w="0" w:type="dxa"/>
            <w:left w:w="108" w:type="dxa"/>
            <w:bottom w:w="0" w:type="dxa"/>
            <w:right w:w="108" w:type="dxa"/>
          </w:tblCellMar>
        </w:tblPrEx>
        <w:trPr>
          <w:trHeight w:val="1875"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150</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宁波高新区梅城甬福汽车配件店</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现叫小郭汽修</w:t>
            </w:r>
          </w:p>
        </w:tc>
      </w:tr>
      <w:tr>
        <w:tblPrEx>
          <w:tblCellMar>
            <w:top w:w="0" w:type="dxa"/>
            <w:left w:w="108" w:type="dxa"/>
            <w:bottom w:w="0" w:type="dxa"/>
            <w:right w:w="108" w:type="dxa"/>
          </w:tblCellMar>
        </w:tblPrEx>
        <w:trPr>
          <w:trHeight w:val="1615"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151</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宁波欧一聚和汽车服务有限公司</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拜尔汽车科技(浙江)有限公司</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590"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156</w:t>
            </w: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宁波高新区新明刘磊车行</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借杆</w:t>
            </w:r>
          </w:p>
        </w:tc>
        <w:tc>
          <w:tcPr>
            <w:tcW w:w="162" w:type="pct"/>
            <w:gridSpan w:val="3"/>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90" w:hRule="atLeast"/>
          <w:jc w:val="center"/>
        </w:trPr>
        <w:tc>
          <w:tcPr>
            <w:tcW w:w="216" w:type="pct"/>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159</w:t>
            </w:r>
          </w:p>
        </w:tc>
        <w:tc>
          <w:tcPr>
            <w:tcW w:w="484" w:type="pct"/>
            <w:gridSpan w:val="4"/>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宁波高新区梅墟本丰汽车维修服务部</w:t>
            </w:r>
          </w:p>
        </w:tc>
        <w:tc>
          <w:tcPr>
            <w:tcW w:w="142" w:type="pct"/>
            <w:gridSpan w:val="3"/>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新建</w:t>
            </w:r>
          </w:p>
        </w:tc>
        <w:tc>
          <w:tcPr>
            <w:tcW w:w="162" w:type="pct"/>
            <w:gridSpan w:val="3"/>
            <w:tcBorders>
              <w:top w:val="single" w:color="000000" w:sz="4" w:space="0"/>
              <w:left w:val="single" w:color="000000" w:sz="4" w:space="0"/>
              <w:bottom w:val="nil"/>
              <w:right w:val="nil"/>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2" w:type="pct"/>
            <w:gridSpan w:val="3"/>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3" w:type="pct"/>
            <w:gridSpan w:val="3"/>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2"/>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320" w:type="pct"/>
            <w:gridSpan w:val="6"/>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27" w:type="pct"/>
            <w:gridSpan w:val="2"/>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3"/>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3" w:type="pct"/>
            <w:gridSpan w:val="6"/>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2" w:type="pct"/>
            <w:gridSpan w:val="4"/>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2" w:type="pct"/>
            <w:gridSpan w:val="2"/>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3"/>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3"/>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3" w:type="pct"/>
            <w:gridSpan w:val="2"/>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62" w:type="pct"/>
            <w:gridSpan w:val="3"/>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37" w:type="pct"/>
            <w:gridSpan w:val="2"/>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00" w:type="pct"/>
            <w:gridSpan w:val="4"/>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57" w:type="pct"/>
            <w:gridSpan w:val="3"/>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250" w:type="pct"/>
            <w:gridSpan w:val="5"/>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95" w:type="pc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现叫鸿钧汽修</w:t>
            </w:r>
          </w:p>
        </w:tc>
      </w:tr>
      <w:tr>
        <w:tblPrEx>
          <w:tblCellMar>
            <w:top w:w="0" w:type="dxa"/>
            <w:left w:w="108" w:type="dxa"/>
            <w:bottom w:w="0" w:type="dxa"/>
            <w:right w:w="108" w:type="dxa"/>
          </w:tblCellMar>
        </w:tblPrEx>
        <w:trPr>
          <w:trHeight w:val="285"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auto"/>
                <w:szCs w:val="21"/>
                <w:highlight w:val="none"/>
              </w:rPr>
            </w:pPr>
          </w:p>
        </w:tc>
        <w:tc>
          <w:tcPr>
            <w:tcW w:w="48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总计</w:t>
            </w:r>
          </w:p>
        </w:tc>
        <w:tc>
          <w:tcPr>
            <w:tcW w:w="14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auto"/>
                <w:szCs w:val="21"/>
                <w:highlight w:val="none"/>
              </w:rPr>
            </w:pP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144</w:t>
            </w:r>
          </w:p>
        </w:tc>
        <w:tc>
          <w:tcPr>
            <w:tcW w:w="1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15</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31</w:t>
            </w:r>
          </w:p>
        </w:tc>
        <w:tc>
          <w:tcPr>
            <w:tcW w:w="1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c>
          <w:tcPr>
            <w:tcW w:w="1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32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c>
          <w:tcPr>
            <w:tcW w:w="12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c>
          <w:tcPr>
            <w:tcW w:w="2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5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c>
          <w:tcPr>
            <w:tcW w:w="25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19</w:t>
            </w: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61</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c>
          <w:tcPr>
            <w:tcW w:w="13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26</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c>
          <w:tcPr>
            <w:tcW w:w="1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w:t>
            </w:r>
          </w:p>
        </w:tc>
        <w:tc>
          <w:tcPr>
            <w:tcW w:w="1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5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86</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auto"/>
                <w:szCs w:val="21"/>
                <w:highlight w:val="none"/>
              </w:rPr>
            </w:pPr>
          </w:p>
        </w:tc>
      </w:tr>
      <w:tr>
        <w:tblPrEx>
          <w:tblCellMar>
            <w:top w:w="0" w:type="dxa"/>
            <w:left w:w="108" w:type="dxa"/>
            <w:bottom w:w="0" w:type="dxa"/>
            <w:right w:w="108" w:type="dxa"/>
          </w:tblCellMar>
        </w:tblPrEx>
        <w:trPr>
          <w:trHeight w:val="300" w:hRule="atLeast"/>
          <w:jc w:val="center"/>
        </w:trPr>
        <w:tc>
          <w:tcPr>
            <w:tcW w:w="5000" w:type="pct"/>
            <w:gridSpan w:val="78"/>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jc w:val="center"/>
              <w:rPr>
                <w:rFonts w:ascii="宋体" w:hAnsi="宋体" w:cs="宋体"/>
                <w:color w:val="auto"/>
                <w:szCs w:val="21"/>
                <w:highlight w:val="none"/>
              </w:rPr>
            </w:pPr>
            <w:r>
              <w:rPr>
                <w:rFonts w:hint="eastAsia" w:ascii="宋体" w:hAnsi="宋体" w:cs="宋体"/>
                <w:b/>
                <w:bCs/>
                <w:color w:val="auto"/>
                <w:kern w:val="0"/>
                <w:szCs w:val="21"/>
                <w:highlight w:val="none"/>
                <w:lang w:bidi="ar"/>
              </w:rPr>
              <w:t>重要感知点位规划汇总表3</w:t>
            </w:r>
          </w:p>
        </w:tc>
      </w:tr>
      <w:tr>
        <w:tblPrEx>
          <w:tblCellMar>
            <w:top w:w="0" w:type="dxa"/>
            <w:left w:w="108" w:type="dxa"/>
            <w:bottom w:w="0" w:type="dxa"/>
            <w:right w:w="108" w:type="dxa"/>
          </w:tblCellMar>
        </w:tblPrEx>
        <w:trPr>
          <w:trHeight w:val="300" w:hRule="atLeast"/>
          <w:jc w:val="center"/>
        </w:trPr>
        <w:tc>
          <w:tcPr>
            <w:tcW w:w="4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序号</w:t>
            </w:r>
          </w:p>
        </w:tc>
        <w:tc>
          <w:tcPr>
            <w:tcW w:w="1614" w:type="pct"/>
            <w:gridSpan w:val="2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道路</w:t>
            </w:r>
          </w:p>
        </w:tc>
        <w:tc>
          <w:tcPr>
            <w:tcW w:w="762" w:type="pct"/>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人脸</w:t>
            </w:r>
          </w:p>
        </w:tc>
        <w:tc>
          <w:tcPr>
            <w:tcW w:w="2187" w:type="pct"/>
            <w:gridSpan w:val="37"/>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备注</w:t>
            </w:r>
          </w:p>
        </w:tc>
      </w:tr>
      <w:tr>
        <w:tblPrEx>
          <w:tblCellMar>
            <w:top w:w="0" w:type="dxa"/>
            <w:left w:w="108" w:type="dxa"/>
            <w:bottom w:w="0" w:type="dxa"/>
            <w:right w:w="108" w:type="dxa"/>
          </w:tblCellMar>
        </w:tblPrEx>
        <w:trPr>
          <w:trHeight w:val="300" w:hRule="atLeast"/>
          <w:jc w:val="center"/>
        </w:trPr>
        <w:tc>
          <w:tcPr>
            <w:tcW w:w="4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14" w:type="pct"/>
            <w:gridSpan w:val="2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达升路朱一路</w:t>
            </w:r>
          </w:p>
        </w:tc>
        <w:tc>
          <w:tcPr>
            <w:tcW w:w="762" w:type="pct"/>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187" w:type="pct"/>
            <w:gridSpan w:val="37"/>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借杆朝北朝西建设</w:t>
            </w:r>
          </w:p>
        </w:tc>
      </w:tr>
      <w:tr>
        <w:tblPrEx>
          <w:tblCellMar>
            <w:top w:w="0" w:type="dxa"/>
            <w:left w:w="108" w:type="dxa"/>
            <w:bottom w:w="0" w:type="dxa"/>
            <w:right w:w="108" w:type="dxa"/>
          </w:tblCellMar>
        </w:tblPrEx>
        <w:trPr>
          <w:trHeight w:val="300" w:hRule="atLeast"/>
          <w:jc w:val="center"/>
        </w:trPr>
        <w:tc>
          <w:tcPr>
            <w:tcW w:w="4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614" w:type="pct"/>
            <w:gridSpan w:val="2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朱一路-新明路</w:t>
            </w:r>
          </w:p>
        </w:tc>
        <w:tc>
          <w:tcPr>
            <w:tcW w:w="762" w:type="pct"/>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2187" w:type="pct"/>
            <w:gridSpan w:val="37"/>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借杆朝轩宇美寓</w:t>
            </w:r>
          </w:p>
        </w:tc>
      </w:tr>
      <w:tr>
        <w:tblPrEx>
          <w:tblCellMar>
            <w:top w:w="0" w:type="dxa"/>
            <w:left w:w="108" w:type="dxa"/>
            <w:bottom w:w="0" w:type="dxa"/>
            <w:right w:w="108" w:type="dxa"/>
          </w:tblCellMar>
        </w:tblPrEx>
        <w:trPr>
          <w:trHeight w:val="300" w:hRule="atLeast"/>
          <w:jc w:val="center"/>
        </w:trPr>
        <w:tc>
          <w:tcPr>
            <w:tcW w:w="4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3</w:t>
            </w:r>
          </w:p>
        </w:tc>
        <w:tc>
          <w:tcPr>
            <w:tcW w:w="1614" w:type="pct"/>
            <w:gridSpan w:val="2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常洪隧道南向北-通途路世纪大道</w:t>
            </w:r>
          </w:p>
        </w:tc>
        <w:tc>
          <w:tcPr>
            <w:tcW w:w="762" w:type="pct"/>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187" w:type="pct"/>
            <w:gridSpan w:val="37"/>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00" w:hRule="atLeast"/>
          <w:jc w:val="center"/>
        </w:trPr>
        <w:tc>
          <w:tcPr>
            <w:tcW w:w="4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1614" w:type="pct"/>
            <w:gridSpan w:val="2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甬江大道-金菊路</w:t>
            </w:r>
          </w:p>
        </w:tc>
        <w:tc>
          <w:tcPr>
            <w:tcW w:w="762" w:type="pct"/>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187" w:type="pct"/>
            <w:gridSpan w:val="37"/>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290" w:hRule="atLeast"/>
          <w:jc w:val="center"/>
        </w:trPr>
        <w:tc>
          <w:tcPr>
            <w:tcW w:w="4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1614" w:type="pct"/>
            <w:gridSpan w:val="2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翔海路-风竹路</w:t>
            </w:r>
          </w:p>
        </w:tc>
        <w:tc>
          <w:tcPr>
            <w:tcW w:w="762" w:type="pct"/>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187" w:type="pct"/>
            <w:gridSpan w:val="37"/>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新建一枪一球</w:t>
            </w:r>
          </w:p>
        </w:tc>
      </w:tr>
      <w:tr>
        <w:tblPrEx>
          <w:tblCellMar>
            <w:top w:w="0" w:type="dxa"/>
            <w:left w:w="108" w:type="dxa"/>
            <w:bottom w:w="0" w:type="dxa"/>
            <w:right w:w="108" w:type="dxa"/>
          </w:tblCellMar>
        </w:tblPrEx>
        <w:trPr>
          <w:trHeight w:val="300" w:hRule="atLeast"/>
          <w:jc w:val="center"/>
        </w:trPr>
        <w:tc>
          <w:tcPr>
            <w:tcW w:w="4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w:t>
            </w:r>
          </w:p>
        </w:tc>
        <w:tc>
          <w:tcPr>
            <w:tcW w:w="1614" w:type="pct"/>
            <w:gridSpan w:val="2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创苑路凤竹路</w:t>
            </w:r>
          </w:p>
        </w:tc>
        <w:tc>
          <w:tcPr>
            <w:tcW w:w="762" w:type="pct"/>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187" w:type="pct"/>
            <w:gridSpan w:val="37"/>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00" w:hRule="atLeast"/>
          <w:jc w:val="center"/>
        </w:trPr>
        <w:tc>
          <w:tcPr>
            <w:tcW w:w="4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1614" w:type="pct"/>
            <w:gridSpan w:val="2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甬江大道创苑路</w:t>
            </w:r>
          </w:p>
        </w:tc>
        <w:tc>
          <w:tcPr>
            <w:tcW w:w="762" w:type="pct"/>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2187" w:type="pct"/>
            <w:gridSpan w:val="37"/>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00" w:hRule="atLeast"/>
          <w:jc w:val="center"/>
        </w:trPr>
        <w:tc>
          <w:tcPr>
            <w:tcW w:w="4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w:t>
            </w:r>
          </w:p>
        </w:tc>
        <w:tc>
          <w:tcPr>
            <w:tcW w:w="1614" w:type="pct"/>
            <w:gridSpan w:val="2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剑兰路光华路</w:t>
            </w:r>
          </w:p>
        </w:tc>
        <w:tc>
          <w:tcPr>
            <w:tcW w:w="762" w:type="pct"/>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187" w:type="pct"/>
            <w:gridSpan w:val="37"/>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00" w:hRule="atLeast"/>
          <w:jc w:val="center"/>
        </w:trPr>
        <w:tc>
          <w:tcPr>
            <w:tcW w:w="4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w:t>
            </w:r>
          </w:p>
        </w:tc>
        <w:tc>
          <w:tcPr>
            <w:tcW w:w="1614" w:type="pct"/>
            <w:gridSpan w:val="2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院士路扬帆路</w:t>
            </w:r>
          </w:p>
        </w:tc>
        <w:tc>
          <w:tcPr>
            <w:tcW w:w="762" w:type="pct"/>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2187" w:type="pct"/>
            <w:gridSpan w:val="37"/>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00" w:hRule="atLeast"/>
          <w:jc w:val="center"/>
        </w:trPr>
        <w:tc>
          <w:tcPr>
            <w:tcW w:w="4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w:t>
            </w:r>
          </w:p>
        </w:tc>
        <w:tc>
          <w:tcPr>
            <w:tcW w:w="1614" w:type="pct"/>
            <w:gridSpan w:val="2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清逸路-宁波智造港</w:t>
            </w:r>
          </w:p>
        </w:tc>
        <w:tc>
          <w:tcPr>
            <w:tcW w:w="762" w:type="pct"/>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2187" w:type="pct"/>
            <w:gridSpan w:val="37"/>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00" w:hRule="atLeast"/>
          <w:jc w:val="center"/>
        </w:trPr>
        <w:tc>
          <w:tcPr>
            <w:tcW w:w="4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w:t>
            </w:r>
          </w:p>
        </w:tc>
        <w:tc>
          <w:tcPr>
            <w:tcW w:w="1614" w:type="pct"/>
            <w:gridSpan w:val="2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清逸路-新梅路</w:t>
            </w:r>
          </w:p>
        </w:tc>
        <w:tc>
          <w:tcPr>
            <w:tcW w:w="762" w:type="pct"/>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187" w:type="pct"/>
            <w:gridSpan w:val="37"/>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00" w:hRule="atLeast"/>
          <w:jc w:val="center"/>
        </w:trPr>
        <w:tc>
          <w:tcPr>
            <w:tcW w:w="4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11</w:t>
            </w:r>
          </w:p>
        </w:tc>
        <w:tc>
          <w:tcPr>
            <w:tcW w:w="1614" w:type="pct"/>
            <w:gridSpan w:val="2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新梅路南端奥克斯产业园</w:t>
            </w:r>
          </w:p>
        </w:tc>
        <w:tc>
          <w:tcPr>
            <w:tcW w:w="762" w:type="pct"/>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187" w:type="pct"/>
            <w:gridSpan w:val="37"/>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新建1枪球</w:t>
            </w:r>
          </w:p>
        </w:tc>
      </w:tr>
      <w:tr>
        <w:tblPrEx>
          <w:tblCellMar>
            <w:top w:w="0" w:type="dxa"/>
            <w:left w:w="108" w:type="dxa"/>
            <w:bottom w:w="0" w:type="dxa"/>
            <w:right w:w="108" w:type="dxa"/>
          </w:tblCellMar>
        </w:tblPrEx>
        <w:trPr>
          <w:trHeight w:val="300" w:hRule="atLeast"/>
          <w:jc w:val="center"/>
        </w:trPr>
        <w:tc>
          <w:tcPr>
            <w:tcW w:w="4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w:t>
            </w:r>
          </w:p>
        </w:tc>
        <w:tc>
          <w:tcPr>
            <w:tcW w:w="1614" w:type="pct"/>
            <w:gridSpan w:val="2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szCs w:val="21"/>
                <w:highlight w:val="none"/>
              </w:rPr>
              <w:t>腊梅路瑞昌路</w:t>
            </w:r>
          </w:p>
        </w:tc>
        <w:tc>
          <w:tcPr>
            <w:tcW w:w="762" w:type="pct"/>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szCs w:val="21"/>
                <w:highlight w:val="none"/>
              </w:rPr>
              <w:t>4</w:t>
            </w:r>
          </w:p>
        </w:tc>
        <w:tc>
          <w:tcPr>
            <w:tcW w:w="2187" w:type="pct"/>
            <w:gridSpan w:val="37"/>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00" w:hRule="atLeast"/>
          <w:jc w:val="center"/>
        </w:trPr>
        <w:tc>
          <w:tcPr>
            <w:tcW w:w="4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13</w:t>
            </w:r>
          </w:p>
        </w:tc>
        <w:tc>
          <w:tcPr>
            <w:tcW w:w="1614" w:type="pct"/>
            <w:gridSpan w:val="2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szCs w:val="21"/>
                <w:highlight w:val="none"/>
              </w:rPr>
              <w:t>瑞昌路-丹桂路</w:t>
            </w:r>
          </w:p>
        </w:tc>
        <w:tc>
          <w:tcPr>
            <w:tcW w:w="762" w:type="pct"/>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szCs w:val="21"/>
                <w:highlight w:val="none"/>
              </w:rPr>
              <w:t>2</w:t>
            </w:r>
          </w:p>
        </w:tc>
        <w:tc>
          <w:tcPr>
            <w:tcW w:w="2187" w:type="pct"/>
            <w:gridSpan w:val="37"/>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00" w:hRule="atLeast"/>
          <w:jc w:val="center"/>
        </w:trPr>
        <w:tc>
          <w:tcPr>
            <w:tcW w:w="4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14</w:t>
            </w:r>
          </w:p>
        </w:tc>
        <w:tc>
          <w:tcPr>
            <w:tcW w:w="1614" w:type="pct"/>
            <w:gridSpan w:val="2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梅墟路-菁华路</w:t>
            </w:r>
          </w:p>
        </w:tc>
        <w:tc>
          <w:tcPr>
            <w:tcW w:w="762" w:type="pct"/>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2187" w:type="pct"/>
            <w:gridSpan w:val="37"/>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00" w:hRule="atLeast"/>
          <w:jc w:val="center"/>
        </w:trPr>
        <w:tc>
          <w:tcPr>
            <w:tcW w:w="4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szCs w:val="21"/>
                <w:highlight w:val="none"/>
              </w:rPr>
              <w:t>15</w:t>
            </w:r>
          </w:p>
        </w:tc>
        <w:tc>
          <w:tcPr>
            <w:tcW w:w="1614" w:type="pct"/>
            <w:gridSpan w:val="2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晨晖路493弄</w:t>
            </w:r>
          </w:p>
        </w:tc>
        <w:tc>
          <w:tcPr>
            <w:tcW w:w="762" w:type="pct"/>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2187" w:type="pct"/>
            <w:gridSpan w:val="37"/>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300" w:hRule="atLeast"/>
          <w:jc w:val="center"/>
        </w:trPr>
        <w:tc>
          <w:tcPr>
            <w:tcW w:w="4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szCs w:val="21"/>
                <w:highlight w:val="none"/>
              </w:rPr>
              <w:t>16</w:t>
            </w:r>
          </w:p>
        </w:tc>
        <w:tc>
          <w:tcPr>
            <w:tcW w:w="1614" w:type="pct"/>
            <w:gridSpan w:val="2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江南院士-甬江大道</w:t>
            </w:r>
          </w:p>
        </w:tc>
        <w:tc>
          <w:tcPr>
            <w:tcW w:w="762" w:type="pct"/>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2187" w:type="pct"/>
            <w:gridSpan w:val="37"/>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00" w:hRule="atLeast"/>
          <w:jc w:val="center"/>
        </w:trPr>
        <w:tc>
          <w:tcPr>
            <w:tcW w:w="4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szCs w:val="21"/>
                <w:highlight w:val="none"/>
              </w:rPr>
              <w:t>17</w:t>
            </w:r>
          </w:p>
        </w:tc>
        <w:tc>
          <w:tcPr>
            <w:tcW w:w="1614" w:type="pct"/>
            <w:gridSpan w:val="2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祥云北路-甬江大道</w:t>
            </w:r>
          </w:p>
        </w:tc>
        <w:tc>
          <w:tcPr>
            <w:tcW w:w="762" w:type="pct"/>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2187" w:type="pct"/>
            <w:gridSpan w:val="37"/>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00" w:hRule="atLeast"/>
          <w:jc w:val="center"/>
        </w:trPr>
        <w:tc>
          <w:tcPr>
            <w:tcW w:w="4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szCs w:val="21"/>
                <w:highlight w:val="none"/>
              </w:rPr>
              <w:t>18</w:t>
            </w:r>
          </w:p>
        </w:tc>
        <w:tc>
          <w:tcPr>
            <w:tcW w:w="1614" w:type="pct"/>
            <w:gridSpan w:val="2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翔海路-甬江大道</w:t>
            </w:r>
          </w:p>
        </w:tc>
        <w:tc>
          <w:tcPr>
            <w:tcW w:w="762" w:type="pct"/>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2187" w:type="pct"/>
            <w:gridSpan w:val="37"/>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00" w:hRule="atLeast"/>
          <w:jc w:val="center"/>
        </w:trPr>
        <w:tc>
          <w:tcPr>
            <w:tcW w:w="4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szCs w:val="21"/>
                <w:highlight w:val="none"/>
              </w:rPr>
              <w:t>19</w:t>
            </w:r>
          </w:p>
        </w:tc>
        <w:tc>
          <w:tcPr>
            <w:tcW w:w="1614" w:type="pct"/>
            <w:gridSpan w:val="2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凤竹路-祥云北路</w:t>
            </w:r>
          </w:p>
        </w:tc>
        <w:tc>
          <w:tcPr>
            <w:tcW w:w="762" w:type="pct"/>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2187" w:type="pct"/>
            <w:gridSpan w:val="37"/>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00" w:hRule="atLeast"/>
          <w:jc w:val="center"/>
        </w:trPr>
        <w:tc>
          <w:tcPr>
            <w:tcW w:w="4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szCs w:val="21"/>
                <w:highlight w:val="none"/>
              </w:rPr>
              <w:t>20</w:t>
            </w:r>
          </w:p>
        </w:tc>
        <w:tc>
          <w:tcPr>
            <w:tcW w:w="1614" w:type="pct"/>
            <w:gridSpan w:val="2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甬江大道—新材料科创北门</w:t>
            </w:r>
          </w:p>
        </w:tc>
        <w:tc>
          <w:tcPr>
            <w:tcW w:w="762" w:type="pct"/>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2187" w:type="pct"/>
            <w:gridSpan w:val="37"/>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新建</w:t>
            </w:r>
          </w:p>
        </w:tc>
      </w:tr>
      <w:tr>
        <w:tblPrEx>
          <w:tblCellMar>
            <w:top w:w="0" w:type="dxa"/>
            <w:left w:w="108" w:type="dxa"/>
            <w:bottom w:w="0" w:type="dxa"/>
            <w:right w:w="108" w:type="dxa"/>
          </w:tblCellMar>
        </w:tblPrEx>
        <w:trPr>
          <w:trHeight w:val="300" w:hRule="atLeast"/>
          <w:jc w:val="center"/>
        </w:trPr>
        <w:tc>
          <w:tcPr>
            <w:tcW w:w="4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szCs w:val="21"/>
                <w:highlight w:val="none"/>
              </w:rPr>
              <w:t>21</w:t>
            </w:r>
          </w:p>
        </w:tc>
        <w:tc>
          <w:tcPr>
            <w:tcW w:w="1614" w:type="pct"/>
            <w:gridSpan w:val="2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新舟路-腊梅路</w:t>
            </w:r>
          </w:p>
        </w:tc>
        <w:tc>
          <w:tcPr>
            <w:tcW w:w="762" w:type="pct"/>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2187" w:type="pct"/>
            <w:gridSpan w:val="37"/>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00" w:hRule="atLeast"/>
          <w:jc w:val="center"/>
        </w:trPr>
        <w:tc>
          <w:tcPr>
            <w:tcW w:w="4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szCs w:val="21"/>
                <w:highlight w:val="none"/>
              </w:rPr>
              <w:t>22</w:t>
            </w:r>
          </w:p>
        </w:tc>
        <w:tc>
          <w:tcPr>
            <w:tcW w:w="1614" w:type="pct"/>
            <w:gridSpan w:val="2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聚贤路-玉兰路</w:t>
            </w:r>
          </w:p>
        </w:tc>
        <w:tc>
          <w:tcPr>
            <w:tcW w:w="762" w:type="pct"/>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2187" w:type="pct"/>
            <w:gridSpan w:val="37"/>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00" w:hRule="atLeast"/>
          <w:jc w:val="center"/>
        </w:trPr>
        <w:tc>
          <w:tcPr>
            <w:tcW w:w="4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szCs w:val="21"/>
                <w:highlight w:val="none"/>
              </w:rPr>
              <w:t>23</w:t>
            </w:r>
          </w:p>
        </w:tc>
        <w:tc>
          <w:tcPr>
            <w:tcW w:w="1614" w:type="pct"/>
            <w:gridSpan w:val="2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扬帆路-IN兰庭</w:t>
            </w:r>
          </w:p>
        </w:tc>
        <w:tc>
          <w:tcPr>
            <w:tcW w:w="762" w:type="pct"/>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szCs w:val="21"/>
                <w:highlight w:val="none"/>
              </w:rPr>
              <w:t>2</w:t>
            </w:r>
          </w:p>
        </w:tc>
        <w:tc>
          <w:tcPr>
            <w:tcW w:w="2187" w:type="pct"/>
            <w:gridSpan w:val="37"/>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新建1枪1球</w:t>
            </w:r>
          </w:p>
        </w:tc>
      </w:tr>
      <w:tr>
        <w:tblPrEx>
          <w:tblCellMar>
            <w:top w:w="0" w:type="dxa"/>
            <w:left w:w="108" w:type="dxa"/>
            <w:bottom w:w="0" w:type="dxa"/>
            <w:right w:w="108" w:type="dxa"/>
          </w:tblCellMar>
        </w:tblPrEx>
        <w:trPr>
          <w:trHeight w:val="300" w:hRule="atLeast"/>
          <w:jc w:val="center"/>
        </w:trPr>
        <w:tc>
          <w:tcPr>
            <w:tcW w:w="4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szCs w:val="21"/>
                <w:highlight w:val="none"/>
              </w:rPr>
              <w:t>24</w:t>
            </w:r>
          </w:p>
        </w:tc>
        <w:tc>
          <w:tcPr>
            <w:tcW w:w="1614" w:type="pct"/>
            <w:gridSpan w:val="2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文智路-春江路</w:t>
            </w:r>
          </w:p>
        </w:tc>
        <w:tc>
          <w:tcPr>
            <w:tcW w:w="762" w:type="pct"/>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szCs w:val="21"/>
                <w:highlight w:val="none"/>
              </w:rPr>
              <w:t>2</w:t>
            </w:r>
          </w:p>
        </w:tc>
        <w:tc>
          <w:tcPr>
            <w:tcW w:w="2187" w:type="pct"/>
            <w:gridSpan w:val="37"/>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借杆</w:t>
            </w:r>
          </w:p>
        </w:tc>
      </w:tr>
      <w:tr>
        <w:tblPrEx>
          <w:tblCellMar>
            <w:top w:w="0" w:type="dxa"/>
            <w:left w:w="108" w:type="dxa"/>
            <w:bottom w:w="0" w:type="dxa"/>
            <w:right w:w="108" w:type="dxa"/>
          </w:tblCellMar>
        </w:tblPrEx>
        <w:trPr>
          <w:trHeight w:val="300" w:hRule="atLeast"/>
          <w:jc w:val="center"/>
        </w:trPr>
        <w:tc>
          <w:tcPr>
            <w:tcW w:w="4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szCs w:val="21"/>
                <w:highlight w:val="none"/>
              </w:rPr>
              <w:t>25</w:t>
            </w:r>
          </w:p>
        </w:tc>
        <w:tc>
          <w:tcPr>
            <w:tcW w:w="1614" w:type="pct"/>
            <w:gridSpan w:val="2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创苑路-玉兰路</w:t>
            </w:r>
          </w:p>
        </w:tc>
        <w:tc>
          <w:tcPr>
            <w:tcW w:w="762" w:type="pct"/>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szCs w:val="21"/>
                <w:highlight w:val="none"/>
              </w:rPr>
              <w:t>2</w:t>
            </w:r>
          </w:p>
        </w:tc>
        <w:tc>
          <w:tcPr>
            <w:tcW w:w="2187" w:type="pct"/>
            <w:gridSpan w:val="37"/>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借杆北边治安监控借杆西边红绿灯</w:t>
            </w:r>
          </w:p>
        </w:tc>
      </w:tr>
      <w:tr>
        <w:tblPrEx>
          <w:tblCellMar>
            <w:top w:w="0" w:type="dxa"/>
            <w:left w:w="108" w:type="dxa"/>
            <w:bottom w:w="0" w:type="dxa"/>
            <w:right w:w="108" w:type="dxa"/>
          </w:tblCellMar>
        </w:tblPrEx>
        <w:trPr>
          <w:trHeight w:val="420" w:hRule="atLeast"/>
          <w:jc w:val="center"/>
        </w:trPr>
        <w:tc>
          <w:tcPr>
            <w:tcW w:w="4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szCs w:val="21"/>
                <w:highlight w:val="none"/>
              </w:rPr>
              <w:t>26</w:t>
            </w:r>
          </w:p>
        </w:tc>
        <w:tc>
          <w:tcPr>
            <w:tcW w:w="1614" w:type="pct"/>
            <w:gridSpan w:val="2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新舟路-甬江大道</w:t>
            </w:r>
          </w:p>
        </w:tc>
        <w:tc>
          <w:tcPr>
            <w:tcW w:w="762" w:type="pct"/>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szCs w:val="21"/>
                <w:highlight w:val="none"/>
              </w:rPr>
              <w:t>2</w:t>
            </w:r>
          </w:p>
        </w:tc>
        <w:tc>
          <w:tcPr>
            <w:tcW w:w="2187" w:type="pct"/>
            <w:gridSpan w:val="37"/>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新建1枪1球</w:t>
            </w:r>
          </w:p>
        </w:tc>
      </w:tr>
      <w:tr>
        <w:tblPrEx>
          <w:tblCellMar>
            <w:top w:w="0" w:type="dxa"/>
            <w:left w:w="108" w:type="dxa"/>
            <w:bottom w:w="0" w:type="dxa"/>
            <w:right w:w="108" w:type="dxa"/>
          </w:tblCellMar>
        </w:tblPrEx>
        <w:trPr>
          <w:trHeight w:val="300" w:hRule="atLeast"/>
          <w:jc w:val="center"/>
        </w:trPr>
        <w:tc>
          <w:tcPr>
            <w:tcW w:w="2049" w:type="pct"/>
            <w:gridSpan w:val="28"/>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总计</w:t>
            </w:r>
          </w:p>
        </w:tc>
        <w:tc>
          <w:tcPr>
            <w:tcW w:w="2950" w:type="pct"/>
            <w:gridSpan w:val="50"/>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textAlignment w:val="center"/>
              <w:rPr>
                <w:rFonts w:ascii="宋体" w:hAnsi="宋体" w:cs="宋体"/>
                <w:color w:val="auto"/>
                <w:szCs w:val="21"/>
                <w:highlight w:val="none"/>
              </w:rPr>
            </w:pPr>
            <w:r>
              <w:rPr>
                <w:rFonts w:hint="eastAsia" w:ascii="宋体" w:hAnsi="宋体" w:cs="宋体"/>
                <w:color w:val="auto"/>
                <w:szCs w:val="21"/>
                <w:highlight w:val="none"/>
              </w:rPr>
              <w:t>38</w:t>
            </w:r>
          </w:p>
        </w:tc>
      </w:tr>
    </w:tbl>
    <w:p>
      <w:pPr>
        <w:rPr>
          <w:rFonts w:ascii="宋体" w:hAnsi="宋体" w:cs="宋体"/>
          <w:color w:val="auto"/>
          <w:sz w:val="24"/>
          <w:highlight w:val="none"/>
        </w:rPr>
      </w:pPr>
    </w:p>
    <w:tbl>
      <w:tblPr>
        <w:tblStyle w:val="66"/>
        <w:tblW w:w="5185" w:type="pct"/>
        <w:tblInd w:w="-2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3283"/>
        <w:gridCol w:w="3345"/>
        <w:gridCol w:w="1438"/>
        <w:gridCol w:w="1303"/>
        <w:gridCol w:w="717"/>
        <w:gridCol w:w="717"/>
        <w:gridCol w:w="867"/>
        <w:gridCol w:w="997"/>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0"/>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车辆感知点位规划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序号</w:t>
            </w:r>
          </w:p>
        </w:tc>
        <w:tc>
          <w:tcPr>
            <w:tcW w:w="1117"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道路</w:t>
            </w:r>
          </w:p>
        </w:tc>
        <w:tc>
          <w:tcPr>
            <w:tcW w:w="1137"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杆件</w:t>
            </w:r>
          </w:p>
        </w:tc>
        <w:tc>
          <w:tcPr>
            <w:tcW w:w="489"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卡口数量</w:t>
            </w:r>
          </w:p>
        </w:tc>
        <w:tc>
          <w:tcPr>
            <w:tcW w:w="443"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补光灯数量</w:t>
            </w:r>
          </w:p>
        </w:tc>
        <w:tc>
          <w:tcPr>
            <w:tcW w:w="244"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球机</w:t>
            </w:r>
          </w:p>
        </w:tc>
        <w:tc>
          <w:tcPr>
            <w:tcW w:w="244"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枪机</w:t>
            </w:r>
          </w:p>
        </w:tc>
        <w:tc>
          <w:tcPr>
            <w:tcW w:w="295"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抱杆箱</w:t>
            </w:r>
          </w:p>
        </w:tc>
        <w:tc>
          <w:tcPr>
            <w:tcW w:w="339"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标志牌</w:t>
            </w:r>
          </w:p>
        </w:tc>
        <w:tc>
          <w:tcPr>
            <w:tcW w:w="393"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建设方式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1</w:t>
            </w:r>
          </w:p>
        </w:tc>
        <w:tc>
          <w:tcPr>
            <w:tcW w:w="1117"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菁华路与兴根巷</w:t>
            </w:r>
          </w:p>
        </w:tc>
        <w:tc>
          <w:tcPr>
            <w:tcW w:w="1137"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7.2mT型杆件</w:t>
            </w:r>
          </w:p>
        </w:tc>
        <w:tc>
          <w:tcPr>
            <w:tcW w:w="489"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2</w:t>
            </w:r>
          </w:p>
        </w:tc>
        <w:tc>
          <w:tcPr>
            <w:tcW w:w="443"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4</w:t>
            </w:r>
          </w:p>
        </w:tc>
        <w:tc>
          <w:tcPr>
            <w:tcW w:w="244"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1</w:t>
            </w:r>
          </w:p>
        </w:tc>
        <w:tc>
          <w:tcPr>
            <w:tcW w:w="244" w:type="pct"/>
          </w:tcPr>
          <w:p>
            <w:pPr>
              <w:pStyle w:val="82"/>
              <w:ind w:firstLine="0" w:firstLineChars="0"/>
              <w:rPr>
                <w:rFonts w:ascii="宋体" w:hAnsi="宋体" w:cs="宋体"/>
                <w:color w:val="auto"/>
                <w:sz w:val="21"/>
                <w:szCs w:val="21"/>
                <w:highlight w:val="none"/>
              </w:rPr>
            </w:pPr>
          </w:p>
        </w:tc>
        <w:tc>
          <w:tcPr>
            <w:tcW w:w="295"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1</w:t>
            </w:r>
          </w:p>
        </w:tc>
        <w:tc>
          <w:tcPr>
            <w:tcW w:w="339"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1</w:t>
            </w:r>
          </w:p>
        </w:tc>
        <w:tc>
          <w:tcPr>
            <w:tcW w:w="393"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2</w:t>
            </w:r>
          </w:p>
        </w:tc>
        <w:tc>
          <w:tcPr>
            <w:tcW w:w="1117"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菁华路往东外环西向东辅路</w:t>
            </w:r>
          </w:p>
        </w:tc>
        <w:tc>
          <w:tcPr>
            <w:tcW w:w="1137"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6.5mL杆</w:t>
            </w:r>
          </w:p>
        </w:tc>
        <w:tc>
          <w:tcPr>
            <w:tcW w:w="489"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1</w:t>
            </w:r>
          </w:p>
        </w:tc>
        <w:tc>
          <w:tcPr>
            <w:tcW w:w="443"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1</w:t>
            </w:r>
          </w:p>
        </w:tc>
        <w:tc>
          <w:tcPr>
            <w:tcW w:w="244" w:type="pct"/>
          </w:tcPr>
          <w:p>
            <w:pPr>
              <w:pStyle w:val="82"/>
              <w:ind w:firstLine="0" w:firstLineChars="0"/>
              <w:rPr>
                <w:rFonts w:ascii="宋体" w:hAnsi="宋体" w:cs="宋体"/>
                <w:color w:val="auto"/>
                <w:sz w:val="21"/>
                <w:szCs w:val="21"/>
                <w:highlight w:val="none"/>
              </w:rPr>
            </w:pPr>
          </w:p>
        </w:tc>
        <w:tc>
          <w:tcPr>
            <w:tcW w:w="244" w:type="pct"/>
          </w:tcPr>
          <w:p>
            <w:pPr>
              <w:pStyle w:val="82"/>
              <w:ind w:firstLine="0" w:firstLineChars="0"/>
              <w:rPr>
                <w:rFonts w:ascii="宋体" w:hAnsi="宋体" w:cs="宋体"/>
                <w:color w:val="auto"/>
                <w:sz w:val="21"/>
                <w:szCs w:val="21"/>
                <w:highlight w:val="none"/>
              </w:rPr>
            </w:pPr>
          </w:p>
        </w:tc>
        <w:tc>
          <w:tcPr>
            <w:tcW w:w="295"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1</w:t>
            </w:r>
          </w:p>
        </w:tc>
        <w:tc>
          <w:tcPr>
            <w:tcW w:w="339"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1</w:t>
            </w:r>
          </w:p>
        </w:tc>
        <w:tc>
          <w:tcPr>
            <w:tcW w:w="393"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3</w:t>
            </w:r>
          </w:p>
        </w:tc>
        <w:tc>
          <w:tcPr>
            <w:tcW w:w="1117"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大红鹰药业股份有限公司西北门</w:t>
            </w:r>
          </w:p>
        </w:tc>
        <w:tc>
          <w:tcPr>
            <w:tcW w:w="1137"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7.2mT型杆件</w:t>
            </w:r>
          </w:p>
        </w:tc>
        <w:tc>
          <w:tcPr>
            <w:tcW w:w="489"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2（环保卡口）</w:t>
            </w:r>
          </w:p>
        </w:tc>
        <w:tc>
          <w:tcPr>
            <w:tcW w:w="443" w:type="pct"/>
          </w:tcPr>
          <w:p>
            <w:pPr>
              <w:pStyle w:val="82"/>
              <w:ind w:firstLine="0" w:firstLineChars="0"/>
              <w:rPr>
                <w:rFonts w:ascii="宋体" w:hAnsi="宋体" w:cs="宋体"/>
                <w:color w:val="auto"/>
                <w:sz w:val="21"/>
                <w:szCs w:val="21"/>
                <w:highlight w:val="none"/>
              </w:rPr>
            </w:pPr>
          </w:p>
        </w:tc>
        <w:tc>
          <w:tcPr>
            <w:tcW w:w="244"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1</w:t>
            </w:r>
          </w:p>
        </w:tc>
        <w:tc>
          <w:tcPr>
            <w:tcW w:w="244" w:type="pct"/>
          </w:tcPr>
          <w:p>
            <w:pPr>
              <w:pStyle w:val="82"/>
              <w:ind w:firstLine="0" w:firstLineChars="0"/>
              <w:rPr>
                <w:rFonts w:ascii="宋体" w:hAnsi="宋体" w:cs="宋体"/>
                <w:color w:val="auto"/>
                <w:sz w:val="21"/>
                <w:szCs w:val="21"/>
                <w:highlight w:val="none"/>
              </w:rPr>
            </w:pPr>
          </w:p>
        </w:tc>
        <w:tc>
          <w:tcPr>
            <w:tcW w:w="295" w:type="pct"/>
          </w:tcPr>
          <w:p>
            <w:pPr>
              <w:pStyle w:val="82"/>
              <w:ind w:firstLine="0" w:firstLineChars="0"/>
              <w:rPr>
                <w:rFonts w:ascii="宋体" w:hAnsi="宋体" w:cs="宋体"/>
                <w:color w:val="auto"/>
                <w:sz w:val="21"/>
                <w:szCs w:val="21"/>
                <w:highlight w:val="none"/>
              </w:rPr>
            </w:pPr>
          </w:p>
        </w:tc>
        <w:tc>
          <w:tcPr>
            <w:tcW w:w="339"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1</w:t>
            </w:r>
          </w:p>
        </w:tc>
        <w:tc>
          <w:tcPr>
            <w:tcW w:w="393"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4</w:t>
            </w:r>
          </w:p>
        </w:tc>
        <w:tc>
          <w:tcPr>
            <w:tcW w:w="1117"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晨辉路科兴路</w:t>
            </w:r>
          </w:p>
        </w:tc>
        <w:tc>
          <w:tcPr>
            <w:tcW w:w="1137"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借标志牌（南往北西南标志牌）</w:t>
            </w:r>
          </w:p>
        </w:tc>
        <w:tc>
          <w:tcPr>
            <w:tcW w:w="489"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1（环保卡口）</w:t>
            </w:r>
          </w:p>
        </w:tc>
        <w:tc>
          <w:tcPr>
            <w:tcW w:w="443" w:type="pct"/>
          </w:tcPr>
          <w:p>
            <w:pPr>
              <w:pStyle w:val="82"/>
              <w:ind w:firstLine="0" w:firstLineChars="0"/>
              <w:rPr>
                <w:rFonts w:ascii="宋体" w:hAnsi="宋体" w:cs="宋体"/>
                <w:color w:val="auto"/>
                <w:sz w:val="21"/>
                <w:szCs w:val="21"/>
                <w:highlight w:val="none"/>
              </w:rPr>
            </w:pPr>
          </w:p>
        </w:tc>
        <w:tc>
          <w:tcPr>
            <w:tcW w:w="244" w:type="pct"/>
          </w:tcPr>
          <w:p>
            <w:pPr>
              <w:pStyle w:val="82"/>
              <w:ind w:firstLine="0" w:firstLineChars="0"/>
              <w:rPr>
                <w:rFonts w:ascii="宋体" w:hAnsi="宋体" w:cs="宋体"/>
                <w:color w:val="auto"/>
                <w:sz w:val="21"/>
                <w:szCs w:val="21"/>
                <w:highlight w:val="none"/>
              </w:rPr>
            </w:pPr>
          </w:p>
        </w:tc>
        <w:tc>
          <w:tcPr>
            <w:tcW w:w="244" w:type="pct"/>
          </w:tcPr>
          <w:p>
            <w:pPr>
              <w:pStyle w:val="82"/>
              <w:ind w:firstLine="0" w:firstLineChars="0"/>
              <w:rPr>
                <w:rFonts w:ascii="宋体" w:hAnsi="宋体" w:cs="宋体"/>
                <w:color w:val="auto"/>
                <w:sz w:val="21"/>
                <w:szCs w:val="21"/>
                <w:highlight w:val="none"/>
              </w:rPr>
            </w:pPr>
          </w:p>
        </w:tc>
        <w:tc>
          <w:tcPr>
            <w:tcW w:w="295" w:type="pct"/>
          </w:tcPr>
          <w:p>
            <w:pPr>
              <w:pStyle w:val="82"/>
              <w:ind w:firstLine="0" w:firstLineChars="0"/>
              <w:rPr>
                <w:rFonts w:ascii="宋体" w:hAnsi="宋体" w:cs="宋体"/>
                <w:color w:val="auto"/>
                <w:sz w:val="21"/>
                <w:szCs w:val="21"/>
                <w:highlight w:val="none"/>
              </w:rPr>
            </w:pPr>
          </w:p>
        </w:tc>
        <w:tc>
          <w:tcPr>
            <w:tcW w:w="339"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1</w:t>
            </w:r>
          </w:p>
        </w:tc>
        <w:tc>
          <w:tcPr>
            <w:tcW w:w="393"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借杆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5</w:t>
            </w:r>
          </w:p>
        </w:tc>
        <w:tc>
          <w:tcPr>
            <w:tcW w:w="1117"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新梅路奥克斯产业园门口</w:t>
            </w:r>
          </w:p>
        </w:tc>
        <w:tc>
          <w:tcPr>
            <w:tcW w:w="1137"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7.2mT型杆件</w:t>
            </w:r>
          </w:p>
        </w:tc>
        <w:tc>
          <w:tcPr>
            <w:tcW w:w="489"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2</w:t>
            </w:r>
          </w:p>
        </w:tc>
        <w:tc>
          <w:tcPr>
            <w:tcW w:w="443"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4</w:t>
            </w:r>
          </w:p>
        </w:tc>
        <w:tc>
          <w:tcPr>
            <w:tcW w:w="244" w:type="pct"/>
          </w:tcPr>
          <w:p>
            <w:pPr>
              <w:pStyle w:val="82"/>
              <w:ind w:firstLine="0" w:firstLineChars="0"/>
              <w:rPr>
                <w:rFonts w:ascii="宋体" w:hAnsi="宋体" w:cs="宋体"/>
                <w:color w:val="auto"/>
                <w:sz w:val="21"/>
                <w:szCs w:val="21"/>
                <w:highlight w:val="none"/>
              </w:rPr>
            </w:pPr>
          </w:p>
        </w:tc>
        <w:tc>
          <w:tcPr>
            <w:tcW w:w="244" w:type="pct"/>
          </w:tcPr>
          <w:p>
            <w:pPr>
              <w:pStyle w:val="82"/>
              <w:ind w:firstLine="0" w:firstLineChars="0"/>
              <w:rPr>
                <w:rFonts w:ascii="宋体" w:hAnsi="宋体" w:cs="宋体"/>
                <w:color w:val="auto"/>
                <w:sz w:val="21"/>
                <w:szCs w:val="21"/>
                <w:highlight w:val="none"/>
              </w:rPr>
            </w:pPr>
          </w:p>
        </w:tc>
        <w:tc>
          <w:tcPr>
            <w:tcW w:w="295" w:type="pct"/>
          </w:tcPr>
          <w:p>
            <w:pPr>
              <w:pStyle w:val="82"/>
              <w:ind w:firstLine="0" w:firstLineChars="0"/>
              <w:rPr>
                <w:rFonts w:ascii="宋体" w:hAnsi="宋体" w:cs="宋体"/>
                <w:color w:val="auto"/>
                <w:sz w:val="21"/>
                <w:szCs w:val="21"/>
                <w:highlight w:val="none"/>
              </w:rPr>
            </w:pPr>
          </w:p>
        </w:tc>
        <w:tc>
          <w:tcPr>
            <w:tcW w:w="339"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1</w:t>
            </w:r>
          </w:p>
        </w:tc>
        <w:tc>
          <w:tcPr>
            <w:tcW w:w="393"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6</w:t>
            </w:r>
          </w:p>
        </w:tc>
        <w:tc>
          <w:tcPr>
            <w:tcW w:w="1117"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木槿路东段</w:t>
            </w:r>
          </w:p>
        </w:tc>
        <w:tc>
          <w:tcPr>
            <w:tcW w:w="1137"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6.5L型杆件</w:t>
            </w:r>
          </w:p>
        </w:tc>
        <w:tc>
          <w:tcPr>
            <w:tcW w:w="489"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1</w:t>
            </w:r>
          </w:p>
        </w:tc>
        <w:tc>
          <w:tcPr>
            <w:tcW w:w="443"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1</w:t>
            </w:r>
          </w:p>
        </w:tc>
        <w:tc>
          <w:tcPr>
            <w:tcW w:w="244" w:type="pct"/>
          </w:tcPr>
          <w:p>
            <w:pPr>
              <w:pStyle w:val="82"/>
              <w:ind w:firstLine="0" w:firstLineChars="0"/>
              <w:rPr>
                <w:rFonts w:ascii="宋体" w:hAnsi="宋体" w:cs="宋体"/>
                <w:color w:val="auto"/>
                <w:sz w:val="21"/>
                <w:szCs w:val="21"/>
                <w:highlight w:val="none"/>
              </w:rPr>
            </w:pPr>
          </w:p>
        </w:tc>
        <w:tc>
          <w:tcPr>
            <w:tcW w:w="244" w:type="pct"/>
          </w:tcPr>
          <w:p>
            <w:pPr>
              <w:pStyle w:val="82"/>
              <w:ind w:firstLine="0" w:firstLineChars="0"/>
              <w:rPr>
                <w:rFonts w:ascii="宋体" w:hAnsi="宋体" w:cs="宋体"/>
                <w:color w:val="auto"/>
                <w:sz w:val="21"/>
                <w:szCs w:val="21"/>
                <w:highlight w:val="none"/>
              </w:rPr>
            </w:pPr>
          </w:p>
        </w:tc>
        <w:tc>
          <w:tcPr>
            <w:tcW w:w="295" w:type="pct"/>
          </w:tcPr>
          <w:p>
            <w:pPr>
              <w:pStyle w:val="82"/>
              <w:ind w:firstLine="0" w:firstLineChars="0"/>
              <w:rPr>
                <w:rFonts w:ascii="宋体" w:hAnsi="宋体" w:cs="宋体"/>
                <w:color w:val="auto"/>
                <w:sz w:val="21"/>
                <w:szCs w:val="21"/>
                <w:highlight w:val="none"/>
              </w:rPr>
            </w:pPr>
          </w:p>
        </w:tc>
        <w:tc>
          <w:tcPr>
            <w:tcW w:w="339"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1</w:t>
            </w:r>
          </w:p>
        </w:tc>
        <w:tc>
          <w:tcPr>
            <w:tcW w:w="393"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pct"/>
            <w:gridSpan w:val="3"/>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小计</w:t>
            </w:r>
          </w:p>
        </w:tc>
        <w:tc>
          <w:tcPr>
            <w:tcW w:w="489" w:type="pct"/>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11</w:t>
            </w:r>
          </w:p>
        </w:tc>
        <w:tc>
          <w:tcPr>
            <w:tcW w:w="443" w:type="pct"/>
          </w:tcPr>
          <w:p>
            <w:pPr>
              <w:pStyle w:val="82"/>
              <w:ind w:firstLine="0" w:firstLineChars="0"/>
              <w:rPr>
                <w:rFonts w:ascii="宋体" w:hAnsi="宋体" w:cs="宋体"/>
                <w:color w:val="auto"/>
                <w:sz w:val="21"/>
                <w:szCs w:val="21"/>
                <w:highlight w:val="none"/>
              </w:rPr>
            </w:pPr>
          </w:p>
        </w:tc>
        <w:tc>
          <w:tcPr>
            <w:tcW w:w="244" w:type="pct"/>
          </w:tcPr>
          <w:p>
            <w:pPr>
              <w:pStyle w:val="82"/>
              <w:ind w:firstLine="0" w:firstLineChars="0"/>
              <w:rPr>
                <w:rFonts w:ascii="宋体" w:hAnsi="宋体" w:cs="宋体"/>
                <w:color w:val="auto"/>
                <w:sz w:val="21"/>
                <w:szCs w:val="21"/>
                <w:highlight w:val="none"/>
              </w:rPr>
            </w:pPr>
          </w:p>
        </w:tc>
        <w:tc>
          <w:tcPr>
            <w:tcW w:w="244" w:type="pct"/>
          </w:tcPr>
          <w:p>
            <w:pPr>
              <w:pStyle w:val="82"/>
              <w:ind w:firstLine="0" w:firstLineChars="0"/>
              <w:rPr>
                <w:rFonts w:ascii="宋体" w:hAnsi="宋体" w:cs="宋体"/>
                <w:color w:val="auto"/>
                <w:sz w:val="21"/>
                <w:szCs w:val="21"/>
                <w:highlight w:val="none"/>
              </w:rPr>
            </w:pPr>
          </w:p>
        </w:tc>
        <w:tc>
          <w:tcPr>
            <w:tcW w:w="295" w:type="pct"/>
          </w:tcPr>
          <w:p>
            <w:pPr>
              <w:pStyle w:val="82"/>
              <w:ind w:firstLine="0" w:firstLineChars="0"/>
              <w:rPr>
                <w:rFonts w:ascii="宋体" w:hAnsi="宋体" w:cs="宋体"/>
                <w:color w:val="auto"/>
                <w:sz w:val="21"/>
                <w:szCs w:val="21"/>
                <w:highlight w:val="none"/>
              </w:rPr>
            </w:pPr>
          </w:p>
        </w:tc>
        <w:tc>
          <w:tcPr>
            <w:tcW w:w="339" w:type="pct"/>
          </w:tcPr>
          <w:p>
            <w:pPr>
              <w:pStyle w:val="82"/>
              <w:ind w:firstLine="0" w:firstLineChars="0"/>
              <w:rPr>
                <w:rFonts w:ascii="宋体" w:hAnsi="宋体" w:cs="宋体"/>
                <w:color w:val="auto"/>
                <w:sz w:val="21"/>
                <w:szCs w:val="21"/>
                <w:highlight w:val="none"/>
              </w:rPr>
            </w:pPr>
          </w:p>
        </w:tc>
        <w:tc>
          <w:tcPr>
            <w:tcW w:w="393" w:type="pct"/>
          </w:tcPr>
          <w:p>
            <w:pPr>
              <w:pStyle w:val="82"/>
              <w:ind w:firstLine="0" w:firstLineChars="0"/>
              <w:rPr>
                <w:rFonts w:ascii="宋体" w:hAnsi="宋体" w:cs="宋体"/>
                <w:color w:val="auto"/>
                <w:sz w:val="21"/>
                <w:szCs w:val="21"/>
                <w:highlight w:val="none"/>
              </w:rPr>
            </w:pPr>
          </w:p>
        </w:tc>
      </w:tr>
    </w:tbl>
    <w:p>
      <w:pPr>
        <w:pStyle w:val="82"/>
        <w:ind w:firstLine="0" w:firstLineChars="0"/>
        <w:rPr>
          <w:rFonts w:ascii="宋体" w:hAnsi="宋体" w:cs="宋体"/>
          <w:color w:val="auto"/>
          <w:sz w:val="21"/>
          <w:szCs w:val="21"/>
          <w:highlight w:val="none"/>
        </w:rPr>
        <w:sectPr>
          <w:pgSz w:w="16838" w:h="11905" w:orient="landscape"/>
          <w:pgMar w:top="1803" w:right="1440" w:bottom="1803" w:left="1440" w:header="851" w:footer="992" w:gutter="0"/>
          <w:cols w:space="0" w:num="1"/>
          <w:docGrid w:type="lines" w:linePitch="319" w:charSpace="0"/>
        </w:sectPr>
      </w:pPr>
    </w:p>
    <w:p>
      <w:pPr>
        <w:pStyle w:val="5"/>
        <w:ind w:left="720"/>
        <w:rPr>
          <w:rFonts w:ascii="宋体" w:hAnsi="宋体" w:eastAsia="宋体" w:cs="宋体"/>
          <w:color w:val="auto"/>
          <w:sz w:val="24"/>
          <w:szCs w:val="24"/>
          <w:highlight w:val="none"/>
          <w:lang w:val="en-US"/>
        </w:rPr>
      </w:pPr>
      <w:bookmarkStart w:id="128" w:name="_Toc16561"/>
      <w:r>
        <w:rPr>
          <w:rFonts w:hint="eastAsia" w:ascii="宋体" w:hAnsi="宋体" w:eastAsia="宋体" w:cs="宋体"/>
          <w:color w:val="auto"/>
          <w:sz w:val="24"/>
          <w:szCs w:val="24"/>
          <w:highlight w:val="none"/>
          <w:lang w:val="en-US"/>
        </w:rPr>
        <w:t>4、前端感知点位组成</w:t>
      </w:r>
      <w:bookmarkEnd w:id="128"/>
    </w:p>
    <w:p>
      <w:pPr>
        <w:pStyle w:val="82"/>
        <w:ind w:firstLine="0" w:firstLineChars="0"/>
        <w:rPr>
          <w:color w:val="auto"/>
          <w:highlight w:val="none"/>
        </w:rPr>
      </w:pPr>
      <w:r>
        <w:rPr>
          <w:color w:val="auto"/>
          <w:highlight w:val="none"/>
        </w:rPr>
        <w:drawing>
          <wp:inline distT="0" distB="0" distL="114300" distR="114300">
            <wp:extent cx="5231765" cy="2604770"/>
            <wp:effectExtent l="0" t="0" r="6985" b="5080"/>
            <wp:docPr id="9" name="图片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16"/>
                    <pic:cNvPicPr>
                      <a:picLocks noChangeAspect="1"/>
                    </pic:cNvPicPr>
                  </pic:nvPicPr>
                  <pic:blipFill>
                    <a:blip r:embed="rId27"/>
                    <a:srcRect l="867"/>
                    <a:stretch>
                      <a:fillRect/>
                    </a:stretch>
                  </pic:blipFill>
                  <pic:spPr>
                    <a:xfrm>
                      <a:off x="0" y="0"/>
                      <a:ext cx="5231765" cy="2604770"/>
                    </a:xfrm>
                    <a:prstGeom prst="rect">
                      <a:avLst/>
                    </a:prstGeom>
                    <a:noFill/>
                    <a:ln>
                      <a:noFill/>
                    </a:ln>
                  </pic:spPr>
                </pic:pic>
              </a:graphicData>
            </a:graphic>
          </wp:inline>
        </w:drawing>
      </w:r>
    </w:p>
    <w:p>
      <w:pPr>
        <w:pStyle w:val="82"/>
        <w:ind w:firstLine="420"/>
        <w:rPr>
          <w:rFonts w:ascii="宋体" w:hAnsi="宋体" w:cs="宋体"/>
          <w:color w:val="auto"/>
          <w:sz w:val="21"/>
          <w:szCs w:val="21"/>
          <w:highlight w:val="none"/>
        </w:rPr>
      </w:pPr>
      <w:r>
        <w:rPr>
          <w:rFonts w:hint="eastAsia" w:ascii="宋体" w:hAnsi="宋体" w:cs="宋体"/>
          <w:color w:val="auto"/>
          <w:sz w:val="21"/>
          <w:szCs w:val="21"/>
          <w:highlight w:val="none"/>
        </w:rPr>
        <w:t>前端感知点位由感知设备、光纤收发器、传输网络以及相应后端子系统组成，可根据前端点位的背景光源亮度情况进行外配补光灯建设。抓拍摄像机设备、补光灯部署于监控立杆，网络传输设备、光纤盒、防雷器、电源等部署于室外机箱，示意图如下：</w:t>
      </w:r>
    </w:p>
    <w:p>
      <w:pPr>
        <w:pStyle w:val="82"/>
        <w:ind w:firstLine="0" w:firstLineChars="0"/>
        <w:rPr>
          <w:rFonts w:ascii="仿宋_GB2312" w:hAnsi="仿宋_GB2312" w:eastAsia="仿宋_GB2312" w:cs="仿宋_GB2312"/>
          <w:color w:val="auto"/>
          <w:sz w:val="28"/>
          <w:szCs w:val="28"/>
          <w:highlight w:val="none"/>
        </w:rPr>
      </w:pPr>
      <w:r>
        <w:rPr>
          <w:color w:val="auto"/>
          <w:highlight w:val="none"/>
        </w:rPr>
        <w:drawing>
          <wp:inline distT="0" distB="0" distL="114300" distR="114300">
            <wp:extent cx="5273040" cy="2748915"/>
            <wp:effectExtent l="0" t="0" r="3810" b="13335"/>
            <wp:docPr id="95" name="Picutre 95"/>
            <wp:cNvGraphicFramePr/>
            <a:graphic xmlns:a="http://schemas.openxmlformats.org/drawingml/2006/main">
              <a:graphicData uri="http://schemas.openxmlformats.org/drawingml/2006/picture">
                <pic:pic xmlns:pic="http://schemas.openxmlformats.org/drawingml/2006/picture">
                  <pic:nvPicPr>
                    <pic:cNvPr id="95" name="Picutre 95"/>
                    <pic:cNvPicPr/>
                  </pic:nvPicPr>
                  <pic:blipFill>
                    <a:blip r:embed="rId28"/>
                    <a:stretch>
                      <a:fillRect/>
                    </a:stretch>
                  </pic:blipFill>
                  <pic:spPr>
                    <a:xfrm>
                      <a:off x="0" y="0"/>
                      <a:ext cx="5273040" cy="2748915"/>
                    </a:xfrm>
                    <a:prstGeom prst="rect">
                      <a:avLst/>
                    </a:prstGeom>
                  </pic:spPr>
                </pic:pic>
              </a:graphicData>
            </a:graphic>
          </wp:inline>
        </w:drawing>
      </w:r>
    </w:p>
    <w:p>
      <w:pPr>
        <w:pStyle w:val="82"/>
        <w:ind w:firstLine="420"/>
        <w:rPr>
          <w:rFonts w:ascii="宋体" w:hAnsi="宋体" w:cs="宋体"/>
          <w:color w:val="auto"/>
          <w:sz w:val="21"/>
          <w:szCs w:val="21"/>
          <w:highlight w:val="none"/>
        </w:rPr>
      </w:pPr>
      <w:r>
        <w:rPr>
          <w:rFonts w:hint="eastAsia" w:ascii="宋体" w:hAnsi="宋体" w:cs="宋体"/>
          <w:color w:val="auto"/>
          <w:sz w:val="21"/>
          <w:szCs w:val="21"/>
          <w:highlight w:val="none"/>
        </w:rPr>
        <w:t>此次项目主要采用高清球机、高清枪机、高空球机、车辆枪机、车辆卡口和补光灯，设备原则上采用一机多能原则，摄像机均为结构化摄像机提供多种工作模式。</w:t>
      </w:r>
    </w:p>
    <w:p>
      <w:pPr>
        <w:pStyle w:val="5"/>
        <w:ind w:left="720"/>
        <w:rPr>
          <w:rFonts w:ascii="宋体" w:hAnsi="宋体" w:eastAsia="宋体" w:cs="宋体"/>
          <w:color w:val="auto"/>
          <w:sz w:val="24"/>
          <w:szCs w:val="24"/>
          <w:highlight w:val="none"/>
          <w:lang w:val="en-US" w:bidi="zh-TW"/>
        </w:rPr>
      </w:pPr>
      <w:bookmarkStart w:id="129" w:name="_Toc4481"/>
      <w:r>
        <w:rPr>
          <w:rFonts w:hint="eastAsia" w:ascii="宋体" w:hAnsi="宋体" w:eastAsia="宋体" w:cs="宋体"/>
          <w:color w:val="auto"/>
          <w:sz w:val="24"/>
          <w:szCs w:val="24"/>
          <w:highlight w:val="none"/>
          <w:lang w:val="en-US" w:bidi="zh-TW"/>
        </w:rPr>
        <w:t>5、网络系统设计</w:t>
      </w:r>
      <w:bookmarkEnd w:id="129"/>
    </w:p>
    <w:p>
      <w:pPr>
        <w:pStyle w:val="82"/>
        <w:ind w:firstLine="420"/>
        <w:rPr>
          <w:rFonts w:ascii="宋体" w:hAnsi="宋体" w:cs="宋体"/>
          <w:color w:val="auto"/>
          <w:sz w:val="21"/>
          <w:szCs w:val="21"/>
          <w:highlight w:val="none"/>
        </w:rPr>
      </w:pPr>
      <w:r>
        <w:rPr>
          <w:rFonts w:hint="eastAsia" w:ascii="宋体" w:hAnsi="宋体" w:cs="宋体"/>
          <w:color w:val="auto"/>
          <w:sz w:val="21"/>
          <w:szCs w:val="21"/>
          <w:highlight w:val="none"/>
        </w:rPr>
        <w:t>本项目的传输网络将以现有的高新公安视频监控专网为依托，对视频监控专网进行扩容。网络系统采用3层网络结构来设计：接入层、汇聚层和核心网络层。通过分层部署可以使网络具有很好的扩展性、可以提升网络的可用性、可以简化网络的管理。本次新建点位网络系统设计接入层、汇聚层和存储交换机；前端光纤传输链路租赁运营商链路，设计租赁一年。</w:t>
      </w:r>
    </w:p>
    <w:p>
      <w:pPr>
        <w:pStyle w:val="82"/>
        <w:ind w:firstLine="420"/>
        <w:outlineLvl w:val="3"/>
        <w:rPr>
          <w:rFonts w:ascii="宋体" w:hAnsi="宋体" w:cs="宋体"/>
          <w:color w:val="auto"/>
          <w:sz w:val="21"/>
          <w:szCs w:val="21"/>
          <w:highlight w:val="none"/>
        </w:rPr>
      </w:pPr>
      <w:bookmarkStart w:id="130" w:name="bookmark527"/>
      <w:r>
        <w:rPr>
          <w:rFonts w:hint="eastAsia" w:ascii="宋体" w:hAnsi="宋体" w:cs="宋体"/>
          <w:color w:val="auto"/>
          <w:sz w:val="21"/>
          <w:szCs w:val="21"/>
          <w:highlight w:val="none"/>
        </w:rPr>
        <w:t>5.1</w:t>
      </w:r>
      <w:bookmarkEnd w:id="130"/>
      <w:r>
        <w:rPr>
          <w:rFonts w:hint="eastAsia" w:ascii="宋体" w:hAnsi="宋体" w:cs="宋体"/>
          <w:color w:val="auto"/>
          <w:sz w:val="21"/>
          <w:szCs w:val="21"/>
          <w:highlight w:val="none"/>
        </w:rPr>
        <w:t>、接入层</w:t>
      </w:r>
    </w:p>
    <w:p>
      <w:pPr>
        <w:pStyle w:val="82"/>
        <w:ind w:firstLine="420"/>
        <w:rPr>
          <w:rFonts w:ascii="宋体" w:hAnsi="宋体" w:cs="宋体"/>
          <w:color w:val="auto"/>
          <w:sz w:val="21"/>
          <w:szCs w:val="21"/>
          <w:highlight w:val="none"/>
        </w:rPr>
      </w:pPr>
      <w:r>
        <w:rPr>
          <w:rFonts w:hint="eastAsia" w:ascii="宋体" w:hAnsi="宋体" w:cs="宋体"/>
          <w:color w:val="auto"/>
          <w:sz w:val="21"/>
          <w:szCs w:val="21"/>
          <w:highlight w:val="none"/>
        </w:rPr>
        <w:t>前端点位经光纤传输后进入分局地下一层机房，经光电转换后进入接入层交换机，并上联至汇聚交换机。本次共配置8台48口千兆接入交换机，每台含2个万兆光模块，用于上联汇聚层交换机。</w:t>
      </w:r>
    </w:p>
    <w:p>
      <w:pPr>
        <w:pStyle w:val="82"/>
        <w:ind w:firstLine="420"/>
        <w:outlineLvl w:val="3"/>
        <w:rPr>
          <w:rFonts w:ascii="宋体" w:hAnsi="宋体" w:cs="宋体"/>
          <w:color w:val="auto"/>
          <w:sz w:val="21"/>
          <w:szCs w:val="21"/>
          <w:highlight w:val="none"/>
        </w:rPr>
      </w:pPr>
      <w:bookmarkStart w:id="131" w:name="bookmark528"/>
      <w:r>
        <w:rPr>
          <w:rFonts w:hint="eastAsia" w:ascii="宋体" w:hAnsi="宋体" w:cs="宋体"/>
          <w:color w:val="auto"/>
          <w:sz w:val="21"/>
          <w:szCs w:val="21"/>
          <w:highlight w:val="none"/>
        </w:rPr>
        <w:t>5.2</w:t>
      </w:r>
      <w:bookmarkEnd w:id="131"/>
      <w:r>
        <w:rPr>
          <w:rFonts w:hint="eastAsia" w:ascii="宋体" w:hAnsi="宋体" w:cs="宋体"/>
          <w:color w:val="auto"/>
          <w:sz w:val="21"/>
          <w:szCs w:val="21"/>
          <w:highlight w:val="none"/>
        </w:rPr>
        <w:t>、汇聚层</w:t>
      </w:r>
    </w:p>
    <w:p>
      <w:pPr>
        <w:pStyle w:val="82"/>
        <w:ind w:firstLine="420"/>
        <w:rPr>
          <w:rFonts w:ascii="宋体" w:hAnsi="宋体" w:cs="宋体"/>
          <w:color w:val="auto"/>
          <w:sz w:val="21"/>
          <w:szCs w:val="21"/>
          <w:highlight w:val="none"/>
        </w:rPr>
      </w:pPr>
      <w:r>
        <w:rPr>
          <w:rFonts w:hint="eastAsia" w:ascii="宋体" w:hAnsi="宋体" w:cs="宋体"/>
          <w:color w:val="auto"/>
          <w:sz w:val="21"/>
          <w:szCs w:val="21"/>
          <w:highlight w:val="none"/>
        </w:rPr>
        <w:t>对所有前端接入交换机进行汇聚，并上联至分局二楼机房公安视频专网核心交换机。本次配置1台24万兆光口业务槽位的汇聚交换机。</w:t>
      </w:r>
    </w:p>
    <w:p>
      <w:pPr>
        <w:pStyle w:val="82"/>
        <w:ind w:firstLine="420"/>
        <w:outlineLvl w:val="3"/>
        <w:rPr>
          <w:rFonts w:ascii="宋体" w:hAnsi="宋体" w:cs="宋体"/>
          <w:color w:val="auto"/>
          <w:sz w:val="21"/>
          <w:szCs w:val="21"/>
          <w:highlight w:val="none"/>
        </w:rPr>
      </w:pPr>
      <w:r>
        <w:rPr>
          <w:rFonts w:hint="eastAsia" w:ascii="宋体" w:hAnsi="宋体" w:cs="宋体"/>
          <w:color w:val="auto"/>
          <w:sz w:val="21"/>
          <w:szCs w:val="21"/>
          <w:highlight w:val="none"/>
        </w:rPr>
        <w:t>5.3、核心网络层</w:t>
      </w:r>
    </w:p>
    <w:p>
      <w:pPr>
        <w:pStyle w:val="82"/>
        <w:ind w:firstLine="420"/>
        <w:rPr>
          <w:rFonts w:ascii="宋体" w:hAnsi="宋体" w:cs="宋体"/>
          <w:color w:val="auto"/>
          <w:sz w:val="21"/>
          <w:szCs w:val="21"/>
          <w:highlight w:val="none"/>
        </w:rPr>
      </w:pPr>
      <w:r>
        <w:rPr>
          <w:rFonts w:hint="eastAsia" w:ascii="宋体" w:hAnsi="宋体" w:cs="宋体"/>
          <w:color w:val="auto"/>
          <w:sz w:val="21"/>
          <w:szCs w:val="21"/>
          <w:highlight w:val="none"/>
        </w:rPr>
        <w:t>在汇聚层通过汇聚交换机万兆上联至公安视频专网核心网络层交换机，视频流数据、多维数据（人脸、人体、结构化等）接入公安视频图像信息共享平台公安分平台进行应用和摆渡至公安信息网。</w:t>
      </w:r>
    </w:p>
    <w:p>
      <w:pPr>
        <w:pStyle w:val="82"/>
        <w:ind w:firstLine="420"/>
        <w:outlineLvl w:val="3"/>
        <w:rPr>
          <w:rFonts w:ascii="宋体" w:hAnsi="宋体" w:cs="宋体"/>
          <w:color w:val="auto"/>
          <w:sz w:val="21"/>
          <w:szCs w:val="21"/>
          <w:highlight w:val="none"/>
        </w:rPr>
      </w:pPr>
      <w:r>
        <w:rPr>
          <w:rFonts w:hint="eastAsia" w:ascii="宋体" w:hAnsi="宋体" w:cs="宋体"/>
          <w:color w:val="auto"/>
          <w:sz w:val="21"/>
          <w:szCs w:val="21"/>
          <w:highlight w:val="none"/>
        </w:rPr>
        <w:t>5.4、接入层设计</w:t>
      </w:r>
    </w:p>
    <w:p>
      <w:pPr>
        <w:pStyle w:val="82"/>
        <w:ind w:firstLine="420"/>
        <w:rPr>
          <w:rFonts w:ascii="宋体" w:hAnsi="宋体" w:cs="宋体"/>
          <w:color w:val="auto"/>
          <w:sz w:val="21"/>
          <w:szCs w:val="21"/>
          <w:highlight w:val="none"/>
        </w:rPr>
      </w:pPr>
      <w:r>
        <w:rPr>
          <w:rFonts w:ascii="宋体" w:hAnsi="宋体" w:cs="宋体"/>
          <w:color w:val="auto"/>
          <w:sz w:val="21"/>
          <w:szCs w:val="21"/>
          <w:highlight w:val="none"/>
        </w:rPr>
        <w:t>前端光纤传输方案（光纤链路不包含在本方案中）采用成熟的点对点裸光纤方式作为视频监控接入传输的光网络实现方式，整网具有低延时、网络结构简单、故障率低、易维护布放施工等特点。</w:t>
      </w:r>
    </w:p>
    <w:p>
      <w:pPr>
        <w:pStyle w:val="82"/>
        <w:ind w:firstLine="420"/>
        <w:rPr>
          <w:rFonts w:ascii="宋体" w:hAnsi="宋体" w:cs="宋体"/>
          <w:color w:val="auto"/>
          <w:sz w:val="21"/>
          <w:szCs w:val="21"/>
          <w:highlight w:val="none"/>
        </w:rPr>
      </w:pPr>
      <w:r>
        <w:rPr>
          <w:rFonts w:ascii="宋体" w:hAnsi="宋体" w:cs="宋体"/>
          <w:color w:val="auto"/>
          <w:sz w:val="21"/>
          <w:szCs w:val="21"/>
          <w:highlight w:val="none"/>
        </w:rPr>
        <w:t>整个光纤传输网络以点为单位，前端点位通过裸光纤点对点接入分局机房。前端通过光纤收发器，视频信号经光电转换后接入网络交换机。拓扑图如下：</w:t>
      </w:r>
    </w:p>
    <w:p>
      <w:pPr>
        <w:pStyle w:val="2"/>
        <w:ind w:firstLine="480"/>
        <w:rPr>
          <w:color w:val="auto"/>
          <w:highlight w:val="none"/>
        </w:rPr>
      </w:pPr>
      <w:r>
        <w:rPr>
          <w:color w:val="auto"/>
          <w:highlight w:val="none"/>
        </w:rPr>
        <w:drawing>
          <wp:inline distT="0" distB="0" distL="114300" distR="114300">
            <wp:extent cx="4297680" cy="1493520"/>
            <wp:effectExtent l="0" t="0" r="7620" b="11430"/>
            <wp:docPr id="158" name="Picutre 158"/>
            <wp:cNvGraphicFramePr/>
            <a:graphic xmlns:a="http://schemas.openxmlformats.org/drawingml/2006/main">
              <a:graphicData uri="http://schemas.openxmlformats.org/drawingml/2006/picture">
                <pic:pic xmlns:pic="http://schemas.openxmlformats.org/drawingml/2006/picture">
                  <pic:nvPicPr>
                    <pic:cNvPr id="158" name="Picutre 158"/>
                    <pic:cNvPicPr/>
                  </pic:nvPicPr>
                  <pic:blipFill>
                    <a:blip r:embed="rId29"/>
                    <a:stretch>
                      <a:fillRect/>
                    </a:stretch>
                  </pic:blipFill>
                  <pic:spPr>
                    <a:xfrm>
                      <a:off x="0" y="0"/>
                      <a:ext cx="4297680" cy="1493520"/>
                    </a:xfrm>
                    <a:prstGeom prst="rect">
                      <a:avLst/>
                    </a:prstGeom>
                  </pic:spPr>
                </pic:pic>
              </a:graphicData>
            </a:graphic>
          </wp:inline>
        </w:drawing>
      </w:r>
    </w:p>
    <w:p>
      <w:pPr>
        <w:pStyle w:val="82"/>
        <w:ind w:firstLine="420"/>
        <w:rPr>
          <w:rFonts w:ascii="宋体" w:hAnsi="宋体" w:cs="宋体"/>
          <w:color w:val="auto"/>
          <w:sz w:val="21"/>
          <w:szCs w:val="21"/>
          <w:highlight w:val="none"/>
        </w:rPr>
      </w:pPr>
      <w:r>
        <w:rPr>
          <w:rFonts w:ascii="宋体" w:hAnsi="宋体" w:cs="宋体"/>
          <w:color w:val="auto"/>
          <w:sz w:val="21"/>
          <w:szCs w:val="21"/>
          <w:highlight w:val="none"/>
        </w:rPr>
        <w:t>光纤网络传输系统由运营商负责建设，其组网方式必须满足</w:t>
      </w:r>
      <w:r>
        <w:rPr>
          <w:rFonts w:hint="eastAsia" w:ascii="宋体" w:hAnsi="宋体" w:cs="宋体"/>
          <w:color w:val="auto"/>
          <w:sz w:val="21"/>
          <w:szCs w:val="21"/>
          <w:highlight w:val="none"/>
        </w:rPr>
        <w:t>高新技术产业开发区公共安全</w:t>
      </w:r>
      <w:r>
        <w:rPr>
          <w:rFonts w:ascii="宋体" w:hAnsi="宋体" w:cs="宋体"/>
          <w:color w:val="auto"/>
          <w:sz w:val="21"/>
          <w:szCs w:val="21"/>
          <w:highlight w:val="none"/>
        </w:rPr>
        <w:t>视频</w:t>
      </w:r>
      <w:r>
        <w:rPr>
          <w:rFonts w:hint="eastAsia" w:ascii="宋体" w:hAnsi="宋体" w:cs="宋体"/>
          <w:color w:val="auto"/>
          <w:sz w:val="21"/>
          <w:szCs w:val="21"/>
          <w:highlight w:val="none"/>
        </w:rPr>
        <w:t>传输</w:t>
      </w:r>
      <w:r>
        <w:rPr>
          <w:rFonts w:ascii="宋体" w:hAnsi="宋体" w:cs="宋体"/>
          <w:color w:val="auto"/>
          <w:sz w:val="21"/>
          <w:szCs w:val="21"/>
          <w:highlight w:val="none"/>
        </w:rPr>
        <w:t>网的无缝整合要求，前端每个监控点到分局</w:t>
      </w:r>
      <w:r>
        <w:rPr>
          <w:rFonts w:hint="eastAsia" w:ascii="宋体" w:hAnsi="宋体" w:cs="宋体"/>
          <w:color w:val="auto"/>
          <w:sz w:val="21"/>
          <w:szCs w:val="21"/>
          <w:highlight w:val="none"/>
        </w:rPr>
        <w:t>地下一层</w:t>
      </w:r>
      <w:r>
        <w:rPr>
          <w:rFonts w:ascii="宋体" w:hAnsi="宋体" w:cs="宋体"/>
          <w:color w:val="auto"/>
          <w:sz w:val="21"/>
          <w:szCs w:val="21"/>
          <w:highlight w:val="none"/>
        </w:rPr>
        <w:t>机房应采用裸光纤。</w:t>
      </w:r>
    </w:p>
    <w:p>
      <w:pPr>
        <w:pStyle w:val="82"/>
        <w:ind w:firstLine="420"/>
        <w:rPr>
          <w:rFonts w:ascii="宋体" w:hAnsi="宋体" w:cs="宋体"/>
          <w:color w:val="auto"/>
          <w:sz w:val="21"/>
          <w:szCs w:val="21"/>
          <w:highlight w:val="none"/>
        </w:rPr>
      </w:pPr>
      <w:r>
        <w:rPr>
          <w:rFonts w:ascii="宋体" w:hAnsi="宋体" w:cs="宋体"/>
          <w:color w:val="auto"/>
          <w:sz w:val="21"/>
          <w:szCs w:val="21"/>
          <w:highlight w:val="none"/>
        </w:rPr>
        <w:t>本次项目拟选配</w:t>
      </w:r>
      <w:r>
        <w:rPr>
          <w:rFonts w:hint="eastAsia" w:ascii="宋体" w:hAnsi="宋体" w:cs="宋体"/>
          <w:color w:val="auto"/>
          <w:sz w:val="21"/>
          <w:szCs w:val="21"/>
          <w:highlight w:val="none"/>
        </w:rPr>
        <w:t>光纤收发器</w:t>
      </w:r>
      <w:r>
        <w:rPr>
          <w:rFonts w:ascii="宋体" w:hAnsi="宋体" w:cs="宋体"/>
          <w:color w:val="auto"/>
          <w:sz w:val="21"/>
          <w:szCs w:val="21"/>
          <w:highlight w:val="none"/>
        </w:rPr>
        <w:t>，完全能满足前端摄像头的带宽需求，具体部署如下：</w:t>
      </w:r>
    </w:p>
    <w:p>
      <w:pPr>
        <w:pStyle w:val="82"/>
        <w:ind w:firstLine="420"/>
        <w:rPr>
          <w:rFonts w:ascii="宋体" w:hAnsi="宋体" w:cs="宋体"/>
          <w:color w:val="auto"/>
          <w:sz w:val="21"/>
          <w:szCs w:val="21"/>
          <w:highlight w:val="none"/>
        </w:rPr>
      </w:pPr>
      <w:r>
        <w:rPr>
          <w:rFonts w:ascii="宋体" w:hAnsi="宋体" w:cs="宋体"/>
          <w:color w:val="auto"/>
          <w:sz w:val="21"/>
          <w:szCs w:val="21"/>
          <w:highlight w:val="none"/>
        </w:rPr>
        <w:t>在远端监控网点，考虑到裸光纤的利用率，除借原有治安监控杆件抱杆安装的点位以外，每个点位各部署一台光纤收发器，交换</w:t>
      </w:r>
      <w:r>
        <w:rPr>
          <w:rFonts w:hint="eastAsia" w:ascii="宋体" w:hAnsi="宋体" w:cs="宋体"/>
          <w:color w:val="auto"/>
          <w:sz w:val="21"/>
          <w:szCs w:val="21"/>
          <w:highlight w:val="none"/>
        </w:rPr>
        <w:t>机遇</w:t>
      </w:r>
      <w:r>
        <w:rPr>
          <w:rFonts w:ascii="宋体" w:hAnsi="宋体" w:cs="宋体"/>
          <w:color w:val="auto"/>
          <w:sz w:val="21"/>
          <w:szCs w:val="21"/>
          <w:highlight w:val="none"/>
        </w:rPr>
        <w:t>监控摄像头用网线连接，通过收发器进行光电转换后</w:t>
      </w:r>
      <w:r>
        <w:rPr>
          <w:rFonts w:hint="eastAsia" w:ascii="宋体" w:hAnsi="宋体" w:cs="宋体"/>
          <w:color w:val="auto"/>
          <w:sz w:val="21"/>
          <w:szCs w:val="21"/>
          <w:highlight w:val="none"/>
        </w:rPr>
        <w:t>，接入分局机房，与局端的收发器组成点对点网络。</w:t>
      </w:r>
    </w:p>
    <w:p>
      <w:pPr>
        <w:pStyle w:val="82"/>
        <w:ind w:firstLine="420"/>
        <w:rPr>
          <w:rFonts w:ascii="宋体" w:hAnsi="宋体" w:cs="宋体"/>
          <w:color w:val="auto"/>
          <w:sz w:val="21"/>
          <w:szCs w:val="21"/>
          <w:highlight w:val="none"/>
        </w:rPr>
      </w:pPr>
      <w:r>
        <w:rPr>
          <w:rFonts w:hint="eastAsia" w:ascii="宋体" w:hAnsi="宋体" w:cs="宋体"/>
          <w:color w:val="auto"/>
          <w:sz w:val="21"/>
          <w:szCs w:val="21"/>
          <w:highlight w:val="none"/>
        </w:rPr>
        <w:t>注：本项目每个点位均统一采用4口百兆光口、1个光口，距离20公里；FC口；单模单纤。方便以后立杆上增加摄像机，由系统集成费进行按需采购交换机，地下一层机房光纤收发器由运营商提供。</w:t>
      </w:r>
    </w:p>
    <w:p>
      <w:pPr>
        <w:pStyle w:val="82"/>
        <w:ind w:firstLine="420"/>
        <w:outlineLvl w:val="3"/>
        <w:rPr>
          <w:rFonts w:ascii="宋体" w:hAnsi="宋体" w:cs="宋体"/>
          <w:color w:val="auto"/>
          <w:sz w:val="21"/>
          <w:szCs w:val="21"/>
          <w:highlight w:val="none"/>
        </w:rPr>
      </w:pPr>
      <w:r>
        <w:rPr>
          <w:rFonts w:hint="eastAsia" w:ascii="宋体" w:hAnsi="宋体" w:cs="宋体"/>
          <w:color w:val="auto"/>
          <w:sz w:val="21"/>
          <w:szCs w:val="21"/>
          <w:highlight w:val="none"/>
        </w:rPr>
        <w:t>5.5、</w:t>
      </w:r>
      <w:r>
        <w:rPr>
          <w:rFonts w:ascii="宋体" w:hAnsi="宋体" w:cs="宋体"/>
          <w:color w:val="auto"/>
          <w:sz w:val="21"/>
          <w:szCs w:val="21"/>
          <w:highlight w:val="none"/>
        </w:rPr>
        <w:t>汇聚层设计</w:t>
      </w:r>
    </w:p>
    <w:p>
      <w:pPr>
        <w:pStyle w:val="82"/>
        <w:ind w:firstLine="420"/>
        <w:rPr>
          <w:rFonts w:ascii="宋体" w:hAnsi="宋体" w:cs="宋体"/>
          <w:color w:val="auto"/>
          <w:sz w:val="21"/>
          <w:szCs w:val="21"/>
          <w:highlight w:val="none"/>
        </w:rPr>
      </w:pPr>
      <w:r>
        <w:rPr>
          <w:rFonts w:ascii="宋体" w:hAnsi="宋体" w:cs="宋体"/>
          <w:color w:val="auto"/>
          <w:sz w:val="21"/>
          <w:szCs w:val="21"/>
          <w:highlight w:val="none"/>
        </w:rPr>
        <w:t>目前，</w:t>
      </w:r>
      <w:r>
        <w:rPr>
          <w:rFonts w:hint="eastAsia" w:ascii="宋体" w:hAnsi="宋体" w:cs="宋体"/>
          <w:color w:val="auto"/>
          <w:sz w:val="21"/>
          <w:szCs w:val="21"/>
          <w:highlight w:val="none"/>
        </w:rPr>
        <w:t>高新公安</w:t>
      </w:r>
      <w:r>
        <w:rPr>
          <w:rFonts w:ascii="宋体" w:hAnsi="宋体" w:cs="宋体"/>
          <w:color w:val="auto"/>
          <w:sz w:val="21"/>
          <w:szCs w:val="21"/>
          <w:highlight w:val="none"/>
        </w:rPr>
        <w:t>分局汇聚层交换机为一台</w:t>
      </w:r>
      <w:r>
        <w:rPr>
          <w:rFonts w:hint="eastAsia" w:ascii="宋体" w:hAnsi="宋体" w:cs="宋体"/>
          <w:color w:val="auto"/>
          <w:sz w:val="21"/>
          <w:szCs w:val="21"/>
          <w:highlight w:val="none"/>
        </w:rPr>
        <w:t>位于地下一层的汇聚交换机，</w:t>
      </w:r>
      <w:r>
        <w:rPr>
          <w:rFonts w:ascii="宋体" w:hAnsi="宋体" w:cs="宋体"/>
          <w:color w:val="auto"/>
          <w:sz w:val="21"/>
          <w:szCs w:val="21"/>
          <w:highlight w:val="none"/>
        </w:rPr>
        <w:t>运行已</w:t>
      </w:r>
      <w:r>
        <w:rPr>
          <w:rFonts w:hint="eastAsia" w:ascii="宋体" w:hAnsi="宋体" w:cs="宋体"/>
          <w:color w:val="auto"/>
          <w:sz w:val="21"/>
          <w:szCs w:val="21"/>
          <w:highlight w:val="none"/>
        </w:rPr>
        <w:t>8</w:t>
      </w:r>
      <w:r>
        <w:rPr>
          <w:rFonts w:ascii="宋体" w:hAnsi="宋体" w:cs="宋体"/>
          <w:color w:val="auto"/>
          <w:sz w:val="21"/>
          <w:szCs w:val="21"/>
          <w:highlight w:val="none"/>
        </w:rPr>
        <w:t>年,</w:t>
      </w:r>
      <w:r>
        <w:rPr>
          <w:rFonts w:hint="eastAsia" w:ascii="宋体" w:hAnsi="宋体" w:cs="宋体"/>
          <w:color w:val="auto"/>
          <w:sz w:val="21"/>
          <w:szCs w:val="21"/>
          <w:highlight w:val="none"/>
        </w:rPr>
        <w:t>目前业务接口已无法满足此次汇聚需求</w:t>
      </w:r>
      <w:r>
        <w:rPr>
          <w:rFonts w:ascii="宋体" w:hAnsi="宋体" w:cs="宋体"/>
          <w:color w:val="auto"/>
          <w:sz w:val="21"/>
          <w:szCs w:val="21"/>
          <w:highlight w:val="none"/>
        </w:rPr>
        <w:t>。因此，本次项目设计分局</w:t>
      </w:r>
      <w:r>
        <w:rPr>
          <w:rFonts w:hint="eastAsia" w:ascii="宋体" w:hAnsi="宋体" w:cs="宋体"/>
          <w:color w:val="auto"/>
          <w:sz w:val="21"/>
          <w:szCs w:val="21"/>
          <w:highlight w:val="none"/>
        </w:rPr>
        <w:t>地下一层</w:t>
      </w:r>
      <w:r>
        <w:rPr>
          <w:rFonts w:ascii="宋体" w:hAnsi="宋体" w:cs="宋体"/>
          <w:color w:val="auto"/>
          <w:sz w:val="21"/>
          <w:szCs w:val="21"/>
          <w:highlight w:val="none"/>
        </w:rPr>
        <w:t>机房新增</w:t>
      </w:r>
      <w:r>
        <w:rPr>
          <w:rFonts w:hint="eastAsia" w:ascii="宋体" w:hAnsi="宋体" w:cs="宋体"/>
          <w:color w:val="auto"/>
          <w:sz w:val="21"/>
          <w:szCs w:val="21"/>
          <w:highlight w:val="none"/>
          <w:lang w:val="en-US" w:eastAsia="zh-CN"/>
        </w:rPr>
        <w:t>2</w:t>
      </w:r>
      <w:r>
        <w:rPr>
          <w:rFonts w:ascii="宋体" w:hAnsi="宋体" w:cs="宋体"/>
          <w:color w:val="auto"/>
          <w:sz w:val="21"/>
          <w:szCs w:val="21"/>
          <w:highlight w:val="none"/>
        </w:rPr>
        <w:t>台具汇聚层交换机。汇聚交换机万兆链路上联至</w:t>
      </w:r>
      <w:r>
        <w:rPr>
          <w:rFonts w:hint="eastAsia" w:ascii="宋体" w:hAnsi="宋体" w:cs="宋体"/>
          <w:color w:val="auto"/>
          <w:sz w:val="21"/>
          <w:szCs w:val="21"/>
          <w:highlight w:val="none"/>
        </w:rPr>
        <w:t>高新分局二楼机房1</w:t>
      </w:r>
      <w:r>
        <w:rPr>
          <w:rFonts w:ascii="宋体" w:hAnsi="宋体" w:cs="宋体"/>
          <w:color w:val="auto"/>
          <w:sz w:val="21"/>
          <w:szCs w:val="21"/>
          <w:highlight w:val="none"/>
        </w:rPr>
        <w:t>台核心交换机，并增加相应数量的万兆多模光模块。</w:t>
      </w:r>
    </w:p>
    <w:p>
      <w:pPr>
        <w:pStyle w:val="82"/>
        <w:ind w:firstLine="420"/>
        <w:outlineLvl w:val="3"/>
        <w:rPr>
          <w:rFonts w:ascii="宋体" w:hAnsi="宋体" w:cs="宋体"/>
          <w:color w:val="auto"/>
          <w:sz w:val="21"/>
          <w:szCs w:val="21"/>
          <w:highlight w:val="none"/>
        </w:rPr>
      </w:pPr>
      <w:r>
        <w:rPr>
          <w:rFonts w:hint="eastAsia" w:ascii="宋体" w:hAnsi="宋体" w:cs="宋体"/>
          <w:color w:val="auto"/>
          <w:sz w:val="21"/>
          <w:szCs w:val="21"/>
          <w:highlight w:val="none"/>
        </w:rPr>
        <w:t>5.6、核心层设计</w:t>
      </w:r>
    </w:p>
    <w:p>
      <w:pPr>
        <w:pStyle w:val="82"/>
        <w:ind w:firstLine="420"/>
        <w:rPr>
          <w:rFonts w:ascii="宋体" w:hAnsi="宋体" w:cs="宋体"/>
          <w:color w:val="auto"/>
          <w:sz w:val="21"/>
          <w:szCs w:val="21"/>
          <w:highlight w:val="none"/>
        </w:rPr>
      </w:pPr>
      <w:r>
        <w:rPr>
          <w:rFonts w:hint="eastAsia" w:ascii="宋体" w:hAnsi="宋体" w:cs="宋体"/>
          <w:color w:val="auto"/>
          <w:sz w:val="21"/>
          <w:szCs w:val="21"/>
          <w:highlight w:val="none"/>
        </w:rPr>
        <w:t>此次所接入汇聚的感知点位通道，到达区公安分局公共视频传输网核心交换机后，经过配置视频流直接添加至平台做视频应用，图片流数据接入摆渡至公安信息网智能解析应用。</w:t>
      </w:r>
    </w:p>
    <w:p>
      <w:pPr>
        <w:pStyle w:val="82"/>
        <w:ind w:firstLine="0" w:firstLineChars="0"/>
        <w:rPr>
          <w:rFonts w:ascii="宋体" w:hAnsi="宋体" w:cs="宋体"/>
          <w:color w:val="auto"/>
          <w:sz w:val="21"/>
          <w:szCs w:val="21"/>
          <w:highlight w:val="none"/>
        </w:rPr>
      </w:pPr>
      <w:bookmarkStart w:id="132" w:name="_Toc28913"/>
    </w:p>
    <w:p>
      <w:pPr>
        <w:pStyle w:val="5"/>
        <w:ind w:left="720"/>
        <w:rPr>
          <w:rFonts w:ascii="宋体" w:hAnsi="宋体" w:eastAsia="宋体" w:cs="宋体"/>
          <w:color w:val="auto"/>
          <w:sz w:val="24"/>
          <w:szCs w:val="24"/>
          <w:highlight w:val="none"/>
          <w:lang w:val="en-US"/>
        </w:rPr>
      </w:pPr>
      <w:bookmarkStart w:id="133" w:name="_Toc20489"/>
      <w:r>
        <w:rPr>
          <w:rFonts w:hint="eastAsia" w:ascii="宋体" w:hAnsi="宋体" w:eastAsia="宋体" w:cs="宋体"/>
          <w:color w:val="auto"/>
          <w:sz w:val="24"/>
          <w:szCs w:val="24"/>
          <w:highlight w:val="none"/>
          <w:lang w:val="en-US"/>
        </w:rPr>
        <w:t>6、感知点位优化</w:t>
      </w:r>
      <w:bookmarkEnd w:id="133"/>
    </w:p>
    <w:p>
      <w:pPr>
        <w:pStyle w:val="6"/>
        <w:tabs>
          <w:tab w:val="left" w:pos="0"/>
          <w:tab w:val="left" w:pos="993"/>
          <w:tab w:val="clear" w:pos="864"/>
        </w:tabs>
        <w:rPr>
          <w:rFonts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6.1、点位优化</w:t>
      </w:r>
    </w:p>
    <w:p>
      <w:pPr>
        <w:pStyle w:val="82"/>
        <w:ind w:firstLine="420"/>
        <w:rPr>
          <w:rFonts w:ascii="宋体" w:hAnsi="宋体" w:cs="宋体"/>
          <w:color w:val="auto"/>
          <w:sz w:val="21"/>
          <w:szCs w:val="21"/>
          <w:highlight w:val="none"/>
        </w:rPr>
      </w:pPr>
      <w:r>
        <w:rPr>
          <w:rFonts w:hint="eastAsia" w:ascii="宋体" w:hAnsi="宋体" w:cs="宋体"/>
          <w:color w:val="auto"/>
          <w:sz w:val="21"/>
          <w:szCs w:val="21"/>
          <w:highlight w:val="none"/>
        </w:rPr>
        <w:t>根据前期对高新公安分局已建感知点位进行现场勘查，进行感知点位优化，合杆建设9路感知通道2个点位，增加交换机进行端口扩容。</w:t>
      </w:r>
    </w:p>
    <w:tbl>
      <w:tblPr>
        <w:tblStyle w:val="65"/>
        <w:tblW w:w="5000" w:type="pct"/>
        <w:tblInd w:w="0" w:type="dxa"/>
        <w:tblLayout w:type="fixed"/>
        <w:tblCellMar>
          <w:top w:w="0" w:type="dxa"/>
          <w:left w:w="108" w:type="dxa"/>
          <w:bottom w:w="0" w:type="dxa"/>
          <w:right w:w="108" w:type="dxa"/>
        </w:tblCellMar>
      </w:tblPr>
      <w:tblGrid>
        <w:gridCol w:w="620"/>
        <w:gridCol w:w="2707"/>
        <w:gridCol w:w="1440"/>
        <w:gridCol w:w="2043"/>
        <w:gridCol w:w="1711"/>
      </w:tblGrid>
      <w:tr>
        <w:tblPrEx>
          <w:tblCellMar>
            <w:top w:w="0" w:type="dxa"/>
            <w:left w:w="108" w:type="dxa"/>
            <w:bottom w:w="0" w:type="dxa"/>
            <w:right w:w="108" w:type="dxa"/>
          </w:tblCellMar>
        </w:tblPrEx>
        <w:trPr>
          <w:trHeight w:val="604" w:hRule="atLeast"/>
        </w:trPr>
        <w:tc>
          <w:tcPr>
            <w:tcW w:w="498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kern w:val="0"/>
                <w:szCs w:val="21"/>
                <w:highlight w:val="none"/>
                <w:lang w:bidi="ar"/>
              </w:rPr>
            </w:pPr>
            <w:r>
              <w:rPr>
                <w:rFonts w:hint="eastAsia" w:ascii="宋体" w:hAnsi="宋体" w:cs="宋体"/>
                <w:b/>
                <w:bCs/>
                <w:color w:val="auto"/>
                <w:kern w:val="0"/>
                <w:szCs w:val="21"/>
                <w:highlight w:val="none"/>
                <w:lang w:bidi="ar"/>
              </w:rPr>
              <w:t>杆件合一</w:t>
            </w:r>
          </w:p>
        </w:tc>
      </w:tr>
      <w:tr>
        <w:tblPrEx>
          <w:tblCellMar>
            <w:top w:w="0" w:type="dxa"/>
            <w:left w:w="108" w:type="dxa"/>
            <w:bottom w:w="0" w:type="dxa"/>
            <w:right w:w="108" w:type="dxa"/>
          </w:tblCellMar>
        </w:tblPrEx>
        <w:trPr>
          <w:trHeight w:val="602" w:hRule="atLeast"/>
        </w:trPr>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序号</w:t>
            </w:r>
          </w:p>
        </w:tc>
        <w:tc>
          <w:tcPr>
            <w:tcW w:w="15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点位名称</w:t>
            </w:r>
          </w:p>
        </w:tc>
        <w:tc>
          <w:tcPr>
            <w:tcW w:w="8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安装位置</w:t>
            </w:r>
          </w:p>
        </w:tc>
        <w:tc>
          <w:tcPr>
            <w:tcW w:w="219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摄像机类型</w:t>
            </w:r>
          </w:p>
        </w:tc>
      </w:tr>
      <w:tr>
        <w:tblPrEx>
          <w:tblCellMar>
            <w:top w:w="0" w:type="dxa"/>
            <w:left w:w="108" w:type="dxa"/>
            <w:bottom w:w="0" w:type="dxa"/>
            <w:right w:w="108" w:type="dxa"/>
          </w:tblCellMar>
        </w:tblPrEx>
        <w:trPr>
          <w:trHeight w:val="632"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auto"/>
                <w:szCs w:val="21"/>
                <w:highlight w:val="none"/>
              </w:rPr>
            </w:pPr>
          </w:p>
        </w:tc>
        <w:tc>
          <w:tcPr>
            <w:tcW w:w="15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auto"/>
                <w:szCs w:val="21"/>
                <w:highlight w:val="none"/>
              </w:rPr>
            </w:pPr>
          </w:p>
        </w:tc>
        <w:tc>
          <w:tcPr>
            <w:tcW w:w="8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auto"/>
                <w:szCs w:val="21"/>
                <w:highlight w:val="none"/>
              </w:rPr>
            </w:pPr>
          </w:p>
        </w:tc>
        <w:tc>
          <w:tcPr>
            <w:tcW w:w="1196"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高清球机</w:t>
            </w:r>
          </w:p>
        </w:tc>
        <w:tc>
          <w:tcPr>
            <w:tcW w:w="100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高清枪机</w:t>
            </w:r>
          </w:p>
        </w:tc>
      </w:tr>
      <w:tr>
        <w:tblPrEx>
          <w:tblCellMar>
            <w:top w:w="0" w:type="dxa"/>
            <w:left w:w="108" w:type="dxa"/>
            <w:bottom w:w="0" w:type="dxa"/>
            <w:right w:w="108" w:type="dxa"/>
          </w:tblCellMar>
        </w:tblPrEx>
        <w:trPr>
          <w:trHeight w:val="1200" w:hRule="atLeast"/>
        </w:trPr>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5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0220枪</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0114枪</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0150枪</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商都大厦</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杆件合一</w:t>
            </w:r>
          </w:p>
        </w:tc>
        <w:tc>
          <w:tcPr>
            <w:tcW w:w="1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2（原公安设备利旧）</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1（原公安设备利旧）</w:t>
            </w:r>
          </w:p>
        </w:tc>
      </w:tr>
      <w:tr>
        <w:tblPrEx>
          <w:tblCellMar>
            <w:top w:w="0" w:type="dxa"/>
            <w:left w:w="108" w:type="dxa"/>
            <w:bottom w:w="0" w:type="dxa"/>
            <w:right w:w="108" w:type="dxa"/>
          </w:tblCellMar>
        </w:tblPrEx>
        <w:trPr>
          <w:trHeight w:val="1200" w:hRule="atLeast"/>
        </w:trPr>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5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宁波国家高新区实验学校杨木碶路518</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0101枪</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0399枪</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0400枪</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0745枪</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杆件合一</w:t>
            </w:r>
          </w:p>
        </w:tc>
        <w:tc>
          <w:tcPr>
            <w:tcW w:w="1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1（原公安设备利旧）</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4（原公安设备利旧）</w:t>
            </w:r>
          </w:p>
        </w:tc>
      </w:tr>
    </w:tbl>
    <w:p>
      <w:pPr>
        <w:pStyle w:val="6"/>
        <w:tabs>
          <w:tab w:val="left" w:pos="0"/>
          <w:tab w:val="left" w:pos="993"/>
          <w:tab w:val="clear" w:pos="864"/>
        </w:tabs>
        <w:rPr>
          <w:rFonts w:ascii="宋体" w:hAnsi="宋体" w:eastAsia="宋体" w:cs="宋体"/>
          <w:color w:val="auto"/>
          <w:sz w:val="24"/>
          <w:szCs w:val="24"/>
          <w:highlight w:val="none"/>
          <w:lang w:val="en-US"/>
        </w:rPr>
      </w:pPr>
      <w:bookmarkStart w:id="134" w:name="_Toc30818"/>
      <w:bookmarkStart w:id="135" w:name="_Toc84583520"/>
      <w:bookmarkStart w:id="136" w:name="_Toc14461"/>
      <w:bookmarkStart w:id="137" w:name="_Toc7596"/>
      <w:r>
        <w:rPr>
          <w:rFonts w:hint="eastAsia" w:ascii="宋体" w:hAnsi="宋体" w:eastAsia="宋体" w:cs="宋体"/>
          <w:color w:val="auto"/>
          <w:sz w:val="24"/>
          <w:szCs w:val="24"/>
          <w:highlight w:val="none"/>
          <w:lang w:val="en-US"/>
        </w:rPr>
        <w:t>6.2、系统集成</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改造优化高新区原有使用无线网桥点位，具体点位以实际产生为准，产生工作如下：</w:t>
      </w:r>
    </w:p>
    <w:tbl>
      <w:tblPr>
        <w:tblStyle w:val="66"/>
        <w:tblW w:w="8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7"/>
        <w:gridCol w:w="1570"/>
        <w:gridCol w:w="2193"/>
        <w:gridCol w:w="3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7" w:type="dxa"/>
            <w:vAlign w:val="center"/>
          </w:tcPr>
          <w:p>
            <w:pPr>
              <w:pStyle w:val="971"/>
              <w:adjustRightInd/>
              <w:ind w:firstLine="0" w:firstLineChars="0"/>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70" w:type="dxa"/>
            <w:vAlign w:val="center"/>
          </w:tcPr>
          <w:p>
            <w:pPr>
              <w:pStyle w:val="971"/>
              <w:adjustRightInd/>
              <w:ind w:firstLine="0" w:firstLineChars="0"/>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工作名称</w:t>
            </w:r>
          </w:p>
        </w:tc>
        <w:tc>
          <w:tcPr>
            <w:tcW w:w="2193" w:type="dxa"/>
            <w:vAlign w:val="center"/>
          </w:tcPr>
          <w:p>
            <w:pPr>
              <w:pStyle w:val="971"/>
              <w:adjustRightInd/>
              <w:ind w:firstLine="0" w:firstLineChars="0"/>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建设内容</w:t>
            </w:r>
          </w:p>
        </w:tc>
        <w:tc>
          <w:tcPr>
            <w:tcW w:w="3990" w:type="dxa"/>
            <w:vAlign w:val="center"/>
          </w:tcPr>
          <w:p>
            <w:pPr>
              <w:pStyle w:val="971"/>
              <w:adjustRightInd/>
              <w:ind w:firstLine="0" w:firstLineChars="0"/>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建设方式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vAlign w:val="center"/>
          </w:tcPr>
          <w:p>
            <w:pPr>
              <w:pStyle w:val="971"/>
              <w:adjustRightInd/>
              <w:ind w:firstLine="0" w:firstLineChars="0"/>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570" w:type="dxa"/>
            <w:vAlign w:val="center"/>
          </w:tcPr>
          <w:p>
            <w:pPr>
              <w:pStyle w:val="971"/>
              <w:adjustRightInd/>
              <w:ind w:firstLine="0" w:firstLineChars="0"/>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无线网桥改造</w:t>
            </w:r>
          </w:p>
        </w:tc>
        <w:tc>
          <w:tcPr>
            <w:tcW w:w="2193" w:type="dxa"/>
            <w:vAlign w:val="center"/>
          </w:tcPr>
          <w:p>
            <w:pPr>
              <w:pStyle w:val="971"/>
              <w:adjustRightInd/>
              <w:ind w:firstLine="0" w:firstLineChars="0"/>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100个点位无线网桥改造</w:t>
            </w:r>
          </w:p>
        </w:tc>
        <w:tc>
          <w:tcPr>
            <w:tcW w:w="3990" w:type="dxa"/>
            <w:vAlign w:val="center"/>
          </w:tcPr>
          <w:p>
            <w:pPr>
              <w:pStyle w:val="971"/>
              <w:adjustRightInd/>
              <w:ind w:firstLine="0" w:firstLineChars="0"/>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租用链路，160元/月链路费用进行无线网桥点位改造，链路为裸光纤，含前后端光收发。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vAlign w:val="center"/>
          </w:tcPr>
          <w:p>
            <w:pPr>
              <w:pStyle w:val="971"/>
              <w:adjustRightInd/>
              <w:ind w:firstLine="0" w:firstLineChars="0"/>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570" w:type="dxa"/>
            <w:vAlign w:val="center"/>
          </w:tcPr>
          <w:p>
            <w:pPr>
              <w:pStyle w:val="971"/>
              <w:adjustRightInd/>
              <w:ind w:firstLine="0" w:firstLineChars="0"/>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无线网桥改造集成费</w:t>
            </w:r>
          </w:p>
        </w:tc>
        <w:tc>
          <w:tcPr>
            <w:tcW w:w="2193" w:type="dxa"/>
            <w:vAlign w:val="center"/>
          </w:tcPr>
          <w:p>
            <w:pPr>
              <w:pStyle w:val="971"/>
              <w:adjustRightInd/>
              <w:ind w:firstLine="0" w:firstLineChars="0"/>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无线网桥改造施工费用</w:t>
            </w:r>
          </w:p>
        </w:tc>
        <w:tc>
          <w:tcPr>
            <w:tcW w:w="3990" w:type="dxa"/>
            <w:vAlign w:val="center"/>
          </w:tcPr>
          <w:p>
            <w:pPr>
              <w:pStyle w:val="971"/>
              <w:adjustRightInd/>
              <w:ind w:firstLine="0" w:firstLineChars="0"/>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因设计管线道路施工，参照此次无线网桥改造费用进行核算。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vAlign w:val="center"/>
          </w:tcPr>
          <w:p>
            <w:pPr>
              <w:pStyle w:val="971"/>
              <w:adjustRightInd/>
              <w:ind w:firstLine="0" w:firstLineChars="0"/>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570" w:type="dxa"/>
            <w:vAlign w:val="center"/>
          </w:tcPr>
          <w:p>
            <w:pPr>
              <w:pStyle w:val="971"/>
              <w:adjustRightInd/>
              <w:ind w:firstLine="0" w:firstLineChars="0"/>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点位接电改造</w:t>
            </w:r>
          </w:p>
        </w:tc>
        <w:tc>
          <w:tcPr>
            <w:tcW w:w="2193" w:type="dxa"/>
            <w:vAlign w:val="center"/>
          </w:tcPr>
          <w:p>
            <w:pPr>
              <w:pStyle w:val="971"/>
              <w:adjustRightInd/>
              <w:ind w:firstLine="0" w:firstLineChars="0"/>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前端点位接电改造</w:t>
            </w:r>
          </w:p>
        </w:tc>
        <w:tc>
          <w:tcPr>
            <w:tcW w:w="3990" w:type="dxa"/>
            <w:vAlign w:val="center"/>
          </w:tcPr>
          <w:p>
            <w:pPr>
              <w:pStyle w:val="971"/>
              <w:adjustRightInd/>
              <w:ind w:firstLine="0" w:firstLineChars="0"/>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因轨道交通施工和感知点位接电整改，参照此次接电改造费用进行核算。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vAlign w:val="center"/>
          </w:tcPr>
          <w:p>
            <w:pPr>
              <w:pStyle w:val="971"/>
              <w:adjustRightInd/>
              <w:ind w:firstLine="0" w:firstLineChars="0"/>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570" w:type="dxa"/>
            <w:vAlign w:val="center"/>
          </w:tcPr>
          <w:p>
            <w:pPr>
              <w:pStyle w:val="971"/>
              <w:adjustRightInd/>
              <w:ind w:firstLine="0" w:firstLineChars="0"/>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前端网络改造</w:t>
            </w:r>
          </w:p>
        </w:tc>
        <w:tc>
          <w:tcPr>
            <w:tcW w:w="2193" w:type="dxa"/>
            <w:vAlign w:val="center"/>
          </w:tcPr>
          <w:p>
            <w:pPr>
              <w:pStyle w:val="971"/>
              <w:adjustRightInd/>
              <w:ind w:firstLine="0" w:firstLineChars="0"/>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感知点位网络改造</w:t>
            </w:r>
          </w:p>
        </w:tc>
        <w:tc>
          <w:tcPr>
            <w:tcW w:w="3990" w:type="dxa"/>
            <w:vAlign w:val="center"/>
          </w:tcPr>
          <w:p>
            <w:pPr>
              <w:pStyle w:val="971"/>
              <w:adjustRightInd/>
              <w:ind w:firstLine="0" w:firstLineChars="0"/>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因网络卡顿以及点位时延过高，使用工业交换机，进行点位网络改造</w:t>
            </w:r>
          </w:p>
          <w:p>
            <w:pPr>
              <w:pStyle w:val="971"/>
              <w:adjustRightInd/>
              <w:ind w:firstLine="0" w:firstLineChars="0"/>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工业以太网交换机主机支持4个10/100/1000BASE-T电口支持2个1000BASE-X SFP端口(AC），100台。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80" w:type="dxa"/>
            <w:gridSpan w:val="4"/>
            <w:vAlign w:val="center"/>
          </w:tcPr>
          <w:p>
            <w:pPr>
              <w:pStyle w:val="971"/>
              <w:adjustRightInd/>
              <w:ind w:firstLine="0" w:firstLineChars="0"/>
              <w:jc w:val="center"/>
              <w:rPr>
                <w:color w:val="auto"/>
                <w:sz w:val="24"/>
                <w:szCs w:val="21"/>
                <w:highlight w:val="none"/>
              </w:rPr>
            </w:pPr>
            <w:r>
              <w:rPr>
                <w:rFonts w:hint="eastAsia"/>
                <w:color w:val="auto"/>
                <w:sz w:val="24"/>
                <w:szCs w:val="21"/>
                <w:highlight w:val="none"/>
              </w:rPr>
              <w:t>总计</w:t>
            </w:r>
          </w:p>
        </w:tc>
      </w:tr>
    </w:tbl>
    <w:p>
      <w:pPr>
        <w:pStyle w:val="971"/>
        <w:adjustRightInd/>
        <w:ind w:firstLine="0" w:firstLineChars="0"/>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以上系统集成按照实际工作量产生开展工作。</w:t>
      </w:r>
    </w:p>
    <w:bookmarkEnd w:id="134"/>
    <w:bookmarkEnd w:id="135"/>
    <w:bookmarkEnd w:id="136"/>
    <w:bookmarkEnd w:id="137"/>
    <w:p>
      <w:pPr>
        <w:pStyle w:val="82"/>
        <w:ind w:firstLine="0" w:firstLineChars="0"/>
        <w:outlineLvl w:val="2"/>
        <w:rPr>
          <w:rFonts w:ascii="宋体" w:hAnsi="宋体" w:cs="宋体"/>
          <w:b/>
          <w:bCs/>
          <w:color w:val="auto"/>
          <w:highlight w:val="none"/>
        </w:rPr>
      </w:pPr>
      <w:r>
        <w:rPr>
          <w:rFonts w:hint="eastAsia" w:ascii="宋体" w:hAnsi="宋体" w:cs="宋体"/>
          <w:b/>
          <w:bCs/>
          <w:color w:val="auto"/>
          <w:highlight w:val="none"/>
        </w:rPr>
        <w:t>7、</w:t>
      </w:r>
      <w:r>
        <w:rPr>
          <w:rFonts w:ascii="宋体" w:hAnsi="宋体" w:cs="宋体"/>
          <w:b/>
          <w:bCs/>
          <w:color w:val="auto"/>
          <w:highlight w:val="none"/>
        </w:rPr>
        <w:t>存储容量计算</w:t>
      </w:r>
      <w:bookmarkEnd w:id="132"/>
    </w:p>
    <w:p>
      <w:pPr>
        <w:pStyle w:val="82"/>
        <w:ind w:firstLine="420"/>
        <w:outlineLvl w:val="3"/>
        <w:rPr>
          <w:rFonts w:ascii="宋体" w:hAnsi="宋体" w:cs="宋体"/>
          <w:color w:val="auto"/>
          <w:sz w:val="21"/>
          <w:szCs w:val="21"/>
          <w:highlight w:val="none"/>
        </w:rPr>
      </w:pPr>
      <w:r>
        <w:rPr>
          <w:rFonts w:hint="eastAsia" w:ascii="宋体" w:hAnsi="宋体" w:cs="宋体"/>
          <w:color w:val="auto"/>
          <w:sz w:val="21"/>
          <w:szCs w:val="21"/>
          <w:highlight w:val="none"/>
        </w:rPr>
        <w:t>7.1.视频存储</w:t>
      </w:r>
    </w:p>
    <w:p>
      <w:pPr>
        <w:pStyle w:val="82"/>
        <w:ind w:firstLine="420"/>
        <w:outlineLvl w:val="3"/>
        <w:rPr>
          <w:rFonts w:ascii="宋体" w:hAnsi="宋体" w:cs="宋体"/>
          <w:color w:val="auto"/>
          <w:sz w:val="21"/>
          <w:szCs w:val="21"/>
          <w:highlight w:val="none"/>
        </w:rPr>
      </w:pPr>
      <w:bookmarkStart w:id="138" w:name="bookmark602"/>
      <w:bookmarkStart w:id="139" w:name="bookmark601"/>
      <w:bookmarkStart w:id="140" w:name="bookmark603"/>
      <w:r>
        <w:rPr>
          <w:rFonts w:hint="eastAsia" w:ascii="宋体" w:hAnsi="宋体" w:cs="宋体"/>
          <w:color w:val="auto"/>
          <w:sz w:val="21"/>
          <w:szCs w:val="21"/>
          <w:highlight w:val="none"/>
        </w:rPr>
        <w:t>本次项目共设计349路感知点位，摄像机采用H.264编码，视频存储均按1080P存储，码流为6M/路；</w:t>
      </w:r>
    </w:p>
    <w:p>
      <w:pPr>
        <w:pStyle w:val="82"/>
        <w:ind w:firstLine="420"/>
        <w:outlineLvl w:val="3"/>
        <w:rPr>
          <w:rFonts w:ascii="宋体" w:hAnsi="宋体" w:cs="宋体"/>
          <w:color w:val="auto"/>
          <w:sz w:val="21"/>
          <w:szCs w:val="21"/>
          <w:highlight w:val="none"/>
        </w:rPr>
      </w:pPr>
      <w:r>
        <w:rPr>
          <w:rFonts w:hint="eastAsia" w:ascii="宋体" w:hAnsi="宋体" w:cs="宋体"/>
          <w:color w:val="auto"/>
          <w:sz w:val="21"/>
          <w:szCs w:val="21"/>
          <w:highlight w:val="none"/>
        </w:rPr>
        <w:t>计算公式为：</w:t>
      </w:r>
    </w:p>
    <w:p>
      <w:pPr>
        <w:pStyle w:val="82"/>
        <w:ind w:firstLine="420"/>
        <w:outlineLvl w:val="3"/>
        <w:rPr>
          <w:rFonts w:ascii="宋体" w:hAnsi="宋体" w:cs="宋体"/>
          <w:color w:val="auto"/>
          <w:sz w:val="21"/>
          <w:szCs w:val="21"/>
          <w:highlight w:val="none"/>
        </w:rPr>
      </w:pPr>
      <w:r>
        <w:rPr>
          <w:rFonts w:hint="eastAsia" w:ascii="宋体" w:hAnsi="宋体" w:cs="宋体"/>
          <w:color w:val="auto"/>
          <w:sz w:val="21"/>
          <w:szCs w:val="21"/>
          <w:highlight w:val="none"/>
        </w:rPr>
        <w:t>视频路数*码流*存储天数*24h*3600s/1024/1024</w:t>
      </w:r>
    </w:p>
    <w:p>
      <w:pPr>
        <w:pStyle w:val="82"/>
        <w:ind w:firstLine="420"/>
        <w:outlineLvl w:val="3"/>
        <w:rPr>
          <w:rFonts w:ascii="宋体" w:hAnsi="宋体" w:cs="宋体"/>
          <w:color w:val="auto"/>
          <w:sz w:val="21"/>
          <w:szCs w:val="21"/>
          <w:highlight w:val="none"/>
        </w:rPr>
      </w:pPr>
      <w:r>
        <w:rPr>
          <w:rFonts w:hint="eastAsia" w:ascii="宋体" w:hAnsi="宋体" w:cs="宋体"/>
          <w:color w:val="auto"/>
          <w:sz w:val="21"/>
          <w:szCs w:val="21"/>
          <w:highlight w:val="none"/>
        </w:rPr>
        <w:t>综上可得，349台摄像机存储45天的容量计算如下：</w:t>
      </w:r>
    </w:p>
    <w:p>
      <w:pPr>
        <w:pStyle w:val="82"/>
        <w:spacing w:line="360" w:lineRule="auto"/>
        <w:ind w:firstLine="420"/>
        <w:outlineLvl w:val="3"/>
        <w:rPr>
          <w:rFonts w:hint="eastAsia" w:ascii="宋体" w:hAnsi="宋体" w:cs="宋体"/>
          <w:color w:val="auto"/>
          <w:sz w:val="21"/>
          <w:szCs w:val="21"/>
          <w:highlight w:val="none"/>
        </w:rPr>
      </w:pPr>
      <w:r>
        <w:rPr>
          <w:rFonts w:hint="eastAsia" w:ascii="宋体" w:hAnsi="宋体" w:cs="宋体"/>
          <w:color w:val="auto"/>
          <w:sz w:val="21"/>
          <w:szCs w:val="21"/>
          <w:highlight w:val="none"/>
        </w:rPr>
        <w:t>349*6*45*24*3600/8/1024</w:t>
      </w:r>
      <w:bookmarkEnd w:id="138"/>
      <w:bookmarkEnd w:id="139"/>
      <w:bookmarkEnd w:id="140"/>
      <w:bookmarkStart w:id="141" w:name="_Toc5112"/>
    </w:p>
    <w:p>
      <w:pPr>
        <w:pStyle w:val="82"/>
        <w:spacing w:line="360" w:lineRule="auto"/>
        <w:ind w:firstLine="420"/>
        <w:outlineLvl w:val="3"/>
        <w:rPr>
          <w:rFonts w:ascii="宋体" w:hAnsi="宋体"/>
          <w:b/>
          <w:color w:val="auto"/>
          <w:sz w:val="24"/>
          <w:highlight w:val="none"/>
        </w:rPr>
      </w:pPr>
      <w:r>
        <w:rPr>
          <w:rFonts w:hint="eastAsia" w:ascii="宋体" w:hAnsi="宋体"/>
          <w:b/>
          <w:color w:val="auto"/>
          <w:sz w:val="24"/>
          <w:highlight w:val="none"/>
        </w:rPr>
        <w:t>（五）社会面接入网建设</w:t>
      </w:r>
      <w:bookmarkEnd w:id="141"/>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为打造高新技术产业开发区统一高效安全稳定的公共视频监控数据传输网络，此次以区级汇聚为原则，建设社会面接入网，统一接入公共视频监控数据（三类点）；同时通过安全边界联通区公共安全视频传输网，由区公共安全视频图像信息共享平台公安分平台统一安全共享社会面视频图像资源至高新区公共安全视频赋能平台，此次网络接入点位链路利旧。</w:t>
      </w:r>
    </w:p>
    <w:p>
      <w:pPr>
        <w:pStyle w:val="5"/>
        <w:ind w:left="720"/>
        <w:rPr>
          <w:rFonts w:ascii="宋体" w:hAnsi="宋体" w:eastAsia="宋体" w:cs="宋体"/>
          <w:color w:val="auto"/>
          <w:sz w:val="24"/>
          <w:szCs w:val="24"/>
          <w:highlight w:val="none"/>
          <w:lang w:val="en-US"/>
        </w:rPr>
      </w:pPr>
      <w:bookmarkStart w:id="142" w:name="_Toc22576"/>
      <w:r>
        <w:rPr>
          <w:rFonts w:hint="eastAsia" w:ascii="宋体" w:hAnsi="宋体" w:eastAsia="宋体" w:cs="宋体"/>
          <w:color w:val="auto"/>
          <w:sz w:val="24"/>
          <w:szCs w:val="24"/>
          <w:highlight w:val="none"/>
          <w:lang w:val="en-US"/>
        </w:rPr>
        <w:t>1、IP地址规划设计</w:t>
      </w:r>
      <w:bookmarkEnd w:id="142"/>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社会面资源的视频监控网络地址通过NAT转换方式接入。具体如下：</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11.1.1、不改变各运营商、企事业单位、社区等社会面视频监控网络的原有IP地址规划，本项目通过IP地址NAT转换方式实现社会面视频的接入，在汇聚侧统一按区社会面接入网IP进行规划。</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11.1.2、层次结构分层：即为便于网络设备的统一管理，降低网络扩展的复杂性，IP地址应根据网络中层次结构分层规划，从而形成易于管理，便于扩展的层次性结构。</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11.1.3、地址连续性：连续地址在层次结构网络中既易于进行路径叠合，大大缩减路由表，提高路由算法的效率，又能充分利用地址空间，最大限度地实现地址连续性，还能兼顾今后网络发展，便于业务管理。</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11.1.4、网络可扩展性：充分考虑网络未来发展的需求，坚持统一规划、长远考虑、分片分块的分配原则。地址分配在每一层次上都要留有余量，在网络规模扩展时能保证地址叠合所需的连续性。</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11.1.5、地址唯一性：即一个IP网络中不能有两个主机采用相同的IP地址。</w:t>
      </w:r>
    </w:p>
    <w:p>
      <w:pPr>
        <w:pStyle w:val="5"/>
        <w:ind w:left="720"/>
        <w:rPr>
          <w:rFonts w:ascii="宋体" w:hAnsi="宋体" w:eastAsia="宋体" w:cs="宋体"/>
          <w:color w:val="auto"/>
          <w:sz w:val="24"/>
          <w:szCs w:val="24"/>
          <w:highlight w:val="none"/>
          <w:lang w:val="en-US"/>
        </w:rPr>
      </w:pPr>
      <w:bookmarkStart w:id="143" w:name="_Toc107"/>
      <w:r>
        <w:rPr>
          <w:rFonts w:hint="eastAsia" w:ascii="宋体" w:hAnsi="宋体" w:eastAsia="宋体" w:cs="宋体"/>
          <w:color w:val="auto"/>
          <w:sz w:val="24"/>
          <w:szCs w:val="24"/>
          <w:highlight w:val="none"/>
          <w:lang w:val="en-US"/>
        </w:rPr>
        <w:t>2、接入层设计</w:t>
      </w:r>
      <w:bookmarkEnd w:id="143"/>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社会面视频资源都通过链路统一汇集到社会面视频接入网的接入交换机。将原先接入区公安视频专网185个接入点的社会面视频资源（三类点），统一调整接入至社会面接入网中的社会面视频接入转发系统进行安全接入，设计配置不少于48口千兆电口和万兆上联接入交换机5台（按照后期接入冗余设计1台接入交换机，其余4台接入交换机每台交换机插45口电口，留3口电口冗余），接入交换机通过万兆光纤链路上联至核心交换机，并配备相应的万兆光模块。</w:t>
      </w:r>
    </w:p>
    <w:p>
      <w:pPr>
        <w:pStyle w:val="5"/>
        <w:ind w:left="720"/>
        <w:rPr>
          <w:rFonts w:ascii="宋体" w:hAnsi="宋体" w:eastAsia="宋体" w:cs="宋体"/>
          <w:color w:val="auto"/>
          <w:sz w:val="24"/>
          <w:szCs w:val="24"/>
          <w:highlight w:val="none"/>
          <w:lang w:val="en-US"/>
        </w:rPr>
      </w:pPr>
      <w:bookmarkStart w:id="144" w:name="_Toc31299"/>
      <w:r>
        <w:rPr>
          <w:rFonts w:hint="eastAsia" w:ascii="宋体" w:hAnsi="宋体" w:eastAsia="宋体" w:cs="宋体"/>
          <w:color w:val="auto"/>
          <w:sz w:val="24"/>
          <w:szCs w:val="24"/>
          <w:highlight w:val="none"/>
          <w:lang w:val="en-US"/>
        </w:rPr>
        <w:t>3、汇聚核心层设计</w:t>
      </w:r>
      <w:bookmarkEnd w:id="144"/>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高新技术产业开发区社会面接入网的汇聚核心层为社会面接入核心，与区公共安全视频传输网网络结构一致。</w:t>
      </w:r>
    </w:p>
    <w:p>
      <w:pPr>
        <w:pStyle w:val="5"/>
        <w:ind w:left="0" w:firstLine="0"/>
        <w:rPr>
          <w:rFonts w:ascii="宋体" w:hAnsi="宋体" w:eastAsia="宋体" w:cs="宋体"/>
          <w:color w:val="auto"/>
          <w:sz w:val="24"/>
          <w:szCs w:val="24"/>
          <w:highlight w:val="none"/>
          <w:lang w:val="en-US"/>
        </w:rPr>
      </w:pPr>
      <w:bookmarkStart w:id="145" w:name="_Toc403"/>
      <w:r>
        <w:rPr>
          <w:rFonts w:hint="eastAsia" w:ascii="宋体" w:hAnsi="宋体" w:eastAsia="宋体" w:cs="宋体"/>
          <w:color w:val="auto"/>
          <w:sz w:val="24"/>
          <w:szCs w:val="24"/>
          <w:highlight w:val="none"/>
          <w:lang w:val="en-US"/>
        </w:rPr>
        <w:t>4、光纤链路设计</w:t>
      </w:r>
      <w:bookmarkEnd w:id="145"/>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切换社会面视频资源通过利旧原有链路、接入方式，建立链路通道，原区公共安全视频图像信息共享平台公安分平台三类点社会面视频资源网络统一接入至社会面接入网接入交换机，实施IP地址统一规划和分配，构建高新技术产业开发区社会面接入网。</w:t>
      </w:r>
    </w:p>
    <w:p>
      <w:pPr>
        <w:pStyle w:val="5"/>
        <w:ind w:left="0" w:firstLine="0"/>
        <w:rPr>
          <w:rFonts w:ascii="宋体" w:hAnsi="宋体" w:eastAsia="宋体" w:cs="宋体"/>
          <w:color w:val="auto"/>
          <w:sz w:val="24"/>
          <w:szCs w:val="24"/>
          <w:highlight w:val="none"/>
          <w:lang w:val="en-US"/>
        </w:rPr>
      </w:pPr>
      <w:bookmarkStart w:id="146" w:name="_Toc26573"/>
      <w:r>
        <w:rPr>
          <w:rFonts w:hint="eastAsia" w:ascii="宋体" w:hAnsi="宋体" w:eastAsia="宋体" w:cs="宋体"/>
          <w:color w:val="auto"/>
          <w:sz w:val="24"/>
          <w:szCs w:val="24"/>
          <w:highlight w:val="none"/>
          <w:lang w:val="en-US"/>
        </w:rPr>
        <w:t>5、与区公共安全视频传输网的网络安全</w:t>
      </w:r>
      <w:bookmarkEnd w:id="146"/>
    </w:p>
    <w:p>
      <w:pPr>
        <w:pStyle w:val="63"/>
        <w:rPr>
          <w:rFonts w:hAnsi="宋体" w:cs="宋体"/>
          <w:color w:val="auto"/>
          <w:sz w:val="21"/>
          <w:szCs w:val="21"/>
          <w:highlight w:val="none"/>
        </w:rPr>
      </w:pPr>
      <w:r>
        <w:rPr>
          <w:rFonts w:hint="eastAsia" w:hAnsi="宋体" w:cs="宋体"/>
          <w:color w:val="auto"/>
          <w:sz w:val="21"/>
          <w:szCs w:val="21"/>
          <w:highlight w:val="none"/>
          <w:lang w:val="en-US"/>
        </w:rPr>
        <w:t>高新区社会面接入网</w:t>
      </w:r>
      <w:r>
        <w:rPr>
          <w:rFonts w:hint="eastAsia" w:hAnsi="宋体" w:cs="宋体"/>
          <w:color w:val="auto"/>
          <w:sz w:val="21"/>
          <w:szCs w:val="21"/>
          <w:highlight w:val="none"/>
        </w:rPr>
        <w:t>与区</w:t>
      </w:r>
      <w:r>
        <w:rPr>
          <w:rFonts w:hint="eastAsia" w:hAnsi="宋体" w:cs="宋体"/>
          <w:color w:val="auto"/>
          <w:sz w:val="21"/>
          <w:szCs w:val="21"/>
          <w:highlight w:val="none"/>
          <w:lang w:val="en-US"/>
        </w:rPr>
        <w:t>公共安全视频传输网</w:t>
      </w:r>
      <w:r>
        <w:rPr>
          <w:rFonts w:hint="eastAsia" w:hAnsi="宋体" w:cs="宋体"/>
          <w:color w:val="auto"/>
          <w:sz w:val="21"/>
          <w:szCs w:val="21"/>
          <w:highlight w:val="none"/>
        </w:rPr>
        <w:t>之间通过部署</w:t>
      </w:r>
      <w:r>
        <w:rPr>
          <w:rFonts w:hint="eastAsia" w:hAnsi="宋体" w:cs="宋体"/>
          <w:color w:val="auto"/>
          <w:sz w:val="21"/>
          <w:szCs w:val="21"/>
          <w:highlight w:val="none"/>
          <w:lang w:val="en-US"/>
        </w:rPr>
        <w:t>网闸以及防火墙</w:t>
      </w:r>
      <w:r>
        <w:rPr>
          <w:rFonts w:hint="eastAsia" w:hAnsi="宋体" w:cs="宋体"/>
          <w:color w:val="auto"/>
          <w:sz w:val="21"/>
          <w:szCs w:val="21"/>
          <w:highlight w:val="none"/>
        </w:rPr>
        <w:t>，实现</w:t>
      </w:r>
      <w:r>
        <w:rPr>
          <w:rFonts w:hint="eastAsia" w:hAnsi="宋体" w:cs="宋体"/>
          <w:color w:val="auto"/>
          <w:sz w:val="21"/>
          <w:szCs w:val="21"/>
          <w:highlight w:val="none"/>
          <w:lang w:val="en-US"/>
        </w:rPr>
        <w:t>社会面接入网</w:t>
      </w:r>
      <w:r>
        <w:rPr>
          <w:rFonts w:hint="eastAsia" w:hAnsi="宋体" w:cs="宋体"/>
          <w:color w:val="auto"/>
          <w:sz w:val="21"/>
          <w:szCs w:val="21"/>
          <w:highlight w:val="none"/>
        </w:rPr>
        <w:t>和区</w:t>
      </w:r>
      <w:r>
        <w:rPr>
          <w:rFonts w:hint="eastAsia" w:hAnsi="宋体" w:cs="宋体"/>
          <w:color w:val="auto"/>
          <w:sz w:val="21"/>
          <w:szCs w:val="21"/>
          <w:highlight w:val="none"/>
          <w:lang w:val="en-US"/>
        </w:rPr>
        <w:t>公共安全视频传输网</w:t>
      </w:r>
      <w:r>
        <w:rPr>
          <w:rFonts w:hint="eastAsia" w:hAnsi="宋体" w:cs="宋体"/>
          <w:color w:val="auto"/>
          <w:sz w:val="21"/>
          <w:szCs w:val="21"/>
          <w:highlight w:val="none"/>
        </w:rPr>
        <w:t>的</w:t>
      </w:r>
      <w:r>
        <w:rPr>
          <w:rFonts w:hint="eastAsia" w:hAnsi="宋体" w:cs="宋体"/>
          <w:color w:val="auto"/>
          <w:sz w:val="21"/>
          <w:szCs w:val="21"/>
          <w:highlight w:val="none"/>
          <w:lang w:val="en-US"/>
        </w:rPr>
        <w:t>物理</w:t>
      </w:r>
      <w:r>
        <w:rPr>
          <w:rFonts w:hint="eastAsia" w:hAnsi="宋体" w:cs="宋体"/>
          <w:color w:val="auto"/>
          <w:sz w:val="21"/>
          <w:szCs w:val="21"/>
          <w:highlight w:val="none"/>
        </w:rPr>
        <w:t>隔离。视频流通过物理隔离、协议隔离、内容隔离等措施确保在进行传送的同时，有害数据信息不会进入区</w:t>
      </w:r>
      <w:r>
        <w:rPr>
          <w:rFonts w:hint="eastAsia" w:hAnsi="宋体" w:cs="宋体"/>
          <w:color w:val="auto"/>
          <w:sz w:val="21"/>
          <w:szCs w:val="21"/>
          <w:highlight w:val="none"/>
          <w:lang w:val="en-US"/>
        </w:rPr>
        <w:t>公共安全视频传输网</w:t>
      </w:r>
      <w:r>
        <w:rPr>
          <w:rFonts w:hint="eastAsia" w:hAnsi="宋体" w:cs="宋体"/>
          <w:color w:val="auto"/>
          <w:sz w:val="21"/>
          <w:szCs w:val="21"/>
          <w:highlight w:val="none"/>
        </w:rPr>
        <w:t>内，在隔离网闸内端机与外端机上做TCP/IP协议封装解封装，然后通过内置专用隔离硬件进行摆渡，有效地隔断与区</w:t>
      </w:r>
      <w:r>
        <w:rPr>
          <w:rFonts w:hint="eastAsia" w:hAnsi="宋体" w:cs="宋体"/>
          <w:color w:val="auto"/>
          <w:sz w:val="21"/>
          <w:szCs w:val="21"/>
          <w:highlight w:val="none"/>
          <w:lang w:val="en-US"/>
        </w:rPr>
        <w:t>公共安全视频传输网</w:t>
      </w:r>
      <w:r>
        <w:rPr>
          <w:rFonts w:hint="eastAsia" w:hAnsi="宋体" w:cs="宋体"/>
          <w:color w:val="auto"/>
          <w:sz w:val="21"/>
          <w:szCs w:val="21"/>
          <w:highlight w:val="none"/>
        </w:rPr>
        <w:t>之间的直接连接，实现视频流的推送</w:t>
      </w:r>
      <w:r>
        <w:rPr>
          <w:rFonts w:hint="eastAsia" w:hAnsi="宋体" w:cs="宋体"/>
          <w:color w:val="auto"/>
          <w:sz w:val="21"/>
          <w:szCs w:val="21"/>
          <w:highlight w:val="none"/>
          <w:lang w:val="en-US"/>
        </w:rPr>
        <w:t>至</w:t>
      </w:r>
      <w:r>
        <w:rPr>
          <w:rFonts w:hint="eastAsia" w:hAnsi="宋体" w:cs="宋体"/>
          <w:color w:val="auto"/>
          <w:sz w:val="21"/>
          <w:szCs w:val="21"/>
          <w:highlight w:val="none"/>
        </w:rPr>
        <w:t>区</w:t>
      </w:r>
      <w:r>
        <w:rPr>
          <w:rFonts w:hint="eastAsia" w:hAnsi="宋体" w:cs="宋体"/>
          <w:color w:val="auto"/>
          <w:sz w:val="21"/>
          <w:szCs w:val="21"/>
          <w:highlight w:val="none"/>
          <w:lang w:val="en-US"/>
        </w:rPr>
        <w:t>公共安全视频传输网的</w:t>
      </w:r>
      <w:r>
        <w:rPr>
          <w:rFonts w:hint="eastAsia" w:hAnsi="宋体" w:cs="宋体"/>
          <w:color w:val="auto"/>
          <w:sz w:val="21"/>
          <w:szCs w:val="21"/>
          <w:highlight w:val="none"/>
        </w:rPr>
        <w:t>区</w:t>
      </w:r>
      <w:r>
        <w:rPr>
          <w:rFonts w:hint="eastAsia" w:hAnsi="宋体" w:cs="宋体"/>
          <w:color w:val="auto"/>
          <w:sz w:val="21"/>
          <w:szCs w:val="21"/>
          <w:highlight w:val="none"/>
          <w:lang w:val="en-US"/>
        </w:rPr>
        <w:t>公共安全视频图像信息平台公安分平台</w:t>
      </w:r>
      <w:r>
        <w:rPr>
          <w:rFonts w:hint="eastAsia" w:hAnsi="宋体" w:cs="宋体"/>
          <w:color w:val="auto"/>
          <w:sz w:val="21"/>
          <w:szCs w:val="21"/>
          <w:highlight w:val="none"/>
        </w:rPr>
        <w:t>。</w:t>
      </w:r>
    </w:p>
    <w:p>
      <w:pPr>
        <w:spacing w:line="360" w:lineRule="auto"/>
        <w:outlineLvl w:val="1"/>
        <w:rPr>
          <w:rFonts w:ascii="宋体" w:hAnsi="宋体" w:cs="宋体"/>
          <w:b/>
          <w:bCs/>
          <w:color w:val="auto"/>
          <w:sz w:val="24"/>
          <w:highlight w:val="none"/>
        </w:rPr>
      </w:pPr>
      <w:bookmarkStart w:id="147" w:name="_Toc28812"/>
      <w:r>
        <w:rPr>
          <w:rFonts w:hint="eastAsia" w:ascii="宋体" w:hAnsi="宋体" w:cs="宋体"/>
          <w:b/>
          <w:bCs/>
          <w:color w:val="auto"/>
          <w:sz w:val="24"/>
          <w:highlight w:val="none"/>
        </w:rPr>
        <w:t>（六）社会面视频接入转发系统建设</w:t>
      </w:r>
      <w:bookmarkEnd w:id="147"/>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原高新区疫情防控“小门”应用因疫情政策调整防疫软件功能模块全部释放资源，利用其原有硬件部署社会面视频接入转发系统，进行集约化建设。</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社会面视频接入转发系统设计主要为接入社会面视频监控设备，本次设计不少1万路视频接入授权。平台支持通用视频联网标准协议（GB/T28181、DB33/T629）进行视频数据的接入、级联和共享；本项目通过新增安全边界，硬件设备利旧部署视频平台服务，建设高新区社会面视频图像汇聚平台，将对社会面视频监控设备进行统一接入，主要包括：</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1、社会面视频资源；</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2、运营商视频资源；</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3、其他公共视频资源。</w:t>
      </w:r>
    </w:p>
    <w:p>
      <w:pPr>
        <w:pStyle w:val="8"/>
        <w:tabs>
          <w:tab w:val="left" w:pos="900"/>
          <w:tab w:val="clear" w:pos="1152"/>
        </w:tabs>
        <w:ind w:left="730" w:leftChars="185" w:hanging="342" w:hangingChars="142"/>
        <w:rPr>
          <w:rFonts w:ascii="宋体" w:hAnsi="宋体" w:eastAsia="宋体" w:cs="宋体"/>
          <w:color w:val="auto"/>
          <w:highlight w:val="none"/>
        </w:rPr>
      </w:pPr>
      <w:bookmarkStart w:id="148" w:name="_Toc21557"/>
      <w:r>
        <w:rPr>
          <w:rFonts w:hint="eastAsia" w:ascii="宋体" w:hAnsi="宋体" w:eastAsia="宋体" w:cs="宋体"/>
          <w:color w:val="auto"/>
          <w:highlight w:val="none"/>
        </w:rPr>
        <w:t>1</w:t>
      </w:r>
      <w:r>
        <w:rPr>
          <w:rFonts w:hint="eastAsia" w:ascii="宋体" w:hAnsi="宋体" w:cs="宋体"/>
          <w:color w:val="auto"/>
          <w:highlight w:val="none"/>
        </w:rPr>
        <w:t>、</w:t>
      </w:r>
      <w:r>
        <w:rPr>
          <w:rFonts w:hint="eastAsia" w:ascii="宋体" w:hAnsi="宋体" w:eastAsia="宋体" w:cs="宋体"/>
          <w:color w:val="auto"/>
          <w:highlight w:val="none"/>
        </w:rPr>
        <w:t>整体网络架构</w:t>
      </w:r>
      <w:bookmarkEnd w:id="148"/>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社会面视频平台在社会面接入网统一接入汇聚视频资源后通过防火墙/网闸所建立的安全边界将视频资源统一推送至高新区公共安全视频图像信息共享平台公安分平台。</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由公安分平台在公共安全视频传输网推送至宁波市公安局公安分平台进行共享；</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由公安分平台通过安全边界推送至高新公安网视频联网平台进行视频应用；</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由公安分平台通过安全边界推送至电子政务外网的高新区公共安全视频赋能平台。</w:t>
      </w:r>
    </w:p>
    <w:p>
      <w:pPr>
        <w:pStyle w:val="7"/>
        <w:tabs>
          <w:tab w:val="left" w:pos="900"/>
          <w:tab w:val="clear" w:pos="1008"/>
        </w:tabs>
        <w:ind w:left="876" w:leftChars="176" w:hanging="506" w:hangingChars="210"/>
        <w:rPr>
          <w:rFonts w:ascii="宋体" w:hAnsi="宋体" w:cs="宋体"/>
          <w:color w:val="auto"/>
          <w:sz w:val="24"/>
          <w:szCs w:val="24"/>
          <w:highlight w:val="none"/>
        </w:rPr>
      </w:pPr>
      <w:bookmarkStart w:id="149" w:name="_Toc24314"/>
      <w:r>
        <w:rPr>
          <w:rFonts w:hint="eastAsia" w:ascii="宋体" w:hAnsi="宋体" w:cs="宋体"/>
          <w:color w:val="auto"/>
          <w:sz w:val="24"/>
          <w:szCs w:val="24"/>
          <w:highlight w:val="none"/>
        </w:rPr>
        <w:t>2、部署方式</w:t>
      </w:r>
      <w:bookmarkEnd w:id="149"/>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本次社会面视频接入转发系统均为在“无感”小门释放资源后的服务器上直接进行平台、网关和流媒体服务部署。</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目前服务器在高新公安分局二楼机房，此次部署将服务软件部署到服务器中。</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本次利旧无感小门服务器5台,全息智能感知旷世服务器1台设备清单如下：</w:t>
      </w:r>
    </w:p>
    <w:tbl>
      <w:tblPr>
        <w:tblStyle w:val="65"/>
        <w:tblW w:w="4741" w:type="pct"/>
        <w:jc w:val="center"/>
        <w:tblLayout w:type="fixed"/>
        <w:tblCellMar>
          <w:top w:w="0" w:type="dxa"/>
          <w:left w:w="108" w:type="dxa"/>
          <w:bottom w:w="0" w:type="dxa"/>
          <w:right w:w="108" w:type="dxa"/>
        </w:tblCellMar>
      </w:tblPr>
      <w:tblGrid>
        <w:gridCol w:w="787"/>
        <w:gridCol w:w="1751"/>
        <w:gridCol w:w="2286"/>
        <w:gridCol w:w="779"/>
        <w:gridCol w:w="891"/>
        <w:gridCol w:w="1588"/>
      </w:tblGrid>
      <w:tr>
        <w:tblPrEx>
          <w:tblCellMar>
            <w:top w:w="0" w:type="dxa"/>
            <w:left w:w="108" w:type="dxa"/>
            <w:bottom w:w="0" w:type="dxa"/>
            <w:right w:w="108" w:type="dxa"/>
          </w:tblCellMar>
        </w:tblPrEx>
        <w:trPr>
          <w:trHeight w:val="640" w:hRule="atLeast"/>
          <w:jc w:val="center"/>
        </w:trPr>
        <w:tc>
          <w:tcPr>
            <w:tcW w:w="4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序号</w:t>
            </w:r>
          </w:p>
        </w:tc>
        <w:tc>
          <w:tcPr>
            <w:tcW w:w="1082" w:type="pct"/>
            <w:tcBorders>
              <w:top w:val="single" w:color="000000" w:sz="4" w:space="0"/>
              <w:left w:val="single" w:color="000000" w:sz="4" w:space="0"/>
              <w:bottom w:val="nil"/>
              <w:right w:val="single" w:color="000000" w:sz="4" w:space="0"/>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设备名称</w:t>
            </w:r>
          </w:p>
        </w:tc>
        <w:tc>
          <w:tcPr>
            <w:tcW w:w="1413" w:type="pct"/>
            <w:tcBorders>
              <w:top w:val="single" w:color="000000" w:sz="4" w:space="0"/>
              <w:left w:val="single" w:color="000000" w:sz="4" w:space="0"/>
              <w:bottom w:val="nil"/>
              <w:right w:val="single" w:color="000000" w:sz="4" w:space="0"/>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品牌、规格型号</w:t>
            </w:r>
          </w:p>
        </w:tc>
        <w:tc>
          <w:tcPr>
            <w:tcW w:w="482" w:type="pct"/>
            <w:tcBorders>
              <w:top w:val="single" w:color="000000" w:sz="4" w:space="0"/>
              <w:left w:val="single" w:color="000000" w:sz="4" w:space="0"/>
              <w:bottom w:val="nil"/>
              <w:right w:val="single" w:color="000000" w:sz="4" w:space="0"/>
            </w:tcBorders>
            <w:shd w:val="clear" w:color="auto" w:fill="FFFFFF"/>
            <w:vAlign w:val="center"/>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单位</w:t>
            </w:r>
          </w:p>
        </w:tc>
        <w:tc>
          <w:tcPr>
            <w:tcW w:w="551" w:type="pct"/>
            <w:tcBorders>
              <w:top w:val="single" w:color="000000" w:sz="4" w:space="0"/>
              <w:left w:val="single" w:color="000000" w:sz="4" w:space="0"/>
              <w:bottom w:val="nil"/>
              <w:right w:val="single" w:color="000000" w:sz="4" w:space="0"/>
            </w:tcBorders>
            <w:shd w:val="clear" w:color="auto" w:fill="FFFFFF"/>
            <w:vAlign w:val="center"/>
          </w:tcPr>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数量</w:t>
            </w:r>
          </w:p>
        </w:tc>
        <w:tc>
          <w:tcPr>
            <w:tcW w:w="982" w:type="pct"/>
            <w:tcBorders>
              <w:top w:val="single" w:color="000000" w:sz="4" w:space="0"/>
              <w:left w:val="single" w:color="000000" w:sz="4" w:space="0"/>
              <w:bottom w:val="nil"/>
              <w:right w:val="single" w:color="000000" w:sz="4" w:space="0"/>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部署的服务</w:t>
            </w:r>
          </w:p>
        </w:tc>
      </w:tr>
      <w:tr>
        <w:tblPrEx>
          <w:tblCellMar>
            <w:top w:w="0" w:type="dxa"/>
            <w:left w:w="108" w:type="dxa"/>
            <w:bottom w:w="0" w:type="dxa"/>
            <w:right w:w="108" w:type="dxa"/>
          </w:tblCellMar>
        </w:tblPrEx>
        <w:trPr>
          <w:trHeight w:val="640" w:hRule="atLeast"/>
          <w:jc w:val="center"/>
        </w:trPr>
        <w:tc>
          <w:tcPr>
            <w:tcW w:w="4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1</w:t>
            </w:r>
          </w:p>
        </w:tc>
        <w:tc>
          <w:tcPr>
            <w:tcW w:w="108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应用服务器</w:t>
            </w:r>
          </w:p>
        </w:tc>
        <w:tc>
          <w:tcPr>
            <w:tcW w:w="14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海康威视DS-VE22S-B</w:t>
            </w:r>
          </w:p>
        </w:tc>
        <w:tc>
          <w:tcPr>
            <w:tcW w:w="48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台</w:t>
            </w:r>
          </w:p>
        </w:tc>
        <w:tc>
          <w:tcPr>
            <w:tcW w:w="5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1</w:t>
            </w:r>
          </w:p>
        </w:tc>
        <w:tc>
          <w:tcPr>
            <w:tcW w:w="982" w:type="pct"/>
            <w:vMerge w:val="restart"/>
            <w:tcBorders>
              <w:top w:val="single" w:color="000000" w:sz="4" w:space="0"/>
              <w:left w:val="single" w:color="000000" w:sz="4" w:space="0"/>
              <w:right w:val="single" w:color="000000" w:sz="4" w:space="0"/>
            </w:tcBorders>
            <w:shd w:val="clear" w:color="auto" w:fill="FFFFFF"/>
            <w:noWrap/>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主平台、国标网关</w:t>
            </w:r>
          </w:p>
        </w:tc>
      </w:tr>
      <w:tr>
        <w:tblPrEx>
          <w:tblCellMar>
            <w:top w:w="0" w:type="dxa"/>
            <w:left w:w="108" w:type="dxa"/>
            <w:bottom w:w="0" w:type="dxa"/>
            <w:right w:w="108" w:type="dxa"/>
          </w:tblCellMar>
        </w:tblPrEx>
        <w:trPr>
          <w:trHeight w:val="640" w:hRule="atLeast"/>
          <w:jc w:val="center"/>
        </w:trPr>
        <w:tc>
          <w:tcPr>
            <w:tcW w:w="4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2</w:t>
            </w:r>
          </w:p>
        </w:tc>
        <w:tc>
          <w:tcPr>
            <w:tcW w:w="108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应用服务器</w:t>
            </w:r>
          </w:p>
        </w:tc>
        <w:tc>
          <w:tcPr>
            <w:tcW w:w="14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海康威视DS-VE22S-B</w:t>
            </w:r>
          </w:p>
        </w:tc>
        <w:tc>
          <w:tcPr>
            <w:tcW w:w="48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台</w:t>
            </w:r>
          </w:p>
        </w:tc>
        <w:tc>
          <w:tcPr>
            <w:tcW w:w="5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1</w:t>
            </w:r>
          </w:p>
        </w:tc>
        <w:tc>
          <w:tcPr>
            <w:tcW w:w="982" w:type="pct"/>
            <w:vMerge w:val="continue"/>
            <w:tcBorders>
              <w:left w:val="single" w:color="000000" w:sz="4" w:space="0"/>
              <w:bottom w:val="single" w:color="000000" w:sz="4" w:space="0"/>
              <w:right w:val="single" w:color="000000" w:sz="4" w:space="0"/>
            </w:tcBorders>
            <w:shd w:val="clear" w:color="auto" w:fill="FFFFFF"/>
            <w:noWrap/>
            <w:vAlign w:val="center"/>
          </w:tcPr>
          <w:p>
            <w:pPr>
              <w:pStyle w:val="82"/>
              <w:ind w:firstLine="0" w:firstLineChars="0"/>
              <w:jc w:val="center"/>
              <w:rPr>
                <w:rFonts w:ascii="宋体" w:hAnsi="宋体" w:cs="宋体"/>
                <w:color w:val="auto"/>
                <w:sz w:val="21"/>
                <w:szCs w:val="21"/>
                <w:highlight w:val="none"/>
              </w:rPr>
            </w:pPr>
          </w:p>
        </w:tc>
      </w:tr>
      <w:tr>
        <w:tblPrEx>
          <w:tblCellMar>
            <w:top w:w="0" w:type="dxa"/>
            <w:left w:w="108" w:type="dxa"/>
            <w:bottom w:w="0" w:type="dxa"/>
            <w:right w:w="108" w:type="dxa"/>
          </w:tblCellMar>
        </w:tblPrEx>
        <w:trPr>
          <w:trHeight w:val="640" w:hRule="atLeast"/>
          <w:jc w:val="center"/>
        </w:trPr>
        <w:tc>
          <w:tcPr>
            <w:tcW w:w="4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3</w:t>
            </w:r>
          </w:p>
        </w:tc>
        <w:tc>
          <w:tcPr>
            <w:tcW w:w="108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应用服务器</w:t>
            </w:r>
          </w:p>
        </w:tc>
        <w:tc>
          <w:tcPr>
            <w:tcW w:w="14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海康威视DS-VE22S-B</w:t>
            </w:r>
          </w:p>
        </w:tc>
        <w:tc>
          <w:tcPr>
            <w:tcW w:w="48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台</w:t>
            </w:r>
          </w:p>
        </w:tc>
        <w:tc>
          <w:tcPr>
            <w:tcW w:w="5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1</w:t>
            </w:r>
          </w:p>
        </w:tc>
        <w:tc>
          <w:tcPr>
            <w:tcW w:w="982" w:type="pct"/>
            <w:vMerge w:val="restart"/>
            <w:tcBorders>
              <w:top w:val="single" w:color="000000" w:sz="4" w:space="0"/>
              <w:left w:val="single" w:color="000000" w:sz="4" w:space="0"/>
              <w:right w:val="single" w:color="000000" w:sz="4" w:space="0"/>
            </w:tcBorders>
            <w:shd w:val="clear" w:color="auto" w:fill="FFFFFF"/>
            <w:noWrap/>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视频流媒体</w:t>
            </w:r>
          </w:p>
        </w:tc>
      </w:tr>
      <w:tr>
        <w:tblPrEx>
          <w:tblCellMar>
            <w:top w:w="0" w:type="dxa"/>
            <w:left w:w="108" w:type="dxa"/>
            <w:bottom w:w="0" w:type="dxa"/>
            <w:right w:w="108" w:type="dxa"/>
          </w:tblCellMar>
        </w:tblPrEx>
        <w:trPr>
          <w:trHeight w:val="640" w:hRule="atLeast"/>
          <w:jc w:val="center"/>
        </w:trPr>
        <w:tc>
          <w:tcPr>
            <w:tcW w:w="4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4</w:t>
            </w:r>
          </w:p>
        </w:tc>
        <w:tc>
          <w:tcPr>
            <w:tcW w:w="108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82"/>
              <w:ind w:firstLine="0" w:firstLineChars="0"/>
              <w:jc w:val="center"/>
              <w:rPr>
                <w:rFonts w:ascii="宋体" w:hAnsi="宋体" w:cs="宋体"/>
                <w:color w:val="auto"/>
                <w:kern w:val="2"/>
                <w:sz w:val="21"/>
                <w:szCs w:val="21"/>
                <w:highlight w:val="none"/>
              </w:rPr>
            </w:pPr>
            <w:r>
              <w:rPr>
                <w:rFonts w:hint="eastAsia" w:ascii="宋体" w:hAnsi="宋体" w:cs="宋体"/>
                <w:color w:val="auto"/>
                <w:sz w:val="21"/>
                <w:szCs w:val="21"/>
                <w:highlight w:val="none"/>
              </w:rPr>
              <w:t>应用服务器</w:t>
            </w:r>
          </w:p>
        </w:tc>
        <w:tc>
          <w:tcPr>
            <w:tcW w:w="14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82"/>
              <w:ind w:firstLine="0" w:firstLineChars="0"/>
              <w:jc w:val="center"/>
              <w:rPr>
                <w:rFonts w:ascii="宋体" w:hAnsi="宋体" w:cs="宋体"/>
                <w:color w:val="auto"/>
                <w:kern w:val="2"/>
                <w:sz w:val="21"/>
                <w:szCs w:val="21"/>
                <w:highlight w:val="none"/>
              </w:rPr>
            </w:pPr>
            <w:r>
              <w:rPr>
                <w:rFonts w:hint="eastAsia" w:ascii="宋体" w:hAnsi="宋体" w:cs="宋体"/>
                <w:color w:val="auto"/>
                <w:sz w:val="21"/>
                <w:szCs w:val="21"/>
                <w:highlight w:val="none"/>
              </w:rPr>
              <w:t>海康威视DS-VE22S-B</w:t>
            </w:r>
          </w:p>
        </w:tc>
        <w:tc>
          <w:tcPr>
            <w:tcW w:w="48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82"/>
              <w:ind w:firstLine="0" w:firstLineChars="0"/>
              <w:jc w:val="center"/>
              <w:rPr>
                <w:rFonts w:ascii="宋体" w:hAnsi="宋体" w:cs="宋体"/>
                <w:color w:val="auto"/>
                <w:kern w:val="2"/>
                <w:sz w:val="21"/>
                <w:szCs w:val="21"/>
                <w:highlight w:val="none"/>
              </w:rPr>
            </w:pPr>
            <w:r>
              <w:rPr>
                <w:rFonts w:hint="eastAsia" w:ascii="宋体" w:hAnsi="宋体" w:cs="宋体"/>
                <w:color w:val="auto"/>
                <w:sz w:val="21"/>
                <w:szCs w:val="21"/>
                <w:highlight w:val="none"/>
              </w:rPr>
              <w:t>台</w:t>
            </w:r>
          </w:p>
        </w:tc>
        <w:tc>
          <w:tcPr>
            <w:tcW w:w="5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82"/>
              <w:ind w:firstLine="0" w:firstLineChars="0"/>
              <w:jc w:val="center"/>
              <w:rPr>
                <w:rFonts w:ascii="宋体" w:hAnsi="宋体" w:cs="宋体"/>
                <w:color w:val="auto"/>
                <w:kern w:val="2"/>
                <w:sz w:val="21"/>
                <w:szCs w:val="21"/>
                <w:highlight w:val="none"/>
              </w:rPr>
            </w:pPr>
            <w:r>
              <w:rPr>
                <w:rFonts w:hint="eastAsia" w:ascii="宋体" w:hAnsi="宋体" w:cs="宋体"/>
                <w:color w:val="auto"/>
                <w:sz w:val="21"/>
                <w:szCs w:val="21"/>
                <w:highlight w:val="none"/>
              </w:rPr>
              <w:t>1</w:t>
            </w:r>
          </w:p>
        </w:tc>
        <w:tc>
          <w:tcPr>
            <w:tcW w:w="982" w:type="pct"/>
            <w:vMerge w:val="continue"/>
            <w:tcBorders>
              <w:left w:val="single" w:color="000000" w:sz="4" w:space="0"/>
              <w:right w:val="single" w:color="000000" w:sz="4" w:space="0"/>
            </w:tcBorders>
            <w:shd w:val="clear" w:color="auto" w:fill="FFFFFF"/>
            <w:noWrap/>
            <w:vAlign w:val="center"/>
          </w:tcPr>
          <w:p>
            <w:pPr>
              <w:pStyle w:val="82"/>
              <w:ind w:firstLine="0" w:firstLineChars="0"/>
              <w:rPr>
                <w:rFonts w:ascii="宋体" w:hAnsi="宋体" w:cs="宋体"/>
                <w:color w:val="auto"/>
                <w:sz w:val="21"/>
                <w:szCs w:val="21"/>
                <w:highlight w:val="none"/>
              </w:rPr>
            </w:pPr>
          </w:p>
        </w:tc>
      </w:tr>
      <w:tr>
        <w:tblPrEx>
          <w:tblCellMar>
            <w:top w:w="0" w:type="dxa"/>
            <w:left w:w="108" w:type="dxa"/>
            <w:bottom w:w="0" w:type="dxa"/>
            <w:right w:w="108" w:type="dxa"/>
          </w:tblCellMar>
        </w:tblPrEx>
        <w:trPr>
          <w:trHeight w:val="640" w:hRule="atLeast"/>
          <w:jc w:val="center"/>
        </w:trPr>
        <w:tc>
          <w:tcPr>
            <w:tcW w:w="4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5</w:t>
            </w:r>
          </w:p>
        </w:tc>
        <w:tc>
          <w:tcPr>
            <w:tcW w:w="108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82"/>
              <w:ind w:firstLine="0" w:firstLineChars="0"/>
              <w:jc w:val="center"/>
              <w:rPr>
                <w:rFonts w:ascii="宋体" w:hAnsi="宋体" w:cs="宋体"/>
                <w:color w:val="auto"/>
                <w:kern w:val="2"/>
                <w:sz w:val="21"/>
                <w:szCs w:val="21"/>
                <w:highlight w:val="none"/>
              </w:rPr>
            </w:pPr>
            <w:r>
              <w:rPr>
                <w:rFonts w:hint="eastAsia" w:ascii="宋体" w:hAnsi="宋体" w:cs="宋体"/>
                <w:color w:val="auto"/>
                <w:sz w:val="21"/>
                <w:szCs w:val="21"/>
                <w:highlight w:val="none"/>
              </w:rPr>
              <w:t>应用服务器</w:t>
            </w:r>
          </w:p>
        </w:tc>
        <w:tc>
          <w:tcPr>
            <w:tcW w:w="14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82"/>
              <w:ind w:firstLine="0" w:firstLineChars="0"/>
              <w:jc w:val="center"/>
              <w:rPr>
                <w:rFonts w:ascii="宋体" w:hAnsi="宋体" w:cs="宋体"/>
                <w:color w:val="auto"/>
                <w:kern w:val="2"/>
                <w:sz w:val="21"/>
                <w:szCs w:val="21"/>
                <w:highlight w:val="none"/>
              </w:rPr>
            </w:pPr>
            <w:r>
              <w:rPr>
                <w:rFonts w:hint="eastAsia" w:ascii="宋体" w:hAnsi="宋体" w:cs="宋体"/>
                <w:color w:val="auto"/>
                <w:sz w:val="21"/>
                <w:szCs w:val="21"/>
                <w:highlight w:val="none"/>
              </w:rPr>
              <w:t>海康威视DS-VE22S-B</w:t>
            </w:r>
          </w:p>
        </w:tc>
        <w:tc>
          <w:tcPr>
            <w:tcW w:w="48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82"/>
              <w:ind w:firstLine="0" w:firstLineChars="0"/>
              <w:jc w:val="center"/>
              <w:rPr>
                <w:rFonts w:ascii="宋体" w:hAnsi="宋体" w:cs="宋体"/>
                <w:color w:val="auto"/>
                <w:kern w:val="2"/>
                <w:sz w:val="21"/>
                <w:szCs w:val="21"/>
                <w:highlight w:val="none"/>
              </w:rPr>
            </w:pPr>
            <w:r>
              <w:rPr>
                <w:rFonts w:hint="eastAsia" w:ascii="宋体" w:hAnsi="宋体" w:cs="宋体"/>
                <w:color w:val="auto"/>
                <w:sz w:val="21"/>
                <w:szCs w:val="21"/>
                <w:highlight w:val="none"/>
              </w:rPr>
              <w:t>台</w:t>
            </w:r>
          </w:p>
        </w:tc>
        <w:tc>
          <w:tcPr>
            <w:tcW w:w="5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82"/>
              <w:ind w:firstLine="0" w:firstLineChars="0"/>
              <w:jc w:val="center"/>
              <w:rPr>
                <w:rFonts w:ascii="宋体" w:hAnsi="宋体" w:cs="宋体"/>
                <w:color w:val="auto"/>
                <w:kern w:val="2"/>
                <w:sz w:val="21"/>
                <w:szCs w:val="21"/>
                <w:highlight w:val="none"/>
              </w:rPr>
            </w:pPr>
            <w:r>
              <w:rPr>
                <w:rFonts w:hint="eastAsia" w:ascii="宋体" w:hAnsi="宋体" w:cs="宋体"/>
                <w:color w:val="auto"/>
                <w:sz w:val="21"/>
                <w:szCs w:val="21"/>
                <w:highlight w:val="none"/>
              </w:rPr>
              <w:t>1</w:t>
            </w:r>
          </w:p>
        </w:tc>
        <w:tc>
          <w:tcPr>
            <w:tcW w:w="982" w:type="pct"/>
            <w:vMerge w:val="continue"/>
            <w:tcBorders>
              <w:left w:val="single" w:color="000000" w:sz="4" w:space="0"/>
              <w:right w:val="single" w:color="000000" w:sz="4" w:space="0"/>
            </w:tcBorders>
            <w:shd w:val="clear" w:color="auto" w:fill="FFFFFF"/>
            <w:noWrap/>
            <w:vAlign w:val="center"/>
          </w:tcPr>
          <w:p>
            <w:pPr>
              <w:pStyle w:val="82"/>
              <w:ind w:firstLine="0" w:firstLineChars="0"/>
              <w:rPr>
                <w:rFonts w:ascii="宋体" w:hAnsi="宋体" w:cs="宋体"/>
                <w:color w:val="auto"/>
                <w:sz w:val="21"/>
                <w:szCs w:val="21"/>
                <w:highlight w:val="none"/>
              </w:rPr>
            </w:pPr>
          </w:p>
        </w:tc>
      </w:tr>
      <w:tr>
        <w:tblPrEx>
          <w:tblCellMar>
            <w:top w:w="0" w:type="dxa"/>
            <w:left w:w="108" w:type="dxa"/>
            <w:bottom w:w="0" w:type="dxa"/>
            <w:right w:w="108" w:type="dxa"/>
          </w:tblCellMar>
        </w:tblPrEx>
        <w:trPr>
          <w:trHeight w:val="640" w:hRule="atLeast"/>
          <w:jc w:val="center"/>
        </w:trPr>
        <w:tc>
          <w:tcPr>
            <w:tcW w:w="4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6</w:t>
            </w:r>
          </w:p>
        </w:tc>
        <w:tc>
          <w:tcPr>
            <w:tcW w:w="108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82"/>
              <w:ind w:firstLine="0" w:firstLineChars="0"/>
              <w:jc w:val="center"/>
              <w:rPr>
                <w:rFonts w:ascii="宋体" w:hAnsi="宋体" w:cs="宋体"/>
                <w:color w:val="auto"/>
                <w:kern w:val="2"/>
                <w:sz w:val="21"/>
                <w:szCs w:val="21"/>
                <w:highlight w:val="none"/>
              </w:rPr>
            </w:pPr>
            <w:r>
              <w:rPr>
                <w:rFonts w:hint="eastAsia" w:ascii="宋体" w:hAnsi="宋体" w:cs="宋体"/>
                <w:color w:val="auto"/>
                <w:kern w:val="2"/>
                <w:sz w:val="21"/>
                <w:szCs w:val="21"/>
                <w:highlight w:val="none"/>
              </w:rPr>
              <w:t>服务器</w:t>
            </w:r>
          </w:p>
        </w:tc>
        <w:tc>
          <w:tcPr>
            <w:tcW w:w="14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82"/>
              <w:ind w:firstLine="0" w:firstLineChars="0"/>
              <w:jc w:val="center"/>
              <w:rPr>
                <w:rFonts w:ascii="宋体" w:hAnsi="宋体" w:cs="宋体"/>
                <w:color w:val="auto"/>
                <w:kern w:val="2"/>
                <w:sz w:val="21"/>
                <w:szCs w:val="21"/>
                <w:highlight w:val="none"/>
              </w:rPr>
            </w:pPr>
            <w:r>
              <w:rPr>
                <w:rFonts w:hint="eastAsia" w:ascii="宋体" w:hAnsi="宋体" w:cs="宋体"/>
                <w:color w:val="auto"/>
                <w:kern w:val="2"/>
                <w:sz w:val="21"/>
                <w:szCs w:val="21"/>
                <w:highlight w:val="none"/>
              </w:rPr>
              <w:t>旷世C3000-H2</w:t>
            </w:r>
          </w:p>
        </w:tc>
        <w:tc>
          <w:tcPr>
            <w:tcW w:w="48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82"/>
              <w:ind w:firstLine="0" w:firstLineChars="0"/>
              <w:jc w:val="center"/>
              <w:rPr>
                <w:rFonts w:ascii="宋体" w:hAnsi="宋体" w:cs="宋体"/>
                <w:color w:val="auto"/>
                <w:kern w:val="2"/>
                <w:sz w:val="21"/>
                <w:szCs w:val="21"/>
                <w:highlight w:val="none"/>
              </w:rPr>
            </w:pPr>
            <w:r>
              <w:rPr>
                <w:rFonts w:hint="eastAsia" w:ascii="宋体" w:hAnsi="宋体" w:cs="宋体"/>
                <w:color w:val="auto"/>
                <w:kern w:val="2"/>
                <w:sz w:val="21"/>
                <w:szCs w:val="21"/>
                <w:highlight w:val="none"/>
              </w:rPr>
              <w:t>台</w:t>
            </w:r>
          </w:p>
        </w:tc>
        <w:tc>
          <w:tcPr>
            <w:tcW w:w="5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82"/>
              <w:ind w:firstLine="0" w:firstLineChars="0"/>
              <w:jc w:val="center"/>
              <w:rPr>
                <w:rFonts w:ascii="宋体" w:hAnsi="宋体" w:cs="宋体"/>
                <w:color w:val="auto"/>
                <w:kern w:val="2"/>
                <w:sz w:val="21"/>
                <w:szCs w:val="21"/>
                <w:highlight w:val="none"/>
              </w:rPr>
            </w:pPr>
            <w:r>
              <w:rPr>
                <w:rFonts w:hint="eastAsia" w:ascii="宋体" w:hAnsi="宋体" w:cs="宋体"/>
                <w:color w:val="auto"/>
                <w:kern w:val="2"/>
                <w:sz w:val="21"/>
                <w:szCs w:val="21"/>
                <w:highlight w:val="none"/>
              </w:rPr>
              <w:t>1</w:t>
            </w:r>
          </w:p>
        </w:tc>
        <w:tc>
          <w:tcPr>
            <w:tcW w:w="982" w:type="pct"/>
            <w:vMerge w:val="continue"/>
            <w:tcBorders>
              <w:left w:val="single" w:color="000000" w:sz="4" w:space="0"/>
              <w:bottom w:val="single" w:color="000000" w:sz="4" w:space="0"/>
              <w:right w:val="single" w:color="000000" w:sz="4" w:space="0"/>
            </w:tcBorders>
            <w:shd w:val="clear" w:color="auto" w:fill="FFFFFF"/>
            <w:noWrap/>
            <w:vAlign w:val="center"/>
          </w:tcPr>
          <w:p>
            <w:pPr>
              <w:pStyle w:val="82"/>
              <w:ind w:firstLine="0" w:firstLineChars="0"/>
              <w:rPr>
                <w:rFonts w:ascii="宋体" w:hAnsi="宋体" w:cs="宋体"/>
                <w:color w:val="auto"/>
                <w:kern w:val="2"/>
                <w:sz w:val="21"/>
                <w:szCs w:val="21"/>
                <w:highlight w:val="none"/>
              </w:rPr>
            </w:pPr>
          </w:p>
        </w:tc>
      </w:tr>
    </w:tbl>
    <w:p>
      <w:pPr>
        <w:pStyle w:val="5"/>
        <w:ind w:left="0" w:firstLine="0"/>
        <w:rPr>
          <w:rFonts w:ascii="宋体" w:hAnsi="宋体" w:eastAsia="宋体" w:cs="宋体"/>
          <w:color w:val="auto"/>
          <w:sz w:val="24"/>
          <w:szCs w:val="24"/>
          <w:highlight w:val="none"/>
          <w:lang w:val="en-US"/>
        </w:rPr>
      </w:pPr>
      <w:bookmarkStart w:id="150" w:name="_Toc20249"/>
      <w:r>
        <w:rPr>
          <w:rFonts w:hint="eastAsia" w:ascii="宋体" w:hAnsi="宋体" w:eastAsia="宋体" w:cs="宋体"/>
          <w:color w:val="auto"/>
          <w:sz w:val="24"/>
          <w:szCs w:val="24"/>
          <w:highlight w:val="none"/>
          <w:lang w:val="en-US"/>
        </w:rPr>
        <w:t>3、接入平台功能设计</w:t>
      </w:r>
      <w:bookmarkEnd w:id="150"/>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视频集中管理</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视频集中管理主要包括实时图像点播、图像检索回放等功能，具体如下：</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实时图像点播</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平台能按照指定设备、指定通道进行图像的实时点播，支持点播图像的显示、缩放、抓拍和录像，支持多用户对同一图像资源的同时点播，支持各种画面组合显示，并通过云台的控制，调整监控视角和范围。</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1）组合显示</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平台支持多种画面组合显示，除了支持标准的1*1、2*2等常规组合外，可以自定义设置显示组合方式。</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2）轮巡设置</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对于某些组合监控的场景，例如某某路口一共有4路监控，从不同的角度进行拍摄，可以将这4路监控保存为一个任务，当开始这个任务时，平台可以将这4路监控按预先排列好的方式展现到监控画面上，方便对特定监控场景的快速打开，也可以通过轮巡功能，设定固定几个监控画面进行单屏循环播放。</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3）云台控制</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平台具备全景云台功能，能在实时监控界面上显示全景画面，通过鼠标点击或框选全景画面的位置，可快速操控球机转动，实现目标的持续跟踪。</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4）即时回放</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平台提供即时回放功能，可以在观看实时画面的同时，调取之前至少15秒的录像（可设置录像时间长度），通过画中画显示实时视频和录像视频。</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5）画面质量</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平台提供视频画面质量调整，可以调节选中视频画面的亮度、对比度、饱和度、色调，从而将视频画面调整到最佳状态，方便查看分析。</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6）树形组织</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平台能够按照主管部门的组织架构，按照树形结构进行排列，并实时显示在线监控数量。平台也支持按照通道名称或IP显示对通道进行排列。</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7）模糊搜索</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支持根据通道名称或者拼音首字母进行模糊搜索缩小范围，快速定位需要的视频通道。</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图像检索回放</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能按照指定设备、通道、时间、报警信息等要素检索历史图像资料并回放和下载，回放支持正常播放、快速播放、慢速播放、进退、画面暂停、图像抓拍等、录像切换播放。</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1）录像查看</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支持前端按设备录像、中心录像和时间片的查询，回放和下载，最多支持35路不同的录像同时回放，可把多路通道选入到多路回放列表中，同时进行录像查询和回放。</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2）录像下载</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可以对录像进行剪辑下载，任何一段连续时间的录像都可以下载保存一个或者多个文件，所保存的文件命名包含监控点名称和时间，并保存在指定的目录中，支持多个录像文件的合并。</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支持对不同通道录像回放同时下载、同时多路下载、某段录像下载过程中增加其他下载内容，下载过程可以人为停止。</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录像文件可支持转换成DAV、AVI媒体文件格式。</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3）图片抓拍</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录像回放时可以随时进行抓拍，也可设置连续抓图的时间间隔与连续抓图的张数，并将图片保存至本地；同时，图片保存时记录文字信息。</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4）切片回放</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平台支持分段预览，将一个通道的视频按时间等分成几个不同的片段，在多屏中同时播放。</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5）录像倒放</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平台支持录像回放倒放，倒放快进，逐帧倒放多种方式播放录像；支持1/64-64倍数的全帧倒放，可有效减少因倒放导致的目标丢失。</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6）锁定与解锁</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在录像回放界面，可以锁定某段录像，并且填写锁定原因。所有被锁定的录像都可在录像锁定处查询得到，还可以在此处进行解锁操作。</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7）电子放大</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在操作录像回放设备画面时，如果需要重点关注视频某个局部画面或可疑目标，可对正在播放的视频进行局部放大和画面拖曳。</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视频统一调用</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社会面视频图像汇聚平台视频统一推送至区公共安全视频图像信息共享平台公安分平台进行统一共享、按需推送。</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权限管理</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角色管理：可以定义，修改，删除具体角色及其权限，可定义若干角色为系统权限、包含权限和排除权限。可根据不同的用户权限需要进行不同的授权。</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系统权限：用于定义角色为特定的某些功能权限的集合，包含权限用于定义角色对于某些设备资源具有访问权，排除权限用于定义角色对于某些设备资源不具有访问权。</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系统管理</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系统管理包括基本管理、报表与日志管理、设备管理和系统设置等功能，具体如下：</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基本管理</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组织机构：可以定义，增加，修改以及删除组织树上的若干级组织机构，可以增加子机构以及所辖的前端设备、监控终端、用户。管理员可根据组织机构的类型的不同添加不同类型的二级机构。</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用户管理：可在相对应的机构下面增加一个用户，可以对用户的信息进行描述，包括云台的控制级别，手机，邮箱，用户名的有效时间，和是否停用或启用。对添加的用户可以进行修改，删除，角色关联，级联设置，及用户查询。</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报表与日志管理</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统计报表：支持统计某个时刻所有在线用户的信息，包括用户名、登录的IP地址、登录的时间和所属的机构等。支持对所有的设备和通道按照所在的机构进行统计，包括设备总数、通道总数和已经启用的通道数量等，可以生成报表并导出。</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系统日志：用户可搜索查询用户访问操作日志，包括日志来源、等级、操作用户、操作者IP地址和具体的操作内容，设备所属的组织、设备的名称、访问的端口、具体操作内容和操作结果等，可以生成报表并导出。</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用户可查询统计最近一次设备状态巡检的统计日志。</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用户可查询检索任何一级机构下的报警信息记录，可以按照报警源、报警等级、报警类型和报警时间组合查询，可以生成报表并导出。</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设备管理</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设备管理：支持添加IP摄像头、数字化编码设备和报警设备，添加设备时需选择设备类型、设备型号、生产厂家、联系人、联系电话、购买日期、保修期限等信息；可远程设置设备参数，可设置的内容决定于设备厂商SDK的支持。</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流媒体管理：可以配置流媒体服务设备转发参数，系统管理平台可设置若干个流媒体服务，每个流媒体服务需设置服务名称、IP地址、端口、所关联的客户端IP段、最大带宽参数；系统通过判断客户端软件所属的IP地址范围和访问的视频图像的不同，自动通过某个流媒体服务设备转发，并且可指定用户可使用的最大并发连接数和带宽。</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系统设置</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视频设置：可设置网络客户端访问的视频流参数，设置为分主码流及子码流。主码流即相对码流值图像清晰度较高的码流，相对应的带宽要求也较高，子码流即相对码流值清晰度较低，但对带宽要求也较低。</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级联设置：在多个平台构造的环境中，需要系统级联时，可在级联设置功能中指定上下级别关系即可实现系统级联。</w:t>
      </w:r>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菜单设置：自定义系统菜单，增加、编辑修改和删除菜单，可以输入自定义菜单的名称、菜单图标、定义菜单执行的动作包括URL链接，选择菜单的等级。</w:t>
      </w:r>
    </w:p>
    <w:p>
      <w:pPr>
        <w:pStyle w:val="5"/>
        <w:spacing w:line="240" w:lineRule="auto"/>
        <w:ind w:left="0" w:firstLine="0"/>
        <w:rPr>
          <w:rFonts w:ascii="宋体" w:hAnsi="宋体" w:eastAsia="宋体" w:cs="宋体"/>
          <w:color w:val="auto"/>
          <w:sz w:val="24"/>
          <w:szCs w:val="24"/>
          <w:highlight w:val="none"/>
          <w:lang w:val="en-US"/>
        </w:rPr>
      </w:pPr>
      <w:bookmarkStart w:id="151" w:name="_Toc2268"/>
      <w:bookmarkStart w:id="152" w:name="_Toc20167"/>
      <w:r>
        <w:rPr>
          <w:rFonts w:hint="eastAsia" w:ascii="宋体" w:hAnsi="宋体" w:eastAsia="宋体" w:cs="宋体"/>
          <w:color w:val="auto"/>
          <w:sz w:val="24"/>
          <w:szCs w:val="24"/>
          <w:highlight w:val="none"/>
          <w:lang w:val="en-US"/>
        </w:rPr>
        <w:t>（七）社会面图像</w:t>
      </w:r>
      <w:bookmarkEnd w:id="151"/>
      <w:r>
        <w:rPr>
          <w:rFonts w:hint="eastAsia" w:ascii="宋体" w:hAnsi="宋体" w:eastAsia="宋体" w:cs="宋体"/>
          <w:color w:val="auto"/>
          <w:sz w:val="24"/>
          <w:szCs w:val="24"/>
          <w:highlight w:val="none"/>
          <w:lang w:val="en-US"/>
        </w:rPr>
        <w:t>接入转发系统建设</w:t>
      </w:r>
      <w:bookmarkEnd w:id="152"/>
    </w:p>
    <w:p>
      <w:pPr>
        <w:pStyle w:val="63"/>
        <w:rPr>
          <w:rFonts w:hAnsi="宋体" w:cs="宋体"/>
          <w:color w:val="auto"/>
          <w:sz w:val="21"/>
          <w:szCs w:val="21"/>
          <w:highlight w:val="none"/>
          <w:lang w:val="en-US"/>
        </w:rPr>
      </w:pPr>
      <w:r>
        <w:rPr>
          <w:rFonts w:hint="eastAsia" w:hAnsi="宋体" w:cs="宋体"/>
          <w:color w:val="auto"/>
          <w:sz w:val="21"/>
          <w:szCs w:val="21"/>
          <w:highlight w:val="none"/>
          <w:lang w:val="en-US"/>
        </w:rPr>
        <w:t>本次社会面图像接入转发系统，在已有的高新区疫情防控“小门”无感智控平台基础上进行升级改造，因政务外网侧小门接入系统已完成三级等保改造，并且建有电子政务外网向区公共安全视频传输网的数据安全边界，对其进行改造升级，具备社会面支持基于视图库标准协议（GA/T1400）和私有协议等进行人脸、车辆、人体数据和道闸、门禁、访客等数据的接入能力，保证社会面图像资源的安全合规规范接入，最后按照规范要求，利用此次项目整合的高新公安多维数据接入转发系统将图像数据送至到高新区合成作战中心智能解析应用进行存储和应用。</w:t>
      </w:r>
    </w:p>
    <w:p>
      <w:pPr>
        <w:pStyle w:val="6"/>
        <w:tabs>
          <w:tab w:val="left" w:pos="0"/>
          <w:tab w:val="left" w:pos="993"/>
          <w:tab w:val="clear" w:pos="864"/>
        </w:tabs>
        <w:spacing w:line="240" w:lineRule="auto"/>
        <w:ind w:left="588"/>
        <w:rPr>
          <w:rFonts w:ascii="宋体" w:hAnsi="宋体" w:eastAsia="宋体" w:cs="宋体"/>
          <w:color w:val="auto"/>
          <w:sz w:val="24"/>
          <w:szCs w:val="24"/>
          <w:highlight w:val="none"/>
          <w:lang w:val="en-US"/>
        </w:rPr>
      </w:pPr>
      <w:bookmarkStart w:id="153" w:name="_Toc25678"/>
      <w:bookmarkStart w:id="154" w:name="_Toc22351"/>
      <w:bookmarkStart w:id="155" w:name="_Toc31379"/>
      <w:r>
        <w:rPr>
          <w:rFonts w:hint="eastAsia" w:ascii="宋体" w:hAnsi="宋体" w:eastAsia="宋体" w:cs="宋体"/>
          <w:color w:val="auto"/>
          <w:sz w:val="24"/>
          <w:szCs w:val="24"/>
          <w:highlight w:val="none"/>
          <w:lang w:val="en-US"/>
        </w:rPr>
        <w:t>1、系统总体设计</w:t>
      </w:r>
      <w:bookmarkEnd w:id="153"/>
      <w:bookmarkEnd w:id="154"/>
    </w:p>
    <w:p>
      <w:pPr>
        <w:pStyle w:val="6"/>
        <w:tabs>
          <w:tab w:val="left" w:pos="0"/>
          <w:tab w:val="left" w:pos="993"/>
          <w:tab w:val="clear" w:pos="864"/>
        </w:tabs>
        <w:spacing w:line="240" w:lineRule="auto"/>
        <w:rPr>
          <w:rFonts w:ascii="宋体" w:hAnsi="宋体" w:eastAsia="宋体" w:cs="宋体"/>
          <w:color w:val="auto"/>
          <w:sz w:val="24"/>
          <w:szCs w:val="24"/>
          <w:highlight w:val="none"/>
          <w:lang w:val="en-US"/>
        </w:rPr>
      </w:pPr>
      <w:r>
        <w:rPr>
          <w:rFonts w:hint="eastAsia" w:ascii="宋体" w:hAnsi="宋体" w:cs="宋体"/>
          <w:color w:val="auto"/>
          <w:sz w:val="24"/>
          <w:szCs w:val="24"/>
          <w:highlight w:val="none"/>
          <w:lang w:val="en-US"/>
        </w:rPr>
        <w:t>1.</w:t>
      </w:r>
      <w:r>
        <w:rPr>
          <w:rFonts w:hint="eastAsia" w:ascii="宋体" w:hAnsi="宋体" w:eastAsia="宋体" w:cs="宋体"/>
          <w:color w:val="auto"/>
          <w:sz w:val="24"/>
          <w:szCs w:val="24"/>
          <w:highlight w:val="none"/>
          <w:lang w:val="en-US"/>
        </w:rPr>
        <w:t>1软件架构</w:t>
      </w:r>
    </w:p>
    <w:p>
      <w:pPr>
        <w:ind w:left="210" w:leftChars="100"/>
        <w:jc w:val="right"/>
        <w:rPr>
          <w:color w:val="auto"/>
          <w:sz w:val="24"/>
          <w:highlight w:val="none"/>
        </w:rPr>
      </w:pPr>
      <w:r>
        <w:rPr>
          <w:rFonts w:hint="eastAsia"/>
          <w:color w:val="auto"/>
          <w:sz w:val="24"/>
          <w:highlight w:val="none"/>
        </w:rPr>
        <w:object>
          <v:shape id="_x0000_i1025" o:spt="75" type="#_x0000_t75" style="height:318.1pt;width:386.1pt;" o:ole="t" filled="f" o:preferrelative="t" stroked="f" coordsize="21600,21600">
            <v:path/>
            <v:fill on="f" focussize="0,0"/>
            <v:stroke on="f" joinstyle="miter"/>
            <v:imagedata r:id="rId30" o:title=""/>
            <o:lock v:ext="edit" aspectratio="f"/>
            <w10:wrap type="none"/>
            <w10:anchorlock/>
          </v:shape>
          <o:OLEObject Type="Embed" ProgID="Visio.Drawing.11" ShapeID="_x0000_i1025" DrawAspect="Content" ObjectID="_1468075725">
            <o:LockedField>false</o:LockedField>
          </o:OLEObject>
        </w:objec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社会面图像接入转发系统软件架构由基础设施体系、数据资源体系、应用支撑体系、业务应用体系和端口组成。</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基础设施体系：前端人脸抓拍机等图像数据、其他流口数据、实名制、门禁和车闸等物联网传感器通过政务网、视频专网等网络，将传感器数据分布存储于系统数据库。</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数据资源体系：该体系项目数据库、门禁数据库、车闸数据库、流口数据库等组成，并对外提供项目实名制、流口、门禁、车闸等标准接口。</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应用支撑体系：应用支撑体系由目录管理、用户权限、消息服务等组成，为业务应用体系提供数据支撑。</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业务应用体系：应用支撑体系由项目管理、门禁管理、车闸管理、流口管理、实名制管理等应用模块组成，为社会面图像接入转发系统提供软件功能。</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端口：应用端口主要为政务网和公安信息网终端用户提供访问接口。</w:t>
      </w:r>
    </w:p>
    <w:p>
      <w:pPr>
        <w:pStyle w:val="6"/>
        <w:tabs>
          <w:tab w:val="left" w:pos="0"/>
          <w:tab w:val="left" w:pos="993"/>
          <w:tab w:val="clear" w:pos="864"/>
        </w:tabs>
        <w:spacing w:line="240" w:lineRule="auto"/>
        <w:rPr>
          <w:rFonts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1.2网络架构</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社会面图像接入转发系统网络涉及有电子政务外网、区公共安全视频传输网和公安信息网三部分组成。</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电子政务外网主要依托于原“小门”平台基础资源进行软件开发和部署，政务网侧主要是部署接入系统与前端第三方管理系统，然后通过数据安全边界将数据推送至区公共安全视频传输网的无感小门平台。</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区公共安全视频传输网侧无感小门平台不变，主要是接收来自电子政务外网侧的数据，并且即时将图像数据摆渡至多维数据接入转发系统，由多维数据接入转发系统统一摆渡至区公安信息网合成作战中心的智能解析应用，实现数据安全存储。整体改造如下图：</w:t>
      </w:r>
    </w:p>
    <w:p>
      <w:pPr>
        <w:pStyle w:val="64"/>
        <w:ind w:left="0" w:leftChars="0" w:firstLine="0" w:firstLineChars="0"/>
        <w:rPr>
          <w:color w:val="auto"/>
          <w:highlight w:val="none"/>
        </w:rPr>
      </w:pPr>
      <w:r>
        <w:rPr>
          <w:color w:val="auto"/>
          <w:highlight w:val="none"/>
        </w:rPr>
        <w:drawing>
          <wp:inline distT="0" distB="0" distL="114300" distR="114300">
            <wp:extent cx="5261610" cy="3089910"/>
            <wp:effectExtent l="0" t="0" r="15240" b="15240"/>
            <wp:docPr id="46" name="图片 46" descr="社会面图像汇聚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社会面图像汇聚平台"/>
                    <pic:cNvPicPr>
                      <a:picLocks noChangeAspect="1"/>
                    </pic:cNvPicPr>
                  </pic:nvPicPr>
                  <pic:blipFill>
                    <a:blip r:embed="rId31"/>
                    <a:stretch>
                      <a:fillRect/>
                    </a:stretch>
                  </pic:blipFill>
                  <pic:spPr>
                    <a:xfrm>
                      <a:off x="0" y="0"/>
                      <a:ext cx="5261610" cy="3089910"/>
                    </a:xfrm>
                    <a:prstGeom prst="rect">
                      <a:avLst/>
                    </a:prstGeom>
                  </pic:spPr>
                </pic:pic>
              </a:graphicData>
            </a:graphic>
          </wp:inline>
        </w:drawing>
      </w:r>
    </w:p>
    <w:p>
      <w:pPr>
        <w:pStyle w:val="6"/>
        <w:tabs>
          <w:tab w:val="left" w:pos="0"/>
          <w:tab w:val="left" w:pos="993"/>
          <w:tab w:val="clear" w:pos="864"/>
        </w:tabs>
        <w:spacing w:line="24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1.3安全接入</w:t>
      </w:r>
    </w:p>
    <w:p>
      <w:pPr>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rPr>
        <w:t>社会面图像接入转发系统利旧已有的的电子政务外网</w:t>
      </w:r>
      <w:r>
        <w:rPr>
          <w:rFonts w:hint="eastAsia" w:ascii="宋体" w:hAnsi="宋体" w:cs="宋体"/>
          <w:color w:val="auto"/>
          <w:szCs w:val="21"/>
          <w:highlight w:val="none"/>
          <w:lang w:val="zh-CN"/>
        </w:rPr>
        <w:t>与区</w:t>
      </w:r>
      <w:r>
        <w:rPr>
          <w:rFonts w:hint="eastAsia" w:ascii="宋体" w:hAnsi="宋体" w:cs="宋体"/>
          <w:color w:val="auto"/>
          <w:szCs w:val="21"/>
          <w:highlight w:val="none"/>
        </w:rPr>
        <w:t>公共安全视频传输网</w:t>
      </w:r>
      <w:r>
        <w:rPr>
          <w:rFonts w:hint="eastAsia" w:ascii="宋体" w:hAnsi="宋体" w:cs="宋体"/>
          <w:color w:val="auto"/>
          <w:szCs w:val="21"/>
          <w:highlight w:val="none"/>
          <w:lang w:val="zh-CN"/>
        </w:rPr>
        <w:t>之间部署</w:t>
      </w:r>
      <w:r>
        <w:rPr>
          <w:rFonts w:hint="eastAsia" w:ascii="宋体" w:hAnsi="宋体" w:cs="宋体"/>
          <w:color w:val="auto"/>
          <w:szCs w:val="21"/>
          <w:highlight w:val="none"/>
        </w:rPr>
        <w:t>得网闸、防火墙</w:t>
      </w:r>
      <w:r>
        <w:rPr>
          <w:rFonts w:hint="eastAsia" w:ascii="宋体" w:hAnsi="宋体" w:cs="宋体"/>
          <w:color w:val="auto"/>
          <w:szCs w:val="21"/>
          <w:highlight w:val="none"/>
          <w:lang w:val="zh-CN"/>
        </w:rPr>
        <w:t>，实现</w:t>
      </w:r>
      <w:r>
        <w:rPr>
          <w:rFonts w:hint="eastAsia" w:ascii="宋体" w:hAnsi="宋体" w:cs="宋体"/>
          <w:color w:val="auto"/>
          <w:szCs w:val="21"/>
          <w:highlight w:val="none"/>
        </w:rPr>
        <w:t>电子政务外网</w:t>
      </w:r>
      <w:r>
        <w:rPr>
          <w:rFonts w:hint="eastAsia" w:ascii="宋体" w:hAnsi="宋体" w:cs="宋体"/>
          <w:color w:val="auto"/>
          <w:szCs w:val="21"/>
          <w:highlight w:val="none"/>
          <w:lang w:val="zh-CN"/>
        </w:rPr>
        <w:t>和区</w:t>
      </w:r>
      <w:r>
        <w:rPr>
          <w:rFonts w:hint="eastAsia" w:ascii="宋体" w:hAnsi="宋体" w:cs="宋体"/>
          <w:color w:val="auto"/>
          <w:szCs w:val="21"/>
          <w:highlight w:val="none"/>
        </w:rPr>
        <w:t>公共安全视频传输网</w:t>
      </w:r>
      <w:r>
        <w:rPr>
          <w:rFonts w:hint="eastAsia" w:ascii="宋体" w:hAnsi="宋体" w:cs="宋体"/>
          <w:color w:val="auto"/>
          <w:szCs w:val="21"/>
          <w:highlight w:val="none"/>
          <w:lang w:val="zh-CN"/>
        </w:rPr>
        <w:t>的隔离。业务数据通过物理隔离、协议隔离、内容隔离等措施确保在进行数据传送的同时，有害数据信息不会进入区</w:t>
      </w:r>
      <w:r>
        <w:rPr>
          <w:rFonts w:hint="eastAsia" w:ascii="宋体" w:hAnsi="宋体" w:cs="宋体"/>
          <w:color w:val="auto"/>
          <w:szCs w:val="21"/>
          <w:highlight w:val="none"/>
        </w:rPr>
        <w:t>公共安全视频传输网</w:t>
      </w:r>
      <w:r>
        <w:rPr>
          <w:rFonts w:hint="eastAsia" w:ascii="宋体" w:hAnsi="宋体" w:cs="宋体"/>
          <w:color w:val="auto"/>
          <w:szCs w:val="21"/>
          <w:highlight w:val="none"/>
          <w:lang w:val="zh-CN"/>
        </w:rPr>
        <w:t>内，在隔离网闸内端机与外端机上做TCP/IP协议封装解封装，然后通过内置专用隔离硬件进行数据摆渡，有效地隔断与电子政务外网之间的直接连接，实现</w:t>
      </w:r>
      <w:r>
        <w:rPr>
          <w:rFonts w:hint="eastAsia" w:ascii="宋体" w:hAnsi="宋体" w:cs="宋体"/>
          <w:color w:val="auto"/>
          <w:szCs w:val="21"/>
          <w:highlight w:val="none"/>
        </w:rPr>
        <w:t>社会面图像数据资源</w:t>
      </w:r>
      <w:r>
        <w:rPr>
          <w:rFonts w:hint="eastAsia" w:ascii="宋体" w:hAnsi="宋体" w:cs="宋体"/>
          <w:color w:val="auto"/>
          <w:szCs w:val="21"/>
          <w:highlight w:val="none"/>
          <w:lang w:val="zh-CN"/>
        </w:rPr>
        <w:t>的</w:t>
      </w:r>
      <w:r>
        <w:rPr>
          <w:rFonts w:hint="eastAsia" w:ascii="宋体" w:hAnsi="宋体" w:cs="宋体"/>
          <w:color w:val="auto"/>
          <w:szCs w:val="21"/>
          <w:highlight w:val="none"/>
        </w:rPr>
        <w:t>安全传输</w:t>
      </w:r>
      <w:r>
        <w:rPr>
          <w:rFonts w:hint="eastAsia" w:ascii="宋体" w:hAnsi="宋体" w:cs="宋体"/>
          <w:color w:val="auto"/>
          <w:szCs w:val="21"/>
          <w:highlight w:val="none"/>
          <w:lang w:val="zh-CN"/>
        </w:rPr>
        <w:t>。</w:t>
      </w:r>
    </w:p>
    <w:p>
      <w:pPr>
        <w:pStyle w:val="6"/>
        <w:tabs>
          <w:tab w:val="left" w:pos="0"/>
          <w:tab w:val="left" w:pos="993"/>
          <w:tab w:val="clear" w:pos="864"/>
        </w:tabs>
        <w:spacing w:line="240" w:lineRule="auto"/>
        <w:rPr>
          <w:rFonts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1.4电子政务外网侧升级模块</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此次社会面图像接入转发系统通过无感小门电子政务外网侧增加前端人脸抓拍机等图像数据、门禁道闸访客机和车辆道闸数据接入功能模块完成社会面图像资源数据的接入。</w:t>
      </w:r>
    </w:p>
    <w:p>
      <w:pPr>
        <w:pStyle w:val="6"/>
        <w:tabs>
          <w:tab w:val="left" w:pos="0"/>
          <w:tab w:val="left" w:pos="993"/>
          <w:tab w:val="clear" w:pos="864"/>
        </w:tabs>
        <w:spacing w:line="240" w:lineRule="auto"/>
        <w:rPr>
          <w:rFonts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1.5区公共安全视频传输网侧数据资源模块改造</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此次社会面图像接入转发系统通过无感小门区公共安全视频传输网侧平台原有数据资源模块的改造，增加对前端人脸抓拍机等图像、门禁道闸访客机和车辆道闸接入数据的标准化治理模块，使图像数据符合应用标准。</w:t>
      </w:r>
    </w:p>
    <w:p>
      <w:pPr>
        <w:pStyle w:val="5"/>
        <w:spacing w:line="240" w:lineRule="auto"/>
        <w:ind w:left="109" w:leftChars="5" w:hanging="99" w:hangingChars="41"/>
        <w:rPr>
          <w:rFonts w:ascii="宋体" w:hAnsi="宋体" w:eastAsia="宋体" w:cs="宋体"/>
          <w:color w:val="auto"/>
          <w:sz w:val="24"/>
          <w:szCs w:val="24"/>
          <w:highlight w:val="none"/>
          <w:lang w:val="en-US"/>
        </w:rPr>
      </w:pPr>
      <w:bookmarkStart w:id="156" w:name="_Toc21315"/>
      <w:r>
        <w:rPr>
          <w:rFonts w:hint="eastAsia" w:ascii="宋体" w:hAnsi="宋体" w:eastAsia="宋体" w:cs="宋体"/>
          <w:color w:val="auto"/>
          <w:sz w:val="24"/>
          <w:szCs w:val="24"/>
          <w:highlight w:val="none"/>
          <w:lang w:val="en-US"/>
        </w:rPr>
        <w:t>2、平台功能升级改造详细设计</w:t>
      </w:r>
      <w:bookmarkEnd w:id="156"/>
    </w:p>
    <w:p>
      <w:pPr>
        <w:pStyle w:val="6"/>
        <w:tabs>
          <w:tab w:val="left" w:pos="0"/>
          <w:tab w:val="left" w:pos="993"/>
          <w:tab w:val="clear" w:pos="864"/>
        </w:tabs>
        <w:spacing w:line="240" w:lineRule="auto"/>
        <w:rPr>
          <w:rFonts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2.1平台总览</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原小门主页总览改造：本项目在小门原有功能基础上进行升级改造，人脸抓拍主页总览在满足原有功能外，根据本次人脸接入抓拍对象，系统可对所抓拍人日常出入点频次分析、人（脸）自画像、网格化统计、人流统计、人脸设备管理等进行统计，系统自动生成分析图表，展示于主页。</w:t>
      </w:r>
    </w:p>
    <w:p>
      <w:pPr>
        <w:pStyle w:val="6"/>
        <w:tabs>
          <w:tab w:val="left" w:pos="0"/>
          <w:tab w:val="left" w:pos="993"/>
          <w:tab w:val="clear" w:pos="864"/>
        </w:tabs>
        <w:spacing w:line="240" w:lineRule="auto"/>
        <w:rPr>
          <w:rFonts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2.2人脸数据接入</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人脸数据接入主要把全区社会面各类人脸抓拍机图片接入社会面图像接入转发系统进行汇聚；通过系统对前端人脸抓拍机等设备进行区域划分、数量等进行接入管理。</w:t>
      </w:r>
    </w:p>
    <w:p>
      <w:pPr>
        <w:pStyle w:val="6"/>
        <w:tabs>
          <w:tab w:val="left" w:pos="0"/>
          <w:tab w:val="left" w:pos="993"/>
          <w:tab w:val="clear" w:pos="864"/>
        </w:tabs>
        <w:spacing w:line="240" w:lineRule="auto"/>
        <w:rPr>
          <w:rFonts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2.3车辆道闸接入</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社会面图像接入转发系统将高新区社会面停车道闸系统通过SDK或API接口方式进行系统对接，实现数据的接入并转发。并且可以对接入的设备从设备厂商基础信息维护、设备准入、设备档案、等进行接入管理。</w:t>
      </w:r>
    </w:p>
    <w:p>
      <w:pPr>
        <w:pStyle w:val="6"/>
        <w:tabs>
          <w:tab w:val="left" w:pos="0"/>
          <w:tab w:val="left" w:pos="993"/>
          <w:tab w:val="clear" w:pos="864"/>
        </w:tabs>
        <w:spacing w:line="240" w:lineRule="auto"/>
        <w:rPr>
          <w:rFonts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2.4门禁道闸、访客机接入</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社会面图像接入转发系统将高新区社会面门禁道闸、访客机设备通过系统SDK或API接口方式进行对接，实现数据的接入并转发。</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通过系统管理可汇总查询设备接入情况。</w:t>
      </w:r>
    </w:p>
    <w:p>
      <w:pPr>
        <w:pStyle w:val="6"/>
        <w:tabs>
          <w:tab w:val="left" w:pos="0"/>
          <w:tab w:val="left" w:pos="993"/>
          <w:tab w:val="clear" w:pos="864"/>
        </w:tabs>
        <w:spacing w:line="240" w:lineRule="auto"/>
        <w:rPr>
          <w:rFonts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2.5数据资源建设</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数据接入</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通过租赁链路与人脸、门禁道闸、车辆道闸所在网络平台服务器进行对接，实现数据接入。平台接入数据时采用HTTP协议进行请求，使用特定的算法和加密方式（比如sha1等）计算并进行合法性验证，保证文件的完整性与安全性。</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（一）接入过程</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客户端通过REGISTER方法向服务器注册，这个过程会验证账户和密码信息，可能会多一个消息来回（401unauthorized和带密码信息的register）；2.注册完成后，客户端向服务器发送MESSAGE进行保活和其他信息交流，消息体为XML格式，一般有Catalog和Keepalive等类型；3.服务器端收到请求后向客户端发起会话要求，标准的INVITE流程；4.客户端或者服务器端发起BYE消息结束会话。</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（二）接入实现</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SIP接入流程中，服务器需要应答的几种消息有：REGISTER/MESSAGE/200OK，需要主动发出的消息有INVITE。因此，修改example_server.go中的主要涉及的点有：1.消息处理循环中，新增MESSAGE消息回200OK；2.服务启动的时候监听媒体接收端口；3.在设备完成注册后，主动发出INVITE以完成会话流程，让管理平台持续发来各类数据。</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数据同步</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社会面图像接入转发系统与多平台、多设备进行互联互通，通过软硬件方式进行数据通信，由于网络或时钟等因素极易产生异步数据，平台通过建立数据同步机制，确保数据同步及时性和准确性。数据里包含处理数据（逻辑数据）、数据库数据（mysql、redis等）等文件，处理数据同步时，依据系统数据同步方案自动执行。具体如下：</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方案一：处理数据（逻辑数据），此数据有可能是在系统执行后，为了展示且没有进行存储，但是又需要传输的数据，通过开放接口（OpenAPI）进行传输；对于逻辑处理复杂、或者数据量较大时，需结合Mq或者自定义方法设计出生产者/消费者模式。</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方案二：数据库，数据库可利用Mysql的主从模式进行同步，也可采用开放接口进行拿--&gt;推--&gt;接收--&gt;存储，Redis也可采用此方法。</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方案三：文件，首先保证每个文件的Url都有存储，其次根据文件服务器的类型采用不同的同步方式，比如常见的有Minio、oss等。</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此次项目根据对接设备系统的不同情况，优先采用方案二、三进行数据同步。</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数据整合</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社会面图像接入转发系统将现有前端和后端多平台图像数据进行数据整合，把分布于各网段内部各中数据进行整理、分析和统一管理。</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据整合技术是虚拟现实技术的一个分支，也可以说是虚拟现实的一个发展阶段。融合技术指将一个或多个由采集设备采集的关于某场景或模型的图像序列视频与一个与之相关的虚拟场景加以融合，以生成一个新的关于此场景的虚拟场景或模型。</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社会面图像接入转发系统图像融合技术分为三个层次，即预处理、信息融合与应用层。如下图所示：</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预处理技术主要用来对图像进行几何校正、噪声消除、色彩；亮度调整及配准等等。图像配准是指找到图像与三维虚拟场景的最大相关，以消除图像在空间、相位和分辨率等方向的信息差异，达到融合更真实，信息更准确的目的。信息融合层即图像的融合。图像融合由智能度由低向高可以分为像素级、特征级、决策级融合等。像素级融合指基于图像像素进行拼接融合，是两个或两个以上的图像融合成为一个整体。特征级融合以图形的明显特征，如线条、建筑等特征为基础进行图像的拼接与融合。决策级融合使用贝叶斯法、D-S证据法等数学算法进行概率决策，依此进行视频或图像融合，更适应于主观要求。</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综合评估及应用与三维模型融合后，对融合结果给出评价并将融合后的信息体进行实践应用。</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数据关联</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利用社会面图像接入转发系统将分布于电子政务外网安全接入区内的各种图像数据和其他数据进行数据标识后，按照数据标识进行对应数据关联，增加系统数据可用性。</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图像数据关联方法包括使用获取待关联数据的图像标识和该待关联数据对应的媒体id;判断待关联数据的图像标识与已关联的数据的图像标识之间的相似度,已关联的数据为数据对应的媒体id已关联到对应的全局ID;当待关联数据的标识与一个已关联的数据的图像标识之间的相似度在阈值范围内,则将待关联数据对应的媒体id关联到该已关联的数据对应的全局ID。本方案通过获取待关联数据的图像标识,确定相同的数据,并将相同数据的不同媒体id关联到同一全局ID,从而实现不同媒体平台数据的有效关联。</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同步任务集群</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社会面图像接入转发系统分布多种异构数据，通过平台同步任务集群对其进行管理，形成集群任务管理。</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针对本项目中的海量接入与大并发等需求，此次项目采用EasyCVR集群方案，集群方案细节如下：</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EasyCVR集群方案</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具有集群功能，可实现多节点在一个数据库内相互调用</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拥有国标设备离线记录，平台可分析判断设备离线原因</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具备EasyGBS平台的所有转发能力</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EasyCVR的以下能力能够完美解决大接入、大并发场景中存在的问题：</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1）汇聚能力</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能够将分散的设备、平台等资源统一接入与集中管理，实现资源的最大化应用。EasyCVR可兼容市面上几乎所有的编码器等设备，支持多协议接入，支持RTSP/RTMP/FLV/HLS/WebRTC等格式的输出。</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2）设备离线提示</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支持对接入设备进行集中管理与统一控制，能对设备的状态进行实时监测，包括设备在离线状态，并能对设备离线进行提示，以便用户及时查看和处理。</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3）集群能力</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集群可通过分担服务器压力来解决大并发的需求，保障平台的流畅、稳定运行，不仅能提升平台服务能力的灵活性与拓展性，而且也能提升服务器的计算与处理能力。</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4）内核监测告警</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EasyCVR的内核可以监听到该节点的每一个并发，并在接口中展示。如果超过了预定的并发数量，将自动触发并发超限的报警功能。</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5）转码能力</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EasyCVR转码能力可以在不改变设置的情况下实现视频流转码播放。如果摄像机的视频编码格式是H.265，利用转码功能可以转换为H.264，并在页面上进行播放。转码功能为用户提供了多样化的选择，视频能力更加灵活，可拓展性更强。</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EasyCVR平台部署简单、兼容性高，平台采用分布式部署，可对外提供统一的API接口，实现连接设备、连接数据、连接应用，便于第三方平台快速集成。平台基于云端一体化管理，可支持视频实时监控、云端录像、云存储、回放与检索、智能告警、平台级联等功能。</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相较于EasyGBS+EasyNVS架构方案，EasyCVR的服务器集群方案则更加适用于海量设备接入与管理以及大并发的需求。作为一种高效的服务器协作方式，集群能力实现了服务器的负载均衡，满足了本项目高并发的需求，同时提供了高可靠、强扩展、可伸缩的服务特性，在多台服务器中实现数据库的共享和自由调用。</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数据任务调度</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前端预计接入后端多平台融合，各种任务独立运行将造成混乱，系统通过数据任务调度进行有序管理，系统自动合理调度任务。在有复杂任务时，需要开发人员进行评价估算时间上、任务量上、系统上等多个方面，设置合适时间进行自动更新执行。</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传统在线智能系统是以采集设备采集的数据作为资源调度单位，调度粒度大，每个处理服务器可处理的资源有限，存在较大资源碎片从而导致资源利用率低。传统的在线智能处理系统缺少对数据的保护措施，读取和处理均在服务器上进行。当流数据流增大，服务器很有可能因负载过大等原因宕机。正在该服务器上处理的所有数据将面临永久性丢失的情况，即使任务在其他服务器重新启动，所处理的数据只能是当前时间点的数据，系统的可靠性差。</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本系统采用图像压缩技术，清晰度高，传输时延小，实现了数据实时传输功能。实现了通信控制的中心端和用户终端双向选择通信，满足了高新区图像汇聚管理平台指挥调度的需求。</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数据清洗</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社会面图像接入转发系统将通过平台数据清洗工具，对整合的结构化和非结构化数据进行监理通用数据模板，满足对接需求。</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（一）建立通用数据模版</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支持通用数据模版的建立，可灵活定义主数据的数据模版、特征值集合、编码、属性规范等。</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（二）支持属性模板</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支持属性模板，支持属性的灵活配置与扩展,支持属性校验规则、约束条件的定义与建立。对属性的设置和校验规则包括前置符号、后置符号、计量单位、日期、数字、非空、长度、附属取值、取值方式、显示控制等。</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（三）主数据编码的定义与管理</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支持主数据编码的定义与管理。支持编码规则自定义，可实现编码的自动和手工创建;支持流水码、特征组合码、对照码等信息编码方法;支持可变码长、可变码段、步长、码位设定;支持等长码和不等长码的自动生成;支持多重编码同时生成和应用。</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（四）数据源管理</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支持数据源管理，可实现数据模版、特征值标准化管理。</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经过系统工具清洗后的结构化和非结构化数据将按照系统需求进行有序转换合规数据，并将其数据推送至平台进行存储和使用。</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数据校验</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社会面图像接入转发系统将经过清洗和数据转换后的数据进行验证其正确性和合规性，确保校验后数据的精准性和真实性。可采用加密、采用各种算法进行校验，可确保数据的准确性。</w:t>
      </w:r>
    </w:p>
    <w:bookmarkEnd w:id="155"/>
    <w:p>
      <w:pPr>
        <w:pStyle w:val="5"/>
        <w:spacing w:line="240" w:lineRule="auto"/>
        <w:ind w:left="0" w:firstLine="0"/>
        <w:rPr>
          <w:rFonts w:ascii="宋体" w:hAnsi="宋体" w:eastAsia="宋体" w:cs="宋体"/>
          <w:color w:val="auto"/>
          <w:sz w:val="24"/>
          <w:szCs w:val="24"/>
          <w:highlight w:val="none"/>
          <w:lang w:val="en-US"/>
        </w:rPr>
      </w:pPr>
      <w:bookmarkStart w:id="157" w:name="_Toc13488"/>
      <w:r>
        <w:rPr>
          <w:rFonts w:hint="eastAsia" w:ascii="宋体" w:hAnsi="宋体" w:eastAsia="宋体" w:cs="宋体"/>
          <w:color w:val="auto"/>
          <w:sz w:val="24"/>
          <w:szCs w:val="24"/>
          <w:highlight w:val="none"/>
          <w:lang w:val="en-US"/>
        </w:rPr>
        <w:t>（八）公安视频专网扩容</w:t>
      </w:r>
      <w:bookmarkEnd w:id="157"/>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将公安视频传输网扩容升级为公共安全视频传输网，将公共视频监控纳入公共安全视频传输网进行整合、管理。</w:t>
      </w:r>
    </w:p>
    <w:p>
      <w:pPr>
        <w:pStyle w:val="4"/>
        <w:ind w:left="575" w:hanging="575"/>
        <w:rPr>
          <w:rFonts w:ascii="宋体" w:hAnsi="宋体" w:eastAsia="宋体" w:cs="宋体"/>
          <w:color w:val="auto"/>
          <w:sz w:val="24"/>
          <w:szCs w:val="24"/>
          <w:highlight w:val="none"/>
          <w:lang w:val="en-US"/>
        </w:rPr>
      </w:pPr>
      <w:bookmarkStart w:id="158" w:name="_Toc3772"/>
      <w:r>
        <w:rPr>
          <w:rFonts w:hint="eastAsia" w:ascii="宋体" w:hAnsi="宋体" w:eastAsia="宋体" w:cs="宋体"/>
          <w:color w:val="auto"/>
          <w:sz w:val="24"/>
          <w:szCs w:val="24"/>
          <w:highlight w:val="none"/>
          <w:lang w:val="en-US"/>
        </w:rPr>
        <w:t>1、提升网络传输能力</w:t>
      </w:r>
      <w:bookmarkEnd w:id="158"/>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高新公安分局原有二楼机房的视频专网的核心交换机与一楼数据中心机房汇聚交换机采用多根万兆光纤线缆做聚合连接，存在着线路复杂，布线混乱的问题，在本次方案中，一楼的2台汇聚交换机新增一块32口万兆光+4端口40G混合业务板卡。二楼机房的视频专网的核心交换机100G光口可以与此次采购板卡40G光端口可兼容，因此一楼后端汇聚通过40G端口与二楼的核心的100G端口进行相连。</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此外，原有网络中，一楼的后端服务器、存储直接通过线缆连接至核心中，存在着链路复杂、运维困难的问题，同时也不利于后期网络的拓展。而目前主流数据中心，均已采用spine-leaf的网络架构，即核心交换机至接入交换机至服务器的模式。这种模式下，存在着延迟低、拓展性好的优点，因此在本次方案中，新增了多台接入交换机，用于后端服务器、存储的接入。共新增10台千兆接入与10台万兆接入交换机，可分别提供24口千兆电口与24口万兆光口下行接口用于连接后端服务器、存储，同时分别通过10G上行链路与40G上行链路连接到汇聚交换机上。</w:t>
      </w:r>
    </w:p>
    <w:p>
      <w:pPr>
        <w:pStyle w:val="971"/>
        <w:ind w:firstLine="0" w:firstLineChars="0"/>
        <w:jc w:val="center"/>
        <w:rPr>
          <w:color w:val="auto"/>
          <w:highlight w:val="none"/>
        </w:rPr>
      </w:pPr>
      <w:r>
        <w:rPr>
          <w:color w:val="auto"/>
          <w:highlight w:val="none"/>
        </w:rPr>
        <w:drawing>
          <wp:inline distT="0" distB="0" distL="0" distR="0">
            <wp:extent cx="2250440" cy="2984500"/>
            <wp:effectExtent l="0" t="0" r="16510" b="635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2"/>
                    <a:stretch>
                      <a:fillRect/>
                    </a:stretch>
                  </pic:blipFill>
                  <pic:spPr>
                    <a:xfrm>
                      <a:off x="0" y="0"/>
                      <a:ext cx="2264365" cy="3002449"/>
                    </a:xfrm>
                    <a:prstGeom prst="rect">
                      <a:avLst/>
                    </a:prstGeom>
                  </pic:spPr>
                </pic:pic>
              </a:graphicData>
            </a:graphic>
          </wp:inline>
        </w:drawing>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整个网络拓扑图如上，其中，前端核心交换机与后端核心交换机进行堆叠，后端接入交换机与前端汇聚交换机均采用双上行连接与链路聚合，而前端核心与后端核心之间组成口字形组网，从而提高网络可靠性。</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最后在一楼数据中心机房增补10台可网管接入层交换机，用于一楼机房与负一楼机房贯通连接，二楼机房搬移等，借此对负一楼机房增补10台可网管接入层交换机。</w:t>
      </w:r>
    </w:p>
    <w:p>
      <w:pPr>
        <w:pStyle w:val="5"/>
        <w:ind w:left="720"/>
        <w:rPr>
          <w:rFonts w:ascii="宋体" w:hAnsi="宋体" w:eastAsia="宋体" w:cs="宋体"/>
          <w:color w:val="auto"/>
          <w:sz w:val="24"/>
          <w:szCs w:val="24"/>
          <w:highlight w:val="none"/>
          <w:lang w:val="en-US"/>
        </w:rPr>
      </w:pPr>
      <w:bookmarkStart w:id="159" w:name="_Toc19216"/>
      <w:r>
        <w:rPr>
          <w:rFonts w:hint="eastAsia" w:ascii="宋体" w:hAnsi="宋体" w:eastAsia="宋体" w:cs="宋体"/>
          <w:color w:val="auto"/>
          <w:sz w:val="24"/>
          <w:szCs w:val="24"/>
          <w:highlight w:val="none"/>
          <w:lang w:val="en-US"/>
        </w:rPr>
        <w:t>2、机房搬迁</w:t>
      </w:r>
      <w:bookmarkEnd w:id="159"/>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利用此次公共安全视频传输网内部传输能力升级，将二楼机房设备搬迁至一楼机房，使二楼机房回复正常运行状态。</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（一）二楼机房现状</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分局二楼中心机房主机房面积约140平方米，用来放置数据中心等网络的网络设备、安全设备、存储设备、服务器、光端机、视频综合平台、精密空调、机柜、消防柜、UPS等。主机房专业机柜配置39个，服务器机柜中放置的设备主要有：刀片机、机架式服务器、存储设备、光端机、NVR、防火墙、网闸等；网络机柜主要放置政务网核心交换机、公安网核心交换机、视频专网核心交换机、接入交换机、配线架等设备。</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机柜设备布置图</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二楼机房共计5列机柜，详见以下示图：</w:t>
      </w:r>
    </w:p>
    <w:p>
      <w:pPr>
        <w:pStyle w:val="82"/>
        <w:rPr>
          <w:color w:val="auto"/>
          <w:highlight w:val="none"/>
        </w:rPr>
      </w:pPr>
      <w:r>
        <w:rPr>
          <w:rFonts w:hint="eastAsia"/>
          <w:color w:val="auto"/>
          <w:highlight w:val="none"/>
        </w:rPr>
        <w:drawing>
          <wp:inline distT="0" distB="0" distL="0" distR="0">
            <wp:extent cx="5394325" cy="1795780"/>
            <wp:effectExtent l="0" t="0" r="15875" b="139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3" cstate="print">
                      <a:extLst>
                        <a:ext uri="{28A0092B-C50C-407E-A947-70E740481C1C}">
                          <a14:useLocalDpi xmlns:a14="http://schemas.microsoft.com/office/drawing/2010/main" val="0"/>
                        </a:ext>
                      </a:extLst>
                    </a:blip>
                    <a:srcRect l="4924" t="14340" r="12304" b="44475"/>
                    <a:stretch>
                      <a:fillRect/>
                    </a:stretch>
                  </pic:blipFill>
                  <pic:spPr>
                    <a:xfrm flipV="1">
                      <a:off x="0" y="0"/>
                      <a:ext cx="5394325" cy="1795780"/>
                    </a:xfrm>
                    <a:prstGeom prst="rect">
                      <a:avLst/>
                    </a:prstGeom>
                    <a:noFill/>
                    <a:ln>
                      <a:noFill/>
                    </a:ln>
                  </pic:spPr>
                </pic:pic>
              </a:graphicData>
            </a:graphic>
          </wp:inline>
        </w:drawing>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本次机房搬迁主要涉及D列、E列视频专网设备，各机柜设备分布清单明细如下：</w:t>
      </w:r>
    </w:p>
    <w:p>
      <w:pPr>
        <w:pStyle w:val="82"/>
        <w:rPr>
          <w:color w:val="auto"/>
          <w:highlight w:val="none"/>
        </w:rPr>
      </w:pPr>
      <w:r>
        <w:rPr>
          <w:rFonts w:hint="eastAsia"/>
          <w:color w:val="auto"/>
          <w:highlight w:val="none"/>
        </w:rPr>
        <w:drawing>
          <wp:inline distT="0" distB="0" distL="0" distR="0">
            <wp:extent cx="5274310" cy="5092700"/>
            <wp:effectExtent l="0" t="0" r="2540" b="1270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274310" cy="5092777"/>
                    </a:xfrm>
                    <a:prstGeom prst="rect">
                      <a:avLst/>
                    </a:prstGeom>
                    <a:noFill/>
                    <a:ln>
                      <a:noFill/>
                    </a:ln>
                  </pic:spPr>
                </pic:pic>
              </a:graphicData>
            </a:graphic>
          </wp:inline>
        </w:drawing>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本次搬迁统计涉及10台网络设备、29套云存储及磁盘阵列、78台服务器，8台其他设备。</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（二）分局数据中心机房现状（一楼机房）</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分局数据中心机房建设总建筑面积约为311平方米。建设包括机柜系统、冷通道封闭系统、供配电系统、空调系统和机房智能管理控制系统以及相关机房改造、防雷接地、消防等。</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机柜设备布置图（可放大查看）</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一楼机房布局详见以下示图：</w:t>
      </w:r>
    </w:p>
    <w:p>
      <w:pPr>
        <w:pStyle w:val="82"/>
        <w:rPr>
          <w:color w:val="auto"/>
          <w:highlight w:val="none"/>
        </w:rPr>
      </w:pPr>
      <w:r>
        <w:rPr>
          <w:rFonts w:hint="eastAsia"/>
          <w:color w:val="auto"/>
          <w:highlight w:val="none"/>
        </w:rPr>
        <w:drawing>
          <wp:inline distT="0" distB="0" distL="114300" distR="114300">
            <wp:extent cx="5257800" cy="2308860"/>
            <wp:effectExtent l="0" t="0" r="0" b="15240"/>
            <wp:docPr id="28" name="图片 28" descr="高新区一楼机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高新区一楼机房图"/>
                    <pic:cNvPicPr>
                      <a:picLocks noChangeAspect="1"/>
                    </pic:cNvPicPr>
                  </pic:nvPicPr>
                  <pic:blipFill>
                    <a:blip r:embed="rId35"/>
                    <a:srcRect t="4991"/>
                    <a:stretch>
                      <a:fillRect/>
                    </a:stretch>
                  </pic:blipFill>
                  <pic:spPr>
                    <a:xfrm>
                      <a:off x="0" y="0"/>
                      <a:ext cx="5257800" cy="2308860"/>
                    </a:xfrm>
                    <a:prstGeom prst="rect">
                      <a:avLst/>
                    </a:prstGeom>
                  </pic:spPr>
                </pic:pic>
              </a:graphicData>
            </a:graphic>
          </wp:inline>
        </w:drawing>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本次搬迁设备主要放置于通道4视频专网。</w:t>
      </w:r>
    </w:p>
    <w:p>
      <w:pPr>
        <w:pStyle w:val="82"/>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drawing>
          <wp:inline distT="0" distB="0" distL="0" distR="0">
            <wp:extent cx="5274310" cy="1658620"/>
            <wp:effectExtent l="0" t="0" r="2540" b="177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274310" cy="1658630"/>
                    </a:xfrm>
                    <a:prstGeom prst="rect">
                      <a:avLst/>
                    </a:prstGeom>
                    <a:noFill/>
                    <a:ln>
                      <a:noFill/>
                    </a:ln>
                  </pic:spPr>
                </pic:pic>
              </a:graphicData>
            </a:graphic>
          </wp:inline>
        </w:drawing>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各机柜机房设备分布清单如下：</w:t>
      </w:r>
    </w:p>
    <w:p>
      <w:pPr>
        <w:pStyle w:val="82"/>
        <w:ind w:firstLine="0" w:firstLineChars="0"/>
        <w:rPr>
          <w:color w:val="auto"/>
          <w:highlight w:val="none"/>
        </w:rPr>
      </w:pPr>
      <w:r>
        <w:rPr>
          <w:rFonts w:hint="eastAsia"/>
          <w:color w:val="auto"/>
          <w:highlight w:val="none"/>
        </w:rPr>
        <w:drawing>
          <wp:inline distT="0" distB="0" distL="0" distR="0">
            <wp:extent cx="5274310" cy="3707130"/>
            <wp:effectExtent l="0" t="0" r="254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274310" cy="3707130"/>
                    </a:xfrm>
                    <a:prstGeom prst="rect">
                      <a:avLst/>
                    </a:prstGeom>
                    <a:noFill/>
                    <a:ln>
                      <a:noFill/>
                    </a:ln>
                  </pic:spPr>
                </pic:pic>
              </a:graphicData>
            </a:graphic>
          </wp:inline>
        </w:drawing>
      </w:r>
    </w:p>
    <w:p>
      <w:pPr>
        <w:pStyle w:val="82"/>
        <w:ind w:firstLine="0" w:firstLineChars="0"/>
        <w:rPr>
          <w:color w:val="auto"/>
          <w:highlight w:val="none"/>
        </w:rPr>
      </w:pPr>
      <w:r>
        <w:rPr>
          <w:rFonts w:hint="eastAsia"/>
          <w:color w:val="auto"/>
          <w:highlight w:val="none"/>
        </w:rPr>
        <w:drawing>
          <wp:inline distT="0" distB="0" distL="0" distR="0">
            <wp:extent cx="5274310" cy="7610475"/>
            <wp:effectExtent l="0" t="0" r="254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274310" cy="7611074"/>
                    </a:xfrm>
                    <a:prstGeom prst="rect">
                      <a:avLst/>
                    </a:prstGeom>
                    <a:noFill/>
                    <a:ln>
                      <a:noFill/>
                    </a:ln>
                  </pic:spPr>
                </pic:pic>
              </a:graphicData>
            </a:graphic>
          </wp:inline>
        </w:drawing>
      </w:r>
    </w:p>
    <w:p>
      <w:pPr>
        <w:pStyle w:val="82"/>
        <w:ind w:firstLine="0" w:firstLineChars="0"/>
        <w:rPr>
          <w:color w:val="auto"/>
          <w:highlight w:val="none"/>
        </w:rPr>
      </w:pPr>
      <w:r>
        <w:rPr>
          <w:rFonts w:hint="eastAsia"/>
          <w:color w:val="auto"/>
          <w:highlight w:val="none"/>
        </w:rPr>
        <w:drawing>
          <wp:inline distT="0" distB="0" distL="0" distR="0">
            <wp:extent cx="5274310" cy="3683635"/>
            <wp:effectExtent l="0" t="0" r="2540" b="1206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274310" cy="3684114"/>
                    </a:xfrm>
                    <a:prstGeom prst="rect">
                      <a:avLst/>
                    </a:prstGeom>
                    <a:noFill/>
                    <a:ln>
                      <a:noFill/>
                    </a:ln>
                  </pic:spPr>
                </pic:pic>
              </a:graphicData>
            </a:graphic>
          </wp:inline>
        </w:drawing>
      </w:r>
    </w:p>
    <w:p>
      <w:pPr>
        <w:pStyle w:val="82"/>
        <w:ind w:firstLine="0" w:firstLineChars="0"/>
        <w:rPr>
          <w:color w:val="auto"/>
          <w:highlight w:val="none"/>
        </w:rPr>
      </w:pPr>
      <w:r>
        <w:rPr>
          <w:rFonts w:hint="eastAsia"/>
          <w:color w:val="auto"/>
          <w:highlight w:val="none"/>
        </w:rPr>
        <w:drawing>
          <wp:inline distT="0" distB="0" distL="0" distR="0">
            <wp:extent cx="5274310" cy="3707130"/>
            <wp:effectExtent l="0" t="0" r="2540" b="762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274310" cy="3707493"/>
                    </a:xfrm>
                    <a:prstGeom prst="rect">
                      <a:avLst/>
                    </a:prstGeom>
                    <a:noFill/>
                    <a:ln>
                      <a:noFill/>
                    </a:ln>
                  </pic:spPr>
                </pic:pic>
              </a:graphicData>
            </a:graphic>
          </wp:inline>
        </w:drawing>
      </w:r>
    </w:p>
    <w:p>
      <w:pPr>
        <w:pStyle w:val="82"/>
        <w:ind w:firstLine="0" w:firstLineChars="0"/>
        <w:rPr>
          <w:color w:val="auto"/>
          <w:highlight w:val="none"/>
        </w:rPr>
      </w:pPr>
      <w:r>
        <w:rPr>
          <w:rFonts w:hint="eastAsia"/>
          <w:color w:val="auto"/>
          <w:highlight w:val="none"/>
        </w:rPr>
        <w:drawing>
          <wp:inline distT="0" distB="0" distL="0" distR="0">
            <wp:extent cx="5274310" cy="4270375"/>
            <wp:effectExtent l="0" t="0" r="2540" b="158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274310" cy="4270590"/>
                    </a:xfrm>
                    <a:prstGeom prst="rect">
                      <a:avLst/>
                    </a:prstGeom>
                    <a:noFill/>
                    <a:ln>
                      <a:noFill/>
                    </a:ln>
                  </pic:spPr>
                </pic:pic>
              </a:graphicData>
            </a:graphic>
          </wp:inline>
        </w:drawing>
      </w:r>
    </w:p>
    <w:p>
      <w:pPr>
        <w:pStyle w:val="82"/>
        <w:ind w:firstLine="0" w:firstLineChars="0"/>
        <w:rPr>
          <w:color w:val="auto"/>
          <w:highlight w:val="none"/>
        </w:rPr>
      </w:pPr>
      <w:r>
        <w:rPr>
          <w:rFonts w:hint="eastAsia"/>
          <w:color w:val="auto"/>
          <w:highlight w:val="none"/>
        </w:rPr>
        <w:drawing>
          <wp:inline distT="0" distB="0" distL="0" distR="0">
            <wp:extent cx="5274310" cy="3914140"/>
            <wp:effectExtent l="0" t="0" r="2540" b="1016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274310" cy="3914279"/>
                    </a:xfrm>
                    <a:prstGeom prst="rect">
                      <a:avLst/>
                    </a:prstGeom>
                    <a:noFill/>
                    <a:ln>
                      <a:noFill/>
                    </a:ln>
                  </pic:spPr>
                </pic:pic>
              </a:graphicData>
            </a:graphic>
          </wp:inline>
        </w:drawing>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二、搬迁实施计划及方案</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（一）此次涉及搬迁设备</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在本工程中需要搬迁的设备，按照搬迁设计，初步分类：</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1.视频专网除核心以外，其他主要设备均从分局二楼机房搬迁至一楼机房；</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总数约29台存储，78台服务器，其他主机设备8台；</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本次需要搬运的设备目前处于正常的运转状态，在具备条件的情况下要分批次在特定的时间段完成关机、搬运、切换、开通。</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需要保护、搬运的设备种类较多、数量较大，部分设备重量、体积较大。</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所有设备的搬迁、切换不得在工作日时间内进行。</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（二）设备搬迁实施方案</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具体实施步骤：</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1．机房环境检查</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分别对分局一楼机房二楼机房环境进行检查，包括电气、消防、线路等内容，需满足设备运行条件。</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2.机房环境保护</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对机房内部通道、地面、墙面、门以及门把手等所有在设备搬运中可能会受到破坏的区域进行保护。</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3.搬迁设备统计</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对搬迁涉及的设备进行统计，确认设备型号、实际安装位置、电源、数据线缆、IP地址、系统安装、应用安装、保修等信息，形成统计表和设备机柜安装图。</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出具新机房设备安装情况统计表、新机房设备系统情况统计表、新机房机柜布局图、新机房设备机柜安装图等。</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4.系统关联性分析</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分析应用系统之间的相互联系、逻辑依存关系、数据交换情况、共用硬件设备情况等，从而得出停机顺序及开机顺序。</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5.系统健康检查</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对运行状态中的系统进行状态检查，查看设备外观，是否有故障报警灯；查看系统运行情况，CPU、内存、磁盘使用情况，系统日志分析。出具系统健康检查表。</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6.开关机测试</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进行系统开关机测试，一方面可以提前发现系统故障，尽早解决；二是可以比较精确地估计系统停机时间，便于更好的掌握搬迁时间进度。为了尽可能地规避风险，首先停止业务系统对外服务，对数据进行备份，然后停止应用、关机、开机、启动应用、测试业务系统。开关机的顺序受到系统关联关系的影响，需要按照系统关联性分析结果进行顺序开关机。</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7.设备标签制作</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按照设备在一楼机房的规划安装位置，制作设备标签及对应表。标签一式三份，其中两份在设备下架时分别粘贴在设备及包装箱上，另一份留作备用</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8.应急预案制定</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线路、业务系统等迁移过程中，制定可行性应急预案，包含线路备份、设备备件替换、数据备份、业务系统备份等。在设备搬迁后出现异常情况时现场技术人员应立即检查设备，检查故障现象，确定故障位置。硬件故障在备件准备范围内的立即更换，不在范围内的立即使用备用设备最短时间内启用备用设备。由于配置数据或系统不能启动的立即使用系统光盘备份数据等先前准备的备用工具软件进行系统软件重新安装或恢复。</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9.搬迁设备包装设计</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包装材质：</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（1）4U及以下的设备采用纸箱包装，纸箱包装内，增加气垫膜包装和泡沫垫，减少设备碰撞损坏概率。</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（2）4U以上设备采用木箱包装，包装内增加气垫膜包装、泡沫垫，以及纸箱，纸箱与木箱间再增加一层泡沫垫。保证木箱和纸箱间没有摩擦。</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10．运输车辆安排</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根据本次搬迁设备内容，选用板车运输。</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11.数据备份</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停止业务系统的服务，按照系统关联性分析结果进行数据备份，完成搬迁前最后一次系统数据备份，此次搬迁租赁一台备份一体机（40TB）循环备份，备份3次左右，敏感数据不备份。</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12.设备关机</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搬迁前应关闭网络设备、服务器及存储系统,具体流程及内容如下：</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停机流程：</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（1）PC服务器停机：PC服务器关闭应用软件系统，关闭系统，切断电源；</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（2）数据库服务器停机：数据库服务器停止数据库，关闭系统，切断电源；</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（3）存储系统停机：磁盘阵列关机，切断电源；</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（4）备份系统停机：备份服务器停止备份，关闭系统，切断电源；</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（5）网络及安全设备停机和拆离，在网络机架上按照交换机、核心交换机、防火墙的顺序将设备电源依次切断。</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注意事项:</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（1）设备停机时应按不同业务系统进行有序停机，可参考系统关联性分析；</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（2）设备切断电源前，应确认设备已经完全关闭，部分设备关机时间较长，应等其风扇完全停转后切断电源；</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（3）确认业务系统软件停运注意事项，严格按照系统软件关闭步骤进行操作；</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（4）停机顺序按照先停止业务系统，再停止数据库、存储系统、备份系统、网络系统的原则进行；</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（5）系统停机时如发生软件或系统故障，应先排除故障再进行停机操作，不得野蛮停机，确保操作系统和业务软件系统停运时无故障；</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（6）切断电源时应先关闭电源插座，再拔设备电源。</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（7）设备下架</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待搬迁设备停运并切断电源后，方可对设备进行下架，设备下架步骤和注意事项如下：</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下架流程：</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（1）设备下架应遵循“先外后内，先周边再主体”的原则；先拆卸设备周边连接附件及线缆，再拆卸主机；</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（2）设备下架时应由上自下，对机柜内设备进行逐一拆除，并按照业务系统进行分类，待新机柜安装好后设备再安装于指定地点。</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注意事项：</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（1）在设备下架后将螺丝钉安装回原设备上；</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（2）设备下架时确认周边设备已经全部断开连接，防止线缆下架时脱连；</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（3）设备下架时应注意对设备保护，对体积和重量较大的设备需提供托架；</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（4）设备下架时应按照要求佩戴静电保护设备，如：静电护腕等，确保拆卸时静电不会对设备造成损害；</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（5）设备下架时应严格遵守设备的放置要求，杜绝将设备倒置、倾斜等随意堆放；</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（6）小型机、存储、核心交换机等设备体积大、重量较重，下架时应注意人员及设备的保护，确保设备和人员安全；</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（7）设备下架时，应严格按照设备安装和拆卸指南进行，不得野蛮拆卸。</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（8）设备除尘打包</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设备的包装好坏是保证设备完好的关键所在。</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包装流程：</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（1）清理设备外部灰尘；</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（2）特殊非标线材分类整理装箱；</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（3）设备装箱，并在装箱单内填入详细内容；</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（4）按照搬迁设备清单清点设备，箱体醒目处应贴事先打印好的标签；</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（5）与搬运单位交接，并形成交接记录《设备运输交接清单》；</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（6）对箱子进行封装，贴上封口。</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注意事项</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（1）应将同一系统的硬件集中打包；</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（2）采用泡沫塑料或海绵对设备进行保护</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（3）中标供应商需提供装箱单、设备运输交接清单</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（4）设备搬运</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搬运内容：</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（1）搬运车辆准备；</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（2）车辆行驶路线：</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分局二楼机房到一楼机房建议从业务电梯方向进行运输（大约1公里）</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（3）运输至目的地后，按照计划将设备分批摆放到指定位置；</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（4）清点包装数量、检查设备是否完好、开箱检查设备外观是否完好，与搬运队伍交接。</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注意事项：</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（1）搬运设备时，要轻拿轻放。</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（2）设备上车时尽量避免堆放，如需要堆放须遵守“先重后轻”、“上小下大”的原则；</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搬运时注意控制车辆，缓慢行驶。</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13.设备拆包上架连线</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设备按照网络设备→数据库服务器→PC服务器→存储→其他设备的顺序拆包上架。设备上架位置完全依照设备规划表摆放，设备上架表上标明每台设备的名称和占用空间，且此名称在原机房时已经以标签的形式粘贴在设备上。</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设备上架支撑装置为托盘和托架，大型设备用托盘，中小型设备用托架。设备上架后并用螺丝与机柜固定。</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在设备连线后，所用的网线、光纤都需要注明明确的线标，线标的信息应简单明了地指示出每条线应该连接的设备端口。事后需提供设备、网络连线标识统计表。设备连线严格按照综合布线连接。</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14.设备加电检测</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设备安装完成，线缆连接完成后，需对设备进行加电，设备加电前应确保设备电缆等已经连接就位；设备加电前应对机房供电系统进行检测，确保供电系统正常。设备加电后，整个网络系统应已处于运行状态，此时需对网络系统的运行状况进行检测。检测步骤如下：</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物理线路检测：</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（1）对物理线路进行检测，确保线路连接正常，接口无松动；</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（2）确保物理线路连接时按网络拓扑图连接。</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设备运行状态检测：</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（1）对网络系统进行检测，通过PING、TRACERT等工具，对网络路由及通畅情况做检测，确保网络路由通畅；</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（2）按照原网络拓扑结构，检查相应的网络设备如交换机等；</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（3）通过网络管理软件或远程登录系统，检测系统运行状态，确保系统运行正常；</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（4）配合软件厂家及用户对业务软件运行状态做检测，确保业务系统运行正常。</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15.系统验证及测试</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当设备迁移到新的机房并正常连接以后，需要验证每台设备，如服务器的操作系统、平台软件和应用系统等是否能正常运行。此阶段需要填写服务器上架检测记录表，如果验证发现某个（些）服务器工作异常，需要进行系统恢复，并同时填写服务器恢复记录表。</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（1）操作系统和平台软件验证</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验证各个服务器的操作系统是否能够正常启动，相应的平台软件（若有）是否能够正常运行。</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（2）数据库验证</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验证各个应用系统对应的数据库用户能否正常连接数据库。</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（3）应用系统验证</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验证各个应用子系统能否正常访问，包括功能验证和数据完整性验证。</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系统设备安装完成后，调试工作由有经验的专业工程师承担。子系统的调试达到设计指标，经反复调整仍不能达到指标的。找出原因进行整改或返工。直至满足设计要求为止。</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完成系统的各分项工程后，最后要进行系统的连机统调。我方首先制定好统一方案，按照预定的方案检查系统的运行是否正常、系统及各种参数指标是否满足设计要求，系统间的通信是否畅通，与系统联动的设备控制是否灵活，有时要反复调整多次，才能使系统达到最佳状态。</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设备安装调试过程中，参加安装和调试人员要认真做好各项工作，包括单机、子系统和系统统调等，记录各种测试结果。</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14.新机房清理工作</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在新机房设备上架、调试、割接完成后，对新机房涉及到的搬迁区域进行场地清理工作，保证搬迁完成后新机房环境的整洁。</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15.原机房整理工作</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在设备搬迁完成后，对原机房留下的设备、机柜进行调整并做好清理工作，保证搬迁完成后原机房环境的整洁。</w:t>
      </w:r>
    </w:p>
    <w:p>
      <w:pPr>
        <w:pStyle w:val="5"/>
        <w:ind w:left="720"/>
        <w:rPr>
          <w:rFonts w:ascii="宋体" w:hAnsi="宋体" w:eastAsia="宋体" w:cs="宋体"/>
          <w:color w:val="auto"/>
          <w:sz w:val="21"/>
          <w:szCs w:val="21"/>
          <w:highlight w:val="none"/>
        </w:rPr>
      </w:pPr>
      <w:bookmarkStart w:id="160" w:name="_Toc9819"/>
      <w:r>
        <w:rPr>
          <w:rFonts w:hint="eastAsia" w:ascii="宋体" w:hAnsi="宋体" w:eastAsia="宋体" w:cs="宋体"/>
          <w:color w:val="auto"/>
          <w:sz w:val="21"/>
          <w:szCs w:val="21"/>
          <w:highlight w:val="none"/>
          <w:lang w:val="en-US"/>
        </w:rPr>
        <w:t>3、</w:t>
      </w:r>
      <w:r>
        <w:rPr>
          <w:rFonts w:hint="eastAsia" w:ascii="宋体" w:hAnsi="宋体" w:eastAsia="宋体" w:cs="宋体"/>
          <w:color w:val="auto"/>
          <w:sz w:val="21"/>
          <w:szCs w:val="21"/>
          <w:highlight w:val="none"/>
        </w:rPr>
        <w:t>与电子政务外网</w:t>
      </w:r>
      <w:r>
        <w:rPr>
          <w:rFonts w:hint="eastAsia" w:ascii="宋体" w:hAnsi="宋体" w:eastAsia="宋体" w:cs="宋体"/>
          <w:color w:val="auto"/>
          <w:sz w:val="21"/>
          <w:szCs w:val="21"/>
          <w:highlight w:val="none"/>
          <w:lang w:val="en-US"/>
        </w:rPr>
        <w:t>/视联网</w:t>
      </w:r>
      <w:r>
        <w:rPr>
          <w:rFonts w:hint="eastAsia" w:ascii="宋体" w:hAnsi="宋体" w:eastAsia="宋体" w:cs="宋体"/>
          <w:color w:val="auto"/>
          <w:sz w:val="21"/>
          <w:szCs w:val="21"/>
          <w:highlight w:val="none"/>
        </w:rPr>
        <w:t>的网络安全</w:t>
      </w:r>
      <w:bookmarkEnd w:id="160"/>
    </w:p>
    <w:p>
      <w:pPr>
        <w:adjustRightInd/>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通过</w:t>
      </w:r>
      <w:r>
        <w:rPr>
          <w:rFonts w:hint="eastAsia" w:ascii="宋体" w:hAnsi="宋体" w:cs="宋体"/>
          <w:color w:val="auto"/>
          <w:szCs w:val="21"/>
          <w:highlight w:val="none"/>
        </w:rPr>
        <w:t>新建部署视频网闸和防火墙系统</w:t>
      </w:r>
      <w:r>
        <w:rPr>
          <w:rFonts w:hint="eastAsia" w:ascii="宋体" w:hAnsi="宋体" w:cs="宋体"/>
          <w:color w:val="auto"/>
          <w:szCs w:val="21"/>
          <w:highlight w:val="none"/>
          <w:lang w:val="zh-CN"/>
        </w:rPr>
        <w:t>，实现区</w:t>
      </w:r>
      <w:r>
        <w:rPr>
          <w:rFonts w:hint="eastAsia" w:ascii="宋体" w:hAnsi="宋体" w:cs="宋体"/>
          <w:color w:val="auto"/>
          <w:szCs w:val="21"/>
          <w:highlight w:val="none"/>
        </w:rPr>
        <w:t>公共安全视频传输网</w:t>
      </w:r>
      <w:r>
        <w:rPr>
          <w:rFonts w:hint="eastAsia" w:ascii="宋体" w:hAnsi="宋体" w:cs="宋体"/>
          <w:color w:val="auto"/>
          <w:szCs w:val="21"/>
          <w:highlight w:val="none"/>
          <w:lang w:val="zh-CN"/>
        </w:rPr>
        <w:t>和电子政务外网</w:t>
      </w:r>
      <w:r>
        <w:rPr>
          <w:rFonts w:hint="eastAsia" w:ascii="宋体" w:hAnsi="宋体" w:cs="宋体"/>
          <w:color w:val="auto"/>
          <w:szCs w:val="21"/>
          <w:highlight w:val="none"/>
        </w:rPr>
        <w:t>/视联网之间</w:t>
      </w:r>
      <w:r>
        <w:rPr>
          <w:rFonts w:hint="eastAsia" w:ascii="宋体" w:hAnsi="宋体" w:cs="宋体"/>
          <w:color w:val="auto"/>
          <w:szCs w:val="21"/>
          <w:highlight w:val="none"/>
          <w:lang w:val="zh-CN"/>
        </w:rPr>
        <w:t>的物理隔离。</w:t>
      </w:r>
      <w:r>
        <w:rPr>
          <w:rFonts w:hint="eastAsia" w:ascii="宋体" w:hAnsi="宋体" w:cs="宋体"/>
          <w:color w:val="auto"/>
          <w:szCs w:val="21"/>
          <w:highlight w:val="none"/>
        </w:rPr>
        <w:t>视频</w:t>
      </w:r>
      <w:r>
        <w:rPr>
          <w:rFonts w:hint="eastAsia" w:ascii="宋体" w:hAnsi="宋体" w:cs="宋体"/>
          <w:color w:val="auto"/>
          <w:szCs w:val="21"/>
          <w:highlight w:val="none"/>
          <w:lang w:val="zh-CN"/>
        </w:rPr>
        <w:t>数据通过物理隔离、协议隔离、内容隔离等措施确保在进行数据传送的同时，有害数据信息不会进入区</w:t>
      </w:r>
      <w:r>
        <w:rPr>
          <w:rFonts w:hint="eastAsia" w:ascii="宋体" w:hAnsi="宋体" w:cs="宋体"/>
          <w:color w:val="auto"/>
          <w:szCs w:val="21"/>
          <w:highlight w:val="none"/>
        </w:rPr>
        <w:t>公共安全视频传输网</w:t>
      </w:r>
      <w:r>
        <w:rPr>
          <w:rFonts w:hint="eastAsia" w:ascii="宋体" w:hAnsi="宋体" w:cs="宋体"/>
          <w:color w:val="auto"/>
          <w:szCs w:val="21"/>
          <w:highlight w:val="none"/>
          <w:lang w:val="zh-CN"/>
        </w:rPr>
        <w:t>内，在隔离网闸内端机与外端机上做TCP/IP协议封装解封装，然后通过内置专用隔离硬件</w:t>
      </w:r>
      <w:r>
        <w:rPr>
          <w:rFonts w:hint="eastAsia" w:ascii="宋体" w:hAnsi="宋体" w:cs="宋体"/>
          <w:color w:val="auto"/>
          <w:szCs w:val="21"/>
          <w:highlight w:val="none"/>
        </w:rPr>
        <w:t>互联</w:t>
      </w:r>
      <w:r>
        <w:rPr>
          <w:rFonts w:hint="eastAsia" w:ascii="宋体" w:hAnsi="宋体" w:cs="宋体"/>
          <w:color w:val="auto"/>
          <w:szCs w:val="21"/>
          <w:highlight w:val="none"/>
          <w:lang w:val="zh-CN"/>
        </w:rPr>
        <w:t>，有效地隔断与电子政务外网之间的直接连接，实现与电子政务外网之间有效、安全、受控的</w:t>
      </w:r>
      <w:r>
        <w:rPr>
          <w:rFonts w:hint="eastAsia" w:ascii="宋体" w:hAnsi="宋体" w:cs="宋体"/>
          <w:color w:val="auto"/>
          <w:szCs w:val="21"/>
          <w:highlight w:val="none"/>
        </w:rPr>
        <w:t>视频共享</w:t>
      </w:r>
      <w:r>
        <w:rPr>
          <w:rFonts w:hint="eastAsia" w:ascii="宋体" w:hAnsi="宋体" w:cs="宋体"/>
          <w:color w:val="auto"/>
          <w:szCs w:val="21"/>
          <w:highlight w:val="none"/>
          <w:lang w:val="zh-CN"/>
        </w:rPr>
        <w:t>。</w:t>
      </w:r>
    </w:p>
    <w:p>
      <w:pPr>
        <w:pStyle w:val="5"/>
        <w:ind w:left="720"/>
        <w:rPr>
          <w:rFonts w:ascii="宋体" w:hAnsi="宋体" w:eastAsia="宋体" w:cs="宋体"/>
          <w:color w:val="auto"/>
          <w:sz w:val="21"/>
          <w:szCs w:val="21"/>
          <w:highlight w:val="none"/>
          <w:lang w:val="en-US"/>
        </w:rPr>
      </w:pPr>
      <w:bookmarkStart w:id="161" w:name="_Toc21651"/>
      <w:r>
        <w:rPr>
          <w:rFonts w:hint="eastAsia" w:ascii="宋体" w:hAnsi="宋体" w:eastAsia="宋体" w:cs="宋体"/>
          <w:color w:val="auto"/>
          <w:sz w:val="21"/>
          <w:szCs w:val="21"/>
          <w:highlight w:val="none"/>
          <w:lang w:val="en-US"/>
        </w:rPr>
        <w:t>4、安全防护建设</w:t>
      </w:r>
      <w:bookmarkEnd w:id="161"/>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通过部署日志审计系统、数据库审计系统、入侵防护系统和配备杀毒软件、水印服务器、设备准入系统提升区公共安全视频传输网安全防护能力。</w:t>
      </w:r>
    </w:p>
    <w:p>
      <w:pPr>
        <w:adjustRightInd/>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rPr>
        <w:t>4.1日志审计系统</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val="zh-CN"/>
        </w:rPr>
        <w:t>对</w:t>
      </w:r>
      <w:r>
        <w:rPr>
          <w:rFonts w:hint="eastAsia" w:ascii="宋体" w:hAnsi="宋体" w:cs="宋体"/>
          <w:color w:val="auto"/>
          <w:szCs w:val="21"/>
          <w:highlight w:val="none"/>
        </w:rPr>
        <w:t>区公共安全视频传输网内所有平台的</w:t>
      </w:r>
      <w:r>
        <w:rPr>
          <w:rFonts w:hint="eastAsia" w:ascii="宋体" w:hAnsi="宋体" w:cs="宋体"/>
          <w:color w:val="auto"/>
          <w:szCs w:val="21"/>
          <w:highlight w:val="none"/>
          <w:lang w:val="zh-CN"/>
        </w:rPr>
        <w:t>登录用户所有操作进行审计，</w:t>
      </w:r>
      <w:r>
        <w:rPr>
          <w:rFonts w:hint="eastAsia" w:ascii="宋体" w:hAnsi="宋体" w:cs="宋体"/>
          <w:color w:val="auto"/>
          <w:szCs w:val="21"/>
          <w:highlight w:val="none"/>
        </w:rPr>
        <w:t>并且建设完善平台视频数据查看、下载、录像回放的日志审计系统和多维数据接入转发系统数据操作日志审计系统；</w:t>
      </w:r>
    </w:p>
    <w:p>
      <w:pPr>
        <w:adjustRightInd/>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rPr>
        <w:t>4.2数据应用安全</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对区公共安全视频传输网内所有平台的视频数据、多维数据进行数据应用安全审计。</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1、访问控制权限</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依据访问控制层的确定的理论基础，在平台层设计访问控制权限列表，完成对用户和 IP 的访问控制。</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2、数据资产管理</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数据资源管理负责相关安全策略的配置和分发，通过规定客户端通常进行何种操作，以怎样的方式达到对数据资产进行保护的目的。</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可以通过设置禁止复制某种固定格式的文件。或者禁止未授权用户打开某些标密的文档等策略以防止数据资产信息的泄露。</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3、登录安全管理</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对登录的用户名和密码进行审核，如果连续三次输入密码错误，需要将用户账号暂时加锁。</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4、数据权限设置</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根据 RBAC模型系统管理中定义角色或用户，并分配完功能级权限后才能在这里进行数据权限分配。</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5、数据可用不可见策略</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基于支撑层的数据可用不可见原理，就数据共享而言，共享数据分割发布，通过改变共享数据的分布特性，隐藏原有数据的特征以及数据形态。对敏感数据的标示进行匿名化和转换。</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6、操作日志服务</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操作日志服务主要针对服务器管理人员。管理人员需对预警操作的相关日志进行审核操作，确定用户是否存在危险、是否应该对用户的操作进行提醒或是否限制用户行为。</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通过以上手段部署数据库审计系统，强化视频数据安全建设；</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4.3入侵防护系统</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为了避免区公共安全视频传输网内平台产生越权非法使用应用系统的文件、数据库等资源，为用户分配相应的权限，通过角色控制用户的权限，各用户仅拥有所需的最小权限。采用的措施主要包括：</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1、启用访问控制功能：制定严格的访问控制安全策略，根据策略控制用户对应用系统的访问，特别是文件操作、数据库访问等，控制粒度主体为用户级、客体为文件或数据库表级。</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权限控制：对于制定的访问控制规则要能清楚的覆盖资源访问相关的主体、客体及它们之间的操作。对于不同的用户授权原则是进行能够完成工作的最小化授权，避免授权范围过大，并在它们之间形成相互制约的关系。</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3、账号管理：严格限制默认帐户的访问权限，重命名默认帐户，修改默认口令；及时删除多余的、过期的帐户，避免共享帐户的存在。</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4、访问控制的实现主要采取两种方式：采用安全操作系统，或对操作系统进行安全增强改造。</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在进行访问控制的基础上，部署入侵检测系统，保障公共视频监控整体安全运行；</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4.4水印能力建设</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为了确保区公共安全视频传输网内视频数据的安全使用，防止敏感数据外泄，本次升级扩容建设512路公安分平台视频水印能力，对接入公共视频监控数据进行共享加密，防止通过网络截获、存储介质拷贝、下载等手段导致视图数据泄露；对调取和使用视频数据进行鉴权后叠加水印，泄露后可以精准溯源。</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为防止视频泄密或者方便事后快速找到泄密人员，需要第三方从平台中输出的码流叠加拉流用户信息的水印内容。通过视频水印系统，对原始视频流进行解码，叠加水印，再重新编码得到新的视频流对外输出。</w:t>
      </w:r>
    </w:p>
    <w:p>
      <w:pPr>
        <w:adjustRightInd/>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rPr>
        <w:t>系统支持对需要进行叠加水印的拉流类型、用户、通道及水印信息进行配置。当第三方前端进行视频拉流的时候，创建水印任务，叠加前端的IP地址。第三方前端获取取流地址后，再次拉流时，将叠加水印的视频进行返回。</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4.5准入系统建设</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根据《公安视频图像信息系统安全技术要求第二部分：前端设备》要求前端设备入网需进行身份标识、鉴别、认证、访问控制、入侵防范等，结合实际业务情况拟部署相关安全设备针对前端接入设备按照要求进行补强加固。</w:t>
      </w:r>
    </w:p>
    <w:p>
      <w:pPr>
        <w:pStyle w:val="5"/>
        <w:spacing w:line="240" w:lineRule="auto"/>
        <w:ind w:left="0" w:firstLine="0"/>
        <w:rPr>
          <w:rFonts w:ascii="宋体" w:hAnsi="宋体" w:eastAsia="宋体" w:cs="宋体"/>
          <w:color w:val="auto"/>
          <w:sz w:val="21"/>
          <w:szCs w:val="21"/>
          <w:highlight w:val="none"/>
          <w:lang w:val="en-US"/>
        </w:rPr>
      </w:pPr>
      <w:bookmarkStart w:id="162" w:name="_Toc30415"/>
      <w:r>
        <w:rPr>
          <w:rFonts w:hint="eastAsia" w:ascii="宋体" w:hAnsi="宋体" w:eastAsia="宋体" w:cs="宋体"/>
          <w:color w:val="auto"/>
          <w:sz w:val="21"/>
          <w:szCs w:val="21"/>
          <w:highlight w:val="none"/>
          <w:lang w:val="en-US"/>
        </w:rPr>
        <w:t>（九）区公安分局视频信息共享平台升级</w:t>
      </w:r>
      <w:bookmarkEnd w:id="162"/>
    </w:p>
    <w:p>
      <w:pPr>
        <w:pStyle w:val="969"/>
        <w:ind w:firstLine="420"/>
        <w:rPr>
          <w:rFonts w:ascii="宋体" w:hAnsi="宋体" w:eastAsia="宋体" w:cs="宋体"/>
          <w:bCs/>
          <w:color w:val="auto"/>
          <w:kern w:val="0"/>
          <w:szCs w:val="21"/>
          <w:highlight w:val="none"/>
          <w:lang w:bidi="ar"/>
        </w:rPr>
      </w:pPr>
      <w:r>
        <w:rPr>
          <w:rFonts w:hint="eastAsia" w:ascii="宋体" w:hAnsi="宋体" w:eastAsia="宋体" w:cs="宋体"/>
          <w:bCs/>
          <w:color w:val="auto"/>
          <w:kern w:val="0"/>
          <w:szCs w:val="21"/>
          <w:highlight w:val="none"/>
          <w:lang w:bidi="ar"/>
        </w:rPr>
        <w:t>原区公安分局视频信息共享平台方面仅仅完成了数据的接入汇聚，功能上未有对车辆、人脸、多维数据应用功能和对设备数据进行综合运维管理的平台，无法满足高新区公安分局现有业务应用和运维管理需要，通过本项目平台升级完善数据能力，新接入高新区职能部门二类点资源，扩容存储。</w:t>
      </w:r>
    </w:p>
    <w:p>
      <w:pPr>
        <w:pStyle w:val="4"/>
        <w:ind w:left="575" w:hanging="575"/>
        <w:rPr>
          <w:rFonts w:ascii="宋体" w:hAnsi="宋体" w:eastAsia="宋体" w:cs="宋体"/>
          <w:color w:val="auto"/>
          <w:sz w:val="21"/>
          <w:szCs w:val="21"/>
          <w:highlight w:val="none"/>
        </w:rPr>
      </w:pPr>
      <w:bookmarkStart w:id="163" w:name="_Toc481"/>
      <w:bookmarkStart w:id="164" w:name="_Toc84583511"/>
      <w:r>
        <w:rPr>
          <w:rFonts w:hint="eastAsia" w:ascii="宋体" w:hAnsi="宋体" w:eastAsia="宋体" w:cs="宋体"/>
          <w:color w:val="auto"/>
          <w:sz w:val="21"/>
          <w:szCs w:val="21"/>
          <w:highlight w:val="none"/>
          <w:lang w:val="en-US"/>
        </w:rPr>
        <w:t>1</w:t>
      </w:r>
      <w:r>
        <w:rPr>
          <w:rFonts w:hint="eastAsia" w:ascii="宋体" w:hAnsi="宋体" w:cs="宋体"/>
          <w:color w:val="auto"/>
          <w:sz w:val="21"/>
          <w:szCs w:val="21"/>
          <w:highlight w:val="none"/>
          <w:lang w:val="en-US"/>
        </w:rPr>
        <w:t>、</w:t>
      </w:r>
      <w:r>
        <w:rPr>
          <w:rFonts w:hint="eastAsia" w:ascii="宋体" w:hAnsi="宋体" w:eastAsia="宋体" w:cs="宋体"/>
          <w:color w:val="auto"/>
          <w:sz w:val="21"/>
          <w:szCs w:val="21"/>
          <w:highlight w:val="none"/>
          <w:lang w:val="en-US"/>
        </w:rPr>
        <w:t>二类点资源整合</w:t>
      </w:r>
      <w:bookmarkEnd w:id="163"/>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（一）社会面资源平台整合方式</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社会面视频图像汇聚平台此次以整合二类点视频资源。依据通用视频联网标准协议（GB/T28181-2016）进行视频设备数据的接入、级联和共享，此次整合配置1台国标网关和1台非国标网关服务进行平台设备级联：</w:t>
      </w:r>
    </w:p>
    <w:tbl>
      <w:tblPr>
        <w:tblStyle w:val="6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
        <w:gridCol w:w="1970"/>
        <w:gridCol w:w="1691"/>
        <w:gridCol w:w="771"/>
        <w:gridCol w:w="900"/>
        <w:gridCol w:w="2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236" w:type="pct"/>
            <w:vMerge w:val="restar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序号</w:t>
            </w:r>
          </w:p>
        </w:tc>
        <w:tc>
          <w:tcPr>
            <w:tcW w:w="1156" w:type="pct"/>
            <w:vMerge w:val="restar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部门名称</w:t>
            </w:r>
          </w:p>
        </w:tc>
        <w:tc>
          <w:tcPr>
            <w:tcW w:w="3607" w:type="pct"/>
            <w:gridSpan w:val="4"/>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接入点情况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36" w:type="pct"/>
            <w:vMerge w:val="continue"/>
            <w:tcBorders>
              <w:tl2br w:val="nil"/>
              <w:tr2bl w:val="nil"/>
            </w:tcBorders>
            <w:vAlign w:val="center"/>
          </w:tcPr>
          <w:p>
            <w:pPr>
              <w:widowControl/>
              <w:jc w:val="left"/>
              <w:rPr>
                <w:rFonts w:ascii="宋体" w:hAnsi="宋体" w:cs="宋体"/>
                <w:color w:val="auto"/>
                <w:kern w:val="0"/>
                <w:szCs w:val="21"/>
                <w:highlight w:val="none"/>
              </w:rPr>
            </w:pPr>
          </w:p>
        </w:tc>
        <w:tc>
          <w:tcPr>
            <w:tcW w:w="1156" w:type="pct"/>
            <w:vMerge w:val="continue"/>
            <w:tcBorders>
              <w:tl2br w:val="nil"/>
              <w:tr2bl w:val="nil"/>
            </w:tcBorders>
            <w:vAlign w:val="center"/>
          </w:tcPr>
          <w:p>
            <w:pPr>
              <w:widowControl/>
              <w:jc w:val="left"/>
              <w:rPr>
                <w:rFonts w:ascii="宋体" w:hAnsi="宋体" w:cs="宋体"/>
                <w:color w:val="auto"/>
                <w:kern w:val="0"/>
                <w:szCs w:val="21"/>
                <w:highlight w:val="none"/>
              </w:rPr>
            </w:pPr>
          </w:p>
        </w:tc>
        <w:tc>
          <w:tcPr>
            <w:tcW w:w="991" w:type="pct"/>
            <w:tcBorders>
              <w:tl2br w:val="nil"/>
              <w:tr2bl w:val="nil"/>
            </w:tcBorders>
            <w:shd w:val="clear" w:color="auto" w:fill="auto"/>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目前接入平台</w:t>
            </w:r>
          </w:p>
        </w:tc>
        <w:tc>
          <w:tcPr>
            <w:tcW w:w="453" w:type="pct"/>
            <w:tcBorders>
              <w:tl2br w:val="nil"/>
              <w:tr2bl w:val="nil"/>
            </w:tcBorders>
            <w:shd w:val="clear" w:color="auto" w:fill="auto"/>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接入点数量</w:t>
            </w:r>
          </w:p>
        </w:tc>
        <w:tc>
          <w:tcPr>
            <w:tcW w:w="528" w:type="pct"/>
            <w:tcBorders>
              <w:tl2br w:val="nil"/>
              <w:tr2bl w:val="nil"/>
            </w:tcBorders>
            <w:shd w:val="clear" w:color="auto" w:fill="auto"/>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是否包含人脸、车脸接入点</w:t>
            </w:r>
          </w:p>
        </w:tc>
        <w:tc>
          <w:tcPr>
            <w:tcW w:w="1633" w:type="pct"/>
            <w:tcBorders>
              <w:tl2br w:val="nil"/>
              <w:tr2bl w:val="nil"/>
            </w:tcBorders>
            <w:shd w:val="clear" w:color="auto" w:fill="auto"/>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整合方式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236" w:type="pct"/>
            <w:vMerge w:val="restar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1156" w:type="pct"/>
            <w:vMerge w:val="restar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城市管理行政执法局</w:t>
            </w:r>
          </w:p>
        </w:tc>
        <w:tc>
          <w:tcPr>
            <w:tcW w:w="991"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高新区城管视频综合应用平台</w:t>
            </w:r>
          </w:p>
        </w:tc>
        <w:tc>
          <w:tcPr>
            <w:tcW w:w="453"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99</w:t>
            </w:r>
          </w:p>
        </w:tc>
        <w:tc>
          <w:tcPr>
            <w:tcW w:w="528"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无</w:t>
            </w:r>
          </w:p>
        </w:tc>
        <w:tc>
          <w:tcPr>
            <w:tcW w:w="1633" w:type="pct"/>
            <w:vMerge w:val="restar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其中50路由此次项目统一建设接入公安视频信息共享平台</w:t>
            </w:r>
          </w:p>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其余进行平台国标级联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36" w:type="pct"/>
            <w:vMerge w:val="continue"/>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p>
        </w:tc>
        <w:tc>
          <w:tcPr>
            <w:tcW w:w="1156" w:type="pct"/>
            <w:vMerge w:val="continue"/>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p>
        </w:tc>
        <w:tc>
          <w:tcPr>
            <w:tcW w:w="991"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公厕信息化部分设备自建平台</w:t>
            </w:r>
          </w:p>
        </w:tc>
        <w:tc>
          <w:tcPr>
            <w:tcW w:w="453"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20</w:t>
            </w:r>
          </w:p>
        </w:tc>
        <w:tc>
          <w:tcPr>
            <w:tcW w:w="528"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无</w:t>
            </w:r>
          </w:p>
        </w:tc>
        <w:tc>
          <w:tcPr>
            <w:tcW w:w="1633" w:type="pct"/>
            <w:vMerge w:val="continue"/>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36"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1156"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资源规划局</w:t>
            </w:r>
          </w:p>
        </w:tc>
        <w:tc>
          <w:tcPr>
            <w:tcW w:w="991"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省厅统一平台</w:t>
            </w:r>
          </w:p>
        </w:tc>
        <w:tc>
          <w:tcPr>
            <w:tcW w:w="453"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12</w:t>
            </w:r>
          </w:p>
        </w:tc>
        <w:tc>
          <w:tcPr>
            <w:tcW w:w="528"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无</w:t>
            </w:r>
          </w:p>
        </w:tc>
        <w:tc>
          <w:tcPr>
            <w:tcW w:w="1633"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国标级联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236"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1156"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社管局</w:t>
            </w:r>
          </w:p>
        </w:tc>
        <w:tc>
          <w:tcPr>
            <w:tcW w:w="991"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联通云平台</w:t>
            </w:r>
          </w:p>
        </w:tc>
        <w:tc>
          <w:tcPr>
            <w:tcW w:w="453"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c>
          <w:tcPr>
            <w:tcW w:w="528"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含5路人脸点位</w:t>
            </w:r>
          </w:p>
        </w:tc>
        <w:tc>
          <w:tcPr>
            <w:tcW w:w="1633"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国标级联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36"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c>
          <w:tcPr>
            <w:tcW w:w="1156"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市场监督管理局高新区分局</w:t>
            </w:r>
          </w:p>
        </w:tc>
        <w:tc>
          <w:tcPr>
            <w:tcW w:w="991"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电信云平台</w:t>
            </w:r>
          </w:p>
        </w:tc>
        <w:tc>
          <w:tcPr>
            <w:tcW w:w="453"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12</w:t>
            </w:r>
          </w:p>
        </w:tc>
        <w:tc>
          <w:tcPr>
            <w:tcW w:w="528"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无</w:t>
            </w:r>
          </w:p>
        </w:tc>
        <w:tc>
          <w:tcPr>
            <w:tcW w:w="1633"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国标级联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36"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c>
          <w:tcPr>
            <w:tcW w:w="1156"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高新区公共资源交易中心</w:t>
            </w:r>
          </w:p>
        </w:tc>
        <w:tc>
          <w:tcPr>
            <w:tcW w:w="991"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自建平台</w:t>
            </w:r>
          </w:p>
        </w:tc>
        <w:tc>
          <w:tcPr>
            <w:tcW w:w="453"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36</w:t>
            </w:r>
          </w:p>
        </w:tc>
        <w:tc>
          <w:tcPr>
            <w:tcW w:w="528"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含3路人脸点位</w:t>
            </w:r>
          </w:p>
        </w:tc>
        <w:tc>
          <w:tcPr>
            <w:tcW w:w="1633"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非国标改造级联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236" w:type="pct"/>
            <w:vMerge w:val="restar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6</w:t>
            </w:r>
          </w:p>
        </w:tc>
        <w:tc>
          <w:tcPr>
            <w:tcW w:w="1156" w:type="pct"/>
            <w:vMerge w:val="restar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机关综合服务中心</w:t>
            </w:r>
          </w:p>
        </w:tc>
        <w:tc>
          <w:tcPr>
            <w:tcW w:w="991"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行政服务大厅监控改造</w:t>
            </w:r>
          </w:p>
        </w:tc>
        <w:tc>
          <w:tcPr>
            <w:tcW w:w="453"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40</w:t>
            </w:r>
          </w:p>
        </w:tc>
        <w:tc>
          <w:tcPr>
            <w:tcW w:w="528"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含40路人脸点位</w:t>
            </w:r>
          </w:p>
        </w:tc>
        <w:tc>
          <w:tcPr>
            <w:tcW w:w="1633" w:type="pct"/>
            <w:vMerge w:val="restar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国标级联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36" w:type="pct"/>
            <w:vMerge w:val="continue"/>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p>
        </w:tc>
        <w:tc>
          <w:tcPr>
            <w:tcW w:w="1156" w:type="pct"/>
            <w:vMerge w:val="continue"/>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p>
        </w:tc>
        <w:tc>
          <w:tcPr>
            <w:tcW w:w="991"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行政服务大厅进出口人脸智能摄像机增设</w:t>
            </w:r>
          </w:p>
        </w:tc>
        <w:tc>
          <w:tcPr>
            <w:tcW w:w="453"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26</w:t>
            </w:r>
          </w:p>
        </w:tc>
        <w:tc>
          <w:tcPr>
            <w:tcW w:w="528"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含26路人脸点位</w:t>
            </w:r>
          </w:p>
        </w:tc>
        <w:tc>
          <w:tcPr>
            <w:tcW w:w="1633" w:type="pct"/>
            <w:vMerge w:val="continue"/>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36"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7</w:t>
            </w:r>
          </w:p>
        </w:tc>
        <w:tc>
          <w:tcPr>
            <w:tcW w:w="1156"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梅墟医院</w:t>
            </w:r>
          </w:p>
        </w:tc>
        <w:tc>
          <w:tcPr>
            <w:tcW w:w="991"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梅墟医院门诊、梅墟医院综合楼</w:t>
            </w:r>
          </w:p>
        </w:tc>
        <w:tc>
          <w:tcPr>
            <w:tcW w:w="453"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62</w:t>
            </w:r>
          </w:p>
        </w:tc>
        <w:tc>
          <w:tcPr>
            <w:tcW w:w="528"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无</w:t>
            </w:r>
          </w:p>
        </w:tc>
        <w:tc>
          <w:tcPr>
            <w:tcW w:w="1633"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非国标改造级联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236"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8</w:t>
            </w:r>
          </w:p>
        </w:tc>
        <w:tc>
          <w:tcPr>
            <w:tcW w:w="1156"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卫健委</w:t>
            </w:r>
          </w:p>
        </w:tc>
        <w:tc>
          <w:tcPr>
            <w:tcW w:w="991"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联通云平台</w:t>
            </w:r>
          </w:p>
        </w:tc>
        <w:tc>
          <w:tcPr>
            <w:tcW w:w="453"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528"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无</w:t>
            </w:r>
          </w:p>
        </w:tc>
        <w:tc>
          <w:tcPr>
            <w:tcW w:w="1633"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国标级联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236"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9</w:t>
            </w:r>
          </w:p>
        </w:tc>
        <w:tc>
          <w:tcPr>
            <w:tcW w:w="1156"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新明医院</w:t>
            </w:r>
          </w:p>
        </w:tc>
        <w:tc>
          <w:tcPr>
            <w:tcW w:w="991"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自建平台</w:t>
            </w:r>
          </w:p>
        </w:tc>
        <w:tc>
          <w:tcPr>
            <w:tcW w:w="453"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8</w:t>
            </w:r>
          </w:p>
        </w:tc>
        <w:tc>
          <w:tcPr>
            <w:tcW w:w="528"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无</w:t>
            </w:r>
          </w:p>
        </w:tc>
        <w:tc>
          <w:tcPr>
            <w:tcW w:w="1633"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非国标改造级联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36"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10</w:t>
            </w:r>
          </w:p>
        </w:tc>
        <w:tc>
          <w:tcPr>
            <w:tcW w:w="1156"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宁波国家高新技术产业开发区经济发展局</w:t>
            </w:r>
          </w:p>
        </w:tc>
        <w:tc>
          <w:tcPr>
            <w:tcW w:w="991"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电信云平台</w:t>
            </w:r>
          </w:p>
        </w:tc>
        <w:tc>
          <w:tcPr>
            <w:tcW w:w="453"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22</w:t>
            </w:r>
          </w:p>
        </w:tc>
        <w:tc>
          <w:tcPr>
            <w:tcW w:w="528"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无</w:t>
            </w:r>
          </w:p>
        </w:tc>
        <w:tc>
          <w:tcPr>
            <w:tcW w:w="1633" w:type="pct"/>
            <w:tcBorders>
              <w:tl2br w:val="nil"/>
              <w:tr2bl w:val="nil"/>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国标级联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2384" w:type="pct"/>
            <w:gridSpan w:val="3"/>
            <w:tcBorders>
              <w:tl2br w:val="nil"/>
              <w:tr2bl w:val="nil"/>
            </w:tcBorders>
            <w:shd w:val="clear" w:color="auto" w:fill="auto"/>
            <w:noWrap/>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感知点位合计</w:t>
            </w:r>
          </w:p>
        </w:tc>
        <w:tc>
          <w:tcPr>
            <w:tcW w:w="2615" w:type="pct"/>
            <w:gridSpan w:val="3"/>
            <w:tcBorders>
              <w:tl2br w:val="nil"/>
              <w:tr2bl w:val="nil"/>
            </w:tcBorders>
            <w:shd w:val="clear" w:color="auto" w:fill="auto"/>
            <w:noWrap/>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344</w:t>
            </w:r>
          </w:p>
        </w:tc>
      </w:tr>
    </w:tbl>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1、平台国标级联</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社会面视频接入平台与企事业单位或运营商视频平台通过平台级联，实现视频资源的整合。平台之间级联遵循国标GB/T28181-2016。</w:t>
      </w:r>
    </w:p>
    <w:p>
      <w:pPr>
        <w:adjustRightInd/>
        <w:spacing w:line="360" w:lineRule="auto"/>
        <w:ind w:firstLine="420" w:firstLineChars="200"/>
        <w:jc w:val="center"/>
        <w:rPr>
          <w:rFonts w:ascii="宋体" w:hAnsi="宋体" w:cs="宋体"/>
          <w:color w:val="auto"/>
          <w:szCs w:val="21"/>
          <w:highlight w:val="none"/>
        </w:rPr>
      </w:pPr>
      <w:r>
        <w:rPr>
          <w:rFonts w:hint="eastAsia" w:ascii="宋体" w:hAnsi="宋体" w:cs="宋体"/>
          <w:color w:val="auto"/>
          <w:szCs w:val="21"/>
          <w:highlight w:val="none"/>
        </w:rPr>
        <w:object>
          <v:shape id="_x0000_i1026" o:spt="75" type="#_x0000_t75" style="height:278.5pt;width:277.2pt;" o:ole="t" filled="f" o:preferrelative="t" stroked="f" coordsize="21600,21600">
            <v:path/>
            <v:fill on="f" focussize="0,0"/>
            <v:stroke on="f" joinstyle="miter"/>
            <v:imagedata r:id="rId43" o:title=""/>
            <o:lock v:ext="edit" aspectratio="t"/>
            <w10:wrap type="none"/>
            <w10:anchorlock/>
          </v:shape>
          <o:OLEObject Type="Embed" ProgID="Visio.Drawing.15" ShapeID="_x0000_i1026" DrawAspect="Content" ObjectID="_1468075726">
            <o:LockedField>false</o:LockedField>
          </o:OLEObject>
        </w:objec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视频平台接入方案示意图</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（1）基于国标协议，通过视频联网服务，将下级社会面国标平台所有点位资源级联上来，实现资源目录的同步。</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（2）基于国标协议，通过视频联网服务，将下级社会面国标平台接入的视频设备进行实时取流预览服务。</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（3）基于国标协议，通过视频联网服务，将下级社会面国标平台的中心端存储的视频录像进行录像回放服务。</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2、直接接入非国标（后期接入预留）</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对于不符合GB/T28181标准的各社会单位政府部门视频监控平台，主要考虑两种方式：</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（1）可以根据实际情况改造为符合GB/T28181要求的监控平台，再通过国标对接方式与社会资源汇聚平台实现互联对接。</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对于因各种原因无法实现软件自身升级的非标平台，建议通过增加符合国标GB/T28181要求的联网网关，将非标平台的信令协议、设备ID、媒体传输协议、数据封装格式、媒体码流进行标准化转换，再通过国标对接方式与社会资源汇聚平台实现互联对接。</w:t>
      </w:r>
    </w:p>
    <w:p>
      <w:pPr>
        <w:pStyle w:val="64"/>
        <w:ind w:firstLine="420"/>
        <w:rPr>
          <w:rFonts w:cs="宋体"/>
          <w:color w:val="auto"/>
          <w:szCs w:val="21"/>
          <w:highlight w:val="none"/>
        </w:rPr>
      </w:pPr>
      <w:r>
        <w:rPr>
          <w:rFonts w:hint="eastAsia" w:cs="宋体"/>
          <w:color w:val="auto"/>
          <w:szCs w:val="21"/>
          <w:highlight w:val="none"/>
        </w:rPr>
        <w:drawing>
          <wp:inline distT="0" distB="0" distL="0" distR="0">
            <wp:extent cx="4438650" cy="1441450"/>
            <wp:effectExtent l="0" t="0" r="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44">
                      <a:extLst>
                        <a:ext uri="{28A0092B-C50C-407E-A947-70E740481C1C}">
                          <a14:useLocalDpi xmlns:a14="http://schemas.microsoft.com/office/drawing/2010/main" val="0"/>
                        </a:ext>
                      </a:extLst>
                    </a:blip>
                    <a:srcRect b="7787"/>
                    <a:stretch>
                      <a:fillRect/>
                    </a:stretch>
                  </pic:blipFill>
                  <pic:spPr>
                    <a:xfrm>
                      <a:off x="0" y="0"/>
                      <a:ext cx="4472276" cy="1452603"/>
                    </a:xfrm>
                    <a:prstGeom prst="rect">
                      <a:avLst/>
                    </a:prstGeom>
                    <a:noFill/>
                    <a:ln>
                      <a:noFill/>
                    </a:ln>
                  </pic:spPr>
                </pic:pic>
              </a:graphicData>
            </a:graphic>
          </wp:inline>
        </w:drawing>
      </w:r>
    </w:p>
    <w:p>
      <w:pPr>
        <w:adjustRightInd/>
        <w:spacing w:line="360" w:lineRule="auto"/>
        <w:jc w:val="center"/>
        <w:rPr>
          <w:rFonts w:ascii="宋体" w:hAnsi="宋体" w:cs="宋体"/>
          <w:color w:val="auto"/>
          <w:szCs w:val="21"/>
          <w:highlight w:val="none"/>
        </w:rPr>
      </w:pPr>
      <w:r>
        <w:rPr>
          <w:rFonts w:hint="eastAsia" w:ascii="宋体" w:hAnsi="宋体" w:cs="宋体"/>
          <w:color w:val="auto"/>
          <w:szCs w:val="21"/>
          <w:highlight w:val="none"/>
        </w:rPr>
        <w:t>非标平台对接示意图</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采用非标平台标准化改造对接方式时，非标平台应向联网网关提供完善的平台层SDK开发包及开发说明文档，以实现对平台的接入和国标化改造。若无法提供开发接口，则可以考虑平台替换，或者采用直接设备接入的方式进行联网，否则待后续平台更新升级以后再考虑接入。平台层SDK开发包应包含但不限于以下内容：组织、设备、通道信息获取方法、视频预览功能实现接口、云台控制功能实现接口、录像查询及回放功能实现接口等。</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（二）与上级平台联网方式</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社会面视频接入转发系统完成对社会面的视频图像资源的级联接入后，需要按需将视频资源推送至区公共安全视频信息共享平台公安分平台此次通过国标按照国标GB/T28181通过级联方式。</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1.视频联网</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社会面汇聚平台按照国标GB/T28181通过级联方式与区公共视频安全传输网公共安全视频信息共享平台公安分平台进行互联对接，公安分平台可按需共享社会面视频监控点位的实时视频或历史录像。此次在跨网进行视频联网时，在边界部署视频网闸设备。</w:t>
      </w:r>
    </w:p>
    <w:p>
      <w:pPr>
        <w:adjustRightInd/>
        <w:spacing w:line="360" w:lineRule="auto"/>
        <w:ind w:firstLine="420" w:firstLineChars="200"/>
        <w:rPr>
          <w:rFonts w:ascii="宋体" w:hAnsi="宋体" w:cs="宋体"/>
          <w:color w:val="auto"/>
          <w:szCs w:val="21"/>
          <w:highlight w:val="none"/>
        </w:rPr>
      </w:pPr>
      <w:bookmarkStart w:id="165" w:name="_Toc486000955"/>
      <w:r>
        <w:rPr>
          <w:rFonts w:hint="eastAsia" w:ascii="宋体" w:hAnsi="宋体" w:cs="宋体"/>
          <w:color w:val="auto"/>
          <w:szCs w:val="21"/>
          <w:highlight w:val="none"/>
        </w:rPr>
        <w:t>2、平台级联功能</w:t>
      </w:r>
      <w:bookmarkEnd w:id="165"/>
    </w:p>
    <w:p>
      <w:pPr>
        <w:adjustRightInd/>
        <w:spacing w:line="360" w:lineRule="auto"/>
        <w:ind w:firstLine="420" w:firstLineChars="200"/>
        <w:rPr>
          <w:rFonts w:ascii="宋体" w:hAnsi="宋体" w:cs="宋体"/>
          <w:color w:val="auto"/>
          <w:szCs w:val="21"/>
          <w:highlight w:val="none"/>
        </w:rPr>
      </w:pPr>
      <w:bookmarkStart w:id="166" w:name="_Toc339734138"/>
      <w:bookmarkStart w:id="167" w:name="_Toc366138930"/>
      <w:r>
        <w:rPr>
          <w:rFonts w:hint="eastAsia" w:ascii="宋体" w:hAnsi="宋体" w:cs="宋体"/>
          <w:color w:val="auto"/>
          <w:szCs w:val="21"/>
          <w:highlight w:val="none"/>
        </w:rPr>
        <w:t>基本功能</w:t>
      </w:r>
      <w:bookmarkEnd w:id="166"/>
      <w:bookmarkEnd w:id="167"/>
      <w:r>
        <w:rPr>
          <w:rFonts w:hint="eastAsia" w:ascii="宋体" w:hAnsi="宋体" w:cs="宋体"/>
          <w:color w:val="auto"/>
          <w:szCs w:val="21"/>
          <w:highlight w:val="none"/>
        </w:rPr>
        <w:t>：</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注册与发现：具有自动注册功能，在两个级联平台上各自对任一设备进行添加/修改，两个平台能够互相发现；</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心跳检测：两个级联平台上能够相互感知到对方平台上的授权设备状态信息；</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云台控制：两个级联模式的平台在权限设置允许的条件下，能够控制对方的云台；</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实时监控：上级平台用户在权限设置允许的条件下，能对下级平台摄像头的实时视频进行访问；</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录像查询与下载：上级平台用户在权限设置允许的条件下，能对下级平台录像资料进行查询、下载；</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录像回放与控制：上级平台用户在权限设置允许的条件下，能对下级平台录像资料进行回放，并可实现录像回放进度控制；</w:t>
      </w:r>
    </w:p>
    <w:p>
      <w:pPr>
        <w:adjustRightInd/>
        <w:spacing w:line="360" w:lineRule="auto"/>
        <w:ind w:firstLine="420" w:firstLineChars="200"/>
        <w:rPr>
          <w:rFonts w:ascii="宋体" w:hAnsi="宋体" w:cs="宋体"/>
          <w:color w:val="auto"/>
          <w:szCs w:val="21"/>
          <w:highlight w:val="none"/>
        </w:rPr>
      </w:pPr>
      <w:bookmarkStart w:id="168" w:name="_Toc366138932"/>
      <w:bookmarkStart w:id="169" w:name="_Toc363460543"/>
      <w:bookmarkStart w:id="170" w:name="_Toc339734140"/>
      <w:r>
        <w:rPr>
          <w:rFonts w:hint="eastAsia" w:ascii="宋体" w:hAnsi="宋体" w:cs="宋体"/>
          <w:color w:val="auto"/>
          <w:szCs w:val="21"/>
          <w:highlight w:val="none"/>
        </w:rPr>
        <w:t>媒体保活</w:t>
      </w:r>
      <w:bookmarkEnd w:id="168"/>
      <w:bookmarkEnd w:id="169"/>
      <w:r>
        <w:rPr>
          <w:rFonts w:hint="eastAsia" w:ascii="宋体" w:hAnsi="宋体" w:cs="宋体"/>
          <w:color w:val="auto"/>
          <w:szCs w:val="21"/>
          <w:highlight w:val="none"/>
        </w:rPr>
        <w:t>：</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平台支持媒体流保活机制，媒体流的接收和发送方基于RTCP进行媒体流保活，上级平台用户访问下级平台前端监控点实时视频或录像视频时，服务器上具有媒体流的保活报文，客户端异常退出时，超过保活时间，将切断码流推送，以防止出现客户端异常退出时，码流无法切断而占用媒体网关资源的情况。</w:t>
      </w:r>
    </w:p>
    <w:p>
      <w:pPr>
        <w:adjustRightInd/>
        <w:spacing w:line="360" w:lineRule="auto"/>
        <w:ind w:firstLine="420" w:firstLineChars="200"/>
        <w:rPr>
          <w:rFonts w:ascii="宋体" w:hAnsi="宋体" w:cs="宋体"/>
          <w:color w:val="auto"/>
          <w:szCs w:val="21"/>
          <w:highlight w:val="none"/>
        </w:rPr>
      </w:pPr>
      <w:bookmarkStart w:id="171" w:name="_Toc366138934"/>
      <w:bookmarkStart w:id="172" w:name="_Toc363460545"/>
      <w:r>
        <w:rPr>
          <w:rFonts w:hint="eastAsia" w:ascii="宋体" w:hAnsi="宋体" w:cs="宋体"/>
          <w:color w:val="auto"/>
          <w:szCs w:val="21"/>
          <w:highlight w:val="none"/>
        </w:rPr>
        <w:t>资源同步</w:t>
      </w:r>
      <w:bookmarkEnd w:id="171"/>
      <w:bookmarkEnd w:id="172"/>
      <w:r>
        <w:rPr>
          <w:rFonts w:hint="eastAsia" w:ascii="宋体" w:hAnsi="宋体" w:cs="宋体"/>
          <w:color w:val="auto"/>
          <w:szCs w:val="21"/>
          <w:highlight w:val="none"/>
        </w:rPr>
        <w:t>：</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联网系统支持上级平台目录查询功能，上级域可检索更新下级域平台的目录资源，进行上下级域平台之间资源的同步，同时当下级域出现设备增删等变动时，也可通过目录主动推送方式，主动向上级域推送组织，实现上下级域的资源实时同步。对于不同步的冗余资源信息给出异常提示，用户可进行清除操作。</w:t>
      </w:r>
    </w:p>
    <w:bookmarkEnd w:id="170"/>
    <w:p>
      <w:pPr>
        <w:adjustRightInd/>
        <w:spacing w:line="360" w:lineRule="auto"/>
        <w:ind w:firstLine="420" w:firstLineChars="200"/>
        <w:rPr>
          <w:rFonts w:ascii="宋体" w:hAnsi="宋体" w:cs="宋体"/>
          <w:color w:val="auto"/>
          <w:szCs w:val="21"/>
          <w:highlight w:val="none"/>
        </w:rPr>
      </w:pPr>
      <w:bookmarkStart w:id="173" w:name="_Toc366138936"/>
      <w:bookmarkStart w:id="174" w:name="_Toc339734144"/>
      <w:r>
        <w:rPr>
          <w:rFonts w:hint="eastAsia" w:ascii="宋体" w:hAnsi="宋体" w:cs="宋体"/>
          <w:color w:val="auto"/>
          <w:szCs w:val="21"/>
          <w:highlight w:val="none"/>
        </w:rPr>
        <w:t>时钟同步</w:t>
      </w:r>
      <w:bookmarkEnd w:id="173"/>
      <w:bookmarkEnd w:id="174"/>
      <w:r>
        <w:rPr>
          <w:rFonts w:hint="eastAsia" w:ascii="宋体" w:hAnsi="宋体" w:cs="宋体"/>
          <w:color w:val="auto"/>
          <w:szCs w:val="21"/>
          <w:highlight w:val="none"/>
        </w:rPr>
        <w:t>：</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按照国标GB/T28181要求，各级平台均配备可以接收GPS或北斗等系统授时的NTP时间服务器，时钟精度应小于100ms。上下级平台间逐级进行时钟同步，上下级平台间以及标准设备可通过SIP协议实现自动时钟同步，平台内各服务器、存储等设备可通过NTP协议实现自动校时功能。</w:t>
      </w:r>
    </w:p>
    <w:p>
      <w:pPr>
        <w:adjustRightInd/>
        <w:spacing w:line="360" w:lineRule="auto"/>
        <w:ind w:firstLine="420" w:firstLineChars="200"/>
        <w:rPr>
          <w:rFonts w:ascii="宋体" w:hAnsi="宋体" w:cs="宋体"/>
          <w:color w:val="auto"/>
          <w:szCs w:val="21"/>
          <w:highlight w:val="none"/>
        </w:rPr>
      </w:pPr>
      <w:bookmarkStart w:id="175" w:name="_Toc339734145"/>
      <w:bookmarkStart w:id="176" w:name="_Toc366138937"/>
      <w:r>
        <w:rPr>
          <w:rFonts w:hint="eastAsia" w:ascii="宋体" w:hAnsi="宋体" w:cs="宋体"/>
          <w:color w:val="auto"/>
          <w:szCs w:val="21"/>
          <w:highlight w:val="none"/>
        </w:rPr>
        <w:t>权限控制</w:t>
      </w:r>
      <w:bookmarkEnd w:id="175"/>
      <w:bookmarkEnd w:id="176"/>
      <w:r>
        <w:rPr>
          <w:rFonts w:hint="eastAsia" w:ascii="宋体" w:hAnsi="宋体" w:cs="宋体"/>
          <w:color w:val="auto"/>
          <w:szCs w:val="21"/>
          <w:highlight w:val="none"/>
        </w:rPr>
        <w:t>：</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各级平台当采用全域统一的授权策略，依据分区分域授权原则，对用户和摄像机资源根据所属警种、部门、行政区域、职级、类型等进行分类，据此对不同用户授予相应资源的访问控制权限。</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原则上，资源直接管理者具有最高的资源控制权，下级平台向上级平台开放所有资源的访问权限。</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本项目新增整合二类点通过新增租赁链路，建立与职能部门之间的链路通道，</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次接入包括接入层、汇聚层。其接入层为职能部门的出口交换机，汇聚层为区公共安全视频传输网汇聚交换机，部署于区公安分局地下一层机房。汇聚交换机通过防火墙上联至区公共安全视频传输网核心交换机。</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光纤链路建设设计图如下：</w:t>
      </w:r>
    </w:p>
    <w:p>
      <w:pPr>
        <w:adjustRightInd/>
        <w:spacing w:line="360" w:lineRule="auto"/>
        <w:ind w:firstLine="420" w:firstLineChars="200"/>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3235960" cy="2501900"/>
            <wp:effectExtent l="0" t="0" r="2540" b="12700"/>
            <wp:docPr id="8" name="图片 8" descr="社会面网络拓扑图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社会面网络拓扑图0510"/>
                    <pic:cNvPicPr>
                      <a:picLocks noChangeAspect="1"/>
                    </pic:cNvPicPr>
                  </pic:nvPicPr>
                  <pic:blipFill>
                    <a:blip r:embed="rId45"/>
                    <a:stretch>
                      <a:fillRect/>
                    </a:stretch>
                  </pic:blipFill>
                  <pic:spPr>
                    <a:xfrm>
                      <a:off x="0" y="0"/>
                      <a:ext cx="3235960" cy="2501900"/>
                    </a:xfrm>
                    <a:prstGeom prst="rect">
                      <a:avLst/>
                    </a:prstGeom>
                  </pic:spPr>
                </pic:pic>
              </a:graphicData>
            </a:graphic>
          </wp:inline>
        </w:drawing>
      </w:r>
    </w:p>
    <w:p>
      <w:pPr>
        <w:adjustRightInd/>
        <w:spacing w:line="360" w:lineRule="auto"/>
        <w:ind w:firstLine="420" w:firstLineChars="200"/>
        <w:jc w:val="center"/>
        <w:rPr>
          <w:rFonts w:ascii="宋体" w:hAnsi="宋体" w:cs="宋体"/>
          <w:color w:val="auto"/>
          <w:szCs w:val="21"/>
          <w:highlight w:val="none"/>
        </w:rPr>
      </w:pPr>
      <w:r>
        <w:rPr>
          <w:rFonts w:hint="eastAsia" w:ascii="宋体" w:hAnsi="宋体" w:cs="宋体"/>
          <w:color w:val="auto"/>
          <w:szCs w:val="21"/>
          <w:highlight w:val="none"/>
        </w:rPr>
        <w:t>光纤链路图</w:t>
      </w:r>
    </w:p>
    <w:p>
      <w:pPr>
        <w:adjustRightIn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本次接入10个单位，租赁10条光纤链路，光纤链路统一汇集到区公安分局地下一层机房的接入交换机，接入部署在地下一层机房防火墙后接入汇聚交换机，再上联至区公共安全视频传输网核心交换机。</w:t>
      </w:r>
    </w:p>
    <w:p>
      <w:pPr>
        <w:pStyle w:val="4"/>
        <w:ind w:left="575" w:hanging="575"/>
        <w:rPr>
          <w:rFonts w:ascii="宋体" w:hAnsi="宋体" w:eastAsia="宋体" w:cs="宋体"/>
          <w:color w:val="auto"/>
          <w:sz w:val="21"/>
          <w:szCs w:val="21"/>
          <w:highlight w:val="none"/>
        </w:rPr>
      </w:pPr>
      <w:bookmarkStart w:id="177" w:name="_Toc25097"/>
      <w:r>
        <w:rPr>
          <w:rFonts w:hint="eastAsia" w:ascii="宋体" w:hAnsi="宋体" w:eastAsia="宋体" w:cs="宋体"/>
          <w:color w:val="auto"/>
          <w:sz w:val="21"/>
          <w:szCs w:val="21"/>
          <w:highlight w:val="none"/>
          <w:lang w:val="en-US"/>
        </w:rPr>
        <w:t>2、</w:t>
      </w:r>
      <w:r>
        <w:rPr>
          <w:rFonts w:hint="eastAsia" w:ascii="宋体" w:hAnsi="宋体" w:eastAsia="宋体" w:cs="宋体"/>
          <w:color w:val="auto"/>
          <w:sz w:val="21"/>
          <w:szCs w:val="21"/>
          <w:highlight w:val="none"/>
        </w:rPr>
        <w:t>车辆</w:t>
      </w:r>
      <w:r>
        <w:rPr>
          <w:rFonts w:hint="eastAsia" w:ascii="宋体" w:hAnsi="宋体" w:eastAsia="宋体" w:cs="宋体"/>
          <w:color w:val="auto"/>
          <w:sz w:val="21"/>
          <w:szCs w:val="21"/>
          <w:highlight w:val="none"/>
          <w:lang w:val="en-US"/>
        </w:rPr>
        <w:t>大</w:t>
      </w:r>
      <w:r>
        <w:rPr>
          <w:rFonts w:hint="eastAsia" w:ascii="宋体" w:hAnsi="宋体" w:eastAsia="宋体" w:cs="宋体"/>
          <w:color w:val="auto"/>
          <w:sz w:val="21"/>
          <w:szCs w:val="21"/>
          <w:highlight w:val="none"/>
        </w:rPr>
        <w:t>数据</w:t>
      </w:r>
      <w:bookmarkEnd w:id="177"/>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通过部署车辆大数据模块，对已接入的车辆数据进行数据应用。详细设计如下</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车辆基础应用</w:t>
      </w:r>
      <w:bookmarkEnd w:id="164"/>
    </w:p>
    <w:p>
      <w:pPr>
        <w:pStyle w:val="971"/>
        <w:ind w:firstLine="420"/>
        <w:rPr>
          <w:rFonts w:ascii="宋体" w:hAnsi="宋体" w:eastAsia="宋体" w:cs="宋体"/>
          <w:color w:val="auto"/>
          <w:sz w:val="21"/>
          <w:szCs w:val="21"/>
          <w:highlight w:val="none"/>
        </w:rPr>
      </w:pPr>
      <w:bookmarkStart w:id="178" w:name="_Toc84583512"/>
      <w:r>
        <w:rPr>
          <w:rFonts w:hint="eastAsia" w:ascii="宋体" w:hAnsi="宋体" w:eastAsia="宋体" w:cs="宋体"/>
          <w:color w:val="auto"/>
          <w:sz w:val="21"/>
          <w:szCs w:val="21"/>
          <w:highlight w:val="none"/>
        </w:rPr>
        <w:t>过车查询</w:t>
      </w:r>
      <w:bookmarkEnd w:id="178"/>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通过车牌号码等不同查询条件的组合查询前端卡口相机抓拍上报的过车记录。</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对已知对象车牌号码的场景，通过时间、地点等条件查找车辆的过车记录、行驶轨迹，通过抓拍大图查看详细信息，如驾乘人脸特征等。</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支持查询条件包括开始和结束时间、车牌号码、号牌种类、地点、行驶方向、车身颜色、车道、车辆品牌、车速。</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支持结果以列表、视图、地图三种方式展示。</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支持查看车辆抓拍详细信息、车辆登记信息和对应的车主信息。</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支持功能关联，包括：轨迹查询、以图搜车、车辆布控、关联录像、图片下载、图像增强、图片全屏。</w:t>
      </w:r>
    </w:p>
    <w:p>
      <w:pPr>
        <w:pStyle w:val="971"/>
        <w:ind w:firstLine="420"/>
        <w:rPr>
          <w:rFonts w:ascii="宋体" w:hAnsi="宋体" w:eastAsia="宋体" w:cs="宋体"/>
          <w:color w:val="auto"/>
          <w:sz w:val="21"/>
          <w:szCs w:val="21"/>
          <w:highlight w:val="none"/>
        </w:rPr>
      </w:pPr>
      <w:bookmarkStart w:id="179" w:name="_Toc84583516"/>
      <w:r>
        <w:rPr>
          <w:rFonts w:hint="eastAsia" w:ascii="宋体" w:hAnsi="宋体" w:eastAsia="宋体" w:cs="宋体"/>
          <w:color w:val="auto"/>
          <w:sz w:val="21"/>
          <w:szCs w:val="21"/>
          <w:highlight w:val="none"/>
        </w:rPr>
        <w:t>布控管理</w:t>
      </w:r>
      <w:bookmarkEnd w:id="179"/>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通过车牌方式对目标车辆进行布控。</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适用于高危车辆管控，及时了解其行踪。或对嫌疑车辆进行布控，便于合理安排警力部署，进行抓捕。</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车牌布控，支持精确车牌，如浙B12345；支持模糊布控，如布控浙B*，即布控所有浙B车辆。</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特征布控，支持车辆类别、车辆品牌、车身颜色和局部特征。</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车辆库布控，支持黑名单布控和白名单布控。黑名单布控即在该名单库中的车辆产生预警，白名单布控即在该名单库之外的车辆产生预警。</w:t>
      </w:r>
    </w:p>
    <w:p>
      <w:pPr>
        <w:pStyle w:val="971"/>
        <w:ind w:firstLine="420"/>
        <w:rPr>
          <w:rFonts w:ascii="宋体" w:hAnsi="宋体" w:eastAsia="宋体" w:cs="宋体"/>
          <w:color w:val="auto"/>
          <w:sz w:val="21"/>
          <w:szCs w:val="21"/>
          <w:highlight w:val="none"/>
        </w:rPr>
      </w:pPr>
      <w:bookmarkStart w:id="180" w:name="_Toc84583517"/>
      <w:r>
        <w:rPr>
          <w:rFonts w:hint="eastAsia" w:ascii="宋体" w:hAnsi="宋体" w:eastAsia="宋体" w:cs="宋体"/>
          <w:color w:val="auto"/>
          <w:sz w:val="21"/>
          <w:szCs w:val="21"/>
          <w:highlight w:val="none"/>
        </w:rPr>
        <w:t>实时预警</w:t>
      </w:r>
      <w:bookmarkEnd w:id="180"/>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系统对添加的布控目标（仅限车牌布控）与系统接收的海量过车数据或智能分析结果比对，比中时，产生预警。</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当对目标车辆非常关注时，通过实时预警了解其实时位置信息和详细的抓拍信息。</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当需要对目标进行抓捕时，通过实时预警及时了解其位置并预判其活动路线，合理部署警力。</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支持预警提醒，包括客户端弹窗、声音提醒、地图位置提醒和设置短信预警。</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支持设置客户端的接收预警的时间、地点范围，有效聚焦重点时段、重点地区的预警。</w:t>
      </w:r>
    </w:p>
    <w:p>
      <w:pPr>
        <w:pStyle w:val="971"/>
        <w:ind w:firstLine="420"/>
        <w:rPr>
          <w:rFonts w:ascii="宋体" w:hAnsi="宋体" w:eastAsia="宋体" w:cs="宋体"/>
          <w:color w:val="auto"/>
          <w:sz w:val="21"/>
          <w:szCs w:val="21"/>
          <w:highlight w:val="none"/>
        </w:rPr>
      </w:pPr>
      <w:bookmarkStart w:id="181" w:name="_Toc84583519"/>
      <w:r>
        <w:rPr>
          <w:rFonts w:hint="eastAsia" w:ascii="宋体" w:hAnsi="宋体" w:eastAsia="宋体" w:cs="宋体"/>
          <w:color w:val="auto"/>
          <w:sz w:val="21"/>
          <w:szCs w:val="21"/>
          <w:highlight w:val="none"/>
        </w:rPr>
        <w:t>统计分析</w:t>
      </w:r>
      <w:bookmarkEnd w:id="181"/>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对前端抓拍的过车记录、经过智能分析的过车记录、布控报警等数据进行统计分析。</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查看一个地区的过车趋势和车辆分布等，了解不同时间的过车态势。</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支持概览统计，展示当日过车总量、报警总量、高危车辆分布和当日实时报警，近7天过车趋势、近7天过车地点TOP、近7天车型TOP、近7天品牌TOP等。</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支持根据时间、通道或组织维度，统计过车信息。</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支持根据类别品牌统计车辆的分布情况。</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支持根据时间统计布控报警信息。</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支持根据时间统计车辆积分研判情况。</w:t>
      </w:r>
    </w:p>
    <w:p>
      <w:pPr>
        <w:pStyle w:val="971"/>
        <w:ind w:firstLine="420"/>
        <w:rPr>
          <w:rFonts w:ascii="宋体" w:hAnsi="宋体" w:eastAsia="宋体" w:cs="宋体"/>
          <w:color w:val="auto"/>
          <w:sz w:val="21"/>
          <w:szCs w:val="21"/>
          <w:highlight w:val="none"/>
        </w:rPr>
      </w:pPr>
      <w:bookmarkStart w:id="182" w:name="_Toc6783"/>
      <w:r>
        <w:rPr>
          <w:rFonts w:hint="eastAsia" w:ascii="宋体" w:hAnsi="宋体" w:eastAsia="宋体" w:cs="宋体"/>
          <w:color w:val="auto"/>
          <w:sz w:val="21"/>
          <w:szCs w:val="21"/>
          <w:highlight w:val="none"/>
        </w:rPr>
        <w:t>车辆技战法</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通过对车辆海量数据的挖掘，结合各警种办案方法论和实战经验沉淀的通用大数据分析模型，包括首次入城、频繁出现、昼伏夜出、时空碰撞等，用户可以设置灵活的分析条件，在海量的数据中快速找出目标车辆或找到关键信息。</w:t>
      </w:r>
    </w:p>
    <w:p>
      <w:pPr>
        <w:pStyle w:val="971"/>
        <w:ind w:firstLine="420"/>
        <w:rPr>
          <w:rFonts w:ascii="宋体" w:hAnsi="宋体" w:eastAsia="宋体" w:cs="宋体"/>
          <w:color w:val="auto"/>
          <w:sz w:val="21"/>
          <w:szCs w:val="21"/>
          <w:highlight w:val="none"/>
        </w:rPr>
      </w:pPr>
      <w:bookmarkStart w:id="183" w:name="_Toc84583521"/>
      <w:r>
        <w:rPr>
          <w:rFonts w:hint="eastAsia" w:ascii="宋体" w:hAnsi="宋体" w:eastAsia="宋体" w:cs="宋体"/>
          <w:color w:val="auto"/>
          <w:sz w:val="21"/>
          <w:szCs w:val="21"/>
          <w:highlight w:val="none"/>
        </w:rPr>
        <w:t>首次入城</w:t>
      </w:r>
      <w:bookmarkEnd w:id="183"/>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通过设置灵活的查询分析条件，系统能够快速找出在特定的地区，在一定时间范围内第一次出现的车辆。</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对于在特殊时期，“首次入城”的车辆持续关注、重点监控。或对高危地区“首次入城”车辆进行布控管理，实时掌握其行踪。也可用于案发后，分析查找陌生车辆、多地流窜作案车辆等场景。</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支持设置出现时间、出现范围、回溯时间、回溯范围进行查找。</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支持设置车牌号码、车辆类别、车辆品牌、车身颜色进一步缩小查找范围。</w:t>
      </w:r>
    </w:p>
    <w:p>
      <w:pPr>
        <w:pStyle w:val="971"/>
        <w:ind w:firstLine="420"/>
        <w:rPr>
          <w:rFonts w:ascii="宋体" w:hAnsi="宋体" w:eastAsia="宋体" w:cs="宋体"/>
          <w:color w:val="auto"/>
          <w:sz w:val="21"/>
          <w:szCs w:val="21"/>
          <w:highlight w:val="none"/>
        </w:rPr>
      </w:pPr>
      <w:bookmarkStart w:id="184" w:name="_Toc84583522"/>
      <w:r>
        <w:rPr>
          <w:rFonts w:hint="eastAsia" w:ascii="宋体" w:hAnsi="宋体" w:eastAsia="宋体" w:cs="宋体"/>
          <w:color w:val="auto"/>
          <w:sz w:val="21"/>
          <w:szCs w:val="21"/>
          <w:highlight w:val="none"/>
        </w:rPr>
        <w:t>频繁出现</w:t>
      </w:r>
      <w:bookmarkEnd w:id="184"/>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通过分析所设置的时间范围和指定地区范围内，出现次数符合阈值的车辆。</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在案发前，分析某些重要区域多次踩点的车辆，提前进行布控；或对案发区域进行分析搜索，查找频繁出现的可疑车辆。</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支持设置出现时间、地点、出现次数范围。</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支持设置车牌号码、车辆类别、车辆品牌、车身颜色进一步缩小查找范围。</w:t>
      </w:r>
    </w:p>
    <w:p>
      <w:pPr>
        <w:pStyle w:val="971"/>
        <w:ind w:firstLine="420"/>
        <w:rPr>
          <w:rFonts w:ascii="宋体" w:hAnsi="宋体" w:eastAsia="宋体" w:cs="宋体"/>
          <w:color w:val="auto"/>
          <w:sz w:val="21"/>
          <w:szCs w:val="21"/>
          <w:highlight w:val="none"/>
        </w:rPr>
      </w:pPr>
      <w:bookmarkStart w:id="185" w:name="_Toc84583523"/>
      <w:r>
        <w:rPr>
          <w:rFonts w:hint="eastAsia" w:ascii="宋体" w:hAnsi="宋体" w:eastAsia="宋体" w:cs="宋体"/>
          <w:color w:val="auto"/>
          <w:sz w:val="21"/>
          <w:szCs w:val="21"/>
          <w:highlight w:val="none"/>
        </w:rPr>
        <w:t>昼伏夜出</w:t>
      </w:r>
      <w:bookmarkEnd w:id="185"/>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查找符合白天较少出现，夜晚出现较多的车辆。</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一般用于分析检索夜晚作案的目标车辆；或者用于分析一个地区经常在夜间活动的车辆，通过分析该车主历史行为，评估其危险程度，以便做出预防措施。</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支持设置白天、夜间出现次数。</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支持设置夜间时间范围。</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支持设置车牌号码限定特定地区车辆，如浙*，来查找来自浙江的且符合昼伏夜出的车辆。</w:t>
      </w:r>
    </w:p>
    <w:p>
      <w:pPr>
        <w:pStyle w:val="971"/>
        <w:ind w:firstLine="420"/>
        <w:rPr>
          <w:rFonts w:ascii="宋体" w:hAnsi="宋体" w:eastAsia="宋体" w:cs="宋体"/>
          <w:color w:val="auto"/>
          <w:sz w:val="21"/>
          <w:szCs w:val="21"/>
          <w:highlight w:val="none"/>
        </w:rPr>
      </w:pPr>
      <w:bookmarkStart w:id="186" w:name="_Toc84583524"/>
      <w:r>
        <w:rPr>
          <w:rFonts w:hint="eastAsia" w:ascii="宋体" w:hAnsi="宋体" w:eastAsia="宋体" w:cs="宋体"/>
          <w:color w:val="auto"/>
          <w:sz w:val="21"/>
          <w:szCs w:val="21"/>
          <w:highlight w:val="none"/>
        </w:rPr>
        <w:t>相似车串并</w:t>
      </w:r>
      <w:bookmarkEnd w:id="186"/>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查找与已知车牌号码存在相似的车辆。</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一般用于分析检索涉案车辆为掩盖身份对部分号牌进行篡改或遮挡的行为；也可以用于只掌握目标车辆部分车牌，通过检索可能存在的车牌串并样式和通行量来找出目标车辆。</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支持根据已有的车牌自动串并，获取车牌号相差一位或多位（可设置）的相似车牌的车辆信息。支持显示车牌支持连续号码相似和任意号码相似。</w:t>
      </w:r>
    </w:p>
    <w:p>
      <w:pPr>
        <w:pStyle w:val="971"/>
        <w:ind w:firstLine="420"/>
        <w:rPr>
          <w:rFonts w:ascii="宋体" w:hAnsi="宋体" w:eastAsia="宋体" w:cs="宋体"/>
          <w:color w:val="auto"/>
          <w:sz w:val="21"/>
          <w:szCs w:val="21"/>
          <w:highlight w:val="none"/>
        </w:rPr>
      </w:pPr>
      <w:bookmarkStart w:id="187" w:name="_Toc84583525"/>
      <w:r>
        <w:rPr>
          <w:rFonts w:hint="eastAsia" w:ascii="宋体" w:hAnsi="宋体" w:eastAsia="宋体" w:cs="宋体"/>
          <w:color w:val="auto"/>
          <w:sz w:val="21"/>
          <w:szCs w:val="21"/>
          <w:highlight w:val="none"/>
        </w:rPr>
        <w:t>时空碰撞</w:t>
      </w:r>
      <w:bookmarkEnd w:id="187"/>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通过对不同时空条件过车数据进行碰撞查询，分析他们的关联关系，指导进一步的侦查工作。</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一般用于分析检索多地作案的目标车辆。或者分析查找符合在多个特定时间、地点出现的车辆。</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支持多达5组不同时间、地点的条件组合。</w:t>
      </w:r>
    </w:p>
    <w:p>
      <w:pPr>
        <w:pStyle w:val="971"/>
        <w:ind w:firstLine="420"/>
        <w:rPr>
          <w:rFonts w:ascii="宋体" w:hAnsi="宋体" w:eastAsia="宋体" w:cs="宋体"/>
          <w:color w:val="auto"/>
          <w:sz w:val="21"/>
          <w:szCs w:val="21"/>
          <w:highlight w:val="none"/>
        </w:rPr>
      </w:pPr>
      <w:bookmarkStart w:id="188" w:name="_Toc84583527"/>
      <w:r>
        <w:rPr>
          <w:rFonts w:hint="eastAsia" w:ascii="宋体" w:hAnsi="宋体" w:eastAsia="宋体" w:cs="宋体"/>
          <w:color w:val="auto"/>
          <w:sz w:val="21"/>
          <w:szCs w:val="21"/>
          <w:highlight w:val="none"/>
        </w:rPr>
        <w:t>同行车分析</w:t>
      </w:r>
      <w:bookmarkEnd w:id="188"/>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通过分析目标车辆的轨迹，找出可能与之轨迹相似的车辆。</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一般用于分析团伙作案的犯罪嫌疑车辆；或者用于分析尾随作案的嫌疑车辆。</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支持设置同行时间间隔。</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支持设置同行的卡口，或同行的卡口数量。</w:t>
      </w:r>
    </w:p>
    <w:p>
      <w:pPr>
        <w:pStyle w:val="971"/>
        <w:ind w:firstLine="420"/>
        <w:rPr>
          <w:rFonts w:ascii="宋体" w:hAnsi="宋体" w:eastAsia="宋体" w:cs="宋体"/>
          <w:color w:val="auto"/>
          <w:sz w:val="21"/>
          <w:szCs w:val="21"/>
          <w:highlight w:val="none"/>
        </w:rPr>
      </w:pPr>
      <w:bookmarkStart w:id="189" w:name="_Toc84583528"/>
      <w:r>
        <w:rPr>
          <w:rFonts w:hint="eastAsia" w:ascii="宋体" w:hAnsi="宋体" w:eastAsia="宋体" w:cs="宋体"/>
          <w:color w:val="auto"/>
          <w:sz w:val="21"/>
          <w:szCs w:val="21"/>
          <w:highlight w:val="none"/>
        </w:rPr>
        <w:t>落脚点分析</w:t>
      </w:r>
      <w:bookmarkEnd w:id="189"/>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通过设置时间范围和落脚时长、车牌号码等，对系统中的海量过车记录分析，查找出目标车辆最大可能的落脚地点。</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挖掘嫌疑车辆的落脚点。</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支持设置落脚点时长、车牌号码、号牌种类。</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支持在地图上展示车辆可能的落脚点和该点对应的详细抓拍信息。</w:t>
      </w:r>
    </w:p>
    <w:p>
      <w:pPr>
        <w:pStyle w:val="971"/>
        <w:ind w:firstLine="420"/>
        <w:rPr>
          <w:rFonts w:ascii="宋体" w:hAnsi="宋体" w:eastAsia="宋体" w:cs="宋体"/>
          <w:color w:val="auto"/>
          <w:sz w:val="21"/>
          <w:szCs w:val="21"/>
          <w:highlight w:val="none"/>
        </w:rPr>
      </w:pPr>
      <w:bookmarkStart w:id="190" w:name="_Toc84583529"/>
      <w:r>
        <w:rPr>
          <w:rFonts w:hint="eastAsia" w:ascii="宋体" w:hAnsi="宋体" w:eastAsia="宋体" w:cs="宋体"/>
          <w:color w:val="auto"/>
          <w:sz w:val="21"/>
          <w:szCs w:val="21"/>
          <w:highlight w:val="none"/>
        </w:rPr>
        <w:t>隐匿车辆</w:t>
      </w:r>
      <w:bookmarkEnd w:id="190"/>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分析在案发时间和案发地点出现过，在案发后未再出现的车辆。</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针对一般犯罪人员，在作案后会隐藏身份藏匿自己的心理，当已掌握的案件信息只有案发时间、地点，且经过研判属于涉车案件，但无法明确嫌疑车辆时，可通过隐匿车辆分析，查找潜在嫌疑车辆，为案件侦查提供必要的支撑。</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支持设置藏匿时间，还可通过限定号牌种类条件进一步缩小排查范围，找到目标车辆。</w:t>
      </w:r>
    </w:p>
    <w:p>
      <w:pPr>
        <w:pStyle w:val="971"/>
        <w:ind w:firstLine="420"/>
        <w:rPr>
          <w:rFonts w:ascii="宋体" w:hAnsi="宋体" w:eastAsia="宋体" w:cs="宋体"/>
          <w:color w:val="auto"/>
          <w:sz w:val="21"/>
          <w:szCs w:val="21"/>
          <w:highlight w:val="none"/>
        </w:rPr>
      </w:pPr>
      <w:bookmarkStart w:id="191" w:name="_Toc84583530"/>
      <w:r>
        <w:rPr>
          <w:rFonts w:hint="eastAsia" w:ascii="宋体" w:hAnsi="宋体" w:eastAsia="宋体" w:cs="宋体"/>
          <w:color w:val="auto"/>
          <w:sz w:val="21"/>
          <w:szCs w:val="21"/>
          <w:highlight w:val="none"/>
        </w:rPr>
        <w:t>疑似假牌车</w:t>
      </w:r>
      <w:bookmarkEnd w:id="191"/>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通过对实时过车数据和车辆登记信息进行碰撞分析，如发现车辆无登记信息或为已报废车辆等，则视为疑似假牌车。</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疑似假牌车挖掘，形成地区疑似假牌车库，当发生涉案车辆可能使用假牌掩盖身份等场景时，可进行快速检索和分析，为案件侦查提供必要支撑。</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支持对系统分析的疑似假牌车进行人工确认，或进行疑似解除。</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支持查看目标被判断为疑似假牌车的疑似原因。</w:t>
      </w:r>
    </w:p>
    <w:p>
      <w:pPr>
        <w:pStyle w:val="4"/>
        <w:ind w:left="575" w:hanging="575"/>
        <w:rPr>
          <w:rFonts w:ascii="宋体" w:hAnsi="宋体" w:eastAsia="宋体" w:cs="宋体"/>
          <w:color w:val="auto"/>
          <w:sz w:val="21"/>
          <w:szCs w:val="21"/>
          <w:highlight w:val="none"/>
        </w:rPr>
      </w:pPr>
      <w:bookmarkStart w:id="192" w:name="_Toc31077"/>
      <w:r>
        <w:rPr>
          <w:rFonts w:hint="eastAsia" w:ascii="宋体" w:hAnsi="宋体" w:eastAsia="宋体" w:cs="宋体"/>
          <w:color w:val="auto"/>
          <w:sz w:val="21"/>
          <w:szCs w:val="21"/>
          <w:highlight w:val="none"/>
          <w:lang w:val="en-US"/>
        </w:rPr>
        <w:t>3、国标网关</w:t>
      </w:r>
      <w:bookmarkEnd w:id="192"/>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建设国标网关2台，用于向宁波市公安局公共视频图像信息共享平台按照考核要求推送视频流和向高新区公共安全视频图像赋能平台按需共享视频流，进行视频流推送。</w:t>
      </w:r>
    </w:p>
    <w:p>
      <w:pPr>
        <w:pStyle w:val="63"/>
        <w:rPr>
          <w:rFonts w:hAnsi="宋体" w:cs="宋体"/>
          <w:color w:val="auto"/>
          <w:sz w:val="21"/>
          <w:szCs w:val="21"/>
          <w:highlight w:val="none"/>
          <w:lang w:val="en-US"/>
        </w:rPr>
      </w:pPr>
    </w:p>
    <w:p>
      <w:pPr>
        <w:pStyle w:val="4"/>
        <w:ind w:left="575" w:hanging="575"/>
        <w:rPr>
          <w:rFonts w:ascii="宋体" w:hAnsi="宋体" w:eastAsia="宋体" w:cs="宋体"/>
          <w:color w:val="auto"/>
          <w:sz w:val="21"/>
          <w:szCs w:val="21"/>
          <w:highlight w:val="none"/>
        </w:rPr>
      </w:pPr>
      <w:bookmarkStart w:id="193" w:name="_Toc6146"/>
      <w:r>
        <w:rPr>
          <w:rFonts w:hint="eastAsia" w:ascii="宋体" w:hAnsi="宋体" w:eastAsia="宋体" w:cs="宋体"/>
          <w:color w:val="auto"/>
          <w:sz w:val="21"/>
          <w:szCs w:val="21"/>
          <w:highlight w:val="none"/>
          <w:lang w:val="en-US"/>
        </w:rPr>
        <w:t>4、综合</w:t>
      </w:r>
      <w:r>
        <w:rPr>
          <w:rFonts w:hint="eastAsia" w:ascii="宋体" w:hAnsi="宋体" w:eastAsia="宋体" w:cs="宋体"/>
          <w:color w:val="auto"/>
          <w:sz w:val="21"/>
          <w:szCs w:val="21"/>
          <w:highlight w:val="none"/>
        </w:rPr>
        <w:t>运维</w:t>
      </w:r>
      <w:r>
        <w:rPr>
          <w:rFonts w:hint="eastAsia" w:ascii="宋体" w:hAnsi="宋体" w:eastAsia="宋体" w:cs="宋体"/>
          <w:color w:val="auto"/>
          <w:sz w:val="21"/>
          <w:szCs w:val="21"/>
          <w:highlight w:val="none"/>
          <w:lang w:val="en-US"/>
        </w:rPr>
        <w:t>管理平台</w:t>
      </w:r>
      <w:bookmarkEnd w:id="193"/>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新建公共安全视频图像信息共享公安分平台综合运维平台，包含运维资产管理，智能运维监督，提升区公共视频监控整体运维能力，做到“可看、可用、可考核”；维保单位做到“易用、易查、易报修”，形成一套高效的运维体系，主要功能设计如下：</w:t>
      </w:r>
    </w:p>
    <w:p>
      <w:pPr>
        <w:ind w:firstLine="420" w:firstLineChars="200"/>
        <w:rPr>
          <w:rFonts w:ascii="宋体" w:hAnsi="宋体" w:cs="宋体"/>
          <w:color w:val="auto"/>
          <w:szCs w:val="21"/>
          <w:highlight w:val="none"/>
          <w:lang w:val="zh-CN"/>
        </w:rPr>
      </w:pPr>
      <w:r>
        <w:rPr>
          <w:rFonts w:hint="eastAsia" w:ascii="宋体" w:hAnsi="宋体" w:cs="宋体"/>
          <w:color w:val="auto"/>
          <w:szCs w:val="21"/>
          <w:highlight w:val="none"/>
        </w:rPr>
        <w:t>运维资产管理</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支持感知设备、设备资产的统一接入，分类管理，支持资产从入库、启用、维修、停用到报废的全生命周期管控；提供免费质保到期提醒；依据资产管理字段进行统计分析，分析资产的使用和运行状态，其主要的功能设计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资产建模：按照一机一档字段表定义资产建模表，作为资产管理的依据；</w:t>
      </w:r>
    </w:p>
    <w:tbl>
      <w:tblPr>
        <w:tblStyle w:val="6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0"/>
        <w:gridCol w:w="613"/>
        <w:gridCol w:w="1609"/>
        <w:gridCol w:w="812"/>
        <w:gridCol w:w="3669"/>
        <w:gridCol w:w="11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3" w:hRule="atLeast"/>
          <w:jc w:val="center"/>
        </w:trPr>
        <w:tc>
          <w:tcPr>
            <w:tcW w:w="5000" w:type="pct"/>
            <w:gridSpan w:val="6"/>
            <w:tcBorders>
              <w:tl2br w:val="nil"/>
              <w:tr2bl w:val="nil"/>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一机一档字段表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381" w:type="pct"/>
            <w:tcBorders>
              <w:tl2br w:val="nil"/>
              <w:tr2bl w:val="nil"/>
            </w:tcBorders>
            <w:shd w:val="clear" w:color="auto" w:fill="FFFFFF"/>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归类</w:t>
            </w:r>
          </w:p>
        </w:tc>
        <w:tc>
          <w:tcPr>
            <w:tcW w:w="360" w:type="pct"/>
            <w:tcBorders>
              <w:tl2br w:val="nil"/>
              <w:tr2bl w:val="nil"/>
            </w:tcBorders>
            <w:shd w:val="clear" w:color="auto" w:fill="FFFFFF"/>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序号</w:t>
            </w:r>
          </w:p>
        </w:tc>
        <w:tc>
          <w:tcPr>
            <w:tcW w:w="944" w:type="pct"/>
            <w:tcBorders>
              <w:tl2br w:val="nil"/>
              <w:tr2bl w:val="nil"/>
            </w:tcBorders>
            <w:shd w:val="clear" w:color="auto" w:fill="FFFFFF"/>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字段名称</w:t>
            </w:r>
          </w:p>
        </w:tc>
        <w:tc>
          <w:tcPr>
            <w:tcW w:w="476" w:type="pct"/>
            <w:tcBorders>
              <w:tl2br w:val="nil"/>
              <w:tr2bl w:val="nil"/>
            </w:tcBorders>
            <w:shd w:val="clear" w:color="auto" w:fill="FFFFFF"/>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值类型</w:t>
            </w:r>
          </w:p>
        </w:tc>
        <w:tc>
          <w:tcPr>
            <w:tcW w:w="2153" w:type="pct"/>
            <w:tcBorders>
              <w:tl2br w:val="nil"/>
              <w:tr2bl w:val="nil"/>
            </w:tcBorders>
            <w:shd w:val="clear" w:color="auto" w:fill="FFFFFF"/>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说明</w:t>
            </w:r>
          </w:p>
        </w:tc>
        <w:tc>
          <w:tcPr>
            <w:tcW w:w="682" w:type="pct"/>
            <w:tcBorders>
              <w:tl2br w:val="nil"/>
              <w:tr2bl w:val="nil"/>
            </w:tcBorders>
            <w:shd w:val="clear" w:color="auto" w:fill="auto"/>
            <w:vAlign w:val="bottom"/>
          </w:tcPr>
          <w:p>
            <w:pPr>
              <w:widowControl/>
              <w:jc w:val="left"/>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81" w:type="pct"/>
            <w:vMerge w:val="restart"/>
            <w:tcBorders>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资产信息</w:t>
            </w:r>
          </w:p>
        </w:tc>
        <w:tc>
          <w:tcPr>
            <w:tcW w:w="360" w:type="pct"/>
            <w:tcBorders>
              <w:tl2br w:val="nil"/>
              <w:tr2bl w:val="nil"/>
            </w:tcBorders>
            <w:shd w:val="clear" w:color="auto" w:fill="FFFFFF"/>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944" w:type="pct"/>
            <w:tcBorders>
              <w:tl2br w:val="nil"/>
              <w:tr2bl w:val="nil"/>
            </w:tcBorders>
            <w:shd w:val="clear" w:color="auto" w:fill="auto"/>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点位名称</w:t>
            </w:r>
          </w:p>
        </w:tc>
        <w:tc>
          <w:tcPr>
            <w:tcW w:w="476" w:type="pct"/>
            <w:tcBorders>
              <w:tl2br w:val="nil"/>
              <w:tr2bl w:val="nil"/>
            </w:tcBorders>
            <w:shd w:val="clear" w:color="auto" w:fill="FFFFFF"/>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文本</w:t>
            </w:r>
          </w:p>
        </w:tc>
        <w:tc>
          <w:tcPr>
            <w:tcW w:w="2153" w:type="pct"/>
            <w:tcBorders>
              <w:tl2br w:val="nil"/>
              <w:tr2bl w:val="nil"/>
            </w:tcBorders>
            <w:shd w:val="clear" w:color="auto" w:fill="FFFFFF"/>
            <w:noWrap/>
            <w:vAlign w:val="center"/>
          </w:tcPr>
          <w:p>
            <w:pPr>
              <w:rPr>
                <w:rFonts w:ascii="宋体" w:hAnsi="宋体" w:cs="宋体"/>
                <w:color w:val="auto"/>
                <w:szCs w:val="21"/>
                <w:highlight w:val="none"/>
              </w:rPr>
            </w:pPr>
            <w:r>
              <w:rPr>
                <w:rFonts w:hint="eastAsia" w:ascii="宋体" w:hAnsi="宋体" w:cs="宋体"/>
                <w:color w:val="auto"/>
                <w:szCs w:val="21"/>
                <w:highlight w:val="none"/>
              </w:rPr>
              <w:t>/</w:t>
            </w:r>
          </w:p>
        </w:tc>
        <w:tc>
          <w:tcPr>
            <w:tcW w:w="682" w:type="pct"/>
            <w:tcBorders>
              <w:tl2br w:val="nil"/>
              <w:tr2bl w:val="nil"/>
            </w:tcBorders>
            <w:shd w:val="clear" w:color="auto" w:fill="auto"/>
            <w:vAlign w:val="bottom"/>
          </w:tcPr>
          <w:p>
            <w:pPr>
              <w:rPr>
                <w:rFonts w:ascii="宋体" w:hAnsi="宋体" w:cs="宋体"/>
                <w:color w:val="auto"/>
                <w:szCs w:val="21"/>
                <w:highlight w:val="none"/>
              </w:rPr>
            </w:pPr>
            <w:r>
              <w:rPr>
                <w:rFonts w:hint="eastAsia" w:ascii="宋体" w:hAnsi="宋体" w:cs="宋体"/>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381" w:type="pct"/>
            <w:vMerge w:val="continue"/>
            <w:tcBorders>
              <w:tl2br w:val="nil"/>
              <w:tr2bl w:val="nil"/>
            </w:tcBorders>
            <w:shd w:val="clear" w:color="auto" w:fill="FFFFFF"/>
            <w:vAlign w:val="center"/>
          </w:tcPr>
          <w:p>
            <w:pPr>
              <w:jc w:val="center"/>
              <w:rPr>
                <w:rFonts w:ascii="宋体" w:hAnsi="宋体" w:cs="宋体"/>
                <w:color w:val="auto"/>
                <w:szCs w:val="21"/>
                <w:highlight w:val="none"/>
              </w:rPr>
            </w:pPr>
          </w:p>
        </w:tc>
        <w:tc>
          <w:tcPr>
            <w:tcW w:w="360" w:type="pct"/>
            <w:tcBorders>
              <w:tl2br w:val="nil"/>
              <w:tr2bl w:val="nil"/>
            </w:tcBorders>
            <w:shd w:val="clear" w:color="auto" w:fill="FFFFFF"/>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944" w:type="pct"/>
            <w:tcBorders>
              <w:tl2br w:val="nil"/>
              <w:tr2bl w:val="nil"/>
            </w:tcBorders>
            <w:shd w:val="clear" w:color="auto" w:fill="auto"/>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监控点编号</w:t>
            </w:r>
          </w:p>
        </w:tc>
        <w:tc>
          <w:tcPr>
            <w:tcW w:w="476" w:type="pct"/>
            <w:tcBorders>
              <w:tl2br w:val="nil"/>
              <w:tr2bl w:val="nil"/>
            </w:tcBorders>
            <w:shd w:val="clear" w:color="auto" w:fill="FFFFFF"/>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文本</w:t>
            </w:r>
          </w:p>
        </w:tc>
        <w:tc>
          <w:tcPr>
            <w:tcW w:w="2153" w:type="pct"/>
            <w:tcBorders>
              <w:tl2br w:val="nil"/>
              <w:tr2bl w:val="nil"/>
            </w:tcBorders>
            <w:shd w:val="clear" w:color="auto" w:fill="FFFFFF"/>
            <w:noWrap/>
            <w:vAlign w:val="center"/>
          </w:tcPr>
          <w:p>
            <w:pPr>
              <w:rPr>
                <w:rFonts w:ascii="宋体" w:hAnsi="宋体" w:cs="宋体"/>
                <w:color w:val="auto"/>
                <w:szCs w:val="21"/>
                <w:highlight w:val="none"/>
              </w:rPr>
            </w:pPr>
            <w:r>
              <w:rPr>
                <w:rFonts w:hint="eastAsia" w:ascii="宋体" w:hAnsi="宋体" w:cs="宋体"/>
                <w:color w:val="auto"/>
                <w:szCs w:val="21"/>
                <w:highlight w:val="none"/>
              </w:rPr>
              <w:t>/</w:t>
            </w:r>
          </w:p>
        </w:tc>
        <w:tc>
          <w:tcPr>
            <w:tcW w:w="682" w:type="pct"/>
            <w:tcBorders>
              <w:tl2br w:val="nil"/>
              <w:tr2bl w:val="nil"/>
            </w:tcBorders>
            <w:shd w:val="clear" w:color="auto" w:fill="FFFFFF"/>
            <w:noWrap/>
            <w:vAlign w:val="center"/>
          </w:tcPr>
          <w:p>
            <w:pPr>
              <w:rPr>
                <w:rFonts w:ascii="宋体" w:hAnsi="宋体" w:cs="宋体"/>
                <w:color w:val="auto"/>
                <w:szCs w:val="21"/>
                <w:highlight w:val="none"/>
              </w:rPr>
            </w:pPr>
            <w:r>
              <w:rPr>
                <w:rFonts w:hint="eastAsia" w:ascii="宋体" w:hAnsi="宋体" w:cs="宋体"/>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381" w:type="pct"/>
            <w:vMerge w:val="continue"/>
            <w:tcBorders>
              <w:tl2br w:val="nil"/>
              <w:tr2bl w:val="nil"/>
            </w:tcBorders>
            <w:shd w:val="clear" w:color="auto" w:fill="FFFFFF"/>
            <w:vAlign w:val="center"/>
          </w:tcPr>
          <w:p>
            <w:pPr>
              <w:jc w:val="center"/>
              <w:rPr>
                <w:rFonts w:ascii="宋体" w:hAnsi="宋体" w:cs="宋体"/>
                <w:color w:val="auto"/>
                <w:szCs w:val="21"/>
                <w:highlight w:val="none"/>
              </w:rPr>
            </w:pPr>
          </w:p>
        </w:tc>
        <w:tc>
          <w:tcPr>
            <w:tcW w:w="360" w:type="pct"/>
            <w:tcBorders>
              <w:tl2br w:val="nil"/>
              <w:tr2bl w:val="nil"/>
            </w:tcBorders>
            <w:shd w:val="clear" w:color="auto" w:fill="FFFFFF"/>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944" w:type="pct"/>
            <w:tcBorders>
              <w:tl2br w:val="nil"/>
              <w:tr2bl w:val="nil"/>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设备类型</w:t>
            </w:r>
          </w:p>
        </w:tc>
        <w:tc>
          <w:tcPr>
            <w:tcW w:w="476" w:type="pct"/>
            <w:tcBorders>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枚举</w:t>
            </w:r>
          </w:p>
        </w:tc>
        <w:tc>
          <w:tcPr>
            <w:tcW w:w="2153" w:type="pct"/>
            <w:tcBorders>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视频点位/人脸相机/卡口/人体全结构（命名标识：S/F/K/R）</w:t>
            </w:r>
          </w:p>
        </w:tc>
        <w:tc>
          <w:tcPr>
            <w:tcW w:w="682" w:type="pct"/>
            <w:tcBorders>
              <w:tl2br w:val="nil"/>
              <w:tr2bl w:val="nil"/>
            </w:tcBorders>
            <w:shd w:val="clear" w:color="auto" w:fill="auto"/>
            <w:vAlign w:val="center"/>
          </w:tcPr>
          <w:p>
            <w:pPr>
              <w:rPr>
                <w:rFonts w:ascii="宋体" w:hAnsi="宋体" w:cs="宋体"/>
                <w:i/>
                <w:iCs/>
                <w:color w:val="auto"/>
                <w:szCs w:val="21"/>
                <w:highlight w:val="none"/>
              </w:rPr>
            </w:pPr>
            <w:r>
              <w:rPr>
                <w:rFonts w:hint="eastAsia" w:ascii="宋体" w:hAnsi="宋体" w:cs="宋体"/>
                <w:i/>
                <w:iCs/>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381" w:type="pct"/>
            <w:vMerge w:val="continue"/>
            <w:tcBorders>
              <w:tl2br w:val="nil"/>
              <w:tr2bl w:val="nil"/>
            </w:tcBorders>
            <w:shd w:val="clear" w:color="auto" w:fill="FFFFFF"/>
            <w:vAlign w:val="center"/>
          </w:tcPr>
          <w:p>
            <w:pPr>
              <w:jc w:val="center"/>
              <w:rPr>
                <w:rFonts w:ascii="宋体" w:hAnsi="宋体" w:cs="宋体"/>
                <w:color w:val="auto"/>
                <w:szCs w:val="21"/>
                <w:highlight w:val="none"/>
              </w:rPr>
            </w:pPr>
          </w:p>
        </w:tc>
        <w:tc>
          <w:tcPr>
            <w:tcW w:w="360" w:type="pct"/>
            <w:tcBorders>
              <w:tl2br w:val="nil"/>
              <w:tr2bl w:val="nil"/>
            </w:tcBorders>
            <w:shd w:val="clear" w:color="auto" w:fill="FFFFFF"/>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944" w:type="pct"/>
            <w:tcBorders>
              <w:tl2br w:val="nil"/>
              <w:tr2bl w:val="nil"/>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设备形态</w:t>
            </w:r>
          </w:p>
        </w:tc>
        <w:tc>
          <w:tcPr>
            <w:tcW w:w="476" w:type="pct"/>
            <w:tcBorders>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枚举</w:t>
            </w:r>
          </w:p>
        </w:tc>
        <w:tc>
          <w:tcPr>
            <w:tcW w:w="2153" w:type="pct"/>
            <w:tcBorders>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枪机/球机/半球/高点/枪球</w:t>
            </w:r>
          </w:p>
        </w:tc>
        <w:tc>
          <w:tcPr>
            <w:tcW w:w="682" w:type="pct"/>
            <w:tcBorders>
              <w:tl2br w:val="nil"/>
              <w:tr2bl w:val="nil"/>
            </w:tcBorders>
            <w:shd w:val="clear" w:color="auto" w:fill="auto"/>
            <w:vAlign w:val="center"/>
          </w:tcPr>
          <w:p>
            <w:pPr>
              <w:rPr>
                <w:rFonts w:ascii="宋体" w:hAnsi="宋体" w:cs="宋体"/>
                <w:i/>
                <w:iCs/>
                <w:color w:val="auto"/>
                <w:szCs w:val="21"/>
                <w:highlight w:val="none"/>
              </w:rPr>
            </w:pPr>
            <w:r>
              <w:rPr>
                <w:rFonts w:hint="eastAsia" w:ascii="宋体" w:hAnsi="宋体" w:cs="宋体"/>
                <w:i/>
                <w:iCs/>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381" w:type="pct"/>
            <w:vMerge w:val="continue"/>
            <w:tcBorders>
              <w:tl2br w:val="nil"/>
              <w:tr2bl w:val="nil"/>
            </w:tcBorders>
            <w:shd w:val="clear" w:color="auto" w:fill="FFFFFF"/>
            <w:vAlign w:val="center"/>
          </w:tcPr>
          <w:p>
            <w:pPr>
              <w:jc w:val="center"/>
              <w:rPr>
                <w:rFonts w:ascii="宋体" w:hAnsi="宋体" w:cs="宋体"/>
                <w:color w:val="auto"/>
                <w:szCs w:val="21"/>
                <w:highlight w:val="none"/>
              </w:rPr>
            </w:pPr>
          </w:p>
        </w:tc>
        <w:tc>
          <w:tcPr>
            <w:tcW w:w="360" w:type="pct"/>
            <w:tcBorders>
              <w:tl2br w:val="nil"/>
              <w:tr2bl w:val="nil"/>
            </w:tcBorders>
            <w:shd w:val="clear" w:color="auto" w:fill="FFFFFF"/>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w:t>
            </w:r>
          </w:p>
        </w:tc>
        <w:tc>
          <w:tcPr>
            <w:tcW w:w="944" w:type="pct"/>
            <w:tcBorders>
              <w:tl2br w:val="nil"/>
              <w:tr2bl w:val="nil"/>
            </w:tcBorders>
            <w:shd w:val="clear" w:color="auto" w:fill="auto"/>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监控点位类型</w:t>
            </w:r>
          </w:p>
        </w:tc>
        <w:tc>
          <w:tcPr>
            <w:tcW w:w="476" w:type="pct"/>
            <w:tcBorders>
              <w:tl2br w:val="nil"/>
              <w:tr2bl w:val="nil"/>
            </w:tcBorders>
            <w:shd w:val="clear" w:color="auto" w:fill="FFFFFF"/>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枚举</w:t>
            </w:r>
          </w:p>
        </w:tc>
        <w:tc>
          <w:tcPr>
            <w:tcW w:w="2153" w:type="pct"/>
            <w:tcBorders>
              <w:tl2br w:val="nil"/>
              <w:tr2bl w:val="nil"/>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[1.一类视频监控点;2.二类视频监控点;3.三类视频监控点;4.公安内部视频监控点;9.其他点位;]数据格式:[填入一个值即可。</w:t>
            </w:r>
          </w:p>
        </w:tc>
        <w:tc>
          <w:tcPr>
            <w:tcW w:w="682" w:type="pct"/>
            <w:tcBorders>
              <w:tl2br w:val="nil"/>
              <w:tr2bl w:val="nil"/>
            </w:tcBorders>
            <w:shd w:val="clear" w:color="auto" w:fill="auto"/>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监控点位类型（一机一档）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381" w:type="pct"/>
            <w:vMerge w:val="continue"/>
            <w:tcBorders>
              <w:tl2br w:val="nil"/>
              <w:tr2bl w:val="nil"/>
            </w:tcBorders>
            <w:shd w:val="clear" w:color="auto" w:fill="FFFFFF"/>
            <w:vAlign w:val="center"/>
          </w:tcPr>
          <w:p>
            <w:pPr>
              <w:jc w:val="center"/>
              <w:rPr>
                <w:rFonts w:ascii="宋体" w:hAnsi="宋体" w:cs="宋体"/>
                <w:color w:val="auto"/>
                <w:szCs w:val="21"/>
                <w:highlight w:val="none"/>
              </w:rPr>
            </w:pPr>
          </w:p>
        </w:tc>
        <w:tc>
          <w:tcPr>
            <w:tcW w:w="360" w:type="pct"/>
            <w:tcBorders>
              <w:tl2br w:val="nil"/>
              <w:tr2bl w:val="nil"/>
            </w:tcBorders>
            <w:shd w:val="clear" w:color="auto" w:fill="FFFFFF"/>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944" w:type="pct"/>
            <w:tcBorders>
              <w:tl2br w:val="nil"/>
              <w:tr2bl w:val="nil"/>
            </w:tcBorders>
            <w:shd w:val="clear" w:color="auto" w:fill="auto"/>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安装地址</w:t>
            </w:r>
          </w:p>
        </w:tc>
        <w:tc>
          <w:tcPr>
            <w:tcW w:w="476" w:type="pct"/>
            <w:tcBorders>
              <w:tl2br w:val="nil"/>
              <w:tr2bl w:val="nil"/>
            </w:tcBorders>
            <w:shd w:val="clear" w:color="auto" w:fill="FFFFFF"/>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文本</w:t>
            </w:r>
          </w:p>
        </w:tc>
        <w:tc>
          <w:tcPr>
            <w:tcW w:w="2153" w:type="pct"/>
            <w:tcBorders>
              <w:tl2br w:val="nil"/>
              <w:tr2bl w:val="nil"/>
            </w:tcBorders>
            <w:shd w:val="clear" w:color="auto" w:fill="FFFFFF"/>
            <w:vAlign w:val="center"/>
          </w:tcPr>
          <w:p>
            <w:pPr>
              <w:rPr>
                <w:rFonts w:ascii="宋体" w:hAnsi="宋体" w:cs="宋体"/>
                <w:color w:val="auto"/>
                <w:szCs w:val="21"/>
                <w:highlight w:val="none"/>
              </w:rPr>
            </w:pPr>
            <w:r>
              <w:rPr>
                <w:rFonts w:hint="eastAsia" w:ascii="宋体" w:hAnsi="宋体" w:cs="宋体"/>
                <w:color w:val="auto"/>
                <w:szCs w:val="21"/>
                <w:highlight w:val="none"/>
              </w:rPr>
              <w:t>/</w:t>
            </w:r>
          </w:p>
        </w:tc>
        <w:tc>
          <w:tcPr>
            <w:tcW w:w="682" w:type="pct"/>
            <w:tcBorders>
              <w:tl2br w:val="nil"/>
              <w:tr2bl w:val="nil"/>
            </w:tcBorders>
            <w:shd w:val="clear" w:color="auto" w:fill="auto"/>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安装地址（一机一档）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381" w:type="pct"/>
            <w:vMerge w:val="continue"/>
            <w:tcBorders>
              <w:tl2br w:val="nil"/>
              <w:tr2bl w:val="nil"/>
            </w:tcBorders>
            <w:shd w:val="clear" w:color="auto" w:fill="FFFFFF"/>
            <w:vAlign w:val="center"/>
          </w:tcPr>
          <w:p>
            <w:pPr>
              <w:jc w:val="center"/>
              <w:rPr>
                <w:rFonts w:ascii="宋体" w:hAnsi="宋体" w:cs="宋体"/>
                <w:color w:val="auto"/>
                <w:szCs w:val="21"/>
                <w:highlight w:val="none"/>
              </w:rPr>
            </w:pPr>
          </w:p>
        </w:tc>
        <w:tc>
          <w:tcPr>
            <w:tcW w:w="360" w:type="pct"/>
            <w:tcBorders>
              <w:tl2br w:val="nil"/>
              <w:tr2bl w:val="nil"/>
            </w:tcBorders>
            <w:shd w:val="clear" w:color="auto" w:fill="FFFFFF"/>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w:t>
            </w:r>
          </w:p>
        </w:tc>
        <w:tc>
          <w:tcPr>
            <w:tcW w:w="944" w:type="pct"/>
            <w:tcBorders>
              <w:tl2br w:val="nil"/>
              <w:tr2bl w:val="nil"/>
            </w:tcBorders>
            <w:shd w:val="clear" w:color="auto" w:fill="auto"/>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经度</w:t>
            </w:r>
          </w:p>
        </w:tc>
        <w:tc>
          <w:tcPr>
            <w:tcW w:w="476" w:type="pct"/>
            <w:tcBorders>
              <w:tl2br w:val="nil"/>
              <w:tr2bl w:val="nil"/>
            </w:tcBorders>
            <w:shd w:val="clear" w:color="auto" w:fill="FFFFFF"/>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数值</w:t>
            </w:r>
          </w:p>
        </w:tc>
        <w:tc>
          <w:tcPr>
            <w:tcW w:w="2153" w:type="pct"/>
            <w:tcBorders>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链路与摄像头</w:t>
            </w:r>
          </w:p>
        </w:tc>
        <w:tc>
          <w:tcPr>
            <w:tcW w:w="682" w:type="pct"/>
            <w:tcBorders>
              <w:tl2br w:val="nil"/>
              <w:tr2bl w:val="nil"/>
            </w:tcBorders>
            <w:shd w:val="clear" w:color="auto" w:fill="auto"/>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经度（一机一档）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381" w:type="pct"/>
            <w:vMerge w:val="continue"/>
            <w:tcBorders>
              <w:tl2br w:val="nil"/>
              <w:tr2bl w:val="nil"/>
            </w:tcBorders>
            <w:shd w:val="clear" w:color="auto" w:fill="FFFFFF"/>
            <w:vAlign w:val="center"/>
          </w:tcPr>
          <w:p>
            <w:pPr>
              <w:jc w:val="center"/>
              <w:rPr>
                <w:rFonts w:ascii="宋体" w:hAnsi="宋体" w:cs="宋体"/>
                <w:color w:val="auto"/>
                <w:szCs w:val="21"/>
                <w:highlight w:val="none"/>
              </w:rPr>
            </w:pPr>
          </w:p>
        </w:tc>
        <w:tc>
          <w:tcPr>
            <w:tcW w:w="360" w:type="pct"/>
            <w:tcBorders>
              <w:tl2br w:val="nil"/>
              <w:tr2bl w:val="nil"/>
            </w:tcBorders>
            <w:shd w:val="clear" w:color="auto" w:fill="FFFFFF"/>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w:t>
            </w:r>
          </w:p>
        </w:tc>
        <w:tc>
          <w:tcPr>
            <w:tcW w:w="944" w:type="pct"/>
            <w:tcBorders>
              <w:tl2br w:val="nil"/>
              <w:tr2bl w:val="nil"/>
            </w:tcBorders>
            <w:shd w:val="clear" w:color="auto" w:fill="auto"/>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纬度</w:t>
            </w:r>
          </w:p>
        </w:tc>
        <w:tc>
          <w:tcPr>
            <w:tcW w:w="476" w:type="pct"/>
            <w:tcBorders>
              <w:tl2br w:val="nil"/>
              <w:tr2bl w:val="nil"/>
            </w:tcBorders>
            <w:shd w:val="clear" w:color="auto" w:fill="FFFFFF"/>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数值</w:t>
            </w:r>
          </w:p>
        </w:tc>
        <w:tc>
          <w:tcPr>
            <w:tcW w:w="2153" w:type="pct"/>
            <w:tcBorders>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链路与摄像头</w:t>
            </w:r>
          </w:p>
        </w:tc>
        <w:tc>
          <w:tcPr>
            <w:tcW w:w="682" w:type="pct"/>
            <w:tcBorders>
              <w:tl2br w:val="nil"/>
              <w:tr2bl w:val="nil"/>
            </w:tcBorders>
            <w:shd w:val="clear" w:color="auto" w:fill="auto"/>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纬度（一机一档）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0" w:hRule="atLeast"/>
          <w:jc w:val="center"/>
        </w:trPr>
        <w:tc>
          <w:tcPr>
            <w:tcW w:w="381" w:type="pct"/>
            <w:vMerge w:val="continue"/>
            <w:tcBorders>
              <w:tl2br w:val="nil"/>
              <w:tr2bl w:val="nil"/>
            </w:tcBorders>
            <w:shd w:val="clear" w:color="auto" w:fill="FFFFFF"/>
            <w:vAlign w:val="center"/>
          </w:tcPr>
          <w:p>
            <w:pPr>
              <w:jc w:val="center"/>
              <w:rPr>
                <w:rFonts w:ascii="宋体" w:hAnsi="宋体" w:cs="宋体"/>
                <w:color w:val="auto"/>
                <w:szCs w:val="21"/>
                <w:highlight w:val="none"/>
              </w:rPr>
            </w:pPr>
          </w:p>
        </w:tc>
        <w:tc>
          <w:tcPr>
            <w:tcW w:w="360" w:type="pct"/>
            <w:tcBorders>
              <w:tl2br w:val="nil"/>
              <w:tr2bl w:val="nil"/>
            </w:tcBorders>
            <w:shd w:val="clear" w:color="auto" w:fill="FFFFFF"/>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w:t>
            </w:r>
          </w:p>
        </w:tc>
        <w:tc>
          <w:tcPr>
            <w:tcW w:w="944" w:type="pct"/>
            <w:tcBorders>
              <w:tl2br w:val="nil"/>
              <w:tr2bl w:val="nil"/>
            </w:tcBorders>
            <w:shd w:val="clear" w:color="auto" w:fill="auto"/>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监视方位</w:t>
            </w:r>
          </w:p>
        </w:tc>
        <w:tc>
          <w:tcPr>
            <w:tcW w:w="476" w:type="pct"/>
            <w:tcBorders>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枚举</w:t>
            </w:r>
          </w:p>
        </w:tc>
        <w:tc>
          <w:tcPr>
            <w:tcW w:w="2153" w:type="pct"/>
            <w:tcBorders>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20监视方位JSFWstring(1)GB/T28181O1-东、2-西、3-南、4-北、5-东南、6-东北、7-西南、8-西北。9.全向</w:t>
            </w:r>
          </w:p>
        </w:tc>
        <w:tc>
          <w:tcPr>
            <w:tcW w:w="682" w:type="pct"/>
            <w:tcBorders>
              <w:tl2br w:val="nil"/>
              <w:tr2bl w:val="nil"/>
            </w:tcBorders>
            <w:shd w:val="clear" w:color="auto" w:fill="auto"/>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监视方位（一机一档）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0" w:hRule="atLeast"/>
          <w:jc w:val="center"/>
        </w:trPr>
        <w:tc>
          <w:tcPr>
            <w:tcW w:w="381" w:type="pct"/>
            <w:vMerge w:val="continue"/>
            <w:tcBorders>
              <w:tl2br w:val="nil"/>
              <w:tr2bl w:val="nil"/>
            </w:tcBorders>
            <w:shd w:val="clear" w:color="auto" w:fill="FFFFFF"/>
            <w:vAlign w:val="center"/>
          </w:tcPr>
          <w:p>
            <w:pPr>
              <w:jc w:val="center"/>
              <w:rPr>
                <w:rFonts w:ascii="宋体" w:hAnsi="宋体" w:cs="宋体"/>
                <w:color w:val="auto"/>
                <w:szCs w:val="21"/>
                <w:highlight w:val="none"/>
              </w:rPr>
            </w:pPr>
          </w:p>
        </w:tc>
        <w:tc>
          <w:tcPr>
            <w:tcW w:w="360" w:type="pct"/>
            <w:tcBorders>
              <w:tl2br w:val="nil"/>
              <w:tr2bl w:val="nil"/>
            </w:tcBorders>
            <w:shd w:val="clear" w:color="auto" w:fill="FFFFFF"/>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11</w:t>
            </w:r>
          </w:p>
        </w:tc>
        <w:tc>
          <w:tcPr>
            <w:tcW w:w="944" w:type="pct"/>
            <w:tcBorders>
              <w:tl2br w:val="nil"/>
              <w:tr2bl w:val="nil"/>
            </w:tcBorders>
            <w:shd w:val="clear" w:color="auto" w:fill="FFFFFF"/>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设备品牌</w:t>
            </w:r>
          </w:p>
        </w:tc>
        <w:tc>
          <w:tcPr>
            <w:tcW w:w="476" w:type="pct"/>
            <w:tcBorders>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枚举</w:t>
            </w:r>
          </w:p>
        </w:tc>
        <w:tc>
          <w:tcPr>
            <w:tcW w:w="2153" w:type="pct"/>
            <w:tcBorders>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[1.海康威视;2.大华;3.天地伟业;4.科达;5.安讯士;6.博世;7.亚安;8.英飞拓;9.宇视;10.海信;11.中星电子;12.明景;13.联想;14.中兴;15.索尼;16.三星;99.其它;]数据格式:[填入一个值即可。例如1]</w:t>
            </w:r>
          </w:p>
        </w:tc>
        <w:tc>
          <w:tcPr>
            <w:tcW w:w="682" w:type="pct"/>
            <w:tcBorders>
              <w:tl2br w:val="nil"/>
              <w:tr2bl w:val="nil"/>
            </w:tcBorders>
            <w:shd w:val="clear" w:color="auto" w:fill="FFFFFF"/>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设备厂商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0" w:hRule="atLeast"/>
          <w:jc w:val="center"/>
        </w:trPr>
        <w:tc>
          <w:tcPr>
            <w:tcW w:w="381" w:type="pct"/>
            <w:vMerge w:val="continue"/>
            <w:tcBorders>
              <w:tl2br w:val="nil"/>
              <w:tr2bl w:val="nil"/>
            </w:tcBorders>
            <w:shd w:val="clear" w:color="auto" w:fill="FFFFFF"/>
            <w:vAlign w:val="center"/>
          </w:tcPr>
          <w:p>
            <w:pPr>
              <w:jc w:val="center"/>
              <w:rPr>
                <w:rFonts w:ascii="宋体" w:hAnsi="宋体" w:cs="宋体"/>
                <w:color w:val="auto"/>
                <w:szCs w:val="21"/>
                <w:highlight w:val="none"/>
              </w:rPr>
            </w:pPr>
          </w:p>
        </w:tc>
        <w:tc>
          <w:tcPr>
            <w:tcW w:w="360" w:type="pct"/>
            <w:tcBorders>
              <w:tl2br w:val="nil"/>
              <w:tr2bl w:val="nil"/>
            </w:tcBorders>
            <w:shd w:val="clear" w:color="auto" w:fill="FFFFFF"/>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w:t>
            </w:r>
          </w:p>
        </w:tc>
        <w:tc>
          <w:tcPr>
            <w:tcW w:w="944" w:type="pct"/>
            <w:tcBorders>
              <w:tl2br w:val="nil"/>
              <w:tr2bl w:val="nil"/>
            </w:tcBorders>
            <w:shd w:val="clear" w:color="auto" w:fill="FFFFFF"/>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设备型号</w:t>
            </w:r>
          </w:p>
        </w:tc>
        <w:tc>
          <w:tcPr>
            <w:tcW w:w="476" w:type="pct"/>
            <w:tcBorders>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文本</w:t>
            </w:r>
          </w:p>
        </w:tc>
        <w:tc>
          <w:tcPr>
            <w:tcW w:w="2153" w:type="pct"/>
            <w:tcBorders>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厂商设备型号</w:t>
            </w:r>
          </w:p>
        </w:tc>
        <w:tc>
          <w:tcPr>
            <w:tcW w:w="682" w:type="pct"/>
            <w:tcBorders>
              <w:tl2br w:val="nil"/>
              <w:tr2bl w:val="nil"/>
            </w:tcBorders>
            <w:shd w:val="clear" w:color="auto" w:fill="FFFFFF"/>
            <w:noWrap/>
            <w:vAlign w:val="center"/>
          </w:tcPr>
          <w:p>
            <w:pPr>
              <w:jc w:val="left"/>
              <w:rPr>
                <w:rFonts w:ascii="宋体" w:hAnsi="宋体" w:cs="宋体"/>
                <w:color w:val="auto"/>
                <w:szCs w:val="21"/>
                <w:highlight w:val="none"/>
              </w:rPr>
            </w:pPr>
            <w:r>
              <w:rPr>
                <w:rFonts w:hint="eastAsia" w:ascii="宋体" w:hAnsi="宋体" w:cs="宋体"/>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5" w:hRule="atLeast"/>
          <w:jc w:val="center"/>
        </w:trPr>
        <w:tc>
          <w:tcPr>
            <w:tcW w:w="381" w:type="pct"/>
            <w:vMerge w:val="continue"/>
            <w:tcBorders>
              <w:tl2br w:val="nil"/>
              <w:tr2bl w:val="nil"/>
            </w:tcBorders>
            <w:shd w:val="clear" w:color="auto" w:fill="FFFFFF"/>
            <w:vAlign w:val="center"/>
          </w:tcPr>
          <w:p>
            <w:pPr>
              <w:jc w:val="center"/>
              <w:rPr>
                <w:rFonts w:ascii="宋体" w:hAnsi="宋体" w:cs="宋体"/>
                <w:color w:val="auto"/>
                <w:szCs w:val="21"/>
                <w:highlight w:val="none"/>
              </w:rPr>
            </w:pPr>
          </w:p>
        </w:tc>
        <w:tc>
          <w:tcPr>
            <w:tcW w:w="360" w:type="pct"/>
            <w:tcBorders>
              <w:tl2br w:val="nil"/>
              <w:tr2bl w:val="nil"/>
            </w:tcBorders>
            <w:shd w:val="clear" w:color="auto" w:fill="FFFFFF"/>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13</w:t>
            </w:r>
          </w:p>
        </w:tc>
        <w:tc>
          <w:tcPr>
            <w:tcW w:w="944" w:type="pct"/>
            <w:tcBorders>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IPV4/IPV6</w:t>
            </w:r>
          </w:p>
        </w:tc>
        <w:tc>
          <w:tcPr>
            <w:tcW w:w="476" w:type="pct"/>
            <w:tcBorders>
              <w:tl2br w:val="nil"/>
              <w:tr2bl w:val="nil"/>
            </w:tcBorders>
            <w:shd w:val="clear" w:color="auto" w:fill="FFFFFF"/>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文本</w:t>
            </w:r>
          </w:p>
        </w:tc>
        <w:tc>
          <w:tcPr>
            <w:tcW w:w="2153" w:type="pct"/>
            <w:tcBorders>
              <w:tl2br w:val="nil"/>
              <w:tr2bl w:val="nil"/>
            </w:tcBorders>
            <w:shd w:val="clear" w:color="auto" w:fill="FFFFFF"/>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IPV4、IPV6地址</w:t>
            </w:r>
          </w:p>
        </w:tc>
        <w:tc>
          <w:tcPr>
            <w:tcW w:w="682" w:type="pct"/>
            <w:tcBorders>
              <w:tl2br w:val="nil"/>
              <w:tr2bl w:val="nil"/>
            </w:tcBorders>
            <w:shd w:val="clear" w:color="auto" w:fill="FFFFFF"/>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IP地址（一机一档）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381" w:type="pct"/>
            <w:vMerge w:val="continue"/>
            <w:tcBorders>
              <w:tl2br w:val="nil"/>
              <w:tr2bl w:val="nil"/>
            </w:tcBorders>
            <w:shd w:val="clear" w:color="auto" w:fill="FFFFFF"/>
            <w:vAlign w:val="center"/>
          </w:tcPr>
          <w:p>
            <w:pPr>
              <w:jc w:val="center"/>
              <w:rPr>
                <w:rFonts w:ascii="宋体" w:hAnsi="宋体" w:cs="宋体"/>
                <w:color w:val="auto"/>
                <w:szCs w:val="21"/>
                <w:highlight w:val="none"/>
              </w:rPr>
            </w:pPr>
          </w:p>
        </w:tc>
        <w:tc>
          <w:tcPr>
            <w:tcW w:w="360" w:type="pct"/>
            <w:tcBorders>
              <w:tl2br w:val="nil"/>
              <w:tr2bl w:val="nil"/>
            </w:tcBorders>
            <w:shd w:val="clear" w:color="auto" w:fill="FFFFFF"/>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14</w:t>
            </w:r>
          </w:p>
        </w:tc>
        <w:tc>
          <w:tcPr>
            <w:tcW w:w="944" w:type="pct"/>
            <w:tcBorders>
              <w:tl2br w:val="nil"/>
              <w:tr2bl w:val="nil"/>
            </w:tcBorders>
            <w:shd w:val="clear" w:color="auto" w:fill="auto"/>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MAC地址</w:t>
            </w:r>
          </w:p>
        </w:tc>
        <w:tc>
          <w:tcPr>
            <w:tcW w:w="476" w:type="pct"/>
            <w:tcBorders>
              <w:tl2br w:val="nil"/>
              <w:tr2bl w:val="nil"/>
            </w:tcBorders>
            <w:shd w:val="clear" w:color="auto" w:fill="FFFFFF"/>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文本</w:t>
            </w:r>
          </w:p>
        </w:tc>
        <w:tc>
          <w:tcPr>
            <w:tcW w:w="2153" w:type="pct"/>
            <w:tcBorders>
              <w:tl2br w:val="nil"/>
              <w:tr2bl w:val="nil"/>
            </w:tcBorders>
            <w:shd w:val="clear" w:color="auto" w:fill="auto"/>
            <w:noWrap/>
            <w:vAlign w:val="center"/>
          </w:tcPr>
          <w:p>
            <w:pPr>
              <w:rPr>
                <w:rFonts w:ascii="宋体" w:hAnsi="宋体" w:cs="宋体"/>
                <w:color w:val="auto"/>
                <w:szCs w:val="21"/>
                <w:highlight w:val="none"/>
              </w:rPr>
            </w:pPr>
            <w:r>
              <w:rPr>
                <w:rFonts w:hint="eastAsia" w:ascii="宋体" w:hAnsi="宋体" w:cs="宋体"/>
                <w:color w:val="auto"/>
                <w:szCs w:val="21"/>
                <w:highlight w:val="none"/>
              </w:rPr>
              <w:t>/</w:t>
            </w:r>
          </w:p>
        </w:tc>
        <w:tc>
          <w:tcPr>
            <w:tcW w:w="682" w:type="pct"/>
            <w:tcBorders>
              <w:tl2br w:val="nil"/>
              <w:tr2bl w:val="nil"/>
            </w:tcBorders>
            <w:shd w:val="clear" w:color="auto" w:fill="auto"/>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MAC地址（一机一档）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381" w:type="pct"/>
            <w:vMerge w:val="continue"/>
            <w:tcBorders>
              <w:tl2br w:val="nil"/>
              <w:tr2bl w:val="nil"/>
            </w:tcBorders>
            <w:shd w:val="clear" w:color="auto" w:fill="FFFFFF"/>
            <w:vAlign w:val="center"/>
          </w:tcPr>
          <w:p>
            <w:pPr>
              <w:jc w:val="center"/>
              <w:rPr>
                <w:rFonts w:ascii="宋体" w:hAnsi="宋体" w:cs="宋体"/>
                <w:color w:val="auto"/>
                <w:szCs w:val="21"/>
                <w:highlight w:val="none"/>
              </w:rPr>
            </w:pPr>
          </w:p>
        </w:tc>
        <w:tc>
          <w:tcPr>
            <w:tcW w:w="360" w:type="pct"/>
            <w:tcBorders>
              <w:tl2br w:val="nil"/>
              <w:tr2bl w:val="nil"/>
            </w:tcBorders>
            <w:shd w:val="clear" w:color="auto" w:fill="FFFFFF"/>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15</w:t>
            </w:r>
          </w:p>
        </w:tc>
        <w:tc>
          <w:tcPr>
            <w:tcW w:w="944" w:type="pct"/>
            <w:tcBorders>
              <w:tl2br w:val="nil"/>
              <w:tr2bl w:val="nil"/>
            </w:tcBorders>
            <w:shd w:val="clear" w:color="auto" w:fill="auto"/>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摄像机功能类型</w:t>
            </w:r>
          </w:p>
        </w:tc>
        <w:tc>
          <w:tcPr>
            <w:tcW w:w="476" w:type="pct"/>
            <w:tcBorders>
              <w:tl2br w:val="nil"/>
              <w:tr2bl w:val="nil"/>
            </w:tcBorders>
            <w:shd w:val="clear" w:color="auto" w:fill="FFFFFF"/>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枚举</w:t>
            </w:r>
          </w:p>
        </w:tc>
        <w:tc>
          <w:tcPr>
            <w:tcW w:w="2153" w:type="pct"/>
            <w:tcBorders>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1、车辆卡口；2、人员卡口；3、微卡口；4、特征摄像机；5、普通监控；99其他，多选各参数以“/”分隔</w:t>
            </w:r>
          </w:p>
        </w:tc>
        <w:tc>
          <w:tcPr>
            <w:tcW w:w="682" w:type="pct"/>
            <w:tcBorders>
              <w:tl2br w:val="nil"/>
              <w:tr2bl w:val="nil"/>
            </w:tcBorders>
            <w:shd w:val="clear" w:color="auto" w:fill="auto"/>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摄像机功能类型（一机一档）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381" w:type="pct"/>
            <w:vMerge w:val="continue"/>
            <w:tcBorders>
              <w:tl2br w:val="nil"/>
              <w:tr2bl w:val="nil"/>
            </w:tcBorders>
            <w:shd w:val="clear" w:color="auto" w:fill="FFFFFF"/>
            <w:vAlign w:val="center"/>
          </w:tcPr>
          <w:p>
            <w:pPr>
              <w:jc w:val="center"/>
              <w:rPr>
                <w:rFonts w:ascii="宋体" w:hAnsi="宋体" w:cs="宋体"/>
                <w:color w:val="auto"/>
                <w:szCs w:val="21"/>
                <w:highlight w:val="none"/>
              </w:rPr>
            </w:pPr>
          </w:p>
        </w:tc>
        <w:tc>
          <w:tcPr>
            <w:tcW w:w="360" w:type="pct"/>
            <w:tcBorders>
              <w:tl2br w:val="nil"/>
              <w:tr2bl w:val="nil"/>
            </w:tcBorders>
            <w:shd w:val="clear" w:color="auto" w:fill="FFFFFF"/>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16</w:t>
            </w:r>
          </w:p>
        </w:tc>
        <w:tc>
          <w:tcPr>
            <w:tcW w:w="944" w:type="pct"/>
            <w:tcBorders>
              <w:tl2br w:val="nil"/>
              <w:tr2bl w:val="nil"/>
            </w:tcBorders>
            <w:shd w:val="clear" w:color="auto" w:fill="auto"/>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补光属性</w:t>
            </w:r>
          </w:p>
        </w:tc>
        <w:tc>
          <w:tcPr>
            <w:tcW w:w="476" w:type="pct"/>
            <w:tcBorders>
              <w:tl2br w:val="nil"/>
              <w:tr2bl w:val="nil"/>
            </w:tcBorders>
            <w:shd w:val="clear" w:color="auto" w:fill="FFFFFF"/>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枚举</w:t>
            </w:r>
          </w:p>
        </w:tc>
        <w:tc>
          <w:tcPr>
            <w:tcW w:w="2153" w:type="pct"/>
            <w:tcBorders>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1-无补光、2-红外补光、3-白光补光、9-其他补光。</w:t>
            </w:r>
          </w:p>
        </w:tc>
        <w:tc>
          <w:tcPr>
            <w:tcW w:w="682" w:type="pct"/>
            <w:tcBorders>
              <w:tl2br w:val="nil"/>
              <w:tr2bl w:val="nil"/>
            </w:tcBorders>
            <w:shd w:val="clear" w:color="auto" w:fill="auto"/>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补光属性（一机一档）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381" w:type="pct"/>
            <w:vMerge w:val="continue"/>
            <w:tcBorders>
              <w:tl2br w:val="nil"/>
              <w:tr2bl w:val="nil"/>
            </w:tcBorders>
            <w:shd w:val="clear" w:color="auto" w:fill="FFFFFF"/>
            <w:vAlign w:val="center"/>
          </w:tcPr>
          <w:p>
            <w:pPr>
              <w:jc w:val="center"/>
              <w:rPr>
                <w:rFonts w:ascii="宋体" w:hAnsi="宋体" w:cs="宋体"/>
                <w:color w:val="auto"/>
                <w:szCs w:val="21"/>
                <w:highlight w:val="none"/>
              </w:rPr>
            </w:pPr>
          </w:p>
        </w:tc>
        <w:tc>
          <w:tcPr>
            <w:tcW w:w="360" w:type="pct"/>
            <w:tcBorders>
              <w:tl2br w:val="nil"/>
              <w:tr2bl w:val="nil"/>
            </w:tcBorders>
            <w:shd w:val="clear" w:color="auto" w:fill="FFFFFF"/>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17</w:t>
            </w:r>
          </w:p>
        </w:tc>
        <w:tc>
          <w:tcPr>
            <w:tcW w:w="944" w:type="pct"/>
            <w:tcBorders>
              <w:tl2br w:val="nil"/>
              <w:tr2bl w:val="nil"/>
            </w:tcBorders>
            <w:shd w:val="clear" w:color="auto" w:fill="auto"/>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摄像机编码格式</w:t>
            </w:r>
          </w:p>
        </w:tc>
        <w:tc>
          <w:tcPr>
            <w:tcW w:w="476" w:type="pct"/>
            <w:tcBorders>
              <w:tl2br w:val="nil"/>
              <w:tr2bl w:val="nil"/>
            </w:tcBorders>
            <w:shd w:val="clear" w:color="auto" w:fill="FFFFFF"/>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枚举</w:t>
            </w:r>
          </w:p>
        </w:tc>
        <w:tc>
          <w:tcPr>
            <w:tcW w:w="2153" w:type="pct"/>
            <w:tcBorders>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1.MPEG-4；2.H.264；3.SVAC；4.H.265；</w:t>
            </w:r>
          </w:p>
        </w:tc>
        <w:tc>
          <w:tcPr>
            <w:tcW w:w="682" w:type="pct"/>
            <w:tcBorders>
              <w:tl2br w:val="nil"/>
              <w:tr2bl w:val="nil"/>
            </w:tcBorders>
            <w:shd w:val="clear" w:color="auto" w:fill="auto"/>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摄像机编码格式（一机一档）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5" w:hRule="atLeast"/>
          <w:jc w:val="center"/>
        </w:trPr>
        <w:tc>
          <w:tcPr>
            <w:tcW w:w="381" w:type="pct"/>
            <w:vMerge w:val="continue"/>
            <w:tcBorders>
              <w:tl2br w:val="nil"/>
              <w:tr2bl w:val="nil"/>
            </w:tcBorders>
            <w:shd w:val="clear" w:color="auto" w:fill="FFFFFF"/>
            <w:vAlign w:val="center"/>
          </w:tcPr>
          <w:p>
            <w:pPr>
              <w:jc w:val="center"/>
              <w:rPr>
                <w:rFonts w:ascii="宋体" w:hAnsi="宋体" w:cs="宋体"/>
                <w:color w:val="auto"/>
                <w:szCs w:val="21"/>
                <w:highlight w:val="none"/>
              </w:rPr>
            </w:pPr>
          </w:p>
        </w:tc>
        <w:tc>
          <w:tcPr>
            <w:tcW w:w="360" w:type="pct"/>
            <w:tcBorders>
              <w:tl2br w:val="nil"/>
              <w:tr2bl w:val="nil"/>
            </w:tcBorders>
            <w:shd w:val="clear" w:color="auto" w:fill="FFFFFF"/>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18</w:t>
            </w:r>
          </w:p>
        </w:tc>
        <w:tc>
          <w:tcPr>
            <w:tcW w:w="944" w:type="pct"/>
            <w:tcBorders>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行政区划</w:t>
            </w:r>
          </w:p>
        </w:tc>
        <w:tc>
          <w:tcPr>
            <w:tcW w:w="476" w:type="pct"/>
            <w:tcBorders>
              <w:tl2br w:val="nil"/>
              <w:tr2bl w:val="nil"/>
            </w:tcBorders>
            <w:shd w:val="clear" w:color="auto" w:fill="FFFFFF"/>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枚举</w:t>
            </w:r>
          </w:p>
        </w:tc>
        <w:tc>
          <w:tcPr>
            <w:tcW w:w="2153" w:type="pct"/>
            <w:tcBorders>
              <w:tl2br w:val="nil"/>
              <w:tr2bl w:val="nil"/>
            </w:tcBorders>
            <w:shd w:val="clear" w:color="auto" w:fill="FFFFFF"/>
            <w:noWrap/>
            <w:vAlign w:val="center"/>
          </w:tcPr>
          <w:p>
            <w:pPr>
              <w:rPr>
                <w:rFonts w:ascii="宋体" w:hAnsi="宋体" w:cs="宋体"/>
                <w:color w:val="auto"/>
                <w:szCs w:val="21"/>
                <w:highlight w:val="none"/>
              </w:rPr>
            </w:pPr>
          </w:p>
        </w:tc>
        <w:tc>
          <w:tcPr>
            <w:tcW w:w="682" w:type="pct"/>
            <w:tcBorders>
              <w:tl2br w:val="nil"/>
              <w:tr2bl w:val="nil"/>
            </w:tcBorders>
            <w:shd w:val="clear" w:color="auto" w:fill="auto"/>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行政区划（一机一档）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5" w:hRule="atLeast"/>
          <w:jc w:val="center"/>
        </w:trPr>
        <w:tc>
          <w:tcPr>
            <w:tcW w:w="381" w:type="pct"/>
            <w:vMerge w:val="continue"/>
            <w:tcBorders>
              <w:tl2br w:val="nil"/>
              <w:tr2bl w:val="nil"/>
            </w:tcBorders>
            <w:shd w:val="clear" w:color="auto" w:fill="FFFFFF"/>
            <w:vAlign w:val="center"/>
          </w:tcPr>
          <w:p>
            <w:pPr>
              <w:jc w:val="center"/>
              <w:rPr>
                <w:rFonts w:ascii="宋体" w:hAnsi="宋体" w:cs="宋体"/>
                <w:color w:val="auto"/>
                <w:szCs w:val="21"/>
                <w:highlight w:val="none"/>
              </w:rPr>
            </w:pPr>
          </w:p>
        </w:tc>
        <w:tc>
          <w:tcPr>
            <w:tcW w:w="360" w:type="pct"/>
            <w:tcBorders>
              <w:tl2br w:val="nil"/>
              <w:tr2bl w:val="nil"/>
            </w:tcBorders>
            <w:shd w:val="clear" w:color="auto" w:fill="FFFFFF"/>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19</w:t>
            </w:r>
          </w:p>
        </w:tc>
        <w:tc>
          <w:tcPr>
            <w:tcW w:w="944" w:type="pct"/>
            <w:tcBorders>
              <w:tl2br w:val="nil"/>
              <w:tr2bl w:val="nil"/>
            </w:tcBorders>
            <w:shd w:val="clear" w:color="auto" w:fill="auto"/>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摄像机位置类型</w:t>
            </w:r>
          </w:p>
        </w:tc>
        <w:tc>
          <w:tcPr>
            <w:tcW w:w="476" w:type="pct"/>
            <w:tcBorders>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枚举</w:t>
            </w:r>
          </w:p>
        </w:tc>
        <w:tc>
          <w:tcPr>
            <w:tcW w:w="2153" w:type="pct"/>
            <w:tcBorders>
              <w:tl2br w:val="nil"/>
              <w:tr2bl w:val="nil"/>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19摄像机位置类型SXJWZLXstring(50)GB/T28181R1-省际检查站、2-党政机关、3-车站码头、4-中心广场、5-体育场馆、6-商业中心、农贸市场、7-宗教场所、8-校园周边、9-治安复杂区域、10-交通干线、11-医院周边、12-金融机构周边、13-危险物品场所周边、14-博物馆、展览馆、档案馆和重点文物保护单位、15-重点水域、航道、16-重点路段、路口、17-大型桥梁、隧道、18-机场、19、港口、20、轨道交通、21-重要新闻单位周边、22-大型能源动力设施和水、电、燃气、燃油、热力供应设施周边、23-科研单位、24-电信邮政机构、25-监狱看守所、26-住宅小区、27-其他、95.县际公安检查站、96.市际公安检查站；97.涉外场所；98.边境沿线；99.旅游景区，多选各参数以“/”分隔</w:t>
            </w:r>
          </w:p>
        </w:tc>
        <w:tc>
          <w:tcPr>
            <w:tcW w:w="682" w:type="pct"/>
            <w:tcBorders>
              <w:tl2br w:val="nil"/>
              <w:tr2bl w:val="nil"/>
            </w:tcBorders>
            <w:shd w:val="clear" w:color="auto" w:fill="auto"/>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摄像机位置类型（一机一档）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20" w:hRule="atLeast"/>
          <w:jc w:val="center"/>
        </w:trPr>
        <w:tc>
          <w:tcPr>
            <w:tcW w:w="381" w:type="pct"/>
            <w:vMerge w:val="continue"/>
            <w:tcBorders>
              <w:tl2br w:val="nil"/>
              <w:tr2bl w:val="nil"/>
            </w:tcBorders>
            <w:shd w:val="clear" w:color="auto" w:fill="FFFFFF"/>
            <w:vAlign w:val="center"/>
          </w:tcPr>
          <w:p>
            <w:pPr>
              <w:jc w:val="center"/>
              <w:rPr>
                <w:rFonts w:ascii="宋体" w:hAnsi="宋体" w:cs="宋体"/>
                <w:color w:val="auto"/>
                <w:szCs w:val="21"/>
                <w:highlight w:val="none"/>
              </w:rPr>
            </w:pPr>
          </w:p>
        </w:tc>
        <w:tc>
          <w:tcPr>
            <w:tcW w:w="360" w:type="pct"/>
            <w:tcBorders>
              <w:tl2br w:val="nil"/>
              <w:tr2bl w:val="nil"/>
            </w:tcBorders>
            <w:shd w:val="clear" w:color="auto" w:fill="FFFFFF"/>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20</w:t>
            </w:r>
          </w:p>
        </w:tc>
        <w:tc>
          <w:tcPr>
            <w:tcW w:w="944" w:type="pct"/>
            <w:tcBorders>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摄像机扩展类型</w:t>
            </w:r>
          </w:p>
        </w:tc>
        <w:tc>
          <w:tcPr>
            <w:tcW w:w="476" w:type="pct"/>
            <w:tcBorders>
              <w:tl2br w:val="nil"/>
              <w:tr2bl w:val="nil"/>
            </w:tcBorders>
            <w:shd w:val="clear" w:color="auto" w:fill="FFFFFF"/>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枚举</w:t>
            </w:r>
          </w:p>
        </w:tc>
        <w:tc>
          <w:tcPr>
            <w:tcW w:w="2153" w:type="pct"/>
            <w:tcBorders>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球机（Q），固定枪机（G），智能卡口或电子警察（P）,微卡口（W），人脸抓拍机（F），RFID采集设备（R），MAC采集设备（M）,车载视频（Y），单兵（D）,高空（H)。</w:t>
            </w:r>
          </w:p>
        </w:tc>
        <w:tc>
          <w:tcPr>
            <w:tcW w:w="682" w:type="pct"/>
            <w:tcBorders>
              <w:tl2br w:val="nil"/>
              <w:tr2bl w:val="nil"/>
            </w:tcBorders>
            <w:shd w:val="clear" w:color="auto" w:fill="auto"/>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摄像机扩展类型（一机一档）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0" w:hRule="atLeast"/>
          <w:jc w:val="center"/>
        </w:trPr>
        <w:tc>
          <w:tcPr>
            <w:tcW w:w="381" w:type="pct"/>
            <w:vMerge w:val="continue"/>
            <w:tcBorders>
              <w:tl2br w:val="nil"/>
              <w:tr2bl w:val="nil"/>
            </w:tcBorders>
            <w:shd w:val="clear" w:color="auto" w:fill="FFFFFF"/>
            <w:vAlign w:val="center"/>
          </w:tcPr>
          <w:p>
            <w:pPr>
              <w:jc w:val="center"/>
              <w:rPr>
                <w:rFonts w:ascii="宋体" w:hAnsi="宋体" w:cs="宋体"/>
                <w:color w:val="auto"/>
                <w:szCs w:val="21"/>
                <w:highlight w:val="none"/>
              </w:rPr>
            </w:pPr>
          </w:p>
        </w:tc>
        <w:tc>
          <w:tcPr>
            <w:tcW w:w="360" w:type="pct"/>
            <w:tcBorders>
              <w:tl2br w:val="nil"/>
              <w:tr2bl w:val="nil"/>
            </w:tcBorders>
            <w:shd w:val="clear" w:color="auto" w:fill="FFFFFF"/>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21</w:t>
            </w:r>
          </w:p>
        </w:tc>
        <w:tc>
          <w:tcPr>
            <w:tcW w:w="944" w:type="pct"/>
            <w:tcBorders>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摄像机采集区域类型</w:t>
            </w:r>
          </w:p>
        </w:tc>
        <w:tc>
          <w:tcPr>
            <w:tcW w:w="476" w:type="pct"/>
            <w:tcBorders>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枚举</w:t>
            </w:r>
          </w:p>
        </w:tc>
        <w:tc>
          <w:tcPr>
            <w:tcW w:w="2153" w:type="pct"/>
            <w:tcBorders>
              <w:tl2br w:val="nil"/>
              <w:tr2bl w:val="nil"/>
            </w:tcBorders>
            <w:shd w:val="clear" w:color="auto" w:fill="FFFFFF"/>
            <w:noWrap/>
            <w:vAlign w:val="center"/>
          </w:tcPr>
          <w:p>
            <w:pPr>
              <w:rPr>
                <w:rFonts w:ascii="宋体" w:hAnsi="宋体" w:cs="宋体"/>
                <w:color w:val="auto"/>
                <w:szCs w:val="21"/>
                <w:highlight w:val="none"/>
              </w:rPr>
            </w:pPr>
            <w:r>
              <w:rPr>
                <w:rFonts w:hint="eastAsia" w:ascii="宋体" w:hAnsi="宋体" w:cs="宋体"/>
                <w:color w:val="auto"/>
                <w:szCs w:val="21"/>
                <w:highlight w:val="none"/>
              </w:rPr>
              <w:t>/</w:t>
            </w:r>
          </w:p>
        </w:tc>
        <w:tc>
          <w:tcPr>
            <w:tcW w:w="682" w:type="pct"/>
            <w:tcBorders>
              <w:tl2br w:val="nil"/>
              <w:tr2bl w:val="nil"/>
            </w:tcBorders>
            <w:shd w:val="clear" w:color="auto" w:fill="auto"/>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摄像机采集区域类型（一机一档）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381" w:type="pct"/>
            <w:vMerge w:val="continue"/>
            <w:tcBorders>
              <w:tl2br w:val="nil"/>
              <w:tr2bl w:val="nil"/>
            </w:tcBorders>
            <w:shd w:val="clear" w:color="auto" w:fill="FFFFFF"/>
            <w:vAlign w:val="center"/>
          </w:tcPr>
          <w:p>
            <w:pPr>
              <w:jc w:val="center"/>
              <w:rPr>
                <w:rFonts w:ascii="宋体" w:hAnsi="宋体" w:cs="宋体"/>
                <w:color w:val="auto"/>
                <w:szCs w:val="21"/>
                <w:highlight w:val="none"/>
              </w:rPr>
            </w:pPr>
          </w:p>
        </w:tc>
        <w:tc>
          <w:tcPr>
            <w:tcW w:w="360" w:type="pct"/>
            <w:tcBorders>
              <w:tl2br w:val="nil"/>
              <w:tr2bl w:val="nil"/>
            </w:tcBorders>
            <w:shd w:val="clear" w:color="auto" w:fill="FFFFFF"/>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22</w:t>
            </w:r>
          </w:p>
        </w:tc>
        <w:tc>
          <w:tcPr>
            <w:tcW w:w="944" w:type="pct"/>
            <w:tcBorders>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管理单位</w:t>
            </w:r>
          </w:p>
        </w:tc>
        <w:tc>
          <w:tcPr>
            <w:tcW w:w="476" w:type="pct"/>
            <w:tcBorders>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枚举</w:t>
            </w:r>
          </w:p>
        </w:tc>
        <w:tc>
          <w:tcPr>
            <w:tcW w:w="2153" w:type="pct"/>
            <w:tcBorders>
              <w:tl2br w:val="nil"/>
              <w:tr2bl w:val="nil"/>
            </w:tcBorders>
            <w:shd w:val="clear" w:color="auto" w:fill="FFFFFF"/>
            <w:noWrap/>
            <w:vAlign w:val="center"/>
          </w:tcPr>
          <w:p>
            <w:pPr>
              <w:rPr>
                <w:rFonts w:ascii="宋体" w:hAnsi="宋体" w:cs="宋体"/>
                <w:color w:val="auto"/>
                <w:szCs w:val="21"/>
                <w:highlight w:val="none"/>
              </w:rPr>
            </w:pPr>
            <w:r>
              <w:rPr>
                <w:rFonts w:hint="eastAsia" w:ascii="宋体" w:hAnsi="宋体" w:cs="宋体"/>
                <w:color w:val="auto"/>
                <w:szCs w:val="21"/>
                <w:highlight w:val="none"/>
              </w:rPr>
              <w:t>/</w:t>
            </w:r>
          </w:p>
        </w:tc>
        <w:tc>
          <w:tcPr>
            <w:tcW w:w="682" w:type="pct"/>
            <w:tcBorders>
              <w:tl2br w:val="nil"/>
              <w:tr2bl w:val="nil"/>
            </w:tcBorders>
            <w:shd w:val="clear" w:color="auto" w:fill="auto"/>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管理单位（一机一档）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381" w:type="pct"/>
            <w:vMerge w:val="continue"/>
            <w:tcBorders>
              <w:tl2br w:val="nil"/>
              <w:tr2bl w:val="nil"/>
            </w:tcBorders>
            <w:shd w:val="clear" w:color="auto" w:fill="FFFFFF"/>
            <w:vAlign w:val="center"/>
          </w:tcPr>
          <w:p>
            <w:pPr>
              <w:jc w:val="center"/>
              <w:rPr>
                <w:rFonts w:ascii="宋体" w:hAnsi="宋体" w:cs="宋体"/>
                <w:color w:val="auto"/>
                <w:szCs w:val="21"/>
                <w:highlight w:val="none"/>
              </w:rPr>
            </w:pPr>
          </w:p>
        </w:tc>
        <w:tc>
          <w:tcPr>
            <w:tcW w:w="360" w:type="pct"/>
            <w:tcBorders>
              <w:tl2br w:val="nil"/>
              <w:tr2bl w:val="nil"/>
            </w:tcBorders>
            <w:shd w:val="clear" w:color="auto" w:fill="FFFFFF"/>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23</w:t>
            </w:r>
          </w:p>
        </w:tc>
        <w:tc>
          <w:tcPr>
            <w:tcW w:w="944" w:type="pct"/>
            <w:tcBorders>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设备状态</w:t>
            </w:r>
          </w:p>
        </w:tc>
        <w:tc>
          <w:tcPr>
            <w:tcW w:w="476" w:type="pct"/>
            <w:tcBorders>
              <w:tl2br w:val="nil"/>
              <w:tr2bl w:val="nil"/>
            </w:tcBorders>
            <w:shd w:val="clear" w:color="auto" w:fill="FFFFFF"/>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文本</w:t>
            </w:r>
          </w:p>
        </w:tc>
        <w:tc>
          <w:tcPr>
            <w:tcW w:w="2153" w:type="pct"/>
            <w:tcBorders>
              <w:tl2br w:val="nil"/>
              <w:tr2bl w:val="nil"/>
            </w:tcBorders>
            <w:shd w:val="clear" w:color="auto" w:fill="FFFFFF"/>
            <w:noWrap/>
            <w:vAlign w:val="center"/>
          </w:tcPr>
          <w:p>
            <w:pPr>
              <w:rPr>
                <w:rFonts w:ascii="宋体" w:hAnsi="宋体" w:cs="宋体"/>
                <w:color w:val="auto"/>
                <w:szCs w:val="21"/>
                <w:highlight w:val="none"/>
              </w:rPr>
            </w:pPr>
            <w:r>
              <w:rPr>
                <w:rFonts w:hint="eastAsia" w:ascii="宋体" w:hAnsi="宋体" w:cs="宋体"/>
                <w:color w:val="auto"/>
                <w:szCs w:val="21"/>
                <w:highlight w:val="none"/>
              </w:rPr>
              <w:t>/</w:t>
            </w:r>
          </w:p>
        </w:tc>
        <w:tc>
          <w:tcPr>
            <w:tcW w:w="682" w:type="pct"/>
            <w:tcBorders>
              <w:tl2br w:val="nil"/>
              <w:tr2bl w:val="nil"/>
            </w:tcBorders>
            <w:shd w:val="clear" w:color="auto" w:fill="auto"/>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设备状态（一机一档）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381" w:type="pct"/>
            <w:vMerge w:val="continue"/>
            <w:tcBorders>
              <w:tl2br w:val="nil"/>
              <w:tr2bl w:val="nil"/>
            </w:tcBorders>
            <w:shd w:val="clear" w:color="auto" w:fill="FFFFFF"/>
            <w:vAlign w:val="center"/>
          </w:tcPr>
          <w:p>
            <w:pPr>
              <w:jc w:val="center"/>
              <w:rPr>
                <w:rFonts w:ascii="宋体" w:hAnsi="宋体" w:cs="宋体"/>
                <w:color w:val="auto"/>
                <w:szCs w:val="21"/>
                <w:highlight w:val="none"/>
              </w:rPr>
            </w:pPr>
          </w:p>
        </w:tc>
        <w:tc>
          <w:tcPr>
            <w:tcW w:w="360" w:type="pct"/>
            <w:tcBorders>
              <w:tl2br w:val="nil"/>
              <w:tr2bl w:val="nil"/>
            </w:tcBorders>
            <w:shd w:val="clear" w:color="auto" w:fill="FFFFFF"/>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24</w:t>
            </w:r>
          </w:p>
        </w:tc>
        <w:tc>
          <w:tcPr>
            <w:tcW w:w="944" w:type="pct"/>
            <w:tcBorders>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运维单位</w:t>
            </w:r>
          </w:p>
        </w:tc>
        <w:tc>
          <w:tcPr>
            <w:tcW w:w="476" w:type="pct"/>
            <w:tcBorders>
              <w:tl2br w:val="nil"/>
              <w:tr2bl w:val="nil"/>
            </w:tcBorders>
            <w:shd w:val="clear" w:color="auto" w:fill="FFFFFF"/>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文本</w:t>
            </w:r>
          </w:p>
        </w:tc>
        <w:tc>
          <w:tcPr>
            <w:tcW w:w="2153" w:type="pct"/>
            <w:tcBorders>
              <w:tl2br w:val="nil"/>
              <w:tr2bl w:val="nil"/>
            </w:tcBorders>
            <w:shd w:val="clear" w:color="auto" w:fill="FFFFFF"/>
            <w:noWrap/>
            <w:vAlign w:val="center"/>
          </w:tcPr>
          <w:p>
            <w:pPr>
              <w:rPr>
                <w:rFonts w:ascii="宋体" w:hAnsi="宋体" w:cs="宋体"/>
                <w:color w:val="auto"/>
                <w:szCs w:val="21"/>
                <w:highlight w:val="none"/>
              </w:rPr>
            </w:pPr>
            <w:r>
              <w:rPr>
                <w:rFonts w:hint="eastAsia" w:ascii="宋体" w:hAnsi="宋体" w:cs="宋体"/>
                <w:color w:val="auto"/>
                <w:szCs w:val="21"/>
                <w:highlight w:val="none"/>
              </w:rPr>
              <w:t>/</w:t>
            </w:r>
          </w:p>
        </w:tc>
        <w:tc>
          <w:tcPr>
            <w:tcW w:w="682" w:type="pct"/>
            <w:tcBorders>
              <w:tl2br w:val="nil"/>
              <w:tr2bl w:val="nil"/>
            </w:tcBorders>
            <w:shd w:val="clear" w:color="auto" w:fill="auto"/>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运维单位（一机一档）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381" w:type="pct"/>
            <w:vMerge w:val="continue"/>
            <w:tcBorders>
              <w:tl2br w:val="nil"/>
              <w:tr2bl w:val="nil"/>
            </w:tcBorders>
            <w:shd w:val="clear" w:color="auto" w:fill="FFFFFF"/>
            <w:vAlign w:val="center"/>
          </w:tcPr>
          <w:p>
            <w:pPr>
              <w:jc w:val="center"/>
              <w:rPr>
                <w:rFonts w:ascii="宋体" w:hAnsi="宋体" w:cs="宋体"/>
                <w:color w:val="auto"/>
                <w:szCs w:val="21"/>
                <w:highlight w:val="none"/>
              </w:rPr>
            </w:pPr>
          </w:p>
        </w:tc>
        <w:tc>
          <w:tcPr>
            <w:tcW w:w="360" w:type="pct"/>
            <w:tcBorders>
              <w:tl2br w:val="nil"/>
              <w:tr2bl w:val="nil"/>
            </w:tcBorders>
            <w:shd w:val="clear" w:color="auto" w:fill="FFFFFF"/>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25</w:t>
            </w:r>
          </w:p>
        </w:tc>
        <w:tc>
          <w:tcPr>
            <w:tcW w:w="944" w:type="pct"/>
            <w:tcBorders>
              <w:tl2br w:val="nil"/>
              <w:tr2bl w:val="nil"/>
            </w:tcBorders>
            <w:shd w:val="clear" w:color="auto" w:fill="FFFFFF"/>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建设类型</w:t>
            </w:r>
          </w:p>
        </w:tc>
        <w:tc>
          <w:tcPr>
            <w:tcW w:w="476" w:type="pct"/>
            <w:tcBorders>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枚举</w:t>
            </w:r>
          </w:p>
        </w:tc>
        <w:tc>
          <w:tcPr>
            <w:tcW w:w="2153" w:type="pct"/>
            <w:tcBorders>
              <w:tl2br w:val="nil"/>
              <w:tr2bl w:val="nil"/>
            </w:tcBorders>
            <w:shd w:val="clear" w:color="auto" w:fill="FFFFFF"/>
            <w:vAlign w:val="center"/>
          </w:tcPr>
          <w:p>
            <w:pPr>
              <w:jc w:val="left"/>
              <w:rPr>
                <w:rFonts w:ascii="宋体" w:hAnsi="宋体" w:cs="宋体"/>
                <w:color w:val="auto"/>
                <w:szCs w:val="21"/>
                <w:highlight w:val="none"/>
              </w:rPr>
            </w:pPr>
            <w:r>
              <w:rPr>
                <w:rFonts w:hint="eastAsia" w:ascii="宋体" w:hAnsi="宋体" w:cs="宋体"/>
                <w:color w:val="auto"/>
                <w:szCs w:val="21"/>
                <w:highlight w:val="none"/>
              </w:rPr>
              <w:t>/</w:t>
            </w:r>
          </w:p>
        </w:tc>
        <w:tc>
          <w:tcPr>
            <w:tcW w:w="682" w:type="pct"/>
            <w:tcBorders>
              <w:tl2br w:val="nil"/>
              <w:tr2bl w:val="nil"/>
            </w:tcBorders>
            <w:shd w:val="clear" w:color="auto" w:fill="FFFFFF"/>
            <w:noWrap/>
            <w:vAlign w:val="center"/>
          </w:tcPr>
          <w:p>
            <w:pPr>
              <w:jc w:val="left"/>
              <w:rPr>
                <w:rFonts w:ascii="宋体" w:hAnsi="宋体" w:cs="宋体"/>
                <w:color w:val="auto"/>
                <w:szCs w:val="21"/>
                <w:highlight w:val="none"/>
              </w:rPr>
            </w:pPr>
            <w:r>
              <w:rPr>
                <w:rFonts w:hint="eastAsia" w:ascii="宋体" w:hAnsi="宋体" w:cs="宋体"/>
                <w:color w:val="auto"/>
                <w:kern w:val="0"/>
                <w:szCs w:val="21"/>
                <w:highlight w:val="none"/>
                <w:lang w:bidi="ar"/>
              </w:rPr>
              <w:t>运维单位（一机一档）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381" w:type="pct"/>
            <w:tcBorders>
              <w:tl2br w:val="nil"/>
              <w:tr2bl w:val="nil"/>
            </w:tcBorders>
            <w:shd w:val="clear" w:color="auto" w:fill="auto"/>
            <w:noWrap/>
            <w:vAlign w:val="center"/>
          </w:tcPr>
          <w:p>
            <w:pPr>
              <w:rPr>
                <w:rFonts w:ascii="宋体" w:hAnsi="宋体" w:cs="宋体"/>
                <w:color w:val="auto"/>
                <w:szCs w:val="21"/>
                <w:highlight w:val="none"/>
              </w:rPr>
            </w:pPr>
          </w:p>
        </w:tc>
        <w:tc>
          <w:tcPr>
            <w:tcW w:w="360" w:type="pct"/>
            <w:tcBorders>
              <w:tl2br w:val="nil"/>
              <w:tr2bl w:val="nil"/>
            </w:tcBorders>
            <w:shd w:val="clear" w:color="auto" w:fill="auto"/>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26</w:t>
            </w:r>
          </w:p>
        </w:tc>
        <w:tc>
          <w:tcPr>
            <w:tcW w:w="944" w:type="pct"/>
            <w:tcBorders>
              <w:tl2br w:val="nil"/>
              <w:tr2bl w:val="nil"/>
            </w:tcBorders>
            <w:shd w:val="clear" w:color="auto" w:fill="auto"/>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竣工时间</w:t>
            </w:r>
          </w:p>
        </w:tc>
        <w:tc>
          <w:tcPr>
            <w:tcW w:w="476" w:type="pct"/>
            <w:tcBorders>
              <w:tl2br w:val="nil"/>
              <w:tr2bl w:val="nil"/>
            </w:tcBorders>
            <w:shd w:val="clear" w:color="auto" w:fill="auto"/>
            <w:noWrap/>
            <w:vAlign w:val="center"/>
          </w:tcPr>
          <w:p>
            <w:pPr>
              <w:rPr>
                <w:rFonts w:ascii="宋体" w:hAnsi="宋体" w:cs="宋体"/>
                <w:color w:val="auto"/>
                <w:szCs w:val="21"/>
                <w:highlight w:val="none"/>
              </w:rPr>
            </w:pPr>
            <w:r>
              <w:rPr>
                <w:rFonts w:hint="eastAsia" w:ascii="宋体" w:hAnsi="宋体" w:cs="宋体"/>
                <w:color w:val="auto"/>
                <w:szCs w:val="21"/>
                <w:highlight w:val="none"/>
              </w:rPr>
              <w:t>/</w:t>
            </w:r>
          </w:p>
        </w:tc>
        <w:tc>
          <w:tcPr>
            <w:tcW w:w="2153" w:type="pct"/>
            <w:tcBorders>
              <w:tl2br w:val="nil"/>
              <w:tr2bl w:val="nil"/>
            </w:tcBorders>
            <w:shd w:val="clear" w:color="auto" w:fill="auto"/>
            <w:noWrap/>
            <w:vAlign w:val="center"/>
          </w:tcPr>
          <w:p>
            <w:pPr>
              <w:rPr>
                <w:rFonts w:ascii="宋体" w:hAnsi="宋体" w:cs="宋体"/>
                <w:color w:val="auto"/>
                <w:szCs w:val="21"/>
                <w:highlight w:val="none"/>
              </w:rPr>
            </w:pPr>
            <w:r>
              <w:rPr>
                <w:rFonts w:hint="eastAsia" w:ascii="宋体" w:hAnsi="宋体" w:cs="宋体"/>
                <w:color w:val="auto"/>
                <w:szCs w:val="21"/>
                <w:highlight w:val="none"/>
              </w:rPr>
              <w:t>/</w:t>
            </w:r>
          </w:p>
        </w:tc>
        <w:tc>
          <w:tcPr>
            <w:tcW w:w="682" w:type="pct"/>
            <w:tcBorders>
              <w:tl2br w:val="nil"/>
              <w:tr2bl w:val="nil"/>
            </w:tcBorders>
            <w:shd w:val="clear" w:color="auto" w:fill="auto"/>
            <w:noWrap/>
            <w:vAlign w:val="center"/>
          </w:tcPr>
          <w:p>
            <w:pPr>
              <w:rPr>
                <w:rFonts w:ascii="宋体" w:hAnsi="宋体" w:cs="宋体"/>
                <w:color w:val="auto"/>
                <w:szCs w:val="21"/>
                <w:highlight w:val="none"/>
              </w:rPr>
            </w:pPr>
            <w:r>
              <w:rPr>
                <w:rFonts w:hint="eastAsia" w:ascii="宋体" w:hAnsi="宋体" w:cs="宋体"/>
                <w:color w:val="auto"/>
                <w:kern w:val="0"/>
                <w:szCs w:val="21"/>
                <w:highlight w:val="none"/>
                <w:lang w:bidi="ar"/>
              </w:rPr>
              <w:t>运维单位（一机一档）</w:t>
            </w:r>
          </w:p>
        </w:tc>
      </w:tr>
    </w:tbl>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资产台账：通过平台同步、SDK对接、批量导入及手动新增等方式汇聚资产基本信息，建立资产的统一接入，分类管理，形成资产台账；</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资产生命周期管理：支持资产从入库、启用、维修、停用、恢复正常到报废的全生命周期管控；</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配置跟踪管理：对视频图像质量诊断服务器设备的增删查改管理，支持集群堆叠管理；</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质保到期提醒：依据资产到期提醒时间计算资产过期状态，及时发现即将过期或已经过期的资产。</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资产统计分析：依据资产类型、厂商、生命周期状态、建设年限、质保状态、所属组织、行政区划、管理单位、在线率、故障率等多方面对资产进行单维度或多维度的分析。</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智能运维监督</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检测项及诊断参数设置（配合视频图像质量诊断服务器）：诊断方案包括方案名称，诊断设备，描述，诊断检测项及诊断参数；检测项：分为全局、抖动、遮挡、冻结、视频丢失、条纹、亮度、对比度、清晰度、偏色、噪声、场景变化、彩色/黑白图像、视频剧变、图像凝固、PTZ，提供默认的诊断参数值，支持修改。检测项支持全选、多选，不选，默认全选，只有选择了相应的检测项诊断服务才执行相能的检测，否则不执行。PTZ检测与其他检测项互斥，即做视频检测与云台检测各自创建独立方案。支持按照检测预案的维度，全量设置检测项及诊断参数，即该检测预案内的所有视频源都执行相同的检测项及诊断参数；</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视频在线率、完好率相关统计：支持统计全部通道在线率（百分比），公式如下：通道在线率=(县市通道数量-离线通道数量)/通道数量*100%，视频完好率，图像质量达标率；</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下发诊断预案到视频图像质量诊断服务器：检测预案配置基本信息包含预案名称、是否启用、每路耗时(秒)、检测类型、检测周期及具体的开始时间段，具体诊断设备、诊断方案、描述及视频源。每路耗时可分5秒、10秒、15秒、20秒，25秒，30秒；方便现场根据实际网络情况或诊断项设定而定；检测周期可分为即时计划、日计划、周计划与月计划，并可定义每天的时间执行片段；</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视频诊断的视频源：支持获取平台所有视频输出设备，并提供以设备树的方式展现，为检测分析提供视频资源。支持单个或批量选择设备，作为检测分析的视频源；</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实时报警管理：对设备在离线状态、视频诊断故障报警进行实时展示提醒；</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报警阈值设置：支持个性化设置单个设备的检测项及诊断参数（即阈值修正），不影响该检测预案的其他设备的参数；</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视频质量诊断结果展示：诊断服务接收下发的配置检测方案、检测预案，执行检测相能的设备的各种情况，同时将检测的结果进行反馈，WEB界面进行统一呈现；</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故障报修：根据故障告警信息，对设备进行报修流程处理，提交到相关的维护维修单位进行报修流程审批；</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流程配置管理：支持对报修业务流程中关键角色的人员指定；</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单位管理：支持对报修业务环节中，维修单位等，涉及单位信息的管理配置。</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图像质量诊断：对视频模糊、高亮异常、低亮异常、偏色、低对比度异常、视频抖动运动、噪声过大、条纹干扰、视频丢失、视频冻结、视频遮挡和场景变化等异常现象进行报警统计。</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设备在线状态监督：对设备在离线状态进行实时监控，可监控内容包括：实时在离线状态、累计离线次数、累计离线时长、在离线趋势；获取设备的在离线状态是通过前端设备“全量同步+变更通知”的方式，主动添加的动环设备是通过SDK心跳保活的方式获取在离线状态，存储设备/网络设备/硬件服务器是通过SNMP协议实时获取在离线状态。</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视频点播状态监督：视频点播监督分为实时视频点播和历史录像点播，两者用于快速拉取实时视频流或录像流，以快速判断视频通道的可调阅性。实时视频点播监督即对实时视频流进行拉流判断，若能够拉到流，则认为点播成功，反之点播失败。历史录像点播监督即前一天的录像流进行拉流判断，若能够拉到流，，则认为历史录像点播成功，反之点播失败。支持用户指定通道巡检，也支持针对全量通道的自动抽样巡检。实时视频点播监督支持3秒并发检测20路通道，约4小时可完成10万路视频通道是否完好的检测。</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视频码流监测：通过对视频点位的码流格式的规范性检测，可以发现不合规的码流，并提供下级进行整改，解决由于码流格式不合规导致应用平台无法查看视频的问题。码流为视频文件在单位时间内使用的数据流量，码流越大视频文件精度越高，表现出来就是分辨率越高，单位通常为：Kbps或Mbps码流达标定义如下，码流达标定义支持后台配置文件配置，码流值：1-10Mbps，容错范围：0%-50%</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1.标清（D1或者以下分辨率都算）大于等于2Mbps-10%达标</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2.高清（720P或者以上分辨率都算）大于等于4Mbps-10%达标</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定期针对重点点位下发码流达标巡检任务，发现和分辨率不匹配的非标视频码流，便于对视频码流不达标的点位及时上报和做整改。</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视频质量智能诊断：对接入平台的前端摄像机进行实时拉流，智能分析摄像机画面是否正常，可检测项包括：视频冻结异常、视频丢失异常、视频抖动异常、视频条纹异常、视频遮挡异常、视频过暗异常、视频过亮异常、对比度异常、清晰度异常、偏色异常、噪声异常、场景变化异常、黑白图像异常、视频剧变、雪花屏、登录失败。支持针对问题视频的一键复核。</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录像状态监测：对录像存储情况进行监控，按存储位置分中心录像（云存储或后端服务器）和设备录像（前端SD卡或NVR），通过“录像完整性”和“录像保存天数完整性”两个指标来衡量。录像完整性，是将前一天的录像存储明细与录像计划做对比，如果不能全覆盖则认为录像不完整；录像保存天数完整性，支持对录像存储天数进行检测，通过录像月历查询得出日历卡覆盖情况，可检测实际录像保存天数、录像丢失天数、最早录像时间等。</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抓拍活跃率监测：支持检测图片通道在所设置的时间周期内图片通道连续无抓拍的时长分析，能够筛选出抓拍数据无法访问的异常点位，相关运维人员针对连续无抓拍图片通道及时排查和治理。</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抓拍数据延迟性监测：支持检测图片通道过人/过车数据的采集入库延时分析，支持按照延时率、抓拍数据延时性、正负延迟数等多维度分析，筛选出前端相机从采集到入库存在延时的异常点位进行治理。</w:t>
      </w:r>
    </w:p>
    <w:p>
      <w:pPr>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rPr>
        <w:t>一机一档</w:t>
      </w:r>
    </w:p>
    <w:p>
      <w:pPr>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一机一档主要是对</w:t>
      </w:r>
      <w:r>
        <w:rPr>
          <w:rFonts w:hint="eastAsia" w:ascii="宋体" w:hAnsi="宋体" w:cs="宋体"/>
          <w:color w:val="auto"/>
          <w:szCs w:val="21"/>
          <w:highlight w:val="none"/>
        </w:rPr>
        <w:t>接入的视频设备、感知设备</w:t>
      </w:r>
      <w:r>
        <w:rPr>
          <w:rFonts w:hint="eastAsia" w:ascii="宋体" w:hAnsi="宋体" w:cs="宋体"/>
          <w:color w:val="auto"/>
          <w:szCs w:val="21"/>
          <w:highlight w:val="none"/>
          <w:lang w:val="zh-CN"/>
        </w:rPr>
        <w:t>进行管理、建档工作。联网点位从联网/共享平台中抽取，并匹配部分属性（设备编码、设备名称、行政区域、经纬度、联网属性等），同步过来的点位只能修改，不允许删除。本系统提供点位的增、删、改、查等操作。</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可视化报表</w:t>
      </w:r>
    </w:p>
    <w:p>
      <w:pPr>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视频通道统计：</w:t>
      </w:r>
    </w:p>
    <w:p>
      <w:pPr>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视频统计包括视频统计概览、在线统计、离线时长统计、点播统计、视频质量统计、录像完整性统计、视频清晰度统计、字幕标注合规性统计。</w:t>
      </w:r>
    </w:p>
    <w:p>
      <w:pPr>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视频统计概览：</w:t>
      </w:r>
    </w:p>
    <w:p>
      <w:pPr>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以图表的形式展示视频清晰度统计、视频在线统计、实时视频点播统计、视频质量诊断统计、视频异常项数量统计、录像完整性统计、视频清晰度统计、字幕标注合规性统计，以及组织设备近7天、15天、30天关键指标的运行趋势；</w:t>
      </w:r>
    </w:p>
    <w:p>
      <w:pPr>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图片通道统计：</w:t>
      </w:r>
    </w:p>
    <w:p>
      <w:pPr>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卡口统计包括卡口统计概览、在线统计、离线时长、抓拍达标性统计、图片质量统计。</w:t>
      </w:r>
    </w:p>
    <w:p>
      <w:pPr>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1.卡口统计概览：以图表的形式展示卡口在线统计、人像</w:t>
      </w:r>
      <w:r>
        <w:rPr>
          <w:rFonts w:hint="eastAsia" w:ascii="宋体" w:hAnsi="宋体" w:cs="宋体"/>
          <w:color w:val="auto"/>
          <w:szCs w:val="21"/>
          <w:highlight w:val="none"/>
        </w:rPr>
        <w:t>月度</w:t>
      </w:r>
      <w:r>
        <w:rPr>
          <w:rFonts w:hint="eastAsia" w:ascii="宋体" w:hAnsi="宋体" w:cs="宋体"/>
          <w:color w:val="auto"/>
          <w:szCs w:val="21"/>
          <w:highlight w:val="none"/>
          <w:lang w:val="zh-CN"/>
        </w:rPr>
        <w:t>统计、车辆活跃度统计、图片质量统计、图片异常项数量统计，以及组织设备运行TOP10和关键指标的运行趋势；</w:t>
      </w:r>
    </w:p>
    <w:p>
      <w:pPr>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2.在线统计：统计各组织的通道总数、在线数、离线数、在线率、离线时长、高清数、标清数等，并支持查看详情；</w:t>
      </w:r>
    </w:p>
    <w:p>
      <w:pPr>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3.图片质量统计：统计各组织图片质量正常数、图片质量异常数（每种异常原因的数量）、图片质量正常率，并支持查看详情；</w:t>
      </w:r>
    </w:p>
    <w:p>
      <w:pPr>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4.人脸图片质量统计：统计各组织抓拍总数、分析总数、质量得分、质量分布情况、图片质量正常率；</w:t>
      </w:r>
    </w:p>
    <w:p>
      <w:pPr>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5.车辆图片质量统计：统计各组织抓拍总数、二次分析数、质量得分、质量分布情况、图片质量正常率。</w:t>
      </w:r>
    </w:p>
    <w:p>
      <w:pPr>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报警统计：</w:t>
      </w:r>
    </w:p>
    <w:p>
      <w:pPr>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报警统计包含报警级别、报警类型、报警状态统计。</w:t>
      </w:r>
    </w:p>
    <w:p>
      <w:pPr>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运维考核统计：</w:t>
      </w:r>
    </w:p>
    <w:p>
      <w:pPr>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支持自定义对需要考核的各项指标做权值设置，运维根据不同组织维度综合各项指标计算打分，参考得分情况可对各级组织进行考核结果排名</w:t>
      </w:r>
    </w:p>
    <w:p>
      <w:pPr>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1.自定义权值，支持自定义各项考核指标权值，根据健康度计算公式计算各组织运维考核得分；</w:t>
      </w:r>
    </w:p>
    <w:p>
      <w:pPr>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2.分类统计考核排名，支持按照考核得分情况分别进行各级组织考核结果排名；</w:t>
      </w:r>
    </w:p>
    <w:p>
      <w:pPr>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3.查看考核得分明细，支持查看各级组织运维考核得分明细并导出，下达运维建设整改有理有据。</w:t>
      </w:r>
    </w:p>
    <w:p>
      <w:pPr>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报修统计：</w:t>
      </w:r>
    </w:p>
    <w:p>
      <w:pPr>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报修统计包含维修及时率、工单逾期率、频繁维修点位、不同资产类型维修工单分布以及工单增长或者完成趋势图展示。</w:t>
      </w:r>
    </w:p>
    <w:p>
      <w:pPr>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工单管理：</w:t>
      </w:r>
    </w:p>
    <w:p>
      <w:pPr>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通过工单管理可实现对业务事件处置和维修管理，支持地图定位、上传语音、上传图片、在线编辑图片功能，实现快速派单，灵活的转派、催办、审核、驳回等操作满足复杂业务场景需要，可自定义工单流程节点，提供丰富的表单字段类型和节点操作，工单流转多任务节点可视化，处理结果全生命周期记录，保障工单事件可追溯、可闭环，真正实现从工单派发、流转、记录、回溯的全程管控，大大提升资产事件解决和维修效率。</w:t>
      </w:r>
    </w:p>
    <w:p>
      <w:pPr>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1.自定义派单</w:t>
      </w:r>
    </w:p>
    <w:p>
      <w:pPr>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贴合实际场景内置最佳实践，同时支持自定义表单，满足多场景需求,手动提单、报警联动工单、自动派发工单，多种方式降低派单门槛。</w:t>
      </w:r>
    </w:p>
    <w:p>
      <w:pPr>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2.灵活流转</w:t>
      </w:r>
    </w:p>
    <w:p>
      <w:pPr>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支持转派、催办、审核、驳回、申请延期、验收等多任务节点及表单填写，满足复杂场景。</w:t>
      </w:r>
    </w:p>
    <w:p>
      <w:pPr>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3.全程记录</w:t>
      </w:r>
    </w:p>
    <w:p>
      <w:pPr>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多任务节点可视化，各个环节责任到人，处理结果全生命周期记录，保障工单处理进度，及时闭环。</w:t>
      </w:r>
    </w:p>
    <w:p>
      <w:pPr>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4.实时提醒</w:t>
      </w:r>
    </w:p>
    <w:p>
      <w:pPr>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新增工单、工单逾期、工单催办，多场景触发实时消息提醒，多渠道推送。</w:t>
      </w:r>
    </w:p>
    <w:p>
      <w:pPr>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5.掌上工单</w:t>
      </w:r>
    </w:p>
    <w:p>
      <w:pPr>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支持移动派单拍照上传、语音上传、自动定位事件地点，查看工单消息、派单信息和更新维修进度，便捷高效。</w:t>
      </w:r>
    </w:p>
    <w:p>
      <w:pPr>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rPr>
        <w:t>部署方式及网络架构设计</w:t>
      </w:r>
    </w:p>
    <w:p>
      <w:pPr>
        <w:pStyle w:val="82"/>
        <w:ind w:firstLine="0" w:firstLineChars="0"/>
        <w:jc w:val="center"/>
        <w:rPr>
          <w:rFonts w:ascii="宋体" w:hAnsi="宋体" w:cs="宋体"/>
          <w:color w:val="auto"/>
          <w:sz w:val="21"/>
          <w:szCs w:val="21"/>
          <w:highlight w:val="none"/>
          <w:lang w:val="zh-CN"/>
        </w:rPr>
      </w:pPr>
      <w:r>
        <w:rPr>
          <w:rFonts w:hint="eastAsia" w:ascii="宋体" w:hAnsi="宋体" w:cs="宋体"/>
          <w:color w:val="auto"/>
          <w:sz w:val="21"/>
          <w:szCs w:val="21"/>
          <w:highlight w:val="none"/>
        </w:rPr>
        <w:drawing>
          <wp:inline distT="0" distB="0" distL="114300" distR="114300">
            <wp:extent cx="3788410" cy="2054225"/>
            <wp:effectExtent l="0" t="0" r="2540" b="3175"/>
            <wp:docPr id="33" name="图片 33" descr="a3000f5a0207dcee370b88bf07964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a3000f5a0207dcee370b88bf079647b"/>
                    <pic:cNvPicPr>
                      <a:picLocks noChangeAspect="1"/>
                    </pic:cNvPicPr>
                  </pic:nvPicPr>
                  <pic:blipFill>
                    <a:blip r:embed="rId46"/>
                    <a:stretch>
                      <a:fillRect/>
                    </a:stretch>
                  </pic:blipFill>
                  <pic:spPr>
                    <a:xfrm>
                      <a:off x="0" y="0"/>
                      <a:ext cx="3788410" cy="2054225"/>
                    </a:xfrm>
                    <a:prstGeom prst="rect">
                      <a:avLst/>
                    </a:prstGeom>
                  </pic:spPr>
                </pic:pic>
              </a:graphicData>
            </a:graphic>
          </wp:inline>
        </w:drawing>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统一综合运维平台此次需采购具备运维服务器一台，视频分析服务器一台，部署在高新区公安分局一楼机房，接入公共安全视频传输网。</w:t>
      </w:r>
    </w:p>
    <w:p>
      <w:pPr>
        <w:pStyle w:val="5"/>
        <w:spacing w:line="240" w:lineRule="auto"/>
        <w:ind w:left="0" w:firstLine="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rPr>
        <w:t>（十）多维数据接入转发系统建设</w:t>
      </w:r>
      <w:bookmarkEnd w:id="182"/>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次项目基于高新公安分局现有智安小区后端平台项目硬件设备和嗅探项目前端设备及原先业务架构数据，整合扩容形成多维数据接入转发系统，深化人脸应用、人体应用、车辆应用、布控应用、重点场所人员管控、人员档案应用。从“事前、事中、事后”的时间角度，围绕着“防控、处置、研判”的业务需求，突出视频、图像、信息所具备的“能力”，全面提升公安视频图像智能应用能力、海量视频图像的共享服务能力、海量视频信息的挖掘与分析能力，构建一个具有“信息共享、智能识别、分库存储、数据挖掘、综合服务”的视频图像信息综合应用体系，面向多警种提供以视频图像信息为基础的、丰富的视频图像信息综合应用增强社会治安整体防控能力，努力使影响公共安全的暴力恐怖犯罪、个人极端暴力犯罪等得到有效遏制，使影响群众安全感的多发性案件和公共安全事故得到有效防范，人民群众安全感和满意度明显提升，社会更加和谐有序。</w:t>
      </w:r>
    </w:p>
    <w:p>
      <w:pPr>
        <w:pStyle w:val="4"/>
        <w:ind w:left="575" w:hanging="575"/>
        <w:rPr>
          <w:rFonts w:ascii="宋体" w:hAnsi="宋体" w:eastAsia="宋体" w:cs="宋体"/>
          <w:color w:val="auto"/>
          <w:sz w:val="21"/>
          <w:szCs w:val="21"/>
          <w:highlight w:val="none"/>
          <w:lang w:val="en-US"/>
        </w:rPr>
      </w:pPr>
      <w:bookmarkStart w:id="194" w:name="_Toc19938"/>
      <w:r>
        <w:rPr>
          <w:rFonts w:hint="eastAsia" w:ascii="宋体" w:hAnsi="宋体" w:eastAsia="宋体" w:cs="宋体"/>
          <w:color w:val="auto"/>
          <w:sz w:val="21"/>
          <w:szCs w:val="21"/>
          <w:highlight w:val="none"/>
          <w:lang w:val="en-US"/>
        </w:rPr>
        <w:t>1、原有架构梳理</w:t>
      </w:r>
      <w:bookmarkEnd w:id="194"/>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高新分局原智安小区后端平台部署有MAC接入平台和小区接入平台，分别接入了人脸抓拍数据、小区出入口（人、车）抓拍数据、人脸MAC一体机、MAC探针以及无感小门平台人脸抓拍数据、内保单位访客数据、无感小门小区数据、林桂勇小区数据；最后经由视频专网两个平台汇聚后向公安网的智安小区应用平台进行汇总。</w:t>
      </w:r>
    </w:p>
    <w:p>
      <w:pPr>
        <w:pStyle w:val="4"/>
        <w:ind w:left="575" w:hanging="575"/>
        <w:rPr>
          <w:rFonts w:ascii="宋体" w:hAnsi="宋体" w:eastAsia="宋体" w:cs="宋体"/>
          <w:color w:val="auto"/>
          <w:sz w:val="21"/>
          <w:szCs w:val="21"/>
          <w:highlight w:val="none"/>
          <w:lang w:val="en-US"/>
        </w:rPr>
      </w:pPr>
      <w:bookmarkStart w:id="195" w:name="_Toc31795"/>
      <w:r>
        <w:rPr>
          <w:rFonts w:hint="eastAsia" w:ascii="宋体" w:hAnsi="宋体" w:eastAsia="宋体" w:cs="宋体"/>
          <w:color w:val="auto"/>
          <w:sz w:val="21"/>
          <w:szCs w:val="21"/>
          <w:highlight w:val="none"/>
          <w:lang w:val="en-US"/>
        </w:rPr>
        <w:t>2、整合平台后架构</w:t>
      </w:r>
      <w:bookmarkEnd w:id="195"/>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将智安小区后端平台部署的MAC接入平台和小区接入平台进行整合扩容建设多维数据接入转发系统（硬件利旧），由多维数据接入转发系统将原先两个平台所接入汇聚的人脸抓拍数据、小区出入口（人、车）抓拍数据、人脸MAC一体机、MAC探针以及无感小门平台人脸抓拍数据等进行接入，并且数据摆渡至合成作战中心智能解析应用进行存储。</w:t>
      </w:r>
    </w:p>
    <w:p>
      <w:pPr>
        <w:pStyle w:val="4"/>
        <w:ind w:left="575" w:hanging="575"/>
        <w:rPr>
          <w:rFonts w:ascii="宋体" w:hAnsi="宋体" w:eastAsia="宋体" w:cs="宋体"/>
          <w:color w:val="auto"/>
          <w:sz w:val="21"/>
          <w:szCs w:val="21"/>
          <w:highlight w:val="none"/>
          <w:lang w:val="en-US"/>
        </w:rPr>
      </w:pPr>
      <w:bookmarkStart w:id="196" w:name="_Toc17990"/>
      <w:bookmarkStart w:id="197" w:name="_Toc107511781"/>
      <w:bookmarkStart w:id="198" w:name="_Toc121754087"/>
      <w:bookmarkStart w:id="199" w:name="_Toc109677070"/>
      <w:r>
        <w:rPr>
          <w:rFonts w:hint="eastAsia" w:ascii="宋体" w:hAnsi="宋体" w:eastAsia="宋体" w:cs="宋体"/>
          <w:color w:val="auto"/>
          <w:sz w:val="21"/>
          <w:szCs w:val="21"/>
          <w:highlight w:val="none"/>
          <w:lang w:val="en-US"/>
        </w:rPr>
        <w:t>3、平台利旧部署</w:t>
      </w:r>
      <w:bookmarkEnd w:id="196"/>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利旧设备</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此次项目利用智安小区后端平台项目的硬件进行平台整合扩容，此次设计智安小区硬件清单如下（依据智安小区项目合同）：</w:t>
      </w:r>
    </w:p>
    <w:tbl>
      <w:tblPr>
        <w:tblStyle w:val="65"/>
        <w:tblW w:w="474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87"/>
        <w:gridCol w:w="1751"/>
        <w:gridCol w:w="2286"/>
        <w:gridCol w:w="779"/>
        <w:gridCol w:w="891"/>
        <w:gridCol w:w="15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jc w:val="center"/>
        </w:trPr>
        <w:tc>
          <w:tcPr>
            <w:tcW w:w="487" w:type="pct"/>
            <w:tcBorders>
              <w:tl2br w:val="nil"/>
              <w:tr2bl w:val="nil"/>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序号</w:t>
            </w:r>
          </w:p>
        </w:tc>
        <w:tc>
          <w:tcPr>
            <w:tcW w:w="1082" w:type="pct"/>
            <w:tcBorders>
              <w:tl2br w:val="nil"/>
              <w:tr2bl w:val="nil"/>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设备名称</w:t>
            </w:r>
          </w:p>
        </w:tc>
        <w:tc>
          <w:tcPr>
            <w:tcW w:w="1413" w:type="pct"/>
            <w:tcBorders>
              <w:tl2br w:val="nil"/>
              <w:tr2bl w:val="nil"/>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品牌、规格型号</w:t>
            </w:r>
          </w:p>
        </w:tc>
        <w:tc>
          <w:tcPr>
            <w:tcW w:w="482" w:type="pct"/>
            <w:tcBorders>
              <w:tl2br w:val="nil"/>
              <w:tr2bl w:val="nil"/>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单位</w:t>
            </w:r>
          </w:p>
        </w:tc>
        <w:tc>
          <w:tcPr>
            <w:tcW w:w="551" w:type="pct"/>
            <w:tcBorders>
              <w:tl2br w:val="nil"/>
              <w:tr2bl w:val="nil"/>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数量</w:t>
            </w:r>
          </w:p>
        </w:tc>
        <w:tc>
          <w:tcPr>
            <w:tcW w:w="982" w:type="pct"/>
            <w:tcBorders>
              <w:tl2br w:val="nil"/>
              <w:tr2bl w:val="nil"/>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所处网段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jc w:val="center"/>
        </w:trPr>
        <w:tc>
          <w:tcPr>
            <w:tcW w:w="487" w:type="pct"/>
            <w:tcBorders>
              <w:tl2br w:val="nil"/>
              <w:tr2bl w:val="nil"/>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1</w:t>
            </w:r>
          </w:p>
        </w:tc>
        <w:tc>
          <w:tcPr>
            <w:tcW w:w="1082" w:type="pct"/>
            <w:tcBorders>
              <w:tl2br w:val="nil"/>
              <w:tr2bl w:val="nil"/>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图片云存储数据存储节点</w:t>
            </w:r>
          </w:p>
        </w:tc>
        <w:tc>
          <w:tcPr>
            <w:tcW w:w="1413" w:type="pct"/>
            <w:tcBorders>
              <w:tl2br w:val="nil"/>
              <w:tr2bl w:val="nil"/>
            </w:tcBorders>
            <w:shd w:val="clear" w:color="auto" w:fill="FFFFFF"/>
            <w:noWrap/>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海康威视</w:t>
            </w:r>
          </w:p>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DS-A72036RH-CVS</w:t>
            </w:r>
          </w:p>
        </w:tc>
        <w:tc>
          <w:tcPr>
            <w:tcW w:w="482" w:type="pct"/>
            <w:tcBorders>
              <w:tl2br w:val="nil"/>
              <w:tr2bl w:val="nil"/>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台</w:t>
            </w:r>
          </w:p>
        </w:tc>
        <w:tc>
          <w:tcPr>
            <w:tcW w:w="551" w:type="pct"/>
            <w:tcBorders>
              <w:tl2br w:val="nil"/>
              <w:tr2bl w:val="nil"/>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2</w:t>
            </w:r>
          </w:p>
        </w:tc>
        <w:tc>
          <w:tcPr>
            <w:tcW w:w="982" w:type="pct"/>
            <w:vMerge w:val="restart"/>
            <w:tcBorders>
              <w:tl2br w:val="nil"/>
              <w:tr2bl w:val="nil"/>
            </w:tcBorders>
            <w:shd w:val="clear" w:color="auto" w:fill="FFFFFF"/>
            <w:noWrap/>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公安视频专网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jc w:val="center"/>
        </w:trPr>
        <w:tc>
          <w:tcPr>
            <w:tcW w:w="487" w:type="pct"/>
            <w:tcBorders>
              <w:tl2br w:val="nil"/>
              <w:tr2bl w:val="nil"/>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2</w:t>
            </w:r>
          </w:p>
        </w:tc>
        <w:tc>
          <w:tcPr>
            <w:tcW w:w="1082" w:type="pct"/>
            <w:tcBorders>
              <w:tl2br w:val="nil"/>
              <w:tr2bl w:val="nil"/>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硬盘</w:t>
            </w:r>
          </w:p>
        </w:tc>
        <w:tc>
          <w:tcPr>
            <w:tcW w:w="1413" w:type="pct"/>
            <w:tcBorders>
              <w:tl2br w:val="nil"/>
              <w:tr2bl w:val="nil"/>
            </w:tcBorders>
            <w:shd w:val="clear" w:color="auto" w:fill="FFFFFF"/>
            <w:noWrap/>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海康威视</w:t>
            </w:r>
          </w:p>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HK726TAH</w:t>
            </w:r>
          </w:p>
        </w:tc>
        <w:tc>
          <w:tcPr>
            <w:tcW w:w="482" w:type="pct"/>
            <w:tcBorders>
              <w:tl2br w:val="nil"/>
              <w:tr2bl w:val="nil"/>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块</w:t>
            </w:r>
          </w:p>
        </w:tc>
        <w:tc>
          <w:tcPr>
            <w:tcW w:w="551" w:type="pct"/>
            <w:tcBorders>
              <w:tl2br w:val="nil"/>
              <w:tr2bl w:val="nil"/>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60</w:t>
            </w:r>
          </w:p>
        </w:tc>
        <w:tc>
          <w:tcPr>
            <w:tcW w:w="982" w:type="pct"/>
            <w:vMerge w:val="continue"/>
            <w:tcBorders>
              <w:tl2br w:val="nil"/>
              <w:tr2bl w:val="nil"/>
            </w:tcBorders>
            <w:shd w:val="clear" w:color="auto" w:fill="FFFFFF"/>
            <w:noWrap/>
            <w:vAlign w:val="center"/>
          </w:tcPr>
          <w:p>
            <w:pPr>
              <w:pStyle w:val="82"/>
              <w:ind w:firstLine="0" w:firstLineChars="0"/>
              <w:jc w:val="center"/>
              <w:rPr>
                <w:rFonts w:ascii="宋体" w:hAnsi="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jc w:val="center"/>
        </w:trPr>
        <w:tc>
          <w:tcPr>
            <w:tcW w:w="487" w:type="pct"/>
            <w:tcBorders>
              <w:tl2br w:val="nil"/>
              <w:tr2bl w:val="nil"/>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3</w:t>
            </w:r>
          </w:p>
        </w:tc>
        <w:tc>
          <w:tcPr>
            <w:tcW w:w="1082" w:type="pct"/>
            <w:tcBorders>
              <w:tl2br w:val="nil"/>
              <w:tr2bl w:val="nil"/>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平台管理服务器</w:t>
            </w:r>
          </w:p>
        </w:tc>
        <w:tc>
          <w:tcPr>
            <w:tcW w:w="1413" w:type="pct"/>
            <w:tcBorders>
              <w:tl2br w:val="nil"/>
              <w:tr2bl w:val="nil"/>
            </w:tcBorders>
            <w:shd w:val="clear" w:color="auto" w:fill="FFFFFF"/>
            <w:noWrap/>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海康威视</w:t>
            </w:r>
          </w:p>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DS-VE22S-B/A</w:t>
            </w:r>
          </w:p>
        </w:tc>
        <w:tc>
          <w:tcPr>
            <w:tcW w:w="482" w:type="pct"/>
            <w:tcBorders>
              <w:tl2br w:val="nil"/>
              <w:tr2bl w:val="nil"/>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台</w:t>
            </w:r>
          </w:p>
        </w:tc>
        <w:tc>
          <w:tcPr>
            <w:tcW w:w="551" w:type="pct"/>
            <w:tcBorders>
              <w:tl2br w:val="nil"/>
              <w:tr2bl w:val="nil"/>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1</w:t>
            </w:r>
          </w:p>
        </w:tc>
        <w:tc>
          <w:tcPr>
            <w:tcW w:w="982" w:type="pct"/>
            <w:vMerge w:val="continue"/>
            <w:tcBorders>
              <w:tl2br w:val="nil"/>
              <w:tr2bl w:val="nil"/>
            </w:tcBorders>
            <w:shd w:val="clear" w:color="auto" w:fill="FFFFFF"/>
            <w:noWrap/>
            <w:vAlign w:val="center"/>
          </w:tcPr>
          <w:p>
            <w:pPr>
              <w:pStyle w:val="82"/>
              <w:ind w:firstLine="0" w:firstLineChars="0"/>
              <w:jc w:val="center"/>
              <w:rPr>
                <w:rFonts w:ascii="宋体" w:hAnsi="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jc w:val="center"/>
        </w:trPr>
        <w:tc>
          <w:tcPr>
            <w:tcW w:w="487" w:type="pct"/>
            <w:tcBorders>
              <w:tl2br w:val="nil"/>
              <w:tr2bl w:val="nil"/>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4</w:t>
            </w:r>
          </w:p>
        </w:tc>
        <w:tc>
          <w:tcPr>
            <w:tcW w:w="1082" w:type="pct"/>
            <w:tcBorders>
              <w:tl2br w:val="nil"/>
              <w:tr2bl w:val="nil"/>
            </w:tcBorders>
            <w:shd w:val="clear" w:color="auto" w:fill="FFFFFF"/>
            <w:vAlign w:val="center"/>
          </w:tcPr>
          <w:p>
            <w:pPr>
              <w:pStyle w:val="82"/>
              <w:ind w:firstLine="0" w:firstLineChars="0"/>
              <w:jc w:val="center"/>
              <w:rPr>
                <w:rFonts w:ascii="宋体" w:hAnsi="宋体" w:cs="宋体"/>
                <w:color w:val="auto"/>
                <w:kern w:val="2"/>
                <w:sz w:val="21"/>
                <w:szCs w:val="21"/>
                <w:highlight w:val="none"/>
              </w:rPr>
            </w:pPr>
            <w:r>
              <w:rPr>
                <w:rFonts w:hint="eastAsia" w:ascii="宋体" w:hAnsi="宋体" w:cs="宋体"/>
                <w:color w:val="auto"/>
                <w:kern w:val="2"/>
                <w:sz w:val="21"/>
                <w:szCs w:val="21"/>
                <w:highlight w:val="none"/>
              </w:rPr>
              <w:t>数据库服务器</w:t>
            </w:r>
          </w:p>
        </w:tc>
        <w:tc>
          <w:tcPr>
            <w:tcW w:w="1413" w:type="pct"/>
            <w:tcBorders>
              <w:tl2br w:val="nil"/>
              <w:tr2bl w:val="nil"/>
            </w:tcBorders>
            <w:shd w:val="clear" w:color="auto" w:fill="FFFFFF"/>
            <w:noWrap/>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海康威视</w:t>
            </w:r>
          </w:p>
          <w:p>
            <w:pPr>
              <w:pStyle w:val="82"/>
              <w:ind w:firstLine="0" w:firstLineChars="0"/>
              <w:jc w:val="center"/>
              <w:rPr>
                <w:rFonts w:ascii="宋体" w:hAnsi="宋体" w:cs="宋体"/>
                <w:color w:val="auto"/>
                <w:kern w:val="2"/>
                <w:sz w:val="21"/>
                <w:szCs w:val="21"/>
                <w:highlight w:val="none"/>
              </w:rPr>
            </w:pPr>
            <w:r>
              <w:rPr>
                <w:rFonts w:hint="eastAsia" w:ascii="宋体" w:hAnsi="宋体" w:cs="宋体"/>
                <w:color w:val="auto"/>
                <w:sz w:val="21"/>
                <w:szCs w:val="21"/>
                <w:highlight w:val="none"/>
              </w:rPr>
              <w:t>DS-VE22S-B/A</w:t>
            </w:r>
          </w:p>
        </w:tc>
        <w:tc>
          <w:tcPr>
            <w:tcW w:w="482" w:type="pct"/>
            <w:tcBorders>
              <w:tl2br w:val="nil"/>
              <w:tr2bl w:val="nil"/>
            </w:tcBorders>
            <w:shd w:val="clear" w:color="auto" w:fill="FFFFFF"/>
            <w:vAlign w:val="center"/>
          </w:tcPr>
          <w:p>
            <w:pPr>
              <w:pStyle w:val="82"/>
              <w:ind w:firstLine="0" w:firstLineChars="0"/>
              <w:jc w:val="center"/>
              <w:rPr>
                <w:rFonts w:ascii="宋体" w:hAnsi="宋体" w:cs="宋体"/>
                <w:color w:val="auto"/>
                <w:kern w:val="2"/>
                <w:sz w:val="21"/>
                <w:szCs w:val="21"/>
                <w:highlight w:val="none"/>
              </w:rPr>
            </w:pPr>
            <w:r>
              <w:rPr>
                <w:rFonts w:hint="eastAsia" w:ascii="宋体" w:hAnsi="宋体" w:cs="宋体"/>
                <w:color w:val="auto"/>
                <w:sz w:val="21"/>
                <w:szCs w:val="21"/>
                <w:highlight w:val="none"/>
              </w:rPr>
              <w:t>台</w:t>
            </w:r>
          </w:p>
        </w:tc>
        <w:tc>
          <w:tcPr>
            <w:tcW w:w="551" w:type="pct"/>
            <w:tcBorders>
              <w:tl2br w:val="nil"/>
              <w:tr2bl w:val="nil"/>
            </w:tcBorders>
            <w:shd w:val="clear" w:color="auto" w:fill="FFFFFF"/>
            <w:vAlign w:val="center"/>
          </w:tcPr>
          <w:p>
            <w:pPr>
              <w:pStyle w:val="82"/>
              <w:ind w:firstLine="0" w:firstLineChars="0"/>
              <w:jc w:val="center"/>
              <w:rPr>
                <w:rFonts w:ascii="宋体" w:hAnsi="宋体" w:cs="宋体"/>
                <w:color w:val="auto"/>
                <w:kern w:val="2"/>
                <w:sz w:val="21"/>
                <w:szCs w:val="21"/>
                <w:highlight w:val="none"/>
              </w:rPr>
            </w:pPr>
            <w:r>
              <w:rPr>
                <w:rFonts w:hint="eastAsia" w:ascii="宋体" w:hAnsi="宋体" w:cs="宋体"/>
                <w:color w:val="auto"/>
                <w:sz w:val="21"/>
                <w:szCs w:val="21"/>
                <w:highlight w:val="none"/>
              </w:rPr>
              <w:t>1</w:t>
            </w:r>
          </w:p>
        </w:tc>
        <w:tc>
          <w:tcPr>
            <w:tcW w:w="982" w:type="pct"/>
            <w:vMerge w:val="continue"/>
            <w:tcBorders>
              <w:tl2br w:val="nil"/>
              <w:tr2bl w:val="nil"/>
            </w:tcBorders>
            <w:shd w:val="clear" w:color="auto" w:fill="FFFFFF"/>
            <w:noWrap/>
            <w:vAlign w:val="center"/>
          </w:tcPr>
          <w:p>
            <w:pPr>
              <w:pStyle w:val="82"/>
              <w:ind w:firstLine="0" w:firstLineChars="0"/>
              <w:jc w:val="center"/>
              <w:rPr>
                <w:rFonts w:ascii="宋体" w:hAnsi="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jc w:val="center"/>
        </w:trPr>
        <w:tc>
          <w:tcPr>
            <w:tcW w:w="487" w:type="pct"/>
            <w:tcBorders>
              <w:tl2br w:val="nil"/>
              <w:tr2bl w:val="nil"/>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5</w:t>
            </w:r>
          </w:p>
        </w:tc>
        <w:tc>
          <w:tcPr>
            <w:tcW w:w="1082" w:type="pct"/>
            <w:tcBorders>
              <w:tl2br w:val="nil"/>
              <w:tr2bl w:val="nil"/>
            </w:tcBorders>
            <w:shd w:val="clear" w:color="auto" w:fill="FFFFFF"/>
            <w:vAlign w:val="center"/>
          </w:tcPr>
          <w:p>
            <w:pPr>
              <w:pStyle w:val="82"/>
              <w:ind w:firstLine="0" w:firstLineChars="0"/>
              <w:jc w:val="center"/>
              <w:rPr>
                <w:rFonts w:ascii="宋体" w:hAnsi="宋体" w:cs="宋体"/>
                <w:color w:val="auto"/>
                <w:kern w:val="2"/>
                <w:sz w:val="21"/>
                <w:szCs w:val="21"/>
                <w:highlight w:val="none"/>
              </w:rPr>
            </w:pPr>
            <w:r>
              <w:rPr>
                <w:rFonts w:hint="eastAsia" w:ascii="宋体" w:hAnsi="宋体" w:cs="宋体"/>
                <w:color w:val="auto"/>
                <w:kern w:val="2"/>
                <w:sz w:val="21"/>
                <w:szCs w:val="21"/>
                <w:highlight w:val="none"/>
              </w:rPr>
              <w:t>资源调度服务器</w:t>
            </w:r>
          </w:p>
        </w:tc>
        <w:tc>
          <w:tcPr>
            <w:tcW w:w="1413" w:type="pct"/>
            <w:tcBorders>
              <w:tl2br w:val="nil"/>
              <w:tr2bl w:val="nil"/>
            </w:tcBorders>
            <w:shd w:val="clear" w:color="auto" w:fill="FFFFFF"/>
            <w:noWrap/>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海康威视</w:t>
            </w:r>
          </w:p>
          <w:p>
            <w:pPr>
              <w:pStyle w:val="82"/>
              <w:ind w:firstLine="0" w:firstLineChars="0"/>
              <w:jc w:val="center"/>
              <w:rPr>
                <w:rFonts w:ascii="宋体" w:hAnsi="宋体" w:cs="宋体"/>
                <w:color w:val="auto"/>
                <w:kern w:val="2"/>
                <w:sz w:val="21"/>
                <w:szCs w:val="21"/>
                <w:highlight w:val="none"/>
              </w:rPr>
            </w:pPr>
            <w:r>
              <w:rPr>
                <w:rFonts w:hint="eastAsia" w:ascii="宋体" w:hAnsi="宋体" w:cs="宋体"/>
                <w:color w:val="auto"/>
                <w:sz w:val="21"/>
                <w:szCs w:val="21"/>
                <w:highlight w:val="none"/>
              </w:rPr>
              <w:t>DS-VE22S-B/B</w:t>
            </w:r>
          </w:p>
        </w:tc>
        <w:tc>
          <w:tcPr>
            <w:tcW w:w="482" w:type="pct"/>
            <w:tcBorders>
              <w:tl2br w:val="nil"/>
              <w:tr2bl w:val="nil"/>
            </w:tcBorders>
            <w:shd w:val="clear" w:color="auto" w:fill="FFFFFF"/>
            <w:vAlign w:val="center"/>
          </w:tcPr>
          <w:p>
            <w:pPr>
              <w:pStyle w:val="82"/>
              <w:ind w:firstLine="0" w:firstLineChars="0"/>
              <w:jc w:val="center"/>
              <w:rPr>
                <w:rFonts w:ascii="宋体" w:hAnsi="宋体" w:cs="宋体"/>
                <w:color w:val="auto"/>
                <w:kern w:val="2"/>
                <w:sz w:val="21"/>
                <w:szCs w:val="21"/>
                <w:highlight w:val="none"/>
              </w:rPr>
            </w:pPr>
            <w:r>
              <w:rPr>
                <w:rFonts w:hint="eastAsia" w:ascii="宋体" w:hAnsi="宋体" w:cs="宋体"/>
                <w:color w:val="auto"/>
                <w:kern w:val="2"/>
                <w:sz w:val="21"/>
                <w:szCs w:val="21"/>
                <w:highlight w:val="none"/>
              </w:rPr>
              <w:t>台</w:t>
            </w:r>
          </w:p>
        </w:tc>
        <w:tc>
          <w:tcPr>
            <w:tcW w:w="551" w:type="pct"/>
            <w:tcBorders>
              <w:tl2br w:val="nil"/>
              <w:tr2bl w:val="nil"/>
            </w:tcBorders>
            <w:shd w:val="clear" w:color="auto" w:fill="FFFFFF"/>
            <w:vAlign w:val="center"/>
          </w:tcPr>
          <w:p>
            <w:pPr>
              <w:pStyle w:val="82"/>
              <w:ind w:firstLine="0" w:firstLineChars="0"/>
              <w:jc w:val="center"/>
              <w:rPr>
                <w:rFonts w:ascii="宋体" w:hAnsi="宋体" w:cs="宋体"/>
                <w:color w:val="auto"/>
                <w:kern w:val="2"/>
                <w:sz w:val="21"/>
                <w:szCs w:val="21"/>
                <w:highlight w:val="none"/>
              </w:rPr>
            </w:pPr>
            <w:r>
              <w:rPr>
                <w:rFonts w:hint="eastAsia" w:ascii="宋体" w:hAnsi="宋体" w:cs="宋体"/>
                <w:color w:val="auto"/>
                <w:kern w:val="2"/>
                <w:sz w:val="21"/>
                <w:szCs w:val="21"/>
                <w:highlight w:val="none"/>
              </w:rPr>
              <w:t>1</w:t>
            </w:r>
          </w:p>
        </w:tc>
        <w:tc>
          <w:tcPr>
            <w:tcW w:w="982" w:type="pct"/>
            <w:vMerge w:val="continue"/>
            <w:tcBorders>
              <w:tl2br w:val="nil"/>
              <w:tr2bl w:val="nil"/>
            </w:tcBorders>
            <w:shd w:val="clear" w:color="auto" w:fill="FFFFFF"/>
            <w:noWrap/>
            <w:vAlign w:val="center"/>
          </w:tcPr>
          <w:p>
            <w:pPr>
              <w:pStyle w:val="82"/>
              <w:ind w:firstLine="0" w:firstLineChars="0"/>
              <w:jc w:val="center"/>
              <w:rPr>
                <w:rFonts w:ascii="宋体" w:hAnsi="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jc w:val="center"/>
        </w:trPr>
        <w:tc>
          <w:tcPr>
            <w:tcW w:w="487" w:type="pct"/>
            <w:tcBorders>
              <w:tl2br w:val="nil"/>
              <w:tr2bl w:val="nil"/>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6</w:t>
            </w:r>
          </w:p>
        </w:tc>
        <w:tc>
          <w:tcPr>
            <w:tcW w:w="1082" w:type="pct"/>
            <w:tcBorders>
              <w:tl2br w:val="nil"/>
              <w:tr2bl w:val="nil"/>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亿级大数据服务器</w:t>
            </w:r>
          </w:p>
        </w:tc>
        <w:tc>
          <w:tcPr>
            <w:tcW w:w="1413" w:type="pct"/>
            <w:tcBorders>
              <w:tl2br w:val="nil"/>
              <w:tr2bl w:val="nil"/>
            </w:tcBorders>
            <w:shd w:val="clear" w:color="auto" w:fill="FFFFFF"/>
            <w:noWrap/>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海康威视</w:t>
            </w:r>
          </w:p>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DS-VBD0AH-3DU/4S</w:t>
            </w:r>
          </w:p>
        </w:tc>
        <w:tc>
          <w:tcPr>
            <w:tcW w:w="482" w:type="pct"/>
            <w:tcBorders>
              <w:tl2br w:val="nil"/>
              <w:tr2bl w:val="nil"/>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台/套</w:t>
            </w:r>
          </w:p>
        </w:tc>
        <w:tc>
          <w:tcPr>
            <w:tcW w:w="551" w:type="pct"/>
            <w:tcBorders>
              <w:tl2br w:val="nil"/>
              <w:tr2bl w:val="nil"/>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1</w:t>
            </w:r>
          </w:p>
        </w:tc>
        <w:tc>
          <w:tcPr>
            <w:tcW w:w="982" w:type="pct"/>
            <w:vMerge w:val="restart"/>
            <w:tcBorders>
              <w:tl2br w:val="nil"/>
              <w:tr2bl w:val="nil"/>
            </w:tcBorders>
            <w:shd w:val="clear" w:color="auto" w:fill="FFFFFF"/>
            <w:noWrap/>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公安信息网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jc w:val="center"/>
        </w:trPr>
        <w:tc>
          <w:tcPr>
            <w:tcW w:w="487" w:type="pct"/>
            <w:tcBorders>
              <w:tl2br w:val="nil"/>
              <w:tr2bl w:val="nil"/>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7</w:t>
            </w:r>
          </w:p>
        </w:tc>
        <w:tc>
          <w:tcPr>
            <w:tcW w:w="1082" w:type="pct"/>
            <w:tcBorders>
              <w:tl2br w:val="nil"/>
              <w:tr2bl w:val="nil"/>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人脸识别服务器</w:t>
            </w:r>
          </w:p>
        </w:tc>
        <w:tc>
          <w:tcPr>
            <w:tcW w:w="1413" w:type="pct"/>
            <w:tcBorders>
              <w:tl2br w:val="nil"/>
              <w:tr2bl w:val="nil"/>
            </w:tcBorders>
            <w:shd w:val="clear" w:color="auto" w:fill="FFFFFF"/>
            <w:noWrap/>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DS-IF1032-03U/X</w:t>
            </w:r>
          </w:p>
        </w:tc>
        <w:tc>
          <w:tcPr>
            <w:tcW w:w="482" w:type="pct"/>
            <w:tcBorders>
              <w:tl2br w:val="nil"/>
              <w:tr2bl w:val="nil"/>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台/套</w:t>
            </w:r>
          </w:p>
        </w:tc>
        <w:tc>
          <w:tcPr>
            <w:tcW w:w="551" w:type="pct"/>
            <w:tcBorders>
              <w:tl2br w:val="nil"/>
              <w:tr2bl w:val="nil"/>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1</w:t>
            </w:r>
          </w:p>
        </w:tc>
        <w:tc>
          <w:tcPr>
            <w:tcW w:w="982" w:type="pct"/>
            <w:vMerge w:val="continue"/>
            <w:tcBorders>
              <w:tl2br w:val="nil"/>
              <w:tr2bl w:val="nil"/>
            </w:tcBorders>
            <w:shd w:val="clear" w:color="auto" w:fill="FFFFFF"/>
            <w:noWrap/>
            <w:vAlign w:val="center"/>
          </w:tcPr>
          <w:p>
            <w:pPr>
              <w:pStyle w:val="82"/>
              <w:ind w:firstLine="0" w:firstLineChars="0"/>
              <w:jc w:val="center"/>
              <w:rPr>
                <w:rFonts w:ascii="宋体" w:hAnsi="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jc w:val="center"/>
        </w:trPr>
        <w:tc>
          <w:tcPr>
            <w:tcW w:w="487" w:type="pct"/>
            <w:tcBorders>
              <w:tl2br w:val="nil"/>
              <w:tr2bl w:val="nil"/>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8</w:t>
            </w:r>
          </w:p>
        </w:tc>
        <w:tc>
          <w:tcPr>
            <w:tcW w:w="1082" w:type="pct"/>
            <w:tcBorders>
              <w:tl2br w:val="nil"/>
              <w:tr2bl w:val="nil"/>
            </w:tcBorders>
            <w:shd w:val="clear" w:color="auto" w:fill="FFFFFF"/>
            <w:vAlign w:val="center"/>
          </w:tcPr>
          <w:p>
            <w:pPr>
              <w:pStyle w:val="82"/>
              <w:ind w:firstLine="0" w:firstLineChars="0"/>
              <w:jc w:val="center"/>
              <w:rPr>
                <w:rFonts w:ascii="宋体" w:hAnsi="宋体" w:cs="宋体"/>
                <w:color w:val="auto"/>
                <w:kern w:val="2"/>
                <w:sz w:val="21"/>
                <w:szCs w:val="21"/>
                <w:highlight w:val="none"/>
              </w:rPr>
            </w:pPr>
            <w:r>
              <w:rPr>
                <w:rFonts w:hint="eastAsia" w:ascii="宋体" w:hAnsi="宋体" w:cs="宋体"/>
                <w:color w:val="auto"/>
                <w:kern w:val="2"/>
                <w:sz w:val="21"/>
                <w:szCs w:val="21"/>
                <w:highlight w:val="none"/>
              </w:rPr>
              <w:t>智能比对服务器</w:t>
            </w:r>
          </w:p>
        </w:tc>
        <w:tc>
          <w:tcPr>
            <w:tcW w:w="1413" w:type="pct"/>
            <w:tcBorders>
              <w:tl2br w:val="nil"/>
              <w:tr2bl w:val="nil"/>
            </w:tcBorders>
            <w:shd w:val="clear" w:color="auto" w:fill="FFFFFF"/>
            <w:noWrap/>
            <w:vAlign w:val="center"/>
          </w:tcPr>
          <w:p>
            <w:pPr>
              <w:pStyle w:val="82"/>
              <w:ind w:firstLine="0" w:firstLineChars="0"/>
              <w:jc w:val="center"/>
              <w:rPr>
                <w:rFonts w:ascii="宋体" w:hAnsi="宋体" w:cs="宋体"/>
                <w:color w:val="auto"/>
                <w:kern w:val="2"/>
                <w:sz w:val="21"/>
                <w:szCs w:val="21"/>
                <w:highlight w:val="none"/>
              </w:rPr>
            </w:pPr>
            <w:r>
              <w:rPr>
                <w:rFonts w:hint="eastAsia" w:ascii="宋体" w:hAnsi="宋体" w:cs="宋体"/>
                <w:color w:val="auto"/>
                <w:kern w:val="2"/>
                <w:sz w:val="21"/>
                <w:szCs w:val="21"/>
                <w:highlight w:val="none"/>
              </w:rPr>
              <w:t>海康威视</w:t>
            </w:r>
          </w:p>
          <w:p>
            <w:pPr>
              <w:pStyle w:val="82"/>
              <w:ind w:firstLine="0" w:firstLineChars="0"/>
              <w:jc w:val="center"/>
              <w:rPr>
                <w:rFonts w:ascii="宋体" w:hAnsi="宋体" w:cs="宋体"/>
                <w:color w:val="auto"/>
                <w:kern w:val="2"/>
                <w:sz w:val="21"/>
                <w:szCs w:val="21"/>
                <w:highlight w:val="none"/>
              </w:rPr>
            </w:pPr>
            <w:r>
              <w:rPr>
                <w:rFonts w:hint="eastAsia" w:ascii="宋体" w:hAnsi="宋体" w:cs="宋体"/>
                <w:color w:val="auto"/>
                <w:kern w:val="2"/>
                <w:sz w:val="21"/>
                <w:szCs w:val="21"/>
                <w:highlight w:val="none"/>
              </w:rPr>
              <w:t>DS-IM2004-A1U</w:t>
            </w:r>
          </w:p>
        </w:tc>
        <w:tc>
          <w:tcPr>
            <w:tcW w:w="482" w:type="pct"/>
            <w:tcBorders>
              <w:tl2br w:val="nil"/>
              <w:tr2bl w:val="nil"/>
            </w:tcBorders>
            <w:shd w:val="clear" w:color="auto" w:fill="FFFFFF"/>
            <w:vAlign w:val="center"/>
          </w:tcPr>
          <w:p>
            <w:pPr>
              <w:pStyle w:val="82"/>
              <w:ind w:firstLine="0" w:firstLineChars="0"/>
              <w:jc w:val="center"/>
              <w:rPr>
                <w:rFonts w:ascii="宋体" w:hAnsi="宋体" w:cs="宋体"/>
                <w:color w:val="auto"/>
                <w:kern w:val="2"/>
                <w:sz w:val="21"/>
                <w:szCs w:val="21"/>
                <w:highlight w:val="none"/>
              </w:rPr>
            </w:pPr>
            <w:r>
              <w:rPr>
                <w:rFonts w:hint="eastAsia" w:ascii="宋体" w:hAnsi="宋体" w:cs="宋体"/>
                <w:color w:val="auto"/>
                <w:sz w:val="21"/>
                <w:szCs w:val="21"/>
                <w:highlight w:val="none"/>
              </w:rPr>
              <w:t>台/套</w:t>
            </w:r>
          </w:p>
        </w:tc>
        <w:tc>
          <w:tcPr>
            <w:tcW w:w="551" w:type="pct"/>
            <w:tcBorders>
              <w:tl2br w:val="nil"/>
              <w:tr2bl w:val="nil"/>
            </w:tcBorders>
            <w:shd w:val="clear" w:color="auto" w:fill="FFFFFF"/>
            <w:vAlign w:val="center"/>
          </w:tcPr>
          <w:p>
            <w:pPr>
              <w:pStyle w:val="82"/>
              <w:ind w:firstLine="0" w:firstLineChars="0"/>
              <w:jc w:val="center"/>
              <w:rPr>
                <w:rFonts w:ascii="宋体" w:hAnsi="宋体" w:cs="宋体"/>
                <w:color w:val="auto"/>
                <w:kern w:val="2"/>
                <w:sz w:val="21"/>
                <w:szCs w:val="21"/>
                <w:highlight w:val="none"/>
              </w:rPr>
            </w:pPr>
            <w:r>
              <w:rPr>
                <w:rFonts w:hint="eastAsia" w:ascii="宋体" w:hAnsi="宋体" w:cs="宋体"/>
                <w:color w:val="auto"/>
                <w:sz w:val="21"/>
                <w:szCs w:val="21"/>
                <w:highlight w:val="none"/>
              </w:rPr>
              <w:t>1</w:t>
            </w:r>
          </w:p>
        </w:tc>
        <w:tc>
          <w:tcPr>
            <w:tcW w:w="982" w:type="pct"/>
            <w:vMerge w:val="continue"/>
            <w:tcBorders>
              <w:tl2br w:val="nil"/>
              <w:tr2bl w:val="nil"/>
            </w:tcBorders>
            <w:shd w:val="clear" w:color="auto" w:fill="FFFFFF"/>
            <w:noWrap/>
            <w:vAlign w:val="center"/>
          </w:tcPr>
          <w:p>
            <w:pPr>
              <w:pStyle w:val="82"/>
              <w:ind w:firstLine="0" w:firstLineChars="0"/>
              <w:jc w:val="center"/>
              <w:rPr>
                <w:rFonts w:ascii="宋体" w:hAnsi="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jc w:val="center"/>
        </w:trPr>
        <w:tc>
          <w:tcPr>
            <w:tcW w:w="487" w:type="pct"/>
            <w:tcBorders>
              <w:tl2br w:val="nil"/>
              <w:tr2bl w:val="nil"/>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9</w:t>
            </w:r>
          </w:p>
        </w:tc>
        <w:tc>
          <w:tcPr>
            <w:tcW w:w="1082" w:type="pct"/>
            <w:tcBorders>
              <w:tl2br w:val="nil"/>
              <w:tr2bl w:val="nil"/>
            </w:tcBorders>
            <w:shd w:val="clear" w:color="auto" w:fill="FFFFFF"/>
            <w:vAlign w:val="center"/>
          </w:tcPr>
          <w:p>
            <w:pPr>
              <w:pStyle w:val="82"/>
              <w:ind w:firstLine="0" w:firstLineChars="0"/>
              <w:jc w:val="center"/>
              <w:rPr>
                <w:rFonts w:ascii="宋体" w:hAnsi="宋体" w:cs="宋体"/>
                <w:color w:val="auto"/>
                <w:kern w:val="2"/>
                <w:sz w:val="21"/>
                <w:szCs w:val="21"/>
                <w:highlight w:val="none"/>
              </w:rPr>
            </w:pPr>
            <w:r>
              <w:rPr>
                <w:rFonts w:hint="eastAsia" w:ascii="宋体" w:hAnsi="宋体" w:cs="宋体"/>
                <w:color w:val="auto"/>
                <w:kern w:val="2"/>
                <w:sz w:val="21"/>
                <w:szCs w:val="21"/>
                <w:highlight w:val="none"/>
              </w:rPr>
              <w:t>平台管理服务器</w:t>
            </w:r>
          </w:p>
        </w:tc>
        <w:tc>
          <w:tcPr>
            <w:tcW w:w="1413" w:type="pct"/>
            <w:tcBorders>
              <w:tl2br w:val="nil"/>
              <w:tr2bl w:val="nil"/>
            </w:tcBorders>
            <w:shd w:val="clear" w:color="auto" w:fill="FFFFFF"/>
            <w:noWrap/>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海康威视</w:t>
            </w:r>
          </w:p>
          <w:p>
            <w:pPr>
              <w:pStyle w:val="82"/>
              <w:ind w:firstLine="0" w:firstLineChars="0"/>
              <w:jc w:val="center"/>
              <w:rPr>
                <w:rFonts w:ascii="宋体" w:hAnsi="宋体" w:cs="宋体"/>
                <w:color w:val="auto"/>
                <w:kern w:val="2"/>
                <w:sz w:val="21"/>
                <w:szCs w:val="21"/>
                <w:highlight w:val="none"/>
              </w:rPr>
            </w:pPr>
            <w:r>
              <w:rPr>
                <w:rFonts w:hint="eastAsia" w:ascii="宋体" w:hAnsi="宋体" w:cs="宋体"/>
                <w:color w:val="auto"/>
                <w:sz w:val="21"/>
                <w:szCs w:val="21"/>
                <w:highlight w:val="none"/>
              </w:rPr>
              <w:t>DS-VE22S-B/B</w:t>
            </w:r>
          </w:p>
        </w:tc>
        <w:tc>
          <w:tcPr>
            <w:tcW w:w="482" w:type="pct"/>
            <w:tcBorders>
              <w:tl2br w:val="nil"/>
              <w:tr2bl w:val="nil"/>
            </w:tcBorders>
            <w:shd w:val="clear" w:color="auto" w:fill="FFFFFF"/>
            <w:vAlign w:val="center"/>
          </w:tcPr>
          <w:p>
            <w:pPr>
              <w:pStyle w:val="82"/>
              <w:ind w:firstLine="0" w:firstLineChars="0"/>
              <w:jc w:val="center"/>
              <w:rPr>
                <w:rFonts w:ascii="宋体" w:hAnsi="宋体" w:cs="宋体"/>
                <w:color w:val="auto"/>
                <w:kern w:val="2"/>
                <w:sz w:val="21"/>
                <w:szCs w:val="21"/>
                <w:highlight w:val="none"/>
              </w:rPr>
            </w:pPr>
            <w:r>
              <w:rPr>
                <w:rFonts w:hint="eastAsia" w:ascii="宋体" w:hAnsi="宋体" w:cs="宋体"/>
                <w:color w:val="auto"/>
                <w:kern w:val="2"/>
                <w:sz w:val="21"/>
                <w:szCs w:val="21"/>
                <w:highlight w:val="none"/>
              </w:rPr>
              <w:t>台</w:t>
            </w:r>
          </w:p>
        </w:tc>
        <w:tc>
          <w:tcPr>
            <w:tcW w:w="551" w:type="pct"/>
            <w:tcBorders>
              <w:tl2br w:val="nil"/>
              <w:tr2bl w:val="nil"/>
            </w:tcBorders>
            <w:shd w:val="clear" w:color="auto" w:fill="FFFFFF"/>
            <w:vAlign w:val="center"/>
          </w:tcPr>
          <w:p>
            <w:pPr>
              <w:pStyle w:val="82"/>
              <w:ind w:firstLine="0" w:firstLineChars="0"/>
              <w:jc w:val="center"/>
              <w:rPr>
                <w:rFonts w:ascii="宋体" w:hAnsi="宋体" w:cs="宋体"/>
                <w:color w:val="auto"/>
                <w:kern w:val="2"/>
                <w:sz w:val="21"/>
                <w:szCs w:val="21"/>
                <w:highlight w:val="none"/>
              </w:rPr>
            </w:pPr>
            <w:r>
              <w:rPr>
                <w:rFonts w:hint="eastAsia" w:ascii="宋体" w:hAnsi="宋体" w:cs="宋体"/>
                <w:color w:val="auto"/>
                <w:kern w:val="2"/>
                <w:sz w:val="21"/>
                <w:szCs w:val="21"/>
                <w:highlight w:val="none"/>
              </w:rPr>
              <w:t>1</w:t>
            </w:r>
          </w:p>
        </w:tc>
        <w:tc>
          <w:tcPr>
            <w:tcW w:w="982" w:type="pct"/>
            <w:vMerge w:val="continue"/>
            <w:tcBorders>
              <w:tl2br w:val="nil"/>
              <w:tr2bl w:val="nil"/>
            </w:tcBorders>
            <w:shd w:val="clear" w:color="auto" w:fill="FFFFFF"/>
            <w:noWrap/>
            <w:vAlign w:val="center"/>
          </w:tcPr>
          <w:p>
            <w:pPr>
              <w:pStyle w:val="82"/>
              <w:ind w:firstLine="0" w:firstLineChars="0"/>
              <w:jc w:val="center"/>
              <w:rPr>
                <w:rFonts w:ascii="宋体" w:hAnsi="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jc w:val="center"/>
        </w:trPr>
        <w:tc>
          <w:tcPr>
            <w:tcW w:w="487" w:type="pct"/>
            <w:tcBorders>
              <w:tl2br w:val="nil"/>
              <w:tr2bl w:val="nil"/>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10</w:t>
            </w:r>
          </w:p>
        </w:tc>
        <w:tc>
          <w:tcPr>
            <w:tcW w:w="1082" w:type="pct"/>
            <w:tcBorders>
              <w:tl2br w:val="nil"/>
              <w:tr2bl w:val="nil"/>
            </w:tcBorders>
            <w:shd w:val="clear" w:color="auto" w:fill="FFFFFF"/>
            <w:vAlign w:val="center"/>
          </w:tcPr>
          <w:p>
            <w:pPr>
              <w:pStyle w:val="82"/>
              <w:ind w:firstLine="0" w:firstLineChars="0"/>
              <w:jc w:val="center"/>
              <w:rPr>
                <w:rFonts w:ascii="宋体" w:hAnsi="宋体" w:cs="宋体"/>
                <w:color w:val="auto"/>
                <w:kern w:val="2"/>
                <w:sz w:val="21"/>
                <w:szCs w:val="21"/>
                <w:highlight w:val="none"/>
              </w:rPr>
            </w:pPr>
            <w:r>
              <w:rPr>
                <w:rFonts w:hint="eastAsia" w:ascii="宋体" w:hAnsi="宋体" w:cs="宋体"/>
                <w:color w:val="auto"/>
                <w:kern w:val="2"/>
                <w:sz w:val="21"/>
                <w:szCs w:val="21"/>
                <w:highlight w:val="none"/>
              </w:rPr>
              <w:t>应用服务器</w:t>
            </w:r>
          </w:p>
        </w:tc>
        <w:tc>
          <w:tcPr>
            <w:tcW w:w="1413" w:type="pct"/>
            <w:tcBorders>
              <w:tl2br w:val="nil"/>
              <w:tr2bl w:val="nil"/>
            </w:tcBorders>
            <w:shd w:val="clear" w:color="auto" w:fill="FFFFFF"/>
            <w:noWrap/>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海康威视</w:t>
            </w:r>
          </w:p>
          <w:p>
            <w:pPr>
              <w:pStyle w:val="82"/>
              <w:ind w:firstLine="0" w:firstLineChars="0"/>
              <w:jc w:val="center"/>
              <w:rPr>
                <w:rFonts w:ascii="宋体" w:hAnsi="宋体" w:cs="宋体"/>
                <w:color w:val="auto"/>
                <w:kern w:val="2"/>
                <w:sz w:val="21"/>
                <w:szCs w:val="21"/>
                <w:highlight w:val="none"/>
              </w:rPr>
            </w:pPr>
            <w:r>
              <w:rPr>
                <w:rFonts w:hint="eastAsia" w:ascii="宋体" w:hAnsi="宋体" w:cs="宋体"/>
                <w:color w:val="auto"/>
                <w:sz w:val="21"/>
                <w:szCs w:val="21"/>
                <w:highlight w:val="none"/>
              </w:rPr>
              <w:t>DS-VE22S-B/B</w:t>
            </w:r>
          </w:p>
        </w:tc>
        <w:tc>
          <w:tcPr>
            <w:tcW w:w="482" w:type="pct"/>
            <w:tcBorders>
              <w:tl2br w:val="nil"/>
              <w:tr2bl w:val="nil"/>
            </w:tcBorders>
            <w:shd w:val="clear" w:color="auto" w:fill="FFFFFF"/>
            <w:vAlign w:val="center"/>
          </w:tcPr>
          <w:p>
            <w:pPr>
              <w:pStyle w:val="82"/>
              <w:ind w:firstLine="0" w:firstLineChars="0"/>
              <w:jc w:val="center"/>
              <w:rPr>
                <w:rFonts w:ascii="宋体" w:hAnsi="宋体" w:cs="宋体"/>
                <w:color w:val="auto"/>
                <w:kern w:val="2"/>
                <w:sz w:val="21"/>
                <w:szCs w:val="21"/>
                <w:highlight w:val="none"/>
              </w:rPr>
            </w:pPr>
            <w:r>
              <w:rPr>
                <w:rFonts w:hint="eastAsia" w:ascii="宋体" w:hAnsi="宋体" w:cs="宋体"/>
                <w:color w:val="auto"/>
                <w:kern w:val="2"/>
                <w:sz w:val="21"/>
                <w:szCs w:val="21"/>
                <w:highlight w:val="none"/>
              </w:rPr>
              <w:t>台</w:t>
            </w:r>
          </w:p>
        </w:tc>
        <w:tc>
          <w:tcPr>
            <w:tcW w:w="551" w:type="pct"/>
            <w:tcBorders>
              <w:tl2br w:val="nil"/>
              <w:tr2bl w:val="nil"/>
            </w:tcBorders>
            <w:shd w:val="clear" w:color="auto" w:fill="FFFFFF"/>
            <w:vAlign w:val="center"/>
          </w:tcPr>
          <w:p>
            <w:pPr>
              <w:pStyle w:val="82"/>
              <w:ind w:firstLine="0" w:firstLineChars="0"/>
              <w:jc w:val="center"/>
              <w:rPr>
                <w:rFonts w:ascii="宋体" w:hAnsi="宋体" w:cs="宋体"/>
                <w:color w:val="auto"/>
                <w:kern w:val="2"/>
                <w:sz w:val="21"/>
                <w:szCs w:val="21"/>
                <w:highlight w:val="none"/>
              </w:rPr>
            </w:pPr>
            <w:r>
              <w:rPr>
                <w:rFonts w:hint="eastAsia" w:ascii="宋体" w:hAnsi="宋体" w:cs="宋体"/>
                <w:color w:val="auto"/>
                <w:kern w:val="2"/>
                <w:sz w:val="21"/>
                <w:szCs w:val="21"/>
                <w:highlight w:val="none"/>
              </w:rPr>
              <w:t>2</w:t>
            </w:r>
          </w:p>
        </w:tc>
        <w:tc>
          <w:tcPr>
            <w:tcW w:w="982" w:type="pct"/>
            <w:vMerge w:val="continue"/>
            <w:tcBorders>
              <w:tl2br w:val="nil"/>
              <w:tr2bl w:val="nil"/>
            </w:tcBorders>
            <w:shd w:val="clear" w:color="auto" w:fill="FFFFFF"/>
            <w:noWrap/>
            <w:vAlign w:val="center"/>
          </w:tcPr>
          <w:p>
            <w:pPr>
              <w:pStyle w:val="82"/>
              <w:ind w:firstLine="0" w:firstLineChars="0"/>
              <w:jc w:val="center"/>
              <w:rPr>
                <w:rFonts w:ascii="宋体" w:hAnsi="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jc w:val="center"/>
        </w:trPr>
        <w:tc>
          <w:tcPr>
            <w:tcW w:w="487" w:type="pct"/>
            <w:tcBorders>
              <w:tl2br w:val="nil"/>
              <w:tr2bl w:val="nil"/>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11</w:t>
            </w:r>
          </w:p>
        </w:tc>
        <w:tc>
          <w:tcPr>
            <w:tcW w:w="1082" w:type="pct"/>
            <w:tcBorders>
              <w:tl2br w:val="nil"/>
              <w:tr2bl w:val="nil"/>
            </w:tcBorders>
            <w:shd w:val="clear" w:color="auto" w:fill="FFFFFF"/>
            <w:vAlign w:val="center"/>
          </w:tcPr>
          <w:p>
            <w:pPr>
              <w:pStyle w:val="82"/>
              <w:ind w:firstLine="0" w:firstLineChars="0"/>
              <w:jc w:val="center"/>
              <w:rPr>
                <w:rFonts w:ascii="宋体" w:hAnsi="宋体" w:cs="宋体"/>
                <w:color w:val="auto"/>
                <w:kern w:val="2"/>
                <w:sz w:val="21"/>
                <w:szCs w:val="21"/>
                <w:highlight w:val="none"/>
              </w:rPr>
            </w:pPr>
            <w:r>
              <w:rPr>
                <w:rFonts w:hint="eastAsia" w:ascii="宋体" w:hAnsi="宋体" w:cs="宋体"/>
                <w:color w:val="auto"/>
                <w:sz w:val="21"/>
                <w:szCs w:val="21"/>
                <w:highlight w:val="none"/>
              </w:rPr>
              <w:t>图片云存储数据存储节点</w:t>
            </w:r>
          </w:p>
        </w:tc>
        <w:tc>
          <w:tcPr>
            <w:tcW w:w="1413" w:type="pct"/>
            <w:tcBorders>
              <w:tl2br w:val="nil"/>
              <w:tr2bl w:val="nil"/>
            </w:tcBorders>
            <w:shd w:val="clear" w:color="auto" w:fill="FFFFFF"/>
            <w:noWrap/>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海康威视</w:t>
            </w:r>
          </w:p>
          <w:p>
            <w:pPr>
              <w:pStyle w:val="82"/>
              <w:ind w:firstLine="0" w:firstLineChars="0"/>
              <w:jc w:val="center"/>
              <w:rPr>
                <w:rFonts w:ascii="宋体" w:hAnsi="宋体" w:cs="宋体"/>
                <w:color w:val="auto"/>
                <w:kern w:val="2"/>
                <w:sz w:val="21"/>
                <w:szCs w:val="21"/>
                <w:highlight w:val="none"/>
              </w:rPr>
            </w:pPr>
            <w:r>
              <w:rPr>
                <w:rFonts w:hint="eastAsia" w:ascii="宋体" w:hAnsi="宋体" w:cs="宋体"/>
                <w:color w:val="auto"/>
                <w:sz w:val="21"/>
                <w:szCs w:val="21"/>
                <w:highlight w:val="none"/>
              </w:rPr>
              <w:t>DS-A72036RH-CVS</w:t>
            </w:r>
          </w:p>
        </w:tc>
        <w:tc>
          <w:tcPr>
            <w:tcW w:w="482" w:type="pct"/>
            <w:tcBorders>
              <w:tl2br w:val="nil"/>
              <w:tr2bl w:val="nil"/>
            </w:tcBorders>
            <w:shd w:val="clear" w:color="auto" w:fill="FFFFFF"/>
            <w:vAlign w:val="center"/>
          </w:tcPr>
          <w:p>
            <w:pPr>
              <w:pStyle w:val="82"/>
              <w:ind w:firstLine="0" w:firstLineChars="0"/>
              <w:jc w:val="center"/>
              <w:rPr>
                <w:rFonts w:ascii="宋体" w:hAnsi="宋体" w:cs="宋体"/>
                <w:color w:val="auto"/>
                <w:kern w:val="2"/>
                <w:sz w:val="21"/>
                <w:szCs w:val="21"/>
                <w:highlight w:val="none"/>
              </w:rPr>
            </w:pPr>
            <w:r>
              <w:rPr>
                <w:rFonts w:hint="eastAsia" w:ascii="宋体" w:hAnsi="宋体" w:cs="宋体"/>
                <w:color w:val="auto"/>
                <w:sz w:val="21"/>
                <w:szCs w:val="21"/>
                <w:highlight w:val="none"/>
              </w:rPr>
              <w:t>台</w:t>
            </w:r>
          </w:p>
        </w:tc>
        <w:tc>
          <w:tcPr>
            <w:tcW w:w="551" w:type="pct"/>
            <w:tcBorders>
              <w:tl2br w:val="nil"/>
              <w:tr2bl w:val="nil"/>
            </w:tcBorders>
            <w:shd w:val="clear" w:color="auto" w:fill="FFFFFF"/>
            <w:vAlign w:val="center"/>
          </w:tcPr>
          <w:p>
            <w:pPr>
              <w:pStyle w:val="82"/>
              <w:ind w:firstLine="0" w:firstLineChars="0"/>
              <w:jc w:val="center"/>
              <w:rPr>
                <w:rFonts w:ascii="宋体" w:hAnsi="宋体" w:cs="宋体"/>
                <w:color w:val="auto"/>
                <w:kern w:val="2"/>
                <w:sz w:val="21"/>
                <w:szCs w:val="21"/>
                <w:highlight w:val="none"/>
              </w:rPr>
            </w:pPr>
            <w:r>
              <w:rPr>
                <w:rFonts w:hint="eastAsia" w:ascii="宋体" w:hAnsi="宋体" w:cs="宋体"/>
                <w:color w:val="auto"/>
                <w:sz w:val="21"/>
                <w:szCs w:val="21"/>
                <w:highlight w:val="none"/>
              </w:rPr>
              <w:t>1</w:t>
            </w:r>
          </w:p>
        </w:tc>
        <w:tc>
          <w:tcPr>
            <w:tcW w:w="982" w:type="pct"/>
            <w:vMerge w:val="continue"/>
            <w:tcBorders>
              <w:tl2br w:val="nil"/>
              <w:tr2bl w:val="nil"/>
            </w:tcBorders>
            <w:shd w:val="clear" w:color="auto" w:fill="FFFFFF"/>
            <w:noWrap/>
            <w:vAlign w:val="center"/>
          </w:tcPr>
          <w:p>
            <w:pPr>
              <w:pStyle w:val="82"/>
              <w:ind w:firstLine="0" w:firstLineChars="0"/>
              <w:jc w:val="center"/>
              <w:rPr>
                <w:rFonts w:ascii="宋体" w:hAnsi="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jc w:val="center"/>
        </w:trPr>
        <w:tc>
          <w:tcPr>
            <w:tcW w:w="487" w:type="pct"/>
            <w:tcBorders>
              <w:tl2br w:val="nil"/>
              <w:tr2bl w:val="nil"/>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12</w:t>
            </w:r>
          </w:p>
        </w:tc>
        <w:tc>
          <w:tcPr>
            <w:tcW w:w="1082" w:type="pct"/>
            <w:tcBorders>
              <w:tl2br w:val="nil"/>
              <w:tr2bl w:val="nil"/>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企业级硬盘</w:t>
            </w:r>
          </w:p>
        </w:tc>
        <w:tc>
          <w:tcPr>
            <w:tcW w:w="1413" w:type="pct"/>
            <w:tcBorders>
              <w:tl2br w:val="nil"/>
              <w:tr2bl w:val="nil"/>
            </w:tcBorders>
            <w:shd w:val="clear" w:color="auto" w:fill="FFFFFF"/>
            <w:noWrap/>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海康威视</w:t>
            </w:r>
          </w:p>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HK726TAH</w:t>
            </w:r>
          </w:p>
        </w:tc>
        <w:tc>
          <w:tcPr>
            <w:tcW w:w="482" w:type="pct"/>
            <w:tcBorders>
              <w:tl2br w:val="nil"/>
              <w:tr2bl w:val="nil"/>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块</w:t>
            </w:r>
          </w:p>
        </w:tc>
        <w:tc>
          <w:tcPr>
            <w:tcW w:w="551" w:type="pct"/>
            <w:tcBorders>
              <w:tl2br w:val="nil"/>
              <w:tr2bl w:val="nil"/>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36</w:t>
            </w:r>
          </w:p>
        </w:tc>
        <w:tc>
          <w:tcPr>
            <w:tcW w:w="982" w:type="pct"/>
            <w:vMerge w:val="continue"/>
            <w:tcBorders>
              <w:tl2br w:val="nil"/>
              <w:tr2bl w:val="nil"/>
            </w:tcBorders>
            <w:shd w:val="clear" w:color="auto" w:fill="FFFFFF"/>
            <w:noWrap/>
            <w:vAlign w:val="center"/>
          </w:tcPr>
          <w:p>
            <w:pPr>
              <w:pStyle w:val="82"/>
              <w:ind w:firstLine="0" w:firstLineChars="0"/>
              <w:jc w:val="center"/>
              <w:rPr>
                <w:rFonts w:ascii="宋体" w:hAnsi="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jc w:val="center"/>
        </w:trPr>
        <w:tc>
          <w:tcPr>
            <w:tcW w:w="487" w:type="pct"/>
            <w:tcBorders>
              <w:tl2br w:val="nil"/>
              <w:tr2bl w:val="nil"/>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13</w:t>
            </w:r>
          </w:p>
        </w:tc>
        <w:tc>
          <w:tcPr>
            <w:tcW w:w="1082" w:type="pct"/>
            <w:tcBorders>
              <w:tl2br w:val="nil"/>
              <w:tr2bl w:val="nil"/>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资源调度服务器</w:t>
            </w:r>
          </w:p>
        </w:tc>
        <w:tc>
          <w:tcPr>
            <w:tcW w:w="1413" w:type="pct"/>
            <w:tcBorders>
              <w:tl2br w:val="nil"/>
              <w:tr2bl w:val="nil"/>
            </w:tcBorders>
            <w:shd w:val="clear" w:color="auto" w:fill="FFFFFF"/>
            <w:noWrap/>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海康威视</w:t>
            </w:r>
          </w:p>
          <w:p>
            <w:pPr>
              <w:pStyle w:val="82"/>
              <w:ind w:firstLine="0" w:firstLineChars="0"/>
              <w:jc w:val="center"/>
              <w:rPr>
                <w:rFonts w:ascii="宋体" w:hAnsi="宋体" w:cs="宋体"/>
                <w:color w:val="auto"/>
                <w:kern w:val="2"/>
                <w:sz w:val="21"/>
                <w:szCs w:val="21"/>
                <w:highlight w:val="none"/>
              </w:rPr>
            </w:pPr>
            <w:r>
              <w:rPr>
                <w:rFonts w:hint="eastAsia" w:ascii="宋体" w:hAnsi="宋体" w:cs="宋体"/>
                <w:color w:val="auto"/>
                <w:sz w:val="21"/>
                <w:szCs w:val="21"/>
                <w:highlight w:val="none"/>
              </w:rPr>
              <w:t>DS-VE22S-B/B</w:t>
            </w:r>
          </w:p>
        </w:tc>
        <w:tc>
          <w:tcPr>
            <w:tcW w:w="482" w:type="pct"/>
            <w:tcBorders>
              <w:tl2br w:val="nil"/>
              <w:tr2bl w:val="nil"/>
            </w:tcBorders>
            <w:shd w:val="clear" w:color="auto" w:fill="FFFFFF"/>
            <w:vAlign w:val="center"/>
          </w:tcPr>
          <w:p>
            <w:pPr>
              <w:pStyle w:val="82"/>
              <w:ind w:firstLine="0" w:firstLineChars="0"/>
              <w:jc w:val="center"/>
              <w:rPr>
                <w:rFonts w:ascii="宋体" w:hAnsi="宋体" w:cs="宋体"/>
                <w:color w:val="auto"/>
                <w:kern w:val="2"/>
                <w:sz w:val="21"/>
                <w:szCs w:val="21"/>
                <w:highlight w:val="none"/>
              </w:rPr>
            </w:pPr>
            <w:r>
              <w:rPr>
                <w:rFonts w:hint="eastAsia" w:ascii="宋体" w:hAnsi="宋体" w:cs="宋体"/>
                <w:color w:val="auto"/>
                <w:kern w:val="2"/>
                <w:sz w:val="21"/>
                <w:szCs w:val="21"/>
                <w:highlight w:val="none"/>
              </w:rPr>
              <w:t>台</w:t>
            </w:r>
          </w:p>
        </w:tc>
        <w:tc>
          <w:tcPr>
            <w:tcW w:w="551" w:type="pct"/>
            <w:tcBorders>
              <w:tl2br w:val="nil"/>
              <w:tr2bl w:val="nil"/>
            </w:tcBorders>
            <w:shd w:val="clear" w:color="auto" w:fill="FFFFFF"/>
            <w:vAlign w:val="center"/>
          </w:tcPr>
          <w:p>
            <w:pPr>
              <w:pStyle w:val="82"/>
              <w:ind w:firstLine="0" w:firstLineChars="0"/>
              <w:jc w:val="center"/>
              <w:rPr>
                <w:rFonts w:ascii="宋体" w:hAnsi="宋体" w:cs="宋体"/>
                <w:color w:val="auto"/>
                <w:kern w:val="2"/>
                <w:sz w:val="21"/>
                <w:szCs w:val="21"/>
                <w:highlight w:val="none"/>
              </w:rPr>
            </w:pPr>
            <w:r>
              <w:rPr>
                <w:rFonts w:hint="eastAsia" w:ascii="宋体" w:hAnsi="宋体" w:cs="宋体"/>
                <w:color w:val="auto"/>
                <w:kern w:val="2"/>
                <w:sz w:val="21"/>
                <w:szCs w:val="21"/>
                <w:highlight w:val="none"/>
              </w:rPr>
              <w:t>1</w:t>
            </w:r>
          </w:p>
        </w:tc>
        <w:tc>
          <w:tcPr>
            <w:tcW w:w="982" w:type="pct"/>
            <w:vMerge w:val="continue"/>
            <w:tcBorders>
              <w:tl2br w:val="nil"/>
              <w:tr2bl w:val="nil"/>
            </w:tcBorders>
            <w:shd w:val="clear" w:color="auto" w:fill="FFFFFF"/>
            <w:noWrap/>
            <w:vAlign w:val="center"/>
          </w:tcPr>
          <w:p>
            <w:pPr>
              <w:pStyle w:val="82"/>
              <w:ind w:firstLine="0" w:firstLineChars="0"/>
              <w:jc w:val="center"/>
              <w:rPr>
                <w:rFonts w:ascii="宋体" w:hAnsi="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jc w:val="center"/>
        </w:trPr>
        <w:tc>
          <w:tcPr>
            <w:tcW w:w="487" w:type="pct"/>
            <w:tcBorders>
              <w:tl2br w:val="nil"/>
              <w:tr2bl w:val="nil"/>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14</w:t>
            </w:r>
          </w:p>
        </w:tc>
        <w:tc>
          <w:tcPr>
            <w:tcW w:w="1082" w:type="pct"/>
            <w:tcBorders>
              <w:tl2br w:val="nil"/>
              <w:tr2bl w:val="nil"/>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公安平台对接服务器</w:t>
            </w:r>
          </w:p>
        </w:tc>
        <w:tc>
          <w:tcPr>
            <w:tcW w:w="1413" w:type="pct"/>
            <w:tcBorders>
              <w:tl2br w:val="nil"/>
              <w:tr2bl w:val="nil"/>
            </w:tcBorders>
            <w:shd w:val="clear" w:color="auto" w:fill="FFFFFF"/>
            <w:noWrap/>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海康威视</w:t>
            </w:r>
          </w:p>
          <w:p>
            <w:pPr>
              <w:pStyle w:val="82"/>
              <w:ind w:firstLine="0" w:firstLineChars="0"/>
              <w:jc w:val="center"/>
              <w:rPr>
                <w:rFonts w:ascii="宋体" w:hAnsi="宋体" w:cs="宋体"/>
                <w:color w:val="auto"/>
                <w:kern w:val="2"/>
                <w:sz w:val="21"/>
                <w:szCs w:val="21"/>
                <w:highlight w:val="none"/>
              </w:rPr>
            </w:pPr>
            <w:r>
              <w:rPr>
                <w:rFonts w:hint="eastAsia" w:ascii="宋体" w:hAnsi="宋体" w:cs="宋体"/>
                <w:color w:val="auto"/>
                <w:sz w:val="21"/>
                <w:szCs w:val="21"/>
                <w:highlight w:val="none"/>
              </w:rPr>
              <w:t>DS-VE22S-B/B</w:t>
            </w:r>
          </w:p>
        </w:tc>
        <w:tc>
          <w:tcPr>
            <w:tcW w:w="482" w:type="pct"/>
            <w:tcBorders>
              <w:tl2br w:val="nil"/>
              <w:tr2bl w:val="nil"/>
            </w:tcBorders>
            <w:shd w:val="clear" w:color="auto" w:fill="FFFFFF"/>
            <w:vAlign w:val="center"/>
          </w:tcPr>
          <w:p>
            <w:pPr>
              <w:pStyle w:val="82"/>
              <w:ind w:firstLine="0" w:firstLineChars="0"/>
              <w:jc w:val="center"/>
              <w:rPr>
                <w:rFonts w:ascii="宋体" w:hAnsi="宋体" w:cs="宋体"/>
                <w:color w:val="auto"/>
                <w:kern w:val="2"/>
                <w:sz w:val="21"/>
                <w:szCs w:val="21"/>
                <w:highlight w:val="none"/>
              </w:rPr>
            </w:pPr>
            <w:r>
              <w:rPr>
                <w:rFonts w:hint="eastAsia" w:ascii="宋体" w:hAnsi="宋体" w:cs="宋体"/>
                <w:color w:val="auto"/>
                <w:kern w:val="2"/>
                <w:sz w:val="21"/>
                <w:szCs w:val="21"/>
                <w:highlight w:val="none"/>
              </w:rPr>
              <w:t>台</w:t>
            </w:r>
          </w:p>
        </w:tc>
        <w:tc>
          <w:tcPr>
            <w:tcW w:w="551" w:type="pct"/>
            <w:tcBorders>
              <w:tl2br w:val="nil"/>
              <w:tr2bl w:val="nil"/>
            </w:tcBorders>
            <w:shd w:val="clear" w:color="auto" w:fill="FFFFFF"/>
            <w:vAlign w:val="center"/>
          </w:tcPr>
          <w:p>
            <w:pPr>
              <w:pStyle w:val="82"/>
              <w:ind w:firstLine="0" w:firstLineChars="0"/>
              <w:jc w:val="center"/>
              <w:rPr>
                <w:rFonts w:ascii="宋体" w:hAnsi="宋体" w:cs="宋体"/>
                <w:color w:val="auto"/>
                <w:kern w:val="2"/>
                <w:sz w:val="21"/>
                <w:szCs w:val="21"/>
                <w:highlight w:val="none"/>
              </w:rPr>
            </w:pPr>
            <w:r>
              <w:rPr>
                <w:rFonts w:hint="eastAsia" w:ascii="宋体" w:hAnsi="宋体" w:cs="宋体"/>
                <w:color w:val="auto"/>
                <w:kern w:val="2"/>
                <w:sz w:val="21"/>
                <w:szCs w:val="21"/>
                <w:highlight w:val="none"/>
              </w:rPr>
              <w:t>1</w:t>
            </w:r>
          </w:p>
        </w:tc>
        <w:tc>
          <w:tcPr>
            <w:tcW w:w="982" w:type="pct"/>
            <w:vMerge w:val="continue"/>
            <w:tcBorders>
              <w:tl2br w:val="nil"/>
              <w:tr2bl w:val="nil"/>
            </w:tcBorders>
            <w:shd w:val="clear" w:color="auto" w:fill="FFFFFF"/>
            <w:noWrap/>
            <w:vAlign w:val="center"/>
          </w:tcPr>
          <w:p>
            <w:pPr>
              <w:pStyle w:val="82"/>
              <w:ind w:firstLine="0" w:firstLineChars="0"/>
              <w:jc w:val="center"/>
              <w:rPr>
                <w:rFonts w:ascii="宋体" w:hAnsi="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jc w:val="center"/>
        </w:trPr>
        <w:tc>
          <w:tcPr>
            <w:tcW w:w="487" w:type="pct"/>
            <w:tcBorders>
              <w:tl2br w:val="nil"/>
              <w:tr2bl w:val="nil"/>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15</w:t>
            </w:r>
          </w:p>
        </w:tc>
        <w:tc>
          <w:tcPr>
            <w:tcW w:w="1082" w:type="pct"/>
            <w:tcBorders>
              <w:tl2br w:val="nil"/>
              <w:tr2bl w:val="nil"/>
            </w:tcBorders>
            <w:shd w:val="clear" w:color="auto" w:fill="FFFFFF"/>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24口千兆交换机</w:t>
            </w:r>
          </w:p>
        </w:tc>
        <w:tc>
          <w:tcPr>
            <w:tcW w:w="1413" w:type="pct"/>
            <w:tcBorders>
              <w:tl2br w:val="nil"/>
              <w:tr2bl w:val="nil"/>
            </w:tcBorders>
            <w:shd w:val="clear" w:color="auto" w:fill="FFFFFF"/>
            <w:noWrap/>
            <w:vAlign w:val="center"/>
          </w:tcPr>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华三</w:t>
            </w:r>
          </w:p>
          <w:p>
            <w:pPr>
              <w:pStyle w:val="82"/>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LS-5560X-30C-El</w:t>
            </w:r>
          </w:p>
        </w:tc>
        <w:tc>
          <w:tcPr>
            <w:tcW w:w="482" w:type="pct"/>
            <w:tcBorders>
              <w:tl2br w:val="nil"/>
              <w:tr2bl w:val="nil"/>
            </w:tcBorders>
            <w:shd w:val="clear" w:color="auto" w:fill="FFFFFF"/>
            <w:vAlign w:val="center"/>
          </w:tcPr>
          <w:p>
            <w:pPr>
              <w:pStyle w:val="82"/>
              <w:ind w:firstLine="0" w:firstLineChars="0"/>
              <w:jc w:val="center"/>
              <w:rPr>
                <w:rFonts w:ascii="宋体" w:hAnsi="宋体" w:cs="宋体"/>
                <w:color w:val="auto"/>
                <w:kern w:val="2"/>
                <w:sz w:val="21"/>
                <w:szCs w:val="21"/>
                <w:highlight w:val="none"/>
              </w:rPr>
            </w:pPr>
            <w:r>
              <w:rPr>
                <w:rFonts w:hint="eastAsia" w:ascii="宋体" w:hAnsi="宋体" w:cs="宋体"/>
                <w:color w:val="auto"/>
                <w:kern w:val="2"/>
                <w:sz w:val="21"/>
                <w:szCs w:val="21"/>
                <w:highlight w:val="none"/>
              </w:rPr>
              <w:t>台</w:t>
            </w:r>
          </w:p>
        </w:tc>
        <w:tc>
          <w:tcPr>
            <w:tcW w:w="551" w:type="pct"/>
            <w:tcBorders>
              <w:tl2br w:val="nil"/>
              <w:tr2bl w:val="nil"/>
            </w:tcBorders>
            <w:shd w:val="clear" w:color="auto" w:fill="FFFFFF"/>
            <w:vAlign w:val="center"/>
          </w:tcPr>
          <w:p>
            <w:pPr>
              <w:pStyle w:val="82"/>
              <w:ind w:firstLine="0" w:firstLineChars="0"/>
              <w:jc w:val="center"/>
              <w:rPr>
                <w:rFonts w:ascii="宋体" w:hAnsi="宋体" w:cs="宋体"/>
                <w:color w:val="auto"/>
                <w:kern w:val="2"/>
                <w:sz w:val="21"/>
                <w:szCs w:val="21"/>
                <w:highlight w:val="none"/>
              </w:rPr>
            </w:pPr>
            <w:r>
              <w:rPr>
                <w:rFonts w:hint="eastAsia" w:ascii="宋体" w:hAnsi="宋体" w:cs="宋体"/>
                <w:color w:val="auto"/>
                <w:kern w:val="2"/>
                <w:sz w:val="21"/>
                <w:szCs w:val="21"/>
                <w:highlight w:val="none"/>
              </w:rPr>
              <w:t>1</w:t>
            </w:r>
          </w:p>
        </w:tc>
        <w:tc>
          <w:tcPr>
            <w:tcW w:w="982" w:type="pct"/>
            <w:vMerge w:val="continue"/>
            <w:tcBorders>
              <w:tl2br w:val="nil"/>
              <w:tr2bl w:val="nil"/>
            </w:tcBorders>
            <w:shd w:val="clear" w:color="auto" w:fill="FFFFFF"/>
            <w:noWrap/>
            <w:vAlign w:val="center"/>
          </w:tcPr>
          <w:p>
            <w:pPr>
              <w:pStyle w:val="82"/>
              <w:ind w:firstLine="0" w:firstLineChars="0"/>
              <w:jc w:val="center"/>
              <w:rPr>
                <w:rFonts w:ascii="宋体" w:hAnsi="宋体" w:cs="宋体"/>
                <w:color w:val="auto"/>
                <w:sz w:val="21"/>
                <w:szCs w:val="21"/>
                <w:highlight w:val="none"/>
              </w:rPr>
            </w:pPr>
          </w:p>
        </w:tc>
      </w:tr>
    </w:tbl>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整合方式</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此次平台整合主要在区公共安全视频传输网展开整合工作。</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主平台整合</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采购3台服务器、云计算软件构建通用计算资源池，在通用计算资源池部署整合升级原有智安小区接入平台在视频专网部署的人像大数据模块和智安社区接入模块合并为多维数据接入转发系统。</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新平台整合了原智安小区接入模块对小区抓拍机及部分公安自建点位的抓拍机数据的接入及图片存储，同时完成人像大数据模块（MAC接入）感知类数据接入和汇聚（接入方式及数据要求严格按照浙江省公安厅关于实施《住宅小区安全技术防范系统建设技术规范》执行）并通过安全边界推送至公安网智能解析应用。</w:t>
      </w:r>
    </w:p>
    <w:bookmarkEnd w:id="197"/>
    <w:bookmarkEnd w:id="198"/>
    <w:bookmarkEnd w:id="199"/>
    <w:p>
      <w:pPr>
        <w:pStyle w:val="5"/>
        <w:spacing w:line="240" w:lineRule="auto"/>
        <w:ind w:left="0" w:firstLine="0"/>
        <w:rPr>
          <w:rFonts w:ascii="宋体" w:hAnsi="宋体" w:eastAsia="宋体" w:cs="宋体"/>
          <w:color w:val="auto"/>
          <w:sz w:val="21"/>
          <w:szCs w:val="21"/>
          <w:highlight w:val="none"/>
          <w:lang w:val="en-US"/>
        </w:rPr>
      </w:pPr>
      <w:bookmarkStart w:id="200" w:name="_Toc32496"/>
      <w:r>
        <w:rPr>
          <w:rFonts w:hint="eastAsia" w:ascii="宋体" w:hAnsi="宋体" w:eastAsia="宋体" w:cs="宋体"/>
          <w:color w:val="auto"/>
          <w:sz w:val="21"/>
          <w:szCs w:val="21"/>
          <w:highlight w:val="none"/>
          <w:lang w:val="en-US"/>
        </w:rPr>
        <w:t>（十一）智能解析应用整合扩容</w:t>
      </w:r>
      <w:bookmarkEnd w:id="200"/>
    </w:p>
    <w:p>
      <w:pPr>
        <w:pStyle w:val="4"/>
        <w:ind w:left="575" w:hanging="575"/>
        <w:rPr>
          <w:rFonts w:ascii="宋体" w:hAnsi="宋体" w:eastAsia="宋体" w:cs="宋体"/>
          <w:color w:val="auto"/>
          <w:sz w:val="21"/>
          <w:szCs w:val="21"/>
          <w:highlight w:val="none"/>
          <w:lang w:val="en-US"/>
        </w:rPr>
      </w:pPr>
      <w:bookmarkStart w:id="201" w:name="_Toc30772"/>
      <w:bookmarkStart w:id="202" w:name="_Toc495399768"/>
      <w:bookmarkStart w:id="203" w:name="_Toc68109256"/>
      <w:bookmarkStart w:id="204" w:name="_Toc526030091"/>
      <w:bookmarkStart w:id="205" w:name="_Toc109195483"/>
      <w:bookmarkStart w:id="206" w:name="_Toc121754034"/>
      <w:bookmarkStart w:id="207" w:name="_Toc498110684"/>
      <w:bookmarkStart w:id="208" w:name="_Toc58719878"/>
      <w:bookmarkStart w:id="209" w:name="_Toc10688879"/>
      <w:bookmarkStart w:id="210" w:name="_Toc503907199"/>
      <w:r>
        <w:rPr>
          <w:rFonts w:hint="eastAsia" w:ascii="宋体" w:hAnsi="宋体" w:eastAsia="宋体" w:cs="宋体"/>
          <w:color w:val="auto"/>
          <w:sz w:val="21"/>
          <w:szCs w:val="21"/>
          <w:highlight w:val="none"/>
          <w:lang w:val="en-US"/>
        </w:rPr>
        <w:t>1、整合扩容概述</w:t>
      </w:r>
      <w:bookmarkEnd w:id="201"/>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在原有高新公安分局合成作战中心智能解析应用上整合智安小区应用平台功能，并且进行图片云存储扩容，人脸、人体、车辆结构化数据存储扩容，以及采购算法仓库和资源管理调度模块和摆渡服务。</w:t>
      </w:r>
    </w:p>
    <w:p>
      <w:pPr>
        <w:pStyle w:val="4"/>
        <w:ind w:left="575" w:hanging="575"/>
        <w:rPr>
          <w:rFonts w:ascii="宋体" w:hAnsi="宋体" w:eastAsia="宋体" w:cs="宋体"/>
          <w:color w:val="auto"/>
          <w:sz w:val="21"/>
          <w:szCs w:val="21"/>
          <w:highlight w:val="none"/>
          <w:lang w:val="en-US"/>
        </w:rPr>
      </w:pPr>
      <w:bookmarkStart w:id="211" w:name="_Toc12979"/>
      <w:r>
        <w:rPr>
          <w:rFonts w:hint="eastAsia" w:ascii="宋体" w:hAnsi="宋体" w:eastAsia="宋体" w:cs="宋体"/>
          <w:color w:val="auto"/>
          <w:sz w:val="21"/>
          <w:szCs w:val="21"/>
          <w:highlight w:val="none"/>
          <w:lang w:val="en-US"/>
        </w:rPr>
        <w:t>2、主平台整合</w:t>
      </w:r>
      <w:bookmarkEnd w:id="211"/>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采购3台服务器、云计算软件构建通用计算资源池进行平台整合，将智安小区应用平台解析能力和平台功能整合至合成作战中心智能解析应用总共满足2000路人脸解析，1000路人体解析，2000路人脸比对。</w:t>
      </w:r>
    </w:p>
    <w:p>
      <w:pPr>
        <w:pStyle w:val="4"/>
        <w:ind w:left="575" w:hanging="575"/>
        <w:rPr>
          <w:rFonts w:ascii="宋体" w:hAnsi="宋体" w:eastAsia="宋体" w:cs="宋体"/>
          <w:color w:val="auto"/>
          <w:sz w:val="21"/>
          <w:szCs w:val="21"/>
          <w:highlight w:val="none"/>
          <w:lang w:val="en-US"/>
        </w:rPr>
      </w:pPr>
      <w:bookmarkStart w:id="212" w:name="_Toc19781"/>
      <w:r>
        <w:rPr>
          <w:rFonts w:hint="eastAsia" w:ascii="宋体" w:hAnsi="宋体" w:eastAsia="宋体" w:cs="宋体"/>
          <w:color w:val="auto"/>
          <w:sz w:val="21"/>
          <w:szCs w:val="21"/>
          <w:highlight w:val="none"/>
          <w:lang w:val="en-US"/>
        </w:rPr>
        <w:t>3、算法仓库模块</w:t>
      </w:r>
      <w:bookmarkEnd w:id="212"/>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算法仓库</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算法仓库具备完整的算法全生命周期管理功能，包括算法的管理、封装、发布、更新、级联等能力，可以有力的支撑灵活的算法管理、使用需求，算法仓库是实现视频智能分析、价值挖掘的核心。</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算法仓库可以对边缘端、中心端的检测算法、建模算法、比对算法等算法包进行管理，提供算法的统一授权体系，为统筹开展算法的调度应用提供基础。构建算法相关标准体系，支持第三方的算法包的导入，也支持外部算法服务的接入。本次项目设计在视频专网和公安信息网建设算法仓库。</w:t>
      </w:r>
    </w:p>
    <w:p>
      <w:pPr>
        <w:pStyle w:val="4"/>
        <w:ind w:left="575" w:hanging="575"/>
        <w:rPr>
          <w:rFonts w:ascii="宋体" w:hAnsi="宋体" w:eastAsia="宋体" w:cs="宋体"/>
          <w:color w:val="auto"/>
          <w:sz w:val="21"/>
          <w:szCs w:val="21"/>
          <w:highlight w:val="none"/>
          <w:lang w:val="en-US"/>
        </w:rPr>
      </w:pPr>
      <w:bookmarkStart w:id="213" w:name="_Toc10380"/>
      <w:r>
        <w:rPr>
          <w:rFonts w:hint="eastAsia" w:ascii="宋体" w:hAnsi="宋体" w:eastAsia="宋体" w:cs="宋体"/>
          <w:color w:val="auto"/>
          <w:sz w:val="21"/>
          <w:szCs w:val="21"/>
          <w:highlight w:val="none"/>
          <w:lang w:val="en-US"/>
        </w:rPr>
        <w:t>4、资源管理调度模块</w:t>
      </w:r>
      <w:bookmarkEnd w:id="213"/>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智能管理调度</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智能管理调度模块主要实现对解析任务的统一管理调度，并结合计算资源管理调度模块实现对解析资源的管理与按需调度，结合算法仓库体系实现多种解析算法的统一集成管理以及解析算法的按需调度。</w:t>
      </w:r>
    </w:p>
    <w:bookmarkEnd w:id="202"/>
    <w:bookmarkEnd w:id="203"/>
    <w:bookmarkEnd w:id="204"/>
    <w:bookmarkEnd w:id="205"/>
    <w:bookmarkEnd w:id="206"/>
    <w:bookmarkEnd w:id="207"/>
    <w:bookmarkEnd w:id="208"/>
    <w:bookmarkEnd w:id="209"/>
    <w:bookmarkEnd w:id="210"/>
    <w:p>
      <w:pPr>
        <w:pStyle w:val="4"/>
        <w:ind w:left="575" w:hanging="575"/>
        <w:rPr>
          <w:rFonts w:ascii="宋体" w:hAnsi="宋体" w:eastAsia="宋体" w:cs="宋体"/>
          <w:color w:val="auto"/>
          <w:sz w:val="21"/>
          <w:szCs w:val="21"/>
          <w:highlight w:val="none"/>
        </w:rPr>
      </w:pPr>
      <w:bookmarkStart w:id="214" w:name="_Toc68109267"/>
      <w:bookmarkStart w:id="215" w:name="_Toc14893"/>
      <w:bookmarkStart w:id="216" w:name="_Toc121754047"/>
      <w:bookmarkStart w:id="217" w:name="_Toc75857510"/>
      <w:bookmarkStart w:id="218" w:name="_Toc109195487"/>
      <w:bookmarkStart w:id="219" w:name="_Toc70575566"/>
      <w:bookmarkStart w:id="220" w:name="_Toc121754040"/>
      <w:r>
        <w:rPr>
          <w:rFonts w:hint="eastAsia" w:ascii="宋体" w:hAnsi="宋体" w:eastAsia="宋体" w:cs="宋体"/>
          <w:color w:val="auto"/>
          <w:sz w:val="21"/>
          <w:szCs w:val="21"/>
          <w:highlight w:val="none"/>
          <w:lang w:val="en-US"/>
        </w:rPr>
        <w:t>5、</w:t>
      </w:r>
      <w:r>
        <w:rPr>
          <w:rFonts w:hint="eastAsia" w:ascii="宋体" w:hAnsi="宋体" w:eastAsia="宋体" w:cs="宋体"/>
          <w:color w:val="auto"/>
          <w:sz w:val="21"/>
          <w:szCs w:val="21"/>
          <w:highlight w:val="none"/>
        </w:rPr>
        <w:t>车辆图片</w:t>
      </w:r>
      <w:bookmarkEnd w:id="214"/>
      <w:r>
        <w:rPr>
          <w:rFonts w:hint="eastAsia" w:ascii="宋体" w:hAnsi="宋体" w:eastAsia="宋体" w:cs="宋体"/>
          <w:color w:val="auto"/>
          <w:sz w:val="21"/>
          <w:szCs w:val="21"/>
          <w:highlight w:val="none"/>
        </w:rPr>
        <w:t>结构化</w:t>
      </w:r>
      <w:bookmarkEnd w:id="215"/>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原有智能解析应用已有人脸、人体图片结构化解析能力，此次扩容应用具备车辆图片结构化解析能力</w:t>
      </w:r>
    </w:p>
    <w:p>
      <w:pPr>
        <w:pStyle w:val="4"/>
        <w:ind w:left="575" w:hanging="575"/>
        <w:rPr>
          <w:rFonts w:ascii="宋体" w:hAnsi="宋体" w:eastAsia="宋体" w:cs="宋体"/>
          <w:color w:val="auto"/>
          <w:sz w:val="21"/>
          <w:szCs w:val="21"/>
          <w:highlight w:val="none"/>
        </w:rPr>
      </w:pPr>
      <w:bookmarkStart w:id="221" w:name="_Toc28059"/>
      <w:r>
        <w:rPr>
          <w:rFonts w:hint="eastAsia" w:ascii="宋体" w:hAnsi="宋体" w:eastAsia="宋体" w:cs="宋体"/>
          <w:color w:val="auto"/>
          <w:sz w:val="21"/>
          <w:szCs w:val="21"/>
          <w:highlight w:val="none"/>
          <w:lang w:val="en-US"/>
        </w:rPr>
        <w:t>6、</w:t>
      </w:r>
      <w:r>
        <w:rPr>
          <w:rFonts w:hint="eastAsia" w:ascii="宋体" w:hAnsi="宋体" w:eastAsia="宋体" w:cs="宋体"/>
          <w:color w:val="auto"/>
          <w:sz w:val="21"/>
          <w:szCs w:val="21"/>
          <w:highlight w:val="none"/>
        </w:rPr>
        <w:t>系统功能应用</w:t>
      </w:r>
      <w:bookmarkEnd w:id="216"/>
      <w:bookmarkEnd w:id="221"/>
    </w:p>
    <w:p>
      <w:pPr>
        <w:pStyle w:val="971"/>
        <w:ind w:firstLine="420"/>
        <w:rPr>
          <w:rFonts w:ascii="宋体" w:hAnsi="宋体" w:eastAsia="宋体" w:cs="宋体"/>
          <w:color w:val="auto"/>
          <w:sz w:val="21"/>
          <w:szCs w:val="21"/>
          <w:highlight w:val="none"/>
        </w:rPr>
      </w:pPr>
      <w:bookmarkStart w:id="222" w:name="_Toc58719894"/>
      <w:bookmarkStart w:id="223" w:name="_Toc10688899"/>
      <w:bookmarkStart w:id="224" w:name="_Toc121754048"/>
      <w:bookmarkStart w:id="225" w:name="_Toc68109273"/>
      <w:bookmarkStart w:id="226" w:name="_Toc526030105"/>
      <w:bookmarkStart w:id="227" w:name="_Toc58719893"/>
      <w:bookmarkStart w:id="228" w:name="_Toc10688898"/>
      <w:bookmarkStart w:id="229" w:name="_Toc68109272"/>
      <w:bookmarkStart w:id="230" w:name="_Toc526030104"/>
      <w:r>
        <w:rPr>
          <w:rFonts w:hint="eastAsia" w:ascii="宋体" w:hAnsi="宋体" w:eastAsia="宋体" w:cs="宋体"/>
          <w:color w:val="auto"/>
          <w:sz w:val="21"/>
          <w:szCs w:val="21"/>
          <w:highlight w:val="none"/>
        </w:rPr>
        <w:t>人脸大数据应用</w:t>
      </w:r>
      <w:bookmarkEnd w:id="222"/>
      <w:bookmarkEnd w:id="223"/>
      <w:bookmarkEnd w:id="224"/>
      <w:bookmarkEnd w:id="225"/>
      <w:bookmarkEnd w:id="226"/>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人脸大数据应用主要依靠对进出通道目标人员进行人脸抓拍、识别以及特征信息提取，建立人脸特征数据库，并以公安实战应用为核心，创新实战技战法。</w:t>
      </w:r>
    </w:p>
    <w:p>
      <w:pPr>
        <w:pStyle w:val="971"/>
        <w:ind w:firstLine="420"/>
        <w:rPr>
          <w:rFonts w:ascii="宋体" w:hAnsi="宋体" w:eastAsia="宋体" w:cs="宋体"/>
          <w:color w:val="auto"/>
          <w:sz w:val="21"/>
          <w:szCs w:val="21"/>
          <w:highlight w:val="none"/>
        </w:rPr>
      </w:pP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人脸布控告警</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支持通过前端人脸抓拍设备抓拍的人脸图片与人脸黑名单库进行实时比对分析，人脸识别匹配成功的，进行告警。</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人脸结构化查询</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支持对动态人脸抓拍库、静态名单库的人脸查询。</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以脸搜脸</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支持选择某张人脸图片，在抓拍库或者静态名单库中寻找相似度高的人脸图片。系统根据相似度高低来排序。</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人脸1:1比对</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支持上传两张本地人脸图片做比对，系统返回相似度数值。可用于同一人确认、身份确认等应用。</w:t>
      </w:r>
    </w:p>
    <w:bookmarkEnd w:id="227"/>
    <w:bookmarkEnd w:id="228"/>
    <w:bookmarkEnd w:id="229"/>
    <w:bookmarkEnd w:id="230"/>
    <w:p>
      <w:pPr>
        <w:pStyle w:val="971"/>
        <w:ind w:firstLine="420"/>
        <w:rPr>
          <w:rFonts w:ascii="宋体" w:hAnsi="宋体" w:eastAsia="宋体" w:cs="宋体"/>
          <w:color w:val="auto"/>
          <w:sz w:val="21"/>
          <w:szCs w:val="21"/>
          <w:highlight w:val="none"/>
        </w:rPr>
      </w:pPr>
      <w:bookmarkStart w:id="231" w:name="_Toc121754049"/>
      <w:bookmarkStart w:id="232" w:name="_Toc121754050"/>
      <w:bookmarkStart w:id="233" w:name="_Toc68109274"/>
      <w:bookmarkStart w:id="234" w:name="_Toc526030106"/>
      <w:bookmarkStart w:id="235" w:name="_Toc10688900"/>
      <w:bookmarkStart w:id="236" w:name="_Toc58719895"/>
      <w:r>
        <w:rPr>
          <w:rFonts w:hint="eastAsia" w:ascii="宋体" w:hAnsi="宋体" w:eastAsia="宋体" w:cs="宋体"/>
          <w:color w:val="auto"/>
          <w:sz w:val="21"/>
          <w:szCs w:val="21"/>
          <w:highlight w:val="none"/>
        </w:rPr>
        <w:t>车辆大数据应用</w:t>
      </w:r>
      <w:bookmarkEnd w:id="231"/>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车辆大数据应用主要包括车辆查询（结构化查询、以图搜图）；智能分析（行车轨迹分析、同行车辆分析、套牌车分析、频繁过车分析、区域碰撞分析、初次入城分析、落脚点分析、同行车辆分析）。</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车辆结构化查询</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根据查询条件可经过卡口、对机动车辆、异常牌照车辆、违法车辆以及红名单车辆进行查询。以给人更直观的感觉、更丰富的图片信息展示，在提供基本过车信息的同时，还能展示路面状况、车辆形状、驾驶员和副驾驶员的面部特征，可切换到以记录的方式进行展示。</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以图搜图</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车辆以图搜图是基于图片的搜索模式，通过图片建模后特征向量的比对分析，并且在被搜索图片中选择特征区域进行二次比对，从图片库中检索出符合条件的图片，并根据相似度返回比对结果。</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行车轨迹分析</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对一些重点关注车辆，例如高危区域车辆、**人员车辆，可依据车牌、过车时段、车牌颜色为条件，分析目标车辆行车轨迹，支持列表显示车辆经过的卡口，并可结合地图动态显示车辆轨迹。</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同行车辆分析</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针对团伙作案、尾随作案等情况，在已知目标车辆的基础上，支持以案发时间段、跟车时间作为查询条件，快速分析出可能的同伙或作案车辆。</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套牌车分析</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套牌车辆智能分析功能主要包含基于车辆多个特征交叉比对的分析分析和基于行程时间的分析分析两大类。</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人体大数据应用</w:t>
      </w:r>
      <w:bookmarkEnd w:id="232"/>
      <w:bookmarkEnd w:id="233"/>
      <w:bookmarkEnd w:id="234"/>
      <w:bookmarkEnd w:id="235"/>
      <w:bookmarkEnd w:id="236"/>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人、车混合实时检索</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支持视频中活动目标包含人、车的分析结果。固定检索条件包含：时间段、监控点。监控点支持树形选点和地图选点。支持模糊检索：人体颜色、性别、车身颜色、车牌号码。</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人体实时检索 </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支持固定检索条件包含：时间段、监控点、目标颜色、目标方向、目标大小、目标速度、性别、是否戴眼镜、是否戴帽子、上衣类型、下装类型、是否戴口罩、发型、是否背包、是否拎东西、是否骑车、年龄段。</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支持模糊检索：人体颜色、性别。</w:t>
      </w:r>
    </w:p>
    <w:bookmarkEnd w:id="217"/>
    <w:bookmarkEnd w:id="218"/>
    <w:bookmarkEnd w:id="219"/>
    <w:p>
      <w:pPr>
        <w:pStyle w:val="4"/>
        <w:ind w:left="575" w:hanging="575"/>
        <w:rPr>
          <w:rFonts w:ascii="宋体" w:hAnsi="宋体" w:eastAsia="宋体" w:cs="宋体"/>
          <w:color w:val="auto"/>
          <w:sz w:val="21"/>
          <w:szCs w:val="21"/>
          <w:highlight w:val="none"/>
        </w:rPr>
      </w:pPr>
      <w:bookmarkStart w:id="237" w:name="_Toc25165"/>
      <w:r>
        <w:rPr>
          <w:rFonts w:hint="eastAsia" w:ascii="宋体" w:hAnsi="宋体" w:eastAsia="宋体" w:cs="宋体"/>
          <w:color w:val="auto"/>
          <w:sz w:val="21"/>
          <w:szCs w:val="21"/>
          <w:highlight w:val="none"/>
          <w:lang w:val="en-US"/>
        </w:rPr>
        <w:t>7、</w:t>
      </w:r>
      <w:r>
        <w:rPr>
          <w:rFonts w:hint="eastAsia" w:ascii="宋体" w:hAnsi="宋体" w:eastAsia="宋体" w:cs="宋体"/>
          <w:color w:val="auto"/>
          <w:sz w:val="21"/>
          <w:szCs w:val="21"/>
          <w:highlight w:val="none"/>
        </w:rPr>
        <w:t>结构化数据存储服务器计算</w:t>
      </w:r>
      <w:bookmarkEnd w:id="237"/>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次项目主要实现人脸大数据应用，人体大数据应用，车辆大数据应用，人脸人体车辆多维关联应用等功能。本次项目人脸冷数据在公安网存储2年，人体冷数据在公安网存储3个月，车辆冷数据在公安网存储3个月。高新公安分局新建后每天新增约155万人脸照片，465万人体照片，155万车辆照片。因此，需对现有高新公安分局大数据服务器进行扩容。</w:t>
      </w:r>
    </w:p>
    <w:p>
      <w:pPr>
        <w:pStyle w:val="4"/>
        <w:ind w:left="575" w:hanging="575"/>
        <w:rPr>
          <w:rFonts w:ascii="宋体" w:hAnsi="宋体" w:eastAsia="宋体" w:cs="宋体"/>
          <w:color w:val="auto"/>
          <w:sz w:val="21"/>
          <w:szCs w:val="21"/>
          <w:highlight w:val="none"/>
          <w:lang w:val="en-US"/>
        </w:rPr>
      </w:pPr>
      <w:bookmarkStart w:id="238" w:name="_Toc16242"/>
      <w:r>
        <w:rPr>
          <w:rFonts w:hint="eastAsia" w:ascii="宋体" w:hAnsi="宋体" w:eastAsia="宋体" w:cs="宋体"/>
          <w:color w:val="auto"/>
          <w:sz w:val="21"/>
          <w:szCs w:val="21"/>
          <w:highlight w:val="none"/>
          <w:lang w:val="en-US"/>
        </w:rPr>
        <w:t>8、以图搜图扩容</w:t>
      </w:r>
      <w:bookmarkEnd w:id="238"/>
    </w:p>
    <w:p>
      <w:pPr>
        <w:pStyle w:val="971"/>
        <w:ind w:firstLine="420"/>
        <w:rPr>
          <w:rFonts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本项目高新公安分局图像结构化解析系统中的搜图服务器主要用于GPU以图搜图，该功能主要应用大时间跨度的人脸和人体小图搜索，通过GPU解析卡预加载抓拍图片库的数据，并将待搜索的人脸和人体小图和抓拍图片库进行比对，以提高搜索的效率，车辆图片采用大数据服务器搜图的方式。</w:t>
      </w:r>
    </w:p>
    <w:p>
      <w:pPr>
        <w:pStyle w:val="4"/>
        <w:ind w:left="575" w:hanging="575"/>
        <w:rPr>
          <w:rFonts w:ascii="宋体" w:hAnsi="宋体" w:eastAsia="宋体" w:cs="宋体"/>
          <w:color w:val="auto"/>
          <w:sz w:val="21"/>
          <w:szCs w:val="21"/>
          <w:highlight w:val="none"/>
          <w:lang w:val="en-US"/>
        </w:rPr>
      </w:pPr>
      <w:bookmarkStart w:id="239" w:name="_Toc121754042"/>
      <w:bookmarkStart w:id="240" w:name="_Toc32194"/>
      <w:r>
        <w:rPr>
          <w:rFonts w:hint="eastAsia" w:ascii="宋体" w:hAnsi="宋体" w:eastAsia="宋体" w:cs="宋体"/>
          <w:color w:val="auto"/>
          <w:sz w:val="21"/>
          <w:szCs w:val="21"/>
          <w:highlight w:val="none"/>
          <w:lang w:val="en-US"/>
        </w:rPr>
        <w:t>9、比对</w:t>
      </w:r>
      <w:bookmarkEnd w:id="239"/>
      <w:r>
        <w:rPr>
          <w:rFonts w:hint="eastAsia" w:ascii="宋体" w:hAnsi="宋体" w:eastAsia="宋体" w:cs="宋体"/>
          <w:color w:val="auto"/>
          <w:sz w:val="21"/>
          <w:szCs w:val="21"/>
          <w:highlight w:val="none"/>
          <w:lang w:val="en-US"/>
        </w:rPr>
        <w:t>能力扩容</w:t>
      </w:r>
      <w:bookmarkEnd w:id="240"/>
    </w:p>
    <w:p>
      <w:pPr>
        <w:pStyle w:val="971"/>
        <w:ind w:firstLine="420"/>
        <w:rPr>
          <w:rFonts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比对服务器主要功能为按照一定的规则对视频图像中的目标建模数据进行比较，输出相似度结果及结合相似度阈值判断得出的比中结果，包括人脸模型比对、人体模型比对等算法，主要应用在高并发、大库容的目标特征比对中，如人脸打标签、大库容</w:t>
      </w:r>
      <w:r>
        <w:rPr>
          <w:rFonts w:hint="eastAsia" w:ascii="宋体" w:hAnsi="宋体" w:eastAsia="宋体" w:cs="宋体"/>
          <w:color w:val="auto"/>
          <w:sz w:val="21"/>
          <w:szCs w:val="21"/>
          <w:highlight w:val="none"/>
        </w:rPr>
        <w:t>黑名单</w:t>
      </w:r>
      <w:r>
        <w:rPr>
          <w:rFonts w:hint="eastAsia" w:ascii="宋体" w:hAnsi="宋体" w:eastAsia="宋体" w:cs="宋体"/>
          <w:color w:val="auto"/>
          <w:sz w:val="21"/>
          <w:szCs w:val="21"/>
          <w:highlight w:val="none"/>
          <w:lang w:val="zh-CN"/>
        </w:rPr>
        <w:t>布控等。在以上场景中，需要依赖高算力和大容量显存的GPU服务器来独立部署特征比对引擎，以实现人脸、人体的高效比对应用。</w:t>
      </w:r>
    </w:p>
    <w:p>
      <w:pPr>
        <w:pStyle w:val="4"/>
        <w:ind w:left="575" w:hanging="575"/>
        <w:rPr>
          <w:rFonts w:ascii="宋体" w:hAnsi="宋体" w:eastAsia="宋体" w:cs="宋体"/>
          <w:color w:val="auto"/>
          <w:sz w:val="21"/>
          <w:szCs w:val="21"/>
          <w:highlight w:val="none"/>
          <w:lang w:val="en-US"/>
        </w:rPr>
      </w:pPr>
      <w:bookmarkStart w:id="241" w:name="_Toc27464"/>
      <w:r>
        <w:rPr>
          <w:rFonts w:hint="eastAsia" w:ascii="宋体" w:hAnsi="宋体" w:eastAsia="宋体" w:cs="宋体"/>
          <w:color w:val="auto"/>
          <w:sz w:val="21"/>
          <w:szCs w:val="21"/>
          <w:highlight w:val="none"/>
          <w:lang w:val="en-US"/>
        </w:rPr>
        <w:t>10、解析能力扩容</w:t>
      </w:r>
      <w:bookmarkEnd w:id="241"/>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本次需扩容550路前端抓拍机（包含规划剩余需建设感知点位通道），1000路视频结构化（解析能力租赁部分）。</w:t>
      </w:r>
    </w:p>
    <w:p>
      <w:pPr>
        <w:pStyle w:val="4"/>
        <w:ind w:left="575" w:hanging="575"/>
        <w:rPr>
          <w:rFonts w:ascii="宋体" w:hAnsi="宋体" w:eastAsia="宋体" w:cs="宋体"/>
          <w:color w:val="auto"/>
          <w:sz w:val="21"/>
          <w:szCs w:val="21"/>
          <w:highlight w:val="none"/>
          <w:lang w:val="en-US"/>
        </w:rPr>
      </w:pPr>
      <w:bookmarkStart w:id="242" w:name="_Toc27721"/>
      <w:r>
        <w:rPr>
          <w:rFonts w:hint="eastAsia" w:ascii="宋体" w:hAnsi="宋体" w:eastAsia="宋体" w:cs="宋体"/>
          <w:color w:val="auto"/>
          <w:sz w:val="21"/>
          <w:szCs w:val="21"/>
          <w:highlight w:val="none"/>
          <w:lang w:val="en-US"/>
        </w:rPr>
        <w:t>11、摆渡服务部署</w:t>
      </w:r>
      <w:bookmarkEnd w:id="242"/>
    </w:p>
    <w:p>
      <w:pPr>
        <w:pStyle w:val="971"/>
        <w:ind w:firstLine="420"/>
        <w:outlineLvl w:val="2"/>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1）图片数据摆渡</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在公安信息网侧利用原有海康威视DS-VE22S-B/A服务器1台，部署支持1400及扩展协议、私有协议等协议摆渡级联抓拍人体、人脸、车辆等图片数据服务。接收多维数据接入转发系统摆渡的图片数据。</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部署的服务支持500万条大图/6000万条小图和1.5亿条无图的数据摆渡，满足现有产生图片数据的摆渡要求。</w:t>
      </w:r>
    </w:p>
    <w:p>
      <w:pPr>
        <w:pStyle w:val="971"/>
        <w:ind w:firstLine="420"/>
        <w:outlineLvl w:val="2"/>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2）结构化数据摆渡</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在视频专网侧利用原有海康威视DS-VE22S-B/A服务器1台，部署支持1400及扩展协议、私有协议等协议汇聚的结构化数据服务摆渡服务，接收多维数据接入转发系统摆渡的结构化数据。</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部署的服务支持500万条大图/6000万条小图和1.5亿条无图的数据摆渡，满足现有产生结构化数据的摆渡要求。</w:t>
      </w:r>
    </w:p>
    <w:p>
      <w:pPr>
        <w:pStyle w:val="4"/>
        <w:ind w:left="575" w:hanging="575"/>
        <w:rPr>
          <w:rFonts w:ascii="宋体" w:hAnsi="宋体" w:eastAsia="宋体" w:cs="宋体"/>
          <w:color w:val="auto"/>
          <w:sz w:val="21"/>
          <w:szCs w:val="21"/>
          <w:highlight w:val="none"/>
          <w:lang w:val="en-US"/>
        </w:rPr>
      </w:pPr>
      <w:bookmarkStart w:id="243" w:name="_Toc954"/>
      <w:r>
        <w:rPr>
          <w:rFonts w:hint="eastAsia" w:ascii="宋体" w:hAnsi="宋体" w:eastAsia="宋体" w:cs="宋体"/>
          <w:color w:val="auto"/>
          <w:sz w:val="21"/>
          <w:szCs w:val="21"/>
          <w:highlight w:val="none"/>
          <w:lang w:val="en-US"/>
        </w:rPr>
        <w:t>12、结构化数据存储服务器计算</w:t>
      </w:r>
      <w:bookmarkEnd w:id="243"/>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次项目主要实现人脸大数据应用，人体大数据应用，车辆大数据应用，人脸人体车辆多维关联应用等功能。本次项目人脸冷数据在公安网存储2年，人体冷数据在公安网存储3个月，车辆冷数据在公安网存储3个月。高新公安分局新建后每天新增约155万人脸照片，465万人体照片，155万车辆照片。因此，需对现有高新公安分局大数据服务器进行扩容。</w:t>
      </w:r>
    </w:p>
    <w:bookmarkEnd w:id="220"/>
    <w:p>
      <w:pPr>
        <w:pStyle w:val="5"/>
        <w:spacing w:line="240" w:lineRule="auto"/>
        <w:ind w:left="0" w:firstLine="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rPr>
        <w:t>（十二）通用</w:t>
      </w:r>
      <w:r>
        <w:rPr>
          <w:rFonts w:hint="eastAsia" w:ascii="宋体" w:hAnsi="宋体" w:eastAsia="宋体" w:cs="宋体"/>
          <w:color w:val="auto"/>
          <w:sz w:val="21"/>
          <w:szCs w:val="21"/>
          <w:highlight w:val="none"/>
        </w:rPr>
        <w:t>计算资源池</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本次在公安网、公安视频专网各建设一套通用计算资源池，用于平台业务部署，实现计算、存储、网络资源的统一调度、管理。</w:t>
      </w:r>
    </w:p>
    <w:p>
      <w:pPr>
        <w:pStyle w:val="971"/>
        <w:ind w:firstLine="420"/>
        <w:rPr>
          <w:rFonts w:ascii="宋体" w:hAnsi="宋体" w:eastAsia="宋体" w:cs="宋体"/>
          <w:color w:val="auto"/>
          <w:sz w:val="21"/>
          <w:szCs w:val="21"/>
          <w:highlight w:val="none"/>
        </w:rPr>
      </w:pPr>
    </w:p>
    <w:p>
      <w:pPr>
        <w:pStyle w:val="5"/>
        <w:spacing w:line="240" w:lineRule="auto"/>
        <w:ind w:left="0" w:firstLine="0"/>
        <w:rPr>
          <w:rFonts w:ascii="宋体" w:hAnsi="宋体" w:eastAsia="宋体" w:cs="宋体"/>
          <w:color w:val="auto"/>
          <w:sz w:val="21"/>
          <w:szCs w:val="21"/>
          <w:highlight w:val="none"/>
        </w:rPr>
      </w:pPr>
      <w:bookmarkStart w:id="244" w:name="_Toc17846"/>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rPr>
        <w:t>十三</w:t>
      </w:r>
      <w:r>
        <w:rPr>
          <w:rFonts w:hint="eastAsia" w:ascii="宋体" w:hAnsi="宋体" w:eastAsia="宋体" w:cs="宋体"/>
          <w:color w:val="auto"/>
          <w:sz w:val="21"/>
          <w:szCs w:val="21"/>
          <w:highlight w:val="none"/>
        </w:rPr>
        <w:t>）解析</w:t>
      </w:r>
      <w:r>
        <w:rPr>
          <w:rFonts w:hint="eastAsia" w:ascii="宋体" w:hAnsi="宋体" w:eastAsia="宋体" w:cs="宋体"/>
          <w:color w:val="auto"/>
          <w:sz w:val="21"/>
          <w:szCs w:val="21"/>
          <w:highlight w:val="none"/>
          <w:lang w:val="en-US"/>
        </w:rPr>
        <w:t>能力升级</w:t>
      </w:r>
      <w:bookmarkEnd w:id="244"/>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本次在智能解析应用图片流结构化解析能力的基础上，提升高新区合成作战中心智能解析应用实时视频流结构化解析能力及算法，此次扩容1000路实时视频流结构化解析能力。</w:t>
      </w:r>
    </w:p>
    <w:p>
      <w:pPr>
        <w:pStyle w:val="4"/>
        <w:ind w:left="575" w:hanging="575"/>
        <w:rPr>
          <w:rFonts w:ascii="宋体" w:hAnsi="宋体" w:eastAsia="宋体" w:cs="宋体"/>
          <w:color w:val="auto"/>
          <w:sz w:val="21"/>
          <w:szCs w:val="21"/>
          <w:highlight w:val="none"/>
          <w:lang w:val="en-US"/>
        </w:rPr>
      </w:pPr>
      <w:bookmarkStart w:id="245" w:name="_Toc18682"/>
      <w:r>
        <w:rPr>
          <w:rFonts w:hint="eastAsia" w:ascii="宋体" w:hAnsi="宋体" w:eastAsia="宋体" w:cs="宋体"/>
          <w:color w:val="auto"/>
          <w:sz w:val="21"/>
          <w:szCs w:val="21"/>
          <w:highlight w:val="none"/>
          <w:lang w:val="en-US"/>
        </w:rPr>
        <w:t>1、实时视频流结构化解析服务器建设</w:t>
      </w:r>
      <w:bookmarkEnd w:id="245"/>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为满足1000路实时视频结构化需求，按单台插入8块GPU解析卡进行计算配置5天解析服务器，每张卡25路，1000路视频解析，需要=1000/25=40张卡；</w:t>
      </w:r>
    </w:p>
    <w:p>
      <w:pPr>
        <w:pStyle w:val="5"/>
        <w:spacing w:line="240" w:lineRule="auto"/>
        <w:ind w:left="0" w:firstLine="0"/>
        <w:rPr>
          <w:rFonts w:ascii="宋体" w:hAnsi="宋体" w:eastAsia="宋体" w:cs="宋体"/>
          <w:color w:val="auto"/>
          <w:sz w:val="21"/>
          <w:szCs w:val="21"/>
          <w:highlight w:val="none"/>
        </w:rPr>
      </w:pPr>
      <w:bookmarkStart w:id="246" w:name="_Toc28724"/>
      <w:r>
        <w:rPr>
          <w:rFonts w:hint="eastAsia" w:ascii="宋体" w:hAnsi="宋体" w:eastAsia="宋体" w:cs="宋体"/>
          <w:color w:val="auto"/>
          <w:sz w:val="21"/>
          <w:szCs w:val="21"/>
          <w:highlight w:val="none"/>
          <w:lang w:val="en-US"/>
        </w:rPr>
        <w:t>（十四）存储扩容</w:t>
      </w:r>
      <w:bookmarkEnd w:id="246"/>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根据建设任务要求，增加高新技术产业开发区公安分局存储系统容量，并且将此次新建监控视频流数据存储至公安视频专网（普通视频点位30天，重点视频点位90天）、图像数据流摆渡至公安内网进行存储（按照大图6个月，小图2年，人脸人体大小图3个月配置）。</w:t>
      </w:r>
    </w:p>
    <w:p>
      <w:pPr>
        <w:pStyle w:val="82"/>
        <w:ind w:firstLine="0" w:firstLineChars="0"/>
        <w:rPr>
          <w:rFonts w:ascii="宋体" w:hAnsi="宋体" w:cs="宋体"/>
          <w:color w:val="auto"/>
          <w:sz w:val="28"/>
          <w:szCs w:val="28"/>
          <w:highlight w:val="none"/>
        </w:rPr>
      </w:pPr>
    </w:p>
    <w:p>
      <w:pPr>
        <w:pStyle w:val="82"/>
        <w:ind w:firstLine="0" w:firstLineChars="0"/>
        <w:rPr>
          <w:rFonts w:ascii="宋体" w:hAnsi="宋体" w:cs="宋体"/>
          <w:color w:val="auto"/>
          <w:sz w:val="28"/>
          <w:szCs w:val="28"/>
          <w:highlight w:val="none"/>
        </w:rPr>
      </w:pPr>
    </w:p>
    <w:p>
      <w:pPr>
        <w:pStyle w:val="82"/>
        <w:ind w:firstLine="0" w:firstLineChars="0"/>
        <w:rPr>
          <w:rFonts w:ascii="宋体" w:hAnsi="宋体" w:cs="宋体"/>
          <w:color w:val="auto"/>
          <w:sz w:val="28"/>
          <w:szCs w:val="28"/>
          <w:highlight w:val="none"/>
        </w:rPr>
      </w:pPr>
    </w:p>
    <w:p>
      <w:pPr>
        <w:pStyle w:val="82"/>
        <w:ind w:firstLine="0" w:firstLineChars="0"/>
        <w:rPr>
          <w:rFonts w:ascii="宋体" w:hAnsi="宋体" w:cs="宋体"/>
          <w:color w:val="auto"/>
          <w:sz w:val="28"/>
          <w:szCs w:val="28"/>
          <w:highlight w:val="none"/>
        </w:rPr>
      </w:pPr>
    </w:p>
    <w:p>
      <w:pPr>
        <w:pStyle w:val="82"/>
        <w:ind w:firstLine="0" w:firstLineChars="0"/>
        <w:rPr>
          <w:rFonts w:ascii="宋体" w:hAnsi="宋体" w:cs="宋体"/>
          <w:color w:val="auto"/>
          <w:sz w:val="28"/>
          <w:szCs w:val="28"/>
          <w:highlight w:val="none"/>
        </w:rPr>
      </w:pPr>
    </w:p>
    <w:p>
      <w:pPr>
        <w:pStyle w:val="82"/>
        <w:ind w:firstLine="0" w:firstLineChars="0"/>
        <w:rPr>
          <w:rFonts w:ascii="宋体" w:hAnsi="宋体" w:cs="宋体"/>
          <w:color w:val="auto"/>
          <w:sz w:val="28"/>
          <w:szCs w:val="28"/>
          <w:highlight w:val="none"/>
        </w:rPr>
      </w:pPr>
    </w:p>
    <w:p>
      <w:pP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br w:type="page"/>
      </w:r>
    </w:p>
    <w:p>
      <w:pPr>
        <w:pStyle w:val="5"/>
        <w:spacing w:line="240" w:lineRule="auto"/>
        <w:ind w:left="0" w:firstLine="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rPr>
        <w:t>标项一</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val="en-US"/>
        </w:rPr>
        <w:t>高新区公共视频监控一体化平台标项一</w:t>
      </w:r>
    </w:p>
    <w:p>
      <w:pPr>
        <w:spacing w:line="360" w:lineRule="auto"/>
        <w:ind w:firstLine="420" w:firstLineChars="200"/>
        <w:rPr>
          <w:color w:val="auto"/>
          <w:highlight w:val="none"/>
        </w:rPr>
      </w:pPr>
      <w:r>
        <w:rPr>
          <w:rFonts w:hint="eastAsia"/>
          <w:color w:val="auto"/>
          <w:highlight w:val="none"/>
        </w:rPr>
        <w:t>一、招标内容</w:t>
      </w:r>
    </w:p>
    <w:p>
      <w:pPr>
        <w:spacing w:line="360" w:lineRule="auto"/>
        <w:ind w:firstLine="420" w:firstLineChars="200"/>
        <w:rPr>
          <w:color w:val="auto"/>
          <w:highlight w:val="none"/>
        </w:rPr>
      </w:pPr>
      <w:r>
        <w:rPr>
          <w:color w:val="auto"/>
          <w:highlight w:val="none"/>
        </w:rPr>
        <w:t>按照一体化统一筹划建设为原则</w:t>
      </w:r>
      <w:r>
        <w:rPr>
          <w:rFonts w:hint="eastAsia"/>
          <w:color w:val="auto"/>
          <w:highlight w:val="none"/>
        </w:rPr>
        <w:t>新建</w:t>
      </w:r>
      <w:r>
        <w:rPr>
          <w:color w:val="auto"/>
          <w:highlight w:val="none"/>
        </w:rPr>
        <w:t>感知点位，本次新建及改造建设349路感知通道，其中高新区行政执法管理局改造50路，公安新建296路感知点位。</w:t>
      </w:r>
    </w:p>
    <w:p>
      <w:pPr>
        <w:spacing w:line="360" w:lineRule="auto"/>
        <w:ind w:firstLine="420" w:firstLineChars="200"/>
        <w:rPr>
          <w:color w:val="auto"/>
          <w:highlight w:val="none"/>
        </w:rPr>
      </w:pPr>
      <w:r>
        <w:rPr>
          <w:color w:val="auto"/>
          <w:highlight w:val="none"/>
        </w:rPr>
        <w:t>需求如下：</w:t>
      </w:r>
    </w:p>
    <w:p>
      <w:pPr>
        <w:spacing w:line="360" w:lineRule="auto"/>
        <w:ind w:firstLine="420" w:firstLineChars="200"/>
        <w:rPr>
          <w:color w:val="auto"/>
          <w:highlight w:val="none"/>
        </w:rPr>
      </w:pPr>
      <w:r>
        <w:rPr>
          <w:color w:val="auto"/>
          <w:highlight w:val="none"/>
        </w:rPr>
        <w:t>高新区行政执法局视频监控一期原有摄像机夜视能力差，图像模糊，需进行设备升级改造，在原有点位基础上对感知设备进行升级更换，经过现场勘点可以与公安立杆进行合杆建设，城管原有设备、链路、取电在此次建设后划归由公安统一运维。</w:t>
      </w:r>
    </w:p>
    <w:p>
      <w:pPr>
        <w:spacing w:line="360" w:lineRule="auto"/>
        <w:ind w:firstLine="420" w:firstLineChars="200"/>
        <w:rPr>
          <w:color w:val="auto"/>
          <w:highlight w:val="none"/>
        </w:rPr>
      </w:pPr>
      <w:r>
        <w:rPr>
          <w:color w:val="auto"/>
          <w:highlight w:val="none"/>
        </w:rPr>
        <w:t>高新技术产业开发区公安分局感知点位经过“雪亮工程”、智能感知、非机动车违法抓拍、情指行一体化合成作战中心以及零星项目建设后，已初步形成对高新辖区内的社区出入口、人员密集公共场所主要出入口、主要道路等重点部位的布点。</w:t>
      </w:r>
    </w:p>
    <w:p>
      <w:pPr>
        <w:spacing w:line="360" w:lineRule="auto"/>
        <w:ind w:firstLine="420" w:firstLineChars="200"/>
        <w:rPr>
          <w:color w:val="auto"/>
          <w:highlight w:val="none"/>
        </w:rPr>
      </w:pPr>
      <w:r>
        <w:rPr>
          <w:color w:val="auto"/>
          <w:highlight w:val="none"/>
        </w:rPr>
        <w:t>本次项目感知点位建设主要针对写字楼、商超、体育场馆等人员密集场所公共区域，内保单位、重点行业、重大民生设施等设计的公共区域，主城区和人流密集公共区域，大型安保、大型活动举办场所等重点区域和社区，设计形成点、线结合的感知点位防控圈。</w:t>
      </w:r>
    </w:p>
    <w:p>
      <w:pPr>
        <w:spacing w:line="360" w:lineRule="auto"/>
        <w:rPr>
          <w:color w:val="auto"/>
          <w:highlight w:val="none"/>
        </w:rPr>
      </w:pPr>
    </w:p>
    <w:p>
      <w:pPr>
        <w:numPr>
          <w:ilvl w:val="0"/>
          <w:numId w:val="3"/>
        </w:numPr>
        <w:rPr>
          <w:color w:val="auto"/>
          <w:highlight w:val="none"/>
        </w:rPr>
        <w:sectPr>
          <w:pgSz w:w="11906" w:h="16838"/>
          <w:pgMar w:top="1440" w:right="1800" w:bottom="1440" w:left="1800" w:header="851" w:footer="992" w:gutter="0"/>
          <w:cols w:space="425" w:num="1"/>
          <w:docGrid w:type="lines" w:linePitch="312" w:charSpace="0"/>
        </w:sectPr>
      </w:pPr>
    </w:p>
    <w:p>
      <w:pPr>
        <w:spacing w:line="360" w:lineRule="auto"/>
        <w:ind w:firstLine="420" w:firstLineChars="200"/>
        <w:rPr>
          <w:color w:val="auto"/>
          <w:highlight w:val="none"/>
        </w:rPr>
      </w:pPr>
      <w:r>
        <w:rPr>
          <w:rFonts w:hint="eastAsia"/>
          <w:color w:val="auto"/>
          <w:highlight w:val="none"/>
        </w:rPr>
        <w:t>二、技术参数</w:t>
      </w:r>
    </w:p>
    <w:p>
      <w:pPr>
        <w:spacing w:line="360" w:lineRule="auto"/>
        <w:ind w:firstLine="420" w:firstLineChars="200"/>
        <w:rPr>
          <w:color w:val="auto"/>
          <w:highlight w:val="none"/>
        </w:rPr>
      </w:pPr>
      <w:r>
        <w:rPr>
          <w:rFonts w:hint="eastAsia"/>
          <w:color w:val="auto"/>
          <w:highlight w:val="none"/>
        </w:rPr>
        <w:t>（一）感知点位建设</w:t>
      </w:r>
    </w:p>
    <w:p>
      <w:pPr>
        <w:spacing w:line="360" w:lineRule="auto"/>
        <w:ind w:firstLine="420" w:firstLineChars="200"/>
        <w:rPr>
          <w:color w:val="auto"/>
          <w:highlight w:val="none"/>
        </w:rPr>
      </w:pPr>
      <w:r>
        <w:rPr>
          <w:rFonts w:hint="eastAsia"/>
          <w:color w:val="auto"/>
          <w:highlight w:val="none"/>
        </w:rPr>
        <w:t>（1）行政执法局监控一期设备改造升级</w:t>
      </w:r>
    </w:p>
    <w:tbl>
      <w:tblPr>
        <w:tblStyle w:val="65"/>
        <w:tblW w:w="506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5"/>
        <w:gridCol w:w="1493"/>
        <w:gridCol w:w="675"/>
        <w:gridCol w:w="644"/>
        <w:gridCol w:w="9551"/>
        <w:gridCol w:w="13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0" w:hRule="atLeast"/>
        </w:trPr>
        <w:tc>
          <w:tcPr>
            <w:tcW w:w="231"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b/>
                <w:bCs/>
                <w:color w:val="auto"/>
                <w:kern w:val="0"/>
                <w:sz w:val="21"/>
                <w:szCs w:val="21"/>
                <w:highlight w:val="none"/>
                <w:lang w:val="en-US" w:eastAsia="zh-CN" w:bidi="ar"/>
              </w:rPr>
            </w:pPr>
            <w:r>
              <w:rPr>
                <w:rFonts w:hint="eastAsia" w:ascii="宋体" w:hAnsi="宋体" w:cs="宋体"/>
                <w:b/>
                <w:bCs/>
                <w:color w:val="auto"/>
                <w:kern w:val="0"/>
                <w:szCs w:val="21"/>
                <w:highlight w:val="none"/>
                <w:lang w:bidi="ar"/>
              </w:rPr>
              <w:t>序号</w:t>
            </w:r>
          </w:p>
        </w:tc>
        <w:tc>
          <w:tcPr>
            <w:tcW w:w="519"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b/>
                <w:bCs/>
                <w:color w:val="auto"/>
                <w:kern w:val="2"/>
                <w:sz w:val="21"/>
                <w:szCs w:val="21"/>
                <w:highlight w:val="none"/>
                <w:lang w:val="en-US" w:eastAsia="zh-CN" w:bidi="ar-SA"/>
              </w:rPr>
            </w:pPr>
            <w:r>
              <w:rPr>
                <w:rFonts w:hint="eastAsia" w:ascii="宋体" w:hAnsi="宋体" w:cs="宋体"/>
                <w:b/>
                <w:bCs/>
                <w:color w:val="auto"/>
                <w:szCs w:val="21"/>
                <w:highlight w:val="none"/>
              </w:rPr>
              <w:t>货物名称</w:t>
            </w:r>
          </w:p>
        </w:tc>
        <w:tc>
          <w:tcPr>
            <w:tcW w:w="234"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b/>
                <w:bCs/>
                <w:color w:val="auto"/>
                <w:kern w:val="2"/>
                <w:sz w:val="21"/>
                <w:szCs w:val="21"/>
                <w:highlight w:val="none"/>
                <w:lang w:val="en-US" w:eastAsia="zh-CN" w:bidi="ar-SA"/>
              </w:rPr>
            </w:pPr>
            <w:r>
              <w:rPr>
                <w:rFonts w:hint="eastAsia" w:ascii="宋体" w:hAnsi="宋体" w:cs="宋体"/>
                <w:b/>
                <w:bCs/>
                <w:color w:val="auto"/>
                <w:szCs w:val="21"/>
                <w:highlight w:val="none"/>
              </w:rPr>
              <w:t>数量</w:t>
            </w:r>
          </w:p>
        </w:tc>
        <w:tc>
          <w:tcPr>
            <w:tcW w:w="224"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b/>
                <w:bCs/>
                <w:color w:val="auto"/>
                <w:kern w:val="2"/>
                <w:sz w:val="21"/>
                <w:szCs w:val="21"/>
                <w:highlight w:val="none"/>
                <w:lang w:val="en-US" w:eastAsia="zh-CN" w:bidi="ar-SA"/>
              </w:rPr>
            </w:pPr>
            <w:r>
              <w:rPr>
                <w:rFonts w:hint="eastAsia" w:ascii="宋体" w:hAnsi="宋体" w:cs="宋体"/>
                <w:b/>
                <w:bCs/>
                <w:color w:val="auto"/>
                <w:szCs w:val="21"/>
                <w:highlight w:val="none"/>
              </w:rPr>
              <w:t>单位</w:t>
            </w:r>
          </w:p>
        </w:tc>
        <w:tc>
          <w:tcPr>
            <w:tcW w:w="3323"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b/>
                <w:bCs/>
                <w:color w:val="auto"/>
                <w:kern w:val="2"/>
                <w:sz w:val="21"/>
                <w:szCs w:val="21"/>
                <w:highlight w:val="none"/>
                <w:lang w:val="en-US" w:eastAsia="zh-CN" w:bidi="ar-SA"/>
              </w:rPr>
            </w:pPr>
            <w:r>
              <w:rPr>
                <w:rFonts w:hint="eastAsia" w:ascii="宋体" w:hAnsi="宋体" w:cs="宋体"/>
                <w:b/>
                <w:bCs/>
                <w:color w:val="auto"/>
                <w:szCs w:val="21"/>
                <w:highlight w:val="none"/>
              </w:rPr>
              <w:t>技术参数</w:t>
            </w:r>
          </w:p>
        </w:tc>
        <w:tc>
          <w:tcPr>
            <w:tcW w:w="466"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b/>
                <w:bCs/>
                <w:color w:val="auto"/>
                <w:kern w:val="2"/>
                <w:sz w:val="21"/>
                <w:szCs w:val="21"/>
                <w:highlight w:val="none"/>
                <w:lang w:val="en-US" w:eastAsia="zh-CN" w:bidi="ar-SA"/>
              </w:rPr>
            </w:pPr>
            <w:r>
              <w:rPr>
                <w:rFonts w:hint="eastAsia" w:ascii="宋体" w:hAnsi="宋体" w:cs="宋体"/>
                <w:b/>
                <w:bCs/>
                <w:color w:val="auto"/>
                <w:szCs w:val="21"/>
                <w:highlight w:val="none"/>
              </w:rPr>
              <w:t>参考品牌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0" w:hRule="atLeast"/>
        </w:trPr>
        <w:tc>
          <w:tcPr>
            <w:tcW w:w="231"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1</w:t>
            </w:r>
          </w:p>
        </w:tc>
        <w:tc>
          <w:tcPr>
            <w:tcW w:w="519"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全结构化球型摄像机</w:t>
            </w:r>
          </w:p>
        </w:tc>
        <w:tc>
          <w:tcPr>
            <w:tcW w:w="234"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47</w:t>
            </w:r>
          </w:p>
        </w:tc>
        <w:tc>
          <w:tcPr>
            <w:tcW w:w="224"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台</w:t>
            </w:r>
          </w:p>
        </w:tc>
        <w:tc>
          <w:tcPr>
            <w:tcW w:w="3323"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不低于以下参数：400万1/1.8"星光级CMOS AI网络摄像机；传感器类型：全景1/1.8英寸CMOS，细节1/1.8英寸CMOS；像素：全景400万，细节400万；最大分辨率：全景2560 × 1440细节2560 × 1440；最低照度：全景彩色：0.0005Lux@F1.0黑白：0.0005Lux@F1.0细节彩色：0.001Lux@F1.35黑白：0.0001Lux@F1.350Lux（红外灯开启）；补光灯距离：全景：30米；细节：200米；镜头焦距：全景4 mm细节5.9~147.5 mm；光学变倍：25倍；支持人脸人体车辆同时抓拍，人脸人体关联输出，并实现对人脸、人体、车辆结构化属性特征信息提取。支持全景路对设定区域进行布防，当检测到目标时联动特写摄像机对目标进行跟踪及报警，实现周界布防。支持细节路对设定区域进行布防，支持声光警戒：报警联动白光闪烁报警和声音报警，声音内容可选</w:t>
            </w:r>
          </w:p>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★设备支持电瓶车报警抓图功能，电瓶车报警抓图包括电瓶车小图+电瓶车大图+电瓶车车牌小图（投标文件中提供检验报告证明复印件）</w:t>
            </w:r>
          </w:p>
        </w:tc>
        <w:tc>
          <w:tcPr>
            <w:tcW w:w="466"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海康、英飞拓、天地伟业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0" w:hRule="atLeast"/>
        </w:trPr>
        <w:tc>
          <w:tcPr>
            <w:tcW w:w="231"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519"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pStyle w:val="6"/>
              <w:numPr>
                <w:ilvl w:val="3"/>
                <w:numId w:val="0"/>
              </w:numPr>
              <w:tabs>
                <w:tab w:val="left" w:pos="0"/>
                <w:tab w:val="left" w:pos="993"/>
                <w:tab w:val="clear" w:pos="864"/>
              </w:tabs>
              <w:jc w:val="center"/>
              <w:rPr>
                <w:rFonts w:ascii="宋体" w:hAnsi="宋体" w:eastAsia="宋体" w:cs="宋体"/>
                <w:color w:val="auto"/>
                <w:sz w:val="21"/>
                <w:szCs w:val="21"/>
                <w:highlight w:val="none"/>
              </w:rPr>
            </w:pPr>
            <w:r>
              <w:rPr>
                <w:rFonts w:hint="eastAsia" w:ascii="宋体" w:hAnsi="宋体" w:eastAsia="宋体" w:cs="宋体"/>
                <w:b w:val="0"/>
                <w:color w:val="auto"/>
                <w:sz w:val="21"/>
                <w:szCs w:val="21"/>
                <w:highlight w:val="none"/>
              </w:rPr>
              <w:t>全结构化枪型摄像机</w:t>
            </w:r>
          </w:p>
        </w:tc>
        <w:tc>
          <w:tcPr>
            <w:tcW w:w="234"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3</w:t>
            </w:r>
          </w:p>
        </w:tc>
        <w:tc>
          <w:tcPr>
            <w:tcW w:w="224"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台</w:t>
            </w:r>
          </w:p>
        </w:tc>
        <w:tc>
          <w:tcPr>
            <w:tcW w:w="3323"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不低于以下参数：通道1：1/1.2" Progressive Scan CMOS；通道2：1/1.8" Progressive Scan CMOS；像素：800万+400万；最大分辨率：3840×2160+2688×1520；最低照度:通道1：彩色：0.0003 Lux；黑白：0.0001 Lux ；通道2：彩色：0.0003 Lux ；黑白：0.0001 Lux ；自带补光，人脸抓拍/识别补光距离不小于15m。视频压缩标准：: H.265/H.264/MJPEG；人脸检测：支持对运动人脸进行检测、跟踪、抓拍、评分、筛选，输出最优的人脸；支持人脸去误报、快速抓拍人脸；支持人脸属性提取，支持性别、年龄、年龄段、戴眼镜、戴口罩、表情、戴帽子等属性识别，支持最多10个人脸库的管理，最多15万张人脸的导入；支持人脸瞳距20像素以上的人脸检测。</w:t>
            </w:r>
          </w:p>
          <w:p>
            <w:pPr>
              <w:pStyle w:val="63"/>
              <w:spacing w:line="240" w:lineRule="auto"/>
              <w:ind w:firstLine="0"/>
              <w:rPr>
                <w:rFonts w:hAnsi="宋体" w:cs="宋体"/>
                <w:color w:val="auto"/>
                <w:sz w:val="21"/>
                <w:szCs w:val="21"/>
                <w:highlight w:val="none"/>
              </w:rPr>
            </w:pPr>
            <w:r>
              <w:rPr>
                <w:rFonts w:hint="eastAsia" w:hAnsi="宋体" w:cs="宋体"/>
                <w:color w:val="auto"/>
                <w:sz w:val="21"/>
                <w:szCs w:val="21"/>
                <w:highlight w:val="none"/>
              </w:rPr>
              <w:t>支持上下双通道镜头，上通道内置电动变焦镜头，操作便易，变焦过程平稳；下通道定焦全彩镜头，满足低照度下的监控需求</w:t>
            </w:r>
          </w:p>
          <w:p>
            <w:pPr>
              <w:rPr>
                <w:rFonts w:ascii="宋体" w:hAnsi="宋体" w:cs="宋体"/>
                <w:color w:val="auto"/>
                <w:szCs w:val="21"/>
                <w:highlight w:val="none"/>
              </w:rPr>
            </w:pPr>
            <w:r>
              <w:rPr>
                <w:rFonts w:hint="eastAsia" w:ascii="宋体" w:hAnsi="宋体" w:cs="宋体"/>
                <w:color w:val="auto"/>
                <w:szCs w:val="21"/>
                <w:highlight w:val="none"/>
              </w:rPr>
              <w:t>透雾功能：支持；内置扬声器：支持；</w:t>
            </w:r>
          </w:p>
          <w:p>
            <w:pPr>
              <w:pStyle w:val="63"/>
              <w:spacing w:line="240" w:lineRule="auto"/>
              <w:ind w:firstLine="0"/>
              <w:rPr>
                <w:rFonts w:hAnsi="宋体" w:cs="宋体"/>
                <w:color w:val="auto"/>
                <w:sz w:val="21"/>
                <w:szCs w:val="21"/>
                <w:highlight w:val="none"/>
                <w:lang w:val="en-US"/>
              </w:rPr>
            </w:pPr>
            <w:r>
              <w:rPr>
                <w:rFonts w:hint="eastAsia" w:hAnsi="宋体" w:cs="宋体"/>
                <w:color w:val="auto"/>
                <w:sz w:val="21"/>
                <w:szCs w:val="21"/>
                <w:highlight w:val="none"/>
              </w:rPr>
              <w:t>网络协议</w:t>
            </w:r>
            <w:r>
              <w:rPr>
                <w:rFonts w:hint="eastAsia" w:hAnsi="宋体" w:cs="宋体"/>
                <w:color w:val="auto"/>
                <w:sz w:val="21"/>
                <w:szCs w:val="21"/>
                <w:highlight w:val="none"/>
                <w:lang w:val="en-US"/>
              </w:rPr>
              <w:t>：TCP/IP，ICMP，HTTP，HTTPS，FTP，DHCP，DNS，DDNS，RTP，RTSP，RTCP，PPPoE，NTP，UPnP，SMTP，SNMP，IGMP，802.1X，QoS，IPv6，UDP，Bonjour</w:t>
            </w:r>
          </w:p>
          <w:p>
            <w:pPr>
              <w:rPr>
                <w:rFonts w:ascii="宋体" w:hAnsi="宋体" w:cs="宋体"/>
                <w:color w:val="auto"/>
                <w:szCs w:val="21"/>
                <w:highlight w:val="none"/>
              </w:rPr>
            </w:pPr>
            <w:r>
              <w:rPr>
                <w:rFonts w:hint="eastAsia" w:ascii="宋体" w:hAnsi="宋体" w:cs="宋体"/>
                <w:color w:val="auto"/>
                <w:szCs w:val="21"/>
                <w:highlight w:val="none"/>
              </w:rPr>
              <w:t>网络：1个RJ4510M/100M/1000M自适应以太网口；</w:t>
            </w:r>
          </w:p>
          <w:p>
            <w:pPr>
              <w:rPr>
                <w:rFonts w:ascii="宋体" w:hAnsi="宋体" w:cs="宋体"/>
                <w:color w:val="auto"/>
                <w:szCs w:val="21"/>
                <w:highlight w:val="none"/>
              </w:rPr>
            </w:pPr>
            <w:r>
              <w:rPr>
                <w:rFonts w:hint="eastAsia" w:ascii="宋体" w:hAnsi="宋体" w:cs="宋体"/>
                <w:color w:val="auto"/>
                <w:szCs w:val="21"/>
                <w:highlight w:val="none"/>
              </w:rPr>
              <w:t>防护等级不低于IP67</w:t>
            </w:r>
          </w:p>
          <w:p>
            <w:pPr>
              <w:pStyle w:val="63"/>
              <w:spacing w:line="240" w:lineRule="auto"/>
              <w:ind w:firstLine="0"/>
              <w:rPr>
                <w:rFonts w:hAnsi="宋体" w:cs="宋体"/>
                <w:color w:val="auto"/>
                <w:sz w:val="21"/>
                <w:szCs w:val="21"/>
                <w:highlight w:val="none"/>
              </w:rPr>
            </w:pPr>
            <w:r>
              <w:rPr>
                <w:rFonts w:hint="eastAsia" w:hAnsi="宋体" w:cs="宋体"/>
                <w:color w:val="auto"/>
                <w:sz w:val="21"/>
                <w:szCs w:val="21"/>
                <w:highlight w:val="none"/>
              </w:rPr>
              <w:t>★支持固件安全检验功能，摄像机uboot应采用加密存储，通过离线烧写存储器方式写入的uboot执行程序，不能被硬件微引导程序加载执行（</w:t>
            </w:r>
            <w:r>
              <w:rPr>
                <w:rFonts w:hint="eastAsia" w:hAnsi="宋体" w:cs="宋体"/>
                <w:color w:val="auto"/>
                <w:sz w:val="21"/>
                <w:szCs w:val="21"/>
                <w:highlight w:val="none"/>
                <w:lang w:val="en-US"/>
              </w:rPr>
              <w:t>投标文件中提供</w:t>
            </w:r>
            <w:r>
              <w:rPr>
                <w:rFonts w:hint="eastAsia" w:hAnsi="宋体" w:cs="宋体"/>
                <w:color w:val="auto"/>
                <w:sz w:val="21"/>
                <w:szCs w:val="21"/>
                <w:highlight w:val="none"/>
              </w:rPr>
              <w:t>检验报告证明</w:t>
            </w:r>
            <w:r>
              <w:rPr>
                <w:rFonts w:hint="eastAsia" w:hAnsi="宋体" w:cs="宋体"/>
                <w:color w:val="auto"/>
                <w:sz w:val="21"/>
                <w:szCs w:val="21"/>
                <w:highlight w:val="none"/>
                <w:lang w:val="en-US"/>
              </w:rPr>
              <w:t>复印件</w:t>
            </w:r>
            <w:r>
              <w:rPr>
                <w:rFonts w:hint="eastAsia" w:hAnsi="宋体" w:cs="宋体"/>
                <w:color w:val="auto"/>
                <w:sz w:val="21"/>
                <w:szCs w:val="21"/>
                <w:highlight w:val="none"/>
              </w:rPr>
              <w:t>）</w:t>
            </w:r>
          </w:p>
        </w:tc>
        <w:tc>
          <w:tcPr>
            <w:tcW w:w="466"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海康、英飞拓、天地伟业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0" w:hRule="atLeast"/>
        </w:trPr>
        <w:tc>
          <w:tcPr>
            <w:tcW w:w="231"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shd w:val="clear" w:color="auto" w:fill="auto"/>
                <w:lang w:val="en-US" w:eastAsia="zh-CN" w:bidi="ar-SA"/>
              </w:rPr>
            </w:pPr>
            <w:r>
              <w:rPr>
                <w:rFonts w:hint="eastAsia" w:ascii="宋体" w:hAnsi="宋体" w:cs="宋体"/>
                <w:color w:val="auto"/>
                <w:kern w:val="0"/>
                <w:szCs w:val="21"/>
                <w:highlight w:val="none"/>
                <w:shd w:val="clear" w:color="auto" w:fill="auto"/>
                <w:lang w:bidi="ar"/>
              </w:rPr>
              <w:t>3</w:t>
            </w:r>
          </w:p>
        </w:tc>
        <w:tc>
          <w:tcPr>
            <w:tcW w:w="519"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pStyle w:val="6"/>
              <w:numPr>
                <w:ilvl w:val="3"/>
                <w:numId w:val="0"/>
              </w:numPr>
              <w:tabs>
                <w:tab w:val="left" w:pos="0"/>
                <w:tab w:val="left" w:pos="993"/>
                <w:tab w:val="clear" w:pos="864"/>
              </w:tabs>
              <w:ind w:left="0" w:leftChars="0" w:firstLine="0" w:firstLineChars="0"/>
              <w:jc w:val="center"/>
              <w:rPr>
                <w:rFonts w:hint="eastAsia" w:ascii="宋体" w:hAnsi="宋体" w:eastAsia="宋体" w:cs="宋体"/>
                <w:b/>
                <w:bCs/>
                <w:color w:val="auto"/>
                <w:kern w:val="2"/>
                <w:sz w:val="21"/>
                <w:szCs w:val="21"/>
                <w:highlight w:val="none"/>
                <w:shd w:val="clear" w:color="auto" w:fill="auto"/>
                <w:lang w:val="zh-CN" w:eastAsia="zh-CN" w:bidi="ar-SA"/>
              </w:rPr>
            </w:pPr>
            <w:r>
              <w:rPr>
                <w:rFonts w:hint="eastAsia" w:ascii="宋体" w:hAnsi="宋体" w:eastAsia="宋体" w:cs="宋体"/>
                <w:b w:val="0"/>
                <w:color w:val="auto"/>
                <w:sz w:val="21"/>
                <w:szCs w:val="21"/>
                <w:highlight w:val="none"/>
                <w:shd w:val="clear" w:color="auto" w:fill="auto"/>
              </w:rPr>
              <w:t>高点监控摄像机（53倍超视距球机）</w:t>
            </w:r>
          </w:p>
        </w:tc>
        <w:tc>
          <w:tcPr>
            <w:tcW w:w="234"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shd w:val="clear" w:color="auto" w:fill="auto"/>
                <w:lang w:val="en-US" w:eastAsia="zh-CN" w:bidi="ar-SA"/>
              </w:rPr>
            </w:pPr>
            <w:r>
              <w:rPr>
                <w:rFonts w:hint="eastAsia" w:ascii="宋体" w:hAnsi="宋体" w:cs="宋体"/>
                <w:color w:val="auto"/>
                <w:szCs w:val="21"/>
                <w:highlight w:val="none"/>
                <w:shd w:val="clear" w:color="auto" w:fill="auto"/>
              </w:rPr>
              <w:t>3</w:t>
            </w:r>
          </w:p>
        </w:tc>
        <w:tc>
          <w:tcPr>
            <w:tcW w:w="224"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shd w:val="clear" w:color="auto" w:fill="auto"/>
                <w:lang w:val="en-US" w:eastAsia="zh-CN" w:bidi="ar-SA"/>
              </w:rPr>
            </w:pPr>
            <w:r>
              <w:rPr>
                <w:rFonts w:hint="eastAsia" w:ascii="宋体" w:hAnsi="宋体" w:cs="宋体"/>
                <w:color w:val="auto"/>
                <w:szCs w:val="21"/>
                <w:highlight w:val="none"/>
                <w:shd w:val="clear" w:color="auto" w:fill="auto"/>
              </w:rPr>
              <w:t>台</w:t>
            </w:r>
          </w:p>
        </w:tc>
        <w:tc>
          <w:tcPr>
            <w:tcW w:w="3323"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不低于以下参数：支持人脸抓拍、非机动车识别、车牌识别等全结构化功能支支持人脸+人体+车辆抓拍，人脸和人体关联输出,混合目标比对；支持同时检测30张人脸，支持对运动人脸进行检测、跟踪、抓拍、评分、筛选，输出最优的人脸抓图,人脸建模比对；人员布控：支持前端实时建模比对，对人脸和人体进行布控跟踪，跟踪过程中目标经纬度信息实时上传，构建时空域场景；持GB35114安全加密；传感器类型： 1/1.2＂progressive scan CMOS；最低照度： 彩色：0.0005 Lux @（F1.5，AGC ON），黑白：0.0001 Lux @（F1.5，AGC ON），0 Lux with IR；光学防抖： 支持；焦距： 6.6~350 mm，53倍光学变倍；激光照射距离： 800 m；防补光过曝： 支持；水平范围： 360°；垂直范围： -20°~90°（自动翻转）；主码流帧率分辨率： 50 Hz：25 fps（2560×1440）；60 Hz：30 fps（2560 × 1440）；视频压缩标准： H.265，H.264，MJPEG；网络存储： NAS（NFS，SMB/CIFS）；GPS： 内置GPS、北斗卫星定位模块；电子罗盘： 支持；网络接口： 自适应10 M/100 M网络数据；光纤接口： FC接口，采用FC接口，内置光纤模块（100 M网络数据、波长TX1310/RX1550 nm、单纤单模、20 km传输距离）；SD卡扩展： 支持MicroSD（即TF卡）/MicroSDHC/MicroSDXC卡，最大支持256GB；防护：IP67。</w:t>
            </w:r>
          </w:p>
          <w:p>
            <w:pPr>
              <w:widowControl/>
              <w:jc w:val="left"/>
              <w:textAlignment w:val="center"/>
              <w:rPr>
                <w:rFonts w:hint="eastAsia" w:ascii="宋体" w:hAnsi="宋体" w:eastAsia="宋体" w:cs="宋体"/>
                <w:color w:val="auto"/>
                <w:kern w:val="2"/>
                <w:sz w:val="21"/>
                <w:szCs w:val="21"/>
                <w:highlight w:val="none"/>
                <w:shd w:val="clear" w:color="auto" w:fill="auto"/>
                <w:lang w:val="en-US" w:eastAsia="zh-CN" w:bidi="ar-SA"/>
              </w:rPr>
            </w:pPr>
            <w:r>
              <w:rPr>
                <w:rFonts w:hint="eastAsia" w:ascii="宋体" w:hAnsi="宋体" w:cs="宋体"/>
                <w:color w:val="auto"/>
                <w:szCs w:val="21"/>
                <w:highlight w:val="none"/>
                <w:shd w:val="clear" w:color="auto" w:fill="auto"/>
              </w:rPr>
              <w:t>★设备具备遮挡跟踪功能，当设备正在跟踪的人员全身被遮挡时，设备可保持跟踪状态并持续框选提示，若4s以内被跟踪人员又出现在监控画面中，可重新开始进行水平360°跟踪（投标文件中提供检验报告证明复印件）</w:t>
            </w:r>
          </w:p>
        </w:tc>
        <w:tc>
          <w:tcPr>
            <w:tcW w:w="466"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shd w:val="clear" w:color="auto" w:fill="auto"/>
                <w:lang w:val="en-US" w:eastAsia="zh-CN" w:bidi="ar-SA"/>
              </w:rPr>
            </w:pPr>
            <w:r>
              <w:rPr>
                <w:rFonts w:hint="eastAsia" w:ascii="宋体" w:hAnsi="宋体" w:cs="宋体"/>
                <w:color w:val="auto"/>
                <w:szCs w:val="21"/>
                <w:highlight w:val="none"/>
                <w:shd w:val="clear" w:color="auto" w:fill="auto"/>
              </w:rPr>
              <w:t>海康、英飞拓、天地伟业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4" w:hRule="atLeast"/>
        </w:trPr>
        <w:tc>
          <w:tcPr>
            <w:tcW w:w="231"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519"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2米抱杆</w:t>
            </w:r>
          </w:p>
        </w:tc>
        <w:tc>
          <w:tcPr>
            <w:tcW w:w="234"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8</w:t>
            </w:r>
          </w:p>
        </w:tc>
        <w:tc>
          <w:tcPr>
            <w:tcW w:w="224"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根</w:t>
            </w:r>
          </w:p>
        </w:tc>
        <w:tc>
          <w:tcPr>
            <w:tcW w:w="3323"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采用抱箍挑杆，安装在墙上或立杆上，横挑距离2米，直径76mm，壁厚3mm，热镀锌喷塑。</w:t>
            </w:r>
          </w:p>
        </w:tc>
        <w:tc>
          <w:tcPr>
            <w:tcW w:w="466"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国产定制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4" w:hRule="atLeast"/>
        </w:trPr>
        <w:tc>
          <w:tcPr>
            <w:tcW w:w="231"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5</w:t>
            </w:r>
          </w:p>
        </w:tc>
        <w:tc>
          <w:tcPr>
            <w:tcW w:w="519"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链路费用</w:t>
            </w:r>
          </w:p>
        </w:tc>
        <w:tc>
          <w:tcPr>
            <w:tcW w:w="234"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45</w:t>
            </w:r>
          </w:p>
        </w:tc>
        <w:tc>
          <w:tcPr>
            <w:tcW w:w="224"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条/年</w:t>
            </w:r>
          </w:p>
        </w:tc>
        <w:tc>
          <w:tcPr>
            <w:tcW w:w="3323"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160/月，租赁1年，不包前端点位含光收发，包含到达公安分局地下一层机房光纤收发器。</w:t>
            </w:r>
          </w:p>
        </w:tc>
        <w:tc>
          <w:tcPr>
            <w:tcW w:w="466"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移动、电信、联通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4" w:hRule="atLeast"/>
        </w:trPr>
        <w:tc>
          <w:tcPr>
            <w:tcW w:w="231"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519"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交换机</w:t>
            </w:r>
          </w:p>
        </w:tc>
        <w:tc>
          <w:tcPr>
            <w:tcW w:w="234"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5</w:t>
            </w:r>
          </w:p>
        </w:tc>
        <w:tc>
          <w:tcPr>
            <w:tcW w:w="224"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个</w:t>
            </w:r>
          </w:p>
        </w:tc>
        <w:tc>
          <w:tcPr>
            <w:tcW w:w="3323"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8口千兆以太网交换机，支持传输速率10Mbps/100Mbps/1000Mbps。</w:t>
            </w:r>
          </w:p>
        </w:tc>
        <w:tc>
          <w:tcPr>
            <w:tcW w:w="466"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华为、华三、中兴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4" w:hRule="atLeast"/>
        </w:trPr>
        <w:tc>
          <w:tcPr>
            <w:tcW w:w="231"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7</w:t>
            </w:r>
          </w:p>
        </w:tc>
        <w:tc>
          <w:tcPr>
            <w:tcW w:w="519"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辅材</w:t>
            </w:r>
          </w:p>
        </w:tc>
        <w:tc>
          <w:tcPr>
            <w:tcW w:w="234"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w:t>
            </w:r>
          </w:p>
        </w:tc>
        <w:tc>
          <w:tcPr>
            <w:tcW w:w="224"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套</w:t>
            </w:r>
          </w:p>
        </w:tc>
        <w:tc>
          <w:tcPr>
            <w:tcW w:w="3323"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包含感知点位每个摄像机安装的一切施工辅助材料（包括线管、网络跳线、水晶头、跳线、固定件架等），此项</w:t>
            </w:r>
          </w:p>
        </w:tc>
        <w:tc>
          <w:tcPr>
            <w:tcW w:w="466"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国产定制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7" w:hRule="atLeast"/>
        </w:trPr>
        <w:tc>
          <w:tcPr>
            <w:tcW w:w="231"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8</w:t>
            </w:r>
          </w:p>
        </w:tc>
        <w:tc>
          <w:tcPr>
            <w:tcW w:w="519"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杆件拆除</w:t>
            </w:r>
          </w:p>
        </w:tc>
        <w:tc>
          <w:tcPr>
            <w:tcW w:w="234"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5</w:t>
            </w:r>
          </w:p>
        </w:tc>
        <w:tc>
          <w:tcPr>
            <w:tcW w:w="224"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套</w:t>
            </w:r>
          </w:p>
        </w:tc>
        <w:tc>
          <w:tcPr>
            <w:tcW w:w="3323"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原杆件，落地机箱拆除。</w:t>
            </w:r>
          </w:p>
        </w:tc>
        <w:tc>
          <w:tcPr>
            <w:tcW w:w="466"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国产定制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7" w:hRule="atLeast"/>
        </w:trPr>
        <w:tc>
          <w:tcPr>
            <w:tcW w:w="231"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9</w:t>
            </w:r>
          </w:p>
        </w:tc>
        <w:tc>
          <w:tcPr>
            <w:tcW w:w="519"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标志牌</w:t>
            </w:r>
          </w:p>
        </w:tc>
        <w:tc>
          <w:tcPr>
            <w:tcW w:w="234"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48</w:t>
            </w:r>
          </w:p>
        </w:tc>
        <w:tc>
          <w:tcPr>
            <w:tcW w:w="224"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个</w:t>
            </w:r>
          </w:p>
        </w:tc>
        <w:tc>
          <w:tcPr>
            <w:tcW w:w="3323"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标志牌材质采用铝板，暂定48CM*78CM大小，表面加反光膜，采用扣襻固定安装在监控立杆上，含相应抱箍配件。</w:t>
            </w:r>
          </w:p>
        </w:tc>
        <w:tc>
          <w:tcPr>
            <w:tcW w:w="466"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国产定制</w:t>
            </w:r>
          </w:p>
        </w:tc>
      </w:tr>
    </w:tbl>
    <w:p>
      <w:pPr>
        <w:pStyle w:val="63"/>
        <w:ind w:firstLine="0"/>
        <w:rPr>
          <w:rFonts w:hAnsi="宋体" w:cs="宋体"/>
          <w:b/>
          <w:bCs/>
          <w:color w:val="auto"/>
          <w:kern w:val="0"/>
          <w:sz w:val="21"/>
          <w:szCs w:val="21"/>
          <w:highlight w:val="none"/>
          <w:lang w:val="en-US" w:bidi="ar"/>
        </w:rPr>
      </w:pPr>
      <w:bookmarkStart w:id="247" w:name="_Toc14800"/>
      <w:r>
        <w:rPr>
          <w:rFonts w:hint="eastAsia" w:hAnsi="宋体" w:cs="宋体"/>
          <w:b/>
          <w:bCs/>
          <w:color w:val="auto"/>
          <w:kern w:val="0"/>
          <w:sz w:val="21"/>
          <w:szCs w:val="21"/>
          <w:highlight w:val="none"/>
          <w:lang w:bidi="ar"/>
        </w:rPr>
        <w:t>（2）区公安分局感知点位建设</w:t>
      </w:r>
      <w:bookmarkEnd w:id="247"/>
    </w:p>
    <w:p>
      <w:pPr>
        <w:pStyle w:val="63"/>
        <w:rPr>
          <w:rFonts w:hAnsi="宋体" w:cs="宋体"/>
          <w:b/>
          <w:bCs/>
          <w:color w:val="auto"/>
          <w:kern w:val="0"/>
          <w:sz w:val="21"/>
          <w:szCs w:val="21"/>
          <w:highlight w:val="none"/>
          <w:lang w:val="en-US" w:bidi="ar"/>
        </w:rPr>
      </w:pPr>
      <w:r>
        <w:rPr>
          <w:rFonts w:hint="eastAsia" w:hAnsi="宋体" w:cs="宋体"/>
          <w:b/>
          <w:bCs/>
          <w:color w:val="auto"/>
          <w:kern w:val="0"/>
          <w:sz w:val="21"/>
          <w:szCs w:val="21"/>
          <w:highlight w:val="none"/>
          <w:lang w:bidi="ar"/>
        </w:rPr>
        <w:t>1.重要出入口感知点位</w:t>
      </w:r>
    </w:p>
    <w:tbl>
      <w:tblPr>
        <w:tblStyle w:val="65"/>
        <w:tblW w:w="504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6"/>
        <w:gridCol w:w="1365"/>
        <w:gridCol w:w="760"/>
        <w:gridCol w:w="743"/>
        <w:gridCol w:w="9479"/>
        <w:gridCol w:w="12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b/>
                <w:bCs/>
                <w:color w:val="auto"/>
                <w:kern w:val="0"/>
                <w:szCs w:val="21"/>
                <w:highlight w:val="none"/>
                <w:lang w:bidi="ar"/>
              </w:rPr>
              <w:t>序号</w:t>
            </w:r>
          </w:p>
        </w:tc>
        <w:tc>
          <w:tcPr>
            <w:tcW w:w="13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b/>
                <w:bCs/>
                <w:color w:val="auto"/>
                <w:szCs w:val="21"/>
                <w:highlight w:val="none"/>
              </w:rPr>
              <w:t>货物名称</w:t>
            </w:r>
          </w:p>
        </w:tc>
        <w:tc>
          <w:tcPr>
            <w:tcW w:w="76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b/>
                <w:bCs/>
                <w:color w:val="auto"/>
                <w:szCs w:val="21"/>
                <w:highlight w:val="none"/>
              </w:rPr>
              <w:t>数量</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b/>
                <w:bCs/>
                <w:color w:val="auto"/>
                <w:szCs w:val="21"/>
                <w:highlight w:val="none"/>
              </w:rPr>
              <w:t>单位</w:t>
            </w:r>
          </w:p>
        </w:tc>
        <w:tc>
          <w:tcPr>
            <w:tcW w:w="9479"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b/>
                <w:bCs/>
                <w:color w:val="auto"/>
                <w:szCs w:val="21"/>
                <w:highlight w:val="none"/>
              </w:rPr>
              <w:t>技术参数</w:t>
            </w:r>
          </w:p>
        </w:tc>
        <w:tc>
          <w:tcPr>
            <w:tcW w:w="1289"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b/>
                <w:bCs/>
                <w:color w:val="auto"/>
                <w:szCs w:val="21"/>
                <w:highlight w:val="none"/>
              </w:rPr>
              <w:t>参考品牌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3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车脸枪机</w:t>
            </w:r>
          </w:p>
        </w:tc>
        <w:tc>
          <w:tcPr>
            <w:tcW w:w="76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7</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台</w:t>
            </w:r>
          </w:p>
        </w:tc>
        <w:tc>
          <w:tcPr>
            <w:tcW w:w="9479"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不低于以下参数：</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1.像素：≥900W；采用1"英寸全局曝光CMOS（GMOS）传感器。</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2.含镜头，镜头焦距根据现场情况确定。</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3.视频压缩标准：H.265/H.264。</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4.多种触发模式：支持线圈触发、视频触发等多种触发模式；捕获率高，纯视频识别，纯视频抓拍时可捕获无车牌，捕获率99.5%以上</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5.支持车窗人脸检测</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6.智能识别：支持车型识别、车标识别、车辆子品牌，车身颜色识别</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7.目标检测：机动车抓拍，车辆捕获率≥99%（线圈）车辆捕获率≥95%（视频），非机动抓拍，行人抓拍；违章检测：超速、压线、逆行、禁止大货车等违法行为；车辆特征检测：车牌识别、车型识别、车身颜色识别（环境光有要求）、违章检测、车辆品牌等特征检测。</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8.车型识别种类：支持客车，大货车，轿车，面包车，小货车，SUV/MPV，中型客车，皮卡等车型</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9.人脸检测：车窗人脸检测功能，支持主、副驾驶的人脸扣取和图片输出。</w:t>
            </w:r>
          </w:p>
        </w:tc>
        <w:tc>
          <w:tcPr>
            <w:tcW w:w="1289"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海康、英飞拓、天地伟业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2</w:t>
            </w:r>
          </w:p>
        </w:tc>
        <w:tc>
          <w:tcPr>
            <w:tcW w:w="13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配套立杆</w:t>
            </w:r>
          </w:p>
        </w:tc>
        <w:tc>
          <w:tcPr>
            <w:tcW w:w="76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14</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根</w:t>
            </w:r>
          </w:p>
        </w:tc>
        <w:tc>
          <w:tcPr>
            <w:tcW w:w="9479"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立杆高度：1.6米。</w:t>
            </w:r>
          </w:p>
        </w:tc>
        <w:tc>
          <w:tcPr>
            <w:tcW w:w="1289"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国产定制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1"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3</w:t>
            </w:r>
          </w:p>
        </w:tc>
        <w:tc>
          <w:tcPr>
            <w:tcW w:w="13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配套补光灯</w:t>
            </w:r>
          </w:p>
        </w:tc>
        <w:tc>
          <w:tcPr>
            <w:tcW w:w="76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7</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台</w:t>
            </w:r>
          </w:p>
        </w:tc>
        <w:tc>
          <w:tcPr>
            <w:tcW w:w="9479"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车脸枪机专用爆闪补光，白光闪光灯,覆盖1车道,220VAC,3m～4m@10m处,同时支持电平量或开关量触发。</w:t>
            </w:r>
          </w:p>
        </w:tc>
        <w:tc>
          <w:tcPr>
            <w:tcW w:w="1289"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海康、大华、宇视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1"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4</w:t>
            </w:r>
          </w:p>
        </w:tc>
        <w:tc>
          <w:tcPr>
            <w:tcW w:w="13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抱杆箱</w:t>
            </w:r>
          </w:p>
        </w:tc>
        <w:tc>
          <w:tcPr>
            <w:tcW w:w="76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7</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个</w:t>
            </w:r>
          </w:p>
        </w:tc>
        <w:tc>
          <w:tcPr>
            <w:tcW w:w="9479"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机箱尺寸500*400*250mm,箱体采用厚度1.5MM不锈钢喷塑材质，抱箍及螺丝采用304不锈钢，箱体丝印；采用棕胶密条与箱体门紧合,防雨水进入；机箱内含电气开关、插座，采用国内知名品牌；箱体防护等级为IP54。机箱采用抱杆设计。</w:t>
            </w:r>
          </w:p>
        </w:tc>
        <w:tc>
          <w:tcPr>
            <w:tcW w:w="1289"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国产定制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5</w:t>
            </w:r>
          </w:p>
        </w:tc>
        <w:tc>
          <w:tcPr>
            <w:tcW w:w="13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供电接入</w:t>
            </w:r>
          </w:p>
        </w:tc>
        <w:tc>
          <w:tcPr>
            <w:tcW w:w="76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7</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处</w:t>
            </w:r>
          </w:p>
        </w:tc>
        <w:tc>
          <w:tcPr>
            <w:tcW w:w="9479"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各监控终端取一路220V市电，引到设备箱使用，保证引入部分电源线路的漏电及防雷防护，线缆要求YJV3*2.5mm2„</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本系统前端供电，供电回路要求稳定可靠，供电电压：交流AC220V；频率范围：46HZ-60HZ；电压范围：AC170V到280V；全天候确保前端设备的供电。含管线材料及路面剖路、回填、修复、垃圾清运。</w:t>
            </w:r>
          </w:p>
        </w:tc>
        <w:tc>
          <w:tcPr>
            <w:tcW w:w="1289"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国产定制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6</w:t>
            </w:r>
          </w:p>
        </w:tc>
        <w:tc>
          <w:tcPr>
            <w:tcW w:w="13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信号避雷器</w:t>
            </w:r>
          </w:p>
        </w:tc>
        <w:tc>
          <w:tcPr>
            <w:tcW w:w="76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7</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个</w:t>
            </w:r>
          </w:p>
        </w:tc>
        <w:tc>
          <w:tcPr>
            <w:tcW w:w="9479"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RJ45接口，网络线路电涌保护，标称放电电流（L-PE：2kA，SE-PE:5kA),限制电压低≤30V，传输速率 100M（bit/s)，铝合金外壳。</w:t>
            </w:r>
          </w:p>
        </w:tc>
        <w:tc>
          <w:tcPr>
            <w:tcW w:w="1289"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国产定制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7</w:t>
            </w:r>
          </w:p>
        </w:tc>
        <w:tc>
          <w:tcPr>
            <w:tcW w:w="13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电源避雷器</w:t>
            </w:r>
          </w:p>
        </w:tc>
        <w:tc>
          <w:tcPr>
            <w:tcW w:w="76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7</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个</w:t>
            </w:r>
          </w:p>
        </w:tc>
        <w:tc>
          <w:tcPr>
            <w:tcW w:w="9479"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220VC级保护防雷器(20KA)标称放电电流：20kA；最大通流容量：40kA；保护水平：1.8Kv ；响应时间：≤25ns；保护模式：N-PEL-N，N-PEL/N-PE；防护等级：IP20；标准导轨安装。</w:t>
            </w:r>
          </w:p>
        </w:tc>
        <w:tc>
          <w:tcPr>
            <w:tcW w:w="1289"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国产定制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8</w:t>
            </w:r>
          </w:p>
        </w:tc>
        <w:tc>
          <w:tcPr>
            <w:tcW w:w="13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链路</w:t>
            </w:r>
          </w:p>
        </w:tc>
        <w:tc>
          <w:tcPr>
            <w:tcW w:w="76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7</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条/年</w:t>
            </w:r>
          </w:p>
        </w:tc>
        <w:tc>
          <w:tcPr>
            <w:tcW w:w="9479"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160/月，租赁1年，不包前端点位含光收发，包含到达公安分局地下一层机房光纤收发器。</w:t>
            </w:r>
          </w:p>
        </w:tc>
        <w:tc>
          <w:tcPr>
            <w:tcW w:w="1289"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移动、电信、联通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9</w:t>
            </w:r>
          </w:p>
        </w:tc>
        <w:tc>
          <w:tcPr>
            <w:tcW w:w="13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辅材</w:t>
            </w:r>
          </w:p>
        </w:tc>
        <w:tc>
          <w:tcPr>
            <w:tcW w:w="76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7</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套</w:t>
            </w:r>
          </w:p>
        </w:tc>
        <w:tc>
          <w:tcPr>
            <w:tcW w:w="9479"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包含每个摄像机安装的一切施工辅助材料（包括线管、网络跳线、水晶头、接地线、跳线、固定件架等）。</w:t>
            </w:r>
          </w:p>
        </w:tc>
        <w:tc>
          <w:tcPr>
            <w:tcW w:w="1289"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国产定制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10</w:t>
            </w:r>
          </w:p>
        </w:tc>
        <w:tc>
          <w:tcPr>
            <w:tcW w:w="13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标志牌</w:t>
            </w:r>
          </w:p>
        </w:tc>
        <w:tc>
          <w:tcPr>
            <w:tcW w:w="76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7</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个</w:t>
            </w:r>
          </w:p>
        </w:tc>
        <w:tc>
          <w:tcPr>
            <w:tcW w:w="9479"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标志牌材质采用铝板，暂定48CM*78CM大小，表面加反光膜，采用扣襻固定安装在监控立杆上，含相应抱箍配件。</w:t>
            </w:r>
          </w:p>
        </w:tc>
        <w:tc>
          <w:tcPr>
            <w:tcW w:w="1289"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国产定制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11</w:t>
            </w:r>
          </w:p>
        </w:tc>
        <w:tc>
          <w:tcPr>
            <w:tcW w:w="13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bCs/>
                <w:color w:val="auto"/>
                <w:szCs w:val="21"/>
                <w:highlight w:val="none"/>
              </w:rPr>
              <w:t>全结构化枪型摄像机</w:t>
            </w:r>
          </w:p>
        </w:tc>
        <w:tc>
          <w:tcPr>
            <w:tcW w:w="76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34</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台</w:t>
            </w:r>
          </w:p>
        </w:tc>
        <w:tc>
          <w:tcPr>
            <w:tcW w:w="9479"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不低于以下参数：通道1：1/1.2" Progressive Scan CMOS；通道2：1/1.8" Progressive Scan CMOS；像素：800万+400万；最大分辨率：3840×2160+2688×1520；最低照度:通道1：彩色：0.0003 Lux；黑白：0.0001 Lux ；通道2：彩色：0.0003 Lux ；黑白：0.0001 Lux ；自带补光，人脸抓拍/识别补光距离不小于15m。视频压缩标准：: H.265/H.264/MJPEG；人脸检测：支持对运动人脸进行检测、跟踪、抓拍、评分、筛选，输出最优的人脸；支持人脸去误报、快速抓拍人脸；支持人脸属性提取，支持性别、年龄、年龄段、戴眼镜、戴口罩、表情、戴帽子等属性识别，支持最多10个人脸库的管理，最多15万张人脸的导入；支持人脸瞳距20像素以上的人脸检测。</w:t>
            </w:r>
          </w:p>
          <w:p>
            <w:pPr>
              <w:pStyle w:val="63"/>
              <w:spacing w:line="240" w:lineRule="auto"/>
              <w:ind w:firstLine="0"/>
              <w:rPr>
                <w:rFonts w:hAnsi="宋体" w:cs="宋体"/>
                <w:color w:val="auto"/>
                <w:sz w:val="21"/>
                <w:szCs w:val="21"/>
                <w:highlight w:val="none"/>
              </w:rPr>
            </w:pPr>
            <w:r>
              <w:rPr>
                <w:rFonts w:hint="eastAsia" w:hAnsi="宋体" w:cs="宋体"/>
                <w:color w:val="auto"/>
                <w:sz w:val="21"/>
                <w:szCs w:val="21"/>
                <w:highlight w:val="none"/>
              </w:rPr>
              <w:t>支持上下双通道镜头，上通道内置电动变焦镜头，操作便易，变焦过程平稳；下通道定焦全彩镜头，满足低照度下的监控需求</w:t>
            </w:r>
          </w:p>
          <w:p>
            <w:pPr>
              <w:rPr>
                <w:rFonts w:ascii="宋体" w:hAnsi="宋体" w:cs="宋体"/>
                <w:color w:val="auto"/>
                <w:szCs w:val="21"/>
                <w:highlight w:val="none"/>
              </w:rPr>
            </w:pPr>
            <w:r>
              <w:rPr>
                <w:rFonts w:hint="eastAsia" w:ascii="宋体" w:hAnsi="宋体" w:cs="宋体"/>
                <w:color w:val="auto"/>
                <w:szCs w:val="21"/>
                <w:highlight w:val="none"/>
              </w:rPr>
              <w:t>透雾功能：支持；内置扬声器：支持；</w:t>
            </w:r>
          </w:p>
          <w:p>
            <w:pPr>
              <w:pStyle w:val="63"/>
              <w:spacing w:line="240" w:lineRule="auto"/>
              <w:ind w:firstLine="0"/>
              <w:rPr>
                <w:rFonts w:hAnsi="宋体" w:cs="宋体"/>
                <w:color w:val="auto"/>
                <w:sz w:val="21"/>
                <w:szCs w:val="21"/>
                <w:highlight w:val="none"/>
                <w:lang w:val="en-US"/>
              </w:rPr>
            </w:pPr>
            <w:r>
              <w:rPr>
                <w:rFonts w:hint="eastAsia" w:hAnsi="宋体" w:cs="宋体"/>
                <w:color w:val="auto"/>
                <w:sz w:val="21"/>
                <w:szCs w:val="21"/>
                <w:highlight w:val="none"/>
              </w:rPr>
              <w:t>网络协议</w:t>
            </w:r>
            <w:r>
              <w:rPr>
                <w:rFonts w:hint="eastAsia" w:hAnsi="宋体" w:cs="宋体"/>
                <w:color w:val="auto"/>
                <w:sz w:val="21"/>
                <w:szCs w:val="21"/>
                <w:highlight w:val="none"/>
                <w:lang w:val="en-US"/>
              </w:rPr>
              <w:t>：TCP/IP，ICMP，HTTP，HTTPS，FTP，DHCP，DNS，DDNS，RTP，RTSP，RTCP，PPPoE，NTP，UPnP，SMTP，SNMP，IGMP，802.1X，QoS，IPv6，UDP，Bonjour</w:t>
            </w:r>
          </w:p>
          <w:p>
            <w:pPr>
              <w:rPr>
                <w:rFonts w:ascii="宋体" w:hAnsi="宋体" w:cs="宋体"/>
                <w:color w:val="auto"/>
                <w:szCs w:val="21"/>
                <w:highlight w:val="none"/>
              </w:rPr>
            </w:pPr>
            <w:r>
              <w:rPr>
                <w:rFonts w:hint="eastAsia" w:ascii="宋体" w:hAnsi="宋体" w:cs="宋体"/>
                <w:color w:val="auto"/>
                <w:szCs w:val="21"/>
                <w:highlight w:val="none"/>
              </w:rPr>
              <w:t>网络：1个RJ4510M/100M/1000M自适应以太网口；</w:t>
            </w:r>
          </w:p>
          <w:p>
            <w:pPr>
              <w:rPr>
                <w:rFonts w:ascii="宋体" w:hAnsi="宋体" w:cs="宋体"/>
                <w:color w:val="auto"/>
                <w:szCs w:val="21"/>
                <w:highlight w:val="none"/>
              </w:rPr>
            </w:pPr>
            <w:r>
              <w:rPr>
                <w:rFonts w:hint="eastAsia" w:ascii="宋体" w:hAnsi="宋体" w:cs="宋体"/>
                <w:color w:val="auto"/>
                <w:szCs w:val="21"/>
                <w:highlight w:val="none"/>
              </w:rPr>
              <w:t>防护等级不低于IP67</w:t>
            </w:r>
          </w:p>
        </w:tc>
        <w:tc>
          <w:tcPr>
            <w:tcW w:w="1289"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海康、英飞拓、天地伟业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12</w:t>
            </w:r>
          </w:p>
        </w:tc>
        <w:tc>
          <w:tcPr>
            <w:tcW w:w="13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全结构化球型摄像机</w:t>
            </w:r>
          </w:p>
        </w:tc>
        <w:tc>
          <w:tcPr>
            <w:tcW w:w="76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4</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台</w:t>
            </w:r>
          </w:p>
        </w:tc>
        <w:tc>
          <w:tcPr>
            <w:tcW w:w="9479"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不低于以下参数：400万1/1.8"星光级CMOS AI网络摄像机；传感器类型：全景1/1.8英寸CMOS，细节1/1.8英寸CMOS；像素：全景400万，细节400万；最大分辨率：全景2560 × 1440细节2560 × 1440；最低照度：全景彩色：0.0005Lux@F1.0黑白：0.0005Lux@F1.0细节彩色：0.001Lux@F1.35黑白：0.0001Lux@F1.350Lux（红外灯开启）；补光灯距离：全景：30米；细节：200米；镜头焦距：全景4 mm细节5.9~147.5 mm；光学变倍：25倍；支持人脸人体车辆同时抓拍，人脸人体关联输出，并实现对人脸、人体、车辆结构化属性特征信息提取。支持全景路对设定区域进行布防，当检测到目标时联动特写摄像机对目标进行跟踪及报警，实现周界布防。支持细节路对设定区域进行布防，支持声光警戒：报警联动白光闪烁报警和声音报警，声音内容可选。</w:t>
            </w:r>
          </w:p>
        </w:tc>
        <w:tc>
          <w:tcPr>
            <w:tcW w:w="1289"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海康、英飞拓、天地伟业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13</w:t>
            </w:r>
          </w:p>
        </w:tc>
        <w:tc>
          <w:tcPr>
            <w:tcW w:w="13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4米立杆</w:t>
            </w:r>
          </w:p>
        </w:tc>
        <w:tc>
          <w:tcPr>
            <w:tcW w:w="76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5</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根</w:t>
            </w:r>
          </w:p>
        </w:tc>
        <w:tc>
          <w:tcPr>
            <w:tcW w:w="9479"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立杆高度3m到4.5m，八角形，上口φ100mm，下口φ160mm，管壁厚3.8mm；挑臂长根据现场情况定制，等径φ76，壁厚3mm；。立杆需贴反光膜。材料采用热轧钢板（Q235），弯曲后热镀锌，表面电喷。要求尺寸标准开料；折弯：要求均匀；焊接：平整无虚焊；打弯：成型角；热镀锌按国家标准，镀锌层厚度≥85μm，保证20年不锈蚀；喷塑：厚度0.5mm以上，色泽均匀；底部开门，用专用工具开启和关闭，防止偷盗电缆等也为维修提供便捷；密闭性优。如挑臂长度由于监控点情况有变化，根据实施时按需调整。0.8M（宽）*0.8M（宽）*1.0M（深）C25混凝土浇筑，接地电阻≤10Ω（需要根据实际情况调整），渣土清运和路面修补；基础预埋件规格（4-M22）*800MM；含防雷接地。根据现场实际需求定制手孔等，含复合井盖。</w:t>
            </w:r>
          </w:p>
        </w:tc>
        <w:tc>
          <w:tcPr>
            <w:tcW w:w="1289"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国产定制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14</w:t>
            </w:r>
          </w:p>
        </w:tc>
        <w:tc>
          <w:tcPr>
            <w:tcW w:w="13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2米抱杆</w:t>
            </w:r>
          </w:p>
        </w:tc>
        <w:tc>
          <w:tcPr>
            <w:tcW w:w="76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33</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根</w:t>
            </w:r>
          </w:p>
        </w:tc>
        <w:tc>
          <w:tcPr>
            <w:tcW w:w="9479"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采用抱箍挑杆，安装在墙上或电线杆上，横挑距离0.6-2米，直径φ76mm，壁厚3mm，热镀锌喷塑。</w:t>
            </w:r>
          </w:p>
        </w:tc>
        <w:tc>
          <w:tcPr>
            <w:tcW w:w="1289"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国产定制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4"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15</w:t>
            </w:r>
          </w:p>
        </w:tc>
        <w:tc>
          <w:tcPr>
            <w:tcW w:w="13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标志牌</w:t>
            </w:r>
          </w:p>
        </w:tc>
        <w:tc>
          <w:tcPr>
            <w:tcW w:w="76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38</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块</w:t>
            </w:r>
          </w:p>
        </w:tc>
        <w:tc>
          <w:tcPr>
            <w:tcW w:w="9479"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标志牌材质采用铝板，暂定48CM*78CM大小，表面加反光膜，采用扣襻固定安装在监控立杆上，含相应抱箍配件。</w:t>
            </w:r>
          </w:p>
        </w:tc>
        <w:tc>
          <w:tcPr>
            <w:tcW w:w="1289"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国产定制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4"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16</w:t>
            </w:r>
          </w:p>
        </w:tc>
        <w:tc>
          <w:tcPr>
            <w:tcW w:w="13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链路</w:t>
            </w:r>
          </w:p>
        </w:tc>
        <w:tc>
          <w:tcPr>
            <w:tcW w:w="76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26</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条/年</w:t>
            </w:r>
          </w:p>
        </w:tc>
        <w:tc>
          <w:tcPr>
            <w:tcW w:w="9479"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160/月，租赁1年，不包前端点位含光收发，包含到达公安分局地下一层机房光纤收发器。</w:t>
            </w:r>
          </w:p>
        </w:tc>
        <w:tc>
          <w:tcPr>
            <w:tcW w:w="1289"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移动、电信、联通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4"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17</w:t>
            </w:r>
          </w:p>
        </w:tc>
        <w:tc>
          <w:tcPr>
            <w:tcW w:w="13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交换机</w:t>
            </w:r>
          </w:p>
        </w:tc>
        <w:tc>
          <w:tcPr>
            <w:tcW w:w="76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12</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个</w:t>
            </w:r>
          </w:p>
        </w:tc>
        <w:tc>
          <w:tcPr>
            <w:tcW w:w="9479"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8口千兆以太网交换机，支持传输速率10Mbps/100Mbps/1000Mbps。</w:t>
            </w:r>
          </w:p>
        </w:tc>
        <w:tc>
          <w:tcPr>
            <w:tcW w:w="1289"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华为、华三、中兴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4"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18</w:t>
            </w:r>
          </w:p>
        </w:tc>
        <w:tc>
          <w:tcPr>
            <w:tcW w:w="13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辅材</w:t>
            </w:r>
          </w:p>
        </w:tc>
        <w:tc>
          <w:tcPr>
            <w:tcW w:w="76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38</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套</w:t>
            </w:r>
          </w:p>
        </w:tc>
        <w:tc>
          <w:tcPr>
            <w:tcW w:w="9479"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包含每个摄像机安装的一切施工辅助材料（包括线管、网络跳线、水晶头、接地线、跳线、固定件架等）。</w:t>
            </w:r>
          </w:p>
        </w:tc>
        <w:tc>
          <w:tcPr>
            <w:tcW w:w="1289"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国产定制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19</w:t>
            </w:r>
          </w:p>
        </w:tc>
        <w:tc>
          <w:tcPr>
            <w:tcW w:w="13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供电接入</w:t>
            </w:r>
          </w:p>
        </w:tc>
        <w:tc>
          <w:tcPr>
            <w:tcW w:w="76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26</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处</w:t>
            </w:r>
          </w:p>
        </w:tc>
        <w:tc>
          <w:tcPr>
            <w:tcW w:w="9479"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各监控终端取一路220V市电，引到设备箱使用，保证引入部分电源线路的漏电及防雷防护，线缆要求YJV3*2.5mm2„</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本系统前端供电，供电回路要求稳定可靠，供电电压：交流AC220V；频率范围：46HZ-60HZ；电压范围：AC170V到280V；全天候确保前端设备的供电。含管线材料及路面剖路、回填、修复、垃圾清运。</w:t>
            </w:r>
          </w:p>
        </w:tc>
        <w:tc>
          <w:tcPr>
            <w:tcW w:w="1289"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国产定制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20</w:t>
            </w:r>
          </w:p>
        </w:tc>
        <w:tc>
          <w:tcPr>
            <w:tcW w:w="13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信号避雷器</w:t>
            </w:r>
          </w:p>
        </w:tc>
        <w:tc>
          <w:tcPr>
            <w:tcW w:w="76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38</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个</w:t>
            </w:r>
          </w:p>
        </w:tc>
        <w:tc>
          <w:tcPr>
            <w:tcW w:w="9479"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RJ45 接口，网络线路电涌保护，标称放电电流（L-PE：2kA，SE-PE:5kA),限制电压低≤30V，传输速率 100M（bit/s)，铝合金外壳。</w:t>
            </w:r>
          </w:p>
        </w:tc>
        <w:tc>
          <w:tcPr>
            <w:tcW w:w="1289"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国产定制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21</w:t>
            </w:r>
          </w:p>
        </w:tc>
        <w:tc>
          <w:tcPr>
            <w:tcW w:w="13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电源避雷器</w:t>
            </w:r>
          </w:p>
        </w:tc>
        <w:tc>
          <w:tcPr>
            <w:tcW w:w="76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38</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个</w:t>
            </w:r>
          </w:p>
        </w:tc>
        <w:tc>
          <w:tcPr>
            <w:tcW w:w="9479"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220V C 级保护防雷器(20KA)标称放电电流：20kA；最大通流容量：40kA；保护水平：1.8Kv ；响应时间：≤25ns；保护模式：N-PEL-N，N-PEL/N-PE；防护等级：IP20；标准导轨安装。</w:t>
            </w:r>
          </w:p>
        </w:tc>
        <w:tc>
          <w:tcPr>
            <w:tcW w:w="1289"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国产定制</w:t>
            </w:r>
          </w:p>
        </w:tc>
      </w:tr>
    </w:tbl>
    <w:p>
      <w:pPr>
        <w:rPr>
          <w:rFonts w:ascii="仿宋_GB2312" w:hAnsi="仿宋_GB2312" w:eastAsia="仿宋_GB2312" w:cs="仿宋_GB2312"/>
          <w:b/>
          <w:bCs/>
          <w:color w:val="auto"/>
          <w:kern w:val="0"/>
          <w:sz w:val="24"/>
          <w:highlight w:val="none"/>
          <w:lang w:bidi="ar"/>
        </w:rPr>
      </w:pPr>
    </w:p>
    <w:p>
      <w:pPr>
        <w:rPr>
          <w:rFonts w:ascii="宋体" w:hAnsi="宋体" w:cs="宋体"/>
          <w:color w:val="auto"/>
          <w:sz w:val="24"/>
          <w:highlight w:val="none"/>
        </w:rPr>
      </w:pPr>
      <w:r>
        <w:rPr>
          <w:rFonts w:hint="eastAsia" w:ascii="宋体" w:hAnsi="宋体" w:cs="宋体"/>
          <w:b/>
          <w:bCs/>
          <w:color w:val="auto"/>
          <w:kern w:val="0"/>
          <w:sz w:val="24"/>
          <w:highlight w:val="none"/>
          <w:lang w:bidi="ar"/>
        </w:rPr>
        <w:t>2.重要感知点位1、2</w:t>
      </w:r>
    </w:p>
    <w:tbl>
      <w:tblPr>
        <w:tblStyle w:val="65"/>
        <w:tblW w:w="505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6"/>
        <w:gridCol w:w="1365"/>
        <w:gridCol w:w="760"/>
        <w:gridCol w:w="743"/>
        <w:gridCol w:w="9485"/>
        <w:gridCol w:w="13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b/>
                <w:bCs/>
                <w:color w:val="auto"/>
                <w:kern w:val="0"/>
                <w:szCs w:val="21"/>
                <w:highlight w:val="none"/>
                <w:lang w:bidi="ar"/>
              </w:rPr>
              <w:t>序号</w:t>
            </w:r>
          </w:p>
        </w:tc>
        <w:tc>
          <w:tcPr>
            <w:tcW w:w="13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b/>
                <w:bCs/>
                <w:color w:val="auto"/>
                <w:szCs w:val="21"/>
                <w:highlight w:val="none"/>
              </w:rPr>
              <w:t>货物名称</w:t>
            </w:r>
          </w:p>
        </w:tc>
        <w:tc>
          <w:tcPr>
            <w:tcW w:w="76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b/>
                <w:bCs/>
                <w:color w:val="auto"/>
                <w:szCs w:val="21"/>
                <w:highlight w:val="none"/>
              </w:rPr>
              <w:t>数量</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b/>
                <w:bCs/>
                <w:color w:val="auto"/>
                <w:szCs w:val="21"/>
                <w:highlight w:val="none"/>
              </w:rPr>
              <w:t>单位</w:t>
            </w:r>
          </w:p>
        </w:tc>
        <w:tc>
          <w:tcPr>
            <w:tcW w:w="948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b/>
                <w:bCs/>
                <w:color w:val="auto"/>
                <w:szCs w:val="21"/>
                <w:highlight w:val="none"/>
              </w:rPr>
              <w:t>技术参数</w:t>
            </w:r>
          </w:p>
        </w:tc>
        <w:tc>
          <w:tcPr>
            <w:tcW w:w="1317"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b/>
                <w:bCs/>
                <w:color w:val="auto"/>
                <w:szCs w:val="21"/>
                <w:highlight w:val="none"/>
              </w:rPr>
              <w:t>参考品牌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全结构化球型摄像机</w:t>
            </w:r>
          </w:p>
        </w:tc>
        <w:tc>
          <w:tcPr>
            <w:tcW w:w="76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86</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台</w:t>
            </w:r>
          </w:p>
        </w:tc>
        <w:tc>
          <w:tcPr>
            <w:tcW w:w="948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不低于以下参数：400万1/1.8"星光级CMOS AI网络摄像机；传感器类型：全景1/1.8英寸CMOS，细节1/1.8英寸CMOS；像素：全景400万，细节400万；最大分辨率：全景2560 × 1440细节2560 × 1440；最低照度：全景彩色：0.0005Lux@F1.0黑白：0.0005Lux@F1.0细节彩色：0.001Lux@F1.35黑白：0.0001Lux@F1.350Lux（红外灯开启）；补光灯距离：全景：30米；细节：200米；镜头焦距：全景4 mm细节5.9~147.5 mm；光学变倍：25倍；支持人脸人体车辆同时抓拍，人脸人体关联输出，并实现对人脸、人体、车辆结构化属性特征信息提取。支持全景路对设定区域进行布防，当检测到目标时联动特写摄像机对目标进行跟踪及报警，实现周界布防。支持细节路对设定区域进行布防，支持声光警戒：报警联动白光闪烁报警和声音报警，声音内容可选。</w:t>
            </w:r>
          </w:p>
        </w:tc>
        <w:tc>
          <w:tcPr>
            <w:tcW w:w="1317"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海康、英飞拓、天地伟业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2</w:t>
            </w:r>
          </w:p>
        </w:tc>
        <w:tc>
          <w:tcPr>
            <w:tcW w:w="13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全结构化枪型摄像机</w:t>
            </w:r>
          </w:p>
        </w:tc>
        <w:tc>
          <w:tcPr>
            <w:tcW w:w="76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116</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台</w:t>
            </w:r>
          </w:p>
        </w:tc>
        <w:tc>
          <w:tcPr>
            <w:tcW w:w="948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不低于以下参数：通道1：1/1.2" Progressive Scan CMOS；通道2：1/1.8" Progressive Scan CMOS；像素：800万+400万；最大分辨率：3840×2160+2688×1520；最低照度:通道1：彩色：0.0003 Lux；黑白：0.0001 Lux ；通道2：彩色：0.0003 Lux ；黑白：0.0001 Lux ；自带补光，人脸抓拍/识别补光距离不小于15m。视频压缩标准：: H.265/H.264/MJPEG；人脸检测：支持对运动人脸进行检测、跟踪、抓拍、评分、筛选，输出最优的人脸；支持人脸去误报、快速抓拍人脸；支持人脸属性提取，支持性别、年龄、年龄段、戴眼镜、戴口罩、表情、戴帽子等属性识别，支持最多10个人脸库的管理，最多15万张人脸的导入；支持人脸瞳距20像素以上的人脸检测。</w:t>
            </w:r>
          </w:p>
          <w:p>
            <w:pPr>
              <w:pStyle w:val="63"/>
              <w:spacing w:line="240" w:lineRule="auto"/>
              <w:ind w:firstLine="0"/>
              <w:rPr>
                <w:rFonts w:hAnsi="宋体" w:cs="宋体"/>
                <w:color w:val="auto"/>
                <w:sz w:val="21"/>
                <w:szCs w:val="21"/>
                <w:highlight w:val="none"/>
              </w:rPr>
            </w:pPr>
            <w:r>
              <w:rPr>
                <w:rFonts w:hint="eastAsia" w:hAnsi="宋体" w:cs="宋体"/>
                <w:color w:val="auto"/>
                <w:sz w:val="21"/>
                <w:szCs w:val="21"/>
                <w:highlight w:val="none"/>
              </w:rPr>
              <w:t>支持上下双通道镜头，上通道内置电动变焦镜头，操作便易，变焦过程平稳；下通道定焦全彩镜头，满足低照度下的监控需求</w:t>
            </w:r>
          </w:p>
          <w:p>
            <w:pPr>
              <w:rPr>
                <w:rFonts w:ascii="宋体" w:hAnsi="宋体" w:cs="宋体"/>
                <w:color w:val="auto"/>
                <w:szCs w:val="21"/>
                <w:highlight w:val="none"/>
              </w:rPr>
            </w:pPr>
            <w:r>
              <w:rPr>
                <w:rFonts w:hint="eastAsia" w:ascii="宋体" w:hAnsi="宋体" w:cs="宋体"/>
                <w:color w:val="auto"/>
                <w:szCs w:val="21"/>
                <w:highlight w:val="none"/>
              </w:rPr>
              <w:t>透雾功能：支持；内置扬声器：支持；</w:t>
            </w:r>
          </w:p>
          <w:p>
            <w:pPr>
              <w:pStyle w:val="63"/>
              <w:spacing w:line="240" w:lineRule="auto"/>
              <w:ind w:firstLine="0"/>
              <w:rPr>
                <w:rFonts w:hAnsi="宋体" w:cs="宋体"/>
                <w:color w:val="auto"/>
                <w:sz w:val="21"/>
                <w:szCs w:val="21"/>
                <w:highlight w:val="none"/>
                <w:lang w:val="en-US"/>
              </w:rPr>
            </w:pPr>
            <w:r>
              <w:rPr>
                <w:rFonts w:hint="eastAsia" w:hAnsi="宋体" w:cs="宋体"/>
                <w:color w:val="auto"/>
                <w:sz w:val="21"/>
                <w:szCs w:val="21"/>
                <w:highlight w:val="none"/>
              </w:rPr>
              <w:t>网络协议</w:t>
            </w:r>
            <w:r>
              <w:rPr>
                <w:rFonts w:hint="eastAsia" w:hAnsi="宋体" w:cs="宋体"/>
                <w:color w:val="auto"/>
                <w:sz w:val="21"/>
                <w:szCs w:val="21"/>
                <w:highlight w:val="none"/>
                <w:lang w:val="en-US"/>
              </w:rPr>
              <w:t>：TCP/IP，ICMP，HTTP，HTTPS，FTP，DHCP，DNS，DDNS，RTP，RTSP，RTCP，PPPoE，NTP，UPnP，SMTP，SNMP，IGMP，802.1X，QoS，IPv6，UDP，Bonjour</w:t>
            </w:r>
          </w:p>
          <w:p>
            <w:pPr>
              <w:rPr>
                <w:rFonts w:ascii="宋体" w:hAnsi="宋体" w:cs="宋体"/>
                <w:color w:val="auto"/>
                <w:szCs w:val="21"/>
                <w:highlight w:val="none"/>
              </w:rPr>
            </w:pPr>
            <w:r>
              <w:rPr>
                <w:rFonts w:hint="eastAsia" w:ascii="宋体" w:hAnsi="宋体" w:cs="宋体"/>
                <w:color w:val="auto"/>
                <w:szCs w:val="21"/>
                <w:highlight w:val="none"/>
              </w:rPr>
              <w:t>网络：1个RJ4510M/100M/1000M自适应以太网口；</w:t>
            </w:r>
          </w:p>
          <w:p>
            <w:pP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防护等级不低于IP67。</w:t>
            </w:r>
          </w:p>
        </w:tc>
        <w:tc>
          <w:tcPr>
            <w:tcW w:w="1317"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海康、英飞拓、天地伟业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13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4米立杆</w:t>
            </w:r>
          </w:p>
        </w:tc>
        <w:tc>
          <w:tcPr>
            <w:tcW w:w="76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79</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根</w:t>
            </w:r>
          </w:p>
        </w:tc>
        <w:tc>
          <w:tcPr>
            <w:tcW w:w="948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立杆高度3m到4.5m，八角形，上口φ100mm，下口φ160mm，管壁厚3.8mm；挑臂长根据现场情况定制，等径φ76，壁厚3mm；。立杆需贴反光膜。材料采用热轧钢板（Q235），弯曲后热镀锌，表面电喷。要求尺寸标准开料；折弯：要求均匀；焊接：平整无虚焊；打弯：成型角；热镀锌按国家标准，镀锌层厚度≥85μm，保证20年不锈蚀；喷塑：厚度0.5mm以上，色泽均匀；底部开门，用专用工具开启和关闭，防止偷盗电缆等也为维修提供便捷；密闭性优。如挑臂长度由于监控点情况有变化，根据实施时按需调整。0.8M（宽）*0.8M（宽）*1.0M（深）C25混凝土浇筑，接地电阻≤10Ω（需要根据实际情况调整），渣土清运和路面修补；基础预埋件规格（4-M22）*800MM；含防雷接地。根据现场实际需求定制手孔等，含复合井盖。</w:t>
            </w:r>
          </w:p>
        </w:tc>
        <w:tc>
          <w:tcPr>
            <w:tcW w:w="1317"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国产定制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4</w:t>
            </w:r>
          </w:p>
        </w:tc>
        <w:tc>
          <w:tcPr>
            <w:tcW w:w="13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2米抱杆</w:t>
            </w:r>
          </w:p>
        </w:tc>
        <w:tc>
          <w:tcPr>
            <w:tcW w:w="76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119</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根</w:t>
            </w:r>
          </w:p>
        </w:tc>
        <w:tc>
          <w:tcPr>
            <w:tcW w:w="948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采用抱箍挑杆，安装在墙上或电线杆上，横挑距离0.6-2米，直径φ76mm，壁厚3mm，热镀锌喷塑。</w:t>
            </w:r>
          </w:p>
        </w:tc>
        <w:tc>
          <w:tcPr>
            <w:tcW w:w="1317"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国产定制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w:t>
            </w:r>
          </w:p>
        </w:tc>
        <w:tc>
          <w:tcPr>
            <w:tcW w:w="13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6米立杆</w:t>
            </w:r>
          </w:p>
        </w:tc>
        <w:tc>
          <w:tcPr>
            <w:tcW w:w="76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4</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根</w:t>
            </w:r>
          </w:p>
        </w:tc>
        <w:tc>
          <w:tcPr>
            <w:tcW w:w="948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L形杆，6米-6.5米，挑3-4米，立杆壁厚6MM，挑臂壁厚4MM，材料采用热轧钢板（Q235），表面热镀锌喷塑；立杆底板采用420*420MM正方形或直径Ф420MM圆形钢板，厚度20MM，带加强筋，配套地笼、螺丝及垫片、法兰底板等。1M（宽）*1M（宽）*1.5M（深）C25混凝土浇筑，接地电阻≤10Ω（需要根据实际情况调整），渣土清运和路面修补；基础预埋件规格（6-M22）*1400MM；含防雷接地。根据现场实际需求定制手孔井，含复合井盖。</w:t>
            </w:r>
          </w:p>
        </w:tc>
        <w:tc>
          <w:tcPr>
            <w:tcW w:w="1317"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国产定制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6</w:t>
            </w:r>
          </w:p>
        </w:tc>
        <w:tc>
          <w:tcPr>
            <w:tcW w:w="13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抱杆箱</w:t>
            </w:r>
          </w:p>
        </w:tc>
        <w:tc>
          <w:tcPr>
            <w:tcW w:w="76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87</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个</w:t>
            </w:r>
          </w:p>
        </w:tc>
        <w:tc>
          <w:tcPr>
            <w:tcW w:w="948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机箱尺寸500*400*250mm,箱体采用厚度1.5MM不锈钢喷塑材质，抱箍及螺丝采用304不锈钢，箱体丝印；采用棕胶密条与箱体门紧合,防雨水进入；机箱内含电气开关、插座，采用国内知名品牌；箱体防护等级为IP54。机箱采用抱杆设计，抱杆离地距离2.5米。</w:t>
            </w:r>
          </w:p>
        </w:tc>
        <w:tc>
          <w:tcPr>
            <w:tcW w:w="1317"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国产定制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w:t>
            </w:r>
          </w:p>
        </w:tc>
        <w:tc>
          <w:tcPr>
            <w:tcW w:w="13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标志牌</w:t>
            </w:r>
          </w:p>
        </w:tc>
        <w:tc>
          <w:tcPr>
            <w:tcW w:w="76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202</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块</w:t>
            </w:r>
          </w:p>
        </w:tc>
        <w:tc>
          <w:tcPr>
            <w:tcW w:w="948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标志牌材质采用铝板，暂定48CM*78CM大小，表面加反光膜，采用扣襻固定安装在监控立杆上，含相应抱箍配件。</w:t>
            </w:r>
          </w:p>
        </w:tc>
        <w:tc>
          <w:tcPr>
            <w:tcW w:w="1317"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国产定制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8</w:t>
            </w:r>
          </w:p>
        </w:tc>
        <w:tc>
          <w:tcPr>
            <w:tcW w:w="13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供电接入</w:t>
            </w:r>
          </w:p>
        </w:tc>
        <w:tc>
          <w:tcPr>
            <w:tcW w:w="76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87</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处</w:t>
            </w:r>
          </w:p>
        </w:tc>
        <w:tc>
          <w:tcPr>
            <w:tcW w:w="948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各监控终端取一路220V市电，引到设备箱使用，保证引入部分电源线路的漏电及防雷防护，线缆要求YJV3*2.5mm2„</w:t>
            </w:r>
          </w:p>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本系统前端供电，供电回路要求稳定可靠，供电电压：交流AC220V；频率范围：46HZ-60HZ；电压范围：AC170V到280V；全天候确保前端设备的供电。含管线材料及路面剖路、回填、修复、垃圾清运。</w:t>
            </w:r>
          </w:p>
        </w:tc>
        <w:tc>
          <w:tcPr>
            <w:tcW w:w="1317"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国产定制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9</w:t>
            </w:r>
          </w:p>
        </w:tc>
        <w:tc>
          <w:tcPr>
            <w:tcW w:w="13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信号避雷器</w:t>
            </w:r>
          </w:p>
        </w:tc>
        <w:tc>
          <w:tcPr>
            <w:tcW w:w="76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202</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个</w:t>
            </w:r>
          </w:p>
        </w:tc>
        <w:tc>
          <w:tcPr>
            <w:tcW w:w="948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RJ45 接口，网络线路电涌保护，标称放电电流（L-PE：2kA，SE-PE:5kA),限制电压低≤30V，传输速率 100M（bit/s)，铝合金外壳。</w:t>
            </w:r>
          </w:p>
        </w:tc>
        <w:tc>
          <w:tcPr>
            <w:tcW w:w="1317"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国产定制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10</w:t>
            </w:r>
          </w:p>
        </w:tc>
        <w:tc>
          <w:tcPr>
            <w:tcW w:w="13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电源避雷器</w:t>
            </w:r>
          </w:p>
        </w:tc>
        <w:tc>
          <w:tcPr>
            <w:tcW w:w="76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202</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个</w:t>
            </w:r>
          </w:p>
        </w:tc>
        <w:tc>
          <w:tcPr>
            <w:tcW w:w="948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220V C 级保护防雷器(20KA)标称放电电流：20kA；最大通流容量：40kA；保护水平：1.8Kv ；响应时间：≤25ns；保护模式：N-PEL-N，N-PEL/N-PE；防护等级：IP20；标准导轨安装。</w:t>
            </w:r>
          </w:p>
        </w:tc>
        <w:tc>
          <w:tcPr>
            <w:tcW w:w="1317"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国产定制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9"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11</w:t>
            </w:r>
          </w:p>
        </w:tc>
        <w:tc>
          <w:tcPr>
            <w:tcW w:w="13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链路</w:t>
            </w:r>
          </w:p>
        </w:tc>
        <w:tc>
          <w:tcPr>
            <w:tcW w:w="76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87</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年/根</w:t>
            </w:r>
          </w:p>
        </w:tc>
        <w:tc>
          <w:tcPr>
            <w:tcW w:w="948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160/月，租赁1年，不包前端点位含光收发，包含到达公安分局地下一层机房光纤收发器。</w:t>
            </w:r>
          </w:p>
        </w:tc>
        <w:tc>
          <w:tcPr>
            <w:tcW w:w="1317"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移动、电信、联通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9"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12</w:t>
            </w:r>
          </w:p>
        </w:tc>
        <w:tc>
          <w:tcPr>
            <w:tcW w:w="13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交换机</w:t>
            </w:r>
          </w:p>
        </w:tc>
        <w:tc>
          <w:tcPr>
            <w:tcW w:w="76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115</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个</w:t>
            </w:r>
          </w:p>
        </w:tc>
        <w:tc>
          <w:tcPr>
            <w:tcW w:w="948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8口千兆以太网交换机，支持传输速率10Mbps/100Mbps/1000Mbps。</w:t>
            </w:r>
          </w:p>
        </w:tc>
        <w:tc>
          <w:tcPr>
            <w:tcW w:w="1317"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华为、华三、中兴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9"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13</w:t>
            </w:r>
          </w:p>
        </w:tc>
        <w:tc>
          <w:tcPr>
            <w:tcW w:w="13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辅材</w:t>
            </w:r>
          </w:p>
        </w:tc>
        <w:tc>
          <w:tcPr>
            <w:tcW w:w="76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202</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套</w:t>
            </w:r>
          </w:p>
        </w:tc>
        <w:tc>
          <w:tcPr>
            <w:tcW w:w="948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包含每个摄像机安装的一切施工辅助材料（包括线管、网络跳线、水晶头、接地线、跳线、固定件架等）。</w:t>
            </w:r>
          </w:p>
        </w:tc>
        <w:tc>
          <w:tcPr>
            <w:tcW w:w="1317"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国产定制</w:t>
            </w:r>
          </w:p>
        </w:tc>
      </w:tr>
    </w:tbl>
    <w:p>
      <w:pPr>
        <w:pStyle w:val="63"/>
        <w:rPr>
          <w:rFonts w:hAnsi="宋体" w:cs="宋体"/>
          <w:color w:val="auto"/>
          <w:highlight w:val="none"/>
          <w:lang w:val="en-US"/>
        </w:rPr>
      </w:pPr>
      <w:r>
        <w:rPr>
          <w:rFonts w:hint="eastAsia" w:hAnsi="宋体" w:cs="宋体"/>
          <w:b/>
          <w:bCs/>
          <w:color w:val="auto"/>
          <w:kern w:val="0"/>
          <w:szCs w:val="24"/>
          <w:highlight w:val="none"/>
          <w:lang w:bidi="ar"/>
        </w:rPr>
        <w:t>3.重要感知点位3</w:t>
      </w:r>
    </w:p>
    <w:tbl>
      <w:tblPr>
        <w:tblStyle w:val="65"/>
        <w:tblW w:w="504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6"/>
        <w:gridCol w:w="1365"/>
        <w:gridCol w:w="760"/>
        <w:gridCol w:w="743"/>
        <w:gridCol w:w="9491"/>
        <w:gridCol w:w="12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b/>
                <w:bCs/>
                <w:color w:val="auto"/>
                <w:kern w:val="0"/>
                <w:szCs w:val="21"/>
                <w:highlight w:val="none"/>
                <w:lang w:bidi="ar"/>
              </w:rPr>
              <w:t>序号</w:t>
            </w:r>
          </w:p>
        </w:tc>
        <w:tc>
          <w:tcPr>
            <w:tcW w:w="13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b/>
                <w:bCs/>
                <w:color w:val="auto"/>
                <w:szCs w:val="21"/>
                <w:highlight w:val="none"/>
              </w:rPr>
              <w:t>货物名称</w:t>
            </w:r>
          </w:p>
        </w:tc>
        <w:tc>
          <w:tcPr>
            <w:tcW w:w="76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b/>
                <w:bCs/>
                <w:color w:val="auto"/>
                <w:szCs w:val="21"/>
                <w:highlight w:val="none"/>
              </w:rPr>
              <w:t>数量</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b/>
                <w:bCs/>
                <w:color w:val="auto"/>
                <w:szCs w:val="21"/>
                <w:highlight w:val="none"/>
              </w:rPr>
              <w:t>单位</w:t>
            </w:r>
          </w:p>
        </w:tc>
        <w:tc>
          <w:tcPr>
            <w:tcW w:w="9491"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b/>
                <w:bCs/>
                <w:color w:val="auto"/>
                <w:szCs w:val="21"/>
                <w:highlight w:val="none"/>
              </w:rPr>
              <w:t>技术参数</w:t>
            </w:r>
          </w:p>
        </w:tc>
        <w:tc>
          <w:tcPr>
            <w:tcW w:w="1271"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b/>
                <w:bCs/>
                <w:color w:val="auto"/>
                <w:szCs w:val="21"/>
                <w:highlight w:val="none"/>
              </w:rPr>
              <w:t>参考品牌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13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全结构化枪型摄像机</w:t>
            </w:r>
          </w:p>
        </w:tc>
        <w:tc>
          <w:tcPr>
            <w:tcW w:w="76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34</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台</w:t>
            </w:r>
          </w:p>
        </w:tc>
        <w:tc>
          <w:tcPr>
            <w:tcW w:w="9491"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不低于以下参数：通道1：1/1.2" Progressive Scan CMOS；通道2：1/1.8" Progressive Scan CMOS；像素：800万+400万；最大分辨率：3840×2160+2688×1520；最低照度:通道1：彩色：0.0003 Lux；黑白：0.0001 Lux ；通道2：彩色：0.0003 Lux ；黑白：0.0001 Lux ；自带补光，人脸抓拍/识别补光距离不小于15m。视频压缩标准：: H.265/H.264/MJPEG；人脸检测：支持对运动人脸进行检测、跟踪、抓拍、评分、筛选，输出最优的人脸；支持人脸去误报、快速抓拍人脸；支持人脸属性提取，支持性别、年龄、年龄段、戴眼镜、戴口罩、表情、戴帽子等属性识别，支持最多10个人脸库的管理，最多15万张人脸的导入；支持人脸瞳距20像素以上的人脸检测。</w:t>
            </w:r>
          </w:p>
          <w:p>
            <w:pPr>
              <w:pStyle w:val="63"/>
              <w:spacing w:line="240" w:lineRule="auto"/>
              <w:ind w:firstLine="0"/>
              <w:rPr>
                <w:rFonts w:hAnsi="宋体" w:cs="宋体"/>
                <w:color w:val="auto"/>
                <w:sz w:val="21"/>
                <w:szCs w:val="21"/>
                <w:highlight w:val="none"/>
              </w:rPr>
            </w:pPr>
            <w:r>
              <w:rPr>
                <w:rFonts w:hint="eastAsia" w:hAnsi="宋体" w:cs="宋体"/>
                <w:color w:val="auto"/>
                <w:sz w:val="21"/>
                <w:szCs w:val="21"/>
                <w:highlight w:val="none"/>
              </w:rPr>
              <w:t>支持上下双通道镜头，上通道内置电动变焦镜头，操作便易，变焦过程平稳；下通道定焦全彩镜头，满足低照度下的监控需求</w:t>
            </w:r>
          </w:p>
          <w:p>
            <w:pPr>
              <w:rPr>
                <w:rFonts w:ascii="宋体" w:hAnsi="宋体" w:cs="宋体"/>
                <w:color w:val="auto"/>
                <w:szCs w:val="21"/>
                <w:highlight w:val="none"/>
              </w:rPr>
            </w:pPr>
            <w:r>
              <w:rPr>
                <w:rFonts w:hint="eastAsia" w:ascii="宋体" w:hAnsi="宋体" w:cs="宋体"/>
                <w:color w:val="auto"/>
                <w:szCs w:val="21"/>
                <w:highlight w:val="none"/>
              </w:rPr>
              <w:t>透雾功能：支持；内置扬声器：支持；</w:t>
            </w:r>
          </w:p>
          <w:p>
            <w:pPr>
              <w:pStyle w:val="63"/>
              <w:spacing w:line="240" w:lineRule="auto"/>
              <w:ind w:firstLine="0"/>
              <w:rPr>
                <w:rFonts w:hAnsi="宋体" w:cs="宋体"/>
                <w:color w:val="auto"/>
                <w:sz w:val="21"/>
                <w:szCs w:val="21"/>
                <w:highlight w:val="none"/>
                <w:lang w:val="en-US"/>
              </w:rPr>
            </w:pPr>
            <w:r>
              <w:rPr>
                <w:rFonts w:hint="eastAsia" w:hAnsi="宋体" w:cs="宋体"/>
                <w:color w:val="auto"/>
                <w:sz w:val="21"/>
                <w:szCs w:val="21"/>
                <w:highlight w:val="none"/>
              </w:rPr>
              <w:t>网络协议</w:t>
            </w:r>
            <w:r>
              <w:rPr>
                <w:rFonts w:hint="eastAsia" w:hAnsi="宋体" w:cs="宋体"/>
                <w:color w:val="auto"/>
                <w:sz w:val="21"/>
                <w:szCs w:val="21"/>
                <w:highlight w:val="none"/>
                <w:lang w:val="en-US"/>
              </w:rPr>
              <w:t>：TCP/IP，ICMP，HTTP，HTTPS，FTP，DHCP，DNS，DDNS，RTP，RTSP，RTCP，PPPoE，NTP，UPnP，SMTP，SNMP，IGMP，802.1X，QoS，IPv6，UDP，Bonjour</w:t>
            </w:r>
          </w:p>
          <w:p>
            <w:pPr>
              <w:rPr>
                <w:rFonts w:ascii="宋体" w:hAnsi="宋体" w:cs="宋体"/>
                <w:color w:val="auto"/>
                <w:szCs w:val="21"/>
                <w:highlight w:val="none"/>
              </w:rPr>
            </w:pPr>
            <w:r>
              <w:rPr>
                <w:rFonts w:hint="eastAsia" w:ascii="宋体" w:hAnsi="宋体" w:cs="宋体"/>
                <w:color w:val="auto"/>
                <w:szCs w:val="21"/>
                <w:highlight w:val="none"/>
              </w:rPr>
              <w:t>网络：1个RJ4510M/100M/1000M自适应以太网口；</w:t>
            </w:r>
          </w:p>
          <w:p>
            <w:pPr>
              <w:rPr>
                <w:rFonts w:ascii="宋体" w:hAnsi="宋体" w:cs="宋体"/>
                <w:color w:val="auto"/>
                <w:szCs w:val="21"/>
                <w:highlight w:val="none"/>
              </w:rPr>
            </w:pPr>
            <w:r>
              <w:rPr>
                <w:rFonts w:hint="eastAsia" w:ascii="宋体" w:hAnsi="宋体" w:cs="宋体"/>
                <w:color w:val="auto"/>
                <w:szCs w:val="21"/>
                <w:highlight w:val="none"/>
              </w:rPr>
              <w:t>防护等级不低于IP67。</w:t>
            </w:r>
          </w:p>
        </w:tc>
        <w:tc>
          <w:tcPr>
            <w:tcW w:w="1271"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海康、英飞拓、天地伟业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2</w:t>
            </w:r>
          </w:p>
        </w:tc>
        <w:tc>
          <w:tcPr>
            <w:tcW w:w="13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全结构化球型摄像机</w:t>
            </w:r>
          </w:p>
        </w:tc>
        <w:tc>
          <w:tcPr>
            <w:tcW w:w="76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4</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台</w:t>
            </w:r>
          </w:p>
        </w:tc>
        <w:tc>
          <w:tcPr>
            <w:tcW w:w="9491"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不低于以下参数：400万1/1.8"星光级CMOS AI网络摄像机；传感器类型：全景1/1.8英寸CMOS，细节1/1.8英寸CMOS；像素：全景400万，细节400万；最大分辨率：全景2560 × 1440细节2560 × 1440；最低照度：全景彩色：0.0005Lux@F1.0黑白：0.0005Lux@F1.0细节彩色：0.001Lux@F1.35黑白：0.0001Lux@F1.350Lux（红外灯开启）；补光灯距离：全景：30米；细节：200米；镜头焦距：全景4 mm细节5.9~147.5 mm；光学变倍：25倍；支持人脸人体车辆同时抓拍，人脸人体关联输出，并实现对人脸、人体、车辆结构化属性特征信息提取。支持全景路对设定区域进行布防，当检测到目标时联动特写摄像机对目标进行跟踪及报警，实现周界布防。支持细节路对设定区域进行布防，支持声光警戒：报警联动白光闪烁报警和声音报警，声音内容可选。</w:t>
            </w:r>
          </w:p>
        </w:tc>
        <w:tc>
          <w:tcPr>
            <w:tcW w:w="1271"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海康、英飞拓、天地伟业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7"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3</w:t>
            </w:r>
          </w:p>
        </w:tc>
        <w:tc>
          <w:tcPr>
            <w:tcW w:w="13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4米立杆</w:t>
            </w:r>
          </w:p>
        </w:tc>
        <w:tc>
          <w:tcPr>
            <w:tcW w:w="76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5</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根</w:t>
            </w:r>
          </w:p>
        </w:tc>
        <w:tc>
          <w:tcPr>
            <w:tcW w:w="9491"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立杆高度3m到4.5m，八角形，上口φ100mm，下口φ160mm，管壁厚3.8mm；挑臂长根据现场情况定制，等径φ76，壁厚3mm；。立杆需贴反光膜。材料采用热轧钢板（Q235），弯曲后热镀锌，表面电喷。要求尺寸标准开料；折弯：要求均匀；焊接：平整无虚焊；打弯：成型角；热镀锌按国家标准，镀锌层厚度≥85μm，保证20年不锈蚀；喷塑：厚度0.5mm以上，色泽均匀；底部开门，用专用工具开启和关闭，防止偷盗电缆等也为维修提供便捷；密闭性优。如挑臂长度由于监控点情况有变化，根据实施时按需调整。0.8M（宽）*0.8M（宽）*1.0M（深）C25混凝土浇筑，接地电阻≤10Ω（需要根据实际情况调整），渣土清运和路面修补；基础预埋件规格（4-M22）*800MM；含防雷接地。根据现场实际需求定制手孔等，含复合井盖。</w:t>
            </w:r>
          </w:p>
        </w:tc>
        <w:tc>
          <w:tcPr>
            <w:tcW w:w="1271"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国产定制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7"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4</w:t>
            </w:r>
          </w:p>
        </w:tc>
        <w:tc>
          <w:tcPr>
            <w:tcW w:w="13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2米抱杆</w:t>
            </w:r>
          </w:p>
        </w:tc>
        <w:tc>
          <w:tcPr>
            <w:tcW w:w="76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33</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根</w:t>
            </w:r>
          </w:p>
        </w:tc>
        <w:tc>
          <w:tcPr>
            <w:tcW w:w="9491"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采用抱箍挑杆，安装在墙上或电线杆上，横挑距离0.6-2米，直径φ76mm，壁厚3mm，热镀锌喷塑。</w:t>
            </w:r>
          </w:p>
        </w:tc>
        <w:tc>
          <w:tcPr>
            <w:tcW w:w="1271"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国产定制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5</w:t>
            </w:r>
          </w:p>
        </w:tc>
        <w:tc>
          <w:tcPr>
            <w:tcW w:w="13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抱杆箱</w:t>
            </w:r>
          </w:p>
        </w:tc>
        <w:tc>
          <w:tcPr>
            <w:tcW w:w="76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5</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个</w:t>
            </w:r>
          </w:p>
        </w:tc>
        <w:tc>
          <w:tcPr>
            <w:tcW w:w="9491"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机箱尺寸500*400*250mm,箱体采用厚度1.5MM不锈钢喷塑材质，抱箍及螺丝采用304不锈钢，箱体丝印；采用棕胶密条与箱体门紧合,防雨水进入；机箱内含电气开关、插座，采用国内知名品牌；箱体防护等级为IP54。机箱采用抱杆设计，抱杆离地距离2.5米。</w:t>
            </w:r>
          </w:p>
        </w:tc>
        <w:tc>
          <w:tcPr>
            <w:tcW w:w="1271"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国产定制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6</w:t>
            </w:r>
          </w:p>
        </w:tc>
        <w:tc>
          <w:tcPr>
            <w:tcW w:w="13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标志牌</w:t>
            </w:r>
          </w:p>
        </w:tc>
        <w:tc>
          <w:tcPr>
            <w:tcW w:w="76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38</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块</w:t>
            </w:r>
          </w:p>
        </w:tc>
        <w:tc>
          <w:tcPr>
            <w:tcW w:w="9491"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标志牌材质采用铝板，暂定48CM*78CM大小，表面加反光膜，采用扣襻固定安装在监控立杆上，含相应抱箍配件。</w:t>
            </w:r>
          </w:p>
        </w:tc>
        <w:tc>
          <w:tcPr>
            <w:tcW w:w="1271"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国产定制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7</w:t>
            </w:r>
          </w:p>
        </w:tc>
        <w:tc>
          <w:tcPr>
            <w:tcW w:w="13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链路</w:t>
            </w:r>
          </w:p>
        </w:tc>
        <w:tc>
          <w:tcPr>
            <w:tcW w:w="76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26</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年/根</w:t>
            </w:r>
          </w:p>
        </w:tc>
        <w:tc>
          <w:tcPr>
            <w:tcW w:w="9491"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160/月，租赁1年，不包前端点位含光收发，包含到达公安分局地下一层机房光纤收发器。</w:t>
            </w:r>
          </w:p>
        </w:tc>
        <w:tc>
          <w:tcPr>
            <w:tcW w:w="1271"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移动、电信、联通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8</w:t>
            </w:r>
          </w:p>
        </w:tc>
        <w:tc>
          <w:tcPr>
            <w:tcW w:w="13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交换机</w:t>
            </w:r>
          </w:p>
        </w:tc>
        <w:tc>
          <w:tcPr>
            <w:tcW w:w="76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12</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个</w:t>
            </w:r>
          </w:p>
        </w:tc>
        <w:tc>
          <w:tcPr>
            <w:tcW w:w="9491"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8口千兆以太网交换机，支持传输速率10Mbps/100Mbps/1000Mbps。</w:t>
            </w:r>
          </w:p>
        </w:tc>
        <w:tc>
          <w:tcPr>
            <w:tcW w:w="1271"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华为、华三、中兴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2"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9</w:t>
            </w:r>
          </w:p>
        </w:tc>
        <w:tc>
          <w:tcPr>
            <w:tcW w:w="13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辅材</w:t>
            </w:r>
          </w:p>
        </w:tc>
        <w:tc>
          <w:tcPr>
            <w:tcW w:w="76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38</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套</w:t>
            </w:r>
          </w:p>
        </w:tc>
        <w:tc>
          <w:tcPr>
            <w:tcW w:w="9491"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包含每个摄像机安装的一切施工辅助材料（包括线管、网络跳线、水晶头、接地线、跳线、固定件架等）。</w:t>
            </w:r>
          </w:p>
        </w:tc>
        <w:tc>
          <w:tcPr>
            <w:tcW w:w="1271"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国产定制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2"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10</w:t>
            </w:r>
          </w:p>
        </w:tc>
        <w:tc>
          <w:tcPr>
            <w:tcW w:w="13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供电接入</w:t>
            </w:r>
          </w:p>
        </w:tc>
        <w:tc>
          <w:tcPr>
            <w:tcW w:w="76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26</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处</w:t>
            </w:r>
          </w:p>
        </w:tc>
        <w:tc>
          <w:tcPr>
            <w:tcW w:w="9491"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各监控终端取一路220V市电，引到设备箱使用，保证引入部分电源线路的漏电及防雷防护，线缆要求YJV3*2.5mm2</w:t>
            </w:r>
          </w:p>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本系统前端供电，供电回路要求稳定可靠，供电电压：交流AC220V；频率范围：46HZ-60HZ；电压范围：AC170V到280V；全天候确保前端设备的供电。含管线材料及路面剖路、回填、修复、垃圾清运。</w:t>
            </w:r>
          </w:p>
        </w:tc>
        <w:tc>
          <w:tcPr>
            <w:tcW w:w="1271"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国产定制</w:t>
            </w:r>
          </w:p>
        </w:tc>
      </w:tr>
    </w:tbl>
    <w:p>
      <w:pPr>
        <w:rPr>
          <w:rFonts w:ascii="宋体" w:hAnsi="宋体" w:cs="宋体"/>
          <w:b/>
          <w:bCs/>
          <w:color w:val="auto"/>
          <w:kern w:val="0"/>
          <w:sz w:val="24"/>
          <w:highlight w:val="none"/>
          <w:lang w:bidi="ar"/>
        </w:rPr>
      </w:pPr>
    </w:p>
    <w:p>
      <w:pPr>
        <w:rPr>
          <w:rFonts w:ascii="宋体" w:hAnsi="宋体" w:cs="宋体"/>
          <w:b/>
          <w:bCs/>
          <w:color w:val="auto"/>
          <w:kern w:val="0"/>
          <w:sz w:val="24"/>
          <w:highlight w:val="none"/>
          <w:lang w:bidi="ar"/>
        </w:rPr>
      </w:pPr>
    </w:p>
    <w:p>
      <w:pPr>
        <w:rPr>
          <w:rFonts w:ascii="宋体" w:hAnsi="宋体" w:cs="宋体"/>
          <w:b/>
          <w:bCs/>
          <w:color w:val="auto"/>
          <w:kern w:val="0"/>
          <w:sz w:val="24"/>
          <w:highlight w:val="none"/>
          <w:lang w:bidi="ar"/>
        </w:rPr>
      </w:pPr>
    </w:p>
    <w:p>
      <w:pPr>
        <w:rPr>
          <w:rFonts w:ascii="宋体" w:hAnsi="宋体" w:cs="宋体"/>
          <w:b/>
          <w:bCs/>
          <w:color w:val="auto"/>
          <w:kern w:val="0"/>
          <w:sz w:val="24"/>
          <w:highlight w:val="none"/>
          <w:lang w:bidi="ar"/>
        </w:rPr>
      </w:pPr>
    </w:p>
    <w:p>
      <w:pPr>
        <w:rPr>
          <w:rFonts w:ascii="宋体" w:hAnsi="宋体" w:cs="宋体"/>
          <w:b/>
          <w:bCs/>
          <w:color w:val="auto"/>
          <w:kern w:val="0"/>
          <w:sz w:val="24"/>
          <w:highlight w:val="none"/>
          <w:lang w:bidi="ar"/>
        </w:rPr>
      </w:pPr>
    </w:p>
    <w:p>
      <w:pPr>
        <w:rPr>
          <w:rFonts w:ascii="宋体" w:hAnsi="宋体" w:cs="宋体"/>
          <w:b/>
          <w:bCs/>
          <w:color w:val="auto"/>
          <w:kern w:val="0"/>
          <w:sz w:val="24"/>
          <w:highlight w:val="none"/>
          <w:lang w:bidi="ar"/>
        </w:rPr>
      </w:pPr>
    </w:p>
    <w:p>
      <w:pPr>
        <w:rPr>
          <w:rFonts w:ascii="宋体" w:hAnsi="宋体" w:cs="宋体"/>
          <w:b/>
          <w:bCs/>
          <w:color w:val="auto"/>
          <w:kern w:val="0"/>
          <w:sz w:val="24"/>
          <w:highlight w:val="none"/>
          <w:lang w:bidi="ar"/>
        </w:rPr>
      </w:pPr>
    </w:p>
    <w:p>
      <w:pPr>
        <w:rPr>
          <w:rFonts w:ascii="宋体" w:hAnsi="宋体" w:cs="宋体"/>
          <w:b/>
          <w:bCs/>
          <w:color w:val="auto"/>
          <w:kern w:val="0"/>
          <w:sz w:val="24"/>
          <w:highlight w:val="none"/>
          <w:lang w:bidi="ar"/>
        </w:rPr>
      </w:pPr>
    </w:p>
    <w:p>
      <w:pPr>
        <w:rPr>
          <w:rFonts w:ascii="宋体" w:hAnsi="宋体" w:cs="宋体"/>
          <w:b/>
          <w:bCs/>
          <w:color w:val="auto"/>
          <w:kern w:val="0"/>
          <w:sz w:val="24"/>
          <w:highlight w:val="none"/>
          <w:lang w:bidi="ar"/>
        </w:rPr>
      </w:pPr>
    </w:p>
    <w:p>
      <w:pPr>
        <w:rPr>
          <w:rFonts w:ascii="宋体" w:hAnsi="宋体" w:cs="宋体"/>
          <w:b/>
          <w:bCs/>
          <w:color w:val="auto"/>
          <w:kern w:val="0"/>
          <w:sz w:val="24"/>
          <w:highlight w:val="none"/>
          <w:lang w:bidi="ar"/>
        </w:rPr>
      </w:pPr>
    </w:p>
    <w:p>
      <w:pPr>
        <w:rPr>
          <w:rFonts w:ascii="宋体" w:hAnsi="宋体" w:cs="宋体"/>
          <w:b/>
          <w:bCs/>
          <w:color w:val="auto"/>
          <w:kern w:val="0"/>
          <w:sz w:val="24"/>
          <w:highlight w:val="none"/>
          <w:lang w:bidi="ar"/>
        </w:rPr>
      </w:pPr>
    </w:p>
    <w:p>
      <w:pPr>
        <w:rPr>
          <w:rFonts w:hint="eastAsia" w:ascii="宋体" w:hAnsi="宋体" w:cs="宋体"/>
          <w:b/>
          <w:bCs/>
          <w:color w:val="auto"/>
          <w:kern w:val="0"/>
          <w:sz w:val="24"/>
          <w:highlight w:val="none"/>
          <w:lang w:bidi="ar"/>
        </w:rPr>
      </w:pPr>
    </w:p>
    <w:p>
      <w:pPr>
        <w:rPr>
          <w:rFonts w:hint="eastAsia" w:ascii="宋体" w:hAnsi="宋体" w:cs="宋体"/>
          <w:b/>
          <w:bCs/>
          <w:color w:val="auto"/>
          <w:kern w:val="0"/>
          <w:sz w:val="24"/>
          <w:highlight w:val="none"/>
          <w:lang w:bidi="ar"/>
        </w:rPr>
      </w:pPr>
    </w:p>
    <w:p>
      <w:pPr>
        <w:rPr>
          <w:rFonts w:hint="eastAsia" w:ascii="宋体" w:hAnsi="宋体" w:cs="宋体"/>
          <w:b/>
          <w:bCs/>
          <w:color w:val="auto"/>
          <w:kern w:val="0"/>
          <w:sz w:val="24"/>
          <w:highlight w:val="none"/>
          <w:lang w:bidi="ar"/>
        </w:rPr>
      </w:pPr>
    </w:p>
    <w:p>
      <w:pPr>
        <w:rPr>
          <w:rFonts w:hint="eastAsia" w:ascii="宋体" w:hAnsi="宋体" w:cs="宋体"/>
          <w:b/>
          <w:bCs/>
          <w:color w:val="auto"/>
          <w:kern w:val="0"/>
          <w:sz w:val="24"/>
          <w:highlight w:val="none"/>
          <w:lang w:bidi="ar"/>
        </w:rPr>
      </w:pPr>
    </w:p>
    <w:p>
      <w:pPr>
        <w:rPr>
          <w:rFonts w:hint="eastAsia" w:ascii="宋体" w:hAnsi="宋体" w:cs="宋体"/>
          <w:b/>
          <w:bCs/>
          <w:color w:val="auto"/>
          <w:kern w:val="0"/>
          <w:sz w:val="24"/>
          <w:highlight w:val="none"/>
          <w:lang w:bidi="ar"/>
        </w:rPr>
      </w:pPr>
    </w:p>
    <w:p>
      <w:pPr>
        <w:rPr>
          <w:rFonts w:hint="eastAsia" w:ascii="宋体" w:hAnsi="宋体" w:cs="宋体"/>
          <w:b/>
          <w:bCs/>
          <w:color w:val="auto"/>
          <w:kern w:val="0"/>
          <w:sz w:val="24"/>
          <w:highlight w:val="none"/>
          <w:lang w:bidi="ar"/>
        </w:rPr>
      </w:pPr>
    </w:p>
    <w:p>
      <w:pPr>
        <w:rPr>
          <w:rFonts w:ascii="宋体" w:hAnsi="宋体" w:cs="宋体"/>
          <w:color w:val="auto"/>
          <w:highlight w:val="none"/>
        </w:rPr>
      </w:pPr>
      <w:r>
        <w:rPr>
          <w:rFonts w:hint="eastAsia" w:ascii="宋体" w:hAnsi="宋体" w:cs="宋体"/>
          <w:b/>
          <w:bCs/>
          <w:color w:val="auto"/>
          <w:kern w:val="0"/>
          <w:sz w:val="24"/>
          <w:highlight w:val="none"/>
          <w:lang w:bidi="ar"/>
        </w:rPr>
        <w:t>4.车辆感知点位</w:t>
      </w:r>
    </w:p>
    <w:tbl>
      <w:tblPr>
        <w:tblStyle w:val="65"/>
        <w:tblW w:w="504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5"/>
        <w:gridCol w:w="1320"/>
        <w:gridCol w:w="805"/>
        <w:gridCol w:w="743"/>
        <w:gridCol w:w="9483"/>
        <w:gridCol w:w="12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6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b/>
                <w:bCs/>
                <w:color w:val="auto"/>
                <w:kern w:val="0"/>
                <w:szCs w:val="21"/>
                <w:highlight w:val="none"/>
                <w:lang w:bidi="ar"/>
              </w:rPr>
              <w:t>序号</w:t>
            </w:r>
          </w:p>
        </w:tc>
        <w:tc>
          <w:tcPr>
            <w:tcW w:w="132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b/>
                <w:bCs/>
                <w:color w:val="auto"/>
                <w:szCs w:val="21"/>
                <w:highlight w:val="none"/>
              </w:rPr>
              <w:t>货物名称</w:t>
            </w:r>
          </w:p>
        </w:tc>
        <w:tc>
          <w:tcPr>
            <w:tcW w:w="80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b/>
                <w:bCs/>
                <w:color w:val="auto"/>
                <w:szCs w:val="21"/>
                <w:highlight w:val="none"/>
              </w:rPr>
              <w:t>数量</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b/>
                <w:bCs/>
                <w:color w:val="auto"/>
                <w:szCs w:val="21"/>
                <w:highlight w:val="none"/>
              </w:rPr>
              <w:t>单位</w:t>
            </w:r>
          </w:p>
        </w:tc>
        <w:tc>
          <w:tcPr>
            <w:tcW w:w="948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b/>
                <w:bCs/>
                <w:color w:val="auto"/>
                <w:szCs w:val="21"/>
                <w:highlight w:val="none"/>
              </w:rPr>
              <w:t>技术参数</w:t>
            </w:r>
          </w:p>
        </w:tc>
        <w:tc>
          <w:tcPr>
            <w:tcW w:w="128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b/>
                <w:bCs/>
                <w:color w:val="auto"/>
                <w:szCs w:val="21"/>
                <w:highlight w:val="none"/>
              </w:rPr>
              <w:t>参考品牌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6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w:t>
            </w:r>
          </w:p>
        </w:tc>
        <w:tc>
          <w:tcPr>
            <w:tcW w:w="132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7.2米T型杆件</w:t>
            </w:r>
          </w:p>
        </w:tc>
        <w:tc>
          <w:tcPr>
            <w:tcW w:w="80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3</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根</w:t>
            </w:r>
          </w:p>
        </w:tc>
        <w:tc>
          <w:tcPr>
            <w:tcW w:w="948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7.2m*7-9mT型立杆，主杆φ140等径杆臂厚9mm，挑臂等径φ76臂厚7mm；材料采用热轧钢板（Q235），弯曲后热镀锌，表面电喷；如挑臂长度由于监控点路面情况有变化，工程实施时需调整。</w:t>
            </w:r>
          </w:p>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立杆基础尺寸不低于1200*1600*2000mm(长*宽*深)，采用商品砼C25（搅拌混凝土）灌筑，质量符合规范要求，并做好试块，振捣密实，基础内打入两根2M长50*50*5镀锌角铁，通过3*30镀锌扁钢从基础引出与主杆接地端连接，接地电阻≤10Ω。基础中心预埋直径32mm的钢管或尼龙管2根，与过渡窨井相连。</w:t>
            </w:r>
          </w:p>
        </w:tc>
        <w:tc>
          <w:tcPr>
            <w:tcW w:w="128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国产定制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6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2</w:t>
            </w:r>
          </w:p>
        </w:tc>
        <w:tc>
          <w:tcPr>
            <w:tcW w:w="132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6米立杆</w:t>
            </w:r>
          </w:p>
        </w:tc>
        <w:tc>
          <w:tcPr>
            <w:tcW w:w="80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2</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根</w:t>
            </w:r>
          </w:p>
        </w:tc>
        <w:tc>
          <w:tcPr>
            <w:tcW w:w="948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L形杆，6米-6.5米，挑3-4米，立杆壁厚6MM，挑臂壁厚4MM，材料采用热轧钢板（Q235），表面热镀锌喷塑；立杆底板采用420*420MM正方形或直径Ф420MM圆形钢板，厚度20MM，带加强筋，配套地笼、螺丝及垫片、法兰底板等。1M（宽）*1M（宽）*1.5M（深）C25混凝土浇筑，接地电阻≤10Ω（需要根据实际情况调整），渣土清运和路面修补；基础预埋件规格（6-M22）*1400MM；含防雷接地。根据现场实际需求定制手孔井，含复合井盖。</w:t>
            </w:r>
          </w:p>
        </w:tc>
        <w:tc>
          <w:tcPr>
            <w:tcW w:w="128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国产定制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6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3</w:t>
            </w:r>
          </w:p>
        </w:tc>
        <w:tc>
          <w:tcPr>
            <w:tcW w:w="132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2米抱杆</w:t>
            </w:r>
          </w:p>
        </w:tc>
        <w:tc>
          <w:tcPr>
            <w:tcW w:w="80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根</w:t>
            </w:r>
          </w:p>
        </w:tc>
        <w:tc>
          <w:tcPr>
            <w:tcW w:w="948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采用抱箍挑杆，安装在墙上或电线杆上，横挑距离0.6-2米，直径φ76mm，壁厚3mm，热镀锌喷塑。</w:t>
            </w:r>
          </w:p>
        </w:tc>
        <w:tc>
          <w:tcPr>
            <w:tcW w:w="128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国产定制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6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4</w:t>
            </w:r>
          </w:p>
        </w:tc>
        <w:tc>
          <w:tcPr>
            <w:tcW w:w="132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车辆卡口</w:t>
            </w:r>
          </w:p>
        </w:tc>
        <w:tc>
          <w:tcPr>
            <w:tcW w:w="80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6</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台</w:t>
            </w:r>
          </w:p>
        </w:tc>
        <w:tc>
          <w:tcPr>
            <w:tcW w:w="948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不低于以下参数：传感器类型：内置摄像机采用1英寸高帧率全局曝光CMOS传感器；</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支持协议：ISAPI ,GB28181；</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图像分辨率：4096×2160；</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视频分辨率最大支持：4096×2160；</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视频压缩标准：H.265;H.264;MJPEG；</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图片编码格式：JPEG；</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支持车辆检测处理器、雷达、补光灯的接入；</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可支持TF插卡本地存储，最大256G，抓拍图片可断网续传</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触发输出：7路F+F-输出接口,可作为补光灯同步输出控制</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触发输入：1个触发/报警输入</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通讯接口：3个RS-485接口,1个RS-232接口；2个RJ45 10M/100M/1000M自适应以太网口</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同步输入：SYNC信号灯电源同步输入</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智能识别：目标检测：机动车抓拍，车辆捕获率≥99%（线圈）车辆捕获率≥95%（视频），非机动抓拍，行人抓拍；违章检测：超速、压线、逆行、禁止大货车等违法行为；车辆特征检测：车牌识别、车型识别、车身颜色识别（环境光有要求）、违章检测、车辆品牌等特征检测</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支持机动车的车牌，车身颜色，车型，子品牌，驾驶室人员等特征检测，支持机动车的过车记录和违章行为检测抓拍</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支持视频触发等多种触发模式并实现全结构化：采用高性能平台，加载深度学习算法，支持多目标混合场景应用，实时提取机动车、非机动车、行人、人脸等目标全结构化信息，为大数据业务提供全方位的特征数据基础</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镜头根据不同应用场合要支持选配，镜头靶面≥1英寸</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样机可识别通过监视画面中的机动车车牌号码，包括大型汽车号牌、挂车号牌、大型新能源汽车号牌、小型汽车号牌、小型新能源汽车号牌、武警车牌、军牌、港澳入出境车号牌、使馆汽车号牌、教练汽车号牌、民航车牌。样机可识别并抓拍垂直倾斜角度≤55°、水平倾斜角度≤35°、俯仰角度≤35°的机动车车牌号码。样机可对80×25至1200 × 380像素的机动车车牌进行抓拍并识别号码。（投标文件中提供检验报告证明复印件）</w:t>
            </w:r>
          </w:p>
        </w:tc>
        <w:tc>
          <w:tcPr>
            <w:tcW w:w="128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海康、英飞拓、天地伟业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6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5</w:t>
            </w:r>
          </w:p>
        </w:tc>
        <w:tc>
          <w:tcPr>
            <w:tcW w:w="132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车辆卡口</w:t>
            </w:r>
          </w:p>
        </w:tc>
        <w:tc>
          <w:tcPr>
            <w:tcW w:w="80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3</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台</w:t>
            </w:r>
          </w:p>
        </w:tc>
        <w:tc>
          <w:tcPr>
            <w:tcW w:w="948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不低于以下参数：传感器类型：1英寸GS-CMOS；</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可以在晚间使用内置LED灯结合红外爆闪灯的情况下，仍得到全彩的图片。</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图像分辨率：4096×2336；</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视频分辨率最大支持：4096×2336；</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视频压缩标准：H.265;H.264;MJPEG；</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图片编码格式：JPEG；</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支持白天用白光爆闪，晚上用内置灯加红外爆闪同步补光</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抓拍图片可看清前排司乘人员人脸，并可用于后端人脸比对。</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支持车牌、车型、车身颜色、车辆主品牌及子品牌、挂坠、安全带、遮阳板等信息识别</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支持多种车牌种类识别：民用车牌，警用车牌，2012式新军用车牌，2012式武警车牌，新能源车牌</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触发输出：7路F+ F-输出接口，作为补光灯同步输出控制；一路继电器输出口</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通讯接口：3个RS-485接口,1个RS-232接口；2个RJ45 10M/100M/1000M自适应以太网口</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支持协议：ISAPI ,GB28181</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压缩输出码率：32 Kbps~16 Mbps</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镜头根据不同应用场合要支持选配，镜头靶面≥1英寸</w:t>
            </w:r>
          </w:p>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抓拍支持输出三张同时刻目标图片，包括可见光路图片（全彩），红外路图片（黑白）和融合图片（全彩），三张图片抓拍时间为同一时刻，抓拍运动目标，三张图片中目标位置相同无位移（投标文件中提供检验报告证明复印件）</w:t>
            </w:r>
          </w:p>
        </w:tc>
        <w:tc>
          <w:tcPr>
            <w:tcW w:w="128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海康、英飞拓、天地伟业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6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6</w:t>
            </w:r>
          </w:p>
        </w:tc>
        <w:tc>
          <w:tcPr>
            <w:tcW w:w="132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全结构化球型摄像机</w:t>
            </w:r>
          </w:p>
        </w:tc>
        <w:tc>
          <w:tcPr>
            <w:tcW w:w="80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2</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台</w:t>
            </w:r>
          </w:p>
        </w:tc>
        <w:tc>
          <w:tcPr>
            <w:tcW w:w="948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不低于以下参数：400万1/1.8"星光级CMOS AI网络摄像机；传感器类型：全景1/1.8英寸CMOS，细节1/1.8英寸CMOS；像素：全景400万，细节400万；最大分辨率：全景2560 × 1440细节2560 × 1440；最低照度：全景彩色：0.0005Lux@F1.0黑白：0.0005Lux@F1.0细节彩色：0.001Lux@F1.35黑白：0.0001Lux@F1.350Lux（红外灯开启）；补光灯距离：全景：30米；细节：200米；镜头焦距：全景4 mm细节5.9~147.5 mm；光学变倍：25倍；支持人脸人体车辆同时抓拍，人脸人体关联输出，并实现对人脸、人体、车辆结构化属性特征信息提取。支持全景路对设定区域进行布防，当检测到目标时联动特写摄像机对目标进行跟踪及报警，实现周界布防。支持细节路对设定区域进行布防，支持声光警戒：报警联动白光闪烁报警和声音报警，声音内容可选</w:t>
            </w:r>
          </w:p>
        </w:tc>
        <w:tc>
          <w:tcPr>
            <w:tcW w:w="128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海康、英飞拓、天地伟业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6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7</w:t>
            </w:r>
          </w:p>
        </w:tc>
        <w:tc>
          <w:tcPr>
            <w:tcW w:w="132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补光灯</w:t>
            </w:r>
          </w:p>
        </w:tc>
        <w:tc>
          <w:tcPr>
            <w:tcW w:w="80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9</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台</w:t>
            </w:r>
          </w:p>
        </w:tc>
        <w:tc>
          <w:tcPr>
            <w:tcW w:w="948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LED配套补光灯，支持LED灯频闪、白光气体爆闪，红外气体爆闪</w:t>
            </w:r>
          </w:p>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支持相机误触发保护功能，触发信号输入异常时自动保护、且自动恢复，支持超速连拍</w:t>
            </w:r>
          </w:p>
        </w:tc>
        <w:tc>
          <w:tcPr>
            <w:tcW w:w="128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海康、大华、宇视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6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8</w:t>
            </w:r>
          </w:p>
        </w:tc>
        <w:tc>
          <w:tcPr>
            <w:tcW w:w="132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补光灯</w:t>
            </w:r>
          </w:p>
        </w:tc>
        <w:tc>
          <w:tcPr>
            <w:tcW w:w="80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套</w:t>
            </w:r>
          </w:p>
        </w:tc>
        <w:tc>
          <w:tcPr>
            <w:tcW w:w="948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防护等级IP66、显色指数≥90、有效补光区域：20米*10米、有效补光区域内任意一点最低照度≥3Lux（需提供公安部检测中心检测报告），工作环境：-55～+50℃，功率≤80W，原厂质保3年，自带一体化光控开关，通过国家CQC认证，制造商纳入公安部科技成果推广，</w:t>
            </w:r>
          </w:p>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投标产品</w:t>
            </w:r>
            <w:r>
              <w:rPr>
                <w:rFonts w:hint="eastAsia" w:ascii="宋体" w:hAnsi="宋体" w:cs="宋体"/>
                <w:color w:val="auto"/>
                <w:szCs w:val="21"/>
                <w:highlight w:val="none"/>
              </w:rPr>
              <w:t>获得无眩目道路监控特种补光灯证书。（</w:t>
            </w:r>
            <w:r>
              <w:rPr>
                <w:rFonts w:hint="eastAsia" w:ascii="宋体" w:hAnsi="宋体" w:cs="宋体"/>
                <w:color w:val="auto"/>
                <w:szCs w:val="21"/>
                <w:highlight w:val="none"/>
                <w:lang w:val="en-US" w:eastAsia="zh-CN"/>
              </w:rPr>
              <w:t>投标文件中</w:t>
            </w:r>
            <w:r>
              <w:rPr>
                <w:rFonts w:hint="eastAsia" w:ascii="宋体" w:hAnsi="宋体" w:cs="宋体"/>
                <w:color w:val="auto"/>
                <w:szCs w:val="21"/>
                <w:highlight w:val="none"/>
              </w:rPr>
              <w:t>提供认证证书复印件）</w:t>
            </w:r>
          </w:p>
        </w:tc>
        <w:tc>
          <w:tcPr>
            <w:tcW w:w="128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莱特司 、威拉德 、久荣光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6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9</w:t>
            </w:r>
          </w:p>
        </w:tc>
        <w:tc>
          <w:tcPr>
            <w:tcW w:w="132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抱杆箱</w:t>
            </w:r>
          </w:p>
        </w:tc>
        <w:tc>
          <w:tcPr>
            <w:tcW w:w="80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2</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套</w:t>
            </w:r>
          </w:p>
        </w:tc>
        <w:tc>
          <w:tcPr>
            <w:tcW w:w="948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机箱尺寸500*400*250mm,箱体采用厚度1.5MM不锈钢喷塑材质，抱箍及螺丝采用304不锈钢，箱体丝印；采用棕胶密条与箱体门紧合,防雨水进入；机箱内含电气开关、插座，采用国内知名品牌；箱体防护等级为IP54。机箱采用抱杆设计，抱杆离地距离2.5米。</w:t>
            </w:r>
          </w:p>
        </w:tc>
        <w:tc>
          <w:tcPr>
            <w:tcW w:w="128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国产定制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6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10</w:t>
            </w:r>
          </w:p>
        </w:tc>
        <w:tc>
          <w:tcPr>
            <w:tcW w:w="132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标志牌</w:t>
            </w:r>
          </w:p>
        </w:tc>
        <w:tc>
          <w:tcPr>
            <w:tcW w:w="80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6</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个</w:t>
            </w:r>
          </w:p>
        </w:tc>
        <w:tc>
          <w:tcPr>
            <w:tcW w:w="948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标志牌材质采用铝板，暂定48CM*78CM大小，表面加反光膜，采用扣襻固定安装在监控立杆上，含相应抱箍配件。</w:t>
            </w:r>
          </w:p>
        </w:tc>
        <w:tc>
          <w:tcPr>
            <w:tcW w:w="128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国产定制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6" w:hRule="atLeast"/>
        </w:trPr>
        <w:tc>
          <w:tcPr>
            <w:tcW w:w="6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11</w:t>
            </w:r>
          </w:p>
        </w:tc>
        <w:tc>
          <w:tcPr>
            <w:tcW w:w="132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链路</w:t>
            </w:r>
          </w:p>
        </w:tc>
        <w:tc>
          <w:tcPr>
            <w:tcW w:w="80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6</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年/根</w:t>
            </w:r>
          </w:p>
        </w:tc>
        <w:tc>
          <w:tcPr>
            <w:tcW w:w="948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160/月，租赁1年，不包前端点位含光收发，包含到达公安分局地下一层机房光纤收发器。</w:t>
            </w:r>
          </w:p>
        </w:tc>
        <w:tc>
          <w:tcPr>
            <w:tcW w:w="128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移动、电信、联通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6" w:hRule="atLeast"/>
        </w:trPr>
        <w:tc>
          <w:tcPr>
            <w:tcW w:w="6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12</w:t>
            </w:r>
          </w:p>
        </w:tc>
        <w:tc>
          <w:tcPr>
            <w:tcW w:w="132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辅材</w:t>
            </w:r>
          </w:p>
        </w:tc>
        <w:tc>
          <w:tcPr>
            <w:tcW w:w="80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11</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套</w:t>
            </w:r>
          </w:p>
        </w:tc>
        <w:tc>
          <w:tcPr>
            <w:tcW w:w="948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包含每个摄像机安装的一切施工辅助材料（包括线管、网络跳线、水晶头、接地线、跳线、固定件架等）。</w:t>
            </w:r>
          </w:p>
        </w:tc>
        <w:tc>
          <w:tcPr>
            <w:tcW w:w="128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国产定制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6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13</w:t>
            </w:r>
          </w:p>
        </w:tc>
        <w:tc>
          <w:tcPr>
            <w:tcW w:w="132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供电接入</w:t>
            </w:r>
          </w:p>
        </w:tc>
        <w:tc>
          <w:tcPr>
            <w:tcW w:w="80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6</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处</w:t>
            </w:r>
          </w:p>
        </w:tc>
        <w:tc>
          <w:tcPr>
            <w:tcW w:w="948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各监控终端取一路220V市电，引到设备箱使用，保证引入部分电源线路的漏电及防雷防护，线缆要求YJV3*2.5mm2„</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本系统前端供电，供电回路要求稳定可靠，供电电压：交流AC220V；频率范围：46HZ-60HZ；电压范围：AC170V到280V；全天候确保前端设备的供电。含管线材料及路面剖路、回填、修复、垃圾清运。</w:t>
            </w:r>
          </w:p>
        </w:tc>
        <w:tc>
          <w:tcPr>
            <w:tcW w:w="128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国产定制</w:t>
            </w:r>
          </w:p>
        </w:tc>
      </w:tr>
    </w:tbl>
    <w:p>
      <w:pPr>
        <w:pStyle w:val="63"/>
        <w:rPr>
          <w:rFonts w:hAnsi="宋体" w:cs="宋体"/>
          <w:b/>
          <w:bCs/>
          <w:color w:val="auto"/>
          <w:kern w:val="0"/>
          <w:szCs w:val="24"/>
          <w:highlight w:val="none"/>
          <w:lang w:val="en-US" w:bidi="ar"/>
        </w:rPr>
      </w:pPr>
    </w:p>
    <w:p>
      <w:pPr>
        <w:pStyle w:val="63"/>
        <w:rPr>
          <w:rFonts w:hAnsi="宋体" w:cs="宋体"/>
          <w:b/>
          <w:bCs/>
          <w:color w:val="auto"/>
          <w:kern w:val="0"/>
          <w:szCs w:val="24"/>
          <w:highlight w:val="none"/>
          <w:lang w:val="en-US" w:bidi="ar"/>
        </w:rPr>
      </w:pPr>
    </w:p>
    <w:p>
      <w:pPr>
        <w:pStyle w:val="63"/>
        <w:rPr>
          <w:rFonts w:hAnsi="宋体" w:cs="宋体"/>
          <w:b/>
          <w:bCs/>
          <w:color w:val="auto"/>
          <w:kern w:val="0"/>
          <w:szCs w:val="24"/>
          <w:highlight w:val="none"/>
          <w:lang w:val="en-US" w:bidi="ar"/>
        </w:rPr>
      </w:pPr>
    </w:p>
    <w:p>
      <w:pPr>
        <w:pStyle w:val="63"/>
        <w:rPr>
          <w:rFonts w:hAnsi="宋体" w:cs="宋体"/>
          <w:b/>
          <w:bCs/>
          <w:color w:val="auto"/>
          <w:kern w:val="0"/>
          <w:szCs w:val="24"/>
          <w:highlight w:val="none"/>
          <w:lang w:val="en-US" w:bidi="ar"/>
        </w:rPr>
      </w:pPr>
    </w:p>
    <w:p>
      <w:pPr>
        <w:pStyle w:val="63"/>
        <w:rPr>
          <w:rFonts w:hAnsi="宋体" w:cs="宋体"/>
          <w:b/>
          <w:bCs/>
          <w:color w:val="auto"/>
          <w:kern w:val="0"/>
          <w:szCs w:val="24"/>
          <w:highlight w:val="none"/>
          <w:lang w:val="en-US" w:bidi="ar"/>
        </w:rPr>
      </w:pPr>
    </w:p>
    <w:p>
      <w:pPr>
        <w:pStyle w:val="63"/>
        <w:rPr>
          <w:rFonts w:hAnsi="宋体" w:cs="宋体"/>
          <w:b/>
          <w:bCs/>
          <w:color w:val="auto"/>
          <w:kern w:val="0"/>
          <w:szCs w:val="24"/>
          <w:highlight w:val="none"/>
          <w:lang w:val="en-US" w:bidi="ar"/>
        </w:rPr>
      </w:pPr>
    </w:p>
    <w:p>
      <w:pPr>
        <w:pStyle w:val="63"/>
        <w:rPr>
          <w:rFonts w:hAnsi="宋体" w:cs="宋体"/>
          <w:b/>
          <w:bCs/>
          <w:color w:val="auto"/>
          <w:kern w:val="0"/>
          <w:szCs w:val="24"/>
          <w:highlight w:val="none"/>
          <w:lang w:val="en-US" w:bidi="ar"/>
        </w:rPr>
      </w:pPr>
    </w:p>
    <w:p>
      <w:pPr>
        <w:pStyle w:val="63"/>
        <w:rPr>
          <w:rFonts w:hAnsi="宋体" w:cs="宋体"/>
          <w:color w:val="auto"/>
          <w:highlight w:val="none"/>
          <w:lang w:val="en-US"/>
        </w:rPr>
      </w:pPr>
      <w:r>
        <w:rPr>
          <w:rFonts w:hint="eastAsia" w:hAnsi="宋体" w:cs="宋体"/>
          <w:b/>
          <w:bCs/>
          <w:color w:val="auto"/>
          <w:kern w:val="0"/>
          <w:szCs w:val="24"/>
          <w:highlight w:val="none"/>
          <w:lang w:val="en-US" w:bidi="ar"/>
        </w:rPr>
        <w:t>5.</w:t>
      </w:r>
      <w:r>
        <w:rPr>
          <w:rFonts w:hint="eastAsia" w:hAnsi="宋体" w:cs="宋体"/>
          <w:b/>
          <w:bCs/>
          <w:color w:val="auto"/>
          <w:kern w:val="0"/>
          <w:szCs w:val="24"/>
          <w:highlight w:val="none"/>
          <w:lang w:bidi="ar"/>
        </w:rPr>
        <w:t>前端新建改造感知点位接入、汇聚交换机采购</w:t>
      </w:r>
    </w:p>
    <w:tbl>
      <w:tblPr>
        <w:tblStyle w:val="65"/>
        <w:tblW w:w="503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5"/>
        <w:gridCol w:w="1335"/>
        <w:gridCol w:w="790"/>
        <w:gridCol w:w="743"/>
        <w:gridCol w:w="9505"/>
        <w:gridCol w:w="12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trPr>
        <w:tc>
          <w:tcPr>
            <w:tcW w:w="6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b/>
                <w:bCs/>
                <w:color w:val="auto"/>
                <w:kern w:val="0"/>
                <w:szCs w:val="21"/>
                <w:highlight w:val="none"/>
                <w:lang w:bidi="ar"/>
              </w:rPr>
              <w:t>序号</w:t>
            </w:r>
          </w:p>
        </w:tc>
        <w:tc>
          <w:tcPr>
            <w:tcW w:w="133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b/>
                <w:bCs/>
                <w:color w:val="auto"/>
                <w:szCs w:val="21"/>
                <w:highlight w:val="none"/>
              </w:rPr>
              <w:t>货物名称</w:t>
            </w:r>
          </w:p>
        </w:tc>
        <w:tc>
          <w:tcPr>
            <w:tcW w:w="79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b/>
                <w:bCs/>
                <w:color w:val="auto"/>
                <w:szCs w:val="21"/>
                <w:highlight w:val="none"/>
              </w:rPr>
              <w:t>数量</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b/>
                <w:bCs/>
                <w:color w:val="auto"/>
                <w:szCs w:val="21"/>
                <w:highlight w:val="none"/>
              </w:rPr>
              <w:t>单位</w:t>
            </w:r>
          </w:p>
        </w:tc>
        <w:tc>
          <w:tcPr>
            <w:tcW w:w="950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b/>
                <w:bCs/>
                <w:color w:val="auto"/>
                <w:szCs w:val="21"/>
                <w:highlight w:val="none"/>
              </w:rPr>
              <w:t>技术参数</w:t>
            </w:r>
          </w:p>
        </w:tc>
        <w:tc>
          <w:tcPr>
            <w:tcW w:w="1227"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b/>
                <w:bCs/>
                <w:color w:val="auto"/>
                <w:szCs w:val="21"/>
                <w:highlight w:val="none"/>
              </w:rPr>
              <w:t>参考品牌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1" w:hRule="atLeast"/>
        </w:trPr>
        <w:tc>
          <w:tcPr>
            <w:tcW w:w="6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133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接入交换机</w:t>
            </w:r>
          </w:p>
        </w:tc>
        <w:tc>
          <w:tcPr>
            <w:tcW w:w="79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台</w:t>
            </w:r>
          </w:p>
        </w:tc>
        <w:tc>
          <w:tcPr>
            <w:tcW w:w="950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不低于以下参数：千兆电接口数量≥48个，万兆光接口数量≥6个；交换容量≥680Gbps，转发性能≥170Mpps，配置冗余交流电源模块；</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整机最大路由地址表≥12K、ARP地址表≥8K、MAC地址表≥32K；</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工作环境温度-5ºC～45ºC;</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要求提供原厂3年质保函；</w:t>
            </w:r>
          </w:p>
        </w:tc>
        <w:tc>
          <w:tcPr>
            <w:tcW w:w="1227"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华三、华为、中兴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1" w:hRule="atLeast"/>
        </w:trPr>
        <w:tc>
          <w:tcPr>
            <w:tcW w:w="6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2</w:t>
            </w:r>
          </w:p>
        </w:tc>
        <w:tc>
          <w:tcPr>
            <w:tcW w:w="133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接入交换机</w:t>
            </w:r>
          </w:p>
          <w:p>
            <w:pPr>
              <w:pStyle w:val="63"/>
              <w:spacing w:line="240" w:lineRule="auto"/>
              <w:ind w:firstLine="0"/>
              <w:jc w:val="center"/>
              <w:rPr>
                <w:rFonts w:hAnsi="宋体" w:cs="宋体"/>
                <w:color w:val="auto"/>
                <w:sz w:val="21"/>
                <w:szCs w:val="21"/>
                <w:highlight w:val="none"/>
              </w:rPr>
            </w:pPr>
            <w:r>
              <w:rPr>
                <w:rFonts w:hint="eastAsia" w:hAnsi="宋体" w:cs="宋体"/>
                <w:color w:val="auto"/>
                <w:sz w:val="21"/>
                <w:szCs w:val="21"/>
                <w:highlight w:val="none"/>
              </w:rPr>
              <w:t>（数据中心机房）</w:t>
            </w:r>
          </w:p>
        </w:tc>
        <w:tc>
          <w:tcPr>
            <w:tcW w:w="79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台</w:t>
            </w:r>
          </w:p>
        </w:tc>
        <w:tc>
          <w:tcPr>
            <w:tcW w:w="950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不低于以下参数：千兆电接口数量≥48个，万兆光接口数量≥6个；交换容量≥680Gbps，转发性能≥170Mpps，配置冗余交流电源模块，需提供原厂3年质保服务；</w:t>
            </w:r>
          </w:p>
        </w:tc>
        <w:tc>
          <w:tcPr>
            <w:tcW w:w="1227"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华三、华为、中兴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1" w:hRule="atLeast"/>
        </w:trPr>
        <w:tc>
          <w:tcPr>
            <w:tcW w:w="6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3</w:t>
            </w:r>
          </w:p>
        </w:tc>
        <w:tc>
          <w:tcPr>
            <w:tcW w:w="133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汇聚交换机</w:t>
            </w:r>
          </w:p>
        </w:tc>
        <w:tc>
          <w:tcPr>
            <w:tcW w:w="79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1</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台</w:t>
            </w:r>
          </w:p>
        </w:tc>
        <w:tc>
          <w:tcPr>
            <w:tcW w:w="950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不低于以下参数：</w:t>
            </w:r>
          </w:p>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交换容量≥38Tbps，包转发率≥7200Mpps；业务插槽数≥6个，单槽位支持100G接口≥4个，支持40G接口≥24个，支持万兆电口≥24个，考虑未来安全扩展性；支持 40G跟100G 端口切换，切换后流量正常转发，无丢包；支持不低于三台核心设备虚拟化部署；MAC表≥1M，学习速率≥128K/S，IPv4 FIB表项≥3M，IPv6 FIB表项≥1M；内置智能管理功能，支持通过图形化界面设备配置及命令一键下发和版本智能升级；本次单台设备配置双引擎，双电源，千兆电口≥24个，千兆光口≥20个，万兆光口≥4个。要求提供原厂3年服务质保函；</w:t>
            </w:r>
          </w:p>
        </w:tc>
        <w:tc>
          <w:tcPr>
            <w:tcW w:w="1227"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szCs w:val="21"/>
                <w:highlight w:val="none"/>
              </w:rPr>
              <w:t>华三、华为、中兴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5" w:hRule="atLeast"/>
        </w:trPr>
        <w:tc>
          <w:tcPr>
            <w:tcW w:w="6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133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万兆多模光模块</w:t>
            </w:r>
          </w:p>
        </w:tc>
        <w:tc>
          <w:tcPr>
            <w:tcW w:w="79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20</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块</w:t>
            </w:r>
          </w:p>
        </w:tc>
        <w:tc>
          <w:tcPr>
            <w:tcW w:w="950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SFP+万兆模块(850nm,300m,LC)</w:t>
            </w:r>
          </w:p>
        </w:tc>
        <w:tc>
          <w:tcPr>
            <w:tcW w:w="1227"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kern w:val="0"/>
                <w:szCs w:val="21"/>
                <w:highlight w:val="none"/>
                <w:lang w:bidi="ar"/>
              </w:rPr>
            </w:pPr>
            <w:r>
              <w:rPr>
                <w:rFonts w:hint="eastAsia" w:ascii="宋体" w:hAnsi="宋体" w:cs="宋体"/>
                <w:color w:val="auto"/>
                <w:szCs w:val="21"/>
                <w:highlight w:val="none"/>
              </w:rPr>
              <w:t>华三、华为、中兴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5" w:hRule="atLeast"/>
        </w:trPr>
        <w:tc>
          <w:tcPr>
            <w:tcW w:w="66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5</w:t>
            </w:r>
          </w:p>
        </w:tc>
        <w:tc>
          <w:tcPr>
            <w:tcW w:w="133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40G多模光模块</w:t>
            </w:r>
          </w:p>
        </w:tc>
        <w:tc>
          <w:tcPr>
            <w:tcW w:w="79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4</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块</w:t>
            </w:r>
          </w:p>
        </w:tc>
        <w:tc>
          <w:tcPr>
            <w:tcW w:w="950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QSFP+40G光模块(850nm,100m,SR4,支持1分4)</w:t>
            </w:r>
          </w:p>
        </w:tc>
        <w:tc>
          <w:tcPr>
            <w:tcW w:w="1227"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szCs w:val="21"/>
                <w:highlight w:val="none"/>
              </w:rPr>
              <w:t>华三、华为、中兴</w:t>
            </w:r>
          </w:p>
        </w:tc>
      </w:tr>
    </w:tbl>
    <w:p>
      <w:pPr>
        <w:rPr>
          <w:rFonts w:ascii="仿宋_GB2312" w:hAnsi="仿宋_GB2312" w:eastAsia="仿宋_GB2312" w:cs="仿宋_GB2312"/>
          <w:b/>
          <w:bCs/>
          <w:color w:val="auto"/>
          <w:kern w:val="0"/>
          <w:sz w:val="24"/>
          <w:highlight w:val="none"/>
          <w:lang w:bidi="ar"/>
        </w:rPr>
      </w:pPr>
    </w:p>
    <w:p>
      <w:pPr>
        <w:spacing w:line="360" w:lineRule="auto"/>
        <w:ind w:firstLine="420" w:firstLineChars="200"/>
        <w:rPr>
          <w:color w:val="auto"/>
          <w:highlight w:val="none"/>
        </w:rPr>
      </w:pPr>
      <w:r>
        <w:rPr>
          <w:rFonts w:hint="eastAsia"/>
          <w:color w:val="auto"/>
          <w:highlight w:val="none"/>
          <w:lang w:val="zh-CN"/>
        </w:rPr>
        <w:t>（3）感知点位优化</w:t>
      </w:r>
    </w:p>
    <w:tbl>
      <w:tblPr>
        <w:tblStyle w:val="65"/>
        <w:tblW w:w="502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6"/>
        <w:gridCol w:w="1350"/>
        <w:gridCol w:w="775"/>
        <w:gridCol w:w="743"/>
        <w:gridCol w:w="9275"/>
        <w:gridCol w:w="14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1"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b/>
                <w:bCs/>
                <w:color w:val="auto"/>
                <w:kern w:val="0"/>
                <w:szCs w:val="21"/>
                <w:highlight w:val="none"/>
                <w:lang w:bidi="ar"/>
              </w:rPr>
              <w:t>序号</w:t>
            </w:r>
          </w:p>
        </w:tc>
        <w:tc>
          <w:tcPr>
            <w:tcW w:w="135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b/>
                <w:bCs/>
                <w:color w:val="auto"/>
                <w:szCs w:val="21"/>
                <w:highlight w:val="none"/>
              </w:rPr>
              <w:t>货物名称</w:t>
            </w:r>
          </w:p>
        </w:tc>
        <w:tc>
          <w:tcPr>
            <w:tcW w:w="77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b/>
                <w:bCs/>
                <w:color w:val="auto"/>
                <w:szCs w:val="21"/>
                <w:highlight w:val="none"/>
              </w:rPr>
              <w:t>数量</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b/>
                <w:bCs/>
                <w:color w:val="auto"/>
                <w:szCs w:val="21"/>
                <w:highlight w:val="none"/>
              </w:rPr>
              <w:t>单位</w:t>
            </w:r>
          </w:p>
        </w:tc>
        <w:tc>
          <w:tcPr>
            <w:tcW w:w="927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b/>
                <w:bCs/>
                <w:color w:val="auto"/>
                <w:szCs w:val="21"/>
                <w:highlight w:val="none"/>
              </w:rPr>
              <w:t>技术参数</w:t>
            </w:r>
          </w:p>
        </w:tc>
        <w:tc>
          <w:tcPr>
            <w:tcW w:w="1442"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b/>
                <w:bCs/>
                <w:color w:val="auto"/>
                <w:szCs w:val="21"/>
                <w:highlight w:val="none"/>
              </w:rPr>
              <w:t>参考品牌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1"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135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杆件拆除</w:t>
            </w:r>
          </w:p>
        </w:tc>
        <w:tc>
          <w:tcPr>
            <w:tcW w:w="77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7</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套</w:t>
            </w:r>
          </w:p>
        </w:tc>
        <w:tc>
          <w:tcPr>
            <w:tcW w:w="927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原杆件拆除，原机箱拆除</w:t>
            </w:r>
          </w:p>
        </w:tc>
        <w:tc>
          <w:tcPr>
            <w:tcW w:w="1442"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国产定制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1"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2</w:t>
            </w:r>
          </w:p>
        </w:tc>
        <w:tc>
          <w:tcPr>
            <w:tcW w:w="135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并杆安装调试</w:t>
            </w:r>
          </w:p>
        </w:tc>
        <w:tc>
          <w:tcPr>
            <w:tcW w:w="77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9</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套</w:t>
            </w:r>
          </w:p>
        </w:tc>
        <w:tc>
          <w:tcPr>
            <w:tcW w:w="927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包含合并杆件每个摄像机重新安装、立杆安装。</w:t>
            </w:r>
          </w:p>
        </w:tc>
        <w:tc>
          <w:tcPr>
            <w:tcW w:w="1442"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国产定制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1"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3</w:t>
            </w:r>
          </w:p>
        </w:tc>
        <w:tc>
          <w:tcPr>
            <w:tcW w:w="135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辅材</w:t>
            </w:r>
          </w:p>
        </w:tc>
        <w:tc>
          <w:tcPr>
            <w:tcW w:w="77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9</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套</w:t>
            </w:r>
          </w:p>
        </w:tc>
        <w:tc>
          <w:tcPr>
            <w:tcW w:w="927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包含每个摄像机安装的一切施工辅助材料（包括线管、网络跳线、水晶头、接地线、跳线、固定件架等）。</w:t>
            </w:r>
          </w:p>
        </w:tc>
        <w:tc>
          <w:tcPr>
            <w:tcW w:w="1442"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国产定制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1"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4</w:t>
            </w:r>
          </w:p>
        </w:tc>
        <w:tc>
          <w:tcPr>
            <w:tcW w:w="135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交换机</w:t>
            </w:r>
          </w:p>
        </w:tc>
        <w:tc>
          <w:tcPr>
            <w:tcW w:w="77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2</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个</w:t>
            </w:r>
          </w:p>
        </w:tc>
        <w:tc>
          <w:tcPr>
            <w:tcW w:w="927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8口千兆以太网交换机，支持传输速率10Mbps/100Mbps/1000Mbps。</w:t>
            </w:r>
          </w:p>
        </w:tc>
        <w:tc>
          <w:tcPr>
            <w:tcW w:w="1442"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szCs w:val="21"/>
                <w:highlight w:val="none"/>
              </w:rPr>
              <w:t>华三、华为、中兴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1"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5</w:t>
            </w:r>
          </w:p>
        </w:tc>
        <w:tc>
          <w:tcPr>
            <w:tcW w:w="135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无线网桥改造</w:t>
            </w:r>
          </w:p>
        </w:tc>
        <w:tc>
          <w:tcPr>
            <w:tcW w:w="77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100</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年/根</w:t>
            </w:r>
          </w:p>
        </w:tc>
        <w:tc>
          <w:tcPr>
            <w:tcW w:w="927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160/月，租赁1年，不包前端点位含光收发，包含到达公安分局地下一层机房光纤收发器，对使用无线网桥的前端感知点位进行网络改造。</w:t>
            </w:r>
          </w:p>
        </w:tc>
        <w:tc>
          <w:tcPr>
            <w:tcW w:w="1442"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移动、电信、联通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1"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6</w:t>
            </w:r>
          </w:p>
        </w:tc>
        <w:tc>
          <w:tcPr>
            <w:tcW w:w="135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无线网桥改造集成费</w:t>
            </w:r>
          </w:p>
        </w:tc>
        <w:tc>
          <w:tcPr>
            <w:tcW w:w="77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100</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个</w:t>
            </w:r>
          </w:p>
        </w:tc>
        <w:tc>
          <w:tcPr>
            <w:tcW w:w="927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参照接电改造进行感知点位无线网桥改造。</w:t>
            </w:r>
          </w:p>
        </w:tc>
        <w:tc>
          <w:tcPr>
            <w:tcW w:w="1442"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国产定制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1"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7</w:t>
            </w:r>
          </w:p>
        </w:tc>
        <w:tc>
          <w:tcPr>
            <w:tcW w:w="135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点位接电改造</w:t>
            </w:r>
          </w:p>
        </w:tc>
        <w:tc>
          <w:tcPr>
            <w:tcW w:w="77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50</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个</w:t>
            </w:r>
          </w:p>
        </w:tc>
        <w:tc>
          <w:tcPr>
            <w:tcW w:w="927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因轨道交通及道路施工改造所影响的感知点位进行接电改造。</w:t>
            </w:r>
          </w:p>
        </w:tc>
        <w:tc>
          <w:tcPr>
            <w:tcW w:w="1442"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国产定制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1"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8</w:t>
            </w:r>
          </w:p>
        </w:tc>
        <w:tc>
          <w:tcPr>
            <w:tcW w:w="135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前端网络改造</w:t>
            </w:r>
          </w:p>
        </w:tc>
        <w:tc>
          <w:tcPr>
            <w:tcW w:w="77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50</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台</w:t>
            </w:r>
          </w:p>
        </w:tc>
        <w:tc>
          <w:tcPr>
            <w:tcW w:w="927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对时延率教高的感知点位采购工业交换机进行网络改造，工业交换机参数不低于以下参数：</w:t>
            </w:r>
          </w:p>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工业以太网交换机主机支持4个10/100/1000BASE-T电口支持2个1000BASE-X SFP端口(AC）</w:t>
            </w:r>
          </w:p>
        </w:tc>
        <w:tc>
          <w:tcPr>
            <w:tcW w:w="1442"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华三、华为、中兴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1"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9</w:t>
            </w:r>
          </w:p>
        </w:tc>
        <w:tc>
          <w:tcPr>
            <w:tcW w:w="135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人脸识别感知点位补光灯</w:t>
            </w:r>
          </w:p>
        </w:tc>
        <w:tc>
          <w:tcPr>
            <w:tcW w:w="77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10</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套</w:t>
            </w:r>
          </w:p>
        </w:tc>
        <w:tc>
          <w:tcPr>
            <w:tcW w:w="927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防护等级IP66、显色指数≥90、有效补光区域：10米*5米、有效补光区域内任意一点最低照度≥3Lux（需提供公安部检测中心检测报告），工作环境：-55～+50℃，功率≤40W，原厂质保3年，自带一体化光控开关，通过国家CQC认证，</w:t>
            </w:r>
          </w:p>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投标产品获得</w:t>
            </w:r>
            <w:r>
              <w:rPr>
                <w:rFonts w:hint="eastAsia" w:ascii="宋体" w:hAnsi="宋体" w:cs="宋体"/>
                <w:color w:val="auto"/>
                <w:szCs w:val="21"/>
                <w:highlight w:val="none"/>
              </w:rPr>
              <w:t>无眩目道路监控特种补光灯证书。（投标文件中提供认证证书复印件）</w:t>
            </w:r>
          </w:p>
        </w:tc>
        <w:tc>
          <w:tcPr>
            <w:tcW w:w="1442"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莱特司 、威拉德 、久荣光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1"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10</w:t>
            </w:r>
          </w:p>
        </w:tc>
        <w:tc>
          <w:tcPr>
            <w:tcW w:w="135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治安监控感知点位补光灯</w:t>
            </w:r>
          </w:p>
        </w:tc>
        <w:tc>
          <w:tcPr>
            <w:tcW w:w="77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10</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套</w:t>
            </w:r>
          </w:p>
        </w:tc>
        <w:tc>
          <w:tcPr>
            <w:tcW w:w="927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防护等级IP66、显色指数≥90、有效补光区域：20米*10米、有效补光区域内任意一点最低照度≥3Lux（需提供公安部检测中心检测报告），工作环境：-55～+50℃，功率≤80W，原厂质保3年，自带一体化光控开关，通过国家CQC认证，制造商纳入公安部科技成果推广，</w:t>
            </w:r>
          </w:p>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投标产品获得</w:t>
            </w:r>
            <w:r>
              <w:rPr>
                <w:rFonts w:hint="eastAsia" w:ascii="宋体" w:hAnsi="宋体" w:cs="宋体"/>
                <w:color w:val="auto"/>
                <w:szCs w:val="21"/>
                <w:highlight w:val="none"/>
              </w:rPr>
              <w:t>无眩目道路监控特种补光灯证书。（投标文件中提供认证证书复印件）</w:t>
            </w:r>
          </w:p>
        </w:tc>
        <w:tc>
          <w:tcPr>
            <w:tcW w:w="1442"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莱特司 、威拉德 、久荣光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1"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11</w:t>
            </w:r>
          </w:p>
        </w:tc>
        <w:tc>
          <w:tcPr>
            <w:tcW w:w="135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安全防范分系统调试</w:t>
            </w:r>
          </w:p>
        </w:tc>
        <w:tc>
          <w:tcPr>
            <w:tcW w:w="77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套</w:t>
            </w:r>
          </w:p>
        </w:tc>
        <w:tc>
          <w:tcPr>
            <w:tcW w:w="927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电视监视系统调试</w:t>
            </w:r>
          </w:p>
        </w:tc>
        <w:tc>
          <w:tcPr>
            <w:tcW w:w="1442"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国产定制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1"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12</w:t>
            </w:r>
          </w:p>
        </w:tc>
        <w:tc>
          <w:tcPr>
            <w:tcW w:w="135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安全防范全系统调试</w:t>
            </w:r>
          </w:p>
        </w:tc>
        <w:tc>
          <w:tcPr>
            <w:tcW w:w="77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套</w:t>
            </w:r>
          </w:p>
        </w:tc>
        <w:tc>
          <w:tcPr>
            <w:tcW w:w="927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安防系统联合</w:t>
            </w:r>
          </w:p>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调试≤400点</w:t>
            </w:r>
          </w:p>
        </w:tc>
        <w:tc>
          <w:tcPr>
            <w:tcW w:w="1442"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国产定制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1"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13</w:t>
            </w:r>
          </w:p>
        </w:tc>
        <w:tc>
          <w:tcPr>
            <w:tcW w:w="135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安全防范全系统试运行</w:t>
            </w:r>
          </w:p>
        </w:tc>
        <w:tc>
          <w:tcPr>
            <w:tcW w:w="77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套</w:t>
            </w:r>
          </w:p>
        </w:tc>
        <w:tc>
          <w:tcPr>
            <w:tcW w:w="927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安全防范系统工程</w:t>
            </w:r>
          </w:p>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试运行</w:t>
            </w:r>
          </w:p>
        </w:tc>
        <w:tc>
          <w:tcPr>
            <w:tcW w:w="1442"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国产定制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1" w:hRule="atLeast"/>
        </w:trPr>
        <w:tc>
          <w:tcPr>
            <w:tcW w:w="666"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14</w:t>
            </w:r>
          </w:p>
        </w:tc>
        <w:tc>
          <w:tcPr>
            <w:tcW w:w="1350"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脚手架搭拆</w:t>
            </w:r>
          </w:p>
        </w:tc>
        <w:tc>
          <w:tcPr>
            <w:tcW w:w="77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w:t>
            </w:r>
          </w:p>
        </w:tc>
        <w:tc>
          <w:tcPr>
            <w:tcW w:w="743"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套</w:t>
            </w:r>
          </w:p>
        </w:tc>
        <w:tc>
          <w:tcPr>
            <w:tcW w:w="9275"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脚手架搭拆</w:t>
            </w:r>
          </w:p>
        </w:tc>
        <w:tc>
          <w:tcPr>
            <w:tcW w:w="1442" w:type="dxa"/>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国产定制</w:t>
            </w:r>
          </w:p>
        </w:tc>
      </w:tr>
    </w:tbl>
    <w:p>
      <w:pPr>
        <w:pStyle w:val="63"/>
        <w:rPr>
          <w:color w:val="auto"/>
          <w:highlight w:val="none"/>
          <w:lang w:val="en-US"/>
        </w:rPr>
      </w:pPr>
    </w:p>
    <w:p>
      <w:pPr>
        <w:rPr>
          <w:color w:val="auto"/>
          <w:highlight w:val="none"/>
        </w:rPr>
      </w:pPr>
    </w:p>
    <w:p>
      <w:pPr>
        <w:rPr>
          <w:color w:val="auto"/>
          <w:highlight w:val="none"/>
        </w:rPr>
      </w:pPr>
    </w:p>
    <w:p>
      <w:pPr>
        <w:pStyle w:val="63"/>
        <w:rPr>
          <w:color w:val="auto"/>
          <w:highlight w:val="none"/>
          <w:lang w:val="en-US"/>
        </w:rPr>
      </w:pPr>
    </w:p>
    <w:p>
      <w:pPr>
        <w:numPr>
          <w:ilvl w:val="0"/>
          <w:numId w:val="3"/>
        </w:numPr>
        <w:rPr>
          <w:color w:val="auto"/>
          <w:highlight w:val="none"/>
        </w:rPr>
        <w:sectPr>
          <w:footerReference r:id="rId8" w:type="default"/>
          <w:pgSz w:w="16838" w:h="11906" w:orient="landscape"/>
          <w:pgMar w:top="1803" w:right="1440" w:bottom="1803" w:left="1440" w:header="851" w:footer="992" w:gutter="0"/>
          <w:cols w:space="0" w:num="1"/>
          <w:docGrid w:type="lines" w:linePitch="319" w:charSpace="0"/>
        </w:sectPr>
      </w:pPr>
    </w:p>
    <w:p>
      <w:pPr>
        <w:spacing w:line="360" w:lineRule="auto"/>
        <w:rPr>
          <w:rFonts w:hint="eastAsia" w:ascii="宋体" w:hAnsi="宋体" w:eastAsia="宋体" w:cs="宋体"/>
          <w:b/>
          <w:bCs/>
          <w:color w:val="auto"/>
          <w:szCs w:val="21"/>
          <w:highlight w:val="none"/>
        </w:rPr>
      </w:pPr>
      <w:r>
        <w:rPr>
          <w:rFonts w:hint="eastAsia" w:ascii="宋体" w:hAnsi="宋体" w:eastAsia="宋体" w:cs="宋体"/>
          <w:b/>
          <w:bCs/>
          <w:color w:val="auto"/>
          <w:sz w:val="21"/>
          <w:szCs w:val="21"/>
          <w:highlight w:val="none"/>
          <w:lang w:val="en-US"/>
        </w:rPr>
        <w:t>标项二</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Cs w:val="21"/>
          <w:highlight w:val="none"/>
        </w:rPr>
        <w:t>高新区公共视频监控一体化平台标项二</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一、招标内容</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1.社会面接入网建设</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对高新区社会面视频资源（三类点）统一建设接入网，进行安全接入。</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2.社会面视频接入转发系统建设</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在社会面接入网搭建社会面视频接入转发系统，对接入的视频进行统一共享应用。</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3.社会面图像接入转发系统建设</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改造无感小门电子政务外网安全接入系统为社会面图像接入转发系统，安全接入人脸、门禁道闸、车辆道闸、访客机等数据。</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4.公安视频专网扩容</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提升公安视频专网内部传输能力，构建网络安全防护能力，提档升级为区公共安全视频传输网。</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5.区公安分局视频信息共享平台升级</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按照一类点标准安全统接高新区二类点资源，购置车辆大数据模块、配置国标网管、搭建综合运维管理平台，并且依托多维数据接入转发系统使区公安分局视频信息共享平台升级为区公共安全视频图像信息共享平台公安分平台。</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6.存储扩容</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根据建设任务要求，增加高新技术产业开发区公安分局存储系统容量。</w:t>
      </w:r>
    </w:p>
    <w:p>
      <w:pPr>
        <w:pStyle w:val="63"/>
        <w:rPr>
          <w:rFonts w:hAnsi="宋体" w:cs="宋体"/>
          <w:color w:val="auto"/>
          <w:sz w:val="21"/>
          <w:szCs w:val="21"/>
          <w:highlight w:val="none"/>
          <w:lang w:val="en-US"/>
        </w:rPr>
      </w:pPr>
    </w:p>
    <w:p>
      <w:pPr>
        <w:numPr>
          <w:ilvl w:val="0"/>
          <w:numId w:val="3"/>
        </w:numPr>
        <w:rPr>
          <w:rFonts w:ascii="宋体" w:hAnsi="宋体" w:cs="宋体"/>
          <w:color w:val="auto"/>
          <w:szCs w:val="21"/>
          <w:highlight w:val="none"/>
        </w:rPr>
        <w:sectPr>
          <w:pgSz w:w="11906" w:h="16838"/>
          <w:pgMar w:top="1440" w:right="1800" w:bottom="1440" w:left="1800" w:header="851" w:footer="992" w:gutter="0"/>
          <w:cols w:space="425" w:num="1"/>
          <w:docGrid w:type="lines" w:linePitch="312" w:charSpace="0"/>
        </w:sectPr>
      </w:pP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二、技术参数</w:t>
      </w:r>
    </w:p>
    <w:p>
      <w:pPr>
        <w:rPr>
          <w:rFonts w:ascii="宋体" w:hAnsi="宋体" w:cs="宋体"/>
          <w:b/>
          <w:bCs/>
          <w:color w:val="auto"/>
          <w:kern w:val="0"/>
          <w:szCs w:val="21"/>
          <w:highlight w:val="none"/>
          <w:lang w:bidi="ar"/>
        </w:rPr>
      </w:pPr>
      <w:r>
        <w:rPr>
          <w:rFonts w:hint="eastAsia" w:ascii="宋体" w:hAnsi="宋体" w:cs="宋体"/>
          <w:b/>
          <w:bCs/>
          <w:color w:val="auto"/>
          <w:kern w:val="0"/>
          <w:szCs w:val="21"/>
          <w:highlight w:val="none"/>
          <w:lang w:bidi="ar"/>
        </w:rPr>
        <w:t>（一）社会面接入网建设</w:t>
      </w:r>
    </w:p>
    <w:tbl>
      <w:tblPr>
        <w:tblStyle w:val="65"/>
        <w:tblW w:w="495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2"/>
        <w:gridCol w:w="852"/>
        <w:gridCol w:w="641"/>
        <w:gridCol w:w="624"/>
        <w:gridCol w:w="739"/>
        <w:gridCol w:w="8780"/>
        <w:gridCol w:w="17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62"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w:t>
            </w:r>
          </w:p>
        </w:tc>
        <w:tc>
          <w:tcPr>
            <w:tcW w:w="531" w:type="pct"/>
            <w:gridSpan w:val="2"/>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核心交换机</w:t>
            </w:r>
          </w:p>
        </w:tc>
        <w:tc>
          <w:tcPr>
            <w:tcW w:w="221"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1</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台</w:t>
            </w:r>
          </w:p>
        </w:tc>
        <w:tc>
          <w:tcPr>
            <w:tcW w:w="3123"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不低于以下参数：交换容量≥76Tbps，包转发率≥8600Mpps；业务插槽数≥6个，</w:t>
            </w:r>
          </w:p>
          <w:p>
            <w:pPr>
              <w:widowControl/>
              <w:spacing w:line="360" w:lineRule="auto"/>
              <w:jc w:val="left"/>
              <w:textAlignment w:val="center"/>
              <w:rPr>
                <w:rFonts w:hint="eastAsia" w:ascii="宋体" w:hAnsi="宋体" w:eastAsia="宋体" w:cs="宋体"/>
                <w:color w:val="auto"/>
                <w:kern w:val="0"/>
                <w:szCs w:val="21"/>
                <w:highlight w:val="none"/>
                <w:lang w:eastAsia="zh-CN" w:bidi="ar"/>
              </w:rPr>
            </w:pPr>
            <w:r>
              <w:rPr>
                <w:rFonts w:hint="eastAsia" w:ascii="宋体" w:hAnsi="宋体" w:cs="宋体"/>
                <w:color w:val="auto"/>
                <w:kern w:val="0"/>
                <w:szCs w:val="21"/>
                <w:highlight w:val="none"/>
                <w:lang w:bidi="ar"/>
              </w:rPr>
              <w:t>单槽位支持100G接口≥4个，支持40G接口≥24个，支持万兆电口≥24个，考虑未来安全扩展性</w:t>
            </w:r>
            <w:r>
              <w:rPr>
                <w:rFonts w:hint="eastAsia" w:ascii="宋体" w:hAnsi="宋体" w:cs="宋体"/>
                <w:color w:val="auto"/>
                <w:kern w:val="0"/>
                <w:szCs w:val="21"/>
                <w:highlight w:val="none"/>
                <w:lang w:eastAsia="zh-CN" w:bidi="ar"/>
              </w:rPr>
              <w:t>。</w:t>
            </w:r>
          </w:p>
          <w:p>
            <w:pPr>
              <w:widowControl/>
              <w:spacing w:line="360" w:lineRule="auto"/>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支持 40G跟100G 端口切换，切换后流量正常转发，无丢包；支持不低于三台核心设备虚拟化部署；MAC表≥1M，学习速率≥128K/S，IPv4 FIB表项≥3M，IPv6 FIB表项≥1M；内置智能管理功能，支持通过图形化界面设备配置及命令一键下发和版本智能升级；本次单台设备配置双引擎，双电源，千兆电口≥24个，千兆光口≥44个，万兆光口≥8个。要求提供原厂3年服务质保函；</w:t>
            </w:r>
          </w:p>
        </w:tc>
        <w:tc>
          <w:tcPr>
            <w:tcW w:w="62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szCs w:val="21"/>
                <w:highlight w:val="none"/>
              </w:rPr>
              <w:t>华三、华为、中兴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62"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2</w:t>
            </w:r>
          </w:p>
        </w:tc>
        <w:tc>
          <w:tcPr>
            <w:tcW w:w="531" w:type="pct"/>
            <w:gridSpan w:val="2"/>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接入交换机</w:t>
            </w:r>
          </w:p>
        </w:tc>
        <w:tc>
          <w:tcPr>
            <w:tcW w:w="221"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台</w:t>
            </w:r>
          </w:p>
        </w:tc>
        <w:tc>
          <w:tcPr>
            <w:tcW w:w="3123"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千兆电接口数量≥48个，万兆光接口数量≥6个；交换容量≥680Gbps，转发性能≥170Mpps，冗余交流电源模块，要求提供原厂3年服务质保函；</w:t>
            </w:r>
          </w:p>
          <w:p>
            <w:pPr>
              <w:widowControl/>
              <w:spacing w:line="360" w:lineRule="auto"/>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工作环境温度-5ºC～45ºC;</w:t>
            </w:r>
          </w:p>
          <w:p>
            <w:pPr>
              <w:widowControl/>
              <w:spacing w:line="360" w:lineRule="auto"/>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整机最大路由地址表≥12K、ARP地址表≥8K、MAC地址表≥32K;</w:t>
            </w:r>
          </w:p>
          <w:p>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支持ERPS功能，收敛时间小于50ms；</w:t>
            </w:r>
          </w:p>
        </w:tc>
        <w:tc>
          <w:tcPr>
            <w:tcW w:w="62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kern w:val="0"/>
                <w:szCs w:val="21"/>
                <w:highlight w:val="none"/>
                <w:lang w:bidi="ar"/>
              </w:rPr>
            </w:pPr>
            <w:r>
              <w:rPr>
                <w:rFonts w:hint="eastAsia" w:ascii="宋体" w:hAnsi="宋体" w:cs="宋体"/>
                <w:color w:val="auto"/>
                <w:szCs w:val="21"/>
                <w:highlight w:val="none"/>
              </w:rPr>
              <w:t>华三、华为、中兴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2"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3</w:t>
            </w:r>
          </w:p>
        </w:tc>
        <w:tc>
          <w:tcPr>
            <w:tcW w:w="531" w:type="pct"/>
            <w:gridSpan w:val="2"/>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万兆多模光模块</w:t>
            </w:r>
          </w:p>
        </w:tc>
        <w:tc>
          <w:tcPr>
            <w:tcW w:w="221"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20</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块</w:t>
            </w:r>
          </w:p>
        </w:tc>
        <w:tc>
          <w:tcPr>
            <w:tcW w:w="3123"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SFP+万兆模块(850nm,300m,LC)</w:t>
            </w:r>
          </w:p>
        </w:tc>
        <w:tc>
          <w:tcPr>
            <w:tcW w:w="62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szCs w:val="21"/>
                <w:highlight w:val="none"/>
              </w:rPr>
              <w:t>华三、华为、中兴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531" w:type="pct"/>
            <w:gridSpan w:val="2"/>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40G多模光模块</w:t>
            </w:r>
          </w:p>
        </w:tc>
        <w:tc>
          <w:tcPr>
            <w:tcW w:w="221"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块</w:t>
            </w:r>
          </w:p>
        </w:tc>
        <w:tc>
          <w:tcPr>
            <w:tcW w:w="3123"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QSFP+40G光模块(850nm,100m,SR4,支持1分4)</w:t>
            </w:r>
          </w:p>
        </w:tc>
        <w:tc>
          <w:tcPr>
            <w:tcW w:w="62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kern w:val="0"/>
                <w:szCs w:val="21"/>
                <w:highlight w:val="none"/>
                <w:lang w:bidi="ar"/>
              </w:rPr>
            </w:pPr>
            <w:r>
              <w:rPr>
                <w:rFonts w:hint="eastAsia" w:ascii="宋体" w:hAnsi="宋体" w:cs="宋体"/>
                <w:color w:val="auto"/>
                <w:szCs w:val="21"/>
                <w:highlight w:val="none"/>
              </w:rPr>
              <w:t>华三、华为、中兴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4"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5</w:t>
            </w:r>
          </w:p>
        </w:tc>
        <w:tc>
          <w:tcPr>
            <w:tcW w:w="531" w:type="pct"/>
            <w:gridSpan w:val="2"/>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防火墙</w:t>
            </w:r>
          </w:p>
        </w:tc>
        <w:tc>
          <w:tcPr>
            <w:tcW w:w="221"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1</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台</w:t>
            </w:r>
          </w:p>
        </w:tc>
        <w:tc>
          <w:tcPr>
            <w:tcW w:w="3123"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不低于以下参数：</w:t>
            </w:r>
          </w:p>
          <w:p>
            <w:pPr>
              <w:widowControl/>
              <w:spacing w:line="360" w:lineRule="auto"/>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整机网络吞吐量≥40Gbps，最大并发连接数≥2000，应用层吞吐量≥17G；整机10M/100M/1000M自适应电接口数量≥12，万兆接口总数≥16，40GE接口≥4，接口无路由/交换/LAN/WAN等固化区分，均可作为二三层接口使用，支持多桥组部署，要求提供产品正面照片；</w:t>
            </w:r>
          </w:p>
          <w:p>
            <w:pPr>
              <w:widowControl/>
              <w:spacing w:line="360" w:lineRule="auto"/>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★支持端口镜像功能，支持入流量、出流量和双向流量等维度镜像，</w:t>
            </w:r>
            <w:r>
              <w:rPr>
                <w:rFonts w:hint="eastAsia" w:ascii="宋体" w:hAnsi="宋体" w:cs="宋体"/>
                <w:color w:val="auto"/>
                <w:kern w:val="0"/>
                <w:szCs w:val="21"/>
                <w:highlight w:val="none"/>
                <w:lang w:val="en-US" w:eastAsia="zh-CN" w:bidi="ar"/>
              </w:rPr>
              <w:t>投标文件中提供</w:t>
            </w:r>
            <w:r>
              <w:rPr>
                <w:rFonts w:hint="eastAsia" w:ascii="宋体" w:hAnsi="宋体" w:cs="宋体"/>
                <w:color w:val="auto"/>
                <w:kern w:val="0"/>
                <w:szCs w:val="21"/>
                <w:highlight w:val="none"/>
                <w:lang w:bidi="ar"/>
              </w:rPr>
              <w:t>web配置界面截图；</w:t>
            </w:r>
          </w:p>
          <w:p>
            <w:pPr>
              <w:widowControl/>
              <w:spacing w:line="360" w:lineRule="auto"/>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支持路由模式、透明（网桥）模式、混合模式、旁路模式；旁路部署支持加入2个以上物理接口，无需接口对；部署模式切换无需重启设备；支持七元组策略路由，支持基于线路权重进行负载转发；支持IPv6/v4双栈，支持IPv6安全策略、包括审计策略、NAT策略、流量控制策略、会话控制策略、黑名单、白名单、认证策略等，支持IPv6 Ready认证；要求配置：双电源，双风扇，要求提供原厂3年服务质保函；</w:t>
            </w:r>
          </w:p>
        </w:tc>
        <w:tc>
          <w:tcPr>
            <w:tcW w:w="62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华三、华为、中兴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80" w:hRule="atLeast"/>
        </w:trPr>
        <w:tc>
          <w:tcPr>
            <w:tcW w:w="235" w:type="pct"/>
            <w:vMerge w:val="restar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6</w:t>
            </w:r>
          </w:p>
        </w:tc>
        <w:tc>
          <w:tcPr>
            <w:tcW w:w="303" w:type="pct"/>
            <w:vMerge w:val="restar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视频网闸</w:t>
            </w:r>
          </w:p>
        </w:tc>
        <w:tc>
          <w:tcPr>
            <w:tcW w:w="228"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安全视频交换系统</w:t>
            </w:r>
          </w:p>
        </w:tc>
        <w:tc>
          <w:tcPr>
            <w:tcW w:w="221" w:type="pct"/>
            <w:vMerge w:val="restar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262" w:type="pct"/>
            <w:vMerge w:val="restar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3123"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rPr>
                <w:rFonts w:ascii="宋体" w:hAnsi="宋体" w:cs="宋体"/>
                <w:color w:val="auto"/>
                <w:szCs w:val="21"/>
                <w:highlight w:val="none"/>
              </w:rPr>
            </w:pPr>
            <w:r>
              <w:rPr>
                <w:rFonts w:hint="eastAsia" w:ascii="宋体" w:hAnsi="宋体" w:cs="宋体"/>
                <w:color w:val="auto"/>
                <w:szCs w:val="21"/>
                <w:highlight w:val="none"/>
              </w:rPr>
              <w:t>不低于以下参数：</w:t>
            </w:r>
          </w:p>
          <w:p>
            <w:pPr>
              <w:rPr>
                <w:rFonts w:ascii="宋体" w:hAnsi="宋体" w:cs="宋体"/>
                <w:color w:val="auto"/>
                <w:szCs w:val="21"/>
                <w:highlight w:val="none"/>
              </w:rPr>
            </w:pPr>
            <w:r>
              <w:rPr>
                <w:rFonts w:hint="eastAsia" w:ascii="宋体" w:hAnsi="宋体" w:cs="宋体"/>
                <w:color w:val="auto"/>
                <w:szCs w:val="21"/>
                <w:highlight w:val="none"/>
              </w:rPr>
              <w:t>CPU:采用国产兆芯CPU</w:t>
            </w:r>
          </w:p>
          <w:p>
            <w:pPr>
              <w:rPr>
                <w:rFonts w:ascii="宋体" w:hAnsi="宋体" w:cs="宋体"/>
                <w:color w:val="auto"/>
                <w:szCs w:val="21"/>
                <w:highlight w:val="none"/>
              </w:rPr>
            </w:pPr>
            <w:r>
              <w:rPr>
                <w:rFonts w:hint="eastAsia" w:ascii="宋体" w:hAnsi="宋体" w:cs="宋体"/>
                <w:color w:val="auto"/>
                <w:szCs w:val="21"/>
                <w:highlight w:val="none"/>
              </w:rPr>
              <w:t>操作系统：中标麒麟</w:t>
            </w:r>
          </w:p>
          <w:p>
            <w:pPr>
              <w:rPr>
                <w:rFonts w:ascii="宋体" w:hAnsi="宋体" w:cs="宋体"/>
                <w:color w:val="auto"/>
                <w:szCs w:val="21"/>
                <w:highlight w:val="none"/>
              </w:rPr>
            </w:pPr>
            <w:r>
              <w:rPr>
                <w:rFonts w:hint="eastAsia" w:ascii="宋体" w:hAnsi="宋体" w:cs="宋体"/>
                <w:color w:val="auto"/>
                <w:szCs w:val="21"/>
                <w:highlight w:val="none"/>
              </w:rPr>
              <w:t>采用2+1硬件结构并具备自主知识产品的硬件隔离模件，自主研发生产的基于HRI技术的高速数据隔离交换卡，保障系统运行在高安全性和保密性的状态下，不支持通用通讯协议，不可编程。冗余电源，正面显示液晶面板；</w:t>
            </w:r>
          </w:p>
          <w:p>
            <w:pPr>
              <w:rPr>
                <w:rFonts w:ascii="宋体" w:hAnsi="宋体" w:cs="宋体"/>
                <w:color w:val="auto"/>
                <w:szCs w:val="21"/>
                <w:highlight w:val="none"/>
              </w:rPr>
            </w:pPr>
            <w:r>
              <w:rPr>
                <w:rFonts w:hint="eastAsia" w:ascii="宋体" w:hAnsi="宋体" w:cs="宋体"/>
                <w:color w:val="auto"/>
                <w:szCs w:val="21"/>
                <w:highlight w:val="none"/>
              </w:rPr>
              <w:t>内网接口：8个10/100M/1000M电口，4个万兆光纤接口，2个USB接口；</w:t>
            </w:r>
          </w:p>
          <w:p>
            <w:pPr>
              <w:rPr>
                <w:rFonts w:ascii="宋体" w:hAnsi="宋体" w:cs="宋体"/>
                <w:color w:val="auto"/>
                <w:szCs w:val="21"/>
                <w:highlight w:val="none"/>
              </w:rPr>
            </w:pPr>
            <w:r>
              <w:rPr>
                <w:rFonts w:hint="eastAsia" w:ascii="宋体" w:hAnsi="宋体" w:cs="宋体"/>
                <w:color w:val="auto"/>
                <w:szCs w:val="21"/>
                <w:highlight w:val="none"/>
              </w:rPr>
              <w:t>外网接口：8个10/100M/1000M电口，4个万兆光纤接口，2个USB接口；</w:t>
            </w:r>
          </w:p>
          <w:p>
            <w:pPr>
              <w:rPr>
                <w:rFonts w:ascii="宋体" w:hAnsi="宋体" w:cs="宋体"/>
                <w:color w:val="auto"/>
                <w:szCs w:val="21"/>
                <w:highlight w:val="none"/>
              </w:rPr>
            </w:pPr>
            <w:r>
              <w:rPr>
                <w:rFonts w:hint="eastAsia" w:ascii="宋体" w:hAnsi="宋体" w:cs="宋体"/>
                <w:color w:val="auto"/>
                <w:szCs w:val="21"/>
                <w:highlight w:val="none"/>
              </w:rPr>
              <w:t>性能指标：</w:t>
            </w:r>
          </w:p>
          <w:p>
            <w:pPr>
              <w:rPr>
                <w:rFonts w:ascii="宋体" w:hAnsi="宋体" w:cs="宋体"/>
                <w:color w:val="auto"/>
                <w:szCs w:val="21"/>
                <w:highlight w:val="none"/>
              </w:rPr>
            </w:pPr>
            <w:r>
              <w:rPr>
                <w:rFonts w:hint="eastAsia" w:ascii="宋体" w:hAnsi="宋体" w:cs="宋体"/>
                <w:color w:val="auto"/>
                <w:szCs w:val="21"/>
                <w:highlight w:val="none"/>
              </w:rPr>
              <w:t>稳定性运行时间(MTBF) &gt;60000小时；</w:t>
            </w:r>
          </w:p>
          <w:p>
            <w:pPr>
              <w:rPr>
                <w:rFonts w:ascii="宋体" w:hAnsi="宋体" w:cs="宋体"/>
                <w:color w:val="auto"/>
                <w:szCs w:val="21"/>
                <w:highlight w:val="none"/>
              </w:rPr>
            </w:pPr>
            <w:r>
              <w:rPr>
                <w:rFonts w:hint="eastAsia" w:ascii="宋体" w:hAnsi="宋体" w:cs="宋体"/>
                <w:color w:val="auto"/>
                <w:szCs w:val="21"/>
                <w:highlight w:val="none"/>
              </w:rPr>
              <w:t>★传输延时&lt;=20us；（投标文件中提供检测报告复印件）</w:t>
            </w:r>
          </w:p>
          <w:p>
            <w:pPr>
              <w:rPr>
                <w:rFonts w:ascii="宋体" w:hAnsi="宋体" w:cs="宋体"/>
                <w:color w:val="auto"/>
                <w:szCs w:val="21"/>
                <w:highlight w:val="none"/>
              </w:rPr>
            </w:pPr>
            <w:r>
              <w:rPr>
                <w:rFonts w:hint="eastAsia" w:ascii="宋体" w:hAnsi="宋体" w:cs="宋体"/>
                <w:color w:val="auto"/>
                <w:szCs w:val="21"/>
                <w:highlight w:val="none"/>
              </w:rPr>
              <w:t>视频传输能力≥4000路D1并发；</w:t>
            </w:r>
          </w:p>
          <w:p>
            <w:pPr>
              <w:rPr>
                <w:rFonts w:ascii="宋体" w:hAnsi="宋体" w:cs="宋体"/>
                <w:color w:val="auto"/>
                <w:szCs w:val="21"/>
                <w:highlight w:val="none"/>
              </w:rPr>
            </w:pPr>
            <w:r>
              <w:rPr>
                <w:rFonts w:hint="eastAsia" w:ascii="宋体" w:hAnsi="宋体" w:cs="宋体"/>
                <w:color w:val="auto"/>
                <w:szCs w:val="21"/>
                <w:highlight w:val="none"/>
              </w:rPr>
              <w:t>吞吐量&gt;=8Gbps；</w:t>
            </w:r>
          </w:p>
          <w:p>
            <w:pPr>
              <w:rPr>
                <w:rFonts w:ascii="宋体" w:hAnsi="宋体" w:cs="宋体"/>
                <w:color w:val="auto"/>
                <w:szCs w:val="21"/>
                <w:highlight w:val="none"/>
              </w:rPr>
            </w:pPr>
            <w:r>
              <w:rPr>
                <w:rFonts w:hint="eastAsia" w:ascii="宋体" w:hAnsi="宋体" w:cs="宋体"/>
                <w:color w:val="auto"/>
                <w:szCs w:val="21"/>
                <w:highlight w:val="none"/>
              </w:rPr>
              <w:t>并发用户数≥2000个；</w:t>
            </w:r>
          </w:p>
          <w:p>
            <w:pPr>
              <w:rPr>
                <w:rFonts w:ascii="宋体" w:hAnsi="宋体" w:cs="宋体"/>
                <w:color w:val="auto"/>
                <w:szCs w:val="21"/>
                <w:highlight w:val="none"/>
              </w:rPr>
            </w:pPr>
            <w:r>
              <w:rPr>
                <w:rFonts w:hint="eastAsia" w:ascii="宋体" w:hAnsi="宋体" w:cs="宋体"/>
                <w:color w:val="auto"/>
                <w:szCs w:val="21"/>
                <w:highlight w:val="none"/>
              </w:rPr>
              <w:t>单台设备接入不同视频监控系统厂商≥5个；</w:t>
            </w:r>
          </w:p>
          <w:p>
            <w:pPr>
              <w:rPr>
                <w:rFonts w:ascii="宋体" w:hAnsi="宋体" w:cs="宋体"/>
                <w:color w:val="auto"/>
                <w:szCs w:val="21"/>
                <w:highlight w:val="none"/>
              </w:rPr>
            </w:pPr>
            <w:r>
              <w:rPr>
                <w:rFonts w:hint="eastAsia" w:ascii="宋体" w:hAnsi="宋体" w:cs="宋体"/>
                <w:color w:val="auto"/>
                <w:szCs w:val="21"/>
                <w:highlight w:val="none"/>
              </w:rPr>
              <w:t>支持设备集群堆叠数量≥16台。</w:t>
            </w:r>
          </w:p>
          <w:p>
            <w:pPr>
              <w:rPr>
                <w:rFonts w:ascii="宋体" w:hAnsi="宋体" w:cs="宋体"/>
                <w:color w:val="auto"/>
                <w:szCs w:val="21"/>
                <w:highlight w:val="none"/>
              </w:rPr>
            </w:pPr>
            <w:r>
              <w:rPr>
                <w:rFonts w:hint="eastAsia" w:ascii="宋体" w:hAnsi="宋体" w:cs="宋体"/>
                <w:color w:val="auto"/>
                <w:szCs w:val="21"/>
                <w:highlight w:val="none"/>
              </w:rPr>
              <w:t>功能要求：</w:t>
            </w:r>
          </w:p>
          <w:p>
            <w:pPr>
              <w:rPr>
                <w:rFonts w:ascii="宋体" w:hAnsi="宋体" w:cs="宋体"/>
                <w:color w:val="auto"/>
                <w:szCs w:val="21"/>
                <w:highlight w:val="none"/>
              </w:rPr>
            </w:pPr>
            <w:r>
              <w:rPr>
                <w:rFonts w:hint="eastAsia" w:ascii="宋体" w:hAnsi="宋体" w:cs="宋体"/>
                <w:color w:val="auto"/>
                <w:szCs w:val="21"/>
                <w:highlight w:val="none"/>
              </w:rPr>
              <w:t>能识别和检查视频编码格式和视频传输格式，允许合法的视频流通过。</w:t>
            </w:r>
          </w:p>
          <w:p>
            <w:pPr>
              <w:rPr>
                <w:rFonts w:ascii="宋体" w:hAnsi="宋体" w:cs="宋体"/>
                <w:color w:val="auto"/>
                <w:szCs w:val="21"/>
                <w:highlight w:val="none"/>
              </w:rPr>
            </w:pPr>
            <w:r>
              <w:rPr>
                <w:rFonts w:hint="eastAsia" w:ascii="宋体" w:hAnsi="宋体" w:cs="宋体"/>
                <w:color w:val="auto"/>
                <w:szCs w:val="21"/>
                <w:highlight w:val="none"/>
              </w:rPr>
              <w:t>能直接支持海康、大华、宇视、科达 、互信互通、华为、先进视讯、天视、博康、博路、贝尔等40多种视频协议；</w:t>
            </w:r>
          </w:p>
          <w:p>
            <w:pPr>
              <w:rPr>
                <w:rFonts w:ascii="宋体" w:hAnsi="宋体" w:cs="宋体"/>
                <w:color w:val="auto"/>
                <w:szCs w:val="21"/>
                <w:highlight w:val="none"/>
              </w:rPr>
            </w:pPr>
            <w:r>
              <w:rPr>
                <w:rFonts w:hint="eastAsia" w:ascii="宋体" w:hAnsi="宋体" w:cs="宋体"/>
                <w:color w:val="auto"/>
                <w:szCs w:val="21"/>
                <w:highlight w:val="none"/>
              </w:rPr>
              <w:t>设备能够识别和分析视频控制信令，并根据控制信令动态开放和关闭视频流传输通道。</w:t>
            </w:r>
          </w:p>
          <w:p>
            <w:pPr>
              <w:rPr>
                <w:rFonts w:ascii="宋体" w:hAnsi="宋体" w:cs="宋体"/>
                <w:color w:val="auto"/>
                <w:szCs w:val="21"/>
                <w:highlight w:val="none"/>
              </w:rPr>
            </w:pPr>
            <w:r>
              <w:rPr>
                <w:rFonts w:hint="eastAsia" w:ascii="宋体" w:hAnsi="宋体" w:cs="宋体"/>
                <w:color w:val="auto"/>
                <w:szCs w:val="21"/>
                <w:highlight w:val="none"/>
              </w:rPr>
              <w:t>具备公安数字证书认证功能，在身份认证的基础上实现用户对视频资源的授权访问，同时具备数字证书、Radius、用户名口令多因素认证功能。</w:t>
            </w:r>
          </w:p>
          <w:p>
            <w:pPr>
              <w:rPr>
                <w:rFonts w:ascii="宋体" w:hAnsi="宋体" w:cs="宋体"/>
                <w:color w:val="auto"/>
                <w:szCs w:val="21"/>
                <w:highlight w:val="none"/>
              </w:rPr>
            </w:pPr>
            <w:r>
              <w:rPr>
                <w:rFonts w:hint="eastAsia" w:ascii="宋体" w:hAnsi="宋体" w:cs="宋体"/>
                <w:color w:val="auto"/>
                <w:szCs w:val="21"/>
                <w:highlight w:val="none"/>
              </w:rPr>
              <w:t>符合跨区域视频监控联网共享技术规范（DB33/T629-2007）的要求，支持跨区域视频监控的联网共享要求，同时也完全符合《安全防范视频监控联网系统信息传输、交换、控制技术要求》（GB/T28181-2016）标准，能够很好的实现视频系统间的互联互通；</w:t>
            </w:r>
          </w:p>
          <w:p>
            <w:pPr>
              <w:rPr>
                <w:rFonts w:ascii="宋体" w:hAnsi="宋体" w:cs="宋体"/>
                <w:color w:val="auto"/>
                <w:szCs w:val="21"/>
                <w:highlight w:val="none"/>
              </w:rPr>
            </w:pPr>
            <w:r>
              <w:rPr>
                <w:rFonts w:hint="eastAsia" w:ascii="宋体" w:hAnsi="宋体" w:cs="宋体"/>
                <w:color w:val="auto"/>
                <w:szCs w:val="21"/>
                <w:highlight w:val="none"/>
              </w:rPr>
              <w:t>提供IP/MAC认证设备接入认证功能，具备跨三层交换机不同网段的IP/MAC认证功能。</w:t>
            </w:r>
          </w:p>
          <w:p>
            <w:pPr>
              <w:rPr>
                <w:rFonts w:ascii="宋体" w:hAnsi="宋体" w:cs="宋体"/>
                <w:color w:val="auto"/>
                <w:szCs w:val="21"/>
                <w:highlight w:val="none"/>
              </w:rPr>
            </w:pPr>
            <w:r>
              <w:rPr>
                <w:rFonts w:hint="eastAsia" w:ascii="宋体" w:hAnsi="宋体" w:cs="宋体"/>
                <w:color w:val="auto"/>
                <w:szCs w:val="21"/>
                <w:highlight w:val="none"/>
              </w:rPr>
              <w:t>设备能够对访问视频资源的源、目的IP、服务端口、访问时间等进行安全控制。</w:t>
            </w:r>
          </w:p>
        </w:tc>
        <w:tc>
          <w:tcPr>
            <w:tcW w:w="625" w:type="pct"/>
            <w:vMerge w:val="restar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国保金泰、利潽、上海辰锐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80" w:hRule="atLeast"/>
        </w:trPr>
        <w:tc>
          <w:tcPr>
            <w:tcW w:w="235" w:type="pct"/>
            <w:vMerge w:val="continue"/>
            <w:tcBorders>
              <w:left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cs="宋体"/>
                <w:color w:val="auto"/>
                <w:kern w:val="0"/>
                <w:szCs w:val="21"/>
                <w:highlight w:val="none"/>
                <w:lang w:bidi="ar"/>
              </w:rPr>
            </w:pPr>
          </w:p>
        </w:tc>
        <w:tc>
          <w:tcPr>
            <w:tcW w:w="303" w:type="pct"/>
            <w:vMerge w:val="continue"/>
            <w:tcBorders>
              <w:left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cs="宋体"/>
                <w:color w:val="auto"/>
                <w:kern w:val="0"/>
                <w:szCs w:val="21"/>
                <w:highlight w:val="none"/>
                <w:lang w:bidi="ar"/>
              </w:rPr>
            </w:pPr>
          </w:p>
        </w:tc>
        <w:tc>
          <w:tcPr>
            <w:tcW w:w="228"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视频前后置服务器</w:t>
            </w:r>
          </w:p>
        </w:tc>
        <w:tc>
          <w:tcPr>
            <w:tcW w:w="221" w:type="pct"/>
            <w:vMerge w:val="continue"/>
            <w:tcBorders>
              <w:left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0"/>
                <w:sz w:val="21"/>
                <w:szCs w:val="21"/>
                <w:highlight w:val="none"/>
                <w:lang w:val="en-US" w:eastAsia="zh-CN" w:bidi="ar"/>
              </w:rPr>
            </w:pPr>
          </w:p>
        </w:tc>
        <w:tc>
          <w:tcPr>
            <w:tcW w:w="262" w:type="pct"/>
            <w:vMerge w:val="continue"/>
            <w:tcBorders>
              <w:left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0"/>
                <w:sz w:val="21"/>
                <w:szCs w:val="21"/>
                <w:highlight w:val="none"/>
                <w:lang w:val="en-US" w:eastAsia="zh-CN" w:bidi="ar"/>
              </w:rPr>
            </w:pPr>
          </w:p>
        </w:tc>
        <w:tc>
          <w:tcPr>
            <w:tcW w:w="3123"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不低于以下参数：</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由接入认证服务器和用户认证服务器组成，标准机架式机箱。</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接入认证服务器：4个10/100M/1000M电口、4个万兆光纤接口，2个USB接口；</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用户认证服务器：4个10/100M/1000M电口、4个万兆光纤接口，2个USB接口；</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性能指标：</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稳定性运行时间(MTBF) &gt;60000小时；</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传输延时&lt;=20us；</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视频传输能力≥4000路D1并发；</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数据吞吐量≥8Gbps；</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并发用户数≥2000个；</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单台设备接入不同视频监控系统厂商≥5个；</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支持设备集群堆叠数量≥16台。</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功能要求：</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管理平台采用SSL加密方式实现对设备的安全管理。</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 xml:space="preserve">要求能直接支持海康、大华、宇视、科达 、互信互通、华为、先进视讯、天视、普天、中兴等不少于40多种视频控制协议； </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支持 IPV6 协议地址配置管理；</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设备支持负载均衡功能，采用旁路模式工作，不依赖第三方负载均衡设备实现流量负载均衡。</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要求对用户行为进行审计，包括正常登录，非法登录，非法请求，退出等；</w:t>
            </w:r>
          </w:p>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设备具有详细的日志系统，能够记录所有访问视频资源的行为日志、管理与配置日志、报警日志等，支持syslog日志输出。</w:t>
            </w:r>
          </w:p>
        </w:tc>
        <w:tc>
          <w:tcPr>
            <w:tcW w:w="625" w:type="pct"/>
            <w:vMerge w:val="continue"/>
            <w:tcBorders>
              <w:left w:val="single" w:color="4F81BD" w:sz="8" w:space="0"/>
              <w:right w:val="single" w:color="4F81BD" w:sz="8" w:space="0"/>
              <w:tl2br w:val="nil"/>
              <w:tr2bl w:val="nil"/>
            </w:tcBorders>
            <w:shd w:val="clear" w:color="auto" w:fill="FFFFFF"/>
            <w:vAlign w:val="center"/>
          </w:tcPr>
          <w:p>
            <w:pPr>
              <w:widowControl/>
              <w:spacing w:line="360" w:lineRule="auto"/>
              <w:jc w:val="left"/>
              <w:textAlignment w:val="center"/>
              <w:rPr>
                <w:rFonts w:hint="eastAsia" w:ascii="宋体" w:hAnsi="宋体" w:cs="宋体"/>
                <w:color w:val="auto"/>
                <w:szCs w:val="21"/>
                <w:highlight w:val="none"/>
              </w:rPr>
            </w:pPr>
          </w:p>
        </w:tc>
      </w:tr>
    </w:tbl>
    <w:p>
      <w:pPr>
        <w:pStyle w:val="63"/>
        <w:ind w:firstLine="0"/>
        <w:rPr>
          <w:rFonts w:hAnsi="宋体" w:cs="宋体"/>
          <w:color w:val="auto"/>
          <w:sz w:val="21"/>
          <w:szCs w:val="21"/>
          <w:highlight w:val="none"/>
          <w:lang w:val="en-US"/>
        </w:rPr>
      </w:pPr>
      <w:r>
        <w:rPr>
          <w:rFonts w:hint="eastAsia" w:hAnsi="宋体" w:cs="宋体"/>
          <w:b/>
          <w:bCs/>
          <w:color w:val="auto"/>
          <w:kern w:val="0"/>
          <w:sz w:val="21"/>
          <w:szCs w:val="21"/>
          <w:highlight w:val="none"/>
          <w:lang w:bidi="ar"/>
        </w:rPr>
        <w:t>（</w:t>
      </w:r>
      <w:r>
        <w:rPr>
          <w:rFonts w:hint="eastAsia" w:hAnsi="宋体" w:cs="宋体"/>
          <w:b/>
          <w:bCs/>
          <w:color w:val="auto"/>
          <w:kern w:val="0"/>
          <w:sz w:val="21"/>
          <w:szCs w:val="21"/>
          <w:highlight w:val="none"/>
          <w:lang w:val="en-US" w:bidi="ar"/>
        </w:rPr>
        <w:t>二</w:t>
      </w:r>
      <w:r>
        <w:rPr>
          <w:rFonts w:hint="eastAsia" w:hAnsi="宋体" w:cs="宋体"/>
          <w:b/>
          <w:bCs/>
          <w:color w:val="auto"/>
          <w:kern w:val="0"/>
          <w:sz w:val="21"/>
          <w:szCs w:val="21"/>
          <w:highlight w:val="none"/>
          <w:lang w:bidi="ar"/>
        </w:rPr>
        <w:t>）社会面视频接入转发系统建设</w:t>
      </w:r>
    </w:p>
    <w:tbl>
      <w:tblPr>
        <w:tblStyle w:val="65"/>
        <w:tblW w:w="495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2"/>
        <w:gridCol w:w="1494"/>
        <w:gridCol w:w="624"/>
        <w:gridCol w:w="739"/>
        <w:gridCol w:w="8766"/>
        <w:gridCol w:w="17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9"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531"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平台软件</w:t>
            </w:r>
          </w:p>
        </w:tc>
        <w:tc>
          <w:tcPr>
            <w:tcW w:w="221"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24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套</w:t>
            </w:r>
          </w:p>
        </w:tc>
        <w:tc>
          <w:tcPr>
            <w:tcW w:w="3118"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240" w:lineRule="auto"/>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1.支持不少于1万路视频接入授权；</w:t>
            </w:r>
          </w:p>
          <w:p>
            <w:pPr>
              <w:widowControl/>
              <w:spacing w:line="240" w:lineRule="auto"/>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2.提供统一的门户、支持系统内的组织、人员、车辆、用户、角色、认证、区域等的配置和管理；</w:t>
            </w:r>
          </w:p>
          <w:p>
            <w:pPr>
              <w:widowControl/>
              <w:spacing w:line="240" w:lineRule="auto"/>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3.用于平台对外标准化互联互通（跨网、异构）的组件。支持通用视频联网标准协议（GB/T28181）进行视频数据的接入、级联和共享；</w:t>
            </w:r>
          </w:p>
          <w:p>
            <w:pPr>
              <w:widowControl/>
              <w:spacing w:line="240" w:lineRule="auto"/>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4.支持视频预览、回放、录像下载；</w:t>
            </w:r>
          </w:p>
          <w:p>
            <w:pPr>
              <w:widowControl/>
              <w:spacing w:line="240" w:lineRule="auto"/>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5.支持IPC、人脸抓拍机、车辆抓拍机等轻智能、泛智能、合智能设备的接入；</w:t>
            </w:r>
          </w:p>
          <w:p>
            <w:pPr>
              <w:widowControl/>
              <w:spacing w:line="240" w:lineRule="auto"/>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6.支持以地图可视化模式为各类设备资源提供可视化展示及控制操作，在地图上可展示各类资源点的地理位置。</w:t>
            </w:r>
          </w:p>
          <w:p>
            <w:pPr>
              <w:widowControl/>
              <w:spacing w:line="240" w:lineRule="auto"/>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7.支持对用户进行管理，包括：新增、修改、删除、导入、导出、启用、禁用、实名人员、重置密码</w:t>
            </w:r>
          </w:p>
          <w:p>
            <w:pPr>
              <w:widowControl/>
              <w:spacing w:line="240" w:lineRule="auto"/>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8.支持角色管理，可设置不同角色权限，包括：菜单权限、组织权限、区域权限、资源权限、功能控制权限；</w:t>
            </w:r>
          </w:p>
          <w:p>
            <w:pPr>
              <w:widowControl/>
              <w:spacing w:line="240" w:lineRule="auto"/>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 xml:space="preserve">要求支持AD域 </w:t>
            </w:r>
          </w:p>
          <w:p>
            <w:pPr>
              <w:widowControl/>
              <w:spacing w:line="240" w:lineRule="auto"/>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支持物联设备接入能力：包括视频设备（包括人脸，车辆抓拍机）、门禁设备（包括人证设备）、出入口设备、卡口设备、温度设备、入侵报警设备、紧急报警设备、消防设备、热成像设备、NVR、智能NVR、智能分析设备等物联设备的接入  投标文件中提供检验报告证明复印件）</w:t>
            </w:r>
          </w:p>
        </w:tc>
        <w:tc>
          <w:tcPr>
            <w:tcW w:w="629"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szCs w:val="21"/>
                <w:highlight w:val="none"/>
              </w:rPr>
              <w:t>海康、大华、宇视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2</w:t>
            </w:r>
          </w:p>
        </w:tc>
        <w:tc>
          <w:tcPr>
            <w:tcW w:w="531"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流媒体</w:t>
            </w:r>
          </w:p>
        </w:tc>
        <w:tc>
          <w:tcPr>
            <w:tcW w:w="221"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1</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套</w:t>
            </w:r>
          </w:p>
        </w:tc>
        <w:tc>
          <w:tcPr>
            <w:tcW w:w="3118"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流媒体转发，不低于2000路转并发能力，媒体转发，支持直播，回放等。</w:t>
            </w:r>
          </w:p>
        </w:tc>
        <w:tc>
          <w:tcPr>
            <w:tcW w:w="629"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海康、大华、宇视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531"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国标网关</w:t>
            </w:r>
          </w:p>
        </w:tc>
        <w:tc>
          <w:tcPr>
            <w:tcW w:w="221"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套</w:t>
            </w:r>
          </w:p>
        </w:tc>
        <w:tc>
          <w:tcPr>
            <w:tcW w:w="3118"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基于国标GB/T28181和非国标联网标准实现视频监控平台间的级联、互联功能，支持多平台多层次级联，实现平台之间的跨域互联互通与资源共享，支持协议版本：</w:t>
            </w:r>
          </w:p>
        </w:tc>
        <w:tc>
          <w:tcPr>
            <w:tcW w:w="629"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szCs w:val="21"/>
                <w:highlight w:val="none"/>
              </w:rPr>
              <w:t>海康、大华、宇视</w:t>
            </w:r>
          </w:p>
        </w:tc>
      </w:tr>
    </w:tbl>
    <w:p>
      <w:pPr>
        <w:rPr>
          <w:rFonts w:ascii="宋体" w:hAnsi="宋体" w:cs="宋体"/>
          <w:color w:val="auto"/>
          <w:szCs w:val="21"/>
          <w:highlight w:val="none"/>
        </w:rPr>
      </w:pPr>
      <w:r>
        <w:rPr>
          <w:rFonts w:hint="eastAsia" w:ascii="宋体" w:hAnsi="宋体" w:cs="宋体"/>
          <w:b/>
          <w:bCs/>
          <w:color w:val="auto"/>
          <w:kern w:val="0"/>
          <w:szCs w:val="21"/>
          <w:highlight w:val="none"/>
          <w:lang w:bidi="ar"/>
        </w:rPr>
        <w:t>（三）社会面图像接入转发系统建设</w:t>
      </w:r>
    </w:p>
    <w:tbl>
      <w:tblPr>
        <w:tblStyle w:val="65"/>
        <w:tblW w:w="496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2"/>
        <w:gridCol w:w="853"/>
        <w:gridCol w:w="640"/>
        <w:gridCol w:w="625"/>
        <w:gridCol w:w="737"/>
        <w:gridCol w:w="8768"/>
        <w:gridCol w:w="17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3"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1</w:t>
            </w:r>
          </w:p>
        </w:tc>
        <w:tc>
          <w:tcPr>
            <w:tcW w:w="530" w:type="pct"/>
            <w:gridSpan w:val="2"/>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平台总览</w:t>
            </w:r>
          </w:p>
        </w:tc>
        <w:tc>
          <w:tcPr>
            <w:tcW w:w="22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人/月</w:t>
            </w:r>
          </w:p>
        </w:tc>
        <w:tc>
          <w:tcPr>
            <w:tcW w:w="3117"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原小门主页总览改造</w:t>
            </w:r>
          </w:p>
        </w:tc>
        <w:tc>
          <w:tcPr>
            <w:tcW w:w="631"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3"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5</w:t>
            </w:r>
          </w:p>
        </w:tc>
        <w:tc>
          <w:tcPr>
            <w:tcW w:w="303"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人脸数据接入</w:t>
            </w:r>
          </w:p>
        </w:tc>
        <w:tc>
          <w:tcPr>
            <w:tcW w:w="227"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人脸设备管理</w:t>
            </w:r>
          </w:p>
        </w:tc>
        <w:tc>
          <w:tcPr>
            <w:tcW w:w="22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人/月</w:t>
            </w:r>
          </w:p>
        </w:tc>
        <w:tc>
          <w:tcPr>
            <w:tcW w:w="3117"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通过社会面图像接入转发系统对前端人脸抓拍机进行区域划分、数量、运维巡检等进行综合管理。</w:t>
            </w:r>
          </w:p>
        </w:tc>
        <w:tc>
          <w:tcPr>
            <w:tcW w:w="631"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3"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6</w:t>
            </w:r>
          </w:p>
        </w:tc>
        <w:tc>
          <w:tcPr>
            <w:tcW w:w="303"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车辆道闸接入</w:t>
            </w:r>
          </w:p>
        </w:tc>
        <w:tc>
          <w:tcPr>
            <w:tcW w:w="227"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设备管理</w:t>
            </w:r>
          </w:p>
        </w:tc>
        <w:tc>
          <w:tcPr>
            <w:tcW w:w="22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人/月</w:t>
            </w:r>
          </w:p>
        </w:tc>
        <w:tc>
          <w:tcPr>
            <w:tcW w:w="3117"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该模块主要包括设备厂商基础信息维护、设备准入、设备档案、等管理模块。</w:t>
            </w:r>
          </w:p>
        </w:tc>
        <w:tc>
          <w:tcPr>
            <w:tcW w:w="631"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3"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11</w:t>
            </w:r>
          </w:p>
        </w:tc>
        <w:tc>
          <w:tcPr>
            <w:tcW w:w="303"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门禁道闸、访客机接入</w:t>
            </w:r>
          </w:p>
        </w:tc>
        <w:tc>
          <w:tcPr>
            <w:tcW w:w="227"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设备管理</w:t>
            </w:r>
          </w:p>
        </w:tc>
        <w:tc>
          <w:tcPr>
            <w:tcW w:w="22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人/月</w:t>
            </w:r>
          </w:p>
        </w:tc>
        <w:tc>
          <w:tcPr>
            <w:tcW w:w="3117"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通过门禁设备信息化管理，建立门禁设备管理档案，完成门禁设备全生命周期的初始化工作，门禁设备管理信息包含：所属单位、设备分类、设备编码、设备名称、规格型号、供应商信息、设备成本、设备图片、使用周期等信息，通过设备管理可汇总查询门禁设备详细情况。</w:t>
            </w:r>
          </w:p>
        </w:tc>
        <w:tc>
          <w:tcPr>
            <w:tcW w:w="631"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3"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13</w:t>
            </w:r>
          </w:p>
        </w:tc>
        <w:tc>
          <w:tcPr>
            <w:tcW w:w="303" w:type="pct"/>
            <w:vMerge w:val="restart"/>
            <w:tcBorders>
              <w:top w:val="single" w:color="4F81BD" w:sz="8" w:space="0"/>
              <w:left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数据资源建设</w:t>
            </w:r>
          </w:p>
        </w:tc>
        <w:tc>
          <w:tcPr>
            <w:tcW w:w="227"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数据接入</w:t>
            </w:r>
          </w:p>
        </w:tc>
        <w:tc>
          <w:tcPr>
            <w:tcW w:w="22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人/月</w:t>
            </w:r>
          </w:p>
        </w:tc>
        <w:tc>
          <w:tcPr>
            <w:tcW w:w="3117"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left"/>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社会面图像接入转发系统通过租赁链路与人脸、门禁道闸、车辆道闸所在网络平台服务器进行对接，实现数据接入。</w:t>
            </w:r>
          </w:p>
        </w:tc>
        <w:tc>
          <w:tcPr>
            <w:tcW w:w="631"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3"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14</w:t>
            </w:r>
          </w:p>
        </w:tc>
        <w:tc>
          <w:tcPr>
            <w:tcW w:w="303" w:type="pct"/>
            <w:vMerge w:val="continue"/>
            <w:tcBorders>
              <w:left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cs="宋体"/>
                <w:color w:val="auto"/>
                <w:szCs w:val="21"/>
                <w:highlight w:val="none"/>
              </w:rPr>
            </w:pPr>
          </w:p>
        </w:tc>
        <w:tc>
          <w:tcPr>
            <w:tcW w:w="227"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数据同步</w:t>
            </w:r>
          </w:p>
        </w:tc>
        <w:tc>
          <w:tcPr>
            <w:tcW w:w="22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人/月</w:t>
            </w:r>
          </w:p>
        </w:tc>
        <w:tc>
          <w:tcPr>
            <w:tcW w:w="3117"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left"/>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社会面图像接入转发系统与多平台、多设备进行互联互通，通过软硬件方式进行数据通信</w:t>
            </w:r>
          </w:p>
        </w:tc>
        <w:tc>
          <w:tcPr>
            <w:tcW w:w="631"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3"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15</w:t>
            </w:r>
          </w:p>
        </w:tc>
        <w:tc>
          <w:tcPr>
            <w:tcW w:w="303" w:type="pct"/>
            <w:vMerge w:val="continue"/>
            <w:tcBorders>
              <w:left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cs="宋体"/>
                <w:color w:val="auto"/>
                <w:szCs w:val="21"/>
                <w:highlight w:val="none"/>
              </w:rPr>
            </w:pPr>
          </w:p>
        </w:tc>
        <w:tc>
          <w:tcPr>
            <w:tcW w:w="227"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数据整合</w:t>
            </w:r>
          </w:p>
        </w:tc>
        <w:tc>
          <w:tcPr>
            <w:tcW w:w="22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2</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人/月</w:t>
            </w:r>
          </w:p>
        </w:tc>
        <w:tc>
          <w:tcPr>
            <w:tcW w:w="3117"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社会面图像接入转发系统将现有前端和后端多平台图像数据进行数据整合，把分布于各网段内部各中数据进行整理、分析和统一管理。</w:t>
            </w:r>
          </w:p>
        </w:tc>
        <w:tc>
          <w:tcPr>
            <w:tcW w:w="631"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cs="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3"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16</w:t>
            </w:r>
          </w:p>
        </w:tc>
        <w:tc>
          <w:tcPr>
            <w:tcW w:w="303" w:type="pct"/>
            <w:vMerge w:val="continue"/>
            <w:tcBorders>
              <w:left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cs="宋体"/>
                <w:color w:val="auto"/>
                <w:szCs w:val="21"/>
                <w:highlight w:val="none"/>
              </w:rPr>
            </w:pPr>
          </w:p>
        </w:tc>
        <w:tc>
          <w:tcPr>
            <w:tcW w:w="227"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数据关联</w:t>
            </w:r>
          </w:p>
        </w:tc>
        <w:tc>
          <w:tcPr>
            <w:tcW w:w="22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人/月</w:t>
            </w:r>
          </w:p>
        </w:tc>
        <w:tc>
          <w:tcPr>
            <w:tcW w:w="3117"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利用社会面图像接入转发系统将分布于电子政务外网安全接入区内的各种图像数据和其他数据进行数据标识后，按照数据标识进行对应数据关联，增加系统数据可用性。</w:t>
            </w:r>
          </w:p>
        </w:tc>
        <w:tc>
          <w:tcPr>
            <w:tcW w:w="631"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3"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17</w:t>
            </w:r>
          </w:p>
        </w:tc>
        <w:tc>
          <w:tcPr>
            <w:tcW w:w="303" w:type="pct"/>
            <w:vMerge w:val="continue"/>
            <w:tcBorders>
              <w:left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cs="宋体"/>
                <w:color w:val="auto"/>
                <w:szCs w:val="21"/>
                <w:highlight w:val="none"/>
              </w:rPr>
            </w:pPr>
          </w:p>
        </w:tc>
        <w:tc>
          <w:tcPr>
            <w:tcW w:w="227"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同步任务集群</w:t>
            </w:r>
          </w:p>
        </w:tc>
        <w:tc>
          <w:tcPr>
            <w:tcW w:w="22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人/月</w:t>
            </w:r>
          </w:p>
        </w:tc>
        <w:tc>
          <w:tcPr>
            <w:tcW w:w="3117"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left"/>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社会面图像接入转发系统分布多种异构数据，通过平台同步任务集群对其进行管理，形成集群任务管理。</w:t>
            </w:r>
          </w:p>
        </w:tc>
        <w:tc>
          <w:tcPr>
            <w:tcW w:w="631"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3"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18</w:t>
            </w:r>
          </w:p>
        </w:tc>
        <w:tc>
          <w:tcPr>
            <w:tcW w:w="303" w:type="pct"/>
            <w:vMerge w:val="continue"/>
            <w:tcBorders>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cs="宋体"/>
                <w:color w:val="auto"/>
                <w:szCs w:val="21"/>
                <w:highlight w:val="none"/>
              </w:rPr>
            </w:pPr>
          </w:p>
        </w:tc>
        <w:tc>
          <w:tcPr>
            <w:tcW w:w="227"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数据任务调度</w:t>
            </w:r>
          </w:p>
        </w:tc>
        <w:tc>
          <w:tcPr>
            <w:tcW w:w="22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人/月</w:t>
            </w:r>
          </w:p>
        </w:tc>
        <w:tc>
          <w:tcPr>
            <w:tcW w:w="3117"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left"/>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本项目前端预计接入后端多平台融合，各种任务独立运行将造成混乱，系统通过数据任务调度进行有序管理，系统自动合理调度任务。在有复杂任务时，需要开发人员进行评价估算时间上、任务量上、系统上等多个方面，设置合适时间进行自动更新执行。</w:t>
            </w:r>
          </w:p>
        </w:tc>
        <w:tc>
          <w:tcPr>
            <w:tcW w:w="631"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3"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19</w:t>
            </w:r>
          </w:p>
        </w:tc>
        <w:tc>
          <w:tcPr>
            <w:tcW w:w="303" w:type="pct"/>
            <w:tcBorders>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cs="宋体"/>
                <w:color w:val="auto"/>
                <w:szCs w:val="21"/>
                <w:highlight w:val="none"/>
              </w:rPr>
            </w:pPr>
          </w:p>
        </w:tc>
        <w:tc>
          <w:tcPr>
            <w:tcW w:w="227"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数据清洗</w:t>
            </w:r>
          </w:p>
        </w:tc>
        <w:tc>
          <w:tcPr>
            <w:tcW w:w="22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3</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人/月</w:t>
            </w:r>
          </w:p>
        </w:tc>
        <w:tc>
          <w:tcPr>
            <w:tcW w:w="3117"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left"/>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社会面图像接入转发系统将通过平台数据清洗工具，对整合的结构化和非结构化数据进行监理通用数据模板，满足对接需求。</w:t>
            </w:r>
          </w:p>
        </w:tc>
        <w:tc>
          <w:tcPr>
            <w:tcW w:w="631"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3"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20</w:t>
            </w:r>
          </w:p>
        </w:tc>
        <w:tc>
          <w:tcPr>
            <w:tcW w:w="303" w:type="pct"/>
            <w:tcBorders>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cs="宋体"/>
                <w:color w:val="auto"/>
                <w:szCs w:val="21"/>
                <w:highlight w:val="none"/>
              </w:rPr>
            </w:pPr>
          </w:p>
        </w:tc>
        <w:tc>
          <w:tcPr>
            <w:tcW w:w="227"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数据校验</w:t>
            </w:r>
          </w:p>
        </w:tc>
        <w:tc>
          <w:tcPr>
            <w:tcW w:w="22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人/月</w:t>
            </w:r>
          </w:p>
        </w:tc>
        <w:tc>
          <w:tcPr>
            <w:tcW w:w="3117"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left"/>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社会面图像接入转发系统将经过清洗和数据转换后的数据进行验证其正确性和合规性，确保校验后数据的精准性和真实性。可采用加密、采用各种算法进行校验，可确保数据的准确性。</w:t>
            </w:r>
          </w:p>
        </w:tc>
        <w:tc>
          <w:tcPr>
            <w:tcW w:w="631"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w:t>
            </w:r>
          </w:p>
        </w:tc>
      </w:tr>
    </w:tbl>
    <w:p>
      <w:pPr>
        <w:rPr>
          <w:rFonts w:ascii="宋体" w:hAnsi="宋体" w:cs="宋体"/>
          <w:color w:val="auto"/>
          <w:szCs w:val="21"/>
          <w:highlight w:val="none"/>
        </w:rPr>
      </w:pPr>
      <w:r>
        <w:rPr>
          <w:rFonts w:hint="eastAsia" w:ascii="宋体" w:hAnsi="宋体" w:cs="宋体"/>
          <w:b/>
          <w:bCs/>
          <w:color w:val="auto"/>
          <w:kern w:val="0"/>
          <w:szCs w:val="21"/>
          <w:highlight w:val="none"/>
          <w:lang w:bidi="ar"/>
        </w:rPr>
        <w:t>（四）公安视频专网扩容</w:t>
      </w:r>
    </w:p>
    <w:tbl>
      <w:tblPr>
        <w:tblStyle w:val="65"/>
        <w:tblW w:w="496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2"/>
        <w:gridCol w:w="853"/>
        <w:gridCol w:w="640"/>
        <w:gridCol w:w="625"/>
        <w:gridCol w:w="737"/>
        <w:gridCol w:w="8783"/>
        <w:gridCol w:w="17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w:t>
            </w:r>
          </w:p>
        </w:tc>
        <w:tc>
          <w:tcPr>
            <w:tcW w:w="530" w:type="pct"/>
            <w:gridSpan w:val="2"/>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一楼数据中心机房汇聚交换机业务板卡扩容</w:t>
            </w:r>
          </w:p>
        </w:tc>
        <w:tc>
          <w:tcPr>
            <w:tcW w:w="22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2</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块</w:t>
            </w:r>
          </w:p>
        </w:tc>
        <w:tc>
          <w:tcPr>
            <w:tcW w:w="3123"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32端口万兆以太网+4端口40G以太光口业务板卡；</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原视频专网汇聚交换机扩容板卡，所供设备需要和机房现网核心交换机兼容，否则需要新增同等性能交换机用于替代原有核心交换机；</w:t>
            </w:r>
          </w:p>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要求提供原厂3年服务质保函；</w:t>
            </w:r>
          </w:p>
        </w:tc>
        <w:tc>
          <w:tcPr>
            <w:tcW w:w="626"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华三、华为、中兴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2</w:t>
            </w:r>
          </w:p>
        </w:tc>
        <w:tc>
          <w:tcPr>
            <w:tcW w:w="530" w:type="pct"/>
            <w:gridSpan w:val="2"/>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汇聚交换机电源扩容</w:t>
            </w:r>
          </w:p>
        </w:tc>
        <w:tc>
          <w:tcPr>
            <w:tcW w:w="22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4</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套</w:t>
            </w:r>
          </w:p>
        </w:tc>
        <w:tc>
          <w:tcPr>
            <w:tcW w:w="3123"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2500W交流电源模块；</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原视频专网汇聚交换机扩容电源，所供设备需要和机房现网核心交换机兼容;</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要求提供原厂3年服务质保函；</w:t>
            </w:r>
          </w:p>
        </w:tc>
        <w:tc>
          <w:tcPr>
            <w:tcW w:w="626"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华三、华为、中兴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3</w:t>
            </w:r>
          </w:p>
        </w:tc>
        <w:tc>
          <w:tcPr>
            <w:tcW w:w="530" w:type="pct"/>
            <w:gridSpan w:val="2"/>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服务器汇聚交换机1</w:t>
            </w:r>
          </w:p>
        </w:tc>
        <w:tc>
          <w:tcPr>
            <w:tcW w:w="22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10</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套</w:t>
            </w:r>
          </w:p>
        </w:tc>
        <w:tc>
          <w:tcPr>
            <w:tcW w:w="3123"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万兆光接口数量≥24个，40G光接口数量≥2个，扩展插槽数量≥2，可扩展8端口万兆光板卡、8端口10G/5G/2.5G电板卡、2端口25GE板卡；交换容量≥2.56Tbps，包转发率≥720Mpps，如果官网有两个不同大小的指标，以小的为准；考虑到链路的安全性，所投交换机需支持Macsec链路保护协议，保障业务的安全可靠；内置智能管理功能，支持通过图形化界面设备配置及运维管理；实配冗余可插拔的电源；要求提供原厂3年服务质保函；</w:t>
            </w:r>
          </w:p>
        </w:tc>
        <w:tc>
          <w:tcPr>
            <w:tcW w:w="626"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华三、华为、中兴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4</w:t>
            </w:r>
          </w:p>
        </w:tc>
        <w:tc>
          <w:tcPr>
            <w:tcW w:w="530" w:type="pct"/>
            <w:gridSpan w:val="2"/>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服务器汇聚交换机2</w:t>
            </w:r>
          </w:p>
        </w:tc>
        <w:tc>
          <w:tcPr>
            <w:tcW w:w="22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10</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套</w:t>
            </w:r>
          </w:p>
        </w:tc>
        <w:tc>
          <w:tcPr>
            <w:tcW w:w="3123"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千兆电接口数量≥24个，万兆光接口数量≥4个；交换容量≥680Gbps，转发性能≥120Mpps，以官网最小值为准；高度1U，支持冗余电源，工作环境温度-5ºC～45ºC；</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整机最大路由地址表≥12K、ARP地址表≥8K、MAC地址表≥32K；</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支持IPv4静态路由、RIP、OSPF、ISIS、BGP；支持IPv6静态路由、RIPng、OSPFv3、ISISv6、BGP4+；支持IPv4和IPv6环境下的策略路由，支持IPv6手动隧道、6to4隧道和ISATAP隧道；符合IEEE802.3az（EEE）节能标准；支持CPU保护功能，支持安全启动，支持SAVI功能；支持ERPS功能，收敛时间小于50ms，提供第三方测试报告；支持NETCONF网络管理协议，支持SDN管理，实现网络控制、编排、管理的入口统一；支持Telemetry可视化，配合SDN分析器，通过精细化的数据采集及大数据、AI分析，实现智能运维能力；本次配置冗余交流电源模块。要求提供原厂3年服务质保函；</w:t>
            </w:r>
          </w:p>
        </w:tc>
        <w:tc>
          <w:tcPr>
            <w:tcW w:w="626"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华三、华为、中兴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235" w:type="pct"/>
            <w:vMerge w:val="restart"/>
            <w:tcBorders>
              <w:top w:val="single" w:color="4F81BD" w:sz="8" w:space="0"/>
              <w:left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5</w:t>
            </w:r>
          </w:p>
        </w:tc>
        <w:tc>
          <w:tcPr>
            <w:tcW w:w="530" w:type="pct"/>
            <w:gridSpan w:val="2"/>
            <w:vMerge w:val="restart"/>
            <w:tcBorders>
              <w:top w:val="single" w:color="4F81BD" w:sz="8" w:space="0"/>
              <w:left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增补光模块</w:t>
            </w:r>
          </w:p>
          <w:p>
            <w:pPr>
              <w:jc w:val="center"/>
              <w:rPr>
                <w:rFonts w:hint="eastAsia" w:ascii="宋体" w:hAnsi="宋体" w:cs="宋体"/>
                <w:color w:val="auto"/>
                <w:szCs w:val="21"/>
                <w:highlight w:val="none"/>
              </w:rPr>
            </w:pPr>
          </w:p>
        </w:tc>
        <w:tc>
          <w:tcPr>
            <w:tcW w:w="22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4</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个</w:t>
            </w:r>
          </w:p>
        </w:tc>
        <w:tc>
          <w:tcPr>
            <w:tcW w:w="3123"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QSFP+40G光模块</w:t>
            </w:r>
          </w:p>
        </w:tc>
        <w:tc>
          <w:tcPr>
            <w:tcW w:w="626"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华三、华为、中兴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235" w:type="pct"/>
            <w:vMerge w:val="continue"/>
            <w:tcBorders>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cs="宋体"/>
                <w:color w:val="auto"/>
                <w:szCs w:val="21"/>
                <w:highlight w:val="none"/>
              </w:rPr>
            </w:pPr>
          </w:p>
        </w:tc>
        <w:tc>
          <w:tcPr>
            <w:tcW w:w="530" w:type="pct"/>
            <w:gridSpan w:val="2"/>
            <w:vMerge w:val="continue"/>
            <w:tcBorders>
              <w:left w:val="single" w:color="4F81BD" w:sz="8" w:space="0"/>
              <w:bottom w:val="single" w:color="4F81BD" w:sz="8" w:space="0"/>
              <w:right w:val="single" w:color="4F81BD" w:sz="8" w:space="0"/>
              <w:tl2br w:val="nil"/>
              <w:tr2bl w:val="nil"/>
            </w:tcBorders>
            <w:shd w:val="clear" w:color="auto" w:fill="FFFFFF"/>
            <w:vAlign w:val="center"/>
          </w:tcPr>
          <w:p>
            <w:pPr>
              <w:jc w:val="center"/>
              <w:rPr>
                <w:rFonts w:hint="eastAsia" w:ascii="宋体" w:hAnsi="宋体" w:cs="宋体"/>
                <w:color w:val="auto"/>
                <w:szCs w:val="21"/>
                <w:highlight w:val="none"/>
              </w:rPr>
            </w:pPr>
          </w:p>
        </w:tc>
        <w:tc>
          <w:tcPr>
            <w:tcW w:w="22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80</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个</w:t>
            </w:r>
          </w:p>
        </w:tc>
        <w:tc>
          <w:tcPr>
            <w:tcW w:w="3123"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SFP+万兆模块(850nm,300m,LC)</w:t>
            </w:r>
          </w:p>
        </w:tc>
        <w:tc>
          <w:tcPr>
            <w:tcW w:w="626"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华三、华为、中兴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6</w:t>
            </w:r>
          </w:p>
        </w:tc>
        <w:tc>
          <w:tcPr>
            <w:tcW w:w="530" w:type="pct"/>
            <w:gridSpan w:val="2"/>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机房搬迁</w:t>
            </w:r>
          </w:p>
        </w:tc>
        <w:tc>
          <w:tcPr>
            <w:tcW w:w="22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10</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szCs w:val="21"/>
                <w:highlight w:val="none"/>
              </w:rPr>
              <w:t>人/月</w:t>
            </w:r>
          </w:p>
        </w:tc>
        <w:tc>
          <w:tcPr>
            <w:tcW w:w="3123"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rPr>
                <w:rFonts w:ascii="宋体" w:hAnsi="宋体" w:cs="宋体"/>
                <w:color w:val="auto"/>
                <w:szCs w:val="21"/>
                <w:highlight w:val="none"/>
              </w:rPr>
            </w:pPr>
            <w:r>
              <w:rPr>
                <w:rFonts w:hint="eastAsia" w:ascii="宋体" w:hAnsi="宋体" w:cs="宋体"/>
                <w:color w:val="auto"/>
                <w:szCs w:val="21"/>
                <w:highlight w:val="none"/>
              </w:rPr>
              <w:t>完成以下工作：</w:t>
            </w:r>
          </w:p>
          <w:p>
            <w:pPr>
              <w:rPr>
                <w:rFonts w:ascii="宋体" w:hAnsi="宋体" w:cs="宋体"/>
                <w:color w:val="auto"/>
                <w:szCs w:val="21"/>
                <w:highlight w:val="none"/>
              </w:rPr>
            </w:pPr>
            <w:r>
              <w:rPr>
                <w:rFonts w:hint="eastAsia" w:ascii="宋体" w:hAnsi="宋体" w:cs="宋体"/>
                <w:color w:val="auto"/>
                <w:szCs w:val="21"/>
                <w:highlight w:val="none"/>
              </w:rPr>
              <w:t>包含项目制定和跟踪实施，按需到达现场，投入10名人员完成搬迁，数据备份。</w:t>
            </w:r>
          </w:p>
          <w:p>
            <w:pPr>
              <w:rPr>
                <w:rFonts w:ascii="宋体" w:hAnsi="宋体" w:cs="宋体"/>
                <w:color w:val="auto"/>
                <w:szCs w:val="21"/>
                <w:highlight w:val="none"/>
              </w:rPr>
            </w:pPr>
            <w:r>
              <w:rPr>
                <w:rFonts w:hint="eastAsia" w:ascii="宋体" w:hAnsi="宋体" w:cs="宋体"/>
                <w:color w:val="auto"/>
                <w:szCs w:val="21"/>
                <w:highlight w:val="none"/>
              </w:rPr>
              <w:t>深化方案和实施协调，系统迁移和安装配置核心以及汇聚网络规划配置，调试和配合。</w:t>
            </w:r>
          </w:p>
          <w:p>
            <w:pPr>
              <w:rPr>
                <w:rFonts w:ascii="宋体" w:hAnsi="宋体" w:cs="宋体"/>
                <w:color w:val="auto"/>
                <w:szCs w:val="21"/>
                <w:highlight w:val="none"/>
              </w:rPr>
            </w:pPr>
            <w:r>
              <w:rPr>
                <w:rFonts w:hint="eastAsia" w:ascii="宋体" w:hAnsi="宋体" w:cs="宋体"/>
                <w:color w:val="auto"/>
                <w:szCs w:val="21"/>
                <w:highlight w:val="none"/>
              </w:rPr>
              <w:t>存储搬迁调研，数据备份</w:t>
            </w:r>
          </w:p>
          <w:p>
            <w:pPr>
              <w:rPr>
                <w:rFonts w:ascii="宋体" w:hAnsi="宋体" w:cs="宋体"/>
                <w:color w:val="auto"/>
                <w:szCs w:val="21"/>
                <w:highlight w:val="none"/>
              </w:rPr>
            </w:pPr>
            <w:r>
              <w:rPr>
                <w:rFonts w:hint="eastAsia" w:ascii="宋体" w:hAnsi="宋体" w:cs="宋体"/>
                <w:color w:val="auto"/>
                <w:szCs w:val="21"/>
                <w:highlight w:val="none"/>
              </w:rPr>
              <w:t>搬迁前设备核对，设备标识；搬迁现场的故障处理</w:t>
            </w:r>
          </w:p>
          <w:p>
            <w:pPr>
              <w:rPr>
                <w:rFonts w:ascii="宋体" w:hAnsi="宋体" w:cs="宋体"/>
                <w:color w:val="auto"/>
                <w:szCs w:val="21"/>
                <w:highlight w:val="none"/>
              </w:rPr>
            </w:pPr>
            <w:r>
              <w:rPr>
                <w:rFonts w:hint="eastAsia" w:ascii="宋体" w:hAnsi="宋体" w:cs="宋体"/>
                <w:color w:val="auto"/>
                <w:szCs w:val="21"/>
                <w:highlight w:val="none"/>
              </w:rPr>
              <w:t>搬迁前期设备核对；数据迁移协助；搬迁现场的故障处理</w:t>
            </w:r>
          </w:p>
          <w:p>
            <w:pPr>
              <w:rPr>
                <w:rFonts w:ascii="宋体" w:hAnsi="宋体" w:cs="宋体"/>
                <w:color w:val="auto"/>
                <w:szCs w:val="21"/>
                <w:highlight w:val="none"/>
              </w:rPr>
            </w:pPr>
            <w:r>
              <w:rPr>
                <w:rFonts w:hint="eastAsia" w:ascii="宋体" w:hAnsi="宋体" w:cs="宋体"/>
                <w:color w:val="auto"/>
                <w:szCs w:val="21"/>
                <w:highlight w:val="none"/>
              </w:rPr>
              <w:t>搬迁前期设备核对；网络配置检查和调整；搬迁现场的故障处理</w:t>
            </w:r>
          </w:p>
          <w:p>
            <w:pPr>
              <w:rPr>
                <w:rFonts w:ascii="宋体" w:hAnsi="宋体" w:cs="宋体"/>
                <w:color w:val="auto"/>
                <w:szCs w:val="21"/>
                <w:highlight w:val="none"/>
              </w:rPr>
            </w:pPr>
            <w:r>
              <w:rPr>
                <w:rFonts w:hint="eastAsia" w:ascii="宋体" w:hAnsi="宋体" w:cs="宋体"/>
                <w:color w:val="auto"/>
                <w:szCs w:val="21"/>
                <w:highlight w:val="none"/>
              </w:rPr>
              <w:t>含泡沫防震防水的2U和4U包装，平板车，环境保护，运输</w:t>
            </w:r>
          </w:p>
          <w:p>
            <w:pPr>
              <w:rPr>
                <w:rFonts w:ascii="宋体" w:hAnsi="宋体" w:cs="宋体"/>
                <w:color w:val="auto"/>
                <w:szCs w:val="21"/>
                <w:highlight w:val="none"/>
              </w:rPr>
            </w:pPr>
            <w:r>
              <w:rPr>
                <w:rFonts w:hint="eastAsia" w:ascii="宋体" w:hAnsi="宋体" w:cs="宋体"/>
                <w:color w:val="auto"/>
                <w:szCs w:val="21"/>
                <w:highlight w:val="none"/>
              </w:rPr>
              <w:t>常见的电源模块、硬盘、内存、cpu等现场备用，个别核心设备和存储的现场备件需求，备件数量不低于8个</w:t>
            </w:r>
          </w:p>
          <w:p>
            <w:pPr>
              <w:rPr>
                <w:rFonts w:ascii="宋体" w:hAnsi="宋体" w:cs="宋体"/>
                <w:color w:val="auto"/>
                <w:szCs w:val="21"/>
                <w:highlight w:val="none"/>
              </w:rPr>
            </w:pPr>
            <w:r>
              <w:rPr>
                <w:rFonts w:hint="eastAsia" w:ascii="宋体" w:hAnsi="宋体" w:cs="宋体"/>
                <w:color w:val="auto"/>
                <w:szCs w:val="21"/>
                <w:highlight w:val="none"/>
              </w:rPr>
              <w:t>搬迁期间，涉及设备的维保120台服务器存储的维修服务</w:t>
            </w:r>
          </w:p>
          <w:p>
            <w:pP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电源线、网线、光纤机柜内部的采购，包含施工和标签、理线</w:t>
            </w:r>
          </w:p>
        </w:tc>
        <w:tc>
          <w:tcPr>
            <w:tcW w:w="626"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国产定制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0" w:hRule="atLeast"/>
        </w:trPr>
        <w:tc>
          <w:tcPr>
            <w:tcW w:w="235" w:type="pct"/>
            <w:vMerge w:val="restar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7</w:t>
            </w:r>
          </w:p>
        </w:tc>
        <w:tc>
          <w:tcPr>
            <w:tcW w:w="303" w:type="pct"/>
            <w:vMerge w:val="restar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视频网闸</w:t>
            </w:r>
          </w:p>
        </w:tc>
        <w:tc>
          <w:tcPr>
            <w:tcW w:w="227"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安全视频交换系统</w:t>
            </w:r>
          </w:p>
        </w:tc>
        <w:tc>
          <w:tcPr>
            <w:tcW w:w="222" w:type="pct"/>
            <w:vMerge w:val="restar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262" w:type="pct"/>
            <w:vMerge w:val="restar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套</w:t>
            </w:r>
          </w:p>
        </w:tc>
        <w:tc>
          <w:tcPr>
            <w:tcW w:w="3123"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rPr>
                <w:rFonts w:ascii="宋体" w:hAnsi="宋体" w:cs="宋体"/>
                <w:color w:val="auto"/>
                <w:szCs w:val="21"/>
                <w:highlight w:val="none"/>
              </w:rPr>
            </w:pPr>
            <w:r>
              <w:rPr>
                <w:rFonts w:hint="eastAsia" w:ascii="宋体" w:hAnsi="宋体" w:cs="宋体"/>
                <w:color w:val="auto"/>
                <w:szCs w:val="21"/>
                <w:highlight w:val="none"/>
              </w:rPr>
              <w:t>不低于以下参数：</w:t>
            </w:r>
          </w:p>
          <w:p>
            <w:pPr>
              <w:rPr>
                <w:rFonts w:ascii="宋体" w:hAnsi="宋体" w:cs="宋体"/>
                <w:color w:val="auto"/>
                <w:szCs w:val="21"/>
                <w:highlight w:val="none"/>
              </w:rPr>
            </w:pPr>
            <w:r>
              <w:rPr>
                <w:rFonts w:hint="eastAsia" w:ascii="宋体" w:hAnsi="宋体" w:cs="宋体"/>
                <w:color w:val="auto"/>
                <w:szCs w:val="21"/>
                <w:highlight w:val="none"/>
              </w:rPr>
              <w:t>CPU:采用国产兆芯CPU</w:t>
            </w:r>
          </w:p>
          <w:p>
            <w:pPr>
              <w:rPr>
                <w:rFonts w:ascii="宋体" w:hAnsi="宋体" w:cs="宋体"/>
                <w:color w:val="auto"/>
                <w:szCs w:val="21"/>
                <w:highlight w:val="none"/>
              </w:rPr>
            </w:pPr>
            <w:r>
              <w:rPr>
                <w:rFonts w:hint="eastAsia" w:ascii="宋体" w:hAnsi="宋体" w:cs="宋体"/>
                <w:color w:val="auto"/>
                <w:szCs w:val="21"/>
                <w:highlight w:val="none"/>
              </w:rPr>
              <w:t>操作系统：中标麒麟</w:t>
            </w:r>
          </w:p>
          <w:p>
            <w:pPr>
              <w:rPr>
                <w:rFonts w:ascii="宋体" w:hAnsi="宋体" w:cs="宋体"/>
                <w:color w:val="auto"/>
                <w:szCs w:val="21"/>
                <w:highlight w:val="none"/>
              </w:rPr>
            </w:pPr>
            <w:r>
              <w:rPr>
                <w:rFonts w:hint="eastAsia" w:ascii="宋体" w:hAnsi="宋体" w:cs="宋体"/>
                <w:color w:val="auto"/>
                <w:szCs w:val="21"/>
                <w:highlight w:val="none"/>
              </w:rPr>
              <w:t>采用2+1硬件结构并具备自主知识产品的硬件隔离模件，自主研发生产的基于HRI技术的高速数据隔离交换卡，保障系统运行在高安全性和保密性的状态下，不支持通用通讯协议，不可编程。冗余电源，正面显示液晶面板；</w:t>
            </w:r>
          </w:p>
          <w:p>
            <w:pPr>
              <w:rPr>
                <w:rFonts w:ascii="宋体" w:hAnsi="宋体" w:cs="宋体"/>
                <w:color w:val="auto"/>
                <w:szCs w:val="21"/>
                <w:highlight w:val="none"/>
              </w:rPr>
            </w:pPr>
            <w:r>
              <w:rPr>
                <w:rFonts w:hint="eastAsia" w:ascii="宋体" w:hAnsi="宋体" w:cs="宋体"/>
                <w:color w:val="auto"/>
                <w:szCs w:val="21"/>
                <w:highlight w:val="none"/>
              </w:rPr>
              <w:t>内网接口：8个10/100M/1000M电口，4个万兆光纤接口，2个USB接口；</w:t>
            </w:r>
          </w:p>
          <w:p>
            <w:pPr>
              <w:rPr>
                <w:rFonts w:ascii="宋体" w:hAnsi="宋体" w:cs="宋体"/>
                <w:color w:val="auto"/>
                <w:szCs w:val="21"/>
                <w:highlight w:val="none"/>
              </w:rPr>
            </w:pPr>
            <w:r>
              <w:rPr>
                <w:rFonts w:hint="eastAsia" w:ascii="宋体" w:hAnsi="宋体" w:cs="宋体"/>
                <w:color w:val="auto"/>
                <w:szCs w:val="21"/>
                <w:highlight w:val="none"/>
              </w:rPr>
              <w:t>外网接口：8个10/100M/1000M电口，4个万兆光纤接口，2个USB接口；</w:t>
            </w:r>
          </w:p>
          <w:p>
            <w:pPr>
              <w:rPr>
                <w:rFonts w:ascii="宋体" w:hAnsi="宋体" w:cs="宋体"/>
                <w:color w:val="auto"/>
                <w:szCs w:val="21"/>
                <w:highlight w:val="none"/>
              </w:rPr>
            </w:pPr>
            <w:r>
              <w:rPr>
                <w:rFonts w:hint="eastAsia" w:ascii="宋体" w:hAnsi="宋体" w:cs="宋体"/>
                <w:color w:val="auto"/>
                <w:szCs w:val="21"/>
                <w:highlight w:val="none"/>
              </w:rPr>
              <w:t>性能指标：</w:t>
            </w:r>
          </w:p>
          <w:p>
            <w:pPr>
              <w:rPr>
                <w:rFonts w:ascii="宋体" w:hAnsi="宋体" w:cs="宋体"/>
                <w:color w:val="auto"/>
                <w:szCs w:val="21"/>
                <w:highlight w:val="none"/>
              </w:rPr>
            </w:pPr>
            <w:r>
              <w:rPr>
                <w:rFonts w:hint="eastAsia" w:ascii="宋体" w:hAnsi="宋体" w:cs="宋体"/>
                <w:color w:val="auto"/>
                <w:szCs w:val="21"/>
                <w:highlight w:val="none"/>
              </w:rPr>
              <w:t>稳定性运行时间(MTBF) &gt;60000小时；</w:t>
            </w:r>
          </w:p>
          <w:p>
            <w:pPr>
              <w:rPr>
                <w:rFonts w:ascii="宋体" w:hAnsi="宋体" w:cs="宋体"/>
                <w:color w:val="auto"/>
                <w:szCs w:val="21"/>
                <w:highlight w:val="none"/>
              </w:rPr>
            </w:pPr>
            <w:r>
              <w:rPr>
                <w:rFonts w:hint="eastAsia" w:ascii="宋体" w:hAnsi="宋体" w:cs="宋体"/>
                <w:color w:val="auto"/>
                <w:szCs w:val="21"/>
                <w:highlight w:val="none"/>
              </w:rPr>
              <w:t>传输延时&lt;=20us；</w:t>
            </w:r>
          </w:p>
          <w:p>
            <w:pPr>
              <w:rPr>
                <w:rFonts w:ascii="宋体" w:hAnsi="宋体" w:cs="宋体"/>
                <w:color w:val="auto"/>
                <w:szCs w:val="21"/>
                <w:highlight w:val="none"/>
              </w:rPr>
            </w:pPr>
            <w:r>
              <w:rPr>
                <w:rFonts w:hint="eastAsia" w:ascii="宋体" w:hAnsi="宋体" w:cs="宋体"/>
                <w:color w:val="auto"/>
                <w:szCs w:val="21"/>
                <w:highlight w:val="none"/>
              </w:rPr>
              <w:t>视频传输能力≥4000路D1并发；</w:t>
            </w:r>
          </w:p>
          <w:p>
            <w:pPr>
              <w:rPr>
                <w:rFonts w:ascii="宋体" w:hAnsi="宋体" w:cs="宋体"/>
                <w:color w:val="auto"/>
                <w:szCs w:val="21"/>
                <w:highlight w:val="none"/>
              </w:rPr>
            </w:pPr>
            <w:r>
              <w:rPr>
                <w:rFonts w:hint="eastAsia" w:ascii="宋体" w:hAnsi="宋体" w:cs="宋体"/>
                <w:color w:val="auto"/>
                <w:szCs w:val="21"/>
                <w:highlight w:val="none"/>
              </w:rPr>
              <w:t>吞吐量&gt;=8Gbps；</w:t>
            </w:r>
          </w:p>
          <w:p>
            <w:pPr>
              <w:rPr>
                <w:rFonts w:ascii="宋体" w:hAnsi="宋体" w:cs="宋体"/>
                <w:color w:val="auto"/>
                <w:szCs w:val="21"/>
                <w:highlight w:val="none"/>
              </w:rPr>
            </w:pPr>
            <w:r>
              <w:rPr>
                <w:rFonts w:hint="eastAsia" w:ascii="宋体" w:hAnsi="宋体" w:cs="宋体"/>
                <w:color w:val="auto"/>
                <w:szCs w:val="21"/>
                <w:highlight w:val="none"/>
              </w:rPr>
              <w:t>并发用户数≥2000个；</w:t>
            </w:r>
          </w:p>
          <w:p>
            <w:pPr>
              <w:rPr>
                <w:rFonts w:ascii="宋体" w:hAnsi="宋体" w:cs="宋体"/>
                <w:color w:val="auto"/>
                <w:szCs w:val="21"/>
                <w:highlight w:val="none"/>
              </w:rPr>
            </w:pPr>
            <w:r>
              <w:rPr>
                <w:rFonts w:hint="eastAsia" w:ascii="宋体" w:hAnsi="宋体" w:cs="宋体"/>
                <w:color w:val="auto"/>
                <w:szCs w:val="21"/>
                <w:highlight w:val="none"/>
              </w:rPr>
              <w:t>单台设备接入不同视频监控系统厂商≥5个；</w:t>
            </w:r>
          </w:p>
          <w:p>
            <w:pPr>
              <w:rPr>
                <w:rFonts w:ascii="宋体" w:hAnsi="宋体" w:cs="宋体"/>
                <w:color w:val="auto"/>
                <w:szCs w:val="21"/>
                <w:highlight w:val="none"/>
              </w:rPr>
            </w:pPr>
            <w:r>
              <w:rPr>
                <w:rFonts w:hint="eastAsia" w:ascii="宋体" w:hAnsi="宋体" w:cs="宋体"/>
                <w:color w:val="auto"/>
                <w:szCs w:val="21"/>
                <w:highlight w:val="none"/>
              </w:rPr>
              <w:t>支持设备集群堆叠数量≥16台。</w:t>
            </w:r>
          </w:p>
          <w:p>
            <w:pPr>
              <w:rPr>
                <w:rFonts w:ascii="宋体" w:hAnsi="宋体" w:cs="宋体"/>
                <w:color w:val="auto"/>
                <w:szCs w:val="21"/>
                <w:highlight w:val="none"/>
              </w:rPr>
            </w:pPr>
            <w:r>
              <w:rPr>
                <w:rFonts w:hint="eastAsia" w:ascii="宋体" w:hAnsi="宋体" w:cs="宋体"/>
                <w:color w:val="auto"/>
                <w:szCs w:val="21"/>
                <w:highlight w:val="none"/>
              </w:rPr>
              <w:t>功能要求：</w:t>
            </w:r>
          </w:p>
          <w:p>
            <w:pPr>
              <w:rPr>
                <w:rFonts w:ascii="宋体" w:hAnsi="宋体" w:cs="宋体"/>
                <w:color w:val="auto"/>
                <w:szCs w:val="21"/>
                <w:highlight w:val="none"/>
              </w:rPr>
            </w:pPr>
            <w:r>
              <w:rPr>
                <w:rFonts w:hint="eastAsia" w:ascii="宋体" w:hAnsi="宋体" w:cs="宋体"/>
                <w:color w:val="auto"/>
                <w:szCs w:val="21"/>
                <w:highlight w:val="none"/>
              </w:rPr>
              <w:t>能识别和检查视频编码格式和视频传输格式，允许合法的视频流通过。</w:t>
            </w:r>
          </w:p>
          <w:p>
            <w:pPr>
              <w:rPr>
                <w:rFonts w:ascii="宋体" w:hAnsi="宋体" w:cs="宋体"/>
                <w:color w:val="auto"/>
                <w:szCs w:val="21"/>
                <w:highlight w:val="none"/>
              </w:rPr>
            </w:pPr>
            <w:r>
              <w:rPr>
                <w:rFonts w:hint="eastAsia" w:ascii="宋体" w:hAnsi="宋体" w:cs="宋体"/>
                <w:color w:val="auto"/>
                <w:szCs w:val="21"/>
                <w:highlight w:val="none"/>
              </w:rPr>
              <w:t>能直接支持海康、大华、宇视、科达 、互信互通、华为、先进视讯、天视、博康、博路、贝尔等40多种视频协议；</w:t>
            </w:r>
          </w:p>
          <w:p>
            <w:pPr>
              <w:rPr>
                <w:rFonts w:ascii="宋体" w:hAnsi="宋体" w:cs="宋体"/>
                <w:color w:val="auto"/>
                <w:szCs w:val="21"/>
                <w:highlight w:val="none"/>
              </w:rPr>
            </w:pPr>
            <w:r>
              <w:rPr>
                <w:rFonts w:hint="eastAsia" w:ascii="宋体" w:hAnsi="宋体" w:cs="宋体"/>
                <w:color w:val="auto"/>
                <w:szCs w:val="21"/>
                <w:highlight w:val="none"/>
              </w:rPr>
              <w:t>设备能够识别和分析视频控制信令，并根据控制信令动态开放和关闭视频流传输通道。</w:t>
            </w:r>
          </w:p>
          <w:p>
            <w:pPr>
              <w:rPr>
                <w:rFonts w:ascii="宋体" w:hAnsi="宋体" w:cs="宋体"/>
                <w:color w:val="auto"/>
                <w:szCs w:val="21"/>
                <w:highlight w:val="none"/>
              </w:rPr>
            </w:pPr>
            <w:r>
              <w:rPr>
                <w:rFonts w:hint="eastAsia" w:ascii="宋体" w:hAnsi="宋体" w:cs="宋体"/>
                <w:color w:val="auto"/>
                <w:szCs w:val="21"/>
                <w:highlight w:val="none"/>
              </w:rPr>
              <w:t>具备公安数字证书认证功能，在身份认证的基础上实现用户对视频资源的授权访问，同时具备数字证书、Radius、用户名口令多因素认证功能。</w:t>
            </w:r>
          </w:p>
          <w:p>
            <w:pPr>
              <w:rPr>
                <w:rFonts w:ascii="宋体" w:hAnsi="宋体" w:cs="宋体"/>
                <w:color w:val="auto"/>
                <w:szCs w:val="21"/>
                <w:highlight w:val="none"/>
              </w:rPr>
            </w:pPr>
            <w:r>
              <w:rPr>
                <w:rFonts w:hint="eastAsia" w:ascii="宋体" w:hAnsi="宋体" w:cs="宋体"/>
                <w:color w:val="auto"/>
                <w:szCs w:val="21"/>
                <w:highlight w:val="none"/>
              </w:rPr>
              <w:t>符合跨区域视频监控联网共享技术规范（DB33/T629-2007）的要求，支持跨区域视频监控的联网共享要求，同时也完全符合《安全防范视频监控联网系统信息传输、交换、控制技术要求》（GB/T28181-2016）标准，能够很好的实现视频系统间的互联互通；</w:t>
            </w:r>
          </w:p>
          <w:p>
            <w:pPr>
              <w:rPr>
                <w:rFonts w:ascii="宋体" w:hAnsi="宋体" w:cs="宋体"/>
                <w:color w:val="auto"/>
                <w:szCs w:val="21"/>
                <w:highlight w:val="none"/>
              </w:rPr>
            </w:pPr>
            <w:r>
              <w:rPr>
                <w:rFonts w:hint="eastAsia" w:ascii="宋体" w:hAnsi="宋体" w:cs="宋体"/>
                <w:color w:val="auto"/>
                <w:szCs w:val="21"/>
                <w:highlight w:val="none"/>
              </w:rPr>
              <w:t>提供IP/MAC认证设备接入认证功能，具备跨三层交换机不同网段的IP/MAC认证功能。</w:t>
            </w:r>
          </w:p>
          <w:p>
            <w:pPr>
              <w:rPr>
                <w:rFonts w:ascii="宋体" w:hAnsi="宋体" w:cs="宋体"/>
                <w:color w:val="auto"/>
                <w:szCs w:val="21"/>
                <w:highlight w:val="none"/>
              </w:rPr>
            </w:pPr>
            <w:r>
              <w:rPr>
                <w:rFonts w:hint="eastAsia" w:ascii="宋体" w:hAnsi="宋体" w:cs="宋体"/>
                <w:color w:val="auto"/>
                <w:szCs w:val="21"/>
                <w:highlight w:val="none"/>
              </w:rPr>
              <w:t>设备能够对访问视频资源的源、目的IP、服务端口、访问时间等进行安全控制。</w:t>
            </w:r>
          </w:p>
          <w:p>
            <w:pPr>
              <w:rPr>
                <w:rFonts w:ascii="宋体" w:hAnsi="宋体" w:cs="宋体"/>
                <w:color w:val="auto"/>
                <w:szCs w:val="21"/>
                <w:highlight w:val="none"/>
              </w:rPr>
            </w:pPr>
            <w:r>
              <w:rPr>
                <w:rFonts w:hint="eastAsia" w:ascii="宋体" w:hAnsi="宋体" w:cs="宋体"/>
                <w:color w:val="auto"/>
                <w:szCs w:val="21"/>
                <w:highlight w:val="none"/>
              </w:rPr>
              <w:t>能实现视频单向传输控制，视频流由视频专网向公安内网单向传输。</w:t>
            </w:r>
          </w:p>
        </w:tc>
        <w:tc>
          <w:tcPr>
            <w:tcW w:w="626" w:type="pct"/>
            <w:vMerge w:val="restar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pStyle w:val="64"/>
              <w:widowControl/>
              <w:spacing w:line="360" w:lineRule="auto"/>
              <w:ind w:left="0" w:leftChars="0" w:firstLine="0" w:firstLineChars="0"/>
              <w:jc w:val="left"/>
              <w:rPr>
                <w:rFonts w:cs="宋体"/>
                <w:color w:val="auto"/>
                <w:szCs w:val="21"/>
                <w:highlight w:val="none"/>
              </w:rPr>
            </w:pPr>
            <w:r>
              <w:rPr>
                <w:rFonts w:hint="eastAsia" w:cs="宋体"/>
                <w:color w:val="auto"/>
                <w:szCs w:val="21"/>
                <w:highlight w:val="none"/>
              </w:rPr>
              <w:t>国保金泰、利潽、上海辰锐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0" w:hRule="atLeast"/>
        </w:trPr>
        <w:tc>
          <w:tcPr>
            <w:tcW w:w="235" w:type="pct"/>
            <w:vMerge w:val="continue"/>
            <w:tcBorders>
              <w:left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cs="宋体"/>
                <w:color w:val="auto"/>
                <w:szCs w:val="21"/>
                <w:highlight w:val="none"/>
              </w:rPr>
            </w:pPr>
          </w:p>
        </w:tc>
        <w:tc>
          <w:tcPr>
            <w:tcW w:w="303" w:type="pct"/>
            <w:vMerge w:val="continue"/>
            <w:tcBorders>
              <w:left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cs="宋体"/>
                <w:color w:val="auto"/>
                <w:szCs w:val="21"/>
                <w:highlight w:val="none"/>
              </w:rPr>
            </w:pPr>
          </w:p>
        </w:tc>
        <w:tc>
          <w:tcPr>
            <w:tcW w:w="227"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视频前后置服务器</w:t>
            </w:r>
          </w:p>
        </w:tc>
        <w:tc>
          <w:tcPr>
            <w:tcW w:w="222" w:type="pct"/>
            <w:vMerge w:val="continue"/>
            <w:tcBorders>
              <w:left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cs="宋体"/>
                <w:color w:val="auto"/>
                <w:szCs w:val="21"/>
                <w:highlight w:val="none"/>
              </w:rPr>
            </w:pPr>
          </w:p>
        </w:tc>
        <w:tc>
          <w:tcPr>
            <w:tcW w:w="262" w:type="pct"/>
            <w:vMerge w:val="continue"/>
            <w:tcBorders>
              <w:left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cs="宋体"/>
                <w:color w:val="auto"/>
                <w:szCs w:val="21"/>
                <w:highlight w:val="none"/>
              </w:rPr>
            </w:pPr>
          </w:p>
        </w:tc>
        <w:tc>
          <w:tcPr>
            <w:tcW w:w="3123"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不低于以下参数：</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由接入认证服务器和用户认证服务器组成，标准机架式机箱。</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接入认证服务器：4个10/100M/1000M电口、4个万兆光纤接口，2个USB接口；</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用户认证服务器：4个10/100M/1000M电口、4个万兆光纤接口，2个USB接口；</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性能指标：</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稳定性运行时间(MTBF) &gt;60000小时；</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传输延时&lt;=20us；</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视频传输能力≥4000路D1并发；</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数据吞吐量≥8Gbps；</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并发用户数≥2000个；</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单台设备接入不同视频监控系统厂商≥5个；</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支持设备集群堆叠数量≥16台。</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功能要求：</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管理平台采用SSL加密方式实现对设备的安全管理。</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 xml:space="preserve">要求能直接支持海康、大华、宇视、科达 、互信互通、华为、先进视讯、天视、普天、中兴等不少于40多种视频控制协议； </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支持 IPV6 协议地址配置管理；</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设备支持负载均衡功能，采用旁路模式工作，不依赖第三方负载均衡设备实现流量负载均衡。</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要求对用户行为进行审计，包括正常登录，非法登录，非法请求，退出等；</w:t>
            </w:r>
          </w:p>
          <w:p>
            <w:pPr>
              <w:rPr>
                <w:rFonts w:hint="eastAsia" w:ascii="宋体" w:hAnsi="宋体" w:cs="宋体"/>
                <w:color w:val="auto"/>
                <w:szCs w:val="21"/>
                <w:highlight w:val="none"/>
              </w:rPr>
            </w:pPr>
            <w:r>
              <w:rPr>
                <w:rFonts w:hint="eastAsia" w:ascii="宋体" w:hAnsi="宋体" w:cs="宋体"/>
                <w:color w:val="auto"/>
                <w:szCs w:val="21"/>
                <w:highlight w:val="none"/>
              </w:rPr>
              <w:t>设备具有详细的日志系统，能够记录所有访问视频资源的行为日志、管理与配置日志、报警日志等，支持syslog日志输出。</w:t>
            </w:r>
          </w:p>
        </w:tc>
        <w:tc>
          <w:tcPr>
            <w:tcW w:w="626" w:type="pct"/>
            <w:vMerge w:val="continue"/>
            <w:tcBorders>
              <w:left w:val="single" w:color="4F81BD" w:sz="8" w:space="0"/>
              <w:right w:val="single" w:color="4F81BD" w:sz="8" w:space="0"/>
              <w:tl2br w:val="nil"/>
              <w:tr2bl w:val="nil"/>
            </w:tcBorders>
            <w:shd w:val="clear" w:color="auto" w:fill="FFFFFF"/>
            <w:vAlign w:val="center"/>
          </w:tcPr>
          <w:p>
            <w:pPr>
              <w:pStyle w:val="64"/>
              <w:widowControl/>
              <w:spacing w:line="360" w:lineRule="auto"/>
              <w:ind w:left="0" w:leftChars="0" w:firstLine="0" w:firstLineChars="0"/>
              <w:jc w:val="left"/>
              <w:rPr>
                <w:rFonts w:hint="eastAsia" w:cs="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6"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8</w:t>
            </w:r>
          </w:p>
        </w:tc>
        <w:tc>
          <w:tcPr>
            <w:tcW w:w="530" w:type="pct"/>
            <w:gridSpan w:val="2"/>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防火墙</w:t>
            </w:r>
          </w:p>
        </w:tc>
        <w:tc>
          <w:tcPr>
            <w:tcW w:w="22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rPr>
                <w:rFonts w:hint="eastAsia" w:ascii="宋体" w:hAnsi="宋体" w:cs="宋体"/>
                <w:color w:val="auto"/>
                <w:szCs w:val="21"/>
                <w:highlight w:val="none"/>
              </w:rPr>
            </w:pPr>
            <w:r>
              <w:rPr>
                <w:rFonts w:hint="eastAsia" w:ascii="宋体" w:hAnsi="宋体" w:cs="宋体"/>
                <w:color w:val="auto"/>
                <w:szCs w:val="21"/>
                <w:highlight w:val="none"/>
              </w:rPr>
              <w:t>台</w:t>
            </w:r>
          </w:p>
        </w:tc>
        <w:tc>
          <w:tcPr>
            <w:tcW w:w="3123"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rPr>
                <w:rFonts w:hint="eastAsia" w:ascii="宋体" w:hAnsi="宋体" w:cs="宋体"/>
                <w:color w:val="auto"/>
                <w:szCs w:val="21"/>
                <w:highlight w:val="none"/>
              </w:rPr>
            </w:pPr>
            <w:r>
              <w:rPr>
                <w:rFonts w:hint="eastAsia" w:ascii="宋体" w:hAnsi="宋体" w:cs="宋体"/>
                <w:color w:val="auto"/>
                <w:szCs w:val="21"/>
                <w:highlight w:val="none"/>
              </w:rPr>
              <w:t>CPU：国产</w:t>
            </w:r>
          </w:p>
          <w:p>
            <w:pPr>
              <w:rPr>
                <w:rFonts w:hint="eastAsia" w:ascii="宋体" w:hAnsi="宋体" w:cs="宋体"/>
                <w:color w:val="auto"/>
                <w:szCs w:val="21"/>
                <w:highlight w:val="none"/>
              </w:rPr>
            </w:pPr>
            <w:r>
              <w:rPr>
                <w:rFonts w:hint="eastAsia" w:ascii="宋体" w:hAnsi="宋体" w:cs="宋体"/>
                <w:color w:val="auto"/>
                <w:szCs w:val="21"/>
                <w:highlight w:val="none"/>
              </w:rPr>
              <w:t>操作系统：国产操作系统</w:t>
            </w:r>
          </w:p>
          <w:p>
            <w:pPr>
              <w:rPr>
                <w:rFonts w:hint="eastAsia" w:ascii="宋体" w:hAnsi="宋体" w:cs="宋体"/>
                <w:color w:val="auto"/>
                <w:szCs w:val="21"/>
                <w:highlight w:val="none"/>
              </w:rPr>
            </w:pPr>
            <w:r>
              <w:rPr>
                <w:rFonts w:hint="eastAsia" w:ascii="宋体" w:hAnsi="宋体" w:cs="宋体"/>
                <w:color w:val="auto"/>
                <w:szCs w:val="21"/>
                <w:highlight w:val="none"/>
              </w:rPr>
              <w:t>内存：32GB</w:t>
            </w:r>
          </w:p>
          <w:p>
            <w:pPr>
              <w:rPr>
                <w:rFonts w:hint="eastAsia" w:ascii="宋体" w:hAnsi="宋体" w:cs="宋体"/>
                <w:color w:val="auto"/>
                <w:szCs w:val="21"/>
                <w:highlight w:val="none"/>
              </w:rPr>
            </w:pPr>
            <w:r>
              <w:rPr>
                <w:rFonts w:hint="eastAsia" w:ascii="宋体" w:hAnsi="宋体" w:cs="宋体"/>
                <w:color w:val="auto"/>
                <w:szCs w:val="21"/>
                <w:highlight w:val="none"/>
              </w:rPr>
              <w:t>硬盘：1TB+4GB</w:t>
            </w:r>
          </w:p>
          <w:p>
            <w:pPr>
              <w:rPr>
                <w:rFonts w:hint="eastAsia" w:ascii="宋体" w:hAnsi="宋体" w:cs="宋体"/>
                <w:color w:val="auto"/>
                <w:szCs w:val="21"/>
                <w:highlight w:val="none"/>
              </w:rPr>
            </w:pPr>
            <w:r>
              <w:rPr>
                <w:rFonts w:hint="eastAsia" w:ascii="宋体" w:hAnsi="宋体" w:cs="宋体"/>
                <w:color w:val="auto"/>
                <w:szCs w:val="21"/>
                <w:highlight w:val="none"/>
              </w:rPr>
              <w:t>网络接口：1个管理口、1个HA口、8个千兆电口、8个千兆光口和8个万兆光口、2个扩展插槽</w:t>
            </w:r>
          </w:p>
          <w:p>
            <w:pPr>
              <w:rPr>
                <w:rFonts w:hint="eastAsia" w:ascii="宋体" w:hAnsi="宋体" w:cs="宋体"/>
                <w:color w:val="auto"/>
                <w:szCs w:val="21"/>
                <w:highlight w:val="none"/>
              </w:rPr>
            </w:pPr>
            <w:r>
              <w:rPr>
                <w:rFonts w:hint="eastAsia" w:ascii="宋体" w:hAnsi="宋体" w:cs="宋体"/>
                <w:color w:val="auto"/>
                <w:szCs w:val="21"/>
                <w:highlight w:val="none"/>
              </w:rPr>
              <w:t>整机规格：2U机箱</w:t>
            </w:r>
          </w:p>
          <w:p>
            <w:pPr>
              <w:rPr>
                <w:rFonts w:hint="eastAsia" w:ascii="宋体" w:hAnsi="宋体" w:cs="宋体"/>
                <w:color w:val="auto"/>
                <w:szCs w:val="21"/>
                <w:highlight w:val="none"/>
              </w:rPr>
            </w:pPr>
            <w:r>
              <w:rPr>
                <w:rFonts w:hint="eastAsia" w:ascii="宋体" w:hAnsi="宋体" w:cs="宋体"/>
                <w:color w:val="auto"/>
                <w:szCs w:val="21"/>
                <w:highlight w:val="none"/>
              </w:rPr>
              <w:t>网络层吞吐量(双向)：</w:t>
            </w:r>
          </w:p>
          <w:p>
            <w:pPr>
              <w:rPr>
                <w:rFonts w:hint="eastAsia" w:ascii="宋体" w:hAnsi="宋体" w:cs="宋体"/>
                <w:color w:val="auto"/>
                <w:szCs w:val="21"/>
                <w:highlight w:val="none"/>
              </w:rPr>
            </w:pPr>
            <w:r>
              <w:rPr>
                <w:rFonts w:hint="eastAsia" w:ascii="宋体" w:hAnsi="宋体" w:cs="宋体"/>
                <w:color w:val="auto"/>
                <w:szCs w:val="21"/>
                <w:highlight w:val="none"/>
              </w:rPr>
              <w:t>IPv4：62267.067Mbps，IPv6：61859.943Mbps</w:t>
            </w:r>
          </w:p>
          <w:p>
            <w:pPr>
              <w:rPr>
                <w:rFonts w:hint="eastAsia" w:ascii="宋体" w:hAnsi="宋体" w:cs="宋体"/>
                <w:color w:val="auto"/>
                <w:szCs w:val="21"/>
                <w:highlight w:val="none"/>
              </w:rPr>
            </w:pPr>
            <w:r>
              <w:rPr>
                <w:rFonts w:hint="eastAsia" w:ascii="宋体" w:hAnsi="宋体" w:cs="宋体"/>
                <w:color w:val="auto"/>
                <w:szCs w:val="21"/>
                <w:highlight w:val="none"/>
              </w:rPr>
              <w:t>应用层吞吐量（单向）：</w:t>
            </w:r>
          </w:p>
          <w:p>
            <w:pPr>
              <w:rPr>
                <w:rFonts w:hint="eastAsia" w:ascii="宋体" w:hAnsi="宋体" w:cs="宋体"/>
                <w:color w:val="auto"/>
                <w:szCs w:val="21"/>
                <w:highlight w:val="none"/>
              </w:rPr>
            </w:pPr>
            <w:r>
              <w:rPr>
                <w:rFonts w:hint="eastAsia" w:ascii="宋体" w:hAnsi="宋体" w:cs="宋体"/>
                <w:color w:val="auto"/>
                <w:szCs w:val="21"/>
                <w:highlight w:val="none"/>
              </w:rPr>
              <w:t>IPv4：40018.581Mbps，IPv6：40018.742Mbps</w:t>
            </w:r>
          </w:p>
          <w:p>
            <w:pPr>
              <w:rPr>
                <w:rFonts w:hint="eastAsia" w:ascii="宋体" w:hAnsi="宋体" w:cs="宋体"/>
                <w:color w:val="auto"/>
                <w:szCs w:val="21"/>
                <w:highlight w:val="none"/>
              </w:rPr>
            </w:pPr>
            <w:r>
              <w:rPr>
                <w:rFonts w:hint="eastAsia" w:ascii="宋体" w:hAnsi="宋体" w:cs="宋体"/>
                <w:color w:val="auto"/>
                <w:szCs w:val="21"/>
                <w:highlight w:val="none"/>
              </w:rPr>
              <w:t>TCP新建连接速率：</w:t>
            </w:r>
          </w:p>
          <w:p>
            <w:pPr>
              <w:rPr>
                <w:rFonts w:hint="eastAsia" w:ascii="宋体" w:hAnsi="宋体" w:cs="宋体"/>
                <w:color w:val="auto"/>
                <w:szCs w:val="21"/>
                <w:highlight w:val="none"/>
              </w:rPr>
            </w:pPr>
            <w:r>
              <w:rPr>
                <w:rFonts w:hint="eastAsia" w:ascii="宋体" w:hAnsi="宋体" w:cs="宋体"/>
                <w:color w:val="auto"/>
                <w:szCs w:val="21"/>
                <w:highlight w:val="none"/>
              </w:rPr>
              <w:t>IPv4：49.994万/秒，IPv6：49.994万/秒</w:t>
            </w:r>
          </w:p>
          <w:p>
            <w:pPr>
              <w:rPr>
                <w:rFonts w:hint="eastAsia" w:ascii="宋体" w:hAnsi="宋体" w:cs="宋体"/>
                <w:color w:val="auto"/>
                <w:szCs w:val="21"/>
                <w:highlight w:val="none"/>
              </w:rPr>
            </w:pPr>
            <w:r>
              <w:rPr>
                <w:rFonts w:hint="eastAsia" w:ascii="宋体" w:hAnsi="宋体" w:cs="宋体"/>
                <w:color w:val="auto"/>
                <w:szCs w:val="21"/>
                <w:highlight w:val="none"/>
              </w:rPr>
              <w:t>TCP并发连接数：</w:t>
            </w:r>
          </w:p>
          <w:p>
            <w:pPr>
              <w:rPr>
                <w:rFonts w:hint="eastAsia" w:ascii="宋体" w:hAnsi="宋体" w:cs="宋体"/>
                <w:color w:val="auto"/>
                <w:szCs w:val="21"/>
                <w:highlight w:val="none"/>
              </w:rPr>
            </w:pPr>
            <w:r>
              <w:rPr>
                <w:rFonts w:hint="eastAsia" w:ascii="宋体" w:hAnsi="宋体" w:cs="宋体"/>
                <w:color w:val="auto"/>
                <w:szCs w:val="21"/>
                <w:highlight w:val="none"/>
              </w:rPr>
              <w:t>IPv4：3000.000万，IPv6：3000.000万</w:t>
            </w:r>
          </w:p>
          <w:p>
            <w:pPr>
              <w:rPr>
                <w:rFonts w:hint="eastAsia" w:ascii="宋体" w:hAnsi="宋体" w:cs="宋体"/>
                <w:color w:val="auto"/>
                <w:szCs w:val="21"/>
                <w:highlight w:val="none"/>
              </w:rPr>
            </w:pPr>
            <w:r>
              <w:rPr>
                <w:rFonts w:hint="eastAsia" w:ascii="宋体" w:hAnsi="宋体" w:cs="宋体"/>
                <w:color w:val="auto"/>
                <w:szCs w:val="21"/>
                <w:highlight w:val="none"/>
              </w:rPr>
              <w:t>要求提供原厂3年服务质保函</w:t>
            </w:r>
          </w:p>
          <w:p>
            <w:pPr>
              <w:rPr>
                <w:rFonts w:hint="eastAsia" w:ascii="宋体" w:hAnsi="宋体" w:cs="宋体"/>
                <w:color w:val="auto"/>
                <w:szCs w:val="21"/>
                <w:highlight w:val="none"/>
              </w:rPr>
            </w:pPr>
            <w:r>
              <w:rPr>
                <w:rFonts w:hint="eastAsia" w:ascii="宋体" w:hAnsi="宋体" w:cs="宋体"/>
                <w:color w:val="auto"/>
                <w:szCs w:val="21"/>
                <w:highlight w:val="none"/>
              </w:rPr>
              <w:t>防火墙支持液晶显示屏，能够显示防火墙并发连接数，CPU占有率等性能指标，提供设备图片；</w:t>
            </w:r>
          </w:p>
          <w:p>
            <w:pPr>
              <w:rPr>
                <w:rFonts w:hint="eastAsia" w:ascii="宋体" w:hAnsi="宋体" w:cs="宋体"/>
                <w:color w:val="auto"/>
                <w:szCs w:val="21"/>
                <w:highlight w:val="none"/>
              </w:rPr>
            </w:pPr>
            <w:r>
              <w:rPr>
                <w:rFonts w:hint="eastAsia" w:ascii="宋体" w:hAnsi="宋体" w:cs="宋体"/>
                <w:color w:val="auto"/>
                <w:szCs w:val="21"/>
                <w:highlight w:val="none"/>
              </w:rPr>
              <w:t>通过路由、透明、交换、旁路以及混合模式接入，满足复杂应用环境的接入需求；</w:t>
            </w:r>
          </w:p>
          <w:p>
            <w:pPr>
              <w:rPr>
                <w:rFonts w:hint="eastAsia" w:ascii="宋体" w:hAnsi="宋体" w:cs="宋体"/>
                <w:color w:val="auto"/>
                <w:szCs w:val="21"/>
                <w:highlight w:val="none"/>
              </w:rPr>
            </w:pPr>
            <w:r>
              <w:rPr>
                <w:rFonts w:hint="eastAsia" w:ascii="宋体" w:hAnsi="宋体" w:cs="宋体"/>
                <w:color w:val="auto"/>
                <w:szCs w:val="21"/>
                <w:highlight w:val="none"/>
              </w:rPr>
              <w:t xml:space="preserve">支持IPv6地址配置，提供全球IPv6测评中心颁发的IPv6  Enabled Logo 认证证书； </w:t>
            </w:r>
          </w:p>
          <w:p>
            <w:pPr>
              <w:rPr>
                <w:rFonts w:hint="eastAsia" w:ascii="宋体" w:hAnsi="宋体" w:cs="宋体"/>
                <w:color w:val="auto"/>
                <w:szCs w:val="21"/>
                <w:highlight w:val="none"/>
              </w:rPr>
            </w:pPr>
            <w:r>
              <w:rPr>
                <w:rFonts w:hint="eastAsia" w:ascii="宋体" w:hAnsi="宋体" w:cs="宋体"/>
                <w:color w:val="auto"/>
                <w:szCs w:val="21"/>
                <w:highlight w:val="none"/>
              </w:rPr>
              <w:t>支持记录被产品安全策略匹配的IPv6访问请求、检测到的攻击行为的日志，支持验证日志内容是否包括事件发生的日期和时间，支持验证事件发生的主体、客体和描述，其中数据包日志包括协议类型、源地址、目标地址、源端口和目标端口等；</w:t>
            </w:r>
          </w:p>
          <w:p>
            <w:pPr>
              <w:rPr>
                <w:rFonts w:hint="eastAsia" w:ascii="宋体" w:hAnsi="宋体" w:cs="宋体"/>
                <w:color w:val="auto"/>
                <w:szCs w:val="21"/>
                <w:highlight w:val="none"/>
              </w:rPr>
            </w:pPr>
            <w:r>
              <w:rPr>
                <w:rFonts w:hint="eastAsia" w:ascii="宋体" w:hAnsi="宋体" w:cs="宋体"/>
                <w:color w:val="auto"/>
                <w:szCs w:val="21"/>
                <w:highlight w:val="none"/>
              </w:rPr>
              <w:t xml:space="preserve">产品能够通过集中管理设备下发的配置链接一键快速上线部署； </w:t>
            </w:r>
          </w:p>
          <w:p>
            <w:pPr>
              <w:rPr>
                <w:rFonts w:hint="eastAsia" w:ascii="宋体" w:hAnsi="宋体" w:cs="宋体"/>
                <w:color w:val="auto"/>
                <w:szCs w:val="21"/>
                <w:highlight w:val="none"/>
              </w:rPr>
            </w:pPr>
            <w:r>
              <w:rPr>
                <w:rFonts w:hint="eastAsia" w:ascii="宋体" w:hAnsi="宋体" w:cs="宋体"/>
                <w:color w:val="auto"/>
                <w:szCs w:val="21"/>
                <w:highlight w:val="none"/>
              </w:rPr>
              <w:t>★具备威胁情报检测、威胁情报库升级、失陷主机展示及处置；（投标文件中提供相关功能截图或第三方专业检测报告复印件）</w:t>
            </w:r>
          </w:p>
        </w:tc>
        <w:tc>
          <w:tcPr>
            <w:tcW w:w="626"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奇安信、华为、深信服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8"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9</w:t>
            </w:r>
          </w:p>
        </w:tc>
        <w:tc>
          <w:tcPr>
            <w:tcW w:w="530" w:type="pct"/>
            <w:gridSpan w:val="2"/>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日志审计系统</w:t>
            </w:r>
          </w:p>
        </w:tc>
        <w:tc>
          <w:tcPr>
            <w:tcW w:w="22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40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u w:val="none"/>
              </w:rPr>
              <w:t>套</w:t>
            </w:r>
          </w:p>
        </w:tc>
        <w:tc>
          <w:tcPr>
            <w:tcW w:w="3123"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rPr>
                <w:rFonts w:hint="eastAsia" w:ascii="宋体" w:hAnsi="宋体" w:cs="宋体"/>
                <w:color w:val="auto"/>
                <w:szCs w:val="21"/>
                <w:highlight w:val="none"/>
                <w:u w:val="none"/>
              </w:rPr>
            </w:pPr>
            <w:r>
              <w:rPr>
                <w:rFonts w:hint="eastAsia" w:ascii="宋体" w:hAnsi="宋体" w:cs="宋体"/>
                <w:color w:val="auto"/>
                <w:szCs w:val="21"/>
                <w:highlight w:val="none"/>
                <w:u w:val="none"/>
              </w:rPr>
              <w:t>CPU：国产</w:t>
            </w:r>
          </w:p>
          <w:p>
            <w:pPr>
              <w:rPr>
                <w:rFonts w:hint="eastAsia" w:ascii="宋体" w:hAnsi="宋体" w:cs="宋体"/>
                <w:color w:val="auto"/>
                <w:szCs w:val="21"/>
                <w:highlight w:val="none"/>
                <w:u w:val="none"/>
              </w:rPr>
            </w:pPr>
            <w:r>
              <w:rPr>
                <w:rFonts w:hint="eastAsia" w:ascii="宋体" w:hAnsi="宋体" w:cs="宋体"/>
                <w:color w:val="auto"/>
                <w:szCs w:val="21"/>
                <w:highlight w:val="none"/>
                <w:u w:val="none"/>
              </w:rPr>
              <w:t>操作系统：国产操作系统</w:t>
            </w:r>
          </w:p>
          <w:p>
            <w:pPr>
              <w:rPr>
                <w:rFonts w:hint="eastAsia" w:ascii="宋体" w:hAnsi="宋体" w:cs="宋体"/>
                <w:color w:val="auto"/>
                <w:szCs w:val="21"/>
                <w:highlight w:val="none"/>
                <w:u w:val="none"/>
              </w:rPr>
            </w:pPr>
            <w:r>
              <w:rPr>
                <w:rFonts w:hint="eastAsia" w:ascii="宋体" w:hAnsi="宋体" w:cs="宋体"/>
                <w:color w:val="auto"/>
                <w:szCs w:val="21"/>
                <w:highlight w:val="none"/>
                <w:u w:val="none"/>
              </w:rPr>
              <w:t>内存：16GB</w:t>
            </w:r>
          </w:p>
          <w:p>
            <w:pPr>
              <w:rPr>
                <w:rFonts w:hint="eastAsia" w:ascii="宋体" w:hAnsi="宋体" w:cs="宋体"/>
                <w:color w:val="auto"/>
                <w:szCs w:val="21"/>
                <w:highlight w:val="none"/>
                <w:u w:val="none"/>
              </w:rPr>
            </w:pPr>
            <w:r>
              <w:rPr>
                <w:rFonts w:hint="eastAsia" w:ascii="宋体" w:hAnsi="宋体" w:cs="宋体"/>
                <w:color w:val="auto"/>
                <w:szCs w:val="21"/>
                <w:highlight w:val="none"/>
                <w:u w:val="none"/>
              </w:rPr>
              <w:t>网络接口：1个管理口、5个千兆电口和4个千兆光口、2个扩展槽</w:t>
            </w:r>
          </w:p>
          <w:p>
            <w:pPr>
              <w:rPr>
                <w:rFonts w:hint="eastAsia" w:ascii="宋体" w:hAnsi="宋体" w:cs="宋体"/>
                <w:color w:val="auto"/>
                <w:szCs w:val="21"/>
                <w:highlight w:val="none"/>
                <w:u w:val="none"/>
              </w:rPr>
            </w:pPr>
            <w:r>
              <w:rPr>
                <w:rFonts w:hint="eastAsia" w:ascii="宋体" w:hAnsi="宋体" w:cs="宋体"/>
                <w:color w:val="auto"/>
                <w:szCs w:val="21"/>
                <w:highlight w:val="none"/>
                <w:u w:val="none"/>
              </w:rPr>
              <w:t>整机规格：2U机箱</w:t>
            </w:r>
          </w:p>
          <w:p>
            <w:pPr>
              <w:rPr>
                <w:rFonts w:hint="eastAsia" w:ascii="宋体" w:hAnsi="宋体" w:cs="宋体"/>
                <w:color w:val="auto"/>
                <w:szCs w:val="21"/>
                <w:highlight w:val="none"/>
                <w:u w:val="none"/>
              </w:rPr>
            </w:pPr>
            <w:r>
              <w:rPr>
                <w:rFonts w:hint="eastAsia" w:ascii="宋体" w:hAnsi="宋体" w:cs="宋体"/>
                <w:color w:val="auto"/>
                <w:szCs w:val="21"/>
                <w:highlight w:val="none"/>
                <w:u w:val="none"/>
              </w:rPr>
              <w:t>性能：综合日志处理能力为2000EPS</w:t>
            </w:r>
          </w:p>
          <w:p>
            <w:pPr>
              <w:rPr>
                <w:rFonts w:hint="eastAsia" w:ascii="宋体" w:hAnsi="宋体" w:cs="宋体"/>
                <w:color w:val="auto"/>
                <w:szCs w:val="21"/>
                <w:highlight w:val="none"/>
                <w:u w:val="none"/>
              </w:rPr>
            </w:pPr>
            <w:r>
              <w:rPr>
                <w:rFonts w:hint="eastAsia" w:ascii="宋体" w:hAnsi="宋体" w:cs="宋体"/>
                <w:color w:val="auto"/>
                <w:szCs w:val="21"/>
                <w:highlight w:val="none"/>
                <w:u w:val="none"/>
              </w:rPr>
              <w:t>授权100日志源许可；</w:t>
            </w:r>
          </w:p>
          <w:p>
            <w:pPr>
              <w:rPr>
                <w:rFonts w:hint="eastAsia" w:ascii="宋体" w:hAnsi="宋体" w:cs="宋体"/>
                <w:color w:val="auto"/>
                <w:szCs w:val="21"/>
                <w:highlight w:val="none"/>
                <w:u w:val="none"/>
              </w:rPr>
            </w:pPr>
            <w:r>
              <w:rPr>
                <w:rFonts w:hint="eastAsia" w:ascii="宋体" w:hAnsi="宋体" w:cs="宋体"/>
                <w:color w:val="auto"/>
                <w:szCs w:val="21"/>
                <w:highlight w:val="none"/>
                <w:u w:val="none"/>
              </w:rPr>
              <w:t>三年质保</w:t>
            </w:r>
          </w:p>
          <w:p>
            <w:pPr>
              <w:rPr>
                <w:rFonts w:hint="eastAsia" w:ascii="宋体" w:hAnsi="宋体" w:cs="宋体"/>
                <w:color w:val="auto"/>
                <w:szCs w:val="21"/>
                <w:highlight w:val="none"/>
                <w:u w:val="none"/>
              </w:rPr>
            </w:pPr>
            <w:r>
              <w:rPr>
                <w:rFonts w:hint="eastAsia" w:ascii="宋体" w:hAnsi="宋体" w:cs="宋体"/>
                <w:color w:val="auto"/>
                <w:szCs w:val="21"/>
                <w:highlight w:val="none"/>
                <w:u w:val="none"/>
              </w:rPr>
              <w:t>★硬盘：4TB，具备硬盘减震装置技术，</w:t>
            </w:r>
            <w:r>
              <w:rPr>
                <w:rFonts w:hint="eastAsia" w:ascii="宋体" w:hAnsi="宋体" w:cs="宋体"/>
                <w:color w:val="auto"/>
                <w:szCs w:val="21"/>
                <w:highlight w:val="none"/>
                <w:u w:val="none"/>
                <w:lang w:val="en-US" w:eastAsia="zh-CN"/>
              </w:rPr>
              <w:t>投标文件中提供</w:t>
            </w:r>
            <w:r>
              <w:rPr>
                <w:rFonts w:hint="eastAsia" w:ascii="宋体" w:hAnsi="宋体" w:cs="宋体"/>
                <w:color w:val="auto"/>
                <w:szCs w:val="21"/>
                <w:highlight w:val="none"/>
                <w:u w:val="none"/>
              </w:rPr>
              <w:t>第三方检测报告并</w:t>
            </w:r>
            <w:r>
              <w:rPr>
                <w:rFonts w:hint="eastAsia" w:ascii="宋体" w:hAnsi="宋体" w:cs="宋体"/>
                <w:color w:val="auto"/>
                <w:szCs w:val="21"/>
                <w:highlight w:val="none"/>
                <w:u w:val="none"/>
                <w:lang w:val="en-US" w:eastAsia="zh-CN"/>
              </w:rPr>
              <w:t>复印件</w:t>
            </w:r>
            <w:r>
              <w:rPr>
                <w:rFonts w:hint="eastAsia" w:ascii="宋体" w:hAnsi="宋体" w:cs="宋体"/>
                <w:color w:val="auto"/>
                <w:szCs w:val="21"/>
                <w:highlight w:val="none"/>
                <w:u w:val="none"/>
              </w:rPr>
              <w:t>；</w:t>
            </w:r>
          </w:p>
          <w:p>
            <w:pPr>
              <w:rPr>
                <w:rFonts w:hint="eastAsia" w:ascii="宋体" w:hAnsi="宋体" w:cs="宋体"/>
                <w:color w:val="auto"/>
                <w:szCs w:val="21"/>
                <w:highlight w:val="none"/>
                <w:u w:val="none"/>
              </w:rPr>
            </w:pPr>
            <w:r>
              <w:rPr>
                <w:rFonts w:hint="eastAsia" w:ascii="宋体" w:hAnsi="宋体" w:cs="宋体"/>
                <w:color w:val="auto"/>
                <w:szCs w:val="21"/>
                <w:highlight w:val="none"/>
                <w:u w:val="none"/>
              </w:rPr>
              <w:t>支持通过Syslog、Syslog-NG、SNMP Trap、Netflow V5、JDBC、Agent代理、WMI、(S)FTP、NetBIOS、文件\文件夹读取、Kafka</w:t>
            </w:r>
            <w:r>
              <w:rPr>
                <w:rFonts w:hint="eastAsia" w:ascii="宋体" w:hAnsi="宋体" w:cs="宋体"/>
                <w:color w:val="auto"/>
                <w:szCs w:val="21"/>
                <w:highlight w:val="none"/>
                <w:u w:val="none"/>
                <w:lang w:val="en-US" w:eastAsia="zh-CN"/>
              </w:rPr>
              <w:t xml:space="preserve"> </w:t>
            </w:r>
            <w:r>
              <w:rPr>
                <w:rFonts w:hint="eastAsia" w:ascii="宋体" w:hAnsi="宋体" w:cs="宋体"/>
                <w:color w:val="auto"/>
                <w:szCs w:val="21"/>
                <w:highlight w:val="none"/>
                <w:u w:val="none"/>
              </w:rPr>
              <w:t>)等多种方式完成各种日志的收集功能，支持多行日志采集合并为一行；</w:t>
            </w:r>
          </w:p>
          <w:p>
            <w:pPr>
              <w:rPr>
                <w:rFonts w:hint="eastAsia" w:ascii="宋体" w:hAnsi="宋体" w:cs="宋体"/>
                <w:color w:val="auto"/>
                <w:szCs w:val="21"/>
                <w:highlight w:val="none"/>
                <w:u w:val="none"/>
              </w:rPr>
            </w:pPr>
            <w:r>
              <w:rPr>
                <w:rFonts w:hint="eastAsia" w:ascii="宋体" w:hAnsi="宋体" w:cs="宋体"/>
                <w:color w:val="auto"/>
                <w:szCs w:val="21"/>
                <w:highlight w:val="none"/>
                <w:u w:val="none"/>
              </w:rPr>
              <w:t>支持按照Syslog-NG标准及自有格式进行转发，转发时包含原始日志源IP地址；产品具备高性能的Syslog日志处理和存储方法，</w:t>
            </w:r>
            <w:r>
              <w:rPr>
                <w:rFonts w:hint="eastAsia" w:ascii="宋体" w:hAnsi="宋体" w:cs="宋体"/>
                <w:color w:val="auto"/>
                <w:szCs w:val="21"/>
                <w:highlight w:val="none"/>
                <w:u w:val="none"/>
                <w:lang w:val="en-US" w:eastAsia="zh-CN"/>
              </w:rPr>
              <w:t xml:space="preserve"> </w:t>
            </w:r>
            <w:r>
              <w:rPr>
                <w:rFonts w:hint="eastAsia" w:ascii="宋体" w:hAnsi="宋体" w:cs="宋体"/>
                <w:color w:val="auto"/>
                <w:szCs w:val="21"/>
                <w:highlight w:val="none"/>
                <w:u w:val="none"/>
              </w:rPr>
              <w:t>；</w:t>
            </w:r>
          </w:p>
          <w:p>
            <w:pPr>
              <w:widowControl/>
              <w:spacing w:line="40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u w:val="none"/>
              </w:rPr>
              <w:t>支持正则表达式、Key-Value、JSON日志解析，支持日志自动化辅助范化；支持对选中的日志内容自动生成正则表达式来提取日志属性。</w:t>
            </w:r>
          </w:p>
        </w:tc>
        <w:tc>
          <w:tcPr>
            <w:tcW w:w="626"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奇安信、深信服、绿盟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8"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10</w:t>
            </w:r>
          </w:p>
        </w:tc>
        <w:tc>
          <w:tcPr>
            <w:tcW w:w="530" w:type="pct"/>
            <w:gridSpan w:val="2"/>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数据库审计系统</w:t>
            </w:r>
          </w:p>
        </w:tc>
        <w:tc>
          <w:tcPr>
            <w:tcW w:w="22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40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rPr>
              <w:t>套</w:t>
            </w:r>
          </w:p>
        </w:tc>
        <w:tc>
          <w:tcPr>
            <w:tcW w:w="3123"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400" w:lineRule="exact"/>
              <w:jc w:val="left"/>
              <w:textAlignment w:val="center"/>
              <w:rPr>
                <w:rFonts w:ascii="宋体" w:hAnsi="宋体" w:cs="宋体"/>
                <w:color w:val="auto"/>
                <w:szCs w:val="21"/>
                <w:highlight w:val="none"/>
              </w:rPr>
            </w:pPr>
            <w:r>
              <w:rPr>
                <w:rFonts w:hint="eastAsia" w:ascii="宋体" w:hAnsi="宋体" w:cs="宋体"/>
                <w:color w:val="auto"/>
                <w:szCs w:val="21"/>
                <w:highlight w:val="none"/>
              </w:rPr>
              <w:t>CPU：国产</w:t>
            </w:r>
          </w:p>
          <w:p>
            <w:pPr>
              <w:widowControl/>
              <w:spacing w:line="400" w:lineRule="exact"/>
              <w:jc w:val="left"/>
              <w:textAlignment w:val="center"/>
              <w:rPr>
                <w:rFonts w:ascii="宋体" w:hAnsi="宋体" w:cs="宋体"/>
                <w:color w:val="auto"/>
                <w:szCs w:val="21"/>
                <w:highlight w:val="none"/>
              </w:rPr>
            </w:pPr>
            <w:r>
              <w:rPr>
                <w:rFonts w:hint="eastAsia" w:ascii="宋体" w:hAnsi="宋体" w:cs="宋体"/>
                <w:color w:val="auto"/>
                <w:szCs w:val="21"/>
                <w:highlight w:val="none"/>
              </w:rPr>
              <w:t>操作系统：国产操作系统</w:t>
            </w:r>
          </w:p>
          <w:p>
            <w:pPr>
              <w:widowControl/>
              <w:spacing w:line="400" w:lineRule="exact"/>
              <w:jc w:val="left"/>
              <w:textAlignment w:val="center"/>
              <w:rPr>
                <w:rFonts w:ascii="宋体" w:hAnsi="宋体" w:cs="宋体"/>
                <w:color w:val="auto"/>
                <w:szCs w:val="21"/>
                <w:highlight w:val="none"/>
              </w:rPr>
            </w:pPr>
            <w:r>
              <w:rPr>
                <w:rFonts w:hint="eastAsia" w:ascii="宋体" w:hAnsi="宋体" w:cs="宋体"/>
                <w:color w:val="auto"/>
                <w:szCs w:val="21"/>
                <w:highlight w:val="none"/>
              </w:rPr>
              <w:t>内存：16GB</w:t>
            </w:r>
          </w:p>
          <w:p>
            <w:pPr>
              <w:widowControl/>
              <w:spacing w:line="400" w:lineRule="exact"/>
              <w:jc w:val="left"/>
              <w:textAlignment w:val="center"/>
              <w:rPr>
                <w:rFonts w:ascii="宋体" w:hAnsi="宋体" w:cs="宋体"/>
                <w:color w:val="auto"/>
                <w:szCs w:val="21"/>
                <w:highlight w:val="none"/>
              </w:rPr>
            </w:pPr>
            <w:r>
              <w:rPr>
                <w:rFonts w:hint="eastAsia" w:ascii="宋体" w:hAnsi="宋体" w:cs="宋体"/>
                <w:color w:val="auto"/>
                <w:szCs w:val="21"/>
                <w:highlight w:val="none"/>
              </w:rPr>
              <w:t>硬盘：4TB</w:t>
            </w:r>
          </w:p>
          <w:p>
            <w:pPr>
              <w:widowControl/>
              <w:spacing w:line="400" w:lineRule="exact"/>
              <w:jc w:val="left"/>
              <w:textAlignment w:val="center"/>
              <w:rPr>
                <w:rFonts w:ascii="宋体" w:hAnsi="宋体" w:cs="宋体"/>
                <w:color w:val="auto"/>
                <w:szCs w:val="21"/>
                <w:highlight w:val="none"/>
              </w:rPr>
            </w:pPr>
            <w:r>
              <w:rPr>
                <w:rFonts w:hint="eastAsia" w:ascii="宋体" w:hAnsi="宋体" w:cs="宋体"/>
                <w:color w:val="auto"/>
                <w:szCs w:val="21"/>
                <w:highlight w:val="none"/>
              </w:rPr>
              <w:t>网络接口：6个千兆电口、4个千兆光口</w:t>
            </w:r>
          </w:p>
          <w:p>
            <w:pPr>
              <w:widowControl/>
              <w:spacing w:line="400" w:lineRule="exact"/>
              <w:jc w:val="left"/>
              <w:textAlignment w:val="center"/>
              <w:rPr>
                <w:rFonts w:ascii="宋体" w:hAnsi="宋体" w:cs="宋体"/>
                <w:color w:val="auto"/>
                <w:szCs w:val="21"/>
                <w:highlight w:val="none"/>
              </w:rPr>
            </w:pPr>
            <w:r>
              <w:rPr>
                <w:rFonts w:hint="eastAsia" w:ascii="宋体" w:hAnsi="宋体" w:cs="宋体"/>
                <w:color w:val="auto"/>
                <w:szCs w:val="21"/>
                <w:highlight w:val="none"/>
              </w:rPr>
              <w:t>整机规格：2U机箱</w:t>
            </w:r>
          </w:p>
          <w:p>
            <w:pPr>
              <w:widowControl/>
              <w:spacing w:line="400" w:lineRule="exact"/>
              <w:jc w:val="left"/>
              <w:textAlignment w:val="center"/>
              <w:rPr>
                <w:rFonts w:ascii="宋体" w:hAnsi="宋体" w:cs="宋体"/>
                <w:color w:val="auto"/>
                <w:szCs w:val="21"/>
                <w:highlight w:val="none"/>
              </w:rPr>
            </w:pPr>
            <w:r>
              <w:rPr>
                <w:rFonts w:hint="eastAsia" w:ascii="宋体" w:hAnsi="宋体" w:cs="宋体"/>
                <w:color w:val="auto"/>
                <w:szCs w:val="21"/>
                <w:highlight w:val="none"/>
              </w:rPr>
              <w:t>三年质保</w:t>
            </w:r>
          </w:p>
          <w:p>
            <w:pPr>
              <w:widowControl/>
              <w:spacing w:line="400" w:lineRule="exact"/>
              <w:jc w:val="left"/>
              <w:textAlignment w:val="center"/>
              <w:rPr>
                <w:rFonts w:ascii="宋体" w:hAnsi="宋体" w:cs="宋体"/>
                <w:color w:val="auto"/>
                <w:szCs w:val="21"/>
                <w:highlight w:val="none"/>
              </w:rPr>
            </w:pPr>
            <w:r>
              <w:rPr>
                <w:rFonts w:hint="eastAsia" w:ascii="宋体" w:hAnsi="宋体" w:cs="宋体"/>
                <w:color w:val="auto"/>
                <w:szCs w:val="21"/>
                <w:highlight w:val="none"/>
              </w:rPr>
              <w:t>支持的数据库：达梦、人大金仓、南大通用Gbase、神舟等主流国产化数据库。</w:t>
            </w:r>
          </w:p>
          <w:p>
            <w:pPr>
              <w:widowControl/>
              <w:spacing w:line="400" w:lineRule="exact"/>
              <w:jc w:val="left"/>
              <w:textAlignment w:val="center"/>
              <w:rPr>
                <w:rFonts w:ascii="宋体" w:hAnsi="宋体" w:cs="宋体"/>
                <w:color w:val="auto"/>
                <w:szCs w:val="21"/>
                <w:highlight w:val="none"/>
              </w:rPr>
            </w:pPr>
            <w:r>
              <w:rPr>
                <w:rFonts w:hint="eastAsia" w:ascii="宋体" w:hAnsi="宋体" w:cs="宋体"/>
                <w:color w:val="auto"/>
                <w:szCs w:val="21"/>
                <w:highlight w:val="none"/>
              </w:rPr>
              <w:t>★系统可同时支持IPv4和IPv6的网络环境下数据库的审计。（</w:t>
            </w:r>
            <w:r>
              <w:rPr>
                <w:rFonts w:hint="eastAsia" w:ascii="宋体" w:hAnsi="宋体" w:cs="宋体"/>
                <w:color w:val="auto"/>
                <w:szCs w:val="21"/>
                <w:highlight w:val="none"/>
                <w:lang w:val="en-US" w:eastAsia="zh-CN"/>
              </w:rPr>
              <w:t>投标文件中</w:t>
            </w:r>
            <w:r>
              <w:rPr>
                <w:rFonts w:hint="eastAsia" w:ascii="宋体" w:hAnsi="宋体" w:cs="宋体"/>
                <w:color w:val="auto"/>
                <w:szCs w:val="21"/>
                <w:highlight w:val="none"/>
              </w:rPr>
              <w:t>提供产品功能截图）</w:t>
            </w:r>
          </w:p>
          <w:p>
            <w:pPr>
              <w:widowControl/>
              <w:spacing w:line="40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支持添加系统语句规则来过滤系统语句，根据系统语句定义规则进行应用层过滤</w:t>
            </w:r>
          </w:p>
          <w:p>
            <w:pPr>
              <w:widowControl/>
              <w:spacing w:line="400" w:lineRule="exact"/>
              <w:jc w:val="left"/>
              <w:textAlignment w:val="center"/>
              <w:rPr>
                <w:rFonts w:ascii="宋体" w:hAnsi="宋体" w:cs="宋体"/>
                <w:color w:val="auto"/>
                <w:szCs w:val="21"/>
                <w:highlight w:val="none"/>
              </w:rPr>
            </w:pPr>
            <w:r>
              <w:rPr>
                <w:rFonts w:hint="eastAsia" w:ascii="宋体" w:hAnsi="宋体" w:cs="宋体"/>
                <w:color w:val="auto"/>
                <w:szCs w:val="21"/>
                <w:highlight w:val="none"/>
              </w:rPr>
              <w:t>对审计记录返回内容中的敏感数据能进行隐秘处理，防止二次泄露。</w:t>
            </w:r>
          </w:p>
          <w:p>
            <w:pPr>
              <w:widowControl/>
              <w:spacing w:line="400" w:lineRule="exact"/>
              <w:jc w:val="left"/>
              <w:textAlignment w:val="center"/>
              <w:rPr>
                <w:rFonts w:ascii="宋体" w:hAnsi="宋体" w:cs="宋体"/>
                <w:color w:val="auto"/>
                <w:szCs w:val="21"/>
                <w:highlight w:val="none"/>
              </w:rPr>
            </w:pPr>
            <w:r>
              <w:rPr>
                <w:rFonts w:hint="eastAsia" w:ascii="宋体" w:hAnsi="宋体" w:cs="宋体"/>
                <w:color w:val="auto"/>
                <w:szCs w:val="21"/>
                <w:highlight w:val="none"/>
              </w:rPr>
              <w:t>内置疑似SQL注入、跨站脚本攻击、数据库导库、字段猜测、代码更改、等风险审计规则库。</w:t>
            </w:r>
          </w:p>
          <w:p>
            <w:pPr>
              <w:widowControl/>
              <w:spacing w:line="40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产品具备《中国国家安全产品认证证书》（网专认证），增强级。</w:t>
            </w:r>
          </w:p>
          <w:p>
            <w:pPr>
              <w:widowControl/>
              <w:spacing w:line="400" w:lineRule="exact"/>
              <w:jc w:val="left"/>
              <w:textAlignment w:val="center"/>
              <w:rPr>
                <w:rFonts w:ascii="宋体" w:hAnsi="宋体" w:cs="宋体"/>
                <w:color w:val="auto"/>
                <w:szCs w:val="21"/>
                <w:highlight w:val="none"/>
              </w:rPr>
            </w:pPr>
            <w:r>
              <w:rPr>
                <w:rFonts w:hint="eastAsia" w:ascii="宋体" w:hAnsi="宋体" w:cs="宋体"/>
                <w:color w:val="auto"/>
                <w:szCs w:val="21"/>
                <w:highlight w:val="none"/>
              </w:rPr>
              <w:t>内置疑似SQL注入、跨站脚本攻击、数据库导库、字段猜测、代码更改、等风险审计规则库。</w:t>
            </w:r>
          </w:p>
          <w:p>
            <w:pPr>
              <w:widowControl/>
              <w:spacing w:line="400" w:lineRule="exact"/>
              <w:jc w:val="left"/>
              <w:textAlignment w:val="center"/>
              <w:rPr>
                <w:rFonts w:ascii="宋体" w:hAnsi="宋体" w:cs="宋体"/>
                <w:color w:val="auto"/>
                <w:szCs w:val="21"/>
                <w:highlight w:val="none"/>
              </w:rPr>
            </w:pPr>
            <w:r>
              <w:rPr>
                <w:rFonts w:hint="eastAsia" w:ascii="宋体" w:hAnsi="宋体" w:cs="宋体"/>
                <w:color w:val="auto"/>
                <w:szCs w:val="21"/>
                <w:highlight w:val="none"/>
              </w:rPr>
              <w:t>产品具备《中国国家安全产品认证证书》（网专认证），增强级，。</w:t>
            </w:r>
          </w:p>
        </w:tc>
        <w:tc>
          <w:tcPr>
            <w:tcW w:w="626"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奇安信、深信服、绿盟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8"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11</w:t>
            </w:r>
          </w:p>
        </w:tc>
        <w:tc>
          <w:tcPr>
            <w:tcW w:w="530" w:type="pct"/>
            <w:gridSpan w:val="2"/>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入侵防御系统</w:t>
            </w:r>
          </w:p>
        </w:tc>
        <w:tc>
          <w:tcPr>
            <w:tcW w:w="22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40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套</w:t>
            </w:r>
          </w:p>
        </w:tc>
        <w:tc>
          <w:tcPr>
            <w:tcW w:w="3123"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CPU：国产</w:t>
            </w:r>
          </w:p>
          <w:p>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操作系统：国产操作系统</w:t>
            </w:r>
          </w:p>
          <w:p>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内存：32GB</w:t>
            </w:r>
          </w:p>
          <w:p>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硬盘：1TB+4GB</w:t>
            </w:r>
          </w:p>
          <w:p>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网络接口：1个管理口、1个HA口、8个千兆电口、8个千兆光口和8个万兆光口、4个扩展槽</w:t>
            </w:r>
          </w:p>
          <w:p>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整机规格：2U机箱</w:t>
            </w:r>
          </w:p>
          <w:p>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满检速率：59219.680Mbps</w:t>
            </w:r>
          </w:p>
          <w:p>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TCP并发连接数：2000.000万</w:t>
            </w:r>
          </w:p>
          <w:p>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3年入侵防御特征库升级，冗余电源</w:t>
            </w:r>
          </w:p>
          <w:p>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支持MPLS流量透传；支持针对MPLS流量的安全审查，包括漏洞防护、反病毒、间谍软件防护、内容过滤、URL过滤、基于终端状态访问控制等安全防护功能；</w:t>
            </w:r>
          </w:p>
          <w:p>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支持MTU≥9000byte的巨型帧Jumbo Frame；</w:t>
            </w:r>
          </w:p>
          <w:p>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支持基于不同安全区域防御SYN Flood、UDP  Flood、ICMP  Flood、IP  Flood、DNS Flood、HTTP Flood攻击，并支持警告、丢弃、普通防护（首包丢弃）、增强防护（TC反弹技术）、授权服务器防护（NS重定向）、普通防护（自动重定向）、增强防护（手工确认）等多种防护措施</w:t>
            </w:r>
          </w:p>
          <w:p>
            <w:pPr>
              <w:widowControl/>
              <w:spacing w:line="360" w:lineRule="auto"/>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支持漏洞防护功能，同时将漏洞防护特征库分类，至少包括缓冲区溢出、跨站脚本、拒绝服务、恶意扫描、SQL注入、WEB攻击等六种分类；漏洞防护支持日志、阻断、放行、重置等执行动作,可批量设置针对某一分类或全部攻击签名的执行动作；支持针对应用协议的漏洞防护；</w:t>
            </w:r>
          </w:p>
          <w:p>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★支持IPv4和IPv6流量的HTTPS协议进行解密，支持配置基于源安全域、目的安全域、源地址、目的地址、SSL协议服务的解密策略，并可同时基于安全域、IPv4和IPv6地址进行例外设置，</w:t>
            </w:r>
            <w:r>
              <w:rPr>
                <w:rFonts w:hint="eastAsia" w:ascii="宋体" w:hAnsi="宋体" w:cs="宋体"/>
                <w:color w:val="auto"/>
                <w:szCs w:val="21"/>
                <w:highlight w:val="none"/>
                <w:lang w:val="en-US" w:eastAsia="zh-CN"/>
              </w:rPr>
              <w:t>投标文件中</w:t>
            </w:r>
            <w:r>
              <w:rPr>
                <w:rFonts w:hint="eastAsia" w:ascii="宋体" w:hAnsi="宋体" w:cs="宋体"/>
                <w:color w:val="auto"/>
                <w:szCs w:val="21"/>
                <w:highlight w:val="none"/>
              </w:rPr>
              <w:t>提供“SSL 解密”技术证明证书或第三方检测报告复印件；</w:t>
            </w:r>
          </w:p>
          <w:p>
            <w:pPr>
              <w:widowControl/>
              <w:spacing w:line="360" w:lineRule="auto"/>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具备对不同方式、不同协议类型的攻击进行检测与防御，具备网络入侵行为检测系统及检测方法技术</w:t>
            </w:r>
          </w:p>
        </w:tc>
        <w:tc>
          <w:tcPr>
            <w:tcW w:w="626"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奇安信、深信服、绿盟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8"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12</w:t>
            </w:r>
          </w:p>
        </w:tc>
        <w:tc>
          <w:tcPr>
            <w:tcW w:w="530" w:type="pct"/>
            <w:gridSpan w:val="2"/>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视频准入系统</w:t>
            </w:r>
          </w:p>
        </w:tc>
        <w:tc>
          <w:tcPr>
            <w:tcW w:w="22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套</w:t>
            </w:r>
          </w:p>
        </w:tc>
        <w:tc>
          <w:tcPr>
            <w:tcW w:w="3123"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不低于以下参数：</w:t>
            </w:r>
          </w:p>
          <w:p>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能够对网络中可纳管设备、未知设备（无法提供设备管理权限）、未知端点、未产生流量的端点主动发现。包括但不限于交换机、路由器、防火墙、服务器、PC终端、打印机、摄像头、配电终端、RSU等；</w:t>
            </w:r>
          </w:p>
          <w:p>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能够识别出至少10家主流摄像头信息；</w:t>
            </w:r>
          </w:p>
          <w:p>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能够识别出至少10家主流网络设备厂家及类型；</w:t>
            </w:r>
          </w:p>
          <w:p>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能够主动判断和识别网络中是否存在HUB。能够识别出HUB下接入终端的IP、MAC、设备类型、操作系统、厂商信息，并通过端点拓扑进行展示；</w:t>
            </w:r>
          </w:p>
          <w:p>
            <w:pPr>
              <w:widowControl/>
              <w:spacing w:line="360" w:lineRule="auto"/>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★能够自动识别非法私接、仿冒的设备，并实时告警，告警方式包括但不限于：大屏、短信、邮件，</w:t>
            </w:r>
            <w:r>
              <w:rPr>
                <w:rFonts w:hint="eastAsia" w:ascii="宋体" w:hAnsi="宋体" w:cs="宋体"/>
                <w:color w:val="auto"/>
                <w:szCs w:val="21"/>
                <w:highlight w:val="none"/>
                <w:lang w:val="en-US" w:eastAsia="zh-CN"/>
              </w:rPr>
              <w:t>投标文件中</w:t>
            </w:r>
            <w:r>
              <w:rPr>
                <w:rFonts w:hint="eastAsia" w:ascii="宋体" w:hAnsi="宋体" w:cs="宋体"/>
                <w:color w:val="auto"/>
                <w:szCs w:val="21"/>
                <w:highlight w:val="none"/>
              </w:rPr>
              <w:t>提供对应功能截图；</w:t>
            </w:r>
          </w:p>
          <w:p>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同时能够主动将非法设备加入黑名单，阻断非法设备的接入；</w:t>
            </w:r>
          </w:p>
          <w:p>
            <w:pPr>
              <w:widowControl/>
              <w:spacing w:line="360" w:lineRule="auto"/>
              <w:jc w:val="left"/>
              <w:textAlignment w:val="center"/>
              <w:rPr>
                <w:rFonts w:hint="eastAsia" w:ascii="宋体" w:hAnsi="宋体" w:cs="宋体"/>
                <w:color w:val="auto"/>
                <w:szCs w:val="21"/>
                <w:highlight w:val="none"/>
                <w:lang w:eastAsia="zh-CN"/>
              </w:rPr>
            </w:pPr>
            <w:r>
              <w:rPr>
                <w:rFonts w:hint="eastAsia" w:ascii="宋体" w:hAnsi="宋体" w:cs="宋体"/>
                <w:color w:val="auto"/>
                <w:szCs w:val="21"/>
                <w:highlight w:val="none"/>
              </w:rPr>
              <w:t>网络中所有IP端点类型、数量、在线状态、合规状态、告警信息统一图形化展示</w:t>
            </w:r>
            <w:r>
              <w:rPr>
                <w:rFonts w:hint="eastAsia" w:ascii="宋体" w:hAnsi="宋体" w:cs="宋体"/>
                <w:color w:val="auto"/>
                <w:szCs w:val="21"/>
                <w:highlight w:val="none"/>
                <w:lang w:eastAsia="zh-CN"/>
              </w:rPr>
              <w:t>；</w:t>
            </w:r>
          </w:p>
          <w:p>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纯软件系平台，旁路部署，不能对原有网络架构做任何改变，支持IPV6；</w:t>
            </w:r>
          </w:p>
          <w:p>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配置≥10000的准入授权；对应管理平台授权（若有）；对应数量的网络探测设备（软硬件一体）；</w:t>
            </w:r>
          </w:p>
          <w:p>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硬件配置：处理器≥24核，内存规格≥128GB，最大支持24根DDR4内存，最高速率2933MT/s；硬盘配置≥4*960GBSATASSD硬盘，配置≥8个2.5寸热插拔硬盘槽位，可扩展至≥37个2.5寸热插拔硬盘槽位，同时可扩展3个3.5寸硬盘；网卡专用插槽≥1个，千兆电口≥4个；500w白金版热插拔冗余电源≥2个，支持最高5-50°C标准工作温度；USB3.0接口≥5个，最高可扩展至6个USB接口；标配1个VGA，可选配支持最高2个VGA接口；</w:t>
            </w:r>
          </w:p>
        </w:tc>
        <w:tc>
          <w:tcPr>
            <w:tcW w:w="626"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pStyle w:val="64"/>
              <w:widowControl/>
              <w:spacing w:line="360" w:lineRule="auto"/>
              <w:ind w:left="0" w:leftChars="0" w:firstLine="0" w:firstLineChars="0"/>
              <w:jc w:val="left"/>
              <w:rPr>
                <w:rFonts w:cs="宋体"/>
                <w:color w:val="auto"/>
                <w:szCs w:val="21"/>
                <w:highlight w:val="none"/>
              </w:rPr>
            </w:pPr>
            <w:r>
              <w:rPr>
                <w:rFonts w:hint="eastAsia" w:cs="宋体"/>
                <w:color w:val="auto"/>
                <w:szCs w:val="21"/>
                <w:highlight w:val="none"/>
              </w:rPr>
              <w:t>华三、华为、迪普</w:t>
            </w:r>
          </w:p>
        </w:tc>
      </w:tr>
    </w:tbl>
    <w:p>
      <w:pPr>
        <w:pStyle w:val="63"/>
        <w:ind w:firstLine="0"/>
        <w:rPr>
          <w:rFonts w:hAnsi="宋体" w:cs="宋体"/>
          <w:color w:val="auto"/>
          <w:sz w:val="21"/>
          <w:szCs w:val="21"/>
          <w:highlight w:val="none"/>
          <w:lang w:val="en-US"/>
        </w:rPr>
      </w:pPr>
      <w:r>
        <w:rPr>
          <w:rFonts w:hint="eastAsia" w:hAnsi="宋体" w:cs="宋体"/>
          <w:b/>
          <w:bCs/>
          <w:color w:val="auto"/>
          <w:kern w:val="0"/>
          <w:sz w:val="21"/>
          <w:szCs w:val="21"/>
          <w:highlight w:val="none"/>
          <w:lang w:bidi="ar"/>
        </w:rPr>
        <w:t>（</w:t>
      </w:r>
      <w:r>
        <w:rPr>
          <w:rFonts w:hint="eastAsia" w:hAnsi="宋体" w:cs="宋体"/>
          <w:b/>
          <w:bCs/>
          <w:color w:val="auto"/>
          <w:kern w:val="0"/>
          <w:sz w:val="21"/>
          <w:szCs w:val="21"/>
          <w:highlight w:val="none"/>
          <w:lang w:val="en-US" w:bidi="ar"/>
        </w:rPr>
        <w:t>五</w:t>
      </w:r>
      <w:r>
        <w:rPr>
          <w:rFonts w:hint="eastAsia" w:hAnsi="宋体" w:cs="宋体"/>
          <w:b/>
          <w:bCs/>
          <w:color w:val="auto"/>
          <w:kern w:val="0"/>
          <w:sz w:val="21"/>
          <w:szCs w:val="21"/>
          <w:highlight w:val="none"/>
          <w:lang w:bidi="ar"/>
        </w:rPr>
        <w:t>）区公安分局视频信息共享平台升级</w:t>
      </w:r>
    </w:p>
    <w:tbl>
      <w:tblPr>
        <w:tblStyle w:val="65"/>
        <w:tblW w:w="496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2"/>
        <w:gridCol w:w="1493"/>
        <w:gridCol w:w="624"/>
        <w:gridCol w:w="737"/>
        <w:gridCol w:w="8800"/>
        <w:gridCol w:w="17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w:t>
            </w:r>
          </w:p>
        </w:tc>
        <w:tc>
          <w:tcPr>
            <w:tcW w:w="530"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防火墙</w:t>
            </w:r>
          </w:p>
        </w:tc>
        <w:tc>
          <w:tcPr>
            <w:tcW w:w="221"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1</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台</w:t>
            </w:r>
          </w:p>
        </w:tc>
        <w:tc>
          <w:tcPr>
            <w:tcW w:w="3129"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vAlign w:val="center"/>
          </w:tcPr>
          <w:p>
            <w:pPr>
              <w:widowControl/>
              <w:spacing w:line="360" w:lineRule="auto"/>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不低于以下参数：整机网络吞吐量≥40Gbps，最大并发连接数≥2000万，应用层吞吐量≥17G；整机10M/100M/1000M自适应电接口数量≥12，万兆接口总数≥16，40GE接口≥4，接口无路由/交换/LAN/WAN等固化区分，均可作为二三层接口使用，支持多桥组部署；</w:t>
            </w:r>
          </w:p>
          <w:p>
            <w:pPr>
              <w:widowControl/>
              <w:spacing w:line="360" w:lineRule="auto"/>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支持端口镜像功能，支持入流量、出流量和双向流量等维度镜像；</w:t>
            </w:r>
          </w:p>
          <w:p>
            <w:pPr>
              <w:widowControl/>
              <w:spacing w:line="360" w:lineRule="auto"/>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支持路由模式、透明（网桥）模式、混合模式、旁路模式；旁路部署支持加入2个以上物理接口，无需接口对；部署模式切换无需重启设备；支持七元组策略路由，支持基于线路权重进行负载转发；支持IPv6/v4双栈，支持IPv6安全策略、包括审计策略、NAT策略、流量控制策略、会话控制策略、黑名单、白名单、认证策略等，支持IPv6 Ready认证；</w:t>
            </w:r>
          </w:p>
          <w:p>
            <w:pPr>
              <w:widowControl/>
              <w:spacing w:line="360" w:lineRule="auto"/>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支持自定义IPS特征，支持针对8种协议自定义入侵攻击特征，包括IP、UDP、TCP、ICMP、HTTP、FTP、POP3、SMTP等协议；可拓展协议字段，设置数据包中的匹配内容；支持选择包含、等于、不等于、大于、正则匹配等匹配方式；</w:t>
            </w:r>
          </w:p>
          <w:p>
            <w:pPr>
              <w:widowControl/>
              <w:spacing w:line="360" w:lineRule="auto"/>
              <w:jc w:val="left"/>
              <w:textAlignment w:val="center"/>
              <w:rPr>
                <w:rFonts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可选择多种匹配条件，支持设置“与”和“或”的匹配顺序；</w:t>
            </w:r>
          </w:p>
          <w:p>
            <w:pPr>
              <w:widowControl/>
              <w:spacing w:line="360" w:lineRule="auto"/>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支持IPS高阶告警功能，可以配置多种告警条件，达到告警规则可通过邮件或者syslog告警，不同告警规则可以发送给不同的用户；</w:t>
            </w:r>
          </w:p>
          <w:p>
            <w:pPr>
              <w:widowControl/>
              <w:spacing w:line="360" w:lineRule="auto"/>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要求配置：双电源，双风扇，要求提供原厂3年服务质保函；</w:t>
            </w:r>
          </w:p>
        </w:tc>
        <w:tc>
          <w:tcPr>
            <w:tcW w:w="620"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vAlign w:val="center"/>
          </w:tcPr>
          <w:p>
            <w:pPr>
              <w:widowControl/>
              <w:spacing w:line="360" w:lineRule="auto"/>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华为、华三、中兴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2</w:t>
            </w:r>
          </w:p>
        </w:tc>
        <w:tc>
          <w:tcPr>
            <w:tcW w:w="530"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国标网关</w:t>
            </w:r>
          </w:p>
        </w:tc>
        <w:tc>
          <w:tcPr>
            <w:tcW w:w="221"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2</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套</w:t>
            </w:r>
          </w:p>
        </w:tc>
        <w:tc>
          <w:tcPr>
            <w:tcW w:w="3129"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基于GB/T28181等联网标准实现视频监控平台间的级联、互联功能，支持多平台多层次级联，实现平台之间的跨域互联互通与资源共享</w:t>
            </w:r>
          </w:p>
        </w:tc>
        <w:tc>
          <w:tcPr>
            <w:tcW w:w="620"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海康、大华、宇视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3</w:t>
            </w:r>
          </w:p>
        </w:tc>
        <w:tc>
          <w:tcPr>
            <w:tcW w:w="530"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应用服务器</w:t>
            </w:r>
          </w:p>
        </w:tc>
        <w:tc>
          <w:tcPr>
            <w:tcW w:w="221"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2</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台</w:t>
            </w:r>
          </w:p>
        </w:tc>
        <w:tc>
          <w:tcPr>
            <w:tcW w:w="3129"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不低于以下参数：</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处理器参数32核2.2GHz；</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内存：8内存槽，8*16G内存</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管理网口：后置1个独立的RJ4510/100M管理端口</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硬盘数量：标配4个1T企业级机械硬盘，2个480GSSD</w:t>
            </w:r>
          </w:p>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电源：支持800W，支持220V交流电源，支持1+1冗余</w:t>
            </w:r>
          </w:p>
        </w:tc>
        <w:tc>
          <w:tcPr>
            <w:tcW w:w="620"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大华、海康、中科可控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4</w:t>
            </w:r>
          </w:p>
        </w:tc>
        <w:tc>
          <w:tcPr>
            <w:tcW w:w="530"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车辆大数据</w:t>
            </w:r>
          </w:p>
        </w:tc>
        <w:tc>
          <w:tcPr>
            <w:tcW w:w="221"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套</w:t>
            </w:r>
          </w:p>
        </w:tc>
        <w:tc>
          <w:tcPr>
            <w:tcW w:w="3129"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汇聚所有车辆感知数据，利用车辆全智能分析、以图搜车、大数据存储和搜索技术，实现车辆数据查询、布控和统计。</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性能规格</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过车查询，默认条件查询，时间条件：今天、近3天，查询耗时小于或等于1秒</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特征检索，默认条件查询，时间条件：今天、近3天，查询耗时小于或等于1秒</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以图搜图，默认条件查询，时间条件：近3天，查询耗时小于或等于3秒</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布控比对，从目标抓拍到产生预警，耗时小于或等于3秒(需统一校时)</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历史报警查询，默认条件查询，时间条件：近3天，近1周，查询耗时小于或等于3秒</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基于的测试环境说明</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数据基础：</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过车量日增数据：2000万</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车牌布控指令：10万</w:t>
            </w:r>
          </w:p>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布控报警数据日增：40W</w:t>
            </w:r>
          </w:p>
        </w:tc>
        <w:tc>
          <w:tcPr>
            <w:tcW w:w="620"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大华、海康、宇视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5</w:t>
            </w:r>
          </w:p>
        </w:tc>
        <w:tc>
          <w:tcPr>
            <w:tcW w:w="530"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应用服务器</w:t>
            </w:r>
          </w:p>
        </w:tc>
        <w:tc>
          <w:tcPr>
            <w:tcW w:w="221"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台</w:t>
            </w:r>
          </w:p>
        </w:tc>
        <w:tc>
          <w:tcPr>
            <w:tcW w:w="3129"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不低于以下参数：</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处理器参数32核2.2GHz；</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内存：8内存槽，8*16G内存</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管理网口：后置1个独立的RJ4510/100M管理端口</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硬盘数量：标配4个1T企业级机械硬盘，2个480GSSD</w:t>
            </w:r>
          </w:p>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电源：支持800W，支持220V交流电源，支持1+1冗余</w:t>
            </w:r>
          </w:p>
        </w:tc>
        <w:tc>
          <w:tcPr>
            <w:tcW w:w="620"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海康、大华、中科可控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3"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6</w:t>
            </w:r>
          </w:p>
        </w:tc>
        <w:tc>
          <w:tcPr>
            <w:tcW w:w="530"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国标网关</w:t>
            </w:r>
          </w:p>
        </w:tc>
        <w:tc>
          <w:tcPr>
            <w:tcW w:w="221"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2</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套</w:t>
            </w:r>
          </w:p>
        </w:tc>
        <w:tc>
          <w:tcPr>
            <w:tcW w:w="3129"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vAlign w:val="center"/>
          </w:tcPr>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基于GB/T28181等联网标准实现视频监控平台间的级联、互联功能，支持多平台多层次级联，实现平台之间的跨域互联互通与资源共享</w:t>
            </w:r>
          </w:p>
        </w:tc>
        <w:tc>
          <w:tcPr>
            <w:tcW w:w="620" w:type="pct"/>
            <w:tcBorders>
              <w:top w:val="single" w:color="4F81BD" w:sz="8" w:space="0"/>
              <w:left w:val="single" w:color="4F81BD" w:sz="8" w:space="0"/>
              <w:right w:val="single" w:color="4F81BD" w:sz="8" w:space="0"/>
              <w:tl2br w:val="nil"/>
              <w:tr2bl w:val="nil"/>
            </w:tcBorders>
            <w:shd w:val="clear" w:color="auto" w:fill="FFFFFF"/>
            <w:noWrap/>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海康、大华、宇视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3"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7</w:t>
            </w:r>
          </w:p>
        </w:tc>
        <w:tc>
          <w:tcPr>
            <w:tcW w:w="530"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智能运维管理平台基础模块</w:t>
            </w:r>
          </w:p>
        </w:tc>
        <w:tc>
          <w:tcPr>
            <w:tcW w:w="221"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个</w:t>
            </w:r>
          </w:p>
        </w:tc>
        <w:tc>
          <w:tcPr>
            <w:tcW w:w="3129"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vAlign w:val="center"/>
          </w:tcPr>
          <w:p>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基础模块包含设备在离线、视频点播、视频质量诊断、录像完整性、卡口抓拍量、卡口活跃度等功能，并支持对以上异常故障的报警，及可视化统计报表</w:t>
            </w:r>
          </w:p>
          <w:p>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支持B/S和C/S架构，该模块包含1000路通道授权。</w:t>
            </w:r>
          </w:p>
          <w:p>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自带1000路视频质量诊断</w:t>
            </w:r>
          </w:p>
        </w:tc>
        <w:tc>
          <w:tcPr>
            <w:tcW w:w="620" w:type="pct"/>
            <w:tcBorders>
              <w:top w:val="single" w:color="4F81BD" w:sz="8" w:space="0"/>
              <w:left w:val="single" w:color="4F81BD" w:sz="8" w:space="0"/>
              <w:right w:val="single" w:color="4F81BD" w:sz="8" w:space="0"/>
              <w:tl2br w:val="nil"/>
              <w:tr2bl w:val="nil"/>
            </w:tcBorders>
            <w:shd w:val="clear" w:color="auto" w:fill="FFFFFF"/>
            <w:noWrap/>
            <w:vAlign w:val="center"/>
          </w:tcPr>
          <w:p>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现有平台定制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3"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8</w:t>
            </w:r>
          </w:p>
        </w:tc>
        <w:tc>
          <w:tcPr>
            <w:tcW w:w="530"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智能运维管理平台资产管理模块</w:t>
            </w:r>
          </w:p>
        </w:tc>
        <w:tc>
          <w:tcPr>
            <w:tcW w:w="221"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个</w:t>
            </w:r>
          </w:p>
        </w:tc>
        <w:tc>
          <w:tcPr>
            <w:tcW w:w="3129"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vAlign w:val="center"/>
          </w:tcPr>
          <w:p>
            <w:pPr>
              <w:widowControl/>
              <w:spacing w:line="360" w:lineRule="auto"/>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支持前端采集设备、物联设备、IT基础设施、软件应用、非物联设备、备品备件及耗材等全网资产的统一接入，分类管理，帮助客户主动理清并盘活资产；支持资产从入库、启用、维修、停用到报废的全生命周期管控；支持质保到期提醒；支持依据资产类型、厂商、生命周期状态、建设年限、质保状态、所属组织、在线率、故障率等多维度对资产进行统计分析，帮助客户分析资产的使用和运行状态，提升资产决策质量</w:t>
            </w:r>
          </w:p>
        </w:tc>
        <w:tc>
          <w:tcPr>
            <w:tcW w:w="620" w:type="pct"/>
            <w:tcBorders>
              <w:top w:val="single" w:color="4F81BD" w:sz="8" w:space="0"/>
              <w:left w:val="single" w:color="4F81BD" w:sz="8" w:space="0"/>
              <w:right w:val="single" w:color="4F81BD" w:sz="8" w:space="0"/>
              <w:tl2br w:val="nil"/>
              <w:tr2bl w:val="nil"/>
            </w:tcBorders>
            <w:shd w:val="clear" w:color="auto" w:fill="FFFFFF"/>
            <w:noWrap/>
            <w:vAlign w:val="center"/>
          </w:tcPr>
          <w:p>
            <w:pPr>
              <w:widowControl/>
              <w:spacing w:line="360" w:lineRule="auto"/>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现有平台定制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3"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9</w:t>
            </w:r>
          </w:p>
        </w:tc>
        <w:tc>
          <w:tcPr>
            <w:tcW w:w="530"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智能运维管理平台视图数据考核</w:t>
            </w:r>
          </w:p>
        </w:tc>
        <w:tc>
          <w:tcPr>
            <w:tcW w:w="221"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个</w:t>
            </w:r>
          </w:p>
        </w:tc>
        <w:tc>
          <w:tcPr>
            <w:tcW w:w="3129"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vAlign w:val="center"/>
          </w:tcPr>
          <w:p>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支持公安视图数据考核中对“实时视频点播通畅率”、“历史录像点播通畅率”、“字幕标注合规率”及“时钟准确率”的考核。支持时间戳核验，检查前端设备时间准确性以及时间字段显示区域是否准确。</w:t>
            </w:r>
          </w:p>
        </w:tc>
        <w:tc>
          <w:tcPr>
            <w:tcW w:w="620" w:type="pct"/>
            <w:tcBorders>
              <w:left w:val="single" w:color="4F81BD" w:sz="8" w:space="0"/>
              <w:right w:val="single" w:color="4F81BD" w:sz="8" w:space="0"/>
              <w:tl2br w:val="nil"/>
              <w:tr2bl w:val="nil"/>
            </w:tcBorders>
            <w:shd w:val="clear" w:color="auto" w:fill="FFFFFF"/>
            <w:noWrap/>
            <w:vAlign w:val="center"/>
          </w:tcPr>
          <w:p>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现有平台定制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3"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10</w:t>
            </w:r>
          </w:p>
        </w:tc>
        <w:tc>
          <w:tcPr>
            <w:tcW w:w="530"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智能运维管理平台图片质量诊断模块</w:t>
            </w:r>
          </w:p>
        </w:tc>
        <w:tc>
          <w:tcPr>
            <w:tcW w:w="221"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个</w:t>
            </w:r>
          </w:p>
        </w:tc>
        <w:tc>
          <w:tcPr>
            <w:tcW w:w="3129"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vAlign w:val="center"/>
          </w:tcPr>
          <w:p>
            <w:pPr>
              <w:widowControl/>
              <w:spacing w:line="360" w:lineRule="auto"/>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对图片流进行图片质量诊断，可检测项包括：清晰度异常、画面过暗、画面过亮、黑白图像、画面偏色、雪花屏 、码流异常、画面黑屏、树叶遮挡、雾天、雨天、雪天、登录异常</w:t>
            </w:r>
          </w:p>
        </w:tc>
        <w:tc>
          <w:tcPr>
            <w:tcW w:w="620" w:type="pct"/>
            <w:tcBorders>
              <w:left w:val="single" w:color="4F81BD" w:sz="8" w:space="0"/>
              <w:right w:val="single" w:color="4F81BD" w:sz="8" w:space="0"/>
              <w:tl2br w:val="nil"/>
              <w:tr2bl w:val="nil"/>
            </w:tcBorders>
            <w:shd w:val="clear" w:color="auto" w:fill="FFFFFF"/>
            <w:noWrap/>
            <w:vAlign w:val="center"/>
          </w:tcPr>
          <w:p>
            <w:pPr>
              <w:widowControl/>
              <w:spacing w:line="36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现有平台定制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3"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11</w:t>
            </w:r>
          </w:p>
        </w:tc>
        <w:tc>
          <w:tcPr>
            <w:tcW w:w="530"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智能运维管理平台数据运维模块</w:t>
            </w:r>
          </w:p>
        </w:tc>
        <w:tc>
          <w:tcPr>
            <w:tcW w:w="221"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个</w:t>
            </w:r>
          </w:p>
        </w:tc>
        <w:tc>
          <w:tcPr>
            <w:tcW w:w="3129"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vAlign w:val="center"/>
          </w:tcPr>
          <w:p>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智能运维的数据运维模块，包含不活跃卡口统计、卡口抓拍达标性监控、昼夜识别率监控、采集入库延时性监控等功能，针对异常项支持报警功能，同时支持对以上指标的可视化统计报表</w:t>
            </w:r>
          </w:p>
        </w:tc>
        <w:tc>
          <w:tcPr>
            <w:tcW w:w="620" w:type="pct"/>
            <w:tcBorders>
              <w:left w:val="single" w:color="4F81BD" w:sz="8" w:space="0"/>
              <w:right w:val="single" w:color="4F81BD" w:sz="8" w:space="0"/>
              <w:tl2br w:val="nil"/>
              <w:tr2bl w:val="nil"/>
            </w:tcBorders>
            <w:shd w:val="clear" w:color="auto" w:fill="FFFFFF"/>
            <w:noWrap/>
            <w:vAlign w:val="center"/>
          </w:tcPr>
          <w:p>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现有平台定制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3"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12</w:t>
            </w:r>
          </w:p>
        </w:tc>
        <w:tc>
          <w:tcPr>
            <w:tcW w:w="530"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智能运维管理平台3000路授权</w:t>
            </w:r>
          </w:p>
        </w:tc>
        <w:tc>
          <w:tcPr>
            <w:tcW w:w="221"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个</w:t>
            </w:r>
          </w:p>
        </w:tc>
        <w:tc>
          <w:tcPr>
            <w:tcW w:w="3129"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vAlign w:val="center"/>
          </w:tcPr>
          <w:p>
            <w:pPr>
              <w:widowControl/>
              <w:spacing w:line="360" w:lineRule="auto"/>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3000路授权</w:t>
            </w:r>
          </w:p>
        </w:tc>
        <w:tc>
          <w:tcPr>
            <w:tcW w:w="620" w:type="pct"/>
            <w:tcBorders>
              <w:left w:val="single" w:color="4F81BD" w:sz="8" w:space="0"/>
              <w:right w:val="single" w:color="4F81BD" w:sz="8" w:space="0"/>
              <w:tl2br w:val="nil"/>
              <w:tr2bl w:val="nil"/>
            </w:tcBorders>
            <w:shd w:val="clear" w:color="auto" w:fill="FFFFFF"/>
            <w:noWrap/>
            <w:vAlign w:val="center"/>
          </w:tcPr>
          <w:p>
            <w:pPr>
              <w:widowControl/>
              <w:spacing w:line="36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现有平台定制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3"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13</w:t>
            </w:r>
          </w:p>
        </w:tc>
        <w:tc>
          <w:tcPr>
            <w:tcW w:w="530"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视频质量诊断</w:t>
            </w:r>
          </w:p>
        </w:tc>
        <w:tc>
          <w:tcPr>
            <w:tcW w:w="221"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3</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个</w:t>
            </w:r>
          </w:p>
        </w:tc>
        <w:tc>
          <w:tcPr>
            <w:tcW w:w="3129"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vAlign w:val="center"/>
          </w:tcPr>
          <w:p>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1、采用先进的VQA算法，算法准确率90%以上</w:t>
            </w:r>
          </w:p>
          <w:p>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2、支持17种算法诊断类型，清晰度异常检测、亮度过亮异常检测、亮度过暗异常检测、低对比度异常检测、偏色异常检测、视频运动抖动异常检测、视频噪声异常检测、视频条纹干扰异常检测、视频丢失异常检测、视频冻结异常检测、视频遮挡异常检测、场景变化异常检测、场景剧变异常检测、黑白图像检测、丢帧检测、雪花屏检测、频闪检测</w:t>
            </w:r>
          </w:p>
          <w:p>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3、支持视频遮挡历史对比分析</w:t>
            </w:r>
          </w:p>
          <w:p>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4、支持每小时诊断1200个通道，每秒10路并发</w:t>
            </w:r>
          </w:p>
          <w:p>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5、采用方案加预案的技术方案，支持实时视频、录像视频、录像文件多种方案模式的诊断计划</w:t>
            </w:r>
          </w:p>
          <w:p>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6、支持诊断数据分类查询，支持指定时间、指定通道、指定类型、制定预案查询</w:t>
            </w:r>
          </w:p>
          <w:p>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7、支持单机部署使用，也可配合公司的智能运维平台NMS或OSS使用</w:t>
            </w:r>
          </w:p>
        </w:tc>
        <w:tc>
          <w:tcPr>
            <w:tcW w:w="620" w:type="pct"/>
            <w:tcBorders>
              <w:left w:val="single" w:color="4F81BD" w:sz="8" w:space="0"/>
              <w:right w:val="single" w:color="4F81BD" w:sz="8" w:space="0"/>
              <w:tl2br w:val="nil"/>
              <w:tr2bl w:val="nil"/>
            </w:tcBorders>
            <w:shd w:val="clear" w:color="auto" w:fill="FFFFFF"/>
            <w:noWrap/>
            <w:vAlign w:val="center"/>
          </w:tcPr>
          <w:p>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现有平台定制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3"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14</w:t>
            </w:r>
          </w:p>
        </w:tc>
        <w:tc>
          <w:tcPr>
            <w:tcW w:w="530"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应用服务器</w:t>
            </w:r>
          </w:p>
        </w:tc>
        <w:tc>
          <w:tcPr>
            <w:tcW w:w="221"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2</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spacing w:line="36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台</w:t>
            </w:r>
          </w:p>
        </w:tc>
        <w:tc>
          <w:tcPr>
            <w:tcW w:w="3129"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vAlign w:val="center"/>
          </w:tcPr>
          <w:p>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不低于以下参数</w:t>
            </w:r>
          </w:p>
          <w:p>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处理器：32核，2.2GHz；</w:t>
            </w:r>
          </w:p>
          <w:p>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内存：8*DDR4 RDIMM/UDIMM 内存槽，标配8 个16G 内存</w:t>
            </w:r>
          </w:p>
          <w:p>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管理网口：后置1 个独立的RJ45 10/100M 管理端口</w:t>
            </w:r>
          </w:p>
          <w:p>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硬盘数量：标配4 个1T 企业级机械硬盘，配2 个480G SSD</w:t>
            </w:r>
          </w:p>
          <w:p>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网络：2*RJ45 千兆业务电口+2*SFP+万兆光口（不含光模块）</w:t>
            </w:r>
          </w:p>
          <w:p>
            <w:pPr>
              <w:widowControl/>
              <w:spacing w:line="360" w:lineRule="auto"/>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电源：支持800W，支持220V 交流电源，支持1+1 冗余，标配2 个800W 电源</w:t>
            </w:r>
          </w:p>
        </w:tc>
        <w:tc>
          <w:tcPr>
            <w:tcW w:w="620" w:type="pct"/>
            <w:tcBorders>
              <w:left w:val="single" w:color="4F81BD" w:sz="8" w:space="0"/>
              <w:right w:val="single" w:color="4F81BD" w:sz="8" w:space="0"/>
              <w:tl2br w:val="nil"/>
              <w:tr2bl w:val="nil"/>
            </w:tcBorders>
            <w:shd w:val="clear" w:color="auto" w:fill="FFFFFF"/>
            <w:noWrap/>
            <w:vAlign w:val="center"/>
          </w:tcPr>
          <w:p>
            <w:pPr>
              <w:widowControl/>
              <w:spacing w:line="360" w:lineRule="auto"/>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大华、海康、中科可控</w:t>
            </w:r>
          </w:p>
        </w:tc>
      </w:tr>
    </w:tbl>
    <w:p>
      <w:pPr>
        <w:rPr>
          <w:rFonts w:ascii="宋体" w:hAnsi="宋体" w:cs="宋体"/>
          <w:color w:val="auto"/>
          <w:szCs w:val="21"/>
          <w:highlight w:val="none"/>
        </w:rPr>
      </w:pPr>
      <w:r>
        <w:rPr>
          <w:rFonts w:hint="eastAsia" w:ascii="宋体" w:hAnsi="宋体" w:cs="宋体"/>
          <w:b/>
          <w:bCs/>
          <w:color w:val="auto"/>
          <w:kern w:val="0"/>
          <w:szCs w:val="21"/>
          <w:highlight w:val="none"/>
          <w:lang w:bidi="ar"/>
        </w:rPr>
        <w:t>（六）存储扩容</w:t>
      </w:r>
    </w:p>
    <w:tbl>
      <w:tblPr>
        <w:tblStyle w:val="65"/>
        <w:tblW w:w="496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3"/>
        <w:gridCol w:w="1494"/>
        <w:gridCol w:w="626"/>
        <w:gridCol w:w="738"/>
        <w:gridCol w:w="8800"/>
        <w:gridCol w:w="17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530"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云存储节点</w:t>
            </w:r>
          </w:p>
        </w:tc>
        <w:tc>
          <w:tcPr>
            <w:tcW w:w="22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9</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left"/>
              <w:textAlignment w:val="auto"/>
              <w:rPr>
                <w:rFonts w:hint="eastAsia" w:ascii="宋体" w:hAnsi="宋体" w:cs="宋体"/>
                <w:color w:val="auto"/>
                <w:kern w:val="2"/>
                <w:szCs w:val="21"/>
                <w:highlight w:val="none"/>
                <w:lang w:bidi="ar"/>
              </w:rPr>
            </w:pPr>
            <w:r>
              <w:rPr>
                <w:rFonts w:hint="eastAsia" w:ascii="宋体" w:hAnsi="宋体" w:cs="宋体"/>
                <w:color w:val="auto"/>
                <w:kern w:val="2"/>
                <w:szCs w:val="21"/>
                <w:highlight w:val="none"/>
                <w:lang w:bidi="ar"/>
              </w:rPr>
              <w:t>套</w:t>
            </w:r>
          </w:p>
        </w:tc>
        <w:tc>
          <w:tcPr>
            <w:tcW w:w="3125"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vAlign w:val="center"/>
          </w:tcPr>
          <w:p>
            <w:pPr>
              <w:rPr>
                <w:rFonts w:ascii="宋体" w:hAnsi="宋体" w:cs="宋体"/>
                <w:color w:val="auto"/>
                <w:szCs w:val="21"/>
                <w:highlight w:val="none"/>
              </w:rPr>
            </w:pPr>
            <w:r>
              <w:rPr>
                <w:rFonts w:hint="eastAsia" w:ascii="宋体" w:hAnsi="宋体" w:cs="宋体"/>
                <w:color w:val="auto"/>
                <w:szCs w:val="21"/>
                <w:highlight w:val="none"/>
              </w:rPr>
              <w:t>外形规格：4U机架；</w:t>
            </w:r>
          </w:p>
          <w:p>
            <w:pPr>
              <w:rPr>
                <w:rFonts w:hint="eastAsia" w:ascii="宋体" w:hAnsi="宋体" w:cs="宋体"/>
                <w:color w:val="auto"/>
                <w:sz w:val="21"/>
                <w:szCs w:val="21"/>
                <w:highlight w:val="none"/>
              </w:rPr>
            </w:pPr>
            <w:r>
              <w:rPr>
                <w:rFonts w:hint="eastAsia" w:ascii="宋体" w:hAnsi="宋体" w:cs="宋体"/>
                <w:color w:val="auto"/>
                <w:sz w:val="21"/>
                <w:szCs w:val="21"/>
                <w:highlight w:val="none"/>
              </w:rPr>
              <w:t>盘位数：36盘位</w:t>
            </w:r>
          </w:p>
          <w:p>
            <w:pPr>
              <w:rPr>
                <w:rFonts w:ascii="宋体" w:hAnsi="宋体" w:cs="宋体"/>
                <w:color w:val="auto"/>
                <w:szCs w:val="21"/>
                <w:highlight w:val="none"/>
              </w:rPr>
            </w:pPr>
            <w:r>
              <w:rPr>
                <w:rFonts w:hint="eastAsia" w:ascii="宋体" w:hAnsi="宋体" w:cs="宋体"/>
                <w:color w:val="auto"/>
                <w:szCs w:val="21"/>
                <w:highlight w:val="none"/>
              </w:rPr>
              <w:t>主处理器：高性能处理器；</w:t>
            </w:r>
          </w:p>
          <w:p>
            <w:pPr>
              <w:rPr>
                <w:rFonts w:ascii="宋体" w:hAnsi="宋体" w:cs="宋体"/>
                <w:color w:val="auto"/>
                <w:szCs w:val="21"/>
                <w:highlight w:val="none"/>
              </w:rPr>
            </w:pPr>
            <w:r>
              <w:rPr>
                <w:rFonts w:hint="eastAsia" w:ascii="宋体" w:hAnsi="宋体" w:cs="宋体"/>
                <w:color w:val="auto"/>
                <w:szCs w:val="21"/>
                <w:highlight w:val="none"/>
              </w:rPr>
              <w:t>高速缓存：16GB</w:t>
            </w:r>
          </w:p>
          <w:p>
            <w:pPr>
              <w:rPr>
                <w:rFonts w:ascii="宋体" w:hAnsi="宋体" w:cs="宋体"/>
                <w:color w:val="auto"/>
                <w:szCs w:val="21"/>
                <w:highlight w:val="none"/>
              </w:rPr>
            </w:pPr>
            <w:r>
              <w:rPr>
                <w:rFonts w:hint="eastAsia" w:ascii="宋体" w:hAnsi="宋体" w:cs="宋体"/>
                <w:color w:val="auto"/>
                <w:szCs w:val="21"/>
                <w:highlight w:val="none"/>
              </w:rPr>
              <w:t>电源冗余：1+1冗余电源；</w:t>
            </w:r>
          </w:p>
          <w:p>
            <w:pPr>
              <w:rPr>
                <w:rFonts w:ascii="宋体" w:hAnsi="宋体" w:cs="宋体"/>
                <w:color w:val="auto"/>
                <w:szCs w:val="21"/>
                <w:highlight w:val="none"/>
              </w:rPr>
            </w:pPr>
            <w:r>
              <w:rPr>
                <w:rFonts w:hint="eastAsia" w:ascii="宋体" w:hAnsi="宋体" w:cs="宋体"/>
                <w:color w:val="auto"/>
                <w:szCs w:val="21"/>
                <w:highlight w:val="none"/>
              </w:rPr>
              <w:t>网络接口：不少于6个千兆数据电口；</w:t>
            </w:r>
          </w:p>
          <w:p>
            <w:pPr>
              <w:rPr>
                <w:rFonts w:ascii="宋体" w:hAnsi="宋体" w:cs="宋体"/>
                <w:color w:val="auto"/>
                <w:szCs w:val="21"/>
                <w:highlight w:val="none"/>
              </w:rPr>
            </w:pPr>
            <w:r>
              <w:rPr>
                <w:rFonts w:hint="eastAsia" w:ascii="宋体" w:hAnsi="宋体" w:cs="宋体"/>
                <w:color w:val="auto"/>
                <w:szCs w:val="21"/>
                <w:highlight w:val="none"/>
              </w:rPr>
              <w:t>视频设备接入模块：支持国标、Onvif，大华协议、海康协议等接入各类型的前端设备；</w:t>
            </w:r>
          </w:p>
          <w:p>
            <w:pPr>
              <w:rPr>
                <w:rFonts w:hint="eastAsia" w:ascii="宋体" w:hAnsi="宋体" w:cs="宋体"/>
                <w:color w:val="auto"/>
                <w:szCs w:val="21"/>
                <w:highlight w:val="none"/>
                <w:lang w:val="en-US"/>
              </w:rPr>
            </w:pPr>
            <w:r>
              <w:rPr>
                <w:rFonts w:hint="eastAsia" w:ascii="宋体" w:hAnsi="宋体" w:eastAsia="宋体" w:cs="宋体"/>
                <w:color w:val="auto"/>
                <w:sz w:val="21"/>
                <w:szCs w:val="21"/>
                <w:highlight w:val="none"/>
              </w:rPr>
              <w:t>★系统支持数据智能重构，可根据不同场景设定重构优先级及重构策略，其中策略包含：1级：即时读取时重构；2级：自定义点位与时间段重构；3级：用户锁定数据优先重构；4级：存储池安全级别，重构优先级级别依次递减；同时重构系统根据当前负载情况自动调整数据恢复速度，在整个数据恢复过程中，业务不中断（</w:t>
            </w:r>
            <w:r>
              <w:rPr>
                <w:rFonts w:hint="eastAsia" w:ascii="宋体" w:hAnsi="宋体" w:cs="宋体"/>
                <w:color w:val="auto"/>
                <w:sz w:val="21"/>
                <w:szCs w:val="21"/>
                <w:highlight w:val="none"/>
                <w:lang w:val="en-US" w:eastAsia="zh-CN"/>
              </w:rPr>
              <w:t>投标文件中提供检测报告复印件</w:t>
            </w:r>
            <w:r>
              <w:rPr>
                <w:rFonts w:hint="eastAsia" w:ascii="宋体" w:hAnsi="宋体" w:eastAsia="宋体" w:cs="宋体"/>
                <w:color w:val="auto"/>
                <w:sz w:val="21"/>
                <w:szCs w:val="21"/>
                <w:highlight w:val="none"/>
              </w:rPr>
              <w:t>）</w:t>
            </w:r>
          </w:p>
        </w:tc>
        <w:tc>
          <w:tcPr>
            <w:tcW w:w="624"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vAlign w:val="center"/>
          </w:tcPr>
          <w:p>
            <w:pPr>
              <w:rPr>
                <w:rFonts w:ascii="宋体" w:hAnsi="宋体" w:cs="宋体"/>
                <w:color w:val="auto"/>
                <w:szCs w:val="21"/>
                <w:highlight w:val="none"/>
              </w:rPr>
            </w:pPr>
            <w:r>
              <w:rPr>
                <w:rFonts w:hint="eastAsia" w:ascii="宋体" w:hAnsi="宋体" w:cs="宋体"/>
                <w:color w:val="auto"/>
                <w:szCs w:val="21"/>
                <w:highlight w:val="none"/>
              </w:rPr>
              <w:t>大华、海康、宇视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0"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2</w:t>
            </w:r>
          </w:p>
        </w:tc>
        <w:tc>
          <w:tcPr>
            <w:tcW w:w="530"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云存储节点硬盘</w:t>
            </w:r>
          </w:p>
        </w:tc>
        <w:tc>
          <w:tcPr>
            <w:tcW w:w="22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324</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套</w:t>
            </w:r>
          </w:p>
        </w:tc>
        <w:tc>
          <w:tcPr>
            <w:tcW w:w="3125"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vAlign w:val="center"/>
          </w:tcPr>
          <w:p>
            <w:pP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6000G；7200RPM；256MB；SATA</w:t>
            </w:r>
          </w:p>
        </w:tc>
        <w:tc>
          <w:tcPr>
            <w:tcW w:w="624"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vAlign w:val="center"/>
          </w:tcPr>
          <w:p>
            <w:pP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大华、海康、宇视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0"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3</w:t>
            </w:r>
          </w:p>
        </w:tc>
        <w:tc>
          <w:tcPr>
            <w:tcW w:w="530"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图片云存储节点</w:t>
            </w:r>
          </w:p>
        </w:tc>
        <w:tc>
          <w:tcPr>
            <w:tcW w:w="22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4</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台</w:t>
            </w:r>
          </w:p>
        </w:tc>
        <w:tc>
          <w:tcPr>
            <w:tcW w:w="3125"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vAlign w:val="center"/>
          </w:tcPr>
          <w:p>
            <w:pPr>
              <w:rPr>
                <w:rFonts w:ascii="宋体" w:hAnsi="宋体" w:cs="宋体"/>
                <w:color w:val="auto"/>
                <w:szCs w:val="21"/>
                <w:highlight w:val="none"/>
              </w:rPr>
            </w:pPr>
            <w:r>
              <w:rPr>
                <w:rFonts w:hint="eastAsia" w:ascii="宋体" w:hAnsi="宋体" w:cs="宋体"/>
                <w:color w:val="auto"/>
                <w:szCs w:val="21"/>
                <w:highlight w:val="none"/>
              </w:rPr>
              <w:t>4U机架式36盘位；双64位多核处理器；16GB缓存；冗余电源；4个千兆网口；1个系统SSD盘；内置1颗SSD图片加速盘；内置36块8TB企业级SATA硬盘；</w:t>
            </w:r>
          </w:p>
          <w:p>
            <w:pPr>
              <w:rPr>
                <w:rFonts w:ascii="宋体" w:hAnsi="宋体" w:cs="宋体"/>
                <w:color w:val="auto"/>
                <w:szCs w:val="21"/>
                <w:highlight w:val="none"/>
              </w:rPr>
            </w:pPr>
            <w:r>
              <w:rPr>
                <w:rFonts w:hint="eastAsia" w:ascii="宋体" w:hAnsi="宋体" w:cs="宋体"/>
                <w:color w:val="auto"/>
                <w:szCs w:val="21"/>
                <w:highlight w:val="none"/>
              </w:rPr>
              <w:t>★一套云存储系统，同时提供7类数据存储服务，15种存储协议，构建统一数据湖。存储服务包含：流式存储-视频存储（GB/T 28181、RTSP、Onvif）、流式存储-图片存储（GA/T 1400.4、REST）、NAS文件存储（NFS、CIFS、FTP）、对象存储（S3、OSS）、块存储（iSCSI，FC）、大数据存储（HDFS）、结构化数据存储(REST、原生ElasticSearch http接口协议)；同时系统支持HDFS文件数据存储服务，支持大数据组件MapReduce、Hive、Spark、Flink、ElasticSearch、Hbase接入，HDFS数据存储可同时提供多副本、Erasure Code数据保护机制；支持Cinder插件，为第三方云计算提供云硬盘服务；支持CSI容器存储接口标准，通过标准NFS、iscsi协议兼容容器编排平台，CSI（容器存储接口）插件将块存储资源、文件存储资源作为持久化数据服务提供给容器应用。支持多协议间数据互通(以对象协议上传的数据通过NAS协议提取，支持以NAS协议上传的数据通过对象协议获取)（投标文件中提供检测报告复印件加盖公章）</w:t>
            </w:r>
          </w:p>
          <w:p>
            <w:pPr>
              <w:rPr>
                <w:rFonts w:ascii="宋体" w:hAnsi="宋体" w:cs="宋体"/>
                <w:color w:val="auto"/>
                <w:szCs w:val="21"/>
                <w:highlight w:val="none"/>
              </w:rPr>
            </w:pPr>
            <w:r>
              <w:rPr>
                <w:rFonts w:hint="eastAsia" w:ascii="宋体" w:hAnsi="宋体" w:cs="宋体"/>
                <w:color w:val="auto"/>
                <w:szCs w:val="21"/>
                <w:highlight w:val="none"/>
              </w:rPr>
              <w:t>★支持对集群资源池的容量进行实时监控与趋势分析的前检测，对资源池可用的剩余天数和提前覆盖时间进行预测和预警提示；支持对存储数据视频质量进行后检测，如图像清晰度异常，亮度异常等，支持对录像数据中音频异常，音频中有无人声的检测（投标文件中提供检测报告复印件加盖公章）</w:t>
            </w:r>
          </w:p>
        </w:tc>
        <w:tc>
          <w:tcPr>
            <w:tcW w:w="624"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海康、大华、宇视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0"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4</w:t>
            </w:r>
          </w:p>
        </w:tc>
        <w:tc>
          <w:tcPr>
            <w:tcW w:w="530"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图片云存储管理节点</w:t>
            </w:r>
          </w:p>
        </w:tc>
        <w:tc>
          <w:tcPr>
            <w:tcW w:w="22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3</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台</w:t>
            </w:r>
          </w:p>
        </w:tc>
        <w:tc>
          <w:tcPr>
            <w:tcW w:w="3125"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vAlign w:val="center"/>
          </w:tcPr>
          <w:p>
            <w:pPr>
              <w:rPr>
                <w:rFonts w:ascii="宋体" w:hAnsi="宋体" w:cs="宋体"/>
                <w:color w:val="auto"/>
                <w:szCs w:val="21"/>
                <w:highlight w:val="none"/>
              </w:rPr>
            </w:pPr>
            <w:r>
              <w:rPr>
                <w:rFonts w:hint="eastAsia" w:ascii="宋体" w:hAnsi="宋体" w:cs="宋体"/>
                <w:color w:val="auto"/>
                <w:szCs w:val="21"/>
                <w:highlight w:val="none"/>
              </w:rPr>
              <w:t>1、自主研发国产服务器品牌，产品型号必须在《安可替代工程核心产品名录-1-2021》中《基础通用产品服务器类》选择，2U机架式服务器，含上架导轨</w:t>
            </w:r>
          </w:p>
          <w:p>
            <w:pPr>
              <w:rPr>
                <w:rFonts w:hint="eastAsia" w:ascii="宋体" w:hAnsi="宋体" w:cs="宋体"/>
                <w:color w:val="auto"/>
                <w:szCs w:val="21"/>
                <w:highlight w:val="none"/>
              </w:rPr>
            </w:pPr>
            <w:r>
              <w:rPr>
                <w:rFonts w:hint="eastAsia" w:ascii="宋体" w:hAnsi="宋体" w:cs="宋体"/>
                <w:color w:val="auto"/>
                <w:szCs w:val="21"/>
                <w:highlight w:val="none"/>
              </w:rPr>
              <w:t>2、配置≥1颗国产X86 CPU，每颗CPU核心数≥32核，每颗CPU主频≥2.3GHz，</w:t>
            </w:r>
          </w:p>
          <w:p>
            <w:pPr>
              <w:rPr>
                <w:rFonts w:ascii="宋体" w:hAnsi="宋体" w:cs="宋体"/>
                <w:color w:val="auto"/>
                <w:szCs w:val="21"/>
                <w:highlight w:val="none"/>
              </w:rPr>
            </w:pPr>
            <w:r>
              <w:rPr>
                <w:rFonts w:hint="eastAsia" w:ascii="宋体" w:hAnsi="宋体" w:cs="宋体"/>
                <w:color w:val="auto"/>
                <w:szCs w:val="21"/>
                <w:highlight w:val="none"/>
              </w:rPr>
              <w:t>3、配置≥2*32G 内存，支持≥32个内存插槽，最大可支持4TB内存容量，支持内存ECC保护、内存镜像、内存热备</w:t>
            </w:r>
          </w:p>
          <w:p>
            <w:pPr>
              <w:rPr>
                <w:rFonts w:ascii="宋体" w:hAnsi="宋体" w:cs="宋体"/>
                <w:color w:val="auto"/>
                <w:szCs w:val="21"/>
                <w:highlight w:val="none"/>
              </w:rPr>
            </w:pPr>
            <w:r>
              <w:rPr>
                <w:rFonts w:hint="eastAsia" w:ascii="宋体" w:hAnsi="宋体" w:cs="宋体"/>
                <w:color w:val="auto"/>
                <w:szCs w:val="21"/>
                <w:highlight w:val="none"/>
              </w:rPr>
              <w:t>★4、配置≥1*240G SSD 硬盘，≥3*960G SSD 硬盘，支持≥12个前置热插拔3.5硬盘，支持≥4个后置热插拔2.5寸硬盘位;板载支持≥4个U.2 NVMe SSD，不需PCIe转接卡；板载可支持≥2个内置M.2 SSD, 可同时支持1个PCIe M.2和1个SATA M.2；</w:t>
            </w:r>
          </w:p>
          <w:p>
            <w:pPr>
              <w:rPr>
                <w:rFonts w:ascii="宋体" w:hAnsi="宋体" w:cs="宋体"/>
                <w:color w:val="auto"/>
                <w:szCs w:val="21"/>
                <w:highlight w:val="none"/>
              </w:rPr>
            </w:pPr>
            <w:r>
              <w:rPr>
                <w:rFonts w:hint="eastAsia" w:ascii="宋体" w:hAnsi="宋体" w:cs="宋体"/>
                <w:color w:val="auto"/>
                <w:szCs w:val="21"/>
                <w:highlight w:val="none"/>
              </w:rPr>
              <w:t>5、配置≥8口SAS卡</w:t>
            </w:r>
          </w:p>
          <w:p>
            <w:pPr>
              <w:rPr>
                <w:rFonts w:ascii="宋体" w:hAnsi="宋体" w:cs="宋体"/>
                <w:color w:val="auto"/>
                <w:szCs w:val="21"/>
                <w:highlight w:val="none"/>
              </w:rPr>
            </w:pPr>
            <w:r>
              <w:rPr>
                <w:rFonts w:hint="eastAsia" w:ascii="宋体" w:hAnsi="宋体" w:cs="宋体"/>
                <w:color w:val="auto"/>
                <w:szCs w:val="21"/>
                <w:highlight w:val="none"/>
              </w:rPr>
              <w:t>6、配置≥1*双口千兆电口，支持NCSI、网络唤醒，网络冗余，负载均衡等网络高级特性</w:t>
            </w:r>
          </w:p>
          <w:p>
            <w:pPr>
              <w:rPr>
                <w:rFonts w:ascii="宋体" w:hAnsi="宋体" w:cs="宋体"/>
                <w:color w:val="auto"/>
                <w:szCs w:val="21"/>
                <w:highlight w:val="none"/>
              </w:rPr>
            </w:pPr>
            <w:r>
              <w:rPr>
                <w:rFonts w:hint="eastAsia" w:ascii="宋体" w:hAnsi="宋体" w:cs="宋体"/>
                <w:color w:val="auto"/>
                <w:szCs w:val="21"/>
                <w:highlight w:val="none"/>
              </w:rPr>
              <w:t>7、支持≥10个PCI-E 3.0插槽</w:t>
            </w:r>
          </w:p>
          <w:p>
            <w:pPr>
              <w:rPr>
                <w:rFonts w:ascii="宋体" w:hAnsi="宋体" w:cs="宋体"/>
                <w:color w:val="auto"/>
                <w:szCs w:val="21"/>
                <w:highlight w:val="none"/>
              </w:rPr>
            </w:pPr>
            <w:r>
              <w:rPr>
                <w:rFonts w:hint="eastAsia" w:ascii="宋体" w:hAnsi="宋体" w:cs="宋体"/>
                <w:color w:val="auto"/>
                <w:szCs w:val="21"/>
                <w:highlight w:val="none"/>
              </w:rPr>
              <w:t>8、主板支持2个SD卡槽，可实现存储BMC日志</w:t>
            </w:r>
          </w:p>
          <w:p>
            <w:pPr>
              <w:rPr>
                <w:rFonts w:ascii="宋体" w:hAnsi="宋体" w:cs="宋体"/>
                <w:color w:val="auto"/>
                <w:szCs w:val="21"/>
                <w:highlight w:val="none"/>
              </w:rPr>
            </w:pPr>
            <w:r>
              <w:rPr>
                <w:rFonts w:hint="eastAsia" w:ascii="宋体" w:hAnsi="宋体" w:cs="宋体"/>
                <w:color w:val="auto"/>
                <w:szCs w:val="21"/>
                <w:highlight w:val="none"/>
              </w:rPr>
              <w:t>9、配置热插拔高速系统风扇和电源</w:t>
            </w:r>
          </w:p>
          <w:p>
            <w:pPr>
              <w:rPr>
                <w:rFonts w:ascii="宋体" w:hAnsi="宋体" w:cs="宋体"/>
                <w:color w:val="auto"/>
                <w:szCs w:val="21"/>
                <w:highlight w:val="none"/>
              </w:rPr>
            </w:pPr>
            <w:r>
              <w:rPr>
                <w:rFonts w:hint="eastAsia" w:ascii="宋体" w:hAnsi="宋体" w:cs="宋体"/>
                <w:color w:val="auto"/>
                <w:szCs w:val="21"/>
                <w:highlight w:val="none"/>
              </w:rPr>
              <w:t>10、支持TCM和TPM安全模块，为符合安全等保可信计算要求，所投机型通过可信计算3.0认证，提供认证证书。</w:t>
            </w:r>
          </w:p>
          <w:p>
            <w:pPr>
              <w:rPr>
                <w:rFonts w:ascii="宋体" w:hAnsi="宋体" w:cs="宋体"/>
                <w:color w:val="auto"/>
                <w:szCs w:val="21"/>
                <w:highlight w:val="none"/>
              </w:rPr>
            </w:pPr>
            <w:r>
              <w:rPr>
                <w:rFonts w:hint="eastAsia" w:ascii="宋体" w:hAnsi="宋体" w:cs="宋体"/>
                <w:color w:val="auto"/>
                <w:szCs w:val="21"/>
                <w:highlight w:val="none"/>
              </w:rPr>
              <w:t>11、支持离线光诊断功能，可断电环境下诊断主板关键信息故障；黑匣子日志、故障截屏、开机自检代码，有效判断分析软硬件故障</w:t>
            </w:r>
          </w:p>
          <w:p>
            <w:pPr>
              <w:rPr>
                <w:rFonts w:ascii="宋体" w:hAnsi="宋体" w:cs="宋体"/>
                <w:color w:val="auto"/>
                <w:szCs w:val="21"/>
                <w:highlight w:val="none"/>
              </w:rPr>
            </w:pPr>
            <w:r>
              <w:rPr>
                <w:rFonts w:hint="eastAsia" w:ascii="宋体" w:hAnsi="宋体" w:cs="宋体"/>
                <w:color w:val="auto"/>
                <w:szCs w:val="21"/>
                <w:highlight w:val="none"/>
              </w:rPr>
              <w:t>12、要求所投机型Unixbench 单核性能≥1800，多核性能≥16500；</w:t>
            </w:r>
          </w:p>
          <w:p>
            <w:pP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13、3年原厂整机质保和硬盘不返还服务，中标后提供原厂项目授权函，原厂服务承诺函</w:t>
            </w:r>
          </w:p>
        </w:tc>
        <w:tc>
          <w:tcPr>
            <w:tcW w:w="624"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中科可控、海康、曙光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0"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5</w:t>
            </w:r>
          </w:p>
        </w:tc>
        <w:tc>
          <w:tcPr>
            <w:tcW w:w="530"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图片云存储运维节点</w:t>
            </w:r>
          </w:p>
        </w:tc>
        <w:tc>
          <w:tcPr>
            <w:tcW w:w="22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台</w:t>
            </w:r>
          </w:p>
        </w:tc>
        <w:tc>
          <w:tcPr>
            <w:tcW w:w="3125"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vAlign w:val="center"/>
          </w:tcPr>
          <w:p>
            <w:pPr>
              <w:rPr>
                <w:rFonts w:ascii="宋体" w:hAnsi="宋体" w:cs="宋体"/>
                <w:color w:val="auto"/>
                <w:szCs w:val="21"/>
                <w:highlight w:val="none"/>
              </w:rPr>
            </w:pPr>
            <w:r>
              <w:rPr>
                <w:rFonts w:hint="eastAsia" w:ascii="宋体" w:hAnsi="宋体" w:cs="宋体"/>
                <w:color w:val="auto"/>
                <w:szCs w:val="21"/>
                <w:highlight w:val="none"/>
              </w:rPr>
              <w:t>1、自主研发国产服务器品牌，产品型号必须在《安可替代工程核心产品名录-1-2021》中《基础通用产品服务器类》选择，2U机架式服务器，含上架导轨</w:t>
            </w:r>
          </w:p>
          <w:p>
            <w:pPr>
              <w:rPr>
                <w:rFonts w:ascii="宋体" w:hAnsi="宋体" w:cs="宋体"/>
                <w:color w:val="auto"/>
                <w:szCs w:val="21"/>
                <w:highlight w:val="none"/>
              </w:rPr>
            </w:pPr>
            <w:r>
              <w:rPr>
                <w:rFonts w:hint="eastAsia" w:ascii="宋体" w:hAnsi="宋体" w:cs="宋体"/>
                <w:color w:val="auto"/>
                <w:szCs w:val="21"/>
                <w:highlight w:val="none"/>
              </w:rPr>
              <w:t>2、配置≥1颗国产X86 CPU，每颗CPU核心数≥32核，每颗CPU主频≥2.3GHz，</w:t>
            </w:r>
          </w:p>
          <w:p>
            <w:pPr>
              <w:rPr>
                <w:rFonts w:ascii="宋体" w:hAnsi="宋体" w:cs="宋体"/>
                <w:color w:val="auto"/>
                <w:szCs w:val="21"/>
                <w:highlight w:val="none"/>
              </w:rPr>
            </w:pPr>
            <w:r>
              <w:rPr>
                <w:rFonts w:hint="eastAsia" w:ascii="宋体" w:hAnsi="宋体" w:cs="宋体"/>
                <w:color w:val="auto"/>
                <w:szCs w:val="21"/>
                <w:highlight w:val="none"/>
              </w:rPr>
              <w:t>3、配置≥2*32G 内存，支持≥32个内存插槽，最大可支持4TB内存容量，支持内存ECC保护、内存镜像、内存热备</w:t>
            </w:r>
          </w:p>
          <w:p>
            <w:pPr>
              <w:rPr>
                <w:rFonts w:ascii="宋体" w:hAnsi="宋体" w:cs="宋体"/>
                <w:color w:val="auto"/>
                <w:szCs w:val="21"/>
                <w:highlight w:val="none"/>
              </w:rPr>
            </w:pPr>
            <w:r>
              <w:rPr>
                <w:rFonts w:hint="eastAsia" w:ascii="宋体" w:hAnsi="宋体" w:cs="宋体"/>
                <w:color w:val="auto"/>
                <w:szCs w:val="21"/>
                <w:highlight w:val="none"/>
              </w:rPr>
              <w:t>4、配置≥1*240G SSD 硬盘，≥3*960G SSD 硬盘，支持≥12个前置热插拔3.5硬盘，支持≥4个后置热插拔2.5寸硬盘位;板载支持≥4个U.2 NVMe SSD，不需PCIe转接卡；板载可支持≥2个内置M.2 SSD, 可同时支持1个PCIe M.2和1个SATA M.2；</w:t>
            </w:r>
          </w:p>
          <w:p>
            <w:pPr>
              <w:rPr>
                <w:rFonts w:ascii="宋体" w:hAnsi="宋体" w:cs="宋体"/>
                <w:color w:val="auto"/>
                <w:szCs w:val="21"/>
                <w:highlight w:val="none"/>
              </w:rPr>
            </w:pPr>
            <w:r>
              <w:rPr>
                <w:rFonts w:hint="eastAsia" w:ascii="宋体" w:hAnsi="宋体" w:cs="宋体"/>
                <w:color w:val="auto"/>
                <w:szCs w:val="21"/>
                <w:highlight w:val="none"/>
              </w:rPr>
              <w:t>5、配置≥8口SAS卡</w:t>
            </w:r>
          </w:p>
          <w:p>
            <w:pPr>
              <w:rPr>
                <w:rFonts w:ascii="宋体" w:hAnsi="宋体" w:cs="宋体"/>
                <w:color w:val="auto"/>
                <w:szCs w:val="21"/>
                <w:highlight w:val="none"/>
              </w:rPr>
            </w:pPr>
            <w:r>
              <w:rPr>
                <w:rFonts w:hint="eastAsia" w:ascii="宋体" w:hAnsi="宋体" w:cs="宋体"/>
                <w:color w:val="auto"/>
                <w:szCs w:val="21"/>
                <w:highlight w:val="none"/>
              </w:rPr>
              <w:t>6、配置≥1*双口千兆电口，支持NCSI、网络唤醒，网络冗余，负载均衡等网络高级特性</w:t>
            </w:r>
          </w:p>
          <w:p>
            <w:pPr>
              <w:rPr>
                <w:rFonts w:ascii="宋体" w:hAnsi="宋体" w:cs="宋体"/>
                <w:color w:val="auto"/>
                <w:szCs w:val="21"/>
                <w:highlight w:val="none"/>
              </w:rPr>
            </w:pPr>
            <w:r>
              <w:rPr>
                <w:rFonts w:hint="eastAsia" w:ascii="宋体" w:hAnsi="宋体" w:cs="宋体"/>
                <w:color w:val="auto"/>
                <w:szCs w:val="21"/>
                <w:highlight w:val="none"/>
              </w:rPr>
              <w:t>7、支持≥10个PCI-E 3.0插槽</w:t>
            </w:r>
          </w:p>
          <w:p>
            <w:pPr>
              <w:rPr>
                <w:rFonts w:ascii="宋体" w:hAnsi="宋体" w:cs="宋体"/>
                <w:color w:val="auto"/>
                <w:szCs w:val="21"/>
                <w:highlight w:val="none"/>
              </w:rPr>
            </w:pPr>
            <w:r>
              <w:rPr>
                <w:rFonts w:hint="eastAsia" w:ascii="宋体" w:hAnsi="宋体" w:cs="宋体"/>
                <w:color w:val="auto"/>
                <w:szCs w:val="21"/>
                <w:highlight w:val="none"/>
              </w:rPr>
              <w:t>8、主板支持2个SD卡槽，可实现存储BMC日志</w:t>
            </w:r>
          </w:p>
          <w:p>
            <w:pPr>
              <w:rPr>
                <w:rFonts w:ascii="宋体" w:hAnsi="宋体" w:cs="宋体"/>
                <w:color w:val="auto"/>
                <w:szCs w:val="21"/>
                <w:highlight w:val="none"/>
              </w:rPr>
            </w:pPr>
            <w:r>
              <w:rPr>
                <w:rFonts w:hint="eastAsia" w:ascii="宋体" w:hAnsi="宋体" w:cs="宋体"/>
                <w:color w:val="auto"/>
                <w:szCs w:val="21"/>
                <w:highlight w:val="none"/>
              </w:rPr>
              <w:t>9、配置热插拔高速系统风扇和电源</w:t>
            </w:r>
          </w:p>
          <w:p>
            <w:pPr>
              <w:rPr>
                <w:rFonts w:ascii="宋体" w:hAnsi="宋体" w:cs="宋体"/>
                <w:color w:val="auto"/>
                <w:szCs w:val="21"/>
                <w:highlight w:val="none"/>
              </w:rPr>
            </w:pPr>
            <w:r>
              <w:rPr>
                <w:rFonts w:hint="eastAsia" w:ascii="宋体" w:hAnsi="宋体" w:cs="宋体"/>
                <w:color w:val="auto"/>
                <w:szCs w:val="21"/>
                <w:highlight w:val="none"/>
              </w:rPr>
              <w:t>10、支持TCM和TPM安全模块，为符合安全等保可信计算要求，所投机型通过可信计算3.0认件。</w:t>
            </w:r>
          </w:p>
          <w:p>
            <w:pPr>
              <w:rPr>
                <w:rFonts w:ascii="宋体" w:hAnsi="宋体" w:cs="宋体"/>
                <w:color w:val="auto"/>
                <w:szCs w:val="21"/>
                <w:highlight w:val="none"/>
              </w:rPr>
            </w:pPr>
            <w:r>
              <w:rPr>
                <w:rFonts w:hint="eastAsia" w:ascii="宋体" w:hAnsi="宋体" w:cs="宋体"/>
                <w:color w:val="auto"/>
                <w:szCs w:val="21"/>
                <w:highlight w:val="none"/>
              </w:rPr>
              <w:t>11、支持离线光诊断功能，可断电环境下诊断主板关键信息故障；黑匣子日志、故障截屏、开机自检代码，有效判断分析软硬件故障</w:t>
            </w:r>
          </w:p>
          <w:p>
            <w:pPr>
              <w:rPr>
                <w:rFonts w:ascii="宋体" w:hAnsi="宋体" w:cs="宋体"/>
                <w:color w:val="auto"/>
                <w:szCs w:val="21"/>
                <w:highlight w:val="none"/>
              </w:rPr>
            </w:pPr>
            <w:r>
              <w:rPr>
                <w:rFonts w:hint="eastAsia" w:ascii="宋体" w:hAnsi="宋体" w:cs="宋体"/>
                <w:color w:val="auto"/>
                <w:szCs w:val="21"/>
                <w:highlight w:val="none"/>
              </w:rPr>
              <w:t>12、检测报告：提供第三方出具的性能测试报告，要求所投机型Unixbench 单核性能≥1800，多核性能≥16500；</w:t>
            </w:r>
          </w:p>
          <w:p>
            <w:pPr>
              <w:rPr>
                <w:rFonts w:ascii="宋体" w:hAnsi="宋体" w:cs="宋体"/>
                <w:color w:val="auto"/>
                <w:szCs w:val="21"/>
                <w:highlight w:val="none"/>
              </w:rPr>
            </w:pPr>
            <w:r>
              <w:rPr>
                <w:rFonts w:hint="eastAsia" w:ascii="宋体" w:hAnsi="宋体" w:cs="宋体"/>
                <w:color w:val="auto"/>
                <w:szCs w:val="21"/>
                <w:highlight w:val="none"/>
                <w:lang w:val="en-US" w:eastAsia="zh-CN"/>
              </w:rPr>
              <w:t>13、</w:t>
            </w:r>
            <w:r>
              <w:rPr>
                <w:rFonts w:hint="eastAsia" w:ascii="宋体" w:hAnsi="宋体" w:cs="宋体"/>
                <w:color w:val="auto"/>
                <w:szCs w:val="21"/>
                <w:highlight w:val="none"/>
              </w:rPr>
              <w:t>3年原厂整机质保和硬盘不返还服务，中标后提供原厂项目授权函，原厂服务承诺函。</w:t>
            </w:r>
          </w:p>
        </w:tc>
        <w:tc>
          <w:tcPr>
            <w:tcW w:w="624"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中科可控、海康、曙光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0"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6</w:t>
            </w:r>
          </w:p>
        </w:tc>
        <w:tc>
          <w:tcPr>
            <w:tcW w:w="530"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云存储管理软件扩容</w:t>
            </w:r>
          </w:p>
        </w:tc>
        <w:tc>
          <w:tcPr>
            <w:tcW w:w="22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1</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套</w:t>
            </w:r>
          </w:p>
        </w:tc>
        <w:tc>
          <w:tcPr>
            <w:tcW w:w="3125"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vAlign w:val="center"/>
          </w:tcPr>
          <w:p>
            <w:pP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bidi="ar"/>
              </w:rPr>
              <w:t>云存储软件升级</w:t>
            </w:r>
          </w:p>
        </w:tc>
        <w:tc>
          <w:tcPr>
            <w:tcW w:w="624"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szCs w:val="21"/>
                <w:highlight w:val="none"/>
              </w:rPr>
              <w:t>海康、大华、宇视</w:t>
            </w:r>
          </w:p>
        </w:tc>
      </w:tr>
    </w:tbl>
    <w:p>
      <w:pPr>
        <w:pStyle w:val="63"/>
        <w:rPr>
          <w:rFonts w:hAnsi="宋体" w:cs="宋体"/>
          <w:color w:val="auto"/>
          <w:sz w:val="21"/>
          <w:szCs w:val="21"/>
          <w:highlight w:val="none"/>
          <w:lang w:val="en-US"/>
        </w:rPr>
      </w:pPr>
    </w:p>
    <w:p>
      <w:pPr>
        <w:rPr>
          <w:rFonts w:ascii="宋体" w:hAnsi="宋体" w:cs="宋体"/>
          <w:color w:val="auto"/>
          <w:szCs w:val="21"/>
          <w:highlight w:val="none"/>
        </w:rPr>
      </w:pPr>
    </w:p>
    <w:p>
      <w:pPr>
        <w:pStyle w:val="63"/>
        <w:rPr>
          <w:rFonts w:hAnsi="宋体" w:cs="宋体"/>
          <w:color w:val="auto"/>
          <w:sz w:val="21"/>
          <w:szCs w:val="21"/>
          <w:highlight w:val="none"/>
          <w:lang w:val="en-US"/>
        </w:rPr>
      </w:pPr>
    </w:p>
    <w:p>
      <w:pPr>
        <w:rPr>
          <w:rFonts w:ascii="宋体" w:hAnsi="宋体" w:cs="宋体"/>
          <w:color w:val="auto"/>
          <w:szCs w:val="21"/>
          <w:highlight w:val="none"/>
        </w:rPr>
      </w:pPr>
    </w:p>
    <w:p>
      <w:pPr>
        <w:rPr>
          <w:rFonts w:ascii="宋体" w:hAnsi="宋体" w:cs="宋体"/>
          <w:color w:val="auto"/>
          <w:szCs w:val="21"/>
          <w:highlight w:val="none"/>
        </w:rPr>
        <w:sectPr>
          <w:pgSz w:w="16838" w:h="11906" w:orient="landscape"/>
          <w:pgMar w:top="1803" w:right="1440" w:bottom="1803" w:left="1440" w:header="851" w:footer="992" w:gutter="0"/>
          <w:cols w:space="0" w:num="1"/>
          <w:docGrid w:type="lines" w:linePitch="319" w:charSpace="0"/>
        </w:sectPr>
      </w:pPr>
    </w:p>
    <w:p>
      <w:pPr>
        <w:pStyle w:val="5"/>
        <w:spacing w:line="240" w:lineRule="auto"/>
        <w:ind w:left="0" w:firstLine="0"/>
        <w:rPr>
          <w:rFonts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标项三</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一、招标内容</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1.多维数据接入转发系统整合</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根据原有多维数据架构梳理，整合智安小区后端平台项目各类平台和接入的多维数据统一为多维数据接入转发系统，并且建立高性能图片缓存和结构化数据缓存，将数据快速便捷的摆渡至公安信息网合成作战中心的智能解析应用存储。</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2.智能解析应用整合扩容</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将公安信息网智安小区应用平台合并至合成作战中心智能解析应用，并且扩容结构化数据存储服务器、以图搜图能力、比对能力、解析能力和配置车辆图片结构化能力，最后配置算法仓库和资源调度管理系统；</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3.通用计算资源池建设</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在区公共安全视频传输网和公安信息网合成作战中心分别建立一套通用计算存储池资源，用于业务部署。</w:t>
      </w: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4.解析能力升级</w:t>
      </w:r>
    </w:p>
    <w:p>
      <w:pPr>
        <w:pStyle w:val="971"/>
        <w:ind w:firstLine="420"/>
        <w:rPr>
          <w:rFonts w:ascii="宋体" w:hAnsi="宋体" w:eastAsia="宋体" w:cs="宋体"/>
          <w:color w:val="auto"/>
          <w:sz w:val="21"/>
          <w:szCs w:val="21"/>
          <w:highlight w:val="none"/>
        </w:rPr>
      </w:pPr>
      <w:r>
        <w:rPr>
          <w:rFonts w:ascii="宋体" w:hAnsi="宋体" w:eastAsia="宋体" w:cs="宋体"/>
          <w:color w:val="auto"/>
          <w:sz w:val="21"/>
          <w:szCs w:val="21"/>
          <w:highlight w:val="none"/>
        </w:rPr>
        <w:t>本次在智能解析应用图片流结构化解析能力的基础上，提升高新区合成作战中心智能解析应用实时视频流结构化解析能力及算法，此次扩容1000路实时视频流结构化解析能力。</w:t>
      </w:r>
    </w:p>
    <w:p>
      <w:pPr>
        <w:rPr>
          <w:color w:val="auto"/>
          <w:highlight w:val="none"/>
        </w:rPr>
        <w:sectPr>
          <w:pgSz w:w="11906" w:h="16838"/>
          <w:pgMar w:top="1440" w:right="1800" w:bottom="1440" w:left="1800" w:header="851" w:footer="992" w:gutter="0"/>
          <w:cols w:space="425" w:num="1"/>
          <w:docGrid w:type="lines" w:linePitch="312" w:charSpace="0"/>
        </w:sectPr>
      </w:pPr>
    </w:p>
    <w:p>
      <w:pPr>
        <w:pStyle w:val="971"/>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二、技术参数</w:t>
      </w:r>
    </w:p>
    <w:p>
      <w:pPr>
        <w:pStyle w:val="63"/>
        <w:rPr>
          <w:rFonts w:hAnsi="宋体" w:cs="宋体"/>
          <w:color w:val="auto"/>
          <w:sz w:val="21"/>
          <w:szCs w:val="21"/>
          <w:highlight w:val="none"/>
          <w:lang w:val="en-US"/>
        </w:rPr>
      </w:pPr>
      <w:r>
        <w:rPr>
          <w:rFonts w:hint="eastAsia" w:hAnsi="宋体" w:cs="宋体"/>
          <w:b/>
          <w:bCs/>
          <w:color w:val="auto"/>
          <w:kern w:val="0"/>
          <w:sz w:val="21"/>
          <w:szCs w:val="21"/>
          <w:highlight w:val="none"/>
          <w:lang w:bidi="ar"/>
        </w:rPr>
        <w:t>（</w:t>
      </w:r>
      <w:r>
        <w:rPr>
          <w:rFonts w:hint="eastAsia" w:hAnsi="宋体" w:cs="宋体"/>
          <w:b/>
          <w:bCs/>
          <w:color w:val="auto"/>
          <w:kern w:val="0"/>
          <w:sz w:val="21"/>
          <w:szCs w:val="21"/>
          <w:highlight w:val="none"/>
          <w:lang w:val="en-US" w:bidi="ar"/>
        </w:rPr>
        <w:t>一</w:t>
      </w:r>
      <w:r>
        <w:rPr>
          <w:rFonts w:hint="eastAsia" w:hAnsi="宋体" w:cs="宋体"/>
          <w:b/>
          <w:bCs/>
          <w:color w:val="auto"/>
          <w:kern w:val="0"/>
          <w:sz w:val="21"/>
          <w:szCs w:val="21"/>
          <w:highlight w:val="none"/>
          <w:lang w:bidi="ar"/>
        </w:rPr>
        <w:t>）多维数据</w:t>
      </w:r>
      <w:r>
        <w:rPr>
          <w:rFonts w:hint="eastAsia" w:hAnsi="宋体" w:cs="宋体"/>
          <w:b/>
          <w:bCs/>
          <w:color w:val="auto"/>
          <w:kern w:val="0"/>
          <w:sz w:val="21"/>
          <w:szCs w:val="21"/>
          <w:highlight w:val="none"/>
          <w:lang w:val="en-US" w:bidi="ar"/>
        </w:rPr>
        <w:t>接入转发系统</w:t>
      </w:r>
      <w:r>
        <w:rPr>
          <w:rFonts w:hint="eastAsia" w:hAnsi="宋体" w:cs="宋体"/>
          <w:b/>
          <w:bCs/>
          <w:color w:val="auto"/>
          <w:kern w:val="0"/>
          <w:sz w:val="21"/>
          <w:szCs w:val="21"/>
          <w:highlight w:val="none"/>
          <w:lang w:bidi="ar"/>
        </w:rPr>
        <w:t>整合</w:t>
      </w:r>
    </w:p>
    <w:tbl>
      <w:tblPr>
        <w:tblStyle w:val="65"/>
        <w:tblW w:w="494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3"/>
        <w:gridCol w:w="851"/>
        <w:gridCol w:w="1066"/>
        <w:gridCol w:w="465"/>
        <w:gridCol w:w="476"/>
        <w:gridCol w:w="8921"/>
        <w:gridCol w:w="15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trPr>
        <w:tc>
          <w:tcPr>
            <w:tcW w:w="236"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683" w:type="pct"/>
            <w:gridSpan w:val="2"/>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平台整合升级</w:t>
            </w:r>
          </w:p>
        </w:tc>
        <w:tc>
          <w:tcPr>
            <w:tcW w:w="16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69"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3179"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vAlign w:val="center"/>
          </w:tcPr>
          <w:p>
            <w:pPr>
              <w:rPr>
                <w:rFonts w:ascii="宋体" w:hAnsi="宋体" w:cs="宋体"/>
                <w:color w:val="auto"/>
                <w:szCs w:val="21"/>
                <w:highlight w:val="none"/>
              </w:rPr>
            </w:pPr>
            <w:r>
              <w:rPr>
                <w:rFonts w:hint="eastAsia" w:ascii="宋体" w:hAnsi="宋体" w:cs="宋体"/>
                <w:color w:val="auto"/>
                <w:szCs w:val="21"/>
                <w:highlight w:val="none"/>
              </w:rPr>
              <w:t>原平台软件升级。</w:t>
            </w:r>
          </w:p>
        </w:tc>
        <w:tc>
          <w:tcPr>
            <w:tcW w:w="564"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原有平台定制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trPr>
        <w:tc>
          <w:tcPr>
            <w:tcW w:w="236"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2</w:t>
            </w:r>
          </w:p>
        </w:tc>
        <w:tc>
          <w:tcPr>
            <w:tcW w:w="683" w:type="pct"/>
            <w:gridSpan w:val="2"/>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数据接入、摆渡模块</w:t>
            </w:r>
          </w:p>
        </w:tc>
        <w:tc>
          <w:tcPr>
            <w:tcW w:w="16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2</w:t>
            </w:r>
          </w:p>
        </w:tc>
        <w:tc>
          <w:tcPr>
            <w:tcW w:w="169"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套</w:t>
            </w:r>
          </w:p>
        </w:tc>
        <w:tc>
          <w:tcPr>
            <w:tcW w:w="3179"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vAlign w:val="center"/>
          </w:tcPr>
          <w:p>
            <w:pPr>
              <w:rPr>
                <w:rFonts w:hint="eastAsia" w:ascii="宋体" w:hAnsi="宋体" w:cs="宋体"/>
                <w:color w:val="auto"/>
                <w:szCs w:val="21"/>
                <w:highlight w:val="none"/>
              </w:rPr>
            </w:pPr>
            <w:r>
              <w:rPr>
                <w:rFonts w:hint="eastAsia" w:ascii="宋体" w:hAnsi="宋体" w:cs="宋体"/>
                <w:color w:val="auto"/>
                <w:szCs w:val="21"/>
                <w:highlight w:val="none"/>
              </w:rPr>
              <w:t>1.支持通过1400及扩展协议、治安部标等协议摆渡级联抓拍（人体、人脸、车辆）、设备、档案、名单等数据。</w:t>
            </w:r>
          </w:p>
          <w:p>
            <w:pPr>
              <w:rPr>
                <w:rFonts w:hint="eastAsia" w:ascii="宋体" w:hAnsi="宋体" w:cs="宋体"/>
                <w:color w:val="auto"/>
                <w:szCs w:val="21"/>
                <w:highlight w:val="none"/>
              </w:rPr>
            </w:pPr>
            <w:r>
              <w:rPr>
                <w:rFonts w:hint="eastAsia" w:ascii="宋体" w:hAnsi="宋体" w:cs="宋体"/>
                <w:color w:val="auto"/>
                <w:szCs w:val="21"/>
                <w:highlight w:val="none"/>
              </w:rPr>
              <w:t>2.单套授权单日支持500W条大图/6000W条小图和1.5亿条无图的感知事件数据汇聚与发布任务。</w:t>
            </w:r>
          </w:p>
          <w:p>
            <w:pP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系统仪表盘统计的方式可视化展现系统总体运维监控，可查看系统处理的数据条数、服务器数量、已接入数据源数量、已接入数据源表数量，支持以饼图展示已使用和未使用内存数量和占比，所有状态的任务数量和占比，所有状态的实例数量和占比，输入插件、处理插件、输出插件的数量和占比，支持以折线图展示近一个小时、近一天、近一周、近一月、近一年、全部处理的数据量变化趋势。 （</w:t>
            </w:r>
            <w:r>
              <w:rPr>
                <w:rFonts w:hint="eastAsia" w:ascii="宋体" w:hAnsi="宋体" w:cs="宋体"/>
                <w:color w:val="auto"/>
                <w:szCs w:val="21"/>
                <w:highlight w:val="none"/>
                <w:lang w:val="en-US" w:eastAsia="zh-CN"/>
              </w:rPr>
              <w:t>投标文件中</w:t>
            </w:r>
            <w:r>
              <w:rPr>
                <w:rFonts w:hint="eastAsia" w:ascii="宋体" w:hAnsi="宋体" w:cs="宋体"/>
                <w:color w:val="auto"/>
                <w:szCs w:val="21"/>
                <w:highlight w:val="none"/>
              </w:rPr>
              <w:t>出具的检验报告证明文件）</w:t>
            </w:r>
          </w:p>
        </w:tc>
        <w:tc>
          <w:tcPr>
            <w:tcW w:w="564"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vAlign w:val="center"/>
          </w:tcPr>
          <w:p>
            <w:pPr>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原有平台定制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trPr>
        <w:tc>
          <w:tcPr>
            <w:tcW w:w="236"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3</w:t>
            </w:r>
          </w:p>
        </w:tc>
        <w:tc>
          <w:tcPr>
            <w:tcW w:w="683" w:type="pct"/>
            <w:gridSpan w:val="2"/>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高性能图片缓存</w:t>
            </w:r>
          </w:p>
        </w:tc>
        <w:tc>
          <w:tcPr>
            <w:tcW w:w="16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69"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3179"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vAlign w:val="center"/>
          </w:tcPr>
          <w:p>
            <w:pPr>
              <w:rPr>
                <w:rFonts w:ascii="宋体" w:hAnsi="宋体" w:cs="宋体"/>
                <w:color w:val="auto"/>
                <w:szCs w:val="21"/>
                <w:highlight w:val="none"/>
              </w:rPr>
            </w:pPr>
            <w:r>
              <w:rPr>
                <w:rFonts w:hint="eastAsia" w:ascii="宋体" w:hAnsi="宋体" w:cs="宋体"/>
                <w:color w:val="auto"/>
                <w:szCs w:val="21"/>
                <w:highlight w:val="none"/>
              </w:rPr>
              <w:t>4U24盘位磁盘阵列；单设备配置双64位，每颗20核处理器，主频：2.1GHz,128GB（可扩展至512GB）；2个千兆网口，2个万兆口，1个IPMI管理接口，标配3块960GB SSD，1块1.92TB SSD；支持物联原始视频、图片数据存储，通用文件、对象、HDFS数据存储以及物联结构化数据存储能力。内置24块8TB盘</w:t>
            </w:r>
          </w:p>
        </w:tc>
        <w:tc>
          <w:tcPr>
            <w:tcW w:w="564"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海康、大华、宇视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trPr>
        <w:tc>
          <w:tcPr>
            <w:tcW w:w="236"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4</w:t>
            </w:r>
          </w:p>
        </w:tc>
        <w:tc>
          <w:tcPr>
            <w:tcW w:w="683" w:type="pct"/>
            <w:gridSpan w:val="2"/>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高性能图片缓存</w:t>
            </w:r>
          </w:p>
        </w:tc>
        <w:tc>
          <w:tcPr>
            <w:tcW w:w="16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1</w:t>
            </w:r>
          </w:p>
        </w:tc>
        <w:tc>
          <w:tcPr>
            <w:tcW w:w="169"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套</w:t>
            </w:r>
          </w:p>
        </w:tc>
        <w:tc>
          <w:tcPr>
            <w:tcW w:w="3179"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vAlign w:val="center"/>
          </w:tcPr>
          <w:p>
            <w:pP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以物联数据存储为核心，将分布式存储技术与索引管理技术相结合，实现结构化数据、非结构化数据、半结构化数据的统一存储和多维检索能力，同时对外可提供数据全生命周期管理能力，满足图片存储服务，包含：图片直存、图片提取、图片格式转换、图片锁定、图片即存即取、图片生命周期管理等</w:t>
            </w:r>
          </w:p>
        </w:tc>
        <w:tc>
          <w:tcPr>
            <w:tcW w:w="564"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海康、大华、宇视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trPr>
        <w:tc>
          <w:tcPr>
            <w:tcW w:w="236" w:type="pct"/>
            <w:vMerge w:val="restar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5</w:t>
            </w:r>
          </w:p>
        </w:tc>
        <w:tc>
          <w:tcPr>
            <w:tcW w:w="303" w:type="pct"/>
            <w:vMerge w:val="restar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原有大数据服务器扩容</w:t>
            </w:r>
          </w:p>
        </w:tc>
        <w:tc>
          <w:tcPr>
            <w:tcW w:w="379"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服务器改制</w:t>
            </w:r>
          </w:p>
        </w:tc>
        <w:tc>
          <w:tcPr>
            <w:tcW w:w="16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2</w:t>
            </w:r>
          </w:p>
        </w:tc>
        <w:tc>
          <w:tcPr>
            <w:tcW w:w="169"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3179"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vAlign w:val="center"/>
          </w:tcPr>
          <w:p>
            <w:pPr>
              <w:rPr>
                <w:rFonts w:ascii="宋体" w:hAnsi="宋体" w:cs="宋体"/>
                <w:color w:val="auto"/>
                <w:szCs w:val="21"/>
                <w:highlight w:val="none"/>
              </w:rPr>
            </w:pPr>
            <w:r>
              <w:rPr>
                <w:rFonts w:hint="eastAsia" w:ascii="宋体" w:hAnsi="宋体" w:cs="宋体"/>
                <w:color w:val="auto"/>
                <w:szCs w:val="21"/>
                <w:highlight w:val="none"/>
              </w:rPr>
              <w:t xml:space="preserve">每台新增240G SSD系统盘*2（RAID_1) </w:t>
            </w:r>
          </w:p>
        </w:tc>
        <w:tc>
          <w:tcPr>
            <w:tcW w:w="564"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原有服务器改制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trPr>
        <w:tc>
          <w:tcPr>
            <w:tcW w:w="236" w:type="pct"/>
            <w:vMerge w:val="continue"/>
            <w:tcBorders>
              <w:left w:val="single" w:color="4F81BD" w:sz="8" w:space="0"/>
              <w:right w:val="single" w:color="4F81BD" w:sz="8" w:space="0"/>
              <w:tl2br w:val="nil"/>
              <w:tr2bl w:val="nil"/>
            </w:tcBorders>
            <w:shd w:val="clear" w:color="auto" w:fill="FFFFFF"/>
            <w:vAlign w:val="center"/>
          </w:tcPr>
          <w:p>
            <w:pPr>
              <w:widowControl/>
              <w:textAlignment w:val="center"/>
              <w:rPr>
                <w:rFonts w:hint="eastAsia" w:ascii="宋体" w:hAnsi="宋体" w:cs="宋体"/>
                <w:color w:val="auto"/>
                <w:kern w:val="0"/>
                <w:szCs w:val="21"/>
                <w:highlight w:val="none"/>
                <w:lang w:bidi="ar"/>
              </w:rPr>
            </w:pPr>
          </w:p>
        </w:tc>
        <w:tc>
          <w:tcPr>
            <w:tcW w:w="303" w:type="pct"/>
            <w:vMerge w:val="continue"/>
            <w:tcBorders>
              <w:left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cs="宋体"/>
                <w:color w:val="auto"/>
                <w:kern w:val="0"/>
                <w:szCs w:val="21"/>
                <w:highlight w:val="none"/>
                <w:lang w:bidi="ar"/>
              </w:rPr>
            </w:pPr>
          </w:p>
        </w:tc>
        <w:tc>
          <w:tcPr>
            <w:tcW w:w="379"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内部千兆交换机</w:t>
            </w:r>
          </w:p>
        </w:tc>
        <w:tc>
          <w:tcPr>
            <w:tcW w:w="16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1</w:t>
            </w:r>
          </w:p>
        </w:tc>
        <w:tc>
          <w:tcPr>
            <w:tcW w:w="169"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台</w:t>
            </w:r>
          </w:p>
        </w:tc>
        <w:tc>
          <w:tcPr>
            <w:tcW w:w="3179"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vAlign w:val="center"/>
          </w:tcPr>
          <w:p>
            <w:pPr>
              <w:rPr>
                <w:rFonts w:ascii="宋体" w:hAnsi="宋体" w:cs="宋体"/>
                <w:color w:val="auto"/>
                <w:szCs w:val="21"/>
                <w:highlight w:val="none"/>
              </w:rPr>
            </w:pPr>
            <w:r>
              <w:rPr>
                <w:rFonts w:hint="eastAsia" w:ascii="宋体" w:hAnsi="宋体" w:cs="宋体"/>
                <w:color w:val="auto"/>
                <w:szCs w:val="21"/>
                <w:highlight w:val="none"/>
              </w:rPr>
              <w:t>不低于以下参数：</w:t>
            </w:r>
          </w:p>
          <w:p>
            <w:pP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全网管三层交换机，机架式，24个千兆电口，8个复用的千兆SFP光口，4个万兆SFP+光口；1个业务扩展槽，2个电源模块槽位，2个风扇模块槽位，交换容量：756Gbps/7.56Tbps，包转发率：222Mpps/396Mpps，1U高度，19英寸宽，工作温度：0℃～45℃，支持交直流供电，满负荷功耗87W（单交流电源情况下）；支持RIP/OSPF/BGP/IS-IS/VRRP，IPv6，VLAN，流量控制，ACL，QoS，端口镜像，环网RRPP/ERPS、支持SNMP V1/V2c/V3网管。采用专业的内置防雷技术，支持10KV业务端口防雷能力</w:t>
            </w:r>
          </w:p>
        </w:tc>
        <w:tc>
          <w:tcPr>
            <w:tcW w:w="564"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vAlign w:val="center"/>
          </w:tcPr>
          <w:p>
            <w:pPr>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海康，华三，华为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trPr>
        <w:tc>
          <w:tcPr>
            <w:tcW w:w="236" w:type="pct"/>
            <w:vMerge w:val="continue"/>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p>
        </w:tc>
        <w:tc>
          <w:tcPr>
            <w:tcW w:w="303" w:type="pct"/>
            <w:vMerge w:val="continue"/>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p>
        </w:tc>
        <w:tc>
          <w:tcPr>
            <w:tcW w:w="379"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内部万兆交换机</w:t>
            </w:r>
          </w:p>
        </w:tc>
        <w:tc>
          <w:tcPr>
            <w:tcW w:w="16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69"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台</w:t>
            </w:r>
          </w:p>
        </w:tc>
        <w:tc>
          <w:tcPr>
            <w:tcW w:w="3179"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vAlign w:val="center"/>
          </w:tcPr>
          <w:p>
            <w:pPr>
              <w:rPr>
                <w:rFonts w:ascii="宋体" w:hAnsi="宋体" w:cs="宋体"/>
                <w:color w:val="auto"/>
                <w:szCs w:val="21"/>
                <w:highlight w:val="none"/>
              </w:rPr>
            </w:pPr>
            <w:r>
              <w:rPr>
                <w:rFonts w:hint="eastAsia" w:ascii="宋体" w:hAnsi="宋体" w:cs="宋体"/>
                <w:color w:val="auto"/>
                <w:szCs w:val="21"/>
                <w:highlight w:val="none"/>
              </w:rPr>
              <w:t>不低于以下参数：</w:t>
            </w:r>
          </w:p>
          <w:p>
            <w:pPr>
              <w:rPr>
                <w:rFonts w:ascii="宋体" w:hAnsi="宋体" w:cs="宋体"/>
                <w:color w:val="auto"/>
                <w:szCs w:val="21"/>
                <w:highlight w:val="none"/>
              </w:rPr>
            </w:pPr>
            <w:r>
              <w:rPr>
                <w:rFonts w:hint="eastAsia" w:ascii="宋体" w:hAnsi="宋体" w:cs="宋体"/>
                <w:color w:val="auto"/>
                <w:szCs w:val="21"/>
                <w:highlight w:val="none"/>
              </w:rPr>
              <w:t>全网管三层交换机，机架式，24个1G/10G SFP+光接口，2个40G QSFP+光接口，1个console口，1个usb接口，1个带外管理网口；2个业务扩展槽，2个电源模块槽位，2个风扇模块槽位，交换容量：2.56Tbps/25.6Tbps，转发性能：720Mpps/1260Mpps，1U高度，19英寸宽，工作温度：0℃～45℃，支持交直流供电，满负荷功耗183W；支持RIP/OSPF/BGP/IS-IS/VRRP，IPv6，VLAN，流量控制，ACL，QoS，端口镜像，环网RRPP/ERPS、支持SNMP V1/V2c/V3网管</w:t>
            </w:r>
          </w:p>
        </w:tc>
        <w:tc>
          <w:tcPr>
            <w:tcW w:w="564"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海康，华三，华为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trPr>
        <w:tc>
          <w:tcPr>
            <w:tcW w:w="236" w:type="pct"/>
            <w:vMerge w:val="continue"/>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p>
        </w:tc>
        <w:tc>
          <w:tcPr>
            <w:tcW w:w="303" w:type="pct"/>
            <w:vMerge w:val="continue"/>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p>
        </w:tc>
        <w:tc>
          <w:tcPr>
            <w:tcW w:w="379"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光模块</w:t>
            </w:r>
          </w:p>
        </w:tc>
        <w:tc>
          <w:tcPr>
            <w:tcW w:w="16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6</w:t>
            </w:r>
          </w:p>
        </w:tc>
        <w:tc>
          <w:tcPr>
            <w:tcW w:w="169"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个</w:t>
            </w:r>
          </w:p>
        </w:tc>
        <w:tc>
          <w:tcPr>
            <w:tcW w:w="3179"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vAlign w:val="center"/>
          </w:tcPr>
          <w:p>
            <w:pPr>
              <w:rPr>
                <w:rFonts w:ascii="宋体" w:hAnsi="宋体" w:cs="宋体"/>
                <w:color w:val="auto"/>
                <w:szCs w:val="21"/>
                <w:highlight w:val="none"/>
              </w:rPr>
            </w:pPr>
            <w:r>
              <w:rPr>
                <w:rFonts w:hint="eastAsia" w:ascii="宋体" w:hAnsi="宋体" w:cs="宋体"/>
                <w:color w:val="auto"/>
                <w:szCs w:val="21"/>
                <w:highlight w:val="none"/>
              </w:rPr>
              <w:t>万兆多模双纤光模块</w:t>
            </w:r>
          </w:p>
          <w:p>
            <w:pPr>
              <w:rPr>
                <w:rFonts w:ascii="宋体" w:hAnsi="宋体" w:cs="宋体"/>
                <w:color w:val="auto"/>
                <w:szCs w:val="21"/>
                <w:highlight w:val="none"/>
              </w:rPr>
            </w:pPr>
            <w:r>
              <w:rPr>
                <w:rFonts w:hint="eastAsia" w:ascii="宋体" w:hAnsi="宋体" w:cs="宋体"/>
                <w:color w:val="auto"/>
                <w:szCs w:val="21"/>
                <w:highlight w:val="none"/>
              </w:rPr>
              <w:t>TX850nm/10G</w:t>
            </w:r>
          </w:p>
          <w:p>
            <w:pPr>
              <w:rPr>
                <w:rFonts w:ascii="宋体" w:hAnsi="宋体" w:cs="宋体"/>
                <w:color w:val="auto"/>
                <w:szCs w:val="21"/>
                <w:highlight w:val="none"/>
              </w:rPr>
            </w:pPr>
            <w:r>
              <w:rPr>
                <w:rFonts w:hint="eastAsia" w:ascii="宋体" w:hAnsi="宋体" w:cs="宋体"/>
                <w:color w:val="auto"/>
                <w:szCs w:val="21"/>
                <w:highlight w:val="none"/>
              </w:rPr>
              <w:t>RX850nm/10G</w:t>
            </w:r>
          </w:p>
          <w:p>
            <w:pPr>
              <w:rPr>
                <w:rFonts w:ascii="宋体" w:hAnsi="宋体" w:cs="宋体"/>
                <w:color w:val="auto"/>
                <w:szCs w:val="21"/>
                <w:highlight w:val="none"/>
              </w:rPr>
            </w:pPr>
            <w:r>
              <w:rPr>
                <w:rFonts w:hint="eastAsia" w:ascii="宋体" w:hAnsi="宋体" w:cs="宋体"/>
                <w:color w:val="auto"/>
                <w:szCs w:val="21"/>
                <w:highlight w:val="none"/>
              </w:rPr>
              <w:t>LC</w:t>
            </w:r>
          </w:p>
          <w:p>
            <w:pPr>
              <w:rPr>
                <w:rFonts w:ascii="宋体" w:hAnsi="宋体" w:cs="宋体"/>
                <w:color w:val="auto"/>
                <w:szCs w:val="21"/>
                <w:highlight w:val="none"/>
              </w:rPr>
            </w:pPr>
            <w:r>
              <w:rPr>
                <w:rFonts w:hint="eastAsia" w:ascii="宋体" w:hAnsi="宋体" w:cs="宋体"/>
                <w:color w:val="auto"/>
                <w:szCs w:val="21"/>
                <w:highlight w:val="none"/>
              </w:rPr>
              <w:t>多模双纤双向</w:t>
            </w:r>
          </w:p>
          <w:p>
            <w:pPr>
              <w:rPr>
                <w:rFonts w:ascii="宋体" w:hAnsi="宋体" w:cs="宋体"/>
                <w:color w:val="auto"/>
                <w:szCs w:val="21"/>
                <w:highlight w:val="none"/>
              </w:rPr>
            </w:pPr>
            <w:r>
              <w:rPr>
                <w:rFonts w:hint="eastAsia" w:ascii="宋体" w:hAnsi="宋体" w:cs="宋体"/>
                <w:color w:val="auto"/>
                <w:szCs w:val="21"/>
                <w:highlight w:val="none"/>
              </w:rPr>
              <w:t>距离300m</w:t>
            </w:r>
          </w:p>
          <w:p>
            <w:pPr>
              <w:rPr>
                <w:rFonts w:ascii="宋体" w:hAnsi="宋体" w:cs="宋体"/>
                <w:color w:val="auto"/>
                <w:szCs w:val="21"/>
                <w:highlight w:val="none"/>
              </w:rPr>
            </w:pPr>
            <w:r>
              <w:rPr>
                <w:rFonts w:hint="eastAsia" w:ascii="宋体" w:hAnsi="宋体" w:cs="宋体"/>
                <w:color w:val="auto"/>
                <w:szCs w:val="21"/>
                <w:highlight w:val="none"/>
              </w:rPr>
              <w:t>0～70℃</w:t>
            </w:r>
          </w:p>
          <w:p>
            <w:pPr>
              <w:rPr>
                <w:rFonts w:ascii="宋体" w:hAnsi="宋体" w:cs="宋体"/>
                <w:color w:val="auto"/>
                <w:szCs w:val="21"/>
                <w:highlight w:val="none"/>
              </w:rPr>
            </w:pPr>
            <w:r>
              <w:rPr>
                <w:rFonts w:hint="eastAsia" w:ascii="宋体" w:hAnsi="宋体" w:cs="宋体"/>
                <w:color w:val="auto"/>
                <w:szCs w:val="21"/>
                <w:highlight w:val="none"/>
              </w:rPr>
              <w:t>SFP</w:t>
            </w:r>
          </w:p>
          <w:p>
            <w:pPr>
              <w:rPr>
                <w:rFonts w:ascii="宋体" w:hAnsi="宋体" w:cs="宋体"/>
                <w:color w:val="auto"/>
                <w:szCs w:val="21"/>
                <w:highlight w:val="none"/>
              </w:rPr>
            </w:pPr>
            <w:r>
              <w:rPr>
                <w:rFonts w:hint="eastAsia" w:ascii="宋体" w:hAnsi="宋体" w:cs="宋体"/>
                <w:color w:val="auto"/>
                <w:szCs w:val="21"/>
                <w:highlight w:val="none"/>
              </w:rPr>
              <w:t>发射光功率:-6.5～-1dBm</w:t>
            </w:r>
          </w:p>
          <w:p>
            <w:pP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接收灵敏度（低值）:-11dBm</w:t>
            </w:r>
          </w:p>
        </w:tc>
        <w:tc>
          <w:tcPr>
            <w:tcW w:w="564"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vAlign w:val="center"/>
          </w:tcPr>
          <w:p>
            <w:pPr>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海康，华三，华为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trPr>
        <w:tc>
          <w:tcPr>
            <w:tcW w:w="236" w:type="pct"/>
            <w:vMerge w:val="continue"/>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p>
        </w:tc>
        <w:tc>
          <w:tcPr>
            <w:tcW w:w="303" w:type="pct"/>
            <w:vMerge w:val="continue"/>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p>
        </w:tc>
        <w:tc>
          <w:tcPr>
            <w:tcW w:w="379"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感知数据模块</w:t>
            </w:r>
          </w:p>
        </w:tc>
        <w:tc>
          <w:tcPr>
            <w:tcW w:w="16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3</w:t>
            </w:r>
          </w:p>
        </w:tc>
        <w:tc>
          <w:tcPr>
            <w:tcW w:w="169"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3179"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vAlign w:val="center"/>
          </w:tcPr>
          <w:p>
            <w:pPr>
              <w:rPr>
                <w:rFonts w:ascii="宋体" w:hAnsi="宋体" w:cs="宋体"/>
                <w:color w:val="auto"/>
                <w:szCs w:val="21"/>
                <w:highlight w:val="none"/>
              </w:rPr>
            </w:pPr>
            <w:r>
              <w:rPr>
                <w:rFonts w:hint="eastAsia" w:ascii="宋体" w:hAnsi="宋体" w:cs="宋体"/>
                <w:color w:val="auto"/>
                <w:szCs w:val="21"/>
                <w:highlight w:val="none"/>
              </w:rPr>
              <w:t>感知数据服务软件提供名单治理功能；提供感知数据接入、存储、查询、修改等功能；提供人人同行、人人同乘、人人跟随、人员落脚点、人员活跃时段、人员活跃区域、车辆经停点等单维度感知数据关联关系的计算分析，结果、明细数据查询功能。</w:t>
            </w:r>
          </w:p>
        </w:tc>
        <w:tc>
          <w:tcPr>
            <w:tcW w:w="564"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原有平台定制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trPr>
        <w:tc>
          <w:tcPr>
            <w:tcW w:w="236" w:type="pct"/>
            <w:vMerge w:val="continue"/>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p>
        </w:tc>
        <w:tc>
          <w:tcPr>
            <w:tcW w:w="303" w:type="pct"/>
            <w:vMerge w:val="continue"/>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p>
        </w:tc>
        <w:tc>
          <w:tcPr>
            <w:tcW w:w="379"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大数据基础平台</w:t>
            </w:r>
          </w:p>
        </w:tc>
        <w:tc>
          <w:tcPr>
            <w:tcW w:w="16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1</w:t>
            </w:r>
          </w:p>
        </w:tc>
        <w:tc>
          <w:tcPr>
            <w:tcW w:w="169"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套</w:t>
            </w:r>
          </w:p>
        </w:tc>
        <w:tc>
          <w:tcPr>
            <w:tcW w:w="3179"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vAlign w:val="center"/>
          </w:tcPr>
          <w:p>
            <w:pPr>
              <w:tabs>
                <w:tab w:val="left" w:pos="1210"/>
              </w:tabs>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提供基础大数据HBP能力；</w:t>
            </w:r>
          </w:p>
        </w:tc>
        <w:tc>
          <w:tcPr>
            <w:tcW w:w="564"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vAlign w:val="center"/>
          </w:tcPr>
          <w:p>
            <w:pPr>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原有平台定制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0" w:hRule="atLeast"/>
        </w:trPr>
        <w:tc>
          <w:tcPr>
            <w:tcW w:w="236" w:type="pct"/>
            <w:vMerge w:val="continue"/>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p>
        </w:tc>
        <w:tc>
          <w:tcPr>
            <w:tcW w:w="303" w:type="pct"/>
            <w:vMerge w:val="continue"/>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p>
        </w:tc>
        <w:tc>
          <w:tcPr>
            <w:tcW w:w="379"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比对库、预分类库升级</w:t>
            </w:r>
          </w:p>
        </w:tc>
        <w:tc>
          <w:tcPr>
            <w:tcW w:w="16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69"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3179"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vAlign w:val="center"/>
          </w:tcPr>
          <w:p>
            <w:pPr>
              <w:rPr>
                <w:rFonts w:ascii="宋体" w:hAnsi="宋体" w:cs="宋体"/>
                <w:color w:val="auto"/>
                <w:szCs w:val="21"/>
                <w:highlight w:val="none"/>
              </w:rPr>
            </w:pPr>
            <w:r>
              <w:rPr>
                <w:rFonts w:hint="eastAsia" w:ascii="宋体" w:hAnsi="宋体" w:cs="宋体"/>
                <w:color w:val="auto"/>
                <w:szCs w:val="21"/>
                <w:highlight w:val="none"/>
              </w:rPr>
              <w:t>支持比对库和预分类库</w:t>
            </w:r>
          </w:p>
        </w:tc>
        <w:tc>
          <w:tcPr>
            <w:tcW w:w="564" w:type="pct"/>
            <w:tcBorders>
              <w:top w:val="single" w:color="4F81BD" w:sz="8" w:space="0"/>
              <w:left w:val="single" w:color="4F81BD" w:sz="8" w:space="0"/>
              <w:bottom w:val="single" w:color="4F81BD" w:sz="8" w:space="0"/>
              <w:right w:val="single" w:color="4F81BD" w:sz="8" w:space="0"/>
              <w:tl2br w:val="nil"/>
              <w:tr2bl w:val="nil"/>
            </w:tcBorders>
            <w:shd w:val="clear" w:color="auto" w:fill="FFFFFF"/>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原有平台定制</w:t>
            </w:r>
          </w:p>
        </w:tc>
      </w:tr>
    </w:tbl>
    <w:p>
      <w:pPr>
        <w:numPr>
          <w:ilvl w:val="0"/>
          <w:numId w:val="4"/>
        </w:numPr>
        <w:rPr>
          <w:rFonts w:hint="eastAsia" w:ascii="宋体" w:hAnsi="宋体" w:cs="宋体"/>
          <w:b/>
          <w:bCs/>
          <w:color w:val="auto"/>
          <w:kern w:val="0"/>
          <w:szCs w:val="21"/>
          <w:highlight w:val="none"/>
          <w:lang w:bidi="ar"/>
        </w:rPr>
      </w:pPr>
      <w:r>
        <w:rPr>
          <w:rFonts w:hint="eastAsia" w:ascii="宋体" w:hAnsi="宋体" w:cs="宋体"/>
          <w:b/>
          <w:bCs/>
          <w:color w:val="auto"/>
          <w:kern w:val="0"/>
          <w:szCs w:val="21"/>
          <w:highlight w:val="none"/>
          <w:lang w:bidi="ar"/>
        </w:rPr>
        <w:t>智能解析应用整合扩容</w:t>
      </w:r>
    </w:p>
    <w:tbl>
      <w:tblPr>
        <w:tblStyle w:val="6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855"/>
        <w:gridCol w:w="990"/>
        <w:gridCol w:w="555"/>
        <w:gridCol w:w="510"/>
        <w:gridCol w:w="9135"/>
        <w:gridCol w:w="1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Merge w:val="restart"/>
            <w:vAlign w:val="center"/>
          </w:tcPr>
          <w:p>
            <w:pPr>
              <w:pStyle w:val="521"/>
              <w:widowControl w:val="0"/>
              <w:numPr>
                <w:ilvl w:val="0"/>
                <w:numId w:val="0"/>
              </w:numPr>
              <w:adjustRightInd/>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w:t>
            </w:r>
          </w:p>
        </w:tc>
        <w:tc>
          <w:tcPr>
            <w:tcW w:w="855" w:type="dxa"/>
            <w:vMerge w:val="restart"/>
            <w:vAlign w:val="center"/>
          </w:tcPr>
          <w:p>
            <w:pPr>
              <w:pStyle w:val="521"/>
              <w:widowControl w:val="0"/>
              <w:numPr>
                <w:ilvl w:val="0"/>
                <w:numId w:val="0"/>
              </w:numPr>
              <w:adjustRightInd/>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平台整合升级</w:t>
            </w:r>
          </w:p>
        </w:tc>
        <w:tc>
          <w:tcPr>
            <w:tcW w:w="990" w:type="dxa"/>
          </w:tcPr>
          <w:p>
            <w:pPr>
              <w:pStyle w:val="521"/>
              <w:widowControl w:val="0"/>
              <w:numPr>
                <w:ilvl w:val="0"/>
                <w:numId w:val="0"/>
              </w:numPr>
              <w:adjustRightInd/>
              <w:jc w:val="both"/>
              <w:rPr>
                <w:color w:val="auto"/>
                <w:vertAlign w:val="baseline"/>
              </w:rPr>
            </w:pPr>
            <w:r>
              <w:rPr>
                <w:rFonts w:hint="eastAsia" w:ascii="宋体" w:hAnsi="宋体" w:eastAsia="宋体" w:cs="宋体"/>
                <w:color w:val="auto"/>
                <w:kern w:val="2"/>
                <w:sz w:val="21"/>
                <w:szCs w:val="21"/>
                <w:highlight w:val="none"/>
                <w:lang w:val="en-US" w:eastAsia="zh-CN" w:bidi="ar-SA"/>
              </w:rPr>
              <w:t>平台整合升级</w:t>
            </w:r>
          </w:p>
        </w:tc>
        <w:tc>
          <w:tcPr>
            <w:tcW w:w="555" w:type="dxa"/>
            <w:vAlign w:val="center"/>
          </w:tcPr>
          <w:p>
            <w:pPr>
              <w:widowControl/>
              <w:jc w:val="center"/>
              <w:textAlignment w:val="center"/>
              <w:rPr>
                <w:rFonts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1</w:t>
            </w:r>
          </w:p>
        </w:tc>
        <w:tc>
          <w:tcPr>
            <w:tcW w:w="510" w:type="dxa"/>
            <w:vAlign w:val="center"/>
          </w:tcPr>
          <w:p>
            <w:pPr>
              <w:widowControl/>
              <w:jc w:val="center"/>
              <w:textAlignment w:val="center"/>
              <w:rPr>
                <w:rFonts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套</w:t>
            </w:r>
          </w:p>
        </w:tc>
        <w:tc>
          <w:tcPr>
            <w:tcW w:w="9135" w:type="dxa"/>
            <w:vAlign w:val="center"/>
          </w:tcPr>
          <w:p>
            <w:pP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原平台软件升级。</w:t>
            </w:r>
          </w:p>
        </w:tc>
        <w:tc>
          <w:tcPr>
            <w:tcW w:w="1484" w:type="dxa"/>
            <w:vAlign w:val="center"/>
          </w:tcPr>
          <w:p>
            <w:pPr>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原有平台定制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Merge w:val="continue"/>
          </w:tcPr>
          <w:p>
            <w:pPr>
              <w:pStyle w:val="521"/>
              <w:widowControl w:val="0"/>
              <w:numPr>
                <w:ilvl w:val="0"/>
                <w:numId w:val="0"/>
              </w:numPr>
              <w:adjustRightInd/>
              <w:jc w:val="both"/>
              <w:rPr>
                <w:color w:val="auto"/>
                <w:vertAlign w:val="baseline"/>
              </w:rPr>
            </w:pPr>
          </w:p>
        </w:tc>
        <w:tc>
          <w:tcPr>
            <w:tcW w:w="855" w:type="dxa"/>
            <w:vMerge w:val="continue"/>
          </w:tcPr>
          <w:p>
            <w:pPr>
              <w:pStyle w:val="521"/>
              <w:widowControl w:val="0"/>
              <w:numPr>
                <w:ilvl w:val="0"/>
                <w:numId w:val="0"/>
              </w:numPr>
              <w:adjustRightInd/>
              <w:jc w:val="both"/>
              <w:rPr>
                <w:color w:val="auto"/>
                <w:vertAlign w:val="baseline"/>
              </w:rPr>
            </w:pPr>
          </w:p>
        </w:tc>
        <w:tc>
          <w:tcPr>
            <w:tcW w:w="990" w:type="dxa"/>
            <w:vAlign w:val="center"/>
          </w:tcPr>
          <w:p>
            <w:pPr>
              <w:widowControl/>
              <w:jc w:val="center"/>
              <w:textAlignment w:val="center"/>
              <w:rPr>
                <w:rFonts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算法仓库模块</w:t>
            </w:r>
          </w:p>
        </w:tc>
        <w:tc>
          <w:tcPr>
            <w:tcW w:w="555" w:type="dxa"/>
            <w:vMerge w:val="restart"/>
            <w:vAlign w:val="center"/>
          </w:tcPr>
          <w:p>
            <w:pPr>
              <w:widowControl/>
              <w:jc w:val="center"/>
              <w:textAlignment w:val="center"/>
              <w:rPr>
                <w:rFonts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1</w:t>
            </w:r>
          </w:p>
        </w:tc>
        <w:tc>
          <w:tcPr>
            <w:tcW w:w="510" w:type="dxa"/>
            <w:vMerge w:val="restart"/>
            <w:vAlign w:val="center"/>
          </w:tcPr>
          <w:p>
            <w:pPr>
              <w:widowControl/>
              <w:jc w:val="center"/>
              <w:textAlignment w:val="center"/>
              <w:rPr>
                <w:rFonts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套</w:t>
            </w:r>
          </w:p>
        </w:tc>
        <w:tc>
          <w:tcPr>
            <w:tcW w:w="9135" w:type="dxa"/>
            <w:vAlign w:val="center"/>
          </w:tcPr>
          <w:p>
            <w:pP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提供算法管理能力，通过标准化的算法接入规范和运行规范，支持合作伙伴的多种算法接入管理，通过多算法集成服务框架，实现多算法、多版本的共存和集成，提升算法的复用能力。</w:t>
            </w:r>
          </w:p>
        </w:tc>
        <w:tc>
          <w:tcPr>
            <w:tcW w:w="1484" w:type="dxa"/>
            <w:vAlign w:val="center"/>
          </w:tcPr>
          <w:p>
            <w:pPr>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原有平台定制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Merge w:val="continue"/>
          </w:tcPr>
          <w:p>
            <w:pPr>
              <w:pStyle w:val="521"/>
              <w:widowControl w:val="0"/>
              <w:numPr>
                <w:ilvl w:val="0"/>
                <w:numId w:val="0"/>
              </w:numPr>
              <w:adjustRightInd/>
              <w:jc w:val="both"/>
              <w:rPr>
                <w:color w:val="auto"/>
                <w:vertAlign w:val="baseline"/>
              </w:rPr>
            </w:pPr>
          </w:p>
        </w:tc>
        <w:tc>
          <w:tcPr>
            <w:tcW w:w="855" w:type="dxa"/>
            <w:vMerge w:val="continue"/>
          </w:tcPr>
          <w:p>
            <w:pPr>
              <w:pStyle w:val="521"/>
              <w:widowControl w:val="0"/>
              <w:numPr>
                <w:ilvl w:val="0"/>
                <w:numId w:val="0"/>
              </w:numPr>
              <w:adjustRightInd/>
              <w:jc w:val="both"/>
              <w:rPr>
                <w:color w:val="auto"/>
                <w:vertAlign w:val="baseline"/>
              </w:rPr>
            </w:pPr>
          </w:p>
        </w:tc>
        <w:tc>
          <w:tcPr>
            <w:tcW w:w="990" w:type="dxa"/>
            <w:vAlign w:val="center"/>
          </w:tcPr>
          <w:p>
            <w:pPr>
              <w:widowControl/>
              <w:jc w:val="center"/>
              <w:textAlignment w:val="center"/>
              <w:rPr>
                <w:rFonts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资源管理调度模块</w:t>
            </w:r>
          </w:p>
        </w:tc>
        <w:tc>
          <w:tcPr>
            <w:tcW w:w="555" w:type="dxa"/>
            <w:vMerge w:val="continue"/>
          </w:tcPr>
          <w:p>
            <w:pPr>
              <w:pStyle w:val="521"/>
              <w:widowControl w:val="0"/>
              <w:numPr>
                <w:ilvl w:val="0"/>
                <w:numId w:val="0"/>
              </w:numPr>
              <w:adjustRightInd/>
              <w:jc w:val="both"/>
              <w:rPr>
                <w:color w:val="auto"/>
                <w:vertAlign w:val="baseline"/>
              </w:rPr>
            </w:pPr>
          </w:p>
        </w:tc>
        <w:tc>
          <w:tcPr>
            <w:tcW w:w="510" w:type="dxa"/>
            <w:vMerge w:val="continue"/>
          </w:tcPr>
          <w:p>
            <w:pPr>
              <w:pStyle w:val="521"/>
              <w:widowControl w:val="0"/>
              <w:numPr>
                <w:ilvl w:val="0"/>
                <w:numId w:val="0"/>
              </w:numPr>
              <w:adjustRightInd/>
              <w:jc w:val="both"/>
              <w:rPr>
                <w:color w:val="auto"/>
                <w:vertAlign w:val="baseline"/>
              </w:rPr>
            </w:pPr>
          </w:p>
        </w:tc>
        <w:tc>
          <w:tcPr>
            <w:tcW w:w="9135" w:type="dxa"/>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计算资源、存储资源的统一接入管理与调度能力，智能分析任务的统一管理调度，提供资源编排能力。支持实时视频解析、在线录像解析、人脸分析、人体分析、车辆分析、行为分析等智能分析任务，实现视频图片中目标检测、建模、属性分析。</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支持按点位或者区域指定关联的计算资源，支持调度服务修改，按照调度服务、计算资源分类展示，支持计算资源按照区域进行调整 。</w:t>
            </w:r>
          </w:p>
          <w:p>
            <w:pPr>
              <w:rPr>
                <w:color w:val="auto"/>
                <w:vertAlign w:val="baseline"/>
              </w:rPr>
            </w:pPr>
            <w:r>
              <w:rPr>
                <w:rFonts w:hint="eastAsia" w:ascii="宋体" w:hAnsi="宋体" w:eastAsia="宋体" w:cs="宋体"/>
                <w:color w:val="auto"/>
                <w:sz w:val="21"/>
                <w:szCs w:val="21"/>
                <w:highlight w:val="none"/>
              </w:rPr>
              <w:t>★支持计算资源根据算法进行预分配，支持展示图片算法和视频算法按名称、厂商、版本、预分配量，动态分配最大量进行管理，支持配置图片算法预分配张/秒，动态分配最大量张/秒；支持配置视频算法预分配量/路、动态分配最大量路数（投标文件中提供检测报告复印件）</w:t>
            </w:r>
          </w:p>
        </w:tc>
        <w:tc>
          <w:tcPr>
            <w:tcW w:w="1484" w:type="dxa"/>
          </w:tcPr>
          <w:p>
            <w:pPr>
              <w:pStyle w:val="521"/>
              <w:widowControl w:val="0"/>
              <w:numPr>
                <w:ilvl w:val="0"/>
                <w:numId w:val="0"/>
              </w:numPr>
              <w:adjustRightInd/>
              <w:jc w:val="both"/>
              <w:rPr>
                <w:color w:val="auto"/>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Align w:val="center"/>
          </w:tcPr>
          <w:p>
            <w:pPr>
              <w:widowControl/>
              <w:jc w:val="center"/>
              <w:textAlignment w:val="center"/>
              <w:rPr>
                <w:color w:val="auto"/>
                <w:vertAlign w:val="baseline"/>
              </w:rPr>
            </w:pPr>
            <w:r>
              <w:rPr>
                <w:rFonts w:hint="eastAsia" w:ascii="宋体" w:hAnsi="宋体" w:cs="宋体"/>
                <w:color w:val="auto"/>
                <w:kern w:val="0"/>
                <w:szCs w:val="21"/>
                <w:highlight w:val="none"/>
                <w:lang w:bidi="ar"/>
              </w:rPr>
              <w:t>2</w:t>
            </w:r>
          </w:p>
        </w:tc>
        <w:tc>
          <w:tcPr>
            <w:tcW w:w="1845" w:type="dxa"/>
            <w:gridSpan w:val="2"/>
            <w:vAlign w:val="center"/>
          </w:tcPr>
          <w:p>
            <w:pPr>
              <w:widowControl/>
              <w:jc w:val="center"/>
              <w:textAlignment w:val="center"/>
              <w:rPr>
                <w:color w:val="auto"/>
                <w:vertAlign w:val="baseline"/>
              </w:rPr>
            </w:pPr>
            <w:r>
              <w:rPr>
                <w:rFonts w:hint="eastAsia" w:ascii="宋体" w:hAnsi="宋体" w:cs="宋体"/>
                <w:color w:val="auto"/>
                <w:kern w:val="0"/>
                <w:szCs w:val="21"/>
                <w:highlight w:val="none"/>
                <w:lang w:bidi="ar"/>
              </w:rPr>
              <w:t>数据接入、摆渡模块</w:t>
            </w:r>
          </w:p>
        </w:tc>
        <w:tc>
          <w:tcPr>
            <w:tcW w:w="555" w:type="dxa"/>
            <w:vAlign w:val="center"/>
          </w:tcPr>
          <w:p>
            <w:pPr>
              <w:widowControl/>
              <w:jc w:val="center"/>
              <w:textAlignment w:val="center"/>
              <w:rPr>
                <w:color w:val="auto"/>
                <w:vertAlign w:val="baseline"/>
              </w:rPr>
            </w:pPr>
            <w:r>
              <w:rPr>
                <w:rFonts w:hint="eastAsia" w:ascii="宋体" w:hAnsi="宋体" w:cs="宋体"/>
                <w:color w:val="auto"/>
                <w:kern w:val="0"/>
                <w:szCs w:val="21"/>
                <w:highlight w:val="none"/>
                <w:lang w:bidi="ar"/>
              </w:rPr>
              <w:t>2</w:t>
            </w:r>
          </w:p>
        </w:tc>
        <w:tc>
          <w:tcPr>
            <w:tcW w:w="510" w:type="dxa"/>
            <w:vAlign w:val="center"/>
          </w:tcPr>
          <w:p>
            <w:pPr>
              <w:widowControl/>
              <w:jc w:val="center"/>
              <w:textAlignment w:val="center"/>
              <w:rPr>
                <w:color w:val="auto"/>
                <w:vertAlign w:val="baseline"/>
              </w:rPr>
            </w:pPr>
            <w:r>
              <w:rPr>
                <w:rFonts w:hint="eastAsia" w:ascii="宋体" w:hAnsi="宋体" w:cs="宋体"/>
                <w:color w:val="auto"/>
                <w:kern w:val="0"/>
                <w:szCs w:val="21"/>
                <w:highlight w:val="none"/>
                <w:lang w:bidi="ar"/>
              </w:rPr>
              <w:t>套</w:t>
            </w:r>
          </w:p>
        </w:tc>
        <w:tc>
          <w:tcPr>
            <w:tcW w:w="9135" w:type="dxa"/>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1.支持通过1400及扩展协议、治安部标等协议摆渡级联抓拍（人体、人脸、车辆）、设备、档案、名单等数据。</w:t>
            </w:r>
          </w:p>
          <w:p>
            <w:pPr>
              <w:rPr>
                <w:color w:val="auto"/>
                <w:vertAlign w:val="baseline"/>
              </w:rPr>
            </w:pPr>
            <w:r>
              <w:rPr>
                <w:rFonts w:hint="eastAsia" w:ascii="宋体" w:hAnsi="宋体" w:eastAsia="宋体" w:cs="宋体"/>
                <w:color w:val="auto"/>
                <w:sz w:val="21"/>
                <w:szCs w:val="21"/>
                <w:highlight w:val="none"/>
              </w:rPr>
              <w:t>2.单套授权单日支持500W条大图/6000W条小图和1.5亿条无图的感知事件数据汇聚与发布任务。</w:t>
            </w:r>
          </w:p>
        </w:tc>
        <w:tc>
          <w:tcPr>
            <w:tcW w:w="1484" w:type="dxa"/>
            <w:vAlign w:val="center"/>
          </w:tcPr>
          <w:p>
            <w:pPr>
              <w:jc w:val="center"/>
              <w:rPr>
                <w:color w:val="auto"/>
                <w:vertAlign w:val="baseline"/>
              </w:rPr>
            </w:pPr>
            <w:r>
              <w:rPr>
                <w:rFonts w:hint="eastAsia" w:ascii="宋体" w:hAnsi="宋体" w:cs="宋体"/>
                <w:color w:val="auto"/>
                <w:szCs w:val="21"/>
                <w:highlight w:val="none"/>
              </w:rPr>
              <w:t>原有平台定制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Merge w:val="restart"/>
            <w:vAlign w:val="center"/>
          </w:tcPr>
          <w:p>
            <w:pPr>
              <w:widowControl/>
              <w:jc w:val="center"/>
              <w:textAlignment w:val="center"/>
              <w:rPr>
                <w:rFonts w:hint="default" w:ascii="宋体" w:hAnsi="宋体" w:eastAsia="宋体" w:cs="宋体"/>
                <w:color w:val="auto"/>
                <w:kern w:val="0"/>
                <w:szCs w:val="21"/>
                <w:highlight w:val="none"/>
                <w:lang w:val="en-US" w:eastAsia="zh-CN" w:bidi="ar"/>
              </w:rPr>
            </w:pPr>
            <w:r>
              <w:rPr>
                <w:rFonts w:hint="eastAsia" w:ascii="宋体" w:hAnsi="宋体" w:eastAsia="宋体" w:cs="宋体"/>
                <w:color w:val="auto"/>
                <w:kern w:val="0"/>
                <w:szCs w:val="21"/>
                <w:highlight w:val="none"/>
                <w:lang w:val="en-US" w:eastAsia="zh-CN" w:bidi="ar"/>
              </w:rPr>
              <w:t>3</w:t>
            </w:r>
          </w:p>
        </w:tc>
        <w:tc>
          <w:tcPr>
            <w:tcW w:w="855" w:type="dxa"/>
            <w:vMerge w:val="restart"/>
            <w:vAlign w:val="center"/>
          </w:tcPr>
          <w:p>
            <w:pPr>
              <w:widowControl/>
              <w:jc w:val="center"/>
              <w:textAlignment w:val="center"/>
              <w:rPr>
                <w:rFonts w:hint="eastAsia" w:ascii="宋体" w:hAnsi="宋体" w:eastAsia="宋体" w:cs="宋体"/>
                <w:color w:val="auto"/>
                <w:kern w:val="0"/>
                <w:szCs w:val="21"/>
                <w:highlight w:val="none"/>
                <w:lang w:val="en-US" w:eastAsia="zh-CN" w:bidi="ar"/>
              </w:rPr>
            </w:pPr>
            <w:r>
              <w:rPr>
                <w:rFonts w:hint="eastAsia" w:ascii="宋体" w:hAnsi="宋体" w:eastAsia="宋体" w:cs="宋体"/>
                <w:color w:val="auto"/>
                <w:kern w:val="0"/>
                <w:szCs w:val="21"/>
                <w:highlight w:val="none"/>
                <w:lang w:val="en-US" w:eastAsia="zh-CN" w:bidi="ar"/>
              </w:rPr>
              <w:t>原有大数据服务器扩容</w:t>
            </w:r>
          </w:p>
        </w:tc>
        <w:tc>
          <w:tcPr>
            <w:tcW w:w="990" w:type="dxa"/>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服务器改制</w:t>
            </w:r>
          </w:p>
        </w:tc>
        <w:tc>
          <w:tcPr>
            <w:tcW w:w="555" w:type="dxa"/>
            <w:vAlign w:val="center"/>
          </w:tcPr>
          <w:p>
            <w:pPr>
              <w:widowControl/>
              <w:jc w:val="center"/>
              <w:textAlignment w:val="center"/>
              <w:rPr>
                <w:color w:val="auto"/>
                <w:vertAlign w:val="baseline"/>
              </w:rPr>
            </w:pPr>
            <w:r>
              <w:rPr>
                <w:rFonts w:hint="eastAsia" w:ascii="宋体" w:hAnsi="宋体" w:cs="宋体"/>
                <w:color w:val="auto"/>
                <w:kern w:val="0"/>
                <w:szCs w:val="21"/>
                <w:highlight w:val="none"/>
                <w:lang w:bidi="ar"/>
              </w:rPr>
              <w:t>8</w:t>
            </w:r>
          </w:p>
        </w:tc>
        <w:tc>
          <w:tcPr>
            <w:tcW w:w="510" w:type="dxa"/>
            <w:vAlign w:val="center"/>
          </w:tcPr>
          <w:p>
            <w:pPr>
              <w:widowControl/>
              <w:jc w:val="center"/>
              <w:textAlignment w:val="center"/>
              <w:rPr>
                <w:color w:val="auto"/>
                <w:vertAlign w:val="baseline"/>
              </w:rPr>
            </w:pPr>
            <w:r>
              <w:rPr>
                <w:rFonts w:hint="eastAsia" w:ascii="宋体" w:hAnsi="宋体" w:cs="宋体"/>
                <w:color w:val="auto"/>
                <w:kern w:val="0"/>
                <w:szCs w:val="21"/>
                <w:highlight w:val="none"/>
                <w:lang w:bidi="ar"/>
              </w:rPr>
              <w:t>台</w:t>
            </w:r>
          </w:p>
        </w:tc>
        <w:tc>
          <w:tcPr>
            <w:tcW w:w="9135" w:type="dxa"/>
            <w:vAlign w:val="center"/>
          </w:tcPr>
          <w:p>
            <w:pPr>
              <w:rPr>
                <w:color w:val="auto"/>
                <w:vertAlign w:val="baseline"/>
              </w:rPr>
            </w:pPr>
            <w:r>
              <w:rPr>
                <w:rFonts w:hint="eastAsia" w:ascii="宋体" w:hAnsi="宋体" w:cs="宋体"/>
                <w:color w:val="auto"/>
                <w:szCs w:val="21"/>
                <w:highlight w:val="none"/>
              </w:rPr>
              <w:t>每台新增240G SSD系统盘*2（RAID_1) +2*960G  ssd + 2*4T sata</w:t>
            </w:r>
          </w:p>
        </w:tc>
        <w:tc>
          <w:tcPr>
            <w:tcW w:w="1484" w:type="dxa"/>
            <w:vAlign w:val="center"/>
          </w:tcPr>
          <w:p>
            <w:pPr>
              <w:jc w:val="center"/>
              <w:rPr>
                <w:color w:val="auto"/>
                <w:vertAlign w:val="baseline"/>
              </w:rPr>
            </w:pPr>
            <w:r>
              <w:rPr>
                <w:rFonts w:hint="eastAsia" w:ascii="宋体" w:hAnsi="宋体" w:cs="宋体"/>
                <w:color w:val="auto"/>
                <w:szCs w:val="21"/>
                <w:highlight w:val="none"/>
              </w:rPr>
              <w:t>原有服务器改制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Merge w:val="continue"/>
          </w:tcPr>
          <w:p>
            <w:pPr>
              <w:widowControl/>
              <w:jc w:val="center"/>
              <w:textAlignment w:val="center"/>
              <w:rPr>
                <w:rFonts w:hint="eastAsia" w:ascii="宋体" w:hAnsi="宋体" w:eastAsia="宋体" w:cs="宋体"/>
                <w:color w:val="auto"/>
                <w:kern w:val="0"/>
                <w:szCs w:val="21"/>
                <w:highlight w:val="none"/>
                <w:lang w:val="en-US" w:eastAsia="zh-CN" w:bidi="ar"/>
              </w:rPr>
            </w:pPr>
          </w:p>
        </w:tc>
        <w:tc>
          <w:tcPr>
            <w:tcW w:w="855" w:type="dxa"/>
            <w:vMerge w:val="continue"/>
          </w:tcPr>
          <w:p>
            <w:pPr>
              <w:widowControl/>
              <w:jc w:val="center"/>
              <w:textAlignment w:val="center"/>
              <w:rPr>
                <w:rFonts w:hint="eastAsia" w:ascii="宋体" w:hAnsi="宋体" w:eastAsia="宋体" w:cs="宋体"/>
                <w:color w:val="auto"/>
                <w:kern w:val="0"/>
                <w:szCs w:val="21"/>
                <w:highlight w:val="none"/>
                <w:lang w:val="en-US" w:eastAsia="zh-CN" w:bidi="ar"/>
              </w:rPr>
            </w:pPr>
          </w:p>
        </w:tc>
        <w:tc>
          <w:tcPr>
            <w:tcW w:w="990" w:type="dxa"/>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内部千兆交换机</w:t>
            </w:r>
          </w:p>
        </w:tc>
        <w:tc>
          <w:tcPr>
            <w:tcW w:w="555" w:type="dxa"/>
            <w:vAlign w:val="center"/>
          </w:tcPr>
          <w:p>
            <w:pPr>
              <w:widowControl/>
              <w:jc w:val="center"/>
              <w:textAlignment w:val="center"/>
              <w:rPr>
                <w:color w:val="auto"/>
                <w:vertAlign w:val="baseline"/>
              </w:rPr>
            </w:pPr>
            <w:r>
              <w:rPr>
                <w:rFonts w:hint="eastAsia" w:ascii="宋体" w:hAnsi="宋体" w:cs="宋体"/>
                <w:color w:val="auto"/>
                <w:kern w:val="0"/>
                <w:szCs w:val="21"/>
                <w:highlight w:val="none"/>
                <w:lang w:bidi="ar"/>
              </w:rPr>
              <w:t>1</w:t>
            </w:r>
          </w:p>
        </w:tc>
        <w:tc>
          <w:tcPr>
            <w:tcW w:w="510" w:type="dxa"/>
            <w:vAlign w:val="center"/>
          </w:tcPr>
          <w:p>
            <w:pPr>
              <w:widowControl/>
              <w:jc w:val="center"/>
              <w:textAlignment w:val="center"/>
              <w:rPr>
                <w:color w:val="auto"/>
                <w:vertAlign w:val="baseline"/>
              </w:rPr>
            </w:pPr>
            <w:r>
              <w:rPr>
                <w:rFonts w:hint="eastAsia" w:ascii="宋体" w:hAnsi="宋体" w:cs="宋体"/>
                <w:color w:val="auto"/>
                <w:kern w:val="0"/>
                <w:szCs w:val="21"/>
                <w:highlight w:val="none"/>
                <w:lang w:bidi="ar"/>
              </w:rPr>
              <w:t>台</w:t>
            </w:r>
          </w:p>
        </w:tc>
        <w:tc>
          <w:tcPr>
            <w:tcW w:w="9135" w:type="dxa"/>
            <w:vAlign w:val="center"/>
          </w:tcPr>
          <w:p>
            <w:pPr>
              <w:rPr>
                <w:rFonts w:ascii="宋体" w:hAnsi="宋体" w:cs="宋体"/>
                <w:color w:val="auto"/>
                <w:szCs w:val="21"/>
                <w:highlight w:val="none"/>
              </w:rPr>
            </w:pPr>
            <w:r>
              <w:rPr>
                <w:rFonts w:hint="eastAsia" w:ascii="宋体" w:hAnsi="宋体" w:cs="宋体"/>
                <w:color w:val="auto"/>
                <w:szCs w:val="21"/>
                <w:highlight w:val="none"/>
              </w:rPr>
              <w:t>不低于以下参数：</w:t>
            </w:r>
          </w:p>
          <w:p>
            <w:pPr>
              <w:rPr>
                <w:color w:val="auto"/>
                <w:vertAlign w:val="baseline"/>
              </w:rPr>
            </w:pPr>
            <w:r>
              <w:rPr>
                <w:rFonts w:hint="eastAsia" w:ascii="宋体" w:hAnsi="宋体" w:cs="宋体"/>
                <w:color w:val="auto"/>
                <w:szCs w:val="21"/>
                <w:highlight w:val="none"/>
              </w:rPr>
              <w:t>全网管三层交换机，机架式，24个千兆电口，8个复用的千兆SFP光口，4个万兆SFP+光口；1个业务扩展槽，2个电源模块槽位，2个风扇模块槽位，交换容量：756Gbps/7.56Tbps，包转发率：222Mpps/396Mpps，1U高度，19英寸宽，工作温度：0℃～45℃，支持交直流供电，满负荷功耗87W（单交流电源情况下）；支持RIP/OSPF/BGP/IS-IS/VRRP，IPv6，VLAN，流量控制，ACL，QoS，端口镜像，环网RRPP/ERPS、支持SNMP V1/V2c/V3网管。采用专业的内置防雷技术，支持10KV业务端口防雷能力</w:t>
            </w:r>
          </w:p>
        </w:tc>
        <w:tc>
          <w:tcPr>
            <w:tcW w:w="1484" w:type="dxa"/>
            <w:vAlign w:val="center"/>
          </w:tcPr>
          <w:p>
            <w:pPr>
              <w:jc w:val="center"/>
              <w:rPr>
                <w:color w:val="auto"/>
                <w:vertAlign w:val="baseline"/>
              </w:rPr>
            </w:pPr>
            <w:r>
              <w:rPr>
                <w:rFonts w:hint="eastAsia" w:ascii="宋体" w:hAnsi="宋体" w:cs="宋体"/>
                <w:color w:val="auto"/>
                <w:szCs w:val="21"/>
                <w:highlight w:val="none"/>
              </w:rPr>
              <w:t>海康，华三，华为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Merge w:val="continue"/>
          </w:tcPr>
          <w:p>
            <w:pPr>
              <w:pStyle w:val="521"/>
              <w:widowControl w:val="0"/>
              <w:numPr>
                <w:ilvl w:val="0"/>
                <w:numId w:val="0"/>
              </w:numPr>
              <w:adjustRightInd/>
              <w:jc w:val="both"/>
              <w:rPr>
                <w:color w:val="auto"/>
                <w:vertAlign w:val="baseline"/>
              </w:rPr>
            </w:pPr>
          </w:p>
        </w:tc>
        <w:tc>
          <w:tcPr>
            <w:tcW w:w="855" w:type="dxa"/>
            <w:vMerge w:val="continue"/>
          </w:tcPr>
          <w:p>
            <w:pPr>
              <w:pStyle w:val="521"/>
              <w:widowControl w:val="0"/>
              <w:numPr>
                <w:ilvl w:val="0"/>
                <w:numId w:val="0"/>
              </w:numPr>
              <w:adjustRightInd/>
              <w:jc w:val="both"/>
              <w:rPr>
                <w:color w:val="auto"/>
                <w:vertAlign w:val="baseline"/>
              </w:rPr>
            </w:pPr>
          </w:p>
        </w:tc>
        <w:tc>
          <w:tcPr>
            <w:tcW w:w="990" w:type="dxa"/>
            <w:vAlign w:val="center"/>
          </w:tcPr>
          <w:p>
            <w:pPr>
              <w:widowControl/>
              <w:jc w:val="center"/>
              <w:textAlignment w:val="center"/>
              <w:rPr>
                <w:color w:val="auto"/>
                <w:vertAlign w:val="baseline"/>
              </w:rPr>
            </w:pPr>
            <w:r>
              <w:rPr>
                <w:rFonts w:hint="eastAsia" w:ascii="宋体" w:hAnsi="宋体" w:cs="宋体"/>
                <w:color w:val="auto"/>
                <w:kern w:val="0"/>
                <w:szCs w:val="21"/>
                <w:highlight w:val="none"/>
                <w:lang w:bidi="ar"/>
              </w:rPr>
              <w:t>内部万兆交换机</w:t>
            </w:r>
          </w:p>
        </w:tc>
        <w:tc>
          <w:tcPr>
            <w:tcW w:w="555" w:type="dxa"/>
            <w:vAlign w:val="center"/>
          </w:tcPr>
          <w:p>
            <w:pPr>
              <w:widowControl/>
              <w:jc w:val="center"/>
              <w:textAlignment w:val="center"/>
              <w:rPr>
                <w:color w:val="auto"/>
                <w:vertAlign w:val="baseline"/>
              </w:rPr>
            </w:pPr>
            <w:r>
              <w:rPr>
                <w:rFonts w:hint="eastAsia" w:ascii="宋体" w:hAnsi="宋体" w:cs="宋体"/>
                <w:color w:val="auto"/>
                <w:kern w:val="0"/>
                <w:szCs w:val="21"/>
                <w:highlight w:val="none"/>
                <w:lang w:bidi="ar"/>
              </w:rPr>
              <w:t>1</w:t>
            </w:r>
          </w:p>
        </w:tc>
        <w:tc>
          <w:tcPr>
            <w:tcW w:w="510" w:type="dxa"/>
            <w:vAlign w:val="center"/>
          </w:tcPr>
          <w:p>
            <w:pPr>
              <w:widowControl/>
              <w:jc w:val="center"/>
              <w:textAlignment w:val="center"/>
              <w:rPr>
                <w:color w:val="auto"/>
                <w:vertAlign w:val="baseline"/>
              </w:rPr>
            </w:pPr>
            <w:r>
              <w:rPr>
                <w:rFonts w:hint="eastAsia" w:ascii="宋体" w:hAnsi="宋体" w:cs="宋体"/>
                <w:color w:val="auto"/>
                <w:kern w:val="0"/>
                <w:szCs w:val="21"/>
                <w:highlight w:val="none"/>
                <w:lang w:bidi="ar"/>
              </w:rPr>
              <w:t>台</w:t>
            </w:r>
          </w:p>
        </w:tc>
        <w:tc>
          <w:tcPr>
            <w:tcW w:w="9135" w:type="dxa"/>
            <w:vAlign w:val="center"/>
          </w:tcPr>
          <w:p>
            <w:pPr>
              <w:rPr>
                <w:rFonts w:ascii="宋体" w:hAnsi="宋体" w:cs="宋体"/>
                <w:color w:val="auto"/>
                <w:szCs w:val="21"/>
                <w:highlight w:val="none"/>
              </w:rPr>
            </w:pPr>
            <w:r>
              <w:rPr>
                <w:rFonts w:hint="eastAsia" w:ascii="宋体" w:hAnsi="宋体" w:cs="宋体"/>
                <w:color w:val="auto"/>
                <w:szCs w:val="21"/>
                <w:highlight w:val="none"/>
              </w:rPr>
              <w:t>不低于以下参数：</w:t>
            </w:r>
          </w:p>
          <w:p>
            <w:pPr>
              <w:rPr>
                <w:color w:val="auto"/>
                <w:vertAlign w:val="baseline"/>
              </w:rPr>
            </w:pPr>
            <w:r>
              <w:rPr>
                <w:rFonts w:hint="eastAsia" w:ascii="宋体" w:hAnsi="宋体" w:cs="宋体"/>
                <w:color w:val="auto"/>
                <w:szCs w:val="21"/>
                <w:highlight w:val="none"/>
              </w:rPr>
              <w:t>全网管三层交换机，机架式，24个1G/10G SFP+光接口，2个40G QSFP+光接口，1个console口，1个usb接口，1个带外管理网口；2个业务扩展槽，2个电源模块槽位，2个风扇模块槽位，交换容量：2.56Tbps/25.6Tbps，转发性能：720Mpps/1260Mpps，1U高度，19英寸宽，工作温度：0℃～45℃，支持交直流供电，满负荷功耗183W；支持RIP/OSPF/BGP/IS-IS/VRRP，IPv6，VLAN，流量控制，ACL，QoS，端口镜像，环网RRPP/ERPS、支持SNMP V1/V2c/V3网管</w:t>
            </w:r>
          </w:p>
        </w:tc>
        <w:tc>
          <w:tcPr>
            <w:tcW w:w="1484" w:type="dxa"/>
            <w:vAlign w:val="center"/>
          </w:tcPr>
          <w:p>
            <w:pPr>
              <w:jc w:val="center"/>
              <w:rPr>
                <w:color w:val="auto"/>
                <w:vertAlign w:val="baseline"/>
              </w:rPr>
            </w:pPr>
            <w:r>
              <w:rPr>
                <w:rFonts w:hint="eastAsia" w:ascii="宋体" w:hAnsi="宋体" w:cs="宋体"/>
                <w:color w:val="auto"/>
                <w:szCs w:val="21"/>
                <w:highlight w:val="none"/>
              </w:rPr>
              <w:t>海康，华三，华为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Merge w:val="continue"/>
          </w:tcPr>
          <w:p>
            <w:pPr>
              <w:pStyle w:val="521"/>
              <w:widowControl w:val="0"/>
              <w:numPr>
                <w:ilvl w:val="0"/>
                <w:numId w:val="0"/>
              </w:numPr>
              <w:adjustRightInd/>
              <w:jc w:val="both"/>
              <w:rPr>
                <w:color w:val="auto"/>
                <w:vertAlign w:val="baseline"/>
              </w:rPr>
            </w:pPr>
          </w:p>
        </w:tc>
        <w:tc>
          <w:tcPr>
            <w:tcW w:w="855" w:type="dxa"/>
            <w:vMerge w:val="continue"/>
          </w:tcPr>
          <w:p>
            <w:pPr>
              <w:pStyle w:val="521"/>
              <w:widowControl w:val="0"/>
              <w:numPr>
                <w:ilvl w:val="0"/>
                <w:numId w:val="0"/>
              </w:numPr>
              <w:adjustRightInd/>
              <w:jc w:val="both"/>
              <w:rPr>
                <w:color w:val="auto"/>
                <w:vertAlign w:val="baseline"/>
              </w:rPr>
            </w:pPr>
          </w:p>
        </w:tc>
        <w:tc>
          <w:tcPr>
            <w:tcW w:w="990" w:type="dxa"/>
            <w:vAlign w:val="center"/>
          </w:tcPr>
          <w:p>
            <w:pPr>
              <w:widowControl/>
              <w:jc w:val="center"/>
              <w:textAlignment w:val="center"/>
              <w:rPr>
                <w:rFonts w:hint="eastAsia" w:ascii="Times New Roman" w:hAnsi="Times New Roman" w:eastAsia="宋体" w:cs="Times New Roman"/>
                <w:color w:val="auto"/>
                <w:kern w:val="2"/>
                <w:sz w:val="21"/>
                <w:szCs w:val="24"/>
                <w:vertAlign w:val="baseline"/>
                <w:lang w:val="en-US" w:eastAsia="zh-CN" w:bidi="ar-SA"/>
              </w:rPr>
            </w:pPr>
            <w:r>
              <w:rPr>
                <w:rFonts w:hint="eastAsia" w:ascii="宋体" w:hAnsi="宋体" w:cs="宋体"/>
                <w:color w:val="auto"/>
                <w:kern w:val="0"/>
                <w:szCs w:val="21"/>
                <w:highlight w:val="none"/>
                <w:lang w:bidi="ar"/>
              </w:rPr>
              <w:t>光模块</w:t>
            </w:r>
          </w:p>
        </w:tc>
        <w:tc>
          <w:tcPr>
            <w:tcW w:w="555" w:type="dxa"/>
            <w:vAlign w:val="center"/>
          </w:tcPr>
          <w:p>
            <w:pPr>
              <w:widowControl/>
              <w:jc w:val="center"/>
              <w:textAlignment w:val="center"/>
              <w:rPr>
                <w:rFonts w:hint="eastAsia" w:ascii="Times New Roman" w:hAnsi="Times New Roman" w:eastAsia="宋体" w:cs="Times New Roman"/>
                <w:color w:val="auto"/>
                <w:kern w:val="2"/>
                <w:sz w:val="21"/>
                <w:szCs w:val="24"/>
                <w:vertAlign w:val="baseline"/>
                <w:lang w:val="en-US" w:eastAsia="zh-CN" w:bidi="ar-SA"/>
              </w:rPr>
            </w:pPr>
            <w:r>
              <w:rPr>
                <w:rFonts w:hint="eastAsia" w:ascii="宋体" w:hAnsi="宋体" w:cs="宋体"/>
                <w:color w:val="auto"/>
                <w:kern w:val="0"/>
                <w:szCs w:val="21"/>
                <w:highlight w:val="none"/>
                <w:lang w:bidi="ar"/>
              </w:rPr>
              <w:t>18</w:t>
            </w:r>
          </w:p>
        </w:tc>
        <w:tc>
          <w:tcPr>
            <w:tcW w:w="510" w:type="dxa"/>
            <w:vAlign w:val="center"/>
          </w:tcPr>
          <w:p>
            <w:pPr>
              <w:widowControl/>
              <w:jc w:val="center"/>
              <w:textAlignment w:val="center"/>
              <w:rPr>
                <w:rFonts w:hint="eastAsia" w:ascii="Times New Roman" w:hAnsi="Times New Roman" w:eastAsia="宋体" w:cs="Times New Roman"/>
                <w:color w:val="auto"/>
                <w:kern w:val="2"/>
                <w:sz w:val="21"/>
                <w:szCs w:val="24"/>
                <w:vertAlign w:val="baseline"/>
                <w:lang w:val="en-US" w:eastAsia="zh-CN" w:bidi="ar-SA"/>
              </w:rPr>
            </w:pPr>
            <w:r>
              <w:rPr>
                <w:rFonts w:hint="eastAsia" w:ascii="宋体" w:hAnsi="宋体" w:cs="宋体"/>
                <w:color w:val="auto"/>
                <w:kern w:val="0"/>
                <w:szCs w:val="21"/>
                <w:highlight w:val="none"/>
                <w:lang w:bidi="ar"/>
              </w:rPr>
              <w:t>个</w:t>
            </w:r>
          </w:p>
        </w:tc>
        <w:tc>
          <w:tcPr>
            <w:tcW w:w="9135" w:type="dxa"/>
            <w:vAlign w:val="center"/>
          </w:tcPr>
          <w:p>
            <w:pPr>
              <w:rPr>
                <w:rFonts w:ascii="宋体" w:hAnsi="宋体" w:cs="宋体"/>
                <w:color w:val="auto"/>
                <w:szCs w:val="21"/>
                <w:highlight w:val="none"/>
              </w:rPr>
            </w:pPr>
            <w:r>
              <w:rPr>
                <w:rFonts w:hint="eastAsia" w:ascii="宋体" w:hAnsi="宋体" w:cs="宋体"/>
                <w:color w:val="auto"/>
                <w:szCs w:val="21"/>
                <w:highlight w:val="none"/>
              </w:rPr>
              <w:t>万兆多模双纤光模块</w:t>
            </w:r>
          </w:p>
          <w:p>
            <w:pPr>
              <w:rPr>
                <w:rFonts w:ascii="宋体" w:hAnsi="宋体" w:cs="宋体"/>
                <w:color w:val="auto"/>
                <w:szCs w:val="21"/>
                <w:highlight w:val="none"/>
              </w:rPr>
            </w:pPr>
            <w:r>
              <w:rPr>
                <w:rFonts w:hint="eastAsia" w:ascii="宋体" w:hAnsi="宋体" w:cs="宋体"/>
                <w:color w:val="auto"/>
                <w:szCs w:val="21"/>
                <w:highlight w:val="none"/>
              </w:rPr>
              <w:t>TX850nm/10G</w:t>
            </w:r>
          </w:p>
          <w:p>
            <w:pPr>
              <w:rPr>
                <w:rFonts w:ascii="宋体" w:hAnsi="宋体" w:cs="宋体"/>
                <w:color w:val="auto"/>
                <w:szCs w:val="21"/>
                <w:highlight w:val="none"/>
              </w:rPr>
            </w:pPr>
            <w:r>
              <w:rPr>
                <w:rFonts w:hint="eastAsia" w:ascii="宋体" w:hAnsi="宋体" w:cs="宋体"/>
                <w:color w:val="auto"/>
                <w:szCs w:val="21"/>
                <w:highlight w:val="none"/>
              </w:rPr>
              <w:t>RX850nm/10G</w:t>
            </w:r>
          </w:p>
          <w:p>
            <w:pPr>
              <w:rPr>
                <w:rFonts w:ascii="宋体" w:hAnsi="宋体" w:cs="宋体"/>
                <w:color w:val="auto"/>
                <w:szCs w:val="21"/>
                <w:highlight w:val="none"/>
              </w:rPr>
            </w:pPr>
            <w:r>
              <w:rPr>
                <w:rFonts w:hint="eastAsia" w:ascii="宋体" w:hAnsi="宋体" w:cs="宋体"/>
                <w:color w:val="auto"/>
                <w:szCs w:val="21"/>
                <w:highlight w:val="none"/>
              </w:rPr>
              <w:t>LC</w:t>
            </w:r>
          </w:p>
          <w:p>
            <w:pPr>
              <w:rPr>
                <w:rFonts w:ascii="宋体" w:hAnsi="宋体" w:cs="宋体"/>
                <w:color w:val="auto"/>
                <w:szCs w:val="21"/>
                <w:highlight w:val="none"/>
              </w:rPr>
            </w:pPr>
            <w:r>
              <w:rPr>
                <w:rFonts w:hint="eastAsia" w:ascii="宋体" w:hAnsi="宋体" w:cs="宋体"/>
                <w:color w:val="auto"/>
                <w:szCs w:val="21"/>
                <w:highlight w:val="none"/>
              </w:rPr>
              <w:t>多模双纤双向</w:t>
            </w:r>
          </w:p>
          <w:p>
            <w:pPr>
              <w:rPr>
                <w:rFonts w:ascii="宋体" w:hAnsi="宋体" w:cs="宋体"/>
                <w:color w:val="auto"/>
                <w:szCs w:val="21"/>
                <w:highlight w:val="none"/>
              </w:rPr>
            </w:pPr>
            <w:r>
              <w:rPr>
                <w:rFonts w:hint="eastAsia" w:ascii="宋体" w:hAnsi="宋体" w:cs="宋体"/>
                <w:color w:val="auto"/>
                <w:szCs w:val="21"/>
                <w:highlight w:val="none"/>
              </w:rPr>
              <w:t>距离300m</w:t>
            </w:r>
          </w:p>
          <w:p>
            <w:pPr>
              <w:rPr>
                <w:rFonts w:ascii="宋体" w:hAnsi="宋体" w:cs="宋体"/>
                <w:color w:val="auto"/>
                <w:szCs w:val="21"/>
                <w:highlight w:val="none"/>
              </w:rPr>
            </w:pPr>
            <w:r>
              <w:rPr>
                <w:rFonts w:hint="eastAsia" w:ascii="宋体" w:hAnsi="宋体" w:cs="宋体"/>
                <w:color w:val="auto"/>
                <w:szCs w:val="21"/>
                <w:highlight w:val="none"/>
              </w:rPr>
              <w:t>0～70℃</w:t>
            </w:r>
          </w:p>
          <w:p>
            <w:pPr>
              <w:rPr>
                <w:rFonts w:ascii="宋体" w:hAnsi="宋体" w:cs="宋体"/>
                <w:color w:val="auto"/>
                <w:szCs w:val="21"/>
                <w:highlight w:val="none"/>
              </w:rPr>
            </w:pPr>
            <w:r>
              <w:rPr>
                <w:rFonts w:hint="eastAsia" w:ascii="宋体" w:hAnsi="宋体" w:cs="宋体"/>
                <w:color w:val="auto"/>
                <w:szCs w:val="21"/>
                <w:highlight w:val="none"/>
              </w:rPr>
              <w:t>SFP</w:t>
            </w:r>
          </w:p>
          <w:p>
            <w:pPr>
              <w:rPr>
                <w:rFonts w:ascii="宋体" w:hAnsi="宋体" w:cs="宋体"/>
                <w:color w:val="auto"/>
                <w:szCs w:val="21"/>
                <w:highlight w:val="none"/>
              </w:rPr>
            </w:pPr>
            <w:r>
              <w:rPr>
                <w:rFonts w:hint="eastAsia" w:ascii="宋体" w:hAnsi="宋体" w:cs="宋体"/>
                <w:color w:val="auto"/>
                <w:szCs w:val="21"/>
                <w:highlight w:val="none"/>
              </w:rPr>
              <w:t>发射光功率:-6.5～-1dBm</w:t>
            </w:r>
          </w:p>
          <w:p>
            <w:pPr>
              <w:rPr>
                <w:rFonts w:hint="eastAsia" w:ascii="Times New Roman" w:hAnsi="Times New Roman" w:eastAsia="宋体" w:cs="Times New Roman"/>
                <w:color w:val="auto"/>
                <w:kern w:val="2"/>
                <w:sz w:val="21"/>
                <w:szCs w:val="24"/>
                <w:vertAlign w:val="baseline"/>
                <w:lang w:val="en-US" w:eastAsia="zh-CN" w:bidi="ar-SA"/>
              </w:rPr>
            </w:pPr>
            <w:r>
              <w:rPr>
                <w:rFonts w:hint="eastAsia" w:ascii="宋体" w:hAnsi="宋体" w:cs="宋体"/>
                <w:color w:val="auto"/>
                <w:szCs w:val="21"/>
                <w:highlight w:val="none"/>
              </w:rPr>
              <w:t>接收灵敏度（低值）:-11dBm</w:t>
            </w:r>
          </w:p>
        </w:tc>
        <w:tc>
          <w:tcPr>
            <w:tcW w:w="1484" w:type="dxa"/>
            <w:vAlign w:val="center"/>
          </w:tcPr>
          <w:p>
            <w:pPr>
              <w:jc w:val="center"/>
              <w:rPr>
                <w:rFonts w:hint="eastAsia" w:ascii="Times New Roman" w:hAnsi="Times New Roman" w:eastAsia="宋体" w:cs="Times New Roman"/>
                <w:color w:val="auto"/>
                <w:kern w:val="2"/>
                <w:sz w:val="21"/>
                <w:szCs w:val="24"/>
                <w:vertAlign w:val="baseline"/>
                <w:lang w:val="en-US" w:eastAsia="zh-CN" w:bidi="ar-SA"/>
              </w:rPr>
            </w:pPr>
            <w:r>
              <w:rPr>
                <w:rFonts w:hint="eastAsia" w:ascii="宋体" w:hAnsi="宋体" w:cs="宋体"/>
                <w:color w:val="auto"/>
                <w:szCs w:val="21"/>
                <w:highlight w:val="none"/>
              </w:rPr>
              <w:t>海康，华三，华为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Merge w:val="continue"/>
          </w:tcPr>
          <w:p>
            <w:pPr>
              <w:pStyle w:val="521"/>
              <w:widowControl w:val="0"/>
              <w:numPr>
                <w:ilvl w:val="0"/>
                <w:numId w:val="0"/>
              </w:numPr>
              <w:adjustRightInd/>
              <w:jc w:val="both"/>
              <w:rPr>
                <w:color w:val="auto"/>
                <w:vertAlign w:val="baseline"/>
              </w:rPr>
            </w:pPr>
          </w:p>
        </w:tc>
        <w:tc>
          <w:tcPr>
            <w:tcW w:w="855" w:type="dxa"/>
            <w:vMerge w:val="continue"/>
          </w:tcPr>
          <w:p>
            <w:pPr>
              <w:pStyle w:val="521"/>
              <w:widowControl w:val="0"/>
              <w:numPr>
                <w:ilvl w:val="0"/>
                <w:numId w:val="0"/>
              </w:numPr>
              <w:adjustRightInd/>
              <w:jc w:val="both"/>
              <w:rPr>
                <w:color w:val="auto"/>
                <w:vertAlign w:val="baseline"/>
              </w:rPr>
            </w:pPr>
          </w:p>
        </w:tc>
        <w:tc>
          <w:tcPr>
            <w:tcW w:w="990" w:type="dxa"/>
            <w:vAlign w:val="center"/>
          </w:tcPr>
          <w:p>
            <w:pPr>
              <w:widowControl/>
              <w:jc w:val="center"/>
              <w:textAlignment w:val="center"/>
              <w:rPr>
                <w:color w:val="auto"/>
                <w:vertAlign w:val="baseline"/>
              </w:rPr>
            </w:pPr>
            <w:r>
              <w:rPr>
                <w:rFonts w:hint="eastAsia" w:ascii="宋体" w:hAnsi="宋体" w:cs="宋体"/>
                <w:color w:val="auto"/>
                <w:kern w:val="0"/>
                <w:szCs w:val="21"/>
                <w:highlight w:val="none"/>
                <w:lang w:bidi="ar"/>
              </w:rPr>
              <w:t>感知数据模块</w:t>
            </w:r>
          </w:p>
        </w:tc>
        <w:tc>
          <w:tcPr>
            <w:tcW w:w="555" w:type="dxa"/>
            <w:vAlign w:val="center"/>
          </w:tcPr>
          <w:p>
            <w:pPr>
              <w:widowControl/>
              <w:jc w:val="center"/>
              <w:textAlignment w:val="center"/>
              <w:rPr>
                <w:color w:val="auto"/>
                <w:vertAlign w:val="baseline"/>
              </w:rPr>
            </w:pPr>
            <w:r>
              <w:rPr>
                <w:rFonts w:hint="eastAsia" w:ascii="宋体" w:hAnsi="宋体" w:cs="宋体"/>
                <w:color w:val="auto"/>
                <w:kern w:val="0"/>
                <w:szCs w:val="21"/>
                <w:highlight w:val="none"/>
                <w:lang w:bidi="ar"/>
              </w:rPr>
              <w:t>8</w:t>
            </w:r>
          </w:p>
        </w:tc>
        <w:tc>
          <w:tcPr>
            <w:tcW w:w="510" w:type="dxa"/>
            <w:vAlign w:val="center"/>
          </w:tcPr>
          <w:p>
            <w:pPr>
              <w:widowControl/>
              <w:jc w:val="center"/>
              <w:textAlignment w:val="center"/>
              <w:rPr>
                <w:color w:val="auto"/>
                <w:vertAlign w:val="baseline"/>
              </w:rPr>
            </w:pPr>
            <w:r>
              <w:rPr>
                <w:rFonts w:hint="eastAsia" w:ascii="宋体" w:hAnsi="宋体" w:cs="宋体"/>
                <w:color w:val="auto"/>
                <w:kern w:val="0"/>
                <w:szCs w:val="21"/>
                <w:highlight w:val="none"/>
                <w:lang w:bidi="ar"/>
              </w:rPr>
              <w:t>套</w:t>
            </w:r>
          </w:p>
        </w:tc>
        <w:tc>
          <w:tcPr>
            <w:tcW w:w="9135" w:type="dxa"/>
            <w:vAlign w:val="center"/>
          </w:tcPr>
          <w:p>
            <w:pPr>
              <w:rPr>
                <w:color w:val="auto"/>
                <w:vertAlign w:val="baseline"/>
              </w:rPr>
            </w:pPr>
            <w:r>
              <w:rPr>
                <w:rFonts w:hint="eastAsia" w:ascii="宋体" w:hAnsi="宋体" w:cs="宋体"/>
                <w:color w:val="auto"/>
                <w:szCs w:val="21"/>
                <w:highlight w:val="none"/>
              </w:rPr>
              <w:t>感知数据服务软件提供名单治理功能；提供感知数据接入、存储、查询、修改等功能；提供人人同行、人人同乘、人人跟随、人员落脚点、人员活跃时段、人员活跃区域、车辆经停点等单维度感知数据关联关系的计算分析，结果、明细数据查询功能。</w:t>
            </w:r>
          </w:p>
        </w:tc>
        <w:tc>
          <w:tcPr>
            <w:tcW w:w="1484" w:type="dxa"/>
            <w:vAlign w:val="center"/>
          </w:tcPr>
          <w:p>
            <w:pPr>
              <w:jc w:val="center"/>
              <w:rPr>
                <w:color w:val="auto"/>
                <w:vertAlign w:val="baseline"/>
              </w:rPr>
            </w:pPr>
            <w:r>
              <w:rPr>
                <w:rFonts w:hint="eastAsia" w:ascii="宋体" w:hAnsi="宋体" w:cs="宋体"/>
                <w:color w:val="auto"/>
                <w:szCs w:val="21"/>
                <w:highlight w:val="none"/>
              </w:rPr>
              <w:t>原有平台定制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Merge w:val="continue"/>
          </w:tcPr>
          <w:p>
            <w:pPr>
              <w:pStyle w:val="521"/>
              <w:widowControl w:val="0"/>
              <w:numPr>
                <w:ilvl w:val="0"/>
                <w:numId w:val="0"/>
              </w:numPr>
              <w:adjustRightInd/>
              <w:jc w:val="both"/>
              <w:rPr>
                <w:color w:val="auto"/>
                <w:vertAlign w:val="baseline"/>
              </w:rPr>
            </w:pPr>
          </w:p>
        </w:tc>
        <w:tc>
          <w:tcPr>
            <w:tcW w:w="855" w:type="dxa"/>
            <w:vMerge w:val="continue"/>
          </w:tcPr>
          <w:p>
            <w:pPr>
              <w:pStyle w:val="521"/>
              <w:widowControl w:val="0"/>
              <w:numPr>
                <w:ilvl w:val="0"/>
                <w:numId w:val="0"/>
              </w:numPr>
              <w:adjustRightInd/>
              <w:jc w:val="both"/>
              <w:rPr>
                <w:color w:val="auto"/>
                <w:vertAlign w:val="baseline"/>
              </w:rPr>
            </w:pPr>
          </w:p>
        </w:tc>
        <w:tc>
          <w:tcPr>
            <w:tcW w:w="990" w:type="dxa"/>
            <w:vAlign w:val="center"/>
          </w:tcPr>
          <w:p>
            <w:pPr>
              <w:widowControl/>
              <w:jc w:val="center"/>
              <w:textAlignment w:val="center"/>
              <w:rPr>
                <w:color w:val="auto"/>
                <w:vertAlign w:val="baseline"/>
              </w:rPr>
            </w:pPr>
            <w:r>
              <w:rPr>
                <w:rFonts w:hint="eastAsia" w:ascii="宋体" w:hAnsi="宋体" w:cs="宋体"/>
                <w:color w:val="auto"/>
                <w:kern w:val="0"/>
                <w:szCs w:val="21"/>
                <w:highlight w:val="none"/>
                <w:lang w:bidi="ar"/>
              </w:rPr>
              <w:t>大数据基础平台</w:t>
            </w:r>
          </w:p>
        </w:tc>
        <w:tc>
          <w:tcPr>
            <w:tcW w:w="555" w:type="dxa"/>
            <w:vAlign w:val="center"/>
          </w:tcPr>
          <w:p>
            <w:pPr>
              <w:widowControl/>
              <w:jc w:val="center"/>
              <w:textAlignment w:val="center"/>
              <w:rPr>
                <w:color w:val="auto"/>
                <w:vertAlign w:val="baseline"/>
              </w:rPr>
            </w:pPr>
            <w:r>
              <w:rPr>
                <w:rFonts w:hint="eastAsia" w:ascii="宋体" w:hAnsi="宋体" w:cs="宋体"/>
                <w:color w:val="auto"/>
                <w:kern w:val="0"/>
                <w:szCs w:val="21"/>
                <w:highlight w:val="none"/>
                <w:lang w:bidi="ar"/>
              </w:rPr>
              <w:t>1</w:t>
            </w:r>
          </w:p>
        </w:tc>
        <w:tc>
          <w:tcPr>
            <w:tcW w:w="510" w:type="dxa"/>
            <w:vAlign w:val="center"/>
          </w:tcPr>
          <w:p>
            <w:pPr>
              <w:widowControl/>
              <w:jc w:val="center"/>
              <w:textAlignment w:val="center"/>
              <w:rPr>
                <w:color w:val="auto"/>
                <w:vertAlign w:val="baseline"/>
              </w:rPr>
            </w:pPr>
            <w:r>
              <w:rPr>
                <w:rFonts w:hint="eastAsia" w:ascii="宋体" w:hAnsi="宋体" w:cs="宋体"/>
                <w:color w:val="auto"/>
                <w:kern w:val="0"/>
                <w:szCs w:val="21"/>
                <w:highlight w:val="none"/>
                <w:lang w:bidi="ar"/>
              </w:rPr>
              <w:t>套</w:t>
            </w:r>
          </w:p>
        </w:tc>
        <w:tc>
          <w:tcPr>
            <w:tcW w:w="9135" w:type="dxa"/>
            <w:vAlign w:val="center"/>
          </w:tcPr>
          <w:p>
            <w:pPr>
              <w:tabs>
                <w:tab w:val="left" w:pos="1210"/>
              </w:tabs>
              <w:rPr>
                <w:color w:val="auto"/>
                <w:vertAlign w:val="baseline"/>
              </w:rPr>
            </w:pPr>
            <w:r>
              <w:rPr>
                <w:rFonts w:hint="eastAsia" w:ascii="宋体" w:hAnsi="宋体" w:cs="宋体"/>
                <w:color w:val="auto"/>
                <w:szCs w:val="21"/>
                <w:highlight w:val="none"/>
              </w:rPr>
              <w:t>提供基础大数据HBP能力；</w:t>
            </w:r>
          </w:p>
        </w:tc>
        <w:tc>
          <w:tcPr>
            <w:tcW w:w="1484" w:type="dxa"/>
            <w:vAlign w:val="center"/>
          </w:tcPr>
          <w:p>
            <w:pPr>
              <w:jc w:val="center"/>
              <w:rPr>
                <w:color w:val="auto"/>
                <w:vertAlign w:val="baseline"/>
              </w:rPr>
            </w:pPr>
            <w:r>
              <w:rPr>
                <w:rFonts w:hint="eastAsia" w:ascii="宋体" w:hAnsi="宋体" w:cs="宋体"/>
                <w:color w:val="auto"/>
                <w:szCs w:val="21"/>
                <w:highlight w:val="none"/>
              </w:rPr>
              <w:t>原有平台定制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Merge w:val="continue"/>
          </w:tcPr>
          <w:p>
            <w:pPr>
              <w:pStyle w:val="521"/>
              <w:widowControl w:val="0"/>
              <w:numPr>
                <w:ilvl w:val="0"/>
                <w:numId w:val="0"/>
              </w:numPr>
              <w:adjustRightInd/>
              <w:jc w:val="both"/>
              <w:rPr>
                <w:color w:val="auto"/>
                <w:vertAlign w:val="baseline"/>
              </w:rPr>
            </w:pPr>
          </w:p>
        </w:tc>
        <w:tc>
          <w:tcPr>
            <w:tcW w:w="855" w:type="dxa"/>
            <w:vMerge w:val="continue"/>
          </w:tcPr>
          <w:p>
            <w:pPr>
              <w:pStyle w:val="521"/>
              <w:widowControl w:val="0"/>
              <w:numPr>
                <w:ilvl w:val="0"/>
                <w:numId w:val="0"/>
              </w:numPr>
              <w:adjustRightInd/>
              <w:jc w:val="both"/>
              <w:rPr>
                <w:color w:val="auto"/>
                <w:vertAlign w:val="baseline"/>
              </w:rPr>
            </w:pPr>
          </w:p>
        </w:tc>
        <w:tc>
          <w:tcPr>
            <w:tcW w:w="990" w:type="dxa"/>
            <w:vAlign w:val="center"/>
          </w:tcPr>
          <w:p>
            <w:pPr>
              <w:widowControl/>
              <w:jc w:val="center"/>
              <w:textAlignment w:val="center"/>
              <w:rPr>
                <w:color w:val="auto"/>
                <w:vertAlign w:val="baseline"/>
              </w:rPr>
            </w:pPr>
            <w:r>
              <w:rPr>
                <w:rFonts w:hint="eastAsia" w:ascii="宋体" w:hAnsi="宋体" w:cs="宋体"/>
                <w:color w:val="auto"/>
                <w:kern w:val="0"/>
                <w:szCs w:val="21"/>
                <w:highlight w:val="none"/>
                <w:lang w:bidi="ar"/>
              </w:rPr>
              <w:t>比对库、预分类库升级</w:t>
            </w:r>
          </w:p>
        </w:tc>
        <w:tc>
          <w:tcPr>
            <w:tcW w:w="555" w:type="dxa"/>
            <w:vAlign w:val="center"/>
          </w:tcPr>
          <w:p>
            <w:pPr>
              <w:widowControl/>
              <w:jc w:val="center"/>
              <w:textAlignment w:val="center"/>
              <w:rPr>
                <w:color w:val="auto"/>
                <w:vertAlign w:val="baseline"/>
              </w:rPr>
            </w:pPr>
            <w:r>
              <w:rPr>
                <w:rFonts w:hint="eastAsia" w:ascii="宋体" w:hAnsi="宋体" w:cs="宋体"/>
                <w:color w:val="auto"/>
                <w:kern w:val="0"/>
                <w:szCs w:val="21"/>
                <w:highlight w:val="none"/>
                <w:lang w:bidi="ar"/>
              </w:rPr>
              <w:t>0.5</w:t>
            </w:r>
          </w:p>
        </w:tc>
        <w:tc>
          <w:tcPr>
            <w:tcW w:w="510" w:type="dxa"/>
            <w:vAlign w:val="center"/>
          </w:tcPr>
          <w:p>
            <w:pPr>
              <w:widowControl/>
              <w:jc w:val="center"/>
              <w:textAlignment w:val="center"/>
              <w:rPr>
                <w:color w:val="auto"/>
                <w:vertAlign w:val="baseline"/>
              </w:rPr>
            </w:pPr>
            <w:r>
              <w:rPr>
                <w:rFonts w:hint="eastAsia" w:ascii="宋体" w:hAnsi="宋体" w:cs="宋体"/>
                <w:color w:val="auto"/>
                <w:kern w:val="0"/>
                <w:szCs w:val="21"/>
                <w:highlight w:val="none"/>
                <w:lang w:bidi="ar"/>
              </w:rPr>
              <w:t>套</w:t>
            </w:r>
          </w:p>
        </w:tc>
        <w:tc>
          <w:tcPr>
            <w:tcW w:w="9135" w:type="dxa"/>
            <w:vAlign w:val="center"/>
          </w:tcPr>
          <w:p>
            <w:pPr>
              <w:rPr>
                <w:color w:val="auto"/>
                <w:vertAlign w:val="baseline"/>
              </w:rPr>
            </w:pPr>
            <w:r>
              <w:rPr>
                <w:rFonts w:hint="eastAsia" w:ascii="宋体" w:hAnsi="宋体" w:cs="宋体"/>
                <w:color w:val="auto"/>
                <w:szCs w:val="21"/>
                <w:highlight w:val="none"/>
              </w:rPr>
              <w:t>支持比对库和预分类库</w:t>
            </w:r>
          </w:p>
        </w:tc>
        <w:tc>
          <w:tcPr>
            <w:tcW w:w="1484" w:type="dxa"/>
            <w:vAlign w:val="center"/>
          </w:tcPr>
          <w:p>
            <w:pPr>
              <w:jc w:val="center"/>
              <w:rPr>
                <w:color w:val="auto"/>
                <w:vertAlign w:val="baseline"/>
              </w:rPr>
            </w:pPr>
            <w:r>
              <w:rPr>
                <w:rFonts w:hint="eastAsia" w:ascii="宋体" w:hAnsi="宋体" w:cs="宋体"/>
                <w:color w:val="auto"/>
                <w:szCs w:val="21"/>
                <w:highlight w:val="none"/>
              </w:rPr>
              <w:t>原有平台定制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Align w:val="center"/>
          </w:tcPr>
          <w:p>
            <w:pPr>
              <w:widowControl/>
              <w:jc w:val="center"/>
              <w:textAlignment w:val="center"/>
              <w:rPr>
                <w:rFonts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4</w:t>
            </w:r>
          </w:p>
        </w:tc>
        <w:tc>
          <w:tcPr>
            <w:tcW w:w="1845" w:type="dxa"/>
            <w:gridSpan w:val="2"/>
            <w:vAlign w:val="center"/>
          </w:tcPr>
          <w:p>
            <w:pPr>
              <w:widowControl/>
              <w:jc w:val="center"/>
              <w:textAlignment w:val="center"/>
              <w:rPr>
                <w:rFonts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以图搜图应用节点</w:t>
            </w:r>
          </w:p>
        </w:tc>
        <w:tc>
          <w:tcPr>
            <w:tcW w:w="555" w:type="dxa"/>
            <w:vAlign w:val="center"/>
          </w:tcPr>
          <w:p>
            <w:pPr>
              <w:widowControl/>
              <w:jc w:val="center"/>
              <w:textAlignment w:val="center"/>
              <w:rPr>
                <w:rFonts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1</w:t>
            </w:r>
          </w:p>
        </w:tc>
        <w:tc>
          <w:tcPr>
            <w:tcW w:w="510" w:type="dxa"/>
            <w:vAlign w:val="center"/>
          </w:tcPr>
          <w:p>
            <w:pPr>
              <w:widowControl/>
              <w:jc w:val="center"/>
              <w:textAlignment w:val="center"/>
              <w:rPr>
                <w:rFonts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台</w:t>
            </w:r>
          </w:p>
        </w:tc>
        <w:tc>
          <w:tcPr>
            <w:tcW w:w="9135" w:type="dxa"/>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1、2U机架式服务器</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2、配置≥1颗国产X86 CPU，每颗CPU核心数≥24核，每颗CPU主频≥2.2GHz，提供国产x86处理器原厂证明函。</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3、配置≥8*32G 内存，支持≥32个内存插槽，最大可支持4TB内存容量，支持内存ECC保护、内存镜像、内存热备</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4、配置≥1*240G SSD 硬盘，≥4*480G SSD 硬盘，≥1*4T SATA 硬盘，支持≥12个前置热插拔3.5硬盘，支持≥4个后置热插拔2.5寸硬盘位;板载支持≥4个U.2 NVMe SSD，不需PCIe转接卡；板载可支持≥2个内置M.2 SSD, 可同时支持1个PCIe M.2和1个SATA M.2；</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5、配置≥8口SAS卡</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6、配置≥2张2560 CUDA 16G显存 75W 320Gb/s存储带宽图形加速器，最大支持8块</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7、配置≥1*双口千兆电口，支持NCSI、网络唤醒，网络冗余，负载均衡等网络高级特性</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8、支持≥10个PCI-E 3.0插槽</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9、主板支持2个SD卡槽，可实现存储BMC日志</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10、配置热插拔高速系统风扇和电源</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11、支持TCM和TPM安全模块，为符合安全等保可信计算要求，所投机型通过可信计算3.0认证。</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12、支持离线光诊断功能，可断电环境下诊断主板关键信息故障；黑匣子日志、故障截屏、开机自检代码，有效判断分析软硬件故障</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13、要求所投机型Unixbench 单核性能≥1800，多核性能≥16500；</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★15、配置同品牌数据保护功能模块和同品牌基于数据护的加密模块，</w:t>
            </w:r>
            <w:r>
              <w:rPr>
                <w:rFonts w:hint="eastAsia" w:ascii="宋体" w:hAnsi="宋体" w:cs="宋体"/>
                <w:color w:val="auto"/>
                <w:sz w:val="21"/>
                <w:szCs w:val="21"/>
                <w:highlight w:val="none"/>
                <w:lang w:val="en-US" w:eastAsia="zh-CN"/>
              </w:rPr>
              <w:t>投标文件中</w:t>
            </w:r>
            <w:r>
              <w:rPr>
                <w:rFonts w:hint="eastAsia" w:ascii="宋体" w:hAnsi="宋体" w:eastAsia="宋体" w:cs="宋体"/>
                <w:color w:val="auto"/>
                <w:sz w:val="21"/>
                <w:szCs w:val="21"/>
                <w:highlight w:val="none"/>
              </w:rPr>
              <w:t>提供功能截图；</w:t>
            </w:r>
          </w:p>
          <w:p>
            <w:pPr>
              <w:rPr>
                <w:rFonts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16、3年原厂整机质保和硬盘不返还服务，中标后提供原厂项目授权函，原厂服务承诺函。</w:t>
            </w:r>
          </w:p>
        </w:tc>
        <w:tc>
          <w:tcPr>
            <w:tcW w:w="1484" w:type="dxa"/>
            <w:vAlign w:val="center"/>
          </w:tcPr>
          <w:p>
            <w:pPr>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中科可控、海康、联想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Align w:val="center"/>
          </w:tcPr>
          <w:p>
            <w:pPr>
              <w:widowControl/>
              <w:jc w:val="center"/>
              <w:textAlignment w:val="center"/>
              <w:rPr>
                <w:rFonts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5</w:t>
            </w:r>
          </w:p>
        </w:tc>
        <w:tc>
          <w:tcPr>
            <w:tcW w:w="1845" w:type="dxa"/>
            <w:gridSpan w:val="2"/>
            <w:vAlign w:val="center"/>
          </w:tcPr>
          <w:p>
            <w:pPr>
              <w:widowControl/>
              <w:jc w:val="center"/>
              <w:textAlignment w:val="center"/>
              <w:rPr>
                <w:rFonts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人像检索节点</w:t>
            </w:r>
          </w:p>
        </w:tc>
        <w:tc>
          <w:tcPr>
            <w:tcW w:w="555" w:type="dxa"/>
            <w:vAlign w:val="center"/>
          </w:tcPr>
          <w:p>
            <w:pPr>
              <w:widowControl/>
              <w:jc w:val="center"/>
              <w:textAlignment w:val="center"/>
              <w:rPr>
                <w:rFonts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1</w:t>
            </w:r>
          </w:p>
        </w:tc>
        <w:tc>
          <w:tcPr>
            <w:tcW w:w="510" w:type="dxa"/>
            <w:vAlign w:val="center"/>
          </w:tcPr>
          <w:p>
            <w:pPr>
              <w:widowControl/>
              <w:jc w:val="center"/>
              <w:textAlignment w:val="center"/>
              <w:rPr>
                <w:rFonts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台</w:t>
            </w:r>
          </w:p>
        </w:tc>
        <w:tc>
          <w:tcPr>
            <w:tcW w:w="9135" w:type="dxa"/>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1、2U机架式服务器</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2、配置≥1颗国产X86 CPU，每颗CPU核心数≥24核，每颗CPU主频≥2.2GHz，提供国产x86处理器原厂证明函。</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3、配置≥8*32G 内存，支持≥32个内存插槽，最大可支持4TB内存容量，支持内存ECC保护、内存镜像、内存热备</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4、配置≥1*240G SSD 硬盘，≥4*480G SSD 硬盘，≥1*4T SATA 硬盘，支持≥12个前置热插拔3.5硬盘，支持≥4个后置热插拔2.5寸硬盘位;板载支持≥4个U.2 NVMe SSD，不需PCIe转接卡；板载可支持≥2个内置M.2 SSD, 可同时支持1个PCIe M.2和1个SATA M.2；</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5、配置≥8口SAS卡</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6、配置≥2张2560 CUDA 16G显存 75W 320Gb/s存储带宽图形加速器，最大支持8块</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7、配置≥1*双口千兆电口，支持NCSI、网络唤醒，网络冗余，负载均衡等网络高级特性</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8、支持≥10个PCI-E 3.0插槽</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9、主板支持2个SD卡槽，可实现存储BMC日志</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10、配置热插拔高速系统风扇和电源</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★11、支持TCM和TPM安全模块，为符合安全等保可信计算要求，所投机型通过可信计算3.0认证，提供认证证书并加盖原厂公章。</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12、支持离线光诊断功能，可断电环境下诊断主板关键信息故障；黑匣子日志、故障截屏、开机自检代码，有效判断分析软硬件故障</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13、要求所投机型Unixbench 单核性能≥1800，多核性能≥16500；</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15、配置同品牌数据保护功能模块和同品牌基于数据护的加密模块；</w:t>
            </w:r>
          </w:p>
          <w:p>
            <w:pPr>
              <w:rPr>
                <w:rFonts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16、3年原厂整机质保和硬盘不返还服务，中标后提供原厂项目授权函，原厂服务承诺函</w:t>
            </w:r>
          </w:p>
        </w:tc>
        <w:tc>
          <w:tcPr>
            <w:tcW w:w="1484" w:type="dxa"/>
            <w:vAlign w:val="center"/>
          </w:tcPr>
          <w:p>
            <w:pPr>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中科可控、海康、联想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6</w:t>
            </w:r>
          </w:p>
        </w:tc>
        <w:tc>
          <w:tcPr>
            <w:tcW w:w="1845" w:type="dxa"/>
            <w:gridSpan w:val="2"/>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全分析智能服务器</w:t>
            </w:r>
          </w:p>
        </w:tc>
        <w:tc>
          <w:tcPr>
            <w:tcW w:w="555" w:type="dxa"/>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1</w:t>
            </w:r>
          </w:p>
        </w:tc>
        <w:tc>
          <w:tcPr>
            <w:tcW w:w="510" w:type="dxa"/>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台</w:t>
            </w:r>
          </w:p>
        </w:tc>
        <w:tc>
          <w:tcPr>
            <w:tcW w:w="9135" w:type="dxa"/>
            <w:vAlign w:val="center"/>
          </w:tcPr>
          <w:p>
            <w:pPr>
              <w:rPr>
                <w:rFonts w:ascii="宋体" w:hAnsi="宋体" w:cs="宋体"/>
                <w:color w:val="auto"/>
                <w:szCs w:val="21"/>
                <w:highlight w:val="none"/>
              </w:rPr>
            </w:pPr>
            <w:r>
              <w:rPr>
                <w:rFonts w:hint="eastAsia" w:ascii="宋体" w:hAnsi="宋体" w:cs="宋体"/>
                <w:color w:val="auto"/>
                <w:szCs w:val="21"/>
                <w:highlight w:val="none"/>
              </w:rPr>
              <w:t>硬件规格：</w:t>
            </w:r>
          </w:p>
          <w:p>
            <w:pPr>
              <w:rPr>
                <w:rFonts w:ascii="宋体" w:hAnsi="宋体" w:cs="宋体"/>
                <w:color w:val="auto"/>
                <w:szCs w:val="21"/>
                <w:highlight w:val="none"/>
              </w:rPr>
            </w:pPr>
            <w:r>
              <w:rPr>
                <w:rFonts w:hint="eastAsia" w:ascii="宋体" w:hAnsi="宋体" w:cs="宋体"/>
                <w:color w:val="auto"/>
                <w:szCs w:val="21"/>
                <w:highlight w:val="none"/>
              </w:rPr>
              <w:t>处理器：HG7255*2（16核，32线程，2.2GHz）</w:t>
            </w:r>
          </w:p>
          <w:p>
            <w:pPr>
              <w:rPr>
                <w:rFonts w:ascii="宋体" w:hAnsi="宋体" w:cs="宋体"/>
                <w:color w:val="auto"/>
                <w:szCs w:val="21"/>
                <w:highlight w:val="none"/>
              </w:rPr>
            </w:pPr>
            <w:r>
              <w:rPr>
                <w:rFonts w:hint="eastAsia" w:ascii="宋体" w:hAnsi="宋体" w:cs="宋体"/>
                <w:color w:val="auto"/>
                <w:szCs w:val="21"/>
                <w:highlight w:val="none"/>
              </w:rPr>
              <w:t>GPU卡：4张高性能GPU卡；单卡提供64TOPS INT8算力</w:t>
            </w:r>
          </w:p>
          <w:p>
            <w:pPr>
              <w:rPr>
                <w:rFonts w:ascii="宋体" w:hAnsi="宋体" w:cs="宋体"/>
                <w:color w:val="auto"/>
                <w:szCs w:val="21"/>
                <w:highlight w:val="none"/>
              </w:rPr>
            </w:pPr>
            <w:r>
              <w:rPr>
                <w:rFonts w:hint="eastAsia" w:ascii="宋体" w:hAnsi="宋体" w:cs="宋体"/>
                <w:color w:val="auto"/>
                <w:szCs w:val="21"/>
                <w:highlight w:val="none"/>
              </w:rPr>
              <w:t xml:space="preserve">内存：16GB DDR4 * 2 ，32个内存插槽 </w:t>
            </w:r>
          </w:p>
          <w:p>
            <w:pPr>
              <w:rPr>
                <w:rFonts w:ascii="宋体" w:hAnsi="宋体" w:cs="宋体"/>
                <w:color w:val="auto"/>
                <w:szCs w:val="21"/>
                <w:highlight w:val="none"/>
              </w:rPr>
            </w:pPr>
            <w:r>
              <w:rPr>
                <w:rFonts w:hint="eastAsia" w:ascii="宋体" w:hAnsi="宋体" w:cs="宋体"/>
                <w:color w:val="auto"/>
                <w:szCs w:val="21"/>
                <w:highlight w:val="none"/>
              </w:rPr>
              <w:t>硬盘：240G SSD * 1，，最大支持12个3.5寸SAS/SATA HDD</w:t>
            </w:r>
          </w:p>
          <w:p>
            <w:pPr>
              <w:rPr>
                <w:rFonts w:ascii="宋体" w:hAnsi="宋体" w:cs="宋体"/>
                <w:color w:val="auto"/>
                <w:szCs w:val="21"/>
                <w:highlight w:val="none"/>
              </w:rPr>
            </w:pPr>
            <w:r>
              <w:rPr>
                <w:rFonts w:hint="eastAsia" w:ascii="宋体" w:hAnsi="宋体" w:cs="宋体"/>
                <w:color w:val="auto"/>
                <w:szCs w:val="21"/>
                <w:highlight w:val="none"/>
              </w:rPr>
              <w:t>网络接口：4个千兆 RJ45 网口，1个RJ45管理口</w:t>
            </w:r>
          </w:p>
          <w:p>
            <w:pPr>
              <w:rPr>
                <w:rFonts w:ascii="宋体" w:hAnsi="宋体" w:cs="宋体"/>
                <w:color w:val="auto"/>
                <w:szCs w:val="21"/>
                <w:highlight w:val="none"/>
              </w:rPr>
            </w:pPr>
            <w:r>
              <w:rPr>
                <w:rFonts w:hint="eastAsia" w:ascii="宋体" w:hAnsi="宋体" w:cs="宋体"/>
                <w:color w:val="auto"/>
                <w:szCs w:val="21"/>
                <w:highlight w:val="none"/>
              </w:rPr>
              <w:t>其他接口：1个VGA接口，4个USB接口</w:t>
            </w:r>
          </w:p>
          <w:p>
            <w:pPr>
              <w:rPr>
                <w:rFonts w:ascii="宋体" w:hAnsi="宋体" w:cs="宋体"/>
                <w:color w:val="auto"/>
                <w:szCs w:val="21"/>
                <w:highlight w:val="none"/>
              </w:rPr>
            </w:pPr>
            <w:r>
              <w:rPr>
                <w:rFonts w:hint="eastAsia" w:ascii="宋体" w:hAnsi="宋体" w:cs="宋体"/>
                <w:color w:val="auto"/>
                <w:szCs w:val="21"/>
                <w:highlight w:val="none"/>
              </w:rPr>
              <w:t>电源模块：1200W 1+1高效冗余电源</w:t>
            </w:r>
          </w:p>
          <w:p>
            <w:pPr>
              <w:rPr>
                <w:rFonts w:ascii="宋体" w:hAnsi="宋体" w:cs="宋体"/>
                <w:color w:val="auto"/>
                <w:szCs w:val="21"/>
                <w:highlight w:val="none"/>
              </w:rPr>
            </w:pPr>
            <w:r>
              <w:rPr>
                <w:rFonts w:hint="eastAsia" w:ascii="宋体" w:hAnsi="宋体" w:cs="宋体"/>
                <w:color w:val="auto"/>
                <w:szCs w:val="21"/>
                <w:highlight w:val="none"/>
              </w:rPr>
              <w:t>供电模式：交流：支持200-240V  直流：支持240Vdc</w:t>
            </w:r>
          </w:p>
          <w:p>
            <w:pPr>
              <w:rPr>
                <w:rFonts w:ascii="宋体" w:hAnsi="宋体" w:cs="宋体"/>
                <w:color w:val="auto"/>
                <w:szCs w:val="21"/>
                <w:highlight w:val="none"/>
              </w:rPr>
            </w:pPr>
            <w:r>
              <w:rPr>
                <w:rFonts w:hint="eastAsia" w:ascii="宋体" w:hAnsi="宋体" w:cs="宋体"/>
                <w:color w:val="auto"/>
                <w:szCs w:val="21"/>
                <w:highlight w:val="none"/>
              </w:rPr>
              <w:t>产品性能：</w:t>
            </w:r>
          </w:p>
          <w:p>
            <w:pPr>
              <w:rPr>
                <w:rFonts w:ascii="宋体" w:hAnsi="宋体" w:cs="宋体"/>
                <w:color w:val="auto"/>
                <w:szCs w:val="21"/>
                <w:highlight w:val="none"/>
              </w:rPr>
            </w:pPr>
            <w:r>
              <w:rPr>
                <w:rFonts w:hint="eastAsia" w:ascii="宋体" w:hAnsi="宋体" w:cs="宋体"/>
                <w:color w:val="auto"/>
                <w:szCs w:val="21"/>
                <w:highlight w:val="none"/>
              </w:rPr>
              <w:t>智能分析性能（以下人脸分析、车辆分析、视频结构化分析、治安场景图片分析性能为“或”的关系）：</w:t>
            </w:r>
          </w:p>
          <w:p>
            <w:pPr>
              <w:rPr>
                <w:rFonts w:ascii="宋体" w:hAnsi="宋体" w:cs="宋体"/>
                <w:color w:val="auto"/>
                <w:szCs w:val="21"/>
                <w:highlight w:val="none"/>
              </w:rPr>
            </w:pPr>
            <w:r>
              <w:rPr>
                <w:rFonts w:hint="eastAsia" w:ascii="宋体" w:hAnsi="宋体" w:cs="宋体"/>
                <w:color w:val="auto"/>
                <w:szCs w:val="21"/>
                <w:highlight w:val="none"/>
              </w:rPr>
              <w:t>人脸分析：640张/S（100W名单库容）或视频：128路（1080P）；</w:t>
            </w:r>
          </w:p>
          <w:p>
            <w:pPr>
              <w:rPr>
                <w:rFonts w:ascii="宋体" w:hAnsi="宋体" w:cs="宋体"/>
                <w:color w:val="auto"/>
                <w:szCs w:val="21"/>
                <w:highlight w:val="none"/>
              </w:rPr>
            </w:pPr>
            <w:r>
              <w:rPr>
                <w:rFonts w:hint="eastAsia" w:ascii="宋体" w:hAnsi="宋体" w:cs="宋体"/>
                <w:color w:val="auto"/>
                <w:szCs w:val="21"/>
                <w:highlight w:val="none"/>
              </w:rPr>
              <w:t>车辆分析：2000万张/天（200W~900W）；</w:t>
            </w:r>
          </w:p>
          <w:p>
            <w:pPr>
              <w:rPr>
                <w:rFonts w:ascii="宋体" w:hAnsi="宋体" w:cs="宋体"/>
                <w:color w:val="auto"/>
                <w:szCs w:val="21"/>
                <w:highlight w:val="none"/>
              </w:rPr>
            </w:pPr>
            <w:r>
              <w:rPr>
                <w:rFonts w:hint="eastAsia" w:ascii="宋体" w:hAnsi="宋体" w:cs="宋体"/>
                <w:color w:val="auto"/>
                <w:szCs w:val="21"/>
                <w:highlight w:val="none"/>
              </w:rPr>
              <w:t>视频结构化：128路（1080P）；</w:t>
            </w:r>
          </w:p>
          <w:p>
            <w:pP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治安场景图片分析性能（车辆、人体）：320张/秒（200W）或160张/秒（500~800W）；支持集群部署；</w:t>
            </w:r>
          </w:p>
        </w:tc>
        <w:tc>
          <w:tcPr>
            <w:tcW w:w="1484" w:type="dxa"/>
            <w:vAlign w:val="center"/>
          </w:tcPr>
          <w:p>
            <w:pPr>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海康、中科可控、联想</w:t>
            </w:r>
          </w:p>
        </w:tc>
      </w:tr>
    </w:tbl>
    <w:p>
      <w:pPr>
        <w:pStyle w:val="521"/>
        <w:widowControl w:val="0"/>
        <w:numPr>
          <w:ilvl w:val="0"/>
          <w:numId w:val="0"/>
        </w:numPr>
        <w:adjustRightInd/>
        <w:jc w:val="both"/>
        <w:rPr>
          <w:color w:val="auto"/>
        </w:rPr>
      </w:pPr>
    </w:p>
    <w:p>
      <w:pPr>
        <w:pStyle w:val="63"/>
        <w:ind w:firstLine="0"/>
        <w:rPr>
          <w:rFonts w:hAnsi="宋体" w:cs="宋体"/>
          <w:color w:val="auto"/>
          <w:sz w:val="21"/>
          <w:szCs w:val="21"/>
          <w:highlight w:val="none"/>
          <w:lang w:val="en-US"/>
        </w:rPr>
      </w:pPr>
      <w:r>
        <w:rPr>
          <w:rFonts w:hint="eastAsia" w:hAnsi="宋体" w:cs="宋体"/>
          <w:b/>
          <w:bCs/>
          <w:color w:val="auto"/>
          <w:kern w:val="0"/>
          <w:sz w:val="21"/>
          <w:szCs w:val="21"/>
          <w:highlight w:val="none"/>
          <w:lang w:bidi="ar"/>
        </w:rPr>
        <w:t>（</w:t>
      </w:r>
      <w:r>
        <w:rPr>
          <w:rFonts w:hint="eastAsia" w:hAnsi="宋体" w:cs="宋体"/>
          <w:b/>
          <w:bCs/>
          <w:color w:val="auto"/>
          <w:kern w:val="0"/>
          <w:sz w:val="21"/>
          <w:szCs w:val="21"/>
          <w:highlight w:val="none"/>
          <w:lang w:val="en-US" w:bidi="ar"/>
        </w:rPr>
        <w:t>三</w:t>
      </w:r>
      <w:r>
        <w:rPr>
          <w:rFonts w:hint="eastAsia" w:hAnsi="宋体" w:cs="宋体"/>
          <w:b/>
          <w:bCs/>
          <w:color w:val="auto"/>
          <w:kern w:val="0"/>
          <w:sz w:val="21"/>
          <w:szCs w:val="21"/>
          <w:highlight w:val="none"/>
          <w:lang w:bidi="ar"/>
        </w:rPr>
        <w:t>）通用计算资源池</w:t>
      </w:r>
    </w:p>
    <w:tbl>
      <w:tblPr>
        <w:tblStyle w:val="65"/>
        <w:tblW w:w="496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2"/>
        <w:gridCol w:w="1494"/>
        <w:gridCol w:w="625"/>
        <w:gridCol w:w="739"/>
        <w:gridCol w:w="8938"/>
        <w:gridCol w:w="16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0"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531"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jc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服务器</w:t>
            </w:r>
          </w:p>
        </w:tc>
        <w:tc>
          <w:tcPr>
            <w:tcW w:w="22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jc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6</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jc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台</w:t>
            </w:r>
          </w:p>
        </w:tc>
        <w:tc>
          <w:tcPr>
            <w:tcW w:w="3178"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1、自主研发国产服务器品牌，产品型号必须在《安可替代工程核心产品名录-1-2021》中《基础通用产品服务器类》选择，2U机架式服务器，含上架导轨</w:t>
            </w:r>
          </w:p>
          <w:p>
            <w:pPr>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2、配置≥2颗国产X86 CPU，每颗CPU核心数≥32核，每颗CPU主频≥2.3GHz，提供国产x86处理器原厂证明函。</w:t>
            </w:r>
          </w:p>
          <w:p>
            <w:pPr>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3、配置≥16*32G 内存，支持≥32个内存插槽，最大可支持4TB内存容量，支持内存ECC保护、内存镜像、内存热备</w:t>
            </w:r>
          </w:p>
          <w:p>
            <w:pPr>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4、配置≥2*600G SAS 硬盘，≥1*960G  NVME SSD 硬盘，≥4*6T SATA 硬盘，支持≥12个前置热插拔3.5硬盘，支持≥4个后置热插拔2.5寸硬盘位;板载支持≥4个U.2 NVMe SSD，不需PCIe转接卡；板载可支持≥2个内置M.2 SSD, 可同时支持1个PCIe M.2和1个SATA M.2；</w:t>
            </w:r>
          </w:p>
          <w:p>
            <w:pPr>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5、配置≥8口SAS卡</w:t>
            </w:r>
          </w:p>
          <w:p>
            <w:pPr>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6、配置≥1*双口千兆电口，≥2*双口万兆网口（含光模块），支持NCSI、网络唤醒，网络冗余，负载均衡等网络高级特性</w:t>
            </w:r>
          </w:p>
          <w:p>
            <w:pPr>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7、支持≥10个PCI-E 3.0插槽</w:t>
            </w:r>
          </w:p>
          <w:p>
            <w:pPr>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8、主板支持2个SD卡槽，可实现存储BMC日志</w:t>
            </w:r>
          </w:p>
          <w:p>
            <w:pPr>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9、配置热插拔高速系统风扇和电源</w:t>
            </w:r>
          </w:p>
          <w:p>
            <w:pPr>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10、支持TCM和TPM安全模块，为符合安全等保可信计算要求，所投机型通过可信计算3.0认证，。</w:t>
            </w:r>
          </w:p>
          <w:p>
            <w:pPr>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11、支持离线光诊断功能，可断电环境下诊断主板关键信息故障；黑匣子日志、故障截屏、开机自检代码，有效判断分析软硬件故障</w:t>
            </w:r>
          </w:p>
          <w:p>
            <w:pPr>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12、要求所投机型Unixbench 单核性能≥1800，多核性能≥16500；</w:t>
            </w:r>
          </w:p>
          <w:p>
            <w:pPr>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13、产品厂商通过两化融合管理体系AA级评定</w:t>
            </w:r>
          </w:p>
          <w:p>
            <w:pPr>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14、配置同品牌数据保护功能模块和同品牌基于数据护的加密模块。</w:t>
            </w:r>
          </w:p>
          <w:p>
            <w:pPr>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15、3年原厂整机质保和硬盘不返还服务，中标后提供原厂项目授权函，原厂服务承诺函</w:t>
            </w:r>
          </w:p>
        </w:tc>
        <w:tc>
          <w:tcPr>
            <w:tcW w:w="570"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中科可控、海康、曙光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0"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jc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2</w:t>
            </w:r>
          </w:p>
        </w:tc>
        <w:tc>
          <w:tcPr>
            <w:tcW w:w="531"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jc w:val="left"/>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通用资源池软件</w:t>
            </w:r>
          </w:p>
        </w:tc>
        <w:tc>
          <w:tcPr>
            <w:tcW w:w="22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jc w:val="left"/>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2</w:t>
            </w:r>
          </w:p>
        </w:tc>
        <w:tc>
          <w:tcPr>
            <w:tcW w:w="26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jc w:val="left"/>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套</w:t>
            </w:r>
          </w:p>
        </w:tc>
        <w:tc>
          <w:tcPr>
            <w:tcW w:w="3178"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提供云计算管理服务，包括集群管理、系统运维和系统管理等。</w:t>
            </w:r>
          </w:p>
          <w:p>
            <w:pPr>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数据存储接入磁盘容量，集群可使用的存储总量授权。</w:t>
            </w:r>
          </w:p>
          <w:p>
            <w:pPr>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系统接入的物理CPU总路数授权。</w:t>
            </w:r>
          </w:p>
          <w:p>
            <w:pPr>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提供硬件资源的虚拟化服务，包括CPU、GPU、内存和网络等。</w:t>
            </w:r>
          </w:p>
          <w:p>
            <w:pPr>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 支持虚拟机全量克隆，虚拟机克隆耗时≤1s，且克隆前后虚机业务不中断，删除源虚拟机不影响克隆虚拟机的使用</w:t>
            </w:r>
            <w:r>
              <w:rPr>
                <w:rFonts w:hint="eastAsia" w:ascii="宋体" w:hAnsi="宋体" w:cs="宋体"/>
                <w:color w:val="auto"/>
                <w:kern w:val="0"/>
                <w:szCs w:val="21"/>
                <w:highlight w:val="none"/>
                <w:lang w:bidi="ar"/>
              </w:rPr>
              <w:t>（投标文件中提供检测报告复印件）</w:t>
            </w:r>
          </w:p>
        </w:tc>
        <w:tc>
          <w:tcPr>
            <w:tcW w:w="570"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jc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海康、中科可控、曙光</w:t>
            </w:r>
          </w:p>
        </w:tc>
      </w:tr>
    </w:tbl>
    <w:p>
      <w:pPr>
        <w:rPr>
          <w:rFonts w:ascii="宋体" w:hAnsi="宋体" w:cs="宋体"/>
          <w:color w:val="auto"/>
          <w:szCs w:val="21"/>
          <w:highlight w:val="none"/>
        </w:rPr>
      </w:pPr>
      <w:r>
        <w:rPr>
          <w:rFonts w:hint="eastAsia" w:ascii="宋体" w:hAnsi="宋体" w:cs="宋体"/>
          <w:b/>
          <w:bCs/>
          <w:color w:val="auto"/>
          <w:kern w:val="0"/>
          <w:szCs w:val="21"/>
          <w:highlight w:val="none"/>
          <w:lang w:bidi="ar"/>
        </w:rPr>
        <w:t>（四）解析能力升级</w:t>
      </w:r>
    </w:p>
    <w:tbl>
      <w:tblPr>
        <w:tblStyle w:val="65"/>
        <w:tblW w:w="495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1"/>
        <w:gridCol w:w="1493"/>
        <w:gridCol w:w="624"/>
        <w:gridCol w:w="739"/>
        <w:gridCol w:w="8954"/>
        <w:gridCol w:w="15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0"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531"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spacing w:line="36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视频结构化服务器</w:t>
            </w:r>
          </w:p>
        </w:tc>
        <w:tc>
          <w:tcPr>
            <w:tcW w:w="22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spacing w:line="36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6</w:t>
            </w:r>
          </w:p>
        </w:tc>
        <w:tc>
          <w:tcPr>
            <w:tcW w:w="263"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台</w:t>
            </w:r>
          </w:p>
        </w:tc>
        <w:tc>
          <w:tcPr>
            <w:tcW w:w="3187"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硬件规格不低于以下参数：</w:t>
            </w:r>
          </w:p>
          <w:p>
            <w:pPr>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处理器：16核，32线程，2.2GHz</w:t>
            </w:r>
          </w:p>
          <w:p>
            <w:pPr>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GPU卡：8张高性能GPU卡；单卡提供不低于（包含）64TOPS INT8算力</w:t>
            </w:r>
          </w:p>
          <w:p>
            <w:pPr>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 xml:space="preserve">内存：16GB DDR4 * 4，32个内存插槽 </w:t>
            </w:r>
          </w:p>
          <w:p>
            <w:pPr>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硬盘：240G SSD * 1，，最大支持12个3.5寸SAS/SATA HDD</w:t>
            </w:r>
          </w:p>
          <w:p>
            <w:pPr>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网络接口：2个千兆网口，2个万兆网口，1个RJ45管理口</w:t>
            </w:r>
          </w:p>
          <w:p>
            <w:pPr>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其他接口：1个VGA接口，4个USB接口</w:t>
            </w:r>
          </w:p>
          <w:p>
            <w:pPr>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电源模块：1600W 1+1高效冗余电源</w:t>
            </w:r>
          </w:p>
          <w:p>
            <w:pPr>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供电模式：交流：支持200-240V  直流：支持240Vdc</w:t>
            </w:r>
          </w:p>
          <w:p>
            <w:pPr>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产品性能（依赖算法授权）：</w:t>
            </w:r>
          </w:p>
          <w:p>
            <w:pPr>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智能分析性能（以下人脸分析、车辆分析、视频结构化分析、治安场景图片分析性能为“或”的关系）：</w:t>
            </w:r>
          </w:p>
          <w:p>
            <w:pPr>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人脸分析：1280张/S（100W名单库容）或视频：256路（1080P）；</w:t>
            </w:r>
          </w:p>
          <w:p>
            <w:pPr>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车辆分析：4000万张/天（200W~900W）；</w:t>
            </w:r>
          </w:p>
          <w:p>
            <w:pPr>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视频结构化：256路（1080P）；</w:t>
            </w:r>
          </w:p>
          <w:p>
            <w:pPr>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治安场景图片分析性能（车辆、人体）：640张/秒（200W）或320张/秒（500~800W）；支持集群部署；</w:t>
            </w:r>
          </w:p>
        </w:tc>
        <w:tc>
          <w:tcPr>
            <w:tcW w:w="559"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海康、中科可控、曙光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0" w:hRule="atLeast"/>
        </w:trPr>
        <w:tc>
          <w:tcPr>
            <w:tcW w:w="23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jc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2</w:t>
            </w:r>
          </w:p>
        </w:tc>
        <w:tc>
          <w:tcPr>
            <w:tcW w:w="531"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jc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视频结构化解析算法</w:t>
            </w:r>
          </w:p>
        </w:tc>
        <w:tc>
          <w:tcPr>
            <w:tcW w:w="222"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jc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1000</w:t>
            </w:r>
          </w:p>
        </w:tc>
        <w:tc>
          <w:tcPr>
            <w:tcW w:w="263"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路</w:t>
            </w:r>
          </w:p>
        </w:tc>
        <w:tc>
          <w:tcPr>
            <w:tcW w:w="3187"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通过视频图像结构化解析技术，对视频流中的人体、机动车、非机动车等活动目标进行检测识别应用。</w:t>
            </w:r>
          </w:p>
          <w:p>
            <w:pPr>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 最高支持识别8192x8192像素人脸图片（</w:t>
            </w:r>
            <w:r>
              <w:rPr>
                <w:rFonts w:hint="eastAsia" w:ascii="宋体" w:hAnsi="宋体" w:cs="宋体"/>
                <w:color w:val="auto"/>
                <w:kern w:val="0"/>
                <w:sz w:val="21"/>
                <w:szCs w:val="21"/>
                <w:highlight w:val="none"/>
                <w:lang w:val="en-US" w:eastAsia="zh-CN" w:bidi="ar"/>
              </w:rPr>
              <w:t>投标文件中提供检测报告复印件</w:t>
            </w:r>
            <w:r>
              <w:rPr>
                <w:rFonts w:hint="eastAsia" w:ascii="宋体" w:hAnsi="宋体" w:eastAsia="宋体" w:cs="宋体"/>
                <w:color w:val="auto"/>
                <w:kern w:val="0"/>
                <w:sz w:val="21"/>
                <w:szCs w:val="21"/>
                <w:highlight w:val="none"/>
                <w:lang w:bidi="ar"/>
              </w:rPr>
              <w:t>）</w:t>
            </w:r>
          </w:p>
          <w:p>
            <w:pPr>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 兼容第三方算法，支持人脸、车辆、视频结构化智能算法软件（</w:t>
            </w:r>
            <w:r>
              <w:rPr>
                <w:rFonts w:hint="eastAsia" w:ascii="宋体" w:hAnsi="宋体" w:cs="宋体"/>
                <w:color w:val="auto"/>
                <w:kern w:val="0"/>
                <w:sz w:val="21"/>
                <w:szCs w:val="21"/>
                <w:highlight w:val="none"/>
                <w:lang w:val="en-US" w:eastAsia="zh-CN" w:bidi="ar"/>
              </w:rPr>
              <w:t>投标文件中提供检测报告复印件</w:t>
            </w:r>
            <w:r>
              <w:rPr>
                <w:rFonts w:hint="eastAsia" w:ascii="宋体" w:hAnsi="宋体" w:eastAsia="宋体" w:cs="宋体"/>
                <w:color w:val="auto"/>
                <w:kern w:val="0"/>
                <w:sz w:val="21"/>
                <w:szCs w:val="21"/>
                <w:highlight w:val="none"/>
                <w:lang w:bidi="ar"/>
              </w:rPr>
              <w:t>）</w:t>
            </w:r>
          </w:p>
        </w:tc>
        <w:tc>
          <w:tcPr>
            <w:tcW w:w="559"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jc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海康、华三、商汤</w:t>
            </w:r>
          </w:p>
        </w:tc>
      </w:tr>
    </w:tbl>
    <w:p>
      <w:pPr>
        <w:rPr>
          <w:color w:val="auto"/>
          <w:highlight w:val="none"/>
        </w:rPr>
      </w:pPr>
    </w:p>
    <w:p>
      <w:pPr>
        <w:rPr>
          <w:rFonts w:hint="default" w:eastAsia="宋体"/>
          <w:color w:val="auto"/>
          <w:highlight w:val="none"/>
          <w:lang w:val="en-US" w:eastAsia="zh-CN"/>
        </w:rPr>
        <w:sectPr>
          <w:pgSz w:w="16838" w:h="11906" w:orient="landscape"/>
          <w:pgMar w:top="1803" w:right="1440" w:bottom="1803" w:left="1440" w:header="851" w:footer="992" w:gutter="0"/>
          <w:cols w:space="0" w:num="1"/>
          <w:docGrid w:type="lines" w:linePitch="319" w:charSpace="0"/>
        </w:sectPr>
      </w:pPr>
      <w:r>
        <w:rPr>
          <w:rFonts w:hint="eastAsia"/>
          <w:color w:val="auto"/>
          <w:highlight w:val="none"/>
          <w:lang w:val="en-US" w:eastAsia="zh-CN"/>
        </w:rPr>
        <w:t>备注：招标文件中参考品牌仅做投标人参考，不作为其他任何要求。</w:t>
      </w:r>
    </w:p>
    <w:p>
      <w:pPr>
        <w:pStyle w:val="63"/>
        <w:ind w:firstLine="0"/>
        <w:rPr>
          <w:color w:val="auto"/>
          <w:highlight w:val="none"/>
          <w:lang w:val="en-US"/>
        </w:rPr>
      </w:pPr>
    </w:p>
    <w:bookmarkEnd w:id="62"/>
    <w:bookmarkEnd w:id="63"/>
    <w:p>
      <w:pPr>
        <w:numPr>
          <w:ilvl w:val="0"/>
          <w:numId w:val="5"/>
        </w:num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 xml:space="preserve">  </w:t>
      </w:r>
      <w:bookmarkStart w:id="248" w:name="_Toc184312068"/>
      <w:bookmarkEnd w:id="248"/>
      <w:bookmarkStart w:id="249" w:name="_Toc184310290"/>
      <w:bookmarkEnd w:id="249"/>
      <w:bookmarkStart w:id="250" w:name="_Toc184308038"/>
      <w:bookmarkEnd w:id="250"/>
      <w:bookmarkStart w:id="251" w:name="_Toc184310273"/>
      <w:bookmarkEnd w:id="251"/>
      <w:bookmarkStart w:id="252" w:name="_Toc184313263"/>
      <w:bookmarkEnd w:id="252"/>
      <w:bookmarkStart w:id="253" w:name="_Toc184314418"/>
      <w:bookmarkEnd w:id="253"/>
      <w:bookmarkStart w:id="254" w:name="_Toc184312076"/>
      <w:bookmarkEnd w:id="254"/>
      <w:bookmarkStart w:id="255" w:name="_Toc184312091"/>
      <w:bookmarkEnd w:id="255"/>
      <w:bookmarkStart w:id="256" w:name="_Toc184313242"/>
      <w:bookmarkEnd w:id="256"/>
      <w:bookmarkStart w:id="257" w:name="_Toc184310281"/>
      <w:bookmarkEnd w:id="257"/>
      <w:bookmarkStart w:id="258" w:name="_Toc184312090"/>
      <w:bookmarkEnd w:id="258"/>
      <w:bookmarkStart w:id="259" w:name="_Toc184308045"/>
      <w:bookmarkEnd w:id="259"/>
      <w:bookmarkStart w:id="260" w:name="_Toc184313284"/>
      <w:bookmarkEnd w:id="260"/>
      <w:bookmarkStart w:id="261" w:name="_Toc184310311"/>
      <w:bookmarkEnd w:id="261"/>
      <w:bookmarkStart w:id="262" w:name="_Toc184310337"/>
      <w:bookmarkEnd w:id="262"/>
      <w:bookmarkStart w:id="263" w:name="_Toc184310274"/>
      <w:bookmarkEnd w:id="263"/>
      <w:bookmarkStart w:id="264" w:name="_Toc184314468"/>
      <w:bookmarkEnd w:id="264"/>
      <w:bookmarkStart w:id="265" w:name="_Toc184313265"/>
      <w:bookmarkEnd w:id="265"/>
      <w:bookmarkStart w:id="266" w:name="_Toc184310272"/>
      <w:bookmarkEnd w:id="266"/>
      <w:bookmarkStart w:id="267" w:name="_Toc184313275"/>
      <w:bookmarkEnd w:id="267"/>
      <w:bookmarkStart w:id="268" w:name="_Toc184312092"/>
      <w:bookmarkEnd w:id="268"/>
      <w:bookmarkStart w:id="269" w:name="_Toc184312088"/>
      <w:bookmarkEnd w:id="269"/>
      <w:bookmarkStart w:id="270" w:name="_Toc184310332"/>
      <w:bookmarkEnd w:id="270"/>
      <w:bookmarkStart w:id="271" w:name="_Toc184312112"/>
      <w:bookmarkEnd w:id="271"/>
      <w:bookmarkStart w:id="272" w:name="_Toc184312102"/>
      <w:bookmarkEnd w:id="272"/>
      <w:bookmarkStart w:id="273" w:name="_Toc184312103"/>
      <w:bookmarkEnd w:id="273"/>
      <w:bookmarkStart w:id="274" w:name="_Toc184308088"/>
      <w:bookmarkEnd w:id="274"/>
      <w:bookmarkStart w:id="275" w:name="_Toc184308048"/>
      <w:bookmarkEnd w:id="275"/>
      <w:bookmarkStart w:id="276" w:name="_Toc184313266"/>
      <w:bookmarkEnd w:id="276"/>
      <w:bookmarkStart w:id="277" w:name="_Toc184308081"/>
      <w:bookmarkEnd w:id="277"/>
      <w:bookmarkStart w:id="278" w:name="_Toc184313239"/>
      <w:bookmarkEnd w:id="278"/>
      <w:bookmarkStart w:id="279" w:name="_Toc184313285"/>
      <w:bookmarkEnd w:id="279"/>
      <w:bookmarkStart w:id="280" w:name="_Toc184308107"/>
      <w:bookmarkEnd w:id="280"/>
      <w:bookmarkStart w:id="281" w:name="_Toc184314421"/>
      <w:bookmarkEnd w:id="281"/>
      <w:bookmarkStart w:id="282" w:name="_Toc184310297"/>
      <w:bookmarkEnd w:id="282"/>
      <w:bookmarkStart w:id="283" w:name="_Toc184312123"/>
      <w:bookmarkEnd w:id="283"/>
      <w:bookmarkStart w:id="284" w:name="_Toc184310327"/>
      <w:bookmarkEnd w:id="284"/>
      <w:bookmarkStart w:id="285" w:name="_Toc184314464"/>
      <w:bookmarkEnd w:id="285"/>
      <w:bookmarkStart w:id="286" w:name="_Toc184308100"/>
      <w:bookmarkEnd w:id="286"/>
      <w:bookmarkStart w:id="287" w:name="_Toc184314450"/>
      <w:bookmarkEnd w:id="287"/>
      <w:bookmarkStart w:id="288" w:name="_Toc184313259"/>
      <w:bookmarkEnd w:id="288"/>
      <w:bookmarkStart w:id="289" w:name="_Toc184312125"/>
      <w:bookmarkEnd w:id="289"/>
      <w:bookmarkStart w:id="290" w:name="_Toc184312093"/>
      <w:bookmarkEnd w:id="290"/>
      <w:bookmarkStart w:id="291" w:name="_Toc184308076"/>
      <w:bookmarkEnd w:id="291"/>
      <w:bookmarkStart w:id="292" w:name="_Toc184308063"/>
      <w:bookmarkEnd w:id="292"/>
      <w:bookmarkStart w:id="293" w:name="_Toc184313257"/>
      <w:bookmarkEnd w:id="293"/>
      <w:bookmarkStart w:id="294" w:name="_Toc184312129"/>
      <w:bookmarkEnd w:id="294"/>
      <w:bookmarkStart w:id="295" w:name="_Toc184313310"/>
      <w:bookmarkEnd w:id="295"/>
      <w:bookmarkStart w:id="296" w:name="_Toc184313251"/>
      <w:bookmarkEnd w:id="296"/>
      <w:bookmarkStart w:id="297" w:name="_Toc184308041"/>
      <w:bookmarkEnd w:id="297"/>
      <w:bookmarkStart w:id="298" w:name="_Toc184314475"/>
      <w:bookmarkEnd w:id="298"/>
      <w:bookmarkStart w:id="299" w:name="_Toc184312117"/>
      <w:bookmarkEnd w:id="299"/>
      <w:bookmarkStart w:id="300" w:name="_Toc184310301"/>
      <w:bookmarkEnd w:id="300"/>
      <w:bookmarkStart w:id="301" w:name="_Toc184314431"/>
      <w:bookmarkEnd w:id="301"/>
      <w:bookmarkStart w:id="302" w:name="_Toc184310309"/>
      <w:bookmarkEnd w:id="302"/>
      <w:bookmarkStart w:id="303" w:name="_Toc184313238"/>
      <w:bookmarkEnd w:id="303"/>
      <w:bookmarkStart w:id="304" w:name="_Toc184308086"/>
      <w:bookmarkEnd w:id="304"/>
      <w:bookmarkStart w:id="305" w:name="_Toc184310336"/>
      <w:bookmarkEnd w:id="305"/>
      <w:bookmarkStart w:id="306" w:name="_Toc184312080"/>
      <w:bookmarkEnd w:id="306"/>
      <w:bookmarkStart w:id="307" w:name="_Toc184308073"/>
      <w:bookmarkEnd w:id="307"/>
      <w:bookmarkStart w:id="308" w:name="_Toc184308065"/>
      <w:bookmarkEnd w:id="308"/>
      <w:bookmarkStart w:id="309" w:name="_Toc184314434"/>
      <w:bookmarkEnd w:id="309"/>
      <w:bookmarkStart w:id="310" w:name="_Toc184312106"/>
      <w:bookmarkEnd w:id="310"/>
      <w:bookmarkStart w:id="311" w:name="_Toc184312084"/>
      <w:bookmarkEnd w:id="311"/>
      <w:bookmarkStart w:id="312" w:name="_Toc184314413"/>
      <w:bookmarkEnd w:id="312"/>
      <w:bookmarkStart w:id="313" w:name="_Toc184310285"/>
      <w:bookmarkEnd w:id="313"/>
      <w:bookmarkStart w:id="314" w:name="_Toc184314469"/>
      <w:bookmarkEnd w:id="314"/>
      <w:bookmarkStart w:id="315" w:name="_Toc184308091"/>
      <w:bookmarkEnd w:id="315"/>
      <w:bookmarkStart w:id="316" w:name="_Toc184314480"/>
      <w:bookmarkEnd w:id="316"/>
      <w:bookmarkStart w:id="317" w:name="_Toc184308071"/>
      <w:bookmarkEnd w:id="317"/>
      <w:bookmarkStart w:id="318" w:name="_Toc184312098"/>
      <w:bookmarkEnd w:id="318"/>
      <w:bookmarkStart w:id="319" w:name="_Toc184310306"/>
      <w:bookmarkEnd w:id="319"/>
      <w:bookmarkStart w:id="320" w:name="_Toc184310298"/>
      <w:bookmarkEnd w:id="320"/>
      <w:bookmarkStart w:id="321" w:name="_Toc184313280"/>
      <w:bookmarkEnd w:id="321"/>
      <w:bookmarkStart w:id="322" w:name="_Toc184312087"/>
      <w:bookmarkEnd w:id="322"/>
      <w:bookmarkStart w:id="323" w:name="_Toc184313287"/>
      <w:bookmarkEnd w:id="323"/>
      <w:bookmarkStart w:id="324" w:name="_Toc184313308"/>
      <w:bookmarkEnd w:id="324"/>
      <w:bookmarkStart w:id="325" w:name="_Toc184310280"/>
      <w:bookmarkEnd w:id="325"/>
      <w:bookmarkStart w:id="326" w:name="_Toc184314428"/>
      <w:bookmarkEnd w:id="326"/>
      <w:bookmarkStart w:id="327" w:name="_Toc184314460"/>
      <w:bookmarkEnd w:id="327"/>
      <w:bookmarkStart w:id="328" w:name="_Toc184314448"/>
      <w:bookmarkEnd w:id="328"/>
      <w:bookmarkStart w:id="329" w:name="_Toc184308053"/>
      <w:bookmarkEnd w:id="329"/>
      <w:bookmarkStart w:id="330" w:name="_Toc184314470"/>
      <w:bookmarkEnd w:id="330"/>
      <w:bookmarkStart w:id="331" w:name="_Toc184310330"/>
      <w:bookmarkEnd w:id="331"/>
      <w:bookmarkStart w:id="332" w:name="_Toc184314471"/>
      <w:bookmarkEnd w:id="332"/>
      <w:bookmarkStart w:id="333" w:name="_Toc184313262"/>
      <w:bookmarkEnd w:id="333"/>
      <w:bookmarkStart w:id="334" w:name="_Toc184314466"/>
      <w:bookmarkEnd w:id="334"/>
      <w:bookmarkStart w:id="335" w:name="_Toc184314457"/>
      <w:bookmarkEnd w:id="335"/>
      <w:bookmarkStart w:id="336" w:name="_Toc184313276"/>
      <w:bookmarkEnd w:id="336"/>
      <w:bookmarkStart w:id="337" w:name="_Toc184308077"/>
      <w:bookmarkEnd w:id="337"/>
      <w:bookmarkStart w:id="338" w:name="_Toc184313293"/>
      <w:bookmarkEnd w:id="338"/>
      <w:bookmarkStart w:id="339" w:name="_Toc184308037"/>
      <w:bookmarkEnd w:id="339"/>
      <w:bookmarkStart w:id="340" w:name="_Toc184314424"/>
      <w:bookmarkEnd w:id="340"/>
      <w:bookmarkStart w:id="341" w:name="_Toc184310304"/>
      <w:bookmarkEnd w:id="341"/>
      <w:bookmarkStart w:id="342" w:name="_Toc184308043"/>
      <w:bookmarkEnd w:id="342"/>
      <w:bookmarkStart w:id="343" w:name="_Toc184313282"/>
      <w:bookmarkEnd w:id="343"/>
      <w:bookmarkStart w:id="344" w:name="_Toc184308078"/>
      <w:bookmarkEnd w:id="344"/>
      <w:bookmarkStart w:id="345" w:name="_Toc184312085"/>
      <w:bookmarkEnd w:id="345"/>
      <w:bookmarkStart w:id="346" w:name="_Toc184314463"/>
      <w:bookmarkEnd w:id="346"/>
      <w:bookmarkStart w:id="347" w:name="_Toc184313290"/>
      <w:bookmarkEnd w:id="347"/>
      <w:bookmarkStart w:id="348" w:name="_Toc184312078"/>
      <w:bookmarkEnd w:id="348"/>
      <w:bookmarkStart w:id="349" w:name="_Toc184312118"/>
      <w:bookmarkEnd w:id="349"/>
      <w:bookmarkStart w:id="350" w:name="_Toc184314459"/>
      <w:bookmarkEnd w:id="350"/>
      <w:bookmarkStart w:id="351" w:name="_Toc184314442"/>
      <w:bookmarkEnd w:id="351"/>
      <w:bookmarkStart w:id="352" w:name="_Toc184310291"/>
      <w:bookmarkEnd w:id="352"/>
      <w:bookmarkStart w:id="353" w:name="_Toc184314473"/>
      <w:bookmarkEnd w:id="353"/>
      <w:bookmarkStart w:id="354" w:name="_Toc184310317"/>
      <w:bookmarkEnd w:id="354"/>
      <w:bookmarkStart w:id="355" w:name="_Toc184313283"/>
      <w:bookmarkEnd w:id="355"/>
      <w:bookmarkStart w:id="356" w:name="_Toc184308102"/>
      <w:bookmarkEnd w:id="356"/>
      <w:bookmarkStart w:id="357" w:name="_Toc184308060"/>
      <w:bookmarkEnd w:id="357"/>
      <w:bookmarkStart w:id="358" w:name="_Toc184314452"/>
      <w:bookmarkEnd w:id="358"/>
      <w:bookmarkStart w:id="359" w:name="_Toc184314420"/>
      <w:bookmarkEnd w:id="359"/>
      <w:bookmarkStart w:id="360" w:name="_Toc184313309"/>
      <w:bookmarkEnd w:id="360"/>
      <w:bookmarkStart w:id="361" w:name="_Toc184310283"/>
      <w:bookmarkEnd w:id="361"/>
      <w:bookmarkStart w:id="362" w:name="_Toc184314454"/>
      <w:bookmarkEnd w:id="362"/>
      <w:bookmarkStart w:id="363" w:name="_Toc184308108"/>
      <w:bookmarkEnd w:id="363"/>
      <w:bookmarkStart w:id="364" w:name="_Toc184314422"/>
      <w:bookmarkEnd w:id="364"/>
      <w:bookmarkStart w:id="365" w:name="_Toc184310312"/>
      <w:bookmarkEnd w:id="365"/>
      <w:bookmarkStart w:id="366" w:name="_Toc184313250"/>
      <w:bookmarkEnd w:id="366"/>
      <w:bookmarkStart w:id="367" w:name="_Toc184308103"/>
      <w:bookmarkEnd w:id="367"/>
      <w:bookmarkStart w:id="368" w:name="_Toc184308095"/>
      <w:bookmarkEnd w:id="368"/>
      <w:bookmarkStart w:id="369" w:name="_Toc184312135"/>
      <w:bookmarkEnd w:id="369"/>
      <w:bookmarkStart w:id="370" w:name="_Toc184314437"/>
      <w:bookmarkEnd w:id="370"/>
      <w:bookmarkStart w:id="371" w:name="_Toc184312067"/>
      <w:bookmarkEnd w:id="371"/>
      <w:bookmarkStart w:id="372" w:name="_Toc184312121"/>
      <w:bookmarkEnd w:id="372"/>
      <w:bookmarkStart w:id="373" w:name="_Toc184314417"/>
      <w:bookmarkEnd w:id="373"/>
      <w:bookmarkStart w:id="374" w:name="_Toc184313274"/>
      <w:bookmarkEnd w:id="374"/>
      <w:bookmarkStart w:id="375" w:name="_Toc184310333"/>
      <w:bookmarkEnd w:id="375"/>
      <w:bookmarkStart w:id="376" w:name="_Toc184308056"/>
      <w:bookmarkEnd w:id="376"/>
      <w:bookmarkStart w:id="377" w:name="_Toc184312105"/>
      <w:bookmarkEnd w:id="377"/>
      <w:bookmarkStart w:id="378" w:name="_Toc184312100"/>
      <w:bookmarkEnd w:id="378"/>
      <w:bookmarkStart w:id="379" w:name="_Toc184310282"/>
      <w:bookmarkEnd w:id="379"/>
      <w:bookmarkStart w:id="380" w:name="_Toc184312073"/>
      <w:bookmarkEnd w:id="380"/>
      <w:bookmarkStart w:id="381" w:name="_Toc184310342"/>
      <w:bookmarkEnd w:id="381"/>
      <w:bookmarkStart w:id="382" w:name="_Toc184314451"/>
      <w:bookmarkEnd w:id="382"/>
      <w:bookmarkStart w:id="383" w:name="_Toc184308068"/>
      <w:bookmarkEnd w:id="383"/>
      <w:bookmarkStart w:id="384" w:name="_Toc184310323"/>
      <w:bookmarkEnd w:id="384"/>
      <w:bookmarkStart w:id="385" w:name="_Toc184314479"/>
      <w:bookmarkEnd w:id="385"/>
      <w:bookmarkStart w:id="386" w:name="_Toc184310325"/>
      <w:bookmarkEnd w:id="386"/>
      <w:bookmarkStart w:id="387" w:name="_Toc184314419"/>
      <w:bookmarkEnd w:id="387"/>
      <w:bookmarkStart w:id="388" w:name="_Toc184314453"/>
      <w:bookmarkEnd w:id="388"/>
      <w:bookmarkStart w:id="389" w:name="_Toc184308087"/>
      <w:bookmarkEnd w:id="389"/>
      <w:bookmarkStart w:id="390" w:name="_Toc184312077"/>
      <w:bookmarkEnd w:id="390"/>
      <w:bookmarkStart w:id="391" w:name="_Toc184314482"/>
      <w:bookmarkEnd w:id="391"/>
      <w:bookmarkStart w:id="392" w:name="_Toc184308039"/>
      <w:bookmarkEnd w:id="392"/>
      <w:bookmarkStart w:id="393" w:name="_Toc184313288"/>
      <w:bookmarkEnd w:id="393"/>
      <w:bookmarkStart w:id="394" w:name="_Toc184308106"/>
      <w:bookmarkEnd w:id="394"/>
      <w:bookmarkStart w:id="395" w:name="_Toc184312127"/>
      <w:bookmarkEnd w:id="395"/>
      <w:bookmarkStart w:id="396" w:name="_Toc184310340"/>
      <w:bookmarkEnd w:id="396"/>
      <w:bookmarkStart w:id="397" w:name="_Toc184308082"/>
      <w:bookmarkEnd w:id="397"/>
      <w:bookmarkStart w:id="398" w:name="_Toc184313277"/>
      <w:bookmarkEnd w:id="398"/>
      <w:bookmarkStart w:id="399" w:name="_Toc184314465"/>
      <w:bookmarkEnd w:id="399"/>
      <w:bookmarkStart w:id="400" w:name="_Toc184310275"/>
      <w:bookmarkEnd w:id="400"/>
      <w:bookmarkStart w:id="401" w:name="_Toc184314415"/>
      <w:bookmarkEnd w:id="401"/>
      <w:bookmarkStart w:id="402" w:name="_Toc184314410"/>
      <w:bookmarkEnd w:id="402"/>
      <w:bookmarkStart w:id="403" w:name="_Toc184308062"/>
      <w:bookmarkEnd w:id="403"/>
      <w:bookmarkStart w:id="404" w:name="_Toc184310294"/>
      <w:bookmarkEnd w:id="404"/>
      <w:bookmarkStart w:id="405" w:name="_Toc184312108"/>
      <w:bookmarkEnd w:id="405"/>
      <w:bookmarkStart w:id="406" w:name="_Toc184308079"/>
      <w:bookmarkEnd w:id="406"/>
      <w:bookmarkStart w:id="407" w:name="_Toc184310326"/>
      <w:bookmarkEnd w:id="407"/>
      <w:bookmarkStart w:id="408" w:name="_Toc184313299"/>
      <w:bookmarkEnd w:id="408"/>
      <w:bookmarkStart w:id="409" w:name="_Toc184308085"/>
      <w:bookmarkEnd w:id="409"/>
      <w:bookmarkStart w:id="410" w:name="_Toc184314440"/>
      <w:bookmarkEnd w:id="410"/>
      <w:bookmarkStart w:id="411" w:name="_Toc184313271"/>
      <w:bookmarkEnd w:id="411"/>
      <w:bookmarkStart w:id="412" w:name="_Toc184313270"/>
      <w:bookmarkEnd w:id="412"/>
      <w:bookmarkStart w:id="413" w:name="_Toc184310331"/>
      <w:bookmarkEnd w:id="413"/>
      <w:bookmarkStart w:id="414" w:name="_Toc184313241"/>
      <w:bookmarkEnd w:id="414"/>
      <w:bookmarkStart w:id="415" w:name="_Toc184312116"/>
      <w:bookmarkEnd w:id="415"/>
      <w:bookmarkStart w:id="416" w:name="_Toc184310286"/>
      <w:bookmarkEnd w:id="416"/>
      <w:bookmarkStart w:id="417" w:name="_Toc184314447"/>
      <w:bookmarkEnd w:id="417"/>
      <w:bookmarkStart w:id="418" w:name="_Toc184308104"/>
      <w:bookmarkEnd w:id="418"/>
      <w:bookmarkStart w:id="419" w:name="_Toc184310344"/>
      <w:bookmarkEnd w:id="419"/>
      <w:bookmarkStart w:id="420" w:name="_Toc184313303"/>
      <w:bookmarkEnd w:id="420"/>
      <w:bookmarkStart w:id="421" w:name="_Toc184313295"/>
      <w:bookmarkEnd w:id="421"/>
      <w:bookmarkStart w:id="422" w:name="_Toc184313292"/>
      <w:bookmarkEnd w:id="422"/>
      <w:bookmarkStart w:id="423" w:name="_Toc184312097"/>
      <w:bookmarkEnd w:id="423"/>
      <w:bookmarkStart w:id="424" w:name="_Toc184314478"/>
      <w:bookmarkEnd w:id="424"/>
      <w:bookmarkStart w:id="425" w:name="_Toc184314423"/>
      <w:bookmarkEnd w:id="425"/>
      <w:bookmarkStart w:id="426" w:name="_Toc184313258"/>
      <w:bookmarkEnd w:id="426"/>
      <w:bookmarkStart w:id="427" w:name="_Toc184308057"/>
      <w:bookmarkEnd w:id="427"/>
      <w:bookmarkStart w:id="428" w:name="_Toc184308058"/>
      <w:bookmarkEnd w:id="428"/>
      <w:bookmarkStart w:id="429" w:name="_Toc184308067"/>
      <w:bookmarkEnd w:id="429"/>
      <w:bookmarkStart w:id="430" w:name="_Toc184310322"/>
      <w:bookmarkEnd w:id="430"/>
      <w:bookmarkStart w:id="431" w:name="_Toc184312133"/>
      <w:bookmarkEnd w:id="431"/>
      <w:bookmarkStart w:id="432" w:name="_Toc184312114"/>
      <w:bookmarkEnd w:id="432"/>
      <w:bookmarkStart w:id="433" w:name="_Toc184312109"/>
      <w:bookmarkEnd w:id="433"/>
      <w:bookmarkStart w:id="434" w:name="_Toc184308101"/>
      <w:bookmarkEnd w:id="434"/>
      <w:bookmarkStart w:id="435" w:name="_Toc184310279"/>
      <w:bookmarkEnd w:id="435"/>
      <w:bookmarkStart w:id="436" w:name="_Toc184308040"/>
      <w:bookmarkEnd w:id="436"/>
      <w:bookmarkStart w:id="437" w:name="_Toc184313304"/>
      <w:bookmarkEnd w:id="437"/>
      <w:bookmarkStart w:id="438" w:name="_Toc184313306"/>
      <w:bookmarkEnd w:id="438"/>
      <w:bookmarkStart w:id="439" w:name="_Toc184313298"/>
      <w:bookmarkEnd w:id="439"/>
      <w:bookmarkStart w:id="440" w:name="_Toc184314446"/>
      <w:bookmarkEnd w:id="440"/>
      <w:bookmarkStart w:id="441" w:name="_Toc184313278"/>
      <w:bookmarkEnd w:id="441"/>
      <w:bookmarkStart w:id="442" w:name="_Toc184310288"/>
      <w:bookmarkEnd w:id="442"/>
      <w:bookmarkStart w:id="443" w:name="_Toc184313252"/>
      <w:bookmarkEnd w:id="443"/>
      <w:bookmarkStart w:id="444" w:name="_Toc184313272"/>
      <w:bookmarkEnd w:id="444"/>
      <w:bookmarkStart w:id="445" w:name="_Toc184308036"/>
      <w:bookmarkEnd w:id="445"/>
      <w:bookmarkStart w:id="446" w:name="_Toc184310339"/>
      <w:bookmarkEnd w:id="446"/>
      <w:bookmarkStart w:id="447" w:name="_Toc184312079"/>
      <w:bookmarkEnd w:id="447"/>
      <w:bookmarkStart w:id="448" w:name="_Toc184310295"/>
      <w:bookmarkEnd w:id="448"/>
      <w:bookmarkStart w:id="449" w:name="_Toc184310334"/>
      <w:bookmarkEnd w:id="449"/>
      <w:bookmarkStart w:id="450" w:name="_Toc184310313"/>
      <w:bookmarkEnd w:id="450"/>
      <w:bookmarkStart w:id="451" w:name="_Toc184313307"/>
      <w:bookmarkEnd w:id="451"/>
      <w:bookmarkStart w:id="452" w:name="_Toc184310324"/>
      <w:bookmarkEnd w:id="452"/>
      <w:bookmarkStart w:id="453" w:name="_Toc184313286"/>
      <w:bookmarkEnd w:id="453"/>
      <w:bookmarkStart w:id="454" w:name="_Toc184314474"/>
      <w:bookmarkEnd w:id="454"/>
      <w:bookmarkStart w:id="455" w:name="_Toc184314445"/>
      <w:bookmarkEnd w:id="455"/>
      <w:bookmarkStart w:id="456" w:name="_Toc184313248"/>
      <w:bookmarkEnd w:id="456"/>
      <w:bookmarkStart w:id="457" w:name="_Toc184312138"/>
      <w:bookmarkEnd w:id="457"/>
      <w:bookmarkStart w:id="458" w:name="_Toc184312131"/>
      <w:bookmarkEnd w:id="458"/>
      <w:bookmarkStart w:id="459" w:name="_Toc184314467"/>
      <w:bookmarkEnd w:id="459"/>
      <w:bookmarkStart w:id="460" w:name="_Toc184308105"/>
      <w:bookmarkEnd w:id="460"/>
      <w:bookmarkStart w:id="461" w:name="_Toc184314444"/>
      <w:bookmarkEnd w:id="461"/>
      <w:bookmarkStart w:id="462" w:name="_Toc184314439"/>
      <w:bookmarkEnd w:id="462"/>
      <w:bookmarkStart w:id="463" w:name="_Toc184310303"/>
      <w:bookmarkEnd w:id="463"/>
      <w:bookmarkStart w:id="464" w:name="_Toc184314430"/>
      <w:bookmarkEnd w:id="464"/>
      <w:bookmarkStart w:id="465" w:name="_Toc184308042"/>
      <w:bookmarkEnd w:id="465"/>
      <w:bookmarkStart w:id="466" w:name="_Toc184308097"/>
      <w:bookmarkEnd w:id="466"/>
      <w:bookmarkStart w:id="467" w:name="_Toc184314426"/>
      <w:bookmarkEnd w:id="467"/>
      <w:bookmarkStart w:id="468" w:name="_Toc184313296"/>
      <w:bookmarkEnd w:id="468"/>
      <w:bookmarkStart w:id="469" w:name="_Toc184313300"/>
      <w:bookmarkEnd w:id="469"/>
      <w:bookmarkStart w:id="470" w:name="_Toc184314427"/>
      <w:bookmarkEnd w:id="470"/>
      <w:bookmarkStart w:id="471" w:name="_Toc184312089"/>
      <w:bookmarkEnd w:id="471"/>
      <w:bookmarkStart w:id="472" w:name="_Toc184310296"/>
      <w:bookmarkEnd w:id="472"/>
      <w:bookmarkStart w:id="473" w:name="_Toc184308090"/>
      <w:bookmarkEnd w:id="473"/>
      <w:bookmarkStart w:id="474" w:name="_Toc184312120"/>
      <w:bookmarkEnd w:id="474"/>
      <w:bookmarkStart w:id="475" w:name="_Toc184314432"/>
      <w:bookmarkEnd w:id="475"/>
      <w:bookmarkStart w:id="476" w:name="_Toc184312072"/>
      <w:bookmarkEnd w:id="476"/>
      <w:bookmarkStart w:id="477" w:name="_Toc184308089"/>
      <w:bookmarkEnd w:id="477"/>
      <w:bookmarkStart w:id="478" w:name="_Toc184308083"/>
      <w:bookmarkEnd w:id="478"/>
      <w:bookmarkStart w:id="479" w:name="_Toc184313240"/>
      <w:bookmarkEnd w:id="479"/>
      <w:bookmarkStart w:id="480" w:name="_Toc184312074"/>
      <w:bookmarkEnd w:id="480"/>
      <w:bookmarkStart w:id="481" w:name="_Toc184312115"/>
      <w:bookmarkEnd w:id="481"/>
      <w:bookmarkStart w:id="482" w:name="_Toc184312083"/>
      <w:bookmarkEnd w:id="482"/>
      <w:bookmarkStart w:id="483" w:name="_Toc184310321"/>
      <w:bookmarkEnd w:id="483"/>
      <w:bookmarkStart w:id="484" w:name="_Toc184314443"/>
      <w:bookmarkEnd w:id="484"/>
      <w:bookmarkStart w:id="485" w:name="_Toc184313297"/>
      <w:bookmarkEnd w:id="485"/>
      <w:bookmarkStart w:id="486" w:name="_Toc184312119"/>
      <w:bookmarkEnd w:id="486"/>
      <w:bookmarkStart w:id="487" w:name="_Toc184314456"/>
      <w:bookmarkEnd w:id="487"/>
      <w:bookmarkStart w:id="488" w:name="_Toc184308094"/>
      <w:bookmarkEnd w:id="488"/>
      <w:bookmarkStart w:id="489" w:name="_Toc184310329"/>
      <w:bookmarkEnd w:id="489"/>
      <w:bookmarkStart w:id="490" w:name="_Toc184310299"/>
      <w:bookmarkEnd w:id="490"/>
      <w:bookmarkStart w:id="491" w:name="_Toc184310278"/>
      <w:bookmarkEnd w:id="491"/>
      <w:bookmarkStart w:id="492" w:name="_Toc184312122"/>
      <w:bookmarkEnd w:id="492"/>
      <w:bookmarkStart w:id="493" w:name="_Toc184313305"/>
      <w:bookmarkEnd w:id="493"/>
      <w:bookmarkStart w:id="494" w:name="_Toc184308052"/>
      <w:bookmarkEnd w:id="494"/>
      <w:bookmarkStart w:id="495" w:name="_Toc184313302"/>
      <w:bookmarkEnd w:id="495"/>
      <w:bookmarkStart w:id="496" w:name="_Toc184312137"/>
      <w:bookmarkEnd w:id="496"/>
      <w:bookmarkStart w:id="497" w:name="_Toc184314455"/>
      <w:bookmarkEnd w:id="497"/>
      <w:bookmarkStart w:id="498" w:name="_Toc184312069"/>
      <w:bookmarkEnd w:id="498"/>
      <w:bookmarkStart w:id="499" w:name="_Toc184314438"/>
      <w:bookmarkEnd w:id="499"/>
      <w:bookmarkStart w:id="500" w:name="_Toc184310300"/>
      <w:bookmarkEnd w:id="500"/>
      <w:bookmarkStart w:id="501" w:name="_Toc184308069"/>
      <w:bookmarkEnd w:id="501"/>
      <w:bookmarkStart w:id="502" w:name="_Toc184314477"/>
      <w:bookmarkEnd w:id="502"/>
      <w:bookmarkStart w:id="503" w:name="_Toc184314476"/>
      <w:bookmarkEnd w:id="503"/>
      <w:bookmarkStart w:id="504" w:name="_Toc184310318"/>
      <w:bookmarkEnd w:id="504"/>
      <w:bookmarkStart w:id="505" w:name="_Toc184314433"/>
      <w:bookmarkEnd w:id="505"/>
      <w:bookmarkStart w:id="506" w:name="_Toc184313279"/>
      <w:bookmarkEnd w:id="506"/>
      <w:bookmarkStart w:id="507" w:name="_Toc184314429"/>
      <w:bookmarkEnd w:id="507"/>
      <w:bookmarkStart w:id="508" w:name="_Toc184308084"/>
      <w:bookmarkEnd w:id="508"/>
      <w:bookmarkStart w:id="509" w:name="_Toc184314462"/>
      <w:bookmarkEnd w:id="509"/>
      <w:bookmarkStart w:id="510" w:name="_Toc184310293"/>
      <w:bookmarkEnd w:id="510"/>
      <w:bookmarkStart w:id="511" w:name="_Toc184312134"/>
      <w:bookmarkEnd w:id="511"/>
      <w:bookmarkStart w:id="512" w:name="_Toc184310335"/>
      <w:bookmarkEnd w:id="512"/>
      <w:bookmarkStart w:id="513" w:name="_Toc184310314"/>
      <w:bookmarkEnd w:id="513"/>
      <w:bookmarkStart w:id="514" w:name="_Toc184312096"/>
      <w:bookmarkEnd w:id="514"/>
      <w:bookmarkStart w:id="515" w:name="_Toc184313249"/>
      <w:bookmarkEnd w:id="515"/>
      <w:bookmarkStart w:id="516" w:name="_Toc184313269"/>
      <w:bookmarkEnd w:id="516"/>
      <w:bookmarkStart w:id="517" w:name="_Toc184310276"/>
      <w:bookmarkEnd w:id="517"/>
      <w:bookmarkStart w:id="518" w:name="_Toc184313244"/>
      <w:bookmarkEnd w:id="518"/>
      <w:bookmarkStart w:id="519" w:name="_Toc184310319"/>
      <w:bookmarkEnd w:id="519"/>
      <w:bookmarkStart w:id="520" w:name="_Toc184314472"/>
      <w:bookmarkEnd w:id="520"/>
      <w:bookmarkStart w:id="521" w:name="_Toc184308049"/>
      <w:bookmarkEnd w:id="521"/>
      <w:bookmarkStart w:id="522" w:name="_Toc184314411"/>
      <w:bookmarkEnd w:id="522"/>
      <w:bookmarkStart w:id="523" w:name="_Toc184312086"/>
      <w:bookmarkEnd w:id="523"/>
      <w:bookmarkStart w:id="524" w:name="_Toc184313254"/>
      <w:bookmarkEnd w:id="524"/>
      <w:bookmarkStart w:id="525" w:name="_Toc184308080"/>
      <w:bookmarkEnd w:id="525"/>
      <w:bookmarkStart w:id="526" w:name="_Toc184308046"/>
      <w:bookmarkEnd w:id="526"/>
      <w:bookmarkStart w:id="527" w:name="_Toc184312128"/>
      <w:bookmarkEnd w:id="527"/>
      <w:bookmarkStart w:id="528" w:name="_Toc184312094"/>
      <w:bookmarkEnd w:id="528"/>
      <w:bookmarkStart w:id="529" w:name="_Toc184310338"/>
      <w:bookmarkEnd w:id="529"/>
      <w:bookmarkStart w:id="530" w:name="_Toc184308074"/>
      <w:bookmarkEnd w:id="530"/>
      <w:bookmarkStart w:id="531" w:name="_Toc184313294"/>
      <w:bookmarkEnd w:id="531"/>
      <w:bookmarkStart w:id="532" w:name="_Toc184313255"/>
      <w:bookmarkEnd w:id="532"/>
      <w:bookmarkStart w:id="533" w:name="_Toc184312095"/>
      <w:bookmarkEnd w:id="533"/>
      <w:bookmarkStart w:id="534" w:name="_Toc184308047"/>
      <w:bookmarkEnd w:id="534"/>
      <w:bookmarkStart w:id="535" w:name="_Toc184310316"/>
      <w:bookmarkEnd w:id="535"/>
      <w:bookmarkStart w:id="536" w:name="_Toc184313273"/>
      <w:bookmarkEnd w:id="536"/>
      <w:bookmarkStart w:id="537" w:name="_Toc184308055"/>
      <w:bookmarkEnd w:id="537"/>
      <w:bookmarkStart w:id="538" w:name="_Toc184314416"/>
      <w:bookmarkEnd w:id="538"/>
      <w:bookmarkStart w:id="539" w:name="_Toc184310320"/>
      <w:bookmarkEnd w:id="539"/>
      <w:bookmarkStart w:id="540" w:name="_Toc184313291"/>
      <w:bookmarkEnd w:id="540"/>
      <w:bookmarkStart w:id="541" w:name="_Toc184310307"/>
      <w:bookmarkEnd w:id="541"/>
      <w:bookmarkStart w:id="542" w:name="_Toc184312132"/>
      <w:bookmarkEnd w:id="542"/>
      <w:bookmarkStart w:id="543" w:name="_Toc184310328"/>
      <w:bookmarkEnd w:id="543"/>
      <w:bookmarkStart w:id="544" w:name="_Toc184312136"/>
      <w:bookmarkEnd w:id="544"/>
      <w:bookmarkStart w:id="545" w:name="_Toc184314449"/>
      <w:bookmarkEnd w:id="545"/>
      <w:bookmarkStart w:id="546" w:name="_Toc184310284"/>
      <w:bookmarkEnd w:id="546"/>
      <w:bookmarkStart w:id="547" w:name="_Toc184310287"/>
      <w:bookmarkEnd w:id="547"/>
      <w:bookmarkStart w:id="548" w:name="_Toc184308075"/>
      <w:bookmarkEnd w:id="548"/>
      <w:bookmarkStart w:id="549" w:name="_Toc184308070"/>
      <w:bookmarkEnd w:id="549"/>
      <w:bookmarkStart w:id="550" w:name="_Toc184313256"/>
      <w:bookmarkEnd w:id="550"/>
      <w:bookmarkStart w:id="551" w:name="_Toc184312082"/>
      <w:bookmarkEnd w:id="551"/>
      <w:bookmarkStart w:id="552" w:name="_Toc184308098"/>
      <w:bookmarkEnd w:id="552"/>
      <w:bookmarkStart w:id="553" w:name="_Toc184310343"/>
      <w:bookmarkEnd w:id="553"/>
      <w:bookmarkStart w:id="554" w:name="_Toc184308066"/>
      <w:bookmarkEnd w:id="554"/>
      <w:bookmarkStart w:id="555" w:name="_Toc184313264"/>
      <w:bookmarkEnd w:id="555"/>
      <w:bookmarkStart w:id="556" w:name="_Toc184312070"/>
      <w:bookmarkEnd w:id="556"/>
      <w:bookmarkStart w:id="557" w:name="_Toc184310315"/>
      <w:bookmarkEnd w:id="557"/>
      <w:bookmarkStart w:id="558" w:name="_Toc184314435"/>
      <w:bookmarkEnd w:id="558"/>
      <w:bookmarkStart w:id="559" w:name="_Toc184308044"/>
      <w:bookmarkEnd w:id="559"/>
      <w:bookmarkStart w:id="560" w:name="_Toc184310305"/>
      <w:bookmarkEnd w:id="560"/>
      <w:bookmarkStart w:id="561" w:name="_Toc184314461"/>
      <w:bookmarkEnd w:id="561"/>
      <w:bookmarkStart w:id="562" w:name="_Toc184312104"/>
      <w:bookmarkEnd w:id="562"/>
      <w:bookmarkStart w:id="563" w:name="_Toc184308051"/>
      <w:bookmarkEnd w:id="563"/>
      <w:bookmarkStart w:id="564" w:name="_Toc184313268"/>
      <w:bookmarkEnd w:id="564"/>
      <w:bookmarkStart w:id="565" w:name="_Toc184314458"/>
      <w:bookmarkEnd w:id="565"/>
      <w:bookmarkStart w:id="566" w:name="_Toc184312075"/>
      <w:bookmarkEnd w:id="566"/>
      <w:bookmarkStart w:id="567" w:name="_Toc184314481"/>
      <w:bookmarkEnd w:id="567"/>
      <w:bookmarkStart w:id="568" w:name="_Toc184310289"/>
      <w:bookmarkEnd w:id="568"/>
      <w:bookmarkStart w:id="569" w:name="_Toc184313246"/>
      <w:bookmarkEnd w:id="569"/>
      <w:bookmarkStart w:id="570" w:name="_Toc184308099"/>
      <w:bookmarkEnd w:id="570"/>
      <w:bookmarkStart w:id="571" w:name="_Toc184314425"/>
      <w:bookmarkEnd w:id="571"/>
      <w:bookmarkStart w:id="572" w:name="_Toc184314441"/>
      <w:bookmarkEnd w:id="572"/>
      <w:bookmarkStart w:id="573" w:name="_Toc184310308"/>
      <w:bookmarkEnd w:id="573"/>
      <w:bookmarkStart w:id="574" w:name="_Toc184310310"/>
      <w:bookmarkEnd w:id="574"/>
      <w:bookmarkStart w:id="575" w:name="_Toc184312130"/>
      <w:bookmarkEnd w:id="575"/>
      <w:bookmarkStart w:id="576" w:name="_Toc184313281"/>
      <w:bookmarkEnd w:id="576"/>
      <w:bookmarkStart w:id="577" w:name="_Toc184312111"/>
      <w:bookmarkEnd w:id="577"/>
      <w:bookmarkStart w:id="578" w:name="_Toc184312126"/>
      <w:bookmarkEnd w:id="578"/>
      <w:bookmarkStart w:id="579" w:name="_Toc184312099"/>
      <w:bookmarkEnd w:id="579"/>
      <w:bookmarkStart w:id="580" w:name="_Toc184310292"/>
      <w:bookmarkEnd w:id="580"/>
      <w:bookmarkStart w:id="581" w:name="_Toc184313253"/>
      <w:bookmarkEnd w:id="581"/>
      <w:bookmarkStart w:id="582" w:name="_Toc184310302"/>
      <w:bookmarkEnd w:id="582"/>
      <w:bookmarkStart w:id="583" w:name="_Toc184313289"/>
      <w:bookmarkEnd w:id="583"/>
      <w:bookmarkStart w:id="584" w:name="_Toc184308072"/>
      <w:bookmarkEnd w:id="584"/>
      <w:bookmarkStart w:id="585" w:name="_Toc184308096"/>
      <w:bookmarkEnd w:id="585"/>
      <w:bookmarkStart w:id="586" w:name="_Toc184312081"/>
      <w:bookmarkEnd w:id="586"/>
      <w:bookmarkStart w:id="587" w:name="_Toc184308061"/>
      <w:bookmarkEnd w:id="587"/>
      <w:bookmarkStart w:id="588" w:name="_Toc184308093"/>
      <w:bookmarkEnd w:id="588"/>
      <w:bookmarkStart w:id="589" w:name="_Toc184314414"/>
      <w:bookmarkEnd w:id="589"/>
      <w:bookmarkStart w:id="590" w:name="_Toc184312113"/>
      <w:bookmarkEnd w:id="590"/>
      <w:bookmarkStart w:id="591" w:name="_Toc184313261"/>
      <w:bookmarkEnd w:id="591"/>
      <w:bookmarkStart w:id="592" w:name="_Toc184312124"/>
      <w:bookmarkEnd w:id="592"/>
      <w:bookmarkStart w:id="593" w:name="_Toc184312139"/>
      <w:bookmarkEnd w:id="593"/>
      <w:bookmarkStart w:id="594" w:name="_Toc184310277"/>
      <w:bookmarkEnd w:id="594"/>
      <w:bookmarkStart w:id="595" w:name="_Toc184308054"/>
      <w:bookmarkEnd w:id="595"/>
      <w:bookmarkStart w:id="596" w:name="_Toc184308050"/>
      <w:bookmarkEnd w:id="596"/>
      <w:bookmarkStart w:id="597" w:name="_Toc184310341"/>
      <w:bookmarkEnd w:id="597"/>
      <w:bookmarkStart w:id="598" w:name="_Toc184314436"/>
      <w:bookmarkEnd w:id="598"/>
      <w:bookmarkStart w:id="599" w:name="_Toc184308064"/>
      <w:bookmarkEnd w:id="599"/>
      <w:bookmarkStart w:id="600" w:name="_Toc184308092"/>
      <w:bookmarkEnd w:id="600"/>
      <w:bookmarkStart w:id="601" w:name="_Toc184313260"/>
      <w:bookmarkEnd w:id="601"/>
      <w:bookmarkStart w:id="602" w:name="_Toc184314412"/>
      <w:bookmarkEnd w:id="602"/>
      <w:bookmarkStart w:id="603" w:name="_Toc184312110"/>
      <w:bookmarkEnd w:id="603"/>
      <w:bookmarkStart w:id="604" w:name="_Toc184312101"/>
      <w:bookmarkEnd w:id="604"/>
      <w:bookmarkStart w:id="605" w:name="_Toc184308059"/>
      <w:bookmarkEnd w:id="605"/>
      <w:bookmarkStart w:id="606" w:name="_Toc184313267"/>
      <w:bookmarkEnd w:id="606"/>
      <w:bookmarkStart w:id="607" w:name="_Toc184312107"/>
      <w:bookmarkEnd w:id="607"/>
      <w:bookmarkStart w:id="608" w:name="_Toc184312071"/>
      <w:bookmarkEnd w:id="608"/>
      <w:bookmarkStart w:id="609" w:name="_Toc184313245"/>
      <w:bookmarkEnd w:id="609"/>
      <w:bookmarkStart w:id="610" w:name="_Toc184313301"/>
      <w:bookmarkEnd w:id="610"/>
      <w:bookmarkStart w:id="611" w:name="_Toc184313243"/>
      <w:bookmarkEnd w:id="611"/>
      <w:bookmarkStart w:id="612" w:name="_Toc184313247"/>
      <w:bookmarkEnd w:id="612"/>
      <w:r>
        <w:rPr>
          <w:rFonts w:hint="eastAsia" w:ascii="宋体" w:hAnsi="宋体" w:cs="宋体"/>
          <w:b/>
          <w:color w:val="auto"/>
          <w:sz w:val="36"/>
          <w:szCs w:val="36"/>
          <w:highlight w:val="none"/>
        </w:rPr>
        <w:t>评标办法</w:t>
      </w:r>
      <w:bookmarkEnd w:id="64"/>
      <w:bookmarkEnd w:id="65"/>
    </w:p>
    <w:p>
      <w:pPr>
        <w:snapToGrid w:val="0"/>
        <w:spacing w:line="360" w:lineRule="auto"/>
        <w:jc w:val="center"/>
        <w:outlineLvl w:val="1"/>
        <w:rPr>
          <w:rFonts w:hint="eastAsia" w:ascii="宋体" w:hAnsi="宋体" w:cs="宋体"/>
          <w:b/>
          <w:color w:val="auto"/>
          <w:sz w:val="32"/>
          <w:szCs w:val="20"/>
          <w:highlight w:val="none"/>
        </w:rPr>
      </w:pPr>
      <w:r>
        <w:rPr>
          <w:rFonts w:hint="eastAsia" w:ascii="宋体" w:hAnsi="宋体" w:cs="宋体"/>
          <w:b/>
          <w:color w:val="auto"/>
          <w:sz w:val="32"/>
          <w:szCs w:val="20"/>
          <w:highlight w:val="none"/>
        </w:rPr>
        <w:t>评标办法前附表</w:t>
      </w:r>
    </w:p>
    <w:p>
      <w:pPr>
        <w:keepNext w:val="0"/>
        <w:keepLines w:val="0"/>
        <w:pageBreakBefore w:val="0"/>
        <w:widowControl w:val="0"/>
        <w:kinsoku/>
        <w:wordWrap/>
        <w:overflowPunct/>
        <w:topLinePunct w:val="0"/>
        <w:autoSpaceDE/>
        <w:autoSpaceDN/>
        <w:bidi w:val="0"/>
        <w:adjustRightInd w:val="0"/>
        <w:snapToGrid/>
        <w:jc w:val="left"/>
        <w:textAlignment w:val="auto"/>
        <w:rPr>
          <w:rFonts w:hint="default" w:ascii="宋体" w:hAnsi="宋体" w:eastAsia="宋体" w:cs="宋体"/>
          <w:b/>
          <w:bCs/>
          <w:color w:val="auto"/>
          <w:kern w:val="0"/>
          <w:sz w:val="28"/>
          <w:szCs w:val="28"/>
          <w:highlight w:val="none"/>
          <w:lang w:val="en-US" w:eastAsia="zh-CN" w:bidi="ar"/>
        </w:rPr>
      </w:pPr>
      <w:r>
        <w:rPr>
          <w:rFonts w:hint="eastAsia" w:ascii="宋体" w:hAnsi="宋体" w:eastAsia="宋体" w:cs="宋体"/>
          <w:b/>
          <w:bCs/>
          <w:color w:val="auto"/>
          <w:kern w:val="0"/>
          <w:sz w:val="28"/>
          <w:szCs w:val="28"/>
          <w:highlight w:val="none"/>
          <w:lang w:val="en-US" w:eastAsia="zh-CN" w:bidi="ar"/>
        </w:rPr>
        <w:t>标项一</w:t>
      </w:r>
    </w:p>
    <w:tbl>
      <w:tblPr>
        <w:tblStyle w:val="65"/>
        <w:tblpPr w:leftFromText="180" w:rightFromText="180" w:vertAnchor="text" w:horzAnchor="page" w:tblpX="1422" w:tblpY="607"/>
        <w:tblOverlap w:val="never"/>
        <w:tblW w:w="9268" w:type="dxa"/>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091"/>
        <w:gridCol w:w="5626"/>
        <w:gridCol w:w="524"/>
        <w:gridCol w:w="1260"/>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88" w:hRule="atLeast"/>
          <w:tblHeader/>
        </w:trPr>
        <w:tc>
          <w:tcPr>
            <w:tcW w:w="767" w:type="dxa"/>
            <w:vAlign w:val="center"/>
          </w:tcPr>
          <w:p>
            <w:pPr>
              <w:widowControl/>
              <w:snapToGrid w:val="0"/>
              <w:spacing w:line="360" w:lineRule="exact"/>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序号</w:t>
            </w:r>
          </w:p>
        </w:tc>
        <w:tc>
          <w:tcPr>
            <w:tcW w:w="6717" w:type="dxa"/>
            <w:gridSpan w:val="2"/>
            <w:vAlign w:val="center"/>
          </w:tcPr>
          <w:p>
            <w:pPr>
              <w:snapToGrid w:val="0"/>
              <w:spacing w:line="360" w:lineRule="exact"/>
              <w:jc w:val="center"/>
              <w:rPr>
                <w:rFonts w:ascii="宋体" w:hAnsi="宋体" w:cs="宋体"/>
                <w:b/>
                <w:bCs/>
                <w:color w:val="auto"/>
                <w:szCs w:val="21"/>
                <w:highlight w:val="none"/>
              </w:rPr>
            </w:pPr>
            <w:r>
              <w:rPr>
                <w:rFonts w:hint="eastAsia" w:ascii="宋体" w:hAnsi="宋体" w:cs="宋体"/>
                <w:b/>
                <w:bCs/>
                <w:color w:val="auto"/>
                <w:szCs w:val="21"/>
                <w:highlight w:val="none"/>
              </w:rPr>
              <w:t>评标标准</w:t>
            </w:r>
          </w:p>
        </w:tc>
        <w:tc>
          <w:tcPr>
            <w:tcW w:w="524" w:type="dxa"/>
            <w:vAlign w:val="center"/>
          </w:tcPr>
          <w:p>
            <w:pPr>
              <w:snapToGrid w:val="0"/>
              <w:spacing w:line="360" w:lineRule="exact"/>
              <w:jc w:val="center"/>
              <w:rPr>
                <w:rFonts w:ascii="宋体" w:hAnsi="宋体" w:cs="宋体"/>
                <w:b/>
                <w:bCs/>
                <w:color w:val="auto"/>
                <w:szCs w:val="21"/>
                <w:highlight w:val="none"/>
              </w:rPr>
            </w:pPr>
            <w:r>
              <w:rPr>
                <w:rFonts w:hint="eastAsia" w:ascii="宋体" w:hAnsi="宋体" w:cs="宋体"/>
                <w:b/>
                <w:bCs/>
                <w:color w:val="auto"/>
                <w:szCs w:val="21"/>
                <w:highlight w:val="none"/>
              </w:rPr>
              <w:t>权重</w:t>
            </w:r>
          </w:p>
        </w:tc>
        <w:tc>
          <w:tcPr>
            <w:tcW w:w="1260" w:type="dxa"/>
            <w:vAlign w:val="center"/>
          </w:tcPr>
          <w:p>
            <w:pPr>
              <w:snapToGrid w:val="0"/>
              <w:spacing w:line="360" w:lineRule="exact"/>
              <w:jc w:val="center"/>
              <w:rPr>
                <w:rFonts w:ascii="宋体" w:hAnsi="宋体" w:cs="宋体"/>
                <w:b/>
                <w:bCs/>
                <w:color w:val="auto"/>
                <w:szCs w:val="21"/>
                <w:highlight w:val="none"/>
              </w:rPr>
            </w:pPr>
            <w:r>
              <w:rPr>
                <w:rFonts w:hint="eastAsia" w:ascii="宋体" w:hAnsi="宋体" w:cs="宋体"/>
                <w:b/>
                <w:bCs/>
                <w:color w:val="auto"/>
                <w:szCs w:val="21"/>
                <w:highlight w:val="none"/>
              </w:rPr>
              <w:t>主观分/客观分属性</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9268" w:type="dxa"/>
            <w:gridSpan w:val="5"/>
            <w:vAlign w:val="center"/>
          </w:tcPr>
          <w:p>
            <w:pPr>
              <w:widowControl/>
              <w:spacing w:line="360" w:lineRule="exact"/>
              <w:jc w:val="center"/>
              <w:rPr>
                <w:rFonts w:ascii="宋体" w:hAnsi="宋体" w:cs="宋体"/>
                <w:color w:val="auto"/>
                <w:kern w:val="0"/>
                <w:szCs w:val="21"/>
                <w:highlight w:val="none"/>
              </w:rPr>
            </w:pPr>
            <w:r>
              <w:rPr>
                <w:rFonts w:hint="eastAsia" w:ascii="宋体" w:hAnsi="宋体" w:cs="宋体"/>
                <w:b/>
                <w:bCs/>
                <w:color w:val="auto"/>
                <w:kern w:val="0"/>
                <w:szCs w:val="21"/>
                <w:highlight w:val="none"/>
              </w:rPr>
              <w:t>一、商务技术分（</w:t>
            </w:r>
            <w:r>
              <w:rPr>
                <w:rFonts w:hint="eastAsia" w:ascii="宋体" w:hAnsi="宋体" w:cs="宋体"/>
                <w:b/>
                <w:bCs/>
                <w:color w:val="auto"/>
                <w:kern w:val="0"/>
                <w:szCs w:val="21"/>
                <w:highlight w:val="none"/>
                <w:lang w:val="en-US" w:eastAsia="zh-CN"/>
              </w:rPr>
              <w:t>7</w:t>
            </w:r>
            <w:r>
              <w:rPr>
                <w:rFonts w:hint="eastAsia" w:ascii="宋体" w:hAnsi="宋体" w:cs="宋体"/>
                <w:b/>
                <w:bCs/>
                <w:color w:val="auto"/>
                <w:kern w:val="0"/>
                <w:szCs w:val="21"/>
                <w:highlight w:val="none"/>
              </w:rPr>
              <w:t>0分）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767" w:type="dxa"/>
            <w:vAlign w:val="center"/>
          </w:tcPr>
          <w:p>
            <w:pPr>
              <w:widowControl/>
              <w:snapToGri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1091" w:type="dxa"/>
            <w:vAlign w:val="center"/>
          </w:tcPr>
          <w:p>
            <w:pPr>
              <w:pStyle w:val="515"/>
              <w:spacing w:line="360" w:lineRule="exact"/>
              <w:ind w:firstLine="0" w:firstLineChars="0"/>
              <w:jc w:val="center"/>
              <w:rPr>
                <w:rFonts w:ascii="宋体" w:hAnsi="宋体" w:cs="宋体"/>
                <w:color w:val="auto"/>
                <w:kern w:val="2"/>
                <w:sz w:val="21"/>
                <w:szCs w:val="21"/>
                <w:highlight w:val="none"/>
                <w:lang w:bidi="ar"/>
              </w:rPr>
            </w:pPr>
            <w:r>
              <w:rPr>
                <w:rFonts w:hint="eastAsia" w:ascii="宋体" w:hAnsi="宋体" w:cs="宋体"/>
                <w:color w:val="auto"/>
                <w:sz w:val="21"/>
                <w:szCs w:val="21"/>
                <w:highlight w:val="none"/>
              </w:rPr>
              <w:t>性能指标（30分）</w:t>
            </w:r>
          </w:p>
        </w:tc>
        <w:tc>
          <w:tcPr>
            <w:tcW w:w="5626" w:type="dxa"/>
            <w:vAlign w:val="center"/>
          </w:tcPr>
          <w:p>
            <w:pPr>
              <w:adjustRightInd/>
              <w:spacing w:line="360" w:lineRule="exact"/>
              <w:rPr>
                <w:rFonts w:ascii="宋体" w:hAnsi="宋体" w:cs="宋体"/>
                <w:color w:val="auto"/>
                <w:szCs w:val="21"/>
                <w:highlight w:val="none"/>
                <w:lang w:bidi="ar"/>
              </w:rPr>
            </w:pPr>
            <w:r>
              <w:rPr>
                <w:rFonts w:hint="eastAsia" w:ascii="宋体" w:hAnsi="宋体" w:cs="宋体"/>
                <w:color w:val="auto"/>
                <w:szCs w:val="21"/>
                <w:highlight w:val="none"/>
              </w:rPr>
              <w:t>根据投标单位提供设备的功能和技术参数进行打分,技术参数完全符合“技术参数要求”，没有负偏离的得30分，带★ 的参数为重要指标，每负偏一项扣2分，其他未标注符号的技术参数每负偏一项减1分，</w:t>
            </w:r>
            <w:r>
              <w:rPr>
                <w:rFonts w:hint="eastAsia" w:ascii="宋体" w:hAnsi="宋体" w:cs="宋体"/>
                <w:bCs/>
                <w:color w:val="auto"/>
                <w:szCs w:val="21"/>
                <w:highlight w:val="none"/>
              </w:rPr>
              <w:t>扣分至0分及以下的，其投标文件作无效标处理。</w:t>
            </w:r>
          </w:p>
        </w:tc>
        <w:tc>
          <w:tcPr>
            <w:tcW w:w="524" w:type="dxa"/>
            <w:vAlign w:val="center"/>
          </w:tcPr>
          <w:p>
            <w:pPr>
              <w:widowControl/>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30</w:t>
            </w:r>
          </w:p>
        </w:tc>
        <w:tc>
          <w:tcPr>
            <w:tcW w:w="1260" w:type="dxa"/>
            <w:vAlign w:val="center"/>
          </w:tcPr>
          <w:p>
            <w:pPr>
              <w:widowControl/>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客观分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767" w:type="dxa"/>
            <w:vMerge w:val="restart"/>
            <w:vAlign w:val="center"/>
          </w:tcPr>
          <w:p>
            <w:pPr>
              <w:widowControl/>
              <w:snapToGri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1091" w:type="dxa"/>
            <w:vMerge w:val="restart"/>
            <w:vAlign w:val="center"/>
          </w:tcPr>
          <w:p>
            <w:pPr>
              <w:widowControl/>
              <w:spacing w:line="360" w:lineRule="exact"/>
              <w:jc w:val="center"/>
              <w:rPr>
                <w:rFonts w:ascii="宋体" w:hAnsi="宋体" w:cs="宋体"/>
                <w:color w:val="auto"/>
                <w:szCs w:val="21"/>
                <w:highlight w:val="none"/>
              </w:rPr>
            </w:pPr>
            <w:r>
              <w:rPr>
                <w:rFonts w:hint="eastAsia" w:ascii="宋体" w:hAnsi="宋体" w:cs="宋体"/>
                <w:color w:val="auto"/>
                <w:szCs w:val="21"/>
                <w:highlight w:val="none"/>
                <w:lang w:bidi="ar"/>
              </w:rPr>
              <w:t>项目实施方案（</w:t>
            </w:r>
            <w:r>
              <w:rPr>
                <w:rFonts w:hint="eastAsia" w:ascii="宋体" w:hAnsi="宋体" w:cs="宋体"/>
                <w:color w:val="auto"/>
                <w:szCs w:val="21"/>
                <w:highlight w:val="none"/>
                <w:lang w:val="en-US" w:eastAsia="zh-CN" w:bidi="ar"/>
              </w:rPr>
              <w:t>15</w:t>
            </w:r>
            <w:r>
              <w:rPr>
                <w:rFonts w:hint="eastAsia" w:ascii="宋体" w:hAnsi="宋体" w:cs="宋体"/>
                <w:color w:val="auto"/>
                <w:szCs w:val="21"/>
                <w:highlight w:val="none"/>
                <w:lang w:bidi="ar"/>
              </w:rPr>
              <w:t>分）</w:t>
            </w:r>
          </w:p>
        </w:tc>
        <w:tc>
          <w:tcPr>
            <w:tcW w:w="5626" w:type="dxa"/>
            <w:vAlign w:val="center"/>
          </w:tcPr>
          <w:p>
            <w:pPr>
              <w:spacing w:line="360" w:lineRule="exact"/>
              <w:rPr>
                <w:rFonts w:ascii="宋体" w:hAnsi="宋体" w:cs="宋体"/>
                <w:color w:val="auto"/>
                <w:szCs w:val="21"/>
                <w:highlight w:val="none"/>
                <w:lang w:bidi="ar"/>
              </w:rPr>
            </w:pPr>
            <w:r>
              <w:rPr>
                <w:rFonts w:hint="eastAsia" w:ascii="宋体" w:hAnsi="宋体" w:cs="宋体"/>
                <w:color w:val="auto"/>
                <w:szCs w:val="21"/>
                <w:highlight w:val="none"/>
                <w:lang w:bidi="ar"/>
              </w:rPr>
              <w:t>施工组织方案（5分）评委根据投标人提供的投标文件，对其针对本项目制定的施工组织方案进行评审：方案描述完整、详尽、清楚、适用性强的得5分，方案描述较完整、适用性较强的得3分，方案描述基本完整、适用性一般的得1分，方案描述欠缺、适用性差的得0分，未提供本项内容的不得分。</w:t>
            </w:r>
          </w:p>
        </w:tc>
        <w:tc>
          <w:tcPr>
            <w:tcW w:w="524" w:type="dxa"/>
            <w:vAlign w:val="center"/>
          </w:tcPr>
          <w:p>
            <w:pPr>
              <w:widowControl/>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c>
          <w:tcPr>
            <w:tcW w:w="1260" w:type="dxa"/>
            <w:vAlign w:val="center"/>
          </w:tcPr>
          <w:p>
            <w:pPr>
              <w:widowControl/>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主观分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767" w:type="dxa"/>
            <w:vMerge w:val="continue"/>
            <w:vAlign w:val="center"/>
          </w:tcPr>
          <w:p>
            <w:pPr>
              <w:widowControl/>
              <w:snapToGrid w:val="0"/>
              <w:spacing w:line="360" w:lineRule="exact"/>
              <w:jc w:val="center"/>
              <w:rPr>
                <w:rFonts w:ascii="宋体" w:hAnsi="宋体" w:cs="宋体"/>
                <w:color w:val="auto"/>
                <w:kern w:val="0"/>
                <w:szCs w:val="21"/>
                <w:highlight w:val="none"/>
              </w:rPr>
            </w:pPr>
          </w:p>
        </w:tc>
        <w:tc>
          <w:tcPr>
            <w:tcW w:w="1091" w:type="dxa"/>
            <w:vMerge w:val="continue"/>
            <w:vAlign w:val="center"/>
          </w:tcPr>
          <w:p>
            <w:pPr>
              <w:widowControl/>
              <w:spacing w:line="360" w:lineRule="exact"/>
              <w:jc w:val="center"/>
              <w:rPr>
                <w:rFonts w:ascii="宋体" w:hAnsi="宋体" w:cs="宋体"/>
                <w:color w:val="auto"/>
                <w:szCs w:val="21"/>
                <w:highlight w:val="none"/>
              </w:rPr>
            </w:pPr>
          </w:p>
        </w:tc>
        <w:tc>
          <w:tcPr>
            <w:tcW w:w="5626" w:type="dxa"/>
            <w:vAlign w:val="center"/>
          </w:tcPr>
          <w:p>
            <w:pPr>
              <w:spacing w:line="360" w:lineRule="exact"/>
              <w:rPr>
                <w:rFonts w:ascii="宋体" w:hAnsi="宋体" w:cs="宋体"/>
                <w:color w:val="auto"/>
                <w:szCs w:val="21"/>
                <w:highlight w:val="none"/>
                <w:lang w:bidi="ar"/>
              </w:rPr>
            </w:pPr>
            <w:r>
              <w:rPr>
                <w:rFonts w:hint="eastAsia" w:ascii="宋体" w:hAnsi="宋体" w:cs="宋体"/>
                <w:color w:val="auto"/>
                <w:szCs w:val="21"/>
                <w:highlight w:val="none"/>
                <w:lang w:bidi="ar"/>
              </w:rPr>
              <w:t>安全保障措施（</w:t>
            </w:r>
            <w:r>
              <w:rPr>
                <w:rFonts w:hint="eastAsia" w:ascii="宋体" w:hAnsi="宋体" w:cs="宋体"/>
                <w:color w:val="auto"/>
                <w:szCs w:val="21"/>
                <w:highlight w:val="none"/>
                <w:lang w:val="en-US" w:eastAsia="zh-CN" w:bidi="ar"/>
              </w:rPr>
              <w:t>4</w:t>
            </w:r>
            <w:r>
              <w:rPr>
                <w:rFonts w:hint="eastAsia" w:ascii="宋体" w:hAnsi="宋体" w:cs="宋体"/>
                <w:color w:val="auto"/>
                <w:szCs w:val="21"/>
                <w:highlight w:val="none"/>
                <w:lang w:bidi="ar"/>
              </w:rPr>
              <w:t>分）评委根据投标人提供的投标文件，对其针对本项目制定的施工期间安全保障措施进行评审：措施完整、内容全面、操作性强的得</w:t>
            </w:r>
            <w:r>
              <w:rPr>
                <w:rFonts w:hint="eastAsia" w:ascii="宋体" w:hAnsi="宋体" w:cs="宋体"/>
                <w:color w:val="auto"/>
                <w:szCs w:val="21"/>
                <w:highlight w:val="none"/>
                <w:lang w:val="en-US" w:eastAsia="zh-CN" w:bidi="ar"/>
              </w:rPr>
              <w:t>4</w:t>
            </w:r>
            <w:r>
              <w:rPr>
                <w:rFonts w:hint="eastAsia" w:ascii="宋体" w:hAnsi="宋体" w:cs="宋体"/>
                <w:color w:val="auto"/>
                <w:szCs w:val="21"/>
                <w:highlight w:val="none"/>
                <w:lang w:bidi="ar"/>
              </w:rPr>
              <w:t>分，措施较完整、内容较完整、操作性较强的得3分，措施基本完整、操作性一般、内容基本符合项目要求的得1分，措施内容欠缺、描述笼统、操作性差的得0分，未提供本项内容的不得分。</w:t>
            </w:r>
          </w:p>
        </w:tc>
        <w:tc>
          <w:tcPr>
            <w:tcW w:w="524" w:type="dxa"/>
            <w:vAlign w:val="center"/>
          </w:tcPr>
          <w:p>
            <w:pPr>
              <w:widowControl/>
              <w:spacing w:line="360" w:lineRule="exact"/>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val="en-US" w:eastAsia="zh-CN"/>
              </w:rPr>
              <w:t>4</w:t>
            </w:r>
          </w:p>
        </w:tc>
        <w:tc>
          <w:tcPr>
            <w:tcW w:w="1260" w:type="dxa"/>
            <w:vAlign w:val="center"/>
          </w:tcPr>
          <w:p>
            <w:pPr>
              <w:widowControl/>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主观分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767" w:type="dxa"/>
            <w:vMerge w:val="continue"/>
            <w:vAlign w:val="center"/>
          </w:tcPr>
          <w:p>
            <w:pPr>
              <w:widowControl/>
              <w:snapToGrid w:val="0"/>
              <w:spacing w:line="360" w:lineRule="exact"/>
              <w:jc w:val="center"/>
              <w:rPr>
                <w:rFonts w:ascii="宋体" w:hAnsi="宋体" w:cs="宋体"/>
                <w:color w:val="auto"/>
                <w:kern w:val="0"/>
                <w:szCs w:val="21"/>
                <w:highlight w:val="none"/>
              </w:rPr>
            </w:pPr>
          </w:p>
        </w:tc>
        <w:tc>
          <w:tcPr>
            <w:tcW w:w="1091" w:type="dxa"/>
            <w:vMerge w:val="continue"/>
            <w:vAlign w:val="center"/>
          </w:tcPr>
          <w:p>
            <w:pPr>
              <w:widowControl/>
              <w:spacing w:line="360" w:lineRule="exact"/>
              <w:jc w:val="center"/>
              <w:rPr>
                <w:rFonts w:ascii="宋体" w:hAnsi="宋体" w:cs="宋体"/>
                <w:color w:val="auto"/>
                <w:szCs w:val="21"/>
                <w:highlight w:val="none"/>
              </w:rPr>
            </w:pPr>
          </w:p>
        </w:tc>
        <w:tc>
          <w:tcPr>
            <w:tcW w:w="5626" w:type="dxa"/>
            <w:vAlign w:val="center"/>
          </w:tcPr>
          <w:p>
            <w:pPr>
              <w:spacing w:line="360" w:lineRule="exact"/>
              <w:rPr>
                <w:rFonts w:ascii="宋体" w:hAnsi="宋体" w:cs="宋体"/>
                <w:color w:val="auto"/>
                <w:szCs w:val="21"/>
                <w:highlight w:val="none"/>
                <w:lang w:bidi="ar"/>
              </w:rPr>
            </w:pPr>
            <w:r>
              <w:rPr>
                <w:rFonts w:hint="eastAsia" w:ascii="宋体" w:hAnsi="宋体" w:cs="宋体"/>
                <w:color w:val="auto"/>
                <w:szCs w:val="21"/>
                <w:highlight w:val="none"/>
                <w:lang w:bidi="ar"/>
              </w:rPr>
              <w:t>质量保障措施（3分）：评委根据投标人提供的投标文件，对其针对本项目制定的质量保障措施进行评审：措施完整、内容全面、操作性强的得3分，措施较完整、内容较完整、操作性较强的得2分，措施基本完整、操作性一般、内容基本符合项目要求的得1分，措施内容欠缺、描述笼统、操作性差的得0分，未提供本项内容的不得分。</w:t>
            </w:r>
          </w:p>
        </w:tc>
        <w:tc>
          <w:tcPr>
            <w:tcW w:w="524" w:type="dxa"/>
            <w:vAlign w:val="center"/>
          </w:tcPr>
          <w:p>
            <w:pPr>
              <w:widowControl/>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1260" w:type="dxa"/>
            <w:vAlign w:val="center"/>
          </w:tcPr>
          <w:p>
            <w:pPr>
              <w:widowControl/>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主观分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7" w:type="dxa"/>
            <w:vMerge w:val="continue"/>
            <w:vAlign w:val="center"/>
          </w:tcPr>
          <w:p>
            <w:pPr>
              <w:widowControl/>
              <w:snapToGrid w:val="0"/>
              <w:spacing w:line="360" w:lineRule="exact"/>
              <w:jc w:val="center"/>
              <w:rPr>
                <w:rFonts w:ascii="宋体" w:hAnsi="宋体" w:cs="宋体"/>
                <w:color w:val="auto"/>
                <w:kern w:val="0"/>
                <w:szCs w:val="21"/>
                <w:highlight w:val="none"/>
              </w:rPr>
            </w:pPr>
          </w:p>
        </w:tc>
        <w:tc>
          <w:tcPr>
            <w:tcW w:w="1091" w:type="dxa"/>
            <w:vMerge w:val="continue"/>
            <w:vAlign w:val="center"/>
          </w:tcPr>
          <w:p>
            <w:pPr>
              <w:widowControl/>
              <w:spacing w:line="360" w:lineRule="exact"/>
              <w:jc w:val="center"/>
              <w:rPr>
                <w:rFonts w:ascii="宋体" w:hAnsi="宋体" w:cs="宋体"/>
                <w:color w:val="auto"/>
                <w:szCs w:val="21"/>
                <w:highlight w:val="none"/>
              </w:rPr>
            </w:pPr>
          </w:p>
        </w:tc>
        <w:tc>
          <w:tcPr>
            <w:tcW w:w="5626" w:type="dxa"/>
            <w:vAlign w:val="center"/>
          </w:tcPr>
          <w:p>
            <w:pPr>
              <w:adjustRightInd/>
              <w:spacing w:line="400" w:lineRule="exact"/>
              <w:rPr>
                <w:rFonts w:ascii="宋体" w:hAnsi="宋体" w:cs="宋体"/>
                <w:color w:val="auto"/>
                <w:szCs w:val="21"/>
                <w:highlight w:val="none"/>
                <w:lang w:bidi="ar"/>
              </w:rPr>
            </w:pPr>
            <w:r>
              <w:rPr>
                <w:rFonts w:hint="eastAsia" w:ascii="宋体" w:hAnsi="宋体" w:cs="宋体"/>
                <w:color w:val="auto"/>
                <w:kern w:val="0"/>
                <w:szCs w:val="21"/>
                <w:highlight w:val="none"/>
              </w:rPr>
              <w:t>项目进度安排（3分）（包括项目管理、项目组织结构、</w:t>
            </w:r>
            <w:r>
              <w:rPr>
                <w:rFonts w:hint="eastAsia" w:ascii="宋体" w:hAnsi="宋体" w:cs="宋体"/>
                <w:color w:val="auto"/>
                <w:szCs w:val="21"/>
                <w:highlight w:val="none"/>
              </w:rPr>
              <w:t>组织措施、进度计划，工期</w:t>
            </w:r>
            <w:r>
              <w:rPr>
                <w:rFonts w:hint="eastAsia" w:ascii="宋体" w:hAnsi="宋体" w:cs="宋体"/>
                <w:color w:val="auto"/>
                <w:kern w:val="0"/>
                <w:szCs w:val="21"/>
                <w:highlight w:val="none"/>
              </w:rPr>
              <w:t>）的评议，方案完善、操作性强、符合项目实际的得3</w:t>
            </w:r>
            <w:r>
              <w:rPr>
                <w:rFonts w:hint="eastAsia" w:ascii="宋体" w:hAnsi="宋体" w:cs="宋体"/>
                <w:color w:val="auto"/>
                <w:kern w:val="0"/>
                <w:szCs w:val="21"/>
                <w:highlight w:val="none"/>
                <w:lang w:val="zh-CN"/>
              </w:rPr>
              <w:t>分；</w:t>
            </w:r>
            <w:r>
              <w:rPr>
                <w:rFonts w:hint="eastAsia" w:ascii="宋体" w:hAnsi="宋体" w:cs="宋体"/>
                <w:color w:val="auto"/>
                <w:kern w:val="0"/>
                <w:szCs w:val="21"/>
                <w:highlight w:val="none"/>
              </w:rPr>
              <w:t>方案笼统、操作性较强、较符合项目实际的得2分</w:t>
            </w:r>
            <w:r>
              <w:rPr>
                <w:rFonts w:hint="eastAsia" w:ascii="宋体" w:hAnsi="宋体" w:cs="宋体"/>
                <w:color w:val="auto"/>
                <w:kern w:val="0"/>
                <w:szCs w:val="21"/>
                <w:highlight w:val="none"/>
                <w:lang w:val="zh-CN"/>
              </w:rPr>
              <w:t>；</w:t>
            </w:r>
            <w:r>
              <w:rPr>
                <w:rFonts w:hint="eastAsia" w:ascii="宋体" w:hAnsi="宋体" w:cs="宋体"/>
                <w:color w:val="auto"/>
                <w:kern w:val="0"/>
                <w:szCs w:val="21"/>
                <w:highlight w:val="none"/>
              </w:rPr>
              <w:t>方案考虑不够充分的得1分；未提供的得0分。</w:t>
            </w:r>
          </w:p>
        </w:tc>
        <w:tc>
          <w:tcPr>
            <w:tcW w:w="524" w:type="dxa"/>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1260" w:type="dxa"/>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主观分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135" w:hRule="atLeast"/>
        </w:trPr>
        <w:tc>
          <w:tcPr>
            <w:tcW w:w="767" w:type="dxa"/>
            <w:vMerge w:val="restart"/>
            <w:vAlign w:val="center"/>
          </w:tcPr>
          <w:p>
            <w:pPr>
              <w:widowControl/>
              <w:snapToGri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1091" w:type="dxa"/>
            <w:vMerge w:val="restart"/>
            <w:vAlign w:val="center"/>
          </w:tcPr>
          <w:p>
            <w:pPr>
              <w:adjustRightInd/>
              <w:spacing w:before="31" w:after="31" w:line="400" w:lineRule="exact"/>
              <w:rPr>
                <w:rFonts w:ascii="宋体" w:hAnsi="宋体" w:cs="宋体"/>
                <w:color w:val="auto"/>
                <w:szCs w:val="21"/>
                <w:highlight w:val="none"/>
              </w:rPr>
            </w:pPr>
            <w:r>
              <w:rPr>
                <w:rFonts w:hint="eastAsia" w:ascii="宋体" w:hAnsi="宋体" w:cs="宋体"/>
                <w:color w:val="auto"/>
                <w:szCs w:val="21"/>
                <w:highlight w:val="none"/>
              </w:rPr>
              <w:t>售后服务方案（6分）</w:t>
            </w:r>
          </w:p>
        </w:tc>
        <w:tc>
          <w:tcPr>
            <w:tcW w:w="5626" w:type="dxa"/>
            <w:vAlign w:val="center"/>
          </w:tcPr>
          <w:p>
            <w:pPr>
              <w:adjustRightInd/>
              <w:spacing w:before="31" w:after="31" w:line="400" w:lineRule="exact"/>
              <w:rPr>
                <w:rFonts w:ascii="宋体" w:hAnsi="宋体" w:cs="宋体"/>
                <w:b/>
                <w:color w:val="auto"/>
                <w:szCs w:val="21"/>
                <w:highlight w:val="none"/>
              </w:rPr>
            </w:pPr>
            <w:r>
              <w:rPr>
                <w:rFonts w:hint="eastAsia" w:ascii="宋体" w:hAnsi="宋体" w:cs="宋体"/>
                <w:color w:val="auto"/>
                <w:szCs w:val="21"/>
                <w:highlight w:val="none"/>
                <w:lang w:val="zh-CN"/>
              </w:rPr>
              <w:t>根据投标人提供的售后服务方案（</w:t>
            </w:r>
            <w:r>
              <w:rPr>
                <w:rFonts w:hint="eastAsia" w:ascii="宋体" w:hAnsi="宋体" w:cs="宋体"/>
                <w:color w:val="auto"/>
                <w:szCs w:val="21"/>
                <w:highlight w:val="none"/>
              </w:rPr>
              <w:t>包含运行维护方案、紧急故障处理预案</w:t>
            </w:r>
            <w:r>
              <w:rPr>
                <w:rFonts w:hint="eastAsia" w:ascii="宋体" w:hAnsi="宋体" w:cs="宋体"/>
                <w:color w:val="auto"/>
                <w:szCs w:val="21"/>
                <w:highlight w:val="none"/>
                <w:lang w:val="zh-CN"/>
              </w:rPr>
              <w:t>），方案完善、操作性强、符合项目实际的得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val="zh-CN"/>
              </w:rPr>
              <w:t>分；方案笼统、操作性较强、较符合项目实际的得</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val="zh-CN"/>
              </w:rPr>
              <w:t>分；方案考虑不够充分</w:t>
            </w:r>
            <w:r>
              <w:rPr>
                <w:rFonts w:hint="eastAsia" w:ascii="宋体" w:hAnsi="宋体" w:cs="宋体"/>
                <w:color w:val="auto"/>
                <w:szCs w:val="21"/>
                <w:highlight w:val="none"/>
                <w:lang w:val="en-US" w:eastAsia="zh-CN"/>
              </w:rPr>
              <w:t>或</w:t>
            </w:r>
            <w:r>
              <w:rPr>
                <w:rFonts w:hint="eastAsia" w:ascii="宋体" w:hAnsi="宋体" w:cs="宋体"/>
                <w:color w:val="auto"/>
                <w:szCs w:val="21"/>
                <w:highlight w:val="none"/>
                <w:lang w:val="zh-CN"/>
              </w:rPr>
              <w:t>未提供的得0分。</w:t>
            </w:r>
          </w:p>
        </w:tc>
        <w:tc>
          <w:tcPr>
            <w:tcW w:w="524" w:type="dxa"/>
            <w:vAlign w:val="center"/>
          </w:tcPr>
          <w:p>
            <w:pPr>
              <w:widowControl/>
              <w:spacing w:line="400" w:lineRule="exact"/>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val="en-US" w:eastAsia="zh-CN"/>
              </w:rPr>
              <w:t>2</w:t>
            </w:r>
          </w:p>
        </w:tc>
        <w:tc>
          <w:tcPr>
            <w:tcW w:w="1260" w:type="dxa"/>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主观分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135" w:hRule="atLeast"/>
        </w:trPr>
        <w:tc>
          <w:tcPr>
            <w:tcW w:w="767" w:type="dxa"/>
            <w:vMerge w:val="continue"/>
            <w:vAlign w:val="center"/>
          </w:tcPr>
          <w:p>
            <w:pPr>
              <w:widowControl/>
              <w:snapToGrid w:val="0"/>
              <w:spacing w:line="360" w:lineRule="exact"/>
              <w:jc w:val="center"/>
              <w:rPr>
                <w:rFonts w:ascii="宋体" w:hAnsi="宋体" w:cs="宋体"/>
                <w:color w:val="auto"/>
                <w:kern w:val="0"/>
                <w:szCs w:val="21"/>
                <w:highlight w:val="none"/>
              </w:rPr>
            </w:pPr>
          </w:p>
        </w:tc>
        <w:tc>
          <w:tcPr>
            <w:tcW w:w="1091" w:type="dxa"/>
            <w:vMerge w:val="continue"/>
            <w:vAlign w:val="center"/>
          </w:tcPr>
          <w:p>
            <w:pPr>
              <w:adjustRightInd/>
              <w:spacing w:before="31" w:after="31" w:line="400" w:lineRule="exact"/>
              <w:rPr>
                <w:rFonts w:ascii="宋体" w:hAnsi="宋体" w:cs="宋体"/>
                <w:color w:val="auto"/>
                <w:szCs w:val="21"/>
                <w:highlight w:val="none"/>
              </w:rPr>
            </w:pPr>
          </w:p>
        </w:tc>
        <w:tc>
          <w:tcPr>
            <w:tcW w:w="5626" w:type="dxa"/>
            <w:vAlign w:val="center"/>
          </w:tcPr>
          <w:p>
            <w:pPr>
              <w:adjustRightInd/>
              <w:spacing w:before="31" w:after="31" w:line="400" w:lineRule="exact"/>
              <w:rPr>
                <w:rFonts w:ascii="宋体" w:hAnsi="宋体" w:cs="宋体"/>
                <w:b/>
                <w:color w:val="auto"/>
                <w:szCs w:val="21"/>
                <w:highlight w:val="none"/>
              </w:rPr>
            </w:pPr>
            <w:r>
              <w:rPr>
                <w:rFonts w:hint="eastAsia" w:ascii="宋体" w:hAnsi="宋体" w:cs="宋体"/>
                <w:color w:val="auto"/>
                <w:szCs w:val="21"/>
                <w:highlight w:val="none"/>
                <w:lang w:val="zh-CN"/>
              </w:rPr>
              <w:t>根据投标人提供的售后服务方案（</w:t>
            </w:r>
            <w:r>
              <w:rPr>
                <w:rFonts w:hint="eastAsia" w:ascii="宋体" w:hAnsi="宋体" w:cs="宋体"/>
                <w:color w:val="auto"/>
                <w:szCs w:val="21"/>
                <w:highlight w:val="none"/>
              </w:rPr>
              <w:t>包含响应能力、服务响应时间、故障恢复时间</w:t>
            </w:r>
            <w:r>
              <w:rPr>
                <w:rFonts w:hint="eastAsia" w:ascii="宋体" w:hAnsi="宋体" w:cs="宋体"/>
                <w:color w:val="auto"/>
                <w:szCs w:val="21"/>
                <w:highlight w:val="none"/>
                <w:lang w:val="zh-CN"/>
              </w:rPr>
              <w:t>），</w:t>
            </w:r>
            <w:r>
              <w:rPr>
                <w:rFonts w:hint="eastAsia" w:ascii="宋体" w:hAnsi="宋体" w:cs="宋体"/>
                <w:color w:val="auto"/>
                <w:szCs w:val="21"/>
                <w:highlight w:val="none"/>
              </w:rPr>
              <w:t>响应时间快捷</w:t>
            </w:r>
            <w:r>
              <w:rPr>
                <w:rFonts w:hint="eastAsia" w:ascii="宋体" w:hAnsi="宋体" w:cs="宋体"/>
                <w:color w:val="auto"/>
                <w:szCs w:val="21"/>
                <w:highlight w:val="none"/>
                <w:lang w:val="zh-CN"/>
              </w:rPr>
              <w:t>的得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val="zh-CN"/>
              </w:rPr>
              <w:t>分；</w:t>
            </w:r>
            <w:r>
              <w:rPr>
                <w:rFonts w:hint="eastAsia" w:ascii="宋体" w:hAnsi="宋体" w:cs="宋体"/>
                <w:color w:val="auto"/>
                <w:szCs w:val="21"/>
                <w:highlight w:val="none"/>
              </w:rPr>
              <w:t>响应时间较快捷</w:t>
            </w:r>
            <w:r>
              <w:rPr>
                <w:rFonts w:hint="eastAsia" w:ascii="宋体" w:hAnsi="宋体" w:cs="宋体"/>
                <w:color w:val="auto"/>
                <w:szCs w:val="21"/>
                <w:highlight w:val="none"/>
                <w:lang w:val="zh-CN"/>
              </w:rPr>
              <w:t>的得</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val="zh-CN"/>
              </w:rPr>
              <w:t>分；</w:t>
            </w:r>
            <w:r>
              <w:rPr>
                <w:rFonts w:hint="eastAsia" w:ascii="宋体" w:hAnsi="宋体" w:cs="宋体"/>
                <w:color w:val="auto"/>
                <w:szCs w:val="21"/>
                <w:highlight w:val="none"/>
              </w:rPr>
              <w:t>响应时间滞缓</w:t>
            </w:r>
            <w:r>
              <w:rPr>
                <w:rFonts w:hint="eastAsia" w:ascii="宋体" w:hAnsi="宋体" w:cs="宋体"/>
                <w:color w:val="auto"/>
                <w:szCs w:val="21"/>
                <w:highlight w:val="none"/>
                <w:lang w:val="en-US" w:eastAsia="zh-CN"/>
              </w:rPr>
              <w:t>或</w:t>
            </w:r>
            <w:r>
              <w:rPr>
                <w:rFonts w:hint="eastAsia" w:ascii="宋体" w:hAnsi="宋体" w:cs="宋体"/>
                <w:color w:val="auto"/>
                <w:szCs w:val="21"/>
                <w:highlight w:val="none"/>
                <w:lang w:val="zh-CN"/>
              </w:rPr>
              <w:t>未提供</w:t>
            </w:r>
            <w:r>
              <w:rPr>
                <w:rFonts w:hint="eastAsia" w:ascii="宋体" w:hAnsi="宋体" w:cs="宋体"/>
                <w:color w:val="auto"/>
                <w:szCs w:val="21"/>
                <w:highlight w:val="none"/>
              </w:rPr>
              <w:t>响应</w:t>
            </w:r>
            <w:r>
              <w:rPr>
                <w:rFonts w:hint="eastAsia" w:ascii="宋体" w:hAnsi="宋体" w:cs="宋体"/>
                <w:color w:val="auto"/>
                <w:szCs w:val="21"/>
                <w:highlight w:val="none"/>
                <w:lang w:val="zh-CN"/>
              </w:rPr>
              <w:t>方案的得0分。</w:t>
            </w:r>
          </w:p>
        </w:tc>
        <w:tc>
          <w:tcPr>
            <w:tcW w:w="524" w:type="dxa"/>
            <w:vAlign w:val="center"/>
          </w:tcPr>
          <w:p>
            <w:pPr>
              <w:widowControl/>
              <w:spacing w:line="400" w:lineRule="exact"/>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val="en-US" w:eastAsia="zh-CN"/>
              </w:rPr>
              <w:t>2</w:t>
            </w:r>
          </w:p>
        </w:tc>
        <w:tc>
          <w:tcPr>
            <w:tcW w:w="1260" w:type="dxa"/>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主观分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387" w:hRule="atLeast"/>
        </w:trPr>
        <w:tc>
          <w:tcPr>
            <w:tcW w:w="767" w:type="dxa"/>
            <w:vMerge w:val="continue"/>
            <w:vAlign w:val="center"/>
          </w:tcPr>
          <w:p>
            <w:pPr>
              <w:widowControl/>
              <w:snapToGrid w:val="0"/>
              <w:spacing w:line="360" w:lineRule="exact"/>
              <w:jc w:val="center"/>
              <w:rPr>
                <w:rFonts w:ascii="宋体" w:hAnsi="宋体" w:cs="宋体"/>
                <w:color w:val="auto"/>
                <w:kern w:val="0"/>
                <w:szCs w:val="21"/>
                <w:highlight w:val="none"/>
              </w:rPr>
            </w:pPr>
          </w:p>
        </w:tc>
        <w:tc>
          <w:tcPr>
            <w:tcW w:w="1091" w:type="dxa"/>
            <w:vMerge w:val="continue"/>
            <w:vAlign w:val="center"/>
          </w:tcPr>
          <w:p>
            <w:pPr>
              <w:adjustRightInd/>
              <w:spacing w:before="31" w:after="31" w:line="400" w:lineRule="exact"/>
              <w:rPr>
                <w:rFonts w:ascii="宋体" w:hAnsi="宋体" w:cs="宋体"/>
                <w:color w:val="auto"/>
                <w:szCs w:val="21"/>
                <w:highlight w:val="none"/>
              </w:rPr>
            </w:pPr>
          </w:p>
        </w:tc>
        <w:tc>
          <w:tcPr>
            <w:tcW w:w="5626" w:type="dxa"/>
            <w:vAlign w:val="center"/>
          </w:tcPr>
          <w:p>
            <w:pPr>
              <w:adjustRightInd/>
              <w:spacing w:before="31" w:after="31" w:line="400" w:lineRule="exact"/>
              <w:rPr>
                <w:rFonts w:ascii="宋体" w:hAnsi="宋体" w:cs="宋体"/>
                <w:b/>
                <w:color w:val="auto"/>
                <w:szCs w:val="21"/>
                <w:highlight w:val="none"/>
              </w:rPr>
            </w:pPr>
            <w:r>
              <w:rPr>
                <w:rFonts w:hint="eastAsia" w:ascii="宋体" w:hAnsi="宋体" w:cs="宋体"/>
                <w:color w:val="auto"/>
                <w:szCs w:val="21"/>
                <w:highlight w:val="none"/>
              </w:rPr>
              <w:t>根据投标人</w:t>
            </w:r>
            <w:r>
              <w:rPr>
                <w:rFonts w:hint="eastAsia" w:ascii="宋体" w:hAnsi="宋体" w:cs="宋体"/>
                <w:color w:val="auto"/>
                <w:szCs w:val="21"/>
                <w:highlight w:val="none"/>
                <w:lang w:val="zh-CN"/>
              </w:rPr>
              <w:t>提供的培训服务保障体系（包括培训方案、培训目的、培训内容、培训时间安排、培训方式），</w:t>
            </w:r>
            <w:r>
              <w:rPr>
                <w:rFonts w:hint="eastAsia" w:ascii="宋体" w:hAnsi="宋体" w:cs="宋体"/>
                <w:color w:val="auto"/>
                <w:szCs w:val="21"/>
                <w:highlight w:val="none"/>
              </w:rPr>
              <w:t>使采购人能够熟悉系统、独立进行管理、常见故障处理、日常测试维护；</w:t>
            </w:r>
            <w:r>
              <w:rPr>
                <w:rFonts w:hint="eastAsia" w:ascii="宋体" w:hAnsi="宋体" w:cs="宋体"/>
                <w:color w:val="auto"/>
                <w:szCs w:val="21"/>
                <w:highlight w:val="none"/>
                <w:lang w:val="zh-CN"/>
              </w:rPr>
              <w:t>技术指导</w:t>
            </w:r>
            <w:r>
              <w:rPr>
                <w:rFonts w:hint="eastAsia" w:ascii="宋体" w:hAnsi="宋体" w:cs="宋体"/>
                <w:color w:val="auto"/>
                <w:szCs w:val="21"/>
                <w:highlight w:val="none"/>
              </w:rPr>
              <w:t>安排合理的</w:t>
            </w:r>
            <w:r>
              <w:rPr>
                <w:rFonts w:hint="eastAsia" w:ascii="宋体" w:hAnsi="宋体" w:cs="宋体"/>
                <w:color w:val="auto"/>
                <w:szCs w:val="21"/>
                <w:highlight w:val="none"/>
                <w:lang w:val="zh-CN"/>
              </w:rPr>
              <w:t>的得</w:t>
            </w:r>
            <w:r>
              <w:rPr>
                <w:rFonts w:hint="eastAsia" w:ascii="宋体" w:hAnsi="宋体" w:cs="宋体"/>
                <w:color w:val="auto"/>
                <w:szCs w:val="21"/>
                <w:highlight w:val="none"/>
              </w:rPr>
              <w:t>2</w:t>
            </w:r>
            <w:r>
              <w:rPr>
                <w:rFonts w:hint="eastAsia" w:ascii="宋体" w:hAnsi="宋体" w:cs="宋体"/>
                <w:color w:val="auto"/>
                <w:szCs w:val="21"/>
                <w:highlight w:val="none"/>
                <w:lang w:val="zh-CN"/>
              </w:rPr>
              <w:t>分；较</w:t>
            </w:r>
            <w:r>
              <w:rPr>
                <w:rFonts w:hint="eastAsia" w:ascii="宋体" w:hAnsi="宋体" w:cs="宋体"/>
                <w:color w:val="auto"/>
                <w:szCs w:val="21"/>
                <w:highlight w:val="none"/>
              </w:rPr>
              <w:t>合理</w:t>
            </w:r>
            <w:r>
              <w:rPr>
                <w:rFonts w:hint="eastAsia" w:ascii="宋体" w:hAnsi="宋体" w:cs="宋体"/>
                <w:color w:val="auto"/>
                <w:szCs w:val="21"/>
                <w:highlight w:val="none"/>
                <w:lang w:val="zh-CN"/>
              </w:rPr>
              <w:t>的得</w:t>
            </w:r>
            <w:r>
              <w:rPr>
                <w:rFonts w:hint="eastAsia" w:ascii="宋体" w:hAnsi="宋体" w:cs="宋体"/>
                <w:color w:val="auto"/>
                <w:szCs w:val="21"/>
                <w:highlight w:val="none"/>
              </w:rPr>
              <w:t>1</w:t>
            </w:r>
            <w:r>
              <w:rPr>
                <w:rFonts w:hint="eastAsia" w:ascii="宋体" w:hAnsi="宋体" w:cs="宋体"/>
                <w:color w:val="auto"/>
                <w:szCs w:val="21"/>
                <w:highlight w:val="none"/>
                <w:lang w:val="zh-CN"/>
              </w:rPr>
              <w:t>分；</w:t>
            </w:r>
            <w:r>
              <w:rPr>
                <w:rFonts w:hint="eastAsia" w:ascii="宋体" w:hAnsi="宋体" w:cs="宋体"/>
                <w:color w:val="auto"/>
                <w:szCs w:val="21"/>
                <w:highlight w:val="none"/>
              </w:rPr>
              <w:t>安排</w:t>
            </w:r>
            <w:r>
              <w:rPr>
                <w:rFonts w:hint="eastAsia" w:ascii="宋体" w:hAnsi="宋体" w:cs="宋体"/>
                <w:color w:val="auto"/>
                <w:szCs w:val="21"/>
                <w:highlight w:val="none"/>
                <w:lang w:val="zh-CN"/>
              </w:rPr>
              <w:t>笼统的得</w:t>
            </w:r>
            <w:r>
              <w:rPr>
                <w:rFonts w:hint="eastAsia" w:ascii="宋体" w:hAnsi="宋体" w:cs="宋体"/>
                <w:color w:val="auto"/>
                <w:szCs w:val="21"/>
                <w:highlight w:val="none"/>
              </w:rPr>
              <w:t>0.5</w:t>
            </w:r>
            <w:r>
              <w:rPr>
                <w:rFonts w:hint="eastAsia" w:ascii="宋体" w:hAnsi="宋体" w:cs="宋体"/>
                <w:color w:val="auto"/>
                <w:szCs w:val="21"/>
                <w:highlight w:val="none"/>
                <w:lang w:val="zh-CN"/>
              </w:rPr>
              <w:t>分；未提供的得0分。</w:t>
            </w:r>
          </w:p>
        </w:tc>
        <w:tc>
          <w:tcPr>
            <w:tcW w:w="524" w:type="dxa"/>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1260" w:type="dxa"/>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主观分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67" w:type="dxa"/>
            <w:vAlign w:val="center"/>
          </w:tcPr>
          <w:p>
            <w:pPr>
              <w:widowControl/>
              <w:snapToGri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1091" w:type="dxa"/>
            <w:vAlign w:val="center"/>
          </w:tcPr>
          <w:p>
            <w:pPr>
              <w:pStyle w:val="515"/>
              <w:spacing w:line="36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同类项目业绩（</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分）</w:t>
            </w:r>
          </w:p>
        </w:tc>
        <w:tc>
          <w:tcPr>
            <w:tcW w:w="5626" w:type="dxa"/>
            <w:vAlign w:val="center"/>
          </w:tcPr>
          <w:p>
            <w:pPr>
              <w:spacing w:line="360" w:lineRule="exact"/>
              <w:rPr>
                <w:rFonts w:ascii="宋体" w:hAnsi="宋体" w:cs="宋体"/>
                <w:color w:val="auto"/>
                <w:szCs w:val="21"/>
                <w:highlight w:val="none"/>
              </w:rPr>
            </w:pPr>
            <w:r>
              <w:rPr>
                <w:rFonts w:hint="eastAsia" w:ascii="宋体" w:hAnsi="宋体" w:cs="宋体"/>
                <w:color w:val="auto"/>
                <w:szCs w:val="21"/>
                <w:highlight w:val="none"/>
                <w:lang w:bidi="ar"/>
              </w:rPr>
              <w:t>2021年1月1日至今（以合同签订之日起算）实施过的项目，</w:t>
            </w:r>
          </w:p>
          <w:p>
            <w:pPr>
              <w:spacing w:line="360" w:lineRule="exact"/>
              <w:rPr>
                <w:rFonts w:ascii="宋体" w:hAnsi="宋体" w:cs="宋体"/>
                <w:color w:val="auto"/>
                <w:szCs w:val="21"/>
                <w:highlight w:val="none"/>
                <w:lang w:bidi="ar"/>
              </w:rPr>
            </w:pPr>
            <w:r>
              <w:rPr>
                <w:rFonts w:hint="eastAsia" w:ascii="宋体" w:hAnsi="宋体" w:cs="宋体"/>
                <w:color w:val="auto"/>
                <w:szCs w:val="21"/>
                <w:highlight w:val="none"/>
                <w:lang w:bidi="ar"/>
              </w:rPr>
              <w:t>每提供一份同类项目案例合同的得1分，最高计</w:t>
            </w:r>
            <w:r>
              <w:rPr>
                <w:rFonts w:hint="eastAsia" w:ascii="宋体" w:hAnsi="宋体" w:cs="宋体"/>
                <w:color w:val="auto"/>
                <w:szCs w:val="21"/>
                <w:highlight w:val="none"/>
                <w:lang w:val="en-US" w:eastAsia="zh-CN" w:bidi="ar"/>
              </w:rPr>
              <w:t>2</w:t>
            </w:r>
            <w:r>
              <w:rPr>
                <w:rFonts w:hint="eastAsia" w:ascii="宋体" w:hAnsi="宋体" w:cs="宋体"/>
                <w:color w:val="auto"/>
                <w:szCs w:val="21"/>
                <w:highlight w:val="none"/>
                <w:lang w:bidi="ar"/>
              </w:rPr>
              <w:t>分。</w:t>
            </w:r>
          </w:p>
          <w:p>
            <w:pPr>
              <w:snapToGrid w:val="0"/>
              <w:spacing w:line="360" w:lineRule="exact"/>
              <w:rPr>
                <w:rFonts w:ascii="宋体" w:hAnsi="宋体" w:cs="宋体"/>
                <w:b/>
                <w:color w:val="auto"/>
                <w:szCs w:val="21"/>
                <w:highlight w:val="none"/>
              </w:rPr>
            </w:pPr>
            <w:r>
              <w:rPr>
                <w:rFonts w:hint="eastAsia" w:ascii="宋体" w:hAnsi="宋体" w:cs="宋体"/>
                <w:b/>
                <w:color w:val="auto"/>
                <w:szCs w:val="21"/>
                <w:highlight w:val="none"/>
              </w:rPr>
              <w:t>备注：</w:t>
            </w:r>
          </w:p>
          <w:p>
            <w:pPr>
              <w:spacing w:line="360" w:lineRule="exact"/>
              <w:rPr>
                <w:rFonts w:ascii="宋体" w:hAnsi="宋体" w:cs="宋体"/>
                <w:color w:val="auto"/>
                <w:szCs w:val="21"/>
                <w:highlight w:val="none"/>
                <w:lang w:bidi="ar"/>
              </w:rPr>
            </w:pPr>
            <w:r>
              <w:rPr>
                <w:rFonts w:hint="eastAsia" w:ascii="宋体" w:hAnsi="宋体" w:cs="宋体"/>
                <w:b/>
                <w:color w:val="auto"/>
                <w:szCs w:val="21"/>
                <w:highlight w:val="none"/>
              </w:rPr>
              <w:t>投标文件中须提供合同复印件（须要有关键页内容）、中标通知书复印件并加盖公章。</w:t>
            </w:r>
            <w:r>
              <w:rPr>
                <w:rFonts w:hint="eastAsia" w:ascii="宋体" w:hAnsi="宋体" w:cs="宋体"/>
                <w:color w:val="auto"/>
                <w:szCs w:val="21"/>
                <w:highlight w:val="none"/>
                <w:lang w:bidi="ar"/>
              </w:rPr>
              <w:t>联合体投标的，联合体各方分别提供与联合体协议中规定的分工内容相应的业绩证明材料，业绩数量以提供材料较少的一方为准。</w:t>
            </w:r>
          </w:p>
        </w:tc>
        <w:tc>
          <w:tcPr>
            <w:tcW w:w="524" w:type="dxa"/>
            <w:vAlign w:val="center"/>
          </w:tcPr>
          <w:p>
            <w:pPr>
              <w:widowControl/>
              <w:spacing w:line="360" w:lineRule="exact"/>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val="en-US" w:eastAsia="zh-CN"/>
              </w:rPr>
              <w:t>2</w:t>
            </w:r>
          </w:p>
        </w:tc>
        <w:tc>
          <w:tcPr>
            <w:tcW w:w="1260" w:type="dxa"/>
            <w:vAlign w:val="center"/>
          </w:tcPr>
          <w:p>
            <w:pPr>
              <w:widowControl/>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客观分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182" w:hRule="atLeast"/>
        </w:trPr>
        <w:tc>
          <w:tcPr>
            <w:tcW w:w="767" w:type="dxa"/>
            <w:vAlign w:val="center"/>
          </w:tcPr>
          <w:p>
            <w:pPr>
              <w:widowControl/>
              <w:snapToGri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c>
          <w:tcPr>
            <w:tcW w:w="1091" w:type="dxa"/>
            <w:vAlign w:val="center"/>
          </w:tcPr>
          <w:p>
            <w:pPr>
              <w:widowControl/>
              <w:spacing w:line="360" w:lineRule="exact"/>
              <w:jc w:val="center"/>
              <w:rPr>
                <w:rFonts w:ascii="宋体" w:hAnsi="宋体" w:cs="宋体"/>
                <w:color w:val="auto"/>
                <w:spacing w:val="-5"/>
                <w:kern w:val="0"/>
                <w:szCs w:val="21"/>
                <w:highlight w:val="none"/>
                <w:lang w:bidi="ar"/>
              </w:rPr>
            </w:pPr>
            <w:r>
              <w:rPr>
                <w:rFonts w:hint="eastAsia" w:ascii="宋体" w:hAnsi="宋体" w:cs="宋体"/>
                <w:color w:val="auto"/>
                <w:spacing w:val="-5"/>
                <w:kern w:val="0"/>
                <w:szCs w:val="21"/>
                <w:highlight w:val="none"/>
                <w:lang w:bidi="ar"/>
              </w:rPr>
              <w:t>投标人实力（6分）</w:t>
            </w:r>
          </w:p>
        </w:tc>
        <w:tc>
          <w:tcPr>
            <w:tcW w:w="5626" w:type="dxa"/>
            <w:vAlign w:val="center"/>
          </w:tcPr>
          <w:p>
            <w:pPr>
              <w:autoSpaceDE w:val="0"/>
              <w:autoSpaceDN w:val="0"/>
              <w:spacing w:line="360" w:lineRule="exact"/>
              <w:rPr>
                <w:rFonts w:hint="eastAsia" w:ascii="宋体" w:hAnsi="宋体" w:cs="宋体"/>
                <w:color w:val="auto"/>
                <w:spacing w:val="-5"/>
                <w:kern w:val="0"/>
                <w:szCs w:val="21"/>
                <w:highlight w:val="none"/>
                <w:lang w:bidi="ar"/>
              </w:rPr>
            </w:pPr>
            <w:r>
              <w:rPr>
                <w:rFonts w:hint="eastAsia" w:ascii="宋体" w:hAnsi="宋体" w:cs="宋体"/>
                <w:color w:val="auto"/>
                <w:spacing w:val="-5"/>
                <w:kern w:val="0"/>
                <w:szCs w:val="21"/>
                <w:highlight w:val="none"/>
                <w:lang w:bidi="ar"/>
              </w:rPr>
              <w:t>投标人具有有效的GB/T27922-2011商品售后服务评价体系认证证书，得1分。</w:t>
            </w:r>
          </w:p>
          <w:p>
            <w:pPr>
              <w:autoSpaceDE w:val="0"/>
              <w:autoSpaceDN w:val="0"/>
              <w:spacing w:line="360" w:lineRule="exact"/>
              <w:rPr>
                <w:rFonts w:hint="eastAsia" w:ascii="宋体" w:hAnsi="宋体" w:cs="宋体"/>
                <w:color w:val="auto"/>
                <w:spacing w:val="-5"/>
                <w:kern w:val="0"/>
                <w:szCs w:val="21"/>
                <w:highlight w:val="none"/>
                <w:lang w:bidi="ar"/>
              </w:rPr>
            </w:pPr>
            <w:r>
              <w:rPr>
                <w:rFonts w:hint="eastAsia" w:ascii="宋体" w:hAnsi="宋体" w:cs="宋体"/>
                <w:color w:val="auto"/>
                <w:spacing w:val="-5"/>
                <w:kern w:val="0"/>
                <w:szCs w:val="21"/>
                <w:highlight w:val="none"/>
                <w:lang w:bidi="ar"/>
              </w:rPr>
              <w:t>投标人具有有效的  ISO27701  隐私信息管理体系认证证书，得1分。</w:t>
            </w:r>
          </w:p>
          <w:p>
            <w:pPr>
              <w:autoSpaceDE w:val="0"/>
              <w:autoSpaceDN w:val="0"/>
              <w:spacing w:line="360" w:lineRule="exact"/>
              <w:rPr>
                <w:rFonts w:ascii="宋体" w:hAnsi="宋体" w:cs="宋体"/>
                <w:color w:val="auto"/>
                <w:spacing w:val="-5"/>
                <w:kern w:val="0"/>
                <w:szCs w:val="21"/>
                <w:highlight w:val="none"/>
                <w:lang w:bidi="ar"/>
              </w:rPr>
            </w:pPr>
            <w:r>
              <w:rPr>
                <w:rFonts w:hint="eastAsia" w:ascii="宋体" w:hAnsi="宋体" w:cs="宋体"/>
                <w:color w:val="auto"/>
                <w:spacing w:val="-5"/>
                <w:kern w:val="0"/>
                <w:szCs w:val="21"/>
                <w:highlight w:val="none"/>
                <w:lang w:bidi="ar"/>
              </w:rPr>
              <w:t>投标人</w:t>
            </w:r>
            <w:r>
              <w:rPr>
                <w:rFonts w:hint="eastAsia" w:ascii="宋体" w:hAnsi="宋体" w:cs="宋体"/>
                <w:color w:val="auto"/>
                <w:spacing w:val="-5"/>
                <w:kern w:val="0"/>
                <w:szCs w:val="21"/>
                <w:highlight w:val="none"/>
                <w:lang w:eastAsia="zh-Hans" w:bidi="ar"/>
              </w:rPr>
              <w:t>具有</w:t>
            </w:r>
            <w:r>
              <w:rPr>
                <w:rFonts w:hint="eastAsia" w:ascii="宋体" w:hAnsi="宋体" w:cs="宋体"/>
                <w:color w:val="auto"/>
                <w:spacing w:val="-5"/>
                <w:kern w:val="0"/>
                <w:szCs w:val="21"/>
                <w:highlight w:val="none"/>
                <w:lang w:bidi="ar"/>
              </w:rPr>
              <w:t>有</w:t>
            </w:r>
            <w:r>
              <w:rPr>
                <w:rFonts w:hint="eastAsia" w:ascii="宋体" w:hAnsi="宋体" w:cs="宋体"/>
                <w:color w:val="auto"/>
                <w:spacing w:val="-5"/>
                <w:kern w:val="0"/>
                <w:szCs w:val="21"/>
                <w:highlight w:val="none"/>
                <w:lang w:eastAsia="zh-Hans" w:bidi="ar"/>
              </w:rPr>
              <w:t>效的</w:t>
            </w:r>
            <w:r>
              <w:rPr>
                <w:rFonts w:hint="eastAsia" w:ascii="宋体" w:hAnsi="宋体" w:cs="宋体"/>
                <w:color w:val="auto"/>
                <w:spacing w:val="-5"/>
                <w:kern w:val="0"/>
                <w:szCs w:val="21"/>
                <w:highlight w:val="none"/>
                <w:lang w:bidi="ar"/>
              </w:rPr>
              <w:t>ISO22301业务连续性管理体系认证的得1分；</w:t>
            </w:r>
          </w:p>
          <w:p>
            <w:pPr>
              <w:autoSpaceDE w:val="0"/>
              <w:autoSpaceDN w:val="0"/>
              <w:spacing w:line="360" w:lineRule="exact"/>
              <w:rPr>
                <w:rFonts w:ascii="宋体" w:hAnsi="宋体" w:cs="宋体"/>
                <w:color w:val="auto"/>
                <w:spacing w:val="-5"/>
                <w:kern w:val="0"/>
                <w:szCs w:val="21"/>
                <w:highlight w:val="none"/>
                <w:lang w:bidi="ar"/>
              </w:rPr>
            </w:pPr>
            <w:r>
              <w:rPr>
                <w:rFonts w:hint="eastAsia" w:ascii="宋体" w:hAnsi="宋体" w:cs="宋体"/>
                <w:color w:val="auto"/>
                <w:spacing w:val="-5"/>
                <w:kern w:val="0"/>
                <w:szCs w:val="21"/>
                <w:highlight w:val="none"/>
                <w:lang w:bidi="ar"/>
              </w:rPr>
              <w:t>投标人</w:t>
            </w:r>
            <w:r>
              <w:rPr>
                <w:rFonts w:hint="eastAsia" w:ascii="宋体" w:hAnsi="宋体" w:cs="宋体"/>
                <w:color w:val="auto"/>
                <w:spacing w:val="-5"/>
                <w:kern w:val="0"/>
                <w:szCs w:val="21"/>
                <w:highlight w:val="none"/>
                <w:lang w:eastAsia="zh-Hans" w:bidi="ar"/>
              </w:rPr>
              <w:t>具有</w:t>
            </w:r>
            <w:r>
              <w:rPr>
                <w:rFonts w:hint="eastAsia" w:ascii="宋体" w:hAnsi="宋体" w:cs="宋体"/>
                <w:color w:val="auto"/>
                <w:spacing w:val="-5"/>
                <w:kern w:val="0"/>
                <w:szCs w:val="21"/>
                <w:highlight w:val="none"/>
                <w:lang w:bidi="ar"/>
              </w:rPr>
              <w:t>有</w:t>
            </w:r>
            <w:r>
              <w:rPr>
                <w:rFonts w:hint="eastAsia" w:ascii="宋体" w:hAnsi="宋体" w:cs="宋体"/>
                <w:color w:val="auto"/>
                <w:spacing w:val="-5"/>
                <w:kern w:val="0"/>
                <w:szCs w:val="21"/>
                <w:highlight w:val="none"/>
                <w:lang w:eastAsia="zh-Hans" w:bidi="ar"/>
              </w:rPr>
              <w:t>效的</w:t>
            </w:r>
            <w:r>
              <w:rPr>
                <w:rFonts w:hint="eastAsia" w:ascii="宋体" w:hAnsi="宋体" w:cs="宋体"/>
                <w:color w:val="auto"/>
                <w:spacing w:val="-5"/>
                <w:kern w:val="0"/>
                <w:szCs w:val="21"/>
                <w:highlight w:val="none"/>
                <w:lang w:bidi="ar"/>
              </w:rPr>
              <w:t>ISO28000供应链管理体系认证的得1分；</w:t>
            </w:r>
          </w:p>
          <w:p>
            <w:pPr>
              <w:autoSpaceDE w:val="0"/>
              <w:autoSpaceDN w:val="0"/>
              <w:spacing w:line="360" w:lineRule="exact"/>
              <w:rPr>
                <w:rFonts w:ascii="宋体" w:hAnsi="宋体" w:cs="宋体"/>
                <w:color w:val="auto"/>
                <w:spacing w:val="-5"/>
                <w:kern w:val="0"/>
                <w:szCs w:val="21"/>
                <w:highlight w:val="none"/>
                <w:lang w:bidi="ar"/>
              </w:rPr>
            </w:pPr>
            <w:r>
              <w:rPr>
                <w:rFonts w:hint="eastAsia" w:ascii="宋体" w:hAnsi="宋体" w:cs="宋体"/>
                <w:color w:val="auto"/>
                <w:spacing w:val="-5"/>
                <w:kern w:val="0"/>
                <w:szCs w:val="21"/>
                <w:highlight w:val="none"/>
                <w:lang w:bidi="ar"/>
              </w:rPr>
              <w:t>投标人</w:t>
            </w:r>
            <w:r>
              <w:rPr>
                <w:rFonts w:hint="eastAsia" w:ascii="宋体" w:hAnsi="宋体" w:cs="宋体"/>
                <w:color w:val="auto"/>
                <w:spacing w:val="-5"/>
                <w:kern w:val="0"/>
                <w:szCs w:val="21"/>
                <w:highlight w:val="none"/>
                <w:lang w:eastAsia="zh-Hans" w:bidi="ar"/>
              </w:rPr>
              <w:t>具有</w:t>
            </w:r>
            <w:r>
              <w:rPr>
                <w:rFonts w:hint="eastAsia" w:ascii="宋体" w:hAnsi="宋体" w:cs="宋体"/>
                <w:color w:val="auto"/>
                <w:spacing w:val="-5"/>
                <w:kern w:val="0"/>
                <w:szCs w:val="21"/>
                <w:highlight w:val="none"/>
                <w:lang w:bidi="ar"/>
              </w:rPr>
              <w:t>有</w:t>
            </w:r>
            <w:r>
              <w:rPr>
                <w:rFonts w:hint="eastAsia" w:ascii="宋体" w:hAnsi="宋体" w:cs="宋体"/>
                <w:color w:val="auto"/>
                <w:spacing w:val="-5"/>
                <w:kern w:val="0"/>
                <w:szCs w:val="21"/>
                <w:highlight w:val="none"/>
                <w:lang w:eastAsia="zh-Hans" w:bidi="ar"/>
              </w:rPr>
              <w:t>效的</w:t>
            </w:r>
            <w:r>
              <w:rPr>
                <w:rFonts w:hint="eastAsia" w:ascii="宋体" w:hAnsi="宋体" w:cs="宋体"/>
                <w:color w:val="auto"/>
                <w:spacing w:val="-5"/>
                <w:kern w:val="0"/>
                <w:szCs w:val="21"/>
                <w:highlight w:val="none"/>
                <w:lang w:bidi="ar"/>
              </w:rPr>
              <w:t>职业健康安全管理体系认证证书（ISO45001）的得1分；</w:t>
            </w:r>
          </w:p>
          <w:p>
            <w:pPr>
              <w:autoSpaceDE w:val="0"/>
              <w:autoSpaceDN w:val="0"/>
              <w:spacing w:line="360" w:lineRule="exact"/>
              <w:rPr>
                <w:rFonts w:ascii="宋体" w:hAnsi="宋体" w:cs="宋体"/>
                <w:color w:val="auto"/>
                <w:spacing w:val="-5"/>
                <w:kern w:val="0"/>
                <w:szCs w:val="21"/>
                <w:highlight w:val="none"/>
                <w:lang w:bidi="ar"/>
              </w:rPr>
            </w:pPr>
            <w:r>
              <w:rPr>
                <w:rFonts w:hint="eastAsia" w:ascii="宋体" w:hAnsi="宋体" w:cs="宋体"/>
                <w:color w:val="auto"/>
                <w:spacing w:val="-5"/>
                <w:kern w:val="0"/>
                <w:szCs w:val="21"/>
                <w:highlight w:val="none"/>
                <w:lang w:bidi="ar"/>
              </w:rPr>
              <w:t>投标人</w:t>
            </w:r>
            <w:r>
              <w:rPr>
                <w:rFonts w:hint="eastAsia" w:ascii="宋体" w:hAnsi="宋体" w:cs="宋体"/>
                <w:color w:val="auto"/>
                <w:spacing w:val="-5"/>
                <w:kern w:val="0"/>
                <w:szCs w:val="21"/>
                <w:highlight w:val="none"/>
                <w:lang w:eastAsia="zh-Hans" w:bidi="ar"/>
              </w:rPr>
              <w:t>具有</w:t>
            </w:r>
            <w:r>
              <w:rPr>
                <w:rFonts w:hint="eastAsia" w:ascii="宋体" w:hAnsi="宋体" w:cs="宋体"/>
                <w:color w:val="auto"/>
                <w:spacing w:val="-5"/>
                <w:kern w:val="0"/>
                <w:szCs w:val="21"/>
                <w:highlight w:val="none"/>
                <w:lang w:bidi="ar"/>
              </w:rPr>
              <w:t>有</w:t>
            </w:r>
            <w:r>
              <w:rPr>
                <w:rFonts w:hint="eastAsia" w:ascii="宋体" w:hAnsi="宋体" w:cs="宋体"/>
                <w:color w:val="auto"/>
                <w:spacing w:val="-5"/>
                <w:kern w:val="0"/>
                <w:szCs w:val="21"/>
                <w:highlight w:val="none"/>
                <w:lang w:eastAsia="zh-Hans" w:bidi="ar"/>
              </w:rPr>
              <w:t>效的</w:t>
            </w:r>
            <w:r>
              <w:rPr>
                <w:rFonts w:hint="eastAsia" w:ascii="宋体" w:hAnsi="宋体" w:cs="宋体"/>
                <w:color w:val="auto"/>
                <w:spacing w:val="-5"/>
                <w:kern w:val="0"/>
                <w:szCs w:val="21"/>
                <w:highlight w:val="none"/>
                <w:lang w:bidi="ar"/>
              </w:rPr>
              <w:t>信息技术服务运行维护标准（ITSS）证书的得1分；</w:t>
            </w:r>
          </w:p>
          <w:p>
            <w:pPr>
              <w:pStyle w:val="515"/>
              <w:spacing w:line="360" w:lineRule="exact"/>
              <w:ind w:firstLine="0" w:firstLineChars="0"/>
              <w:jc w:val="left"/>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注：投标文件中提供证明资料的复印件加盖公章，否则不得分。</w:t>
            </w:r>
          </w:p>
        </w:tc>
        <w:tc>
          <w:tcPr>
            <w:tcW w:w="524" w:type="dxa"/>
            <w:vAlign w:val="center"/>
          </w:tcPr>
          <w:p>
            <w:pPr>
              <w:widowControl/>
              <w:spacing w:line="360" w:lineRule="exact"/>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6</w:t>
            </w:r>
          </w:p>
        </w:tc>
        <w:tc>
          <w:tcPr>
            <w:tcW w:w="1260" w:type="dxa"/>
            <w:vAlign w:val="center"/>
          </w:tcPr>
          <w:p>
            <w:pPr>
              <w:widowControl/>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客观分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767" w:type="dxa"/>
            <w:vMerge w:val="restart"/>
            <w:vAlign w:val="center"/>
          </w:tcPr>
          <w:p>
            <w:pPr>
              <w:widowControl/>
              <w:snapToGri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c>
          <w:tcPr>
            <w:tcW w:w="1091" w:type="dxa"/>
            <w:vMerge w:val="restart"/>
            <w:vAlign w:val="center"/>
          </w:tcPr>
          <w:p>
            <w:pPr>
              <w:widowControl/>
              <w:spacing w:line="240" w:lineRule="auto"/>
              <w:jc w:val="center"/>
              <w:rPr>
                <w:rFonts w:ascii="宋体" w:hAnsi="宋体" w:cs="宋体"/>
                <w:color w:val="auto"/>
                <w:szCs w:val="21"/>
                <w:highlight w:val="none"/>
              </w:rPr>
            </w:pPr>
            <w:r>
              <w:rPr>
                <w:rFonts w:hint="eastAsia" w:ascii="宋体" w:hAnsi="宋体" w:cs="宋体"/>
                <w:color w:val="auto"/>
                <w:szCs w:val="21"/>
                <w:highlight w:val="none"/>
              </w:rPr>
              <w:t>人员配置（</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分）</w:t>
            </w:r>
          </w:p>
        </w:tc>
        <w:tc>
          <w:tcPr>
            <w:tcW w:w="5626" w:type="dxa"/>
            <w:vAlign w:val="center"/>
          </w:tcPr>
          <w:p>
            <w:pPr>
              <w:autoSpaceDE w:val="0"/>
              <w:autoSpaceDN w:val="0"/>
              <w:spacing w:line="240" w:lineRule="auto"/>
              <w:rPr>
                <w:rFonts w:ascii="宋体" w:hAnsi="宋体" w:cs="宋体"/>
                <w:b/>
                <w:bCs/>
                <w:color w:val="auto"/>
                <w:kern w:val="0"/>
                <w:szCs w:val="21"/>
                <w:highlight w:val="none"/>
              </w:rPr>
            </w:pPr>
            <w:r>
              <w:rPr>
                <w:rFonts w:hint="eastAsia" w:ascii="宋体" w:hAnsi="宋体" w:cs="宋体"/>
                <w:b/>
                <w:bCs/>
                <w:color w:val="auto"/>
                <w:kern w:val="0"/>
                <w:szCs w:val="21"/>
                <w:highlight w:val="none"/>
              </w:rPr>
              <w:t>1、项目负责人（3分）</w:t>
            </w:r>
          </w:p>
          <w:p>
            <w:pPr>
              <w:autoSpaceDE w:val="0"/>
              <w:autoSpaceDN w:val="0"/>
              <w:spacing w:line="240" w:lineRule="auto"/>
              <w:ind w:left="0" w:leftChars="0" w:firstLine="0" w:firstLineChars="0"/>
              <w:rPr>
                <w:rFonts w:cs="宋体"/>
                <w:color w:val="auto"/>
                <w:kern w:val="0"/>
                <w:szCs w:val="21"/>
                <w:highlight w:val="none"/>
              </w:rPr>
            </w:pPr>
            <w:r>
              <w:rPr>
                <w:rFonts w:hint="eastAsia" w:ascii="宋体" w:hAnsi="宋体" w:cs="宋体"/>
                <w:color w:val="auto"/>
                <w:kern w:val="0"/>
                <w:szCs w:val="21"/>
                <w:highlight w:val="none"/>
              </w:rPr>
              <w:t>项目负责人具有信息系统项目管理师的得</w:t>
            </w:r>
            <w:r>
              <w:rPr>
                <w:rFonts w:ascii="宋体" w:hAnsi="宋体" w:cs="宋体"/>
                <w:color w:val="auto"/>
                <w:kern w:val="0"/>
                <w:szCs w:val="21"/>
                <w:highlight w:val="none"/>
              </w:rPr>
              <w:t>1分；</w:t>
            </w:r>
          </w:p>
          <w:p>
            <w:pPr>
              <w:autoSpaceDE w:val="0"/>
              <w:autoSpaceDN w:val="0"/>
              <w:spacing w:line="240" w:lineRule="auto"/>
              <w:ind w:left="0" w:leftChars="0" w:firstLine="0" w:firstLineChars="0"/>
              <w:rPr>
                <w:rFonts w:cs="宋体"/>
                <w:color w:val="auto"/>
                <w:kern w:val="0"/>
                <w:szCs w:val="21"/>
                <w:highlight w:val="none"/>
              </w:rPr>
            </w:pPr>
            <w:r>
              <w:rPr>
                <w:rFonts w:hint="eastAsia" w:ascii="宋体" w:hAnsi="宋体" w:cs="宋体"/>
                <w:color w:val="auto"/>
                <w:kern w:val="0"/>
                <w:szCs w:val="21"/>
                <w:highlight w:val="none"/>
              </w:rPr>
              <w:t>项目负责人具有网络规划设计师的得</w:t>
            </w:r>
            <w:r>
              <w:rPr>
                <w:rFonts w:ascii="宋体" w:hAnsi="宋体" w:cs="宋体"/>
                <w:color w:val="auto"/>
                <w:kern w:val="0"/>
                <w:szCs w:val="21"/>
                <w:highlight w:val="none"/>
              </w:rPr>
              <w:t>1分；</w:t>
            </w:r>
          </w:p>
          <w:p>
            <w:pPr>
              <w:autoSpaceDE w:val="0"/>
              <w:autoSpaceDN w:val="0"/>
              <w:spacing w:line="240" w:lineRule="auto"/>
              <w:rPr>
                <w:rFonts w:ascii="宋体" w:hAnsi="宋体" w:cs="宋体"/>
                <w:color w:val="auto"/>
                <w:kern w:val="0"/>
                <w:szCs w:val="21"/>
                <w:highlight w:val="none"/>
              </w:rPr>
            </w:pPr>
            <w:r>
              <w:rPr>
                <w:rFonts w:hint="eastAsia" w:ascii="宋体" w:hAnsi="宋体" w:cs="宋体"/>
                <w:color w:val="auto"/>
                <w:kern w:val="0"/>
                <w:szCs w:val="21"/>
                <w:highlight w:val="none"/>
              </w:rPr>
              <w:t>项目负责人具有</w:t>
            </w:r>
            <w:r>
              <w:rPr>
                <w:rFonts w:ascii="宋体" w:hAnsi="宋体"/>
                <w:color w:val="auto"/>
                <w:highlight w:val="none"/>
              </w:rPr>
              <w:t>中级及以上工程师职称证书</w:t>
            </w:r>
            <w:r>
              <w:rPr>
                <w:rFonts w:hint="eastAsia" w:ascii="宋体" w:hAnsi="宋体" w:cs="宋体"/>
                <w:color w:val="auto"/>
                <w:kern w:val="0"/>
                <w:szCs w:val="21"/>
                <w:highlight w:val="none"/>
              </w:rPr>
              <w:t>的得1分；</w:t>
            </w:r>
          </w:p>
          <w:p>
            <w:pPr>
              <w:pStyle w:val="64"/>
              <w:spacing w:line="240" w:lineRule="auto"/>
              <w:ind w:left="0" w:leftChars="0" w:firstLine="0" w:firstLineChars="0"/>
              <w:rPr>
                <w:rFonts w:cs="宋体"/>
                <w:color w:val="auto"/>
                <w:szCs w:val="21"/>
                <w:highlight w:val="none"/>
              </w:rPr>
            </w:pPr>
            <w:r>
              <w:rPr>
                <w:rFonts w:hint="eastAsia" w:cs="宋体"/>
                <w:color w:val="auto"/>
                <w:szCs w:val="21"/>
                <w:highlight w:val="none"/>
              </w:rPr>
              <w:t>备注：项目负责人只能为一人；投标文件中提供证书复印件及投标人为其缴纳的社保证明材料。</w:t>
            </w:r>
          </w:p>
          <w:p>
            <w:pPr>
              <w:pStyle w:val="64"/>
              <w:spacing w:line="240" w:lineRule="auto"/>
              <w:ind w:left="0" w:leftChars="0" w:firstLine="0" w:firstLineChars="0"/>
              <w:rPr>
                <w:rFonts w:hint="eastAsia" w:cs="宋体"/>
                <w:b/>
                <w:bCs/>
                <w:color w:val="auto"/>
                <w:szCs w:val="21"/>
                <w:highlight w:val="none"/>
              </w:rPr>
            </w:pPr>
            <w:r>
              <w:rPr>
                <w:rFonts w:cs="宋体"/>
                <w:b/>
                <w:bCs/>
                <w:color w:val="auto"/>
                <w:kern w:val="0"/>
                <w:szCs w:val="21"/>
                <w:highlight w:val="none"/>
              </w:rPr>
              <w:t>2</w:t>
            </w:r>
            <w:r>
              <w:rPr>
                <w:rFonts w:hint="eastAsia" w:cs="宋体"/>
                <w:b/>
                <w:bCs/>
                <w:color w:val="auto"/>
                <w:szCs w:val="21"/>
                <w:highlight w:val="none"/>
              </w:rPr>
              <w:t>、技术负责人（3分）</w:t>
            </w:r>
          </w:p>
          <w:p>
            <w:pPr>
              <w:pStyle w:val="64"/>
              <w:spacing w:line="240" w:lineRule="auto"/>
              <w:ind w:left="0" w:leftChars="0" w:firstLine="0" w:firstLineChars="0"/>
              <w:rPr>
                <w:rFonts w:hint="eastAsia" w:cs="宋体"/>
                <w:color w:val="auto"/>
                <w:szCs w:val="21"/>
                <w:highlight w:val="none"/>
              </w:rPr>
            </w:pPr>
            <w:r>
              <w:rPr>
                <w:rFonts w:hint="eastAsia" w:cs="宋体"/>
                <w:color w:val="auto"/>
                <w:szCs w:val="21"/>
                <w:highlight w:val="none"/>
              </w:rPr>
              <w:t>具有系统集成项目管理工程师的得1分；</w:t>
            </w:r>
          </w:p>
          <w:p>
            <w:pPr>
              <w:pStyle w:val="64"/>
              <w:spacing w:line="240" w:lineRule="auto"/>
              <w:ind w:left="0" w:leftChars="0" w:firstLine="0" w:firstLineChars="0"/>
              <w:rPr>
                <w:rFonts w:hint="eastAsia" w:cs="宋体"/>
                <w:color w:val="auto"/>
                <w:szCs w:val="21"/>
                <w:highlight w:val="none"/>
              </w:rPr>
            </w:pPr>
            <w:r>
              <w:rPr>
                <w:rFonts w:hint="eastAsia" w:cs="宋体"/>
                <w:color w:val="auto"/>
                <w:szCs w:val="21"/>
                <w:highlight w:val="none"/>
              </w:rPr>
              <w:t>具有CISSP信息系统安全专业认证的得1分；</w:t>
            </w:r>
          </w:p>
          <w:p>
            <w:pPr>
              <w:pStyle w:val="64"/>
              <w:spacing w:line="240" w:lineRule="auto"/>
              <w:ind w:left="0" w:leftChars="0" w:firstLine="0" w:firstLineChars="0"/>
              <w:rPr>
                <w:rFonts w:hint="eastAsia" w:cs="宋体"/>
                <w:color w:val="auto"/>
                <w:szCs w:val="21"/>
                <w:highlight w:val="none"/>
              </w:rPr>
            </w:pPr>
            <w:r>
              <w:rPr>
                <w:rFonts w:hint="eastAsia" w:cs="宋体"/>
                <w:color w:val="auto"/>
                <w:szCs w:val="21"/>
                <w:highlight w:val="none"/>
              </w:rPr>
              <w:t>具有CISAW 信息安全保障人员认证的得1分；</w:t>
            </w:r>
          </w:p>
          <w:p>
            <w:pPr>
              <w:pStyle w:val="64"/>
              <w:spacing w:line="240" w:lineRule="auto"/>
              <w:ind w:left="0" w:leftChars="0" w:firstLine="0" w:firstLineChars="0"/>
              <w:rPr>
                <w:rFonts w:hint="eastAsia" w:cs="宋体"/>
                <w:color w:val="auto"/>
                <w:szCs w:val="21"/>
                <w:highlight w:val="none"/>
              </w:rPr>
            </w:pPr>
            <w:r>
              <w:rPr>
                <w:rFonts w:hint="eastAsia" w:cs="宋体"/>
                <w:color w:val="auto"/>
                <w:szCs w:val="21"/>
                <w:highlight w:val="none"/>
              </w:rPr>
              <w:t>备注：技术负责人只能为一人；投标文件中提供证书复印件及投标人为其缴纳的社保证明材料。</w:t>
            </w:r>
          </w:p>
          <w:p>
            <w:pPr>
              <w:pStyle w:val="64"/>
              <w:spacing w:line="240" w:lineRule="auto"/>
              <w:ind w:left="0" w:leftChars="0" w:firstLine="0" w:firstLineChars="0"/>
              <w:rPr>
                <w:rFonts w:hint="eastAsia" w:cs="宋体"/>
                <w:b/>
                <w:bCs/>
                <w:color w:val="auto"/>
                <w:szCs w:val="21"/>
                <w:highlight w:val="none"/>
              </w:rPr>
            </w:pPr>
            <w:r>
              <w:rPr>
                <w:rFonts w:hint="eastAsia" w:cs="宋体"/>
                <w:b/>
                <w:bCs/>
                <w:color w:val="auto"/>
                <w:szCs w:val="21"/>
                <w:highlight w:val="none"/>
                <w:lang w:val="en-US" w:eastAsia="zh-CN"/>
              </w:rPr>
              <w:t>3</w:t>
            </w:r>
            <w:r>
              <w:rPr>
                <w:rFonts w:hint="eastAsia" w:cs="宋体"/>
                <w:b/>
                <w:bCs/>
                <w:color w:val="auto"/>
                <w:szCs w:val="21"/>
                <w:highlight w:val="none"/>
              </w:rPr>
              <w:t>、运维负责人（</w:t>
            </w:r>
            <w:r>
              <w:rPr>
                <w:rFonts w:hint="eastAsia" w:cs="宋体"/>
                <w:b/>
                <w:bCs/>
                <w:color w:val="auto"/>
                <w:szCs w:val="21"/>
                <w:highlight w:val="none"/>
                <w:lang w:val="en-US" w:eastAsia="zh-CN"/>
              </w:rPr>
              <w:t>2</w:t>
            </w:r>
            <w:r>
              <w:rPr>
                <w:rFonts w:hint="eastAsia" w:cs="宋体"/>
                <w:b/>
                <w:bCs/>
                <w:color w:val="auto"/>
                <w:szCs w:val="21"/>
                <w:highlight w:val="none"/>
              </w:rPr>
              <w:t>分）</w:t>
            </w:r>
          </w:p>
          <w:p>
            <w:pPr>
              <w:pStyle w:val="64"/>
              <w:spacing w:line="240" w:lineRule="auto"/>
              <w:ind w:left="0" w:leftChars="0" w:firstLine="0" w:firstLineChars="0"/>
              <w:rPr>
                <w:rFonts w:hint="eastAsia" w:cs="宋体"/>
                <w:color w:val="auto"/>
                <w:szCs w:val="21"/>
                <w:highlight w:val="none"/>
              </w:rPr>
            </w:pPr>
            <w:r>
              <w:rPr>
                <w:rFonts w:hint="eastAsia" w:cs="宋体"/>
                <w:color w:val="auto"/>
                <w:szCs w:val="21"/>
                <w:highlight w:val="none"/>
              </w:rPr>
              <w:t>具有系统规划与管理师认证的得</w:t>
            </w:r>
            <w:r>
              <w:rPr>
                <w:rFonts w:hint="eastAsia" w:cs="宋体"/>
                <w:color w:val="auto"/>
                <w:szCs w:val="21"/>
                <w:highlight w:val="none"/>
                <w:lang w:val="en-US" w:eastAsia="zh-CN"/>
              </w:rPr>
              <w:t>1</w:t>
            </w:r>
            <w:r>
              <w:rPr>
                <w:rFonts w:hint="eastAsia" w:cs="宋体"/>
                <w:color w:val="auto"/>
                <w:szCs w:val="21"/>
                <w:highlight w:val="none"/>
              </w:rPr>
              <w:t>分；</w:t>
            </w:r>
          </w:p>
          <w:p>
            <w:pPr>
              <w:pStyle w:val="64"/>
              <w:spacing w:line="240" w:lineRule="auto"/>
              <w:ind w:left="0" w:leftChars="0" w:firstLine="0" w:firstLineChars="0"/>
              <w:rPr>
                <w:rFonts w:hint="eastAsia" w:cs="宋体"/>
                <w:color w:val="auto"/>
                <w:szCs w:val="21"/>
                <w:highlight w:val="none"/>
              </w:rPr>
            </w:pPr>
            <w:r>
              <w:rPr>
                <w:rFonts w:hint="eastAsia" w:cs="宋体"/>
                <w:color w:val="auto"/>
                <w:szCs w:val="21"/>
                <w:highlight w:val="none"/>
              </w:rPr>
              <w:t>具有信息系统项目管理师的得</w:t>
            </w:r>
            <w:r>
              <w:rPr>
                <w:rFonts w:hint="eastAsia" w:cs="宋体"/>
                <w:color w:val="auto"/>
                <w:szCs w:val="21"/>
                <w:highlight w:val="none"/>
                <w:lang w:val="en-US" w:eastAsia="zh-CN"/>
              </w:rPr>
              <w:t>1</w:t>
            </w:r>
            <w:r>
              <w:rPr>
                <w:rFonts w:hint="eastAsia" w:cs="宋体"/>
                <w:color w:val="auto"/>
                <w:szCs w:val="21"/>
                <w:highlight w:val="none"/>
              </w:rPr>
              <w:t>分；</w:t>
            </w:r>
          </w:p>
          <w:p>
            <w:pPr>
              <w:pStyle w:val="64"/>
              <w:spacing w:line="240" w:lineRule="auto"/>
              <w:ind w:left="0" w:leftChars="0" w:firstLine="0" w:firstLineChars="0"/>
              <w:rPr>
                <w:rFonts w:cs="宋体"/>
                <w:color w:val="auto"/>
                <w:szCs w:val="21"/>
                <w:highlight w:val="none"/>
                <w:lang w:bidi="ar"/>
              </w:rPr>
            </w:pPr>
            <w:r>
              <w:rPr>
                <w:rFonts w:hint="eastAsia" w:cs="宋体"/>
                <w:color w:val="auto"/>
                <w:szCs w:val="21"/>
                <w:highlight w:val="none"/>
              </w:rPr>
              <w:t>备注：运维负责人只能为一人；投标文件中提供证书复印件及投标人为其缴纳的社保证明材料。</w:t>
            </w:r>
          </w:p>
        </w:tc>
        <w:tc>
          <w:tcPr>
            <w:tcW w:w="524" w:type="dxa"/>
            <w:vAlign w:val="center"/>
          </w:tcPr>
          <w:p>
            <w:pPr>
              <w:widowControl/>
              <w:spacing w:line="360" w:lineRule="exact"/>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val="en-US" w:eastAsia="zh-CN"/>
              </w:rPr>
              <w:t>8</w:t>
            </w:r>
          </w:p>
        </w:tc>
        <w:tc>
          <w:tcPr>
            <w:tcW w:w="1260" w:type="dxa"/>
            <w:vAlign w:val="center"/>
          </w:tcPr>
          <w:p>
            <w:pPr>
              <w:widowControl/>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客观分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740" w:hRule="atLeast"/>
        </w:trPr>
        <w:tc>
          <w:tcPr>
            <w:tcW w:w="767" w:type="dxa"/>
            <w:vMerge w:val="continue"/>
            <w:vAlign w:val="center"/>
          </w:tcPr>
          <w:p>
            <w:pPr>
              <w:widowControl/>
              <w:snapToGrid w:val="0"/>
              <w:spacing w:line="360" w:lineRule="exact"/>
              <w:jc w:val="center"/>
              <w:rPr>
                <w:rFonts w:ascii="宋体" w:hAnsi="宋体" w:cs="宋体"/>
                <w:color w:val="auto"/>
                <w:kern w:val="0"/>
                <w:szCs w:val="21"/>
                <w:highlight w:val="none"/>
              </w:rPr>
            </w:pPr>
          </w:p>
        </w:tc>
        <w:tc>
          <w:tcPr>
            <w:tcW w:w="1091" w:type="dxa"/>
            <w:vMerge w:val="continue"/>
            <w:vAlign w:val="center"/>
          </w:tcPr>
          <w:p>
            <w:pPr>
              <w:widowControl/>
              <w:spacing w:line="360" w:lineRule="exact"/>
              <w:jc w:val="center"/>
              <w:rPr>
                <w:rFonts w:ascii="宋体" w:hAnsi="宋体" w:cs="宋体"/>
                <w:color w:val="auto"/>
                <w:szCs w:val="21"/>
                <w:highlight w:val="none"/>
              </w:rPr>
            </w:pPr>
          </w:p>
        </w:tc>
        <w:tc>
          <w:tcPr>
            <w:tcW w:w="5626" w:type="dxa"/>
            <w:vAlign w:val="center"/>
          </w:tcPr>
          <w:p>
            <w:pPr>
              <w:pStyle w:val="64"/>
              <w:spacing w:line="360" w:lineRule="exact"/>
              <w:ind w:left="0" w:leftChars="0" w:firstLine="0" w:firstLineChars="0"/>
              <w:rPr>
                <w:rFonts w:hint="eastAsia" w:cs="宋体"/>
                <w:color w:val="auto"/>
                <w:szCs w:val="21"/>
                <w:highlight w:val="none"/>
              </w:rPr>
            </w:pPr>
            <w:r>
              <w:rPr>
                <w:rFonts w:hint="eastAsia" w:cs="宋体"/>
                <w:color w:val="auto"/>
                <w:szCs w:val="21"/>
                <w:highlight w:val="none"/>
              </w:rPr>
              <w:t>本项目组其他组成人员（不含项目负责人、技术负责人、运维负责人）中具有信息系统项目管理师、系统架构设计师、IT项目服务经理证书（ITSS）、注册信息安全专业人员CISP证书每具一种证书得0.5分，最多得2分。</w:t>
            </w:r>
          </w:p>
          <w:p>
            <w:pPr>
              <w:pStyle w:val="64"/>
              <w:spacing w:line="360" w:lineRule="exact"/>
              <w:ind w:left="0" w:leftChars="0" w:firstLine="0" w:firstLineChars="0"/>
              <w:rPr>
                <w:rFonts w:ascii="宋体" w:hAnsi="宋体" w:cs="宋体"/>
                <w:color w:val="auto"/>
                <w:sz w:val="21"/>
                <w:szCs w:val="21"/>
                <w:highlight w:val="none"/>
              </w:rPr>
            </w:pPr>
            <w:r>
              <w:rPr>
                <w:rFonts w:hint="eastAsia" w:cs="宋体"/>
                <w:color w:val="auto"/>
                <w:szCs w:val="21"/>
                <w:highlight w:val="none"/>
              </w:rPr>
              <w:t>注：投标文件中提供相关人员证书以及以投标人名义缴纳的近两个月的社保缴纳证明的复印件加盖公章。</w:t>
            </w:r>
          </w:p>
        </w:tc>
        <w:tc>
          <w:tcPr>
            <w:tcW w:w="524" w:type="dxa"/>
            <w:vAlign w:val="center"/>
          </w:tcPr>
          <w:p>
            <w:pPr>
              <w:widowControl/>
              <w:spacing w:line="360" w:lineRule="exact"/>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val="en-US" w:eastAsia="zh-CN"/>
              </w:rPr>
              <w:t>2</w:t>
            </w:r>
          </w:p>
        </w:tc>
        <w:tc>
          <w:tcPr>
            <w:tcW w:w="1260" w:type="dxa"/>
            <w:vAlign w:val="center"/>
          </w:tcPr>
          <w:p>
            <w:pPr>
              <w:widowControl/>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客观分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767" w:type="dxa"/>
            <w:vAlign w:val="center"/>
          </w:tcPr>
          <w:p>
            <w:pPr>
              <w:widowControl/>
              <w:snapToGri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6</w:t>
            </w:r>
          </w:p>
        </w:tc>
        <w:tc>
          <w:tcPr>
            <w:tcW w:w="1091" w:type="dxa"/>
            <w:vAlign w:val="center"/>
          </w:tcPr>
          <w:p>
            <w:pPr>
              <w:widowControl/>
              <w:spacing w:line="360" w:lineRule="exact"/>
              <w:jc w:val="center"/>
              <w:rPr>
                <w:rFonts w:ascii="宋体" w:hAnsi="宋体" w:cs="宋体"/>
                <w:color w:val="auto"/>
                <w:szCs w:val="21"/>
                <w:highlight w:val="none"/>
              </w:rPr>
            </w:pPr>
            <w:r>
              <w:rPr>
                <w:rFonts w:hint="eastAsia" w:ascii="宋体" w:hAnsi="宋体" w:cs="宋体"/>
                <w:color w:val="auto"/>
                <w:szCs w:val="21"/>
                <w:highlight w:val="none"/>
                <w:lang w:val="en-US" w:eastAsia="zh-CN"/>
              </w:rPr>
              <w:t>政策分（1分）</w:t>
            </w:r>
          </w:p>
        </w:tc>
        <w:tc>
          <w:tcPr>
            <w:tcW w:w="5626" w:type="dxa"/>
            <w:vAlign w:val="top"/>
          </w:tcPr>
          <w:p>
            <w:pPr>
              <w:keepNext w:val="0"/>
              <w:keepLines w:val="0"/>
              <w:pageBreakBefore w:val="0"/>
              <w:kinsoku/>
              <w:wordWrap/>
              <w:overflowPunct/>
              <w:topLinePunct w:val="0"/>
              <w:autoSpaceDE/>
              <w:autoSpaceDN/>
              <w:bidi w:val="0"/>
              <w:snapToGrid w:val="0"/>
              <w:spacing w:line="360" w:lineRule="auto"/>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投标产品属于《节能产品政府采购品目清单》范围的且具有国家确定的认证机构出具的、处于有效期之内的节能产品认证证书的得</w:t>
            </w:r>
            <w:r>
              <w:rPr>
                <w:rFonts w:hint="eastAsia" w:asciiTheme="minorEastAsia" w:hAnsiTheme="minorEastAsia" w:eastAsiaTheme="minorEastAsia" w:cstheme="minorEastAsia"/>
                <w:color w:val="auto"/>
                <w:sz w:val="21"/>
                <w:szCs w:val="21"/>
                <w:highlight w:val="none"/>
                <w:lang w:val="en-US" w:eastAsia="zh-CN"/>
              </w:rPr>
              <w:t>0.5</w:t>
            </w:r>
            <w:r>
              <w:rPr>
                <w:rFonts w:hint="eastAsia" w:asciiTheme="minorEastAsia" w:hAnsiTheme="minorEastAsia" w:eastAsiaTheme="minorEastAsia" w:cstheme="minorEastAsia"/>
                <w:color w:val="auto"/>
                <w:sz w:val="21"/>
                <w:szCs w:val="21"/>
                <w:highlight w:val="none"/>
              </w:rPr>
              <w:t>分；</w:t>
            </w:r>
          </w:p>
          <w:p>
            <w:pPr>
              <w:keepNext w:val="0"/>
              <w:keepLines w:val="0"/>
              <w:pageBreakBefore w:val="0"/>
              <w:kinsoku/>
              <w:wordWrap/>
              <w:overflowPunct/>
              <w:topLinePunct w:val="0"/>
              <w:autoSpaceDE/>
              <w:autoSpaceDN/>
              <w:bidi w:val="0"/>
              <w:snapToGrid w:val="0"/>
              <w:spacing w:line="360" w:lineRule="auto"/>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投标产品属于《环境标志产品政府采购品目清单》范围的且具有国家确定的认证机构出具的、处于有效期之内的环境标志产品认证证书的得</w:t>
            </w:r>
            <w:r>
              <w:rPr>
                <w:rFonts w:hint="eastAsia" w:asciiTheme="minorEastAsia" w:hAnsiTheme="minorEastAsia" w:eastAsiaTheme="minorEastAsia" w:cstheme="minorEastAsia"/>
                <w:color w:val="auto"/>
                <w:sz w:val="21"/>
                <w:szCs w:val="21"/>
                <w:highlight w:val="none"/>
                <w:lang w:val="en-US" w:eastAsia="zh-CN"/>
              </w:rPr>
              <w:t>0.5</w:t>
            </w:r>
            <w:r>
              <w:rPr>
                <w:rFonts w:hint="eastAsia" w:asciiTheme="minorEastAsia" w:hAnsiTheme="minorEastAsia" w:eastAsiaTheme="minorEastAsia" w:cstheme="minorEastAsia"/>
                <w:color w:val="auto"/>
                <w:sz w:val="21"/>
                <w:szCs w:val="21"/>
                <w:highlight w:val="none"/>
              </w:rPr>
              <w:t>分。</w:t>
            </w:r>
          </w:p>
          <w:p>
            <w:pPr>
              <w:keepNext w:val="0"/>
              <w:keepLines w:val="0"/>
              <w:pageBreakBefore w:val="0"/>
              <w:kinsoku/>
              <w:wordWrap/>
              <w:overflowPunct/>
              <w:topLinePunct w:val="0"/>
              <w:autoSpaceDE/>
              <w:autoSpaceDN/>
              <w:bidi w:val="0"/>
              <w:snapToGrid w:val="0"/>
              <w:spacing w:line="360" w:lineRule="auto"/>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注：投标文件中必须同时提供以下资料：</w:t>
            </w:r>
          </w:p>
          <w:p>
            <w:pPr>
              <w:keepNext w:val="0"/>
              <w:keepLines w:val="0"/>
              <w:pageBreakBefore w:val="0"/>
              <w:kinsoku/>
              <w:wordWrap/>
              <w:overflowPunct/>
              <w:topLinePunct w:val="0"/>
              <w:autoSpaceDE/>
              <w:autoSpaceDN/>
              <w:bidi w:val="0"/>
              <w:snapToGrid w:val="0"/>
              <w:spacing w:line="360" w:lineRule="auto"/>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提供政府采购品目清单相关内容页（并对相关内容作圈记），采购品目清单详见《关于印发环境标志产品政府采购品目清单的通知》（财库〔2019〕18号）和《关于印发节能产品政府采购品目清单的通知》（财库〔2019〕19号）。</w:t>
            </w:r>
          </w:p>
          <w:p>
            <w:pPr>
              <w:keepNext w:val="0"/>
              <w:keepLines w:val="0"/>
              <w:pageBreakBefore w:val="0"/>
              <w:kinsoku/>
              <w:wordWrap/>
              <w:overflowPunct/>
              <w:topLinePunct w:val="0"/>
              <w:autoSpaceDE/>
              <w:autoSpaceDN/>
              <w:bidi w:val="0"/>
              <w:snapToGrid w:val="0"/>
              <w:spacing w:line="360" w:lineRule="auto"/>
              <w:jc w:val="left"/>
              <w:textAlignment w:val="auto"/>
              <w:rPr>
                <w:rFonts w:hint="eastAsia" w:cs="宋体"/>
                <w:color w:val="auto"/>
                <w:szCs w:val="21"/>
                <w:highlight w:val="none"/>
              </w:rPr>
            </w:pPr>
            <w:r>
              <w:rPr>
                <w:rFonts w:hint="eastAsia" w:asciiTheme="minorEastAsia" w:hAnsiTheme="minorEastAsia" w:eastAsiaTheme="minorEastAsia" w:cstheme="minorEastAsia"/>
                <w:color w:val="auto"/>
                <w:sz w:val="21"/>
                <w:szCs w:val="21"/>
                <w:highlight w:val="none"/>
              </w:rPr>
              <w:t>（2）《市场监管总局关于发布参与实施政府采购节能产品、环境标志产品认证机构名录的公告》中的认证机构出具的、处于有效期之内的节能产品/环境标志产品认证证书复印件并加盖公章。</w:t>
            </w:r>
          </w:p>
        </w:tc>
        <w:tc>
          <w:tcPr>
            <w:tcW w:w="524" w:type="dxa"/>
            <w:vAlign w:val="center"/>
          </w:tcPr>
          <w:p>
            <w:pPr>
              <w:keepNext w:val="0"/>
              <w:keepLines w:val="0"/>
              <w:pageBreakBefore w:val="0"/>
              <w:kinsoku/>
              <w:wordWrap/>
              <w:overflowPunct/>
              <w:topLinePunct w:val="0"/>
              <w:autoSpaceDE/>
              <w:autoSpaceDN/>
              <w:bidi w:val="0"/>
              <w:snapToGrid w:val="0"/>
              <w:spacing w:line="360" w:lineRule="auto"/>
              <w:jc w:val="center"/>
              <w:textAlignment w:val="auto"/>
              <w:rPr>
                <w:rFonts w:hint="eastAsia" w:ascii="宋体" w:hAnsi="宋体" w:cs="宋体"/>
                <w:color w:val="auto"/>
                <w:kern w:val="0"/>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p>
        </w:tc>
        <w:tc>
          <w:tcPr>
            <w:tcW w:w="1260" w:type="dxa"/>
            <w:vAlign w:val="center"/>
          </w:tcPr>
          <w:p>
            <w:pPr>
              <w:keepNext w:val="0"/>
              <w:keepLines w:val="0"/>
              <w:pageBreakBefore w:val="0"/>
              <w:kinsoku/>
              <w:wordWrap/>
              <w:overflowPunct/>
              <w:topLinePunct w:val="0"/>
              <w:autoSpaceDE/>
              <w:autoSpaceDN/>
              <w:bidi w:val="0"/>
              <w:snapToGrid w:val="0"/>
              <w:spacing w:line="360" w:lineRule="auto"/>
              <w:jc w:val="center"/>
              <w:textAlignment w:val="auto"/>
              <w:rPr>
                <w:rFonts w:hint="eastAsia" w:ascii="宋体" w:hAnsi="宋体" w:cs="宋体"/>
                <w:color w:val="auto"/>
                <w:kern w:val="0"/>
                <w:szCs w:val="21"/>
                <w:highlight w:val="none"/>
              </w:rPr>
            </w:pPr>
            <w:r>
              <w:rPr>
                <w:rFonts w:hint="eastAsia" w:asciiTheme="minorEastAsia" w:hAnsiTheme="minorEastAsia" w:eastAsiaTheme="minorEastAsia" w:cstheme="minorEastAsia"/>
                <w:color w:val="auto"/>
                <w:sz w:val="21"/>
                <w:szCs w:val="21"/>
                <w:highlight w:val="none"/>
                <w:lang w:val="en-US" w:eastAsia="zh-CN"/>
              </w:rPr>
              <w:t>客观分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9268" w:type="dxa"/>
            <w:gridSpan w:val="5"/>
            <w:vAlign w:val="center"/>
          </w:tcPr>
          <w:p>
            <w:pPr>
              <w:widowControl/>
              <w:tabs>
                <w:tab w:val="left" w:pos="0"/>
              </w:tabs>
              <w:spacing w:line="360" w:lineRule="exact"/>
              <w:jc w:val="center"/>
              <w:rPr>
                <w:rFonts w:ascii="宋体" w:hAnsi="宋体" w:cs="宋体"/>
                <w:color w:val="auto"/>
                <w:kern w:val="0"/>
                <w:szCs w:val="21"/>
                <w:highlight w:val="none"/>
              </w:rPr>
            </w:pPr>
            <w:r>
              <w:rPr>
                <w:rFonts w:hint="eastAsia" w:ascii="宋体" w:hAnsi="宋体" w:cs="宋体"/>
                <w:b/>
                <w:bCs/>
                <w:color w:val="auto"/>
                <w:kern w:val="0"/>
                <w:szCs w:val="21"/>
                <w:highlight w:val="none"/>
                <w:lang w:val="zh-CN"/>
              </w:rPr>
              <w:t>（</w:t>
            </w:r>
            <w:r>
              <w:rPr>
                <w:rFonts w:hint="eastAsia" w:ascii="宋体" w:hAnsi="宋体" w:cs="宋体"/>
                <w:b/>
                <w:bCs/>
                <w:color w:val="auto"/>
                <w:kern w:val="0"/>
                <w:szCs w:val="21"/>
                <w:highlight w:val="none"/>
              </w:rPr>
              <w:t>二）、报价分（</w:t>
            </w:r>
            <w:r>
              <w:rPr>
                <w:rFonts w:hint="eastAsia" w:ascii="宋体" w:hAnsi="宋体" w:cs="宋体"/>
                <w:b/>
                <w:bCs/>
                <w:color w:val="auto"/>
                <w:kern w:val="0"/>
                <w:szCs w:val="21"/>
                <w:highlight w:val="none"/>
                <w:lang w:val="en-US" w:eastAsia="zh-CN"/>
              </w:rPr>
              <w:t>3</w:t>
            </w:r>
            <w:r>
              <w:rPr>
                <w:rFonts w:hint="eastAsia" w:ascii="宋体" w:hAnsi="宋体" w:cs="宋体"/>
                <w:b/>
                <w:bCs/>
                <w:color w:val="auto"/>
                <w:kern w:val="0"/>
                <w:szCs w:val="21"/>
                <w:highlight w:val="none"/>
              </w:rPr>
              <w:t>0分）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771" w:hRule="atLeast"/>
        </w:trPr>
        <w:tc>
          <w:tcPr>
            <w:tcW w:w="767" w:type="dxa"/>
            <w:vAlign w:val="center"/>
          </w:tcPr>
          <w:p>
            <w:pPr>
              <w:widowControl/>
              <w:tabs>
                <w:tab w:val="left" w:pos="0"/>
              </w:tabs>
              <w:spacing w:line="360" w:lineRule="exact"/>
              <w:jc w:val="center"/>
              <w:rPr>
                <w:rFonts w:ascii="宋体" w:hAnsi="宋体" w:cs="宋体"/>
                <w:color w:val="auto"/>
                <w:szCs w:val="21"/>
                <w:highlight w:val="none"/>
              </w:rPr>
            </w:pPr>
            <w:r>
              <w:rPr>
                <w:rFonts w:hint="eastAsia" w:ascii="宋体" w:hAnsi="宋体" w:cs="宋体"/>
                <w:color w:val="auto"/>
                <w:szCs w:val="21"/>
                <w:highlight w:val="none"/>
              </w:rPr>
              <w:t>7</w:t>
            </w:r>
          </w:p>
        </w:tc>
        <w:tc>
          <w:tcPr>
            <w:tcW w:w="6717" w:type="dxa"/>
            <w:gridSpan w:val="2"/>
            <w:vAlign w:val="center"/>
          </w:tcPr>
          <w:p>
            <w:pPr>
              <w:widowControl/>
              <w:tabs>
                <w:tab w:val="left" w:pos="0"/>
              </w:tabs>
              <w:spacing w:line="360" w:lineRule="exact"/>
              <w:jc w:val="left"/>
              <w:rPr>
                <w:rFonts w:ascii="宋体" w:hAnsi="宋体" w:cs="宋体"/>
                <w:color w:val="auto"/>
                <w:szCs w:val="21"/>
                <w:highlight w:val="none"/>
                <w:lang w:val="zh-CN"/>
              </w:rPr>
            </w:pPr>
            <w:r>
              <w:rPr>
                <w:rFonts w:hint="eastAsia" w:ascii="宋体" w:hAnsi="宋体" w:cs="宋体"/>
                <w:color w:val="auto"/>
                <w:szCs w:val="21"/>
                <w:highlight w:val="none"/>
              </w:rPr>
              <w:t>报价</w:t>
            </w:r>
            <w:r>
              <w:rPr>
                <w:rFonts w:hint="eastAsia" w:ascii="宋体" w:hAnsi="宋体" w:cs="宋体"/>
                <w:color w:val="auto"/>
                <w:szCs w:val="21"/>
                <w:highlight w:val="none"/>
                <w:lang w:val="zh-CN"/>
              </w:rPr>
              <w:t>得分</w:t>
            </w:r>
          </w:p>
          <w:p>
            <w:pPr>
              <w:widowControl/>
              <w:tabs>
                <w:tab w:val="left" w:pos="0"/>
              </w:tabs>
              <w:spacing w:line="360" w:lineRule="exact"/>
              <w:ind w:firstLine="420" w:firstLineChars="200"/>
              <w:jc w:val="left"/>
              <w:rPr>
                <w:rFonts w:ascii="宋体" w:hAnsi="宋体" w:cs="宋体"/>
                <w:color w:val="auto"/>
                <w:szCs w:val="21"/>
                <w:highlight w:val="none"/>
                <w:lang w:val="zh-CN"/>
              </w:rPr>
            </w:pPr>
            <w:r>
              <w:rPr>
                <w:rFonts w:hint="eastAsia" w:ascii="宋体" w:hAnsi="宋体" w:cs="宋体"/>
                <w:color w:val="auto"/>
                <w:szCs w:val="21"/>
                <w:highlight w:val="none"/>
                <w:lang w:val="zh-CN"/>
              </w:rPr>
              <w:t>有效投标报价的最低价作为评标基准价，其最低报价为满分；按［投标报价得分=（评标基准价/投标报价）×权重］的计算公式计算。</w:t>
            </w:r>
          </w:p>
          <w:p>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lang w:val="zh-CN"/>
              </w:rPr>
              <w:t>对于未预留份额专门面向中小企业的政府采购货物项目，以及预留份额政府采购货物项目中的非预留部分标项，对小型和微型企业的投标报价给予 10 %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 4 %的扣除，用扣除后的价格参加评审。</w:t>
            </w:r>
          </w:p>
        </w:tc>
        <w:tc>
          <w:tcPr>
            <w:tcW w:w="524" w:type="dxa"/>
            <w:vAlign w:val="center"/>
          </w:tcPr>
          <w:p>
            <w:pPr>
              <w:widowControl/>
              <w:tabs>
                <w:tab w:val="left" w:pos="0"/>
              </w:tabs>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30</w:t>
            </w:r>
          </w:p>
        </w:tc>
        <w:tc>
          <w:tcPr>
            <w:tcW w:w="1260" w:type="dxa"/>
            <w:vAlign w:val="center"/>
          </w:tcPr>
          <w:p>
            <w:pPr>
              <w:widowControl/>
              <w:tabs>
                <w:tab w:val="left" w:pos="0"/>
              </w:tabs>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val="zh-CN"/>
              </w:rPr>
              <w:t>客观</w:t>
            </w:r>
            <w:r>
              <w:rPr>
                <w:rFonts w:hint="eastAsia" w:ascii="宋体" w:hAnsi="宋体" w:cs="宋体"/>
                <w:color w:val="auto"/>
                <w:kern w:val="0"/>
                <w:szCs w:val="21"/>
                <w:highlight w:val="none"/>
              </w:rPr>
              <w:t>分</w:t>
            </w:r>
          </w:p>
        </w:tc>
      </w:tr>
    </w:tbl>
    <w:p>
      <w:pPr>
        <w:snapToGrid w:val="0"/>
        <w:spacing w:line="360" w:lineRule="auto"/>
        <w:ind w:firstLine="422" w:firstLineChars="200"/>
        <w:rPr>
          <w:rFonts w:ascii="宋体" w:hAnsi="宋体" w:cs="宋体"/>
          <w:color w:val="auto"/>
          <w:szCs w:val="21"/>
          <w:highlight w:val="none"/>
        </w:rPr>
      </w:pPr>
      <w:r>
        <w:rPr>
          <w:rFonts w:hint="eastAsia" w:ascii="宋体" w:hAnsi="宋体" w:cs="宋体"/>
          <w:b/>
          <w:color w:val="auto"/>
          <w:szCs w:val="21"/>
          <w:highlight w:val="none"/>
        </w:rPr>
        <w:t>备注：</w:t>
      </w:r>
      <w:r>
        <w:rPr>
          <w:rFonts w:hint="eastAsia" w:ascii="宋体" w:hAnsi="宋体" w:cs="宋体"/>
          <w:bCs/>
          <w:color w:val="auto"/>
          <w:szCs w:val="21"/>
          <w:highlight w:val="none"/>
        </w:rPr>
        <w:t>（1）</w:t>
      </w:r>
      <w:r>
        <w:rPr>
          <w:rFonts w:hint="eastAsia" w:ascii="宋体" w:hAnsi="宋体" w:cs="宋体"/>
          <w:color w:val="auto"/>
          <w:szCs w:val="21"/>
          <w:highlight w:val="none"/>
        </w:rPr>
        <w:t>投标人编制投标文件（商务技术文件部分）时，建议按此目录（序号和内容）提供评标标准相应的商务技术资料。</w:t>
      </w:r>
    </w:p>
    <w:p>
      <w:pPr>
        <w:numPr>
          <w:ilvl w:val="0"/>
          <w:numId w:val="6"/>
        </w:num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评委在上表设定的分值范围内打分(四舍五入保留两位小数)，平均分值计算四舍五入保留两位小数点。 </w:t>
      </w:r>
    </w:p>
    <w:p>
      <w:pPr>
        <w:rPr>
          <w:rFonts w:hint="eastAsia" w:ascii="宋体" w:hAnsi="宋体" w:eastAsia="宋体" w:cs="宋体"/>
          <w:b/>
          <w:bCs/>
          <w:color w:val="auto"/>
          <w:kern w:val="0"/>
          <w:sz w:val="28"/>
          <w:szCs w:val="28"/>
          <w:highlight w:val="none"/>
          <w:lang w:val="en-US" w:eastAsia="zh-CN" w:bidi="ar"/>
        </w:rPr>
      </w:pPr>
      <w:r>
        <w:rPr>
          <w:rFonts w:hint="eastAsia" w:ascii="宋体" w:hAnsi="宋体" w:eastAsia="宋体" w:cs="宋体"/>
          <w:b/>
          <w:bCs/>
          <w:color w:val="auto"/>
          <w:kern w:val="0"/>
          <w:sz w:val="28"/>
          <w:szCs w:val="28"/>
          <w:highlight w:val="none"/>
          <w:lang w:val="en-US" w:eastAsia="zh-CN" w:bidi="ar"/>
        </w:rPr>
        <w:br w:type="page"/>
      </w:r>
    </w:p>
    <w:p>
      <w:pPr>
        <w:keepNext w:val="0"/>
        <w:keepLines w:val="0"/>
        <w:pageBreakBefore w:val="0"/>
        <w:widowControl w:val="0"/>
        <w:kinsoku/>
        <w:wordWrap/>
        <w:overflowPunct/>
        <w:topLinePunct w:val="0"/>
        <w:autoSpaceDE/>
        <w:autoSpaceDN/>
        <w:bidi w:val="0"/>
        <w:adjustRightInd w:val="0"/>
        <w:snapToGrid/>
        <w:jc w:val="left"/>
        <w:textAlignment w:val="auto"/>
        <w:rPr>
          <w:rFonts w:hint="default" w:ascii="宋体" w:hAnsi="宋体" w:eastAsia="宋体" w:cs="宋体"/>
          <w:b/>
          <w:bCs/>
          <w:color w:val="auto"/>
          <w:kern w:val="0"/>
          <w:sz w:val="28"/>
          <w:szCs w:val="28"/>
          <w:highlight w:val="none"/>
          <w:lang w:val="en-US" w:eastAsia="zh-CN" w:bidi="ar"/>
        </w:rPr>
      </w:pPr>
      <w:r>
        <w:rPr>
          <w:rFonts w:hint="eastAsia" w:ascii="宋体" w:hAnsi="宋体" w:eastAsia="宋体" w:cs="宋体"/>
          <w:b/>
          <w:bCs/>
          <w:color w:val="auto"/>
          <w:kern w:val="0"/>
          <w:sz w:val="28"/>
          <w:szCs w:val="28"/>
          <w:highlight w:val="none"/>
          <w:lang w:val="en-US" w:eastAsia="zh-CN" w:bidi="ar"/>
        </w:rPr>
        <w:t>标项二:</w:t>
      </w:r>
    </w:p>
    <w:tbl>
      <w:tblPr>
        <w:tblStyle w:val="65"/>
        <w:tblpPr w:leftFromText="180" w:rightFromText="180" w:vertAnchor="text" w:horzAnchor="page" w:tblpX="1422" w:tblpY="607"/>
        <w:tblOverlap w:val="never"/>
        <w:tblW w:w="9268" w:type="dxa"/>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091"/>
        <w:gridCol w:w="5626"/>
        <w:gridCol w:w="524"/>
        <w:gridCol w:w="1260"/>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88" w:hRule="atLeast"/>
          <w:tblHeader/>
        </w:trPr>
        <w:tc>
          <w:tcPr>
            <w:tcW w:w="767" w:type="dxa"/>
            <w:vAlign w:val="center"/>
          </w:tcPr>
          <w:p>
            <w:pPr>
              <w:widowControl/>
              <w:snapToGrid w:val="0"/>
              <w:spacing w:line="360" w:lineRule="exact"/>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序号</w:t>
            </w:r>
          </w:p>
        </w:tc>
        <w:tc>
          <w:tcPr>
            <w:tcW w:w="6717" w:type="dxa"/>
            <w:gridSpan w:val="2"/>
            <w:vAlign w:val="center"/>
          </w:tcPr>
          <w:p>
            <w:pPr>
              <w:snapToGrid w:val="0"/>
              <w:spacing w:line="360" w:lineRule="exact"/>
              <w:jc w:val="center"/>
              <w:rPr>
                <w:rFonts w:ascii="宋体" w:hAnsi="宋体" w:cs="宋体"/>
                <w:b/>
                <w:bCs/>
                <w:color w:val="auto"/>
                <w:szCs w:val="21"/>
                <w:highlight w:val="none"/>
              </w:rPr>
            </w:pPr>
            <w:r>
              <w:rPr>
                <w:rFonts w:hint="eastAsia" w:ascii="宋体" w:hAnsi="宋体" w:cs="宋体"/>
                <w:b/>
                <w:bCs/>
                <w:color w:val="auto"/>
                <w:szCs w:val="21"/>
                <w:highlight w:val="none"/>
              </w:rPr>
              <w:t>评标标准</w:t>
            </w:r>
          </w:p>
        </w:tc>
        <w:tc>
          <w:tcPr>
            <w:tcW w:w="524" w:type="dxa"/>
            <w:vAlign w:val="center"/>
          </w:tcPr>
          <w:p>
            <w:pPr>
              <w:snapToGrid w:val="0"/>
              <w:spacing w:line="360" w:lineRule="exact"/>
              <w:jc w:val="center"/>
              <w:rPr>
                <w:rFonts w:ascii="宋体" w:hAnsi="宋体" w:cs="宋体"/>
                <w:b/>
                <w:bCs/>
                <w:color w:val="auto"/>
                <w:szCs w:val="21"/>
                <w:highlight w:val="none"/>
              </w:rPr>
            </w:pPr>
            <w:r>
              <w:rPr>
                <w:rFonts w:hint="eastAsia" w:ascii="宋体" w:hAnsi="宋体" w:cs="宋体"/>
                <w:b/>
                <w:bCs/>
                <w:color w:val="auto"/>
                <w:szCs w:val="21"/>
                <w:highlight w:val="none"/>
              </w:rPr>
              <w:t>权重</w:t>
            </w:r>
          </w:p>
        </w:tc>
        <w:tc>
          <w:tcPr>
            <w:tcW w:w="1260" w:type="dxa"/>
            <w:vAlign w:val="center"/>
          </w:tcPr>
          <w:p>
            <w:pPr>
              <w:snapToGrid w:val="0"/>
              <w:spacing w:line="360" w:lineRule="exact"/>
              <w:jc w:val="center"/>
              <w:rPr>
                <w:rFonts w:ascii="宋体" w:hAnsi="宋体" w:cs="宋体"/>
                <w:b/>
                <w:bCs/>
                <w:color w:val="auto"/>
                <w:szCs w:val="21"/>
                <w:highlight w:val="none"/>
              </w:rPr>
            </w:pPr>
            <w:r>
              <w:rPr>
                <w:rFonts w:hint="eastAsia" w:ascii="宋体" w:hAnsi="宋体" w:cs="宋体"/>
                <w:b/>
                <w:bCs/>
                <w:color w:val="auto"/>
                <w:szCs w:val="21"/>
                <w:highlight w:val="none"/>
              </w:rPr>
              <w:t>主观分/客观分属性</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9268" w:type="dxa"/>
            <w:gridSpan w:val="5"/>
            <w:vAlign w:val="center"/>
          </w:tcPr>
          <w:p>
            <w:pPr>
              <w:widowControl/>
              <w:spacing w:line="360" w:lineRule="exact"/>
              <w:jc w:val="center"/>
              <w:rPr>
                <w:rFonts w:ascii="宋体" w:hAnsi="宋体" w:cs="宋体"/>
                <w:color w:val="auto"/>
                <w:kern w:val="0"/>
                <w:szCs w:val="21"/>
                <w:highlight w:val="none"/>
              </w:rPr>
            </w:pPr>
            <w:r>
              <w:rPr>
                <w:rFonts w:hint="eastAsia" w:ascii="宋体" w:hAnsi="宋体" w:cs="宋体"/>
                <w:b/>
                <w:bCs/>
                <w:color w:val="auto"/>
                <w:kern w:val="0"/>
                <w:szCs w:val="21"/>
                <w:highlight w:val="none"/>
              </w:rPr>
              <w:t>一、商务技术分（</w:t>
            </w:r>
            <w:r>
              <w:rPr>
                <w:rFonts w:hint="eastAsia" w:ascii="宋体" w:hAnsi="宋体" w:cs="宋体"/>
                <w:b/>
                <w:bCs/>
                <w:color w:val="auto"/>
                <w:kern w:val="0"/>
                <w:szCs w:val="21"/>
                <w:highlight w:val="none"/>
                <w:lang w:val="en-US" w:eastAsia="zh-CN"/>
              </w:rPr>
              <w:t>7</w:t>
            </w:r>
            <w:r>
              <w:rPr>
                <w:rFonts w:hint="eastAsia" w:ascii="宋体" w:hAnsi="宋体" w:cs="宋体"/>
                <w:b/>
                <w:bCs/>
                <w:color w:val="auto"/>
                <w:kern w:val="0"/>
                <w:szCs w:val="21"/>
                <w:highlight w:val="none"/>
              </w:rPr>
              <w:t>0分）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767" w:type="dxa"/>
            <w:vAlign w:val="center"/>
          </w:tcPr>
          <w:p>
            <w:pPr>
              <w:widowControl/>
              <w:snapToGri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1091" w:type="dxa"/>
            <w:vAlign w:val="center"/>
          </w:tcPr>
          <w:p>
            <w:pPr>
              <w:pStyle w:val="515"/>
              <w:spacing w:line="360" w:lineRule="exact"/>
              <w:ind w:firstLine="0" w:firstLineChars="0"/>
              <w:jc w:val="center"/>
              <w:rPr>
                <w:rFonts w:ascii="宋体" w:hAnsi="宋体" w:cs="宋体"/>
                <w:color w:val="auto"/>
                <w:kern w:val="2"/>
                <w:sz w:val="21"/>
                <w:szCs w:val="21"/>
                <w:highlight w:val="none"/>
                <w:lang w:bidi="ar"/>
              </w:rPr>
            </w:pPr>
            <w:r>
              <w:rPr>
                <w:rFonts w:hint="eastAsia" w:ascii="宋体" w:hAnsi="宋体" w:cs="宋体"/>
                <w:color w:val="auto"/>
                <w:sz w:val="21"/>
                <w:szCs w:val="21"/>
                <w:highlight w:val="none"/>
              </w:rPr>
              <w:t>性能指标（30分）</w:t>
            </w:r>
          </w:p>
        </w:tc>
        <w:tc>
          <w:tcPr>
            <w:tcW w:w="5626" w:type="dxa"/>
            <w:vAlign w:val="center"/>
          </w:tcPr>
          <w:p>
            <w:pPr>
              <w:adjustRightInd/>
              <w:spacing w:line="360" w:lineRule="exact"/>
              <w:rPr>
                <w:rFonts w:ascii="宋体" w:hAnsi="宋体" w:cs="宋体"/>
                <w:color w:val="auto"/>
                <w:szCs w:val="21"/>
                <w:highlight w:val="none"/>
                <w:lang w:bidi="ar"/>
              </w:rPr>
            </w:pPr>
            <w:r>
              <w:rPr>
                <w:rFonts w:hint="eastAsia" w:ascii="宋体" w:hAnsi="宋体" w:cs="宋体"/>
                <w:color w:val="auto"/>
                <w:szCs w:val="21"/>
                <w:highlight w:val="none"/>
              </w:rPr>
              <w:t>根据投标单位提供设备的功能和技术参数进行打分,技术参数完全符合“技术参数要求”，没有负偏离的得30分，带★ 的参数为重要指标，每负偏一项扣2分，其他未标注符号的技术参数每负偏一项减1分，</w:t>
            </w:r>
            <w:r>
              <w:rPr>
                <w:rFonts w:hint="eastAsia" w:ascii="宋体" w:hAnsi="宋体" w:cs="宋体"/>
                <w:bCs/>
                <w:color w:val="auto"/>
                <w:szCs w:val="21"/>
                <w:highlight w:val="none"/>
              </w:rPr>
              <w:t>扣分至0分及以下的，其投标文件作无效标处理。</w:t>
            </w:r>
          </w:p>
        </w:tc>
        <w:tc>
          <w:tcPr>
            <w:tcW w:w="524" w:type="dxa"/>
            <w:vAlign w:val="center"/>
          </w:tcPr>
          <w:p>
            <w:pPr>
              <w:widowControl/>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30</w:t>
            </w:r>
          </w:p>
        </w:tc>
        <w:tc>
          <w:tcPr>
            <w:tcW w:w="1260" w:type="dxa"/>
            <w:vAlign w:val="center"/>
          </w:tcPr>
          <w:p>
            <w:pPr>
              <w:widowControl/>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客观分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767" w:type="dxa"/>
            <w:vMerge w:val="restart"/>
            <w:vAlign w:val="center"/>
          </w:tcPr>
          <w:p>
            <w:pPr>
              <w:widowControl/>
              <w:snapToGri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1091" w:type="dxa"/>
            <w:vMerge w:val="restart"/>
            <w:vAlign w:val="center"/>
          </w:tcPr>
          <w:p>
            <w:pPr>
              <w:widowControl/>
              <w:spacing w:line="360" w:lineRule="exact"/>
              <w:jc w:val="center"/>
              <w:rPr>
                <w:rFonts w:ascii="宋体" w:hAnsi="宋体" w:cs="宋体"/>
                <w:color w:val="auto"/>
                <w:szCs w:val="21"/>
                <w:highlight w:val="none"/>
              </w:rPr>
            </w:pPr>
            <w:r>
              <w:rPr>
                <w:rFonts w:hint="eastAsia" w:ascii="宋体" w:hAnsi="宋体" w:cs="宋体"/>
                <w:color w:val="auto"/>
                <w:szCs w:val="21"/>
                <w:highlight w:val="none"/>
                <w:lang w:bidi="ar"/>
              </w:rPr>
              <w:t>项目实施方案（</w:t>
            </w:r>
            <w:r>
              <w:rPr>
                <w:rFonts w:hint="eastAsia" w:ascii="宋体" w:hAnsi="宋体" w:cs="宋体"/>
                <w:color w:val="auto"/>
                <w:szCs w:val="21"/>
                <w:highlight w:val="none"/>
                <w:lang w:val="en-US" w:eastAsia="zh-CN" w:bidi="ar"/>
              </w:rPr>
              <w:t>16</w:t>
            </w:r>
            <w:r>
              <w:rPr>
                <w:rFonts w:hint="eastAsia" w:ascii="宋体" w:hAnsi="宋体" w:cs="宋体"/>
                <w:color w:val="auto"/>
                <w:szCs w:val="21"/>
                <w:highlight w:val="none"/>
                <w:lang w:bidi="ar"/>
              </w:rPr>
              <w:t>分）</w:t>
            </w:r>
          </w:p>
        </w:tc>
        <w:tc>
          <w:tcPr>
            <w:tcW w:w="5626" w:type="dxa"/>
            <w:vAlign w:val="center"/>
          </w:tcPr>
          <w:p>
            <w:pPr>
              <w:spacing w:line="360" w:lineRule="exact"/>
              <w:rPr>
                <w:rFonts w:ascii="宋体" w:hAnsi="宋体" w:cs="宋体"/>
                <w:color w:val="auto"/>
                <w:szCs w:val="21"/>
                <w:highlight w:val="none"/>
                <w:lang w:bidi="ar"/>
              </w:rPr>
            </w:pPr>
            <w:r>
              <w:rPr>
                <w:rFonts w:hint="eastAsia" w:ascii="宋体" w:hAnsi="宋体" w:cs="宋体"/>
                <w:color w:val="auto"/>
                <w:szCs w:val="21"/>
                <w:highlight w:val="none"/>
                <w:lang w:bidi="ar"/>
              </w:rPr>
              <w:t>施工组织方案（5分）评委根据投标人提供的投标文件，对其针对本项目制定的施工组织方案进行评审：方案描述完整、详尽、清楚、适用性强的得5分，方案描述较完整、适用性较强的得3分，方案描述基本完整、适用性一般的得1分，方案描述欠缺、适用性差的得0分，未提供本项内容的不得分。</w:t>
            </w:r>
          </w:p>
        </w:tc>
        <w:tc>
          <w:tcPr>
            <w:tcW w:w="524" w:type="dxa"/>
            <w:vAlign w:val="center"/>
          </w:tcPr>
          <w:p>
            <w:pPr>
              <w:widowControl/>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c>
          <w:tcPr>
            <w:tcW w:w="1260" w:type="dxa"/>
            <w:vAlign w:val="center"/>
          </w:tcPr>
          <w:p>
            <w:pPr>
              <w:widowControl/>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主观分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767" w:type="dxa"/>
            <w:vMerge w:val="continue"/>
            <w:vAlign w:val="center"/>
          </w:tcPr>
          <w:p>
            <w:pPr>
              <w:widowControl/>
              <w:snapToGrid w:val="0"/>
              <w:spacing w:line="360" w:lineRule="exact"/>
              <w:jc w:val="center"/>
              <w:rPr>
                <w:rFonts w:ascii="宋体" w:hAnsi="宋体" w:cs="宋体"/>
                <w:color w:val="auto"/>
                <w:kern w:val="0"/>
                <w:szCs w:val="21"/>
                <w:highlight w:val="none"/>
              </w:rPr>
            </w:pPr>
          </w:p>
        </w:tc>
        <w:tc>
          <w:tcPr>
            <w:tcW w:w="1091" w:type="dxa"/>
            <w:vMerge w:val="continue"/>
            <w:vAlign w:val="center"/>
          </w:tcPr>
          <w:p>
            <w:pPr>
              <w:widowControl/>
              <w:spacing w:line="360" w:lineRule="exact"/>
              <w:jc w:val="center"/>
              <w:rPr>
                <w:rFonts w:ascii="宋体" w:hAnsi="宋体" w:cs="宋体"/>
                <w:color w:val="auto"/>
                <w:szCs w:val="21"/>
                <w:highlight w:val="none"/>
              </w:rPr>
            </w:pPr>
          </w:p>
        </w:tc>
        <w:tc>
          <w:tcPr>
            <w:tcW w:w="5626" w:type="dxa"/>
            <w:vAlign w:val="center"/>
          </w:tcPr>
          <w:p>
            <w:pPr>
              <w:spacing w:line="360" w:lineRule="exact"/>
              <w:rPr>
                <w:rFonts w:ascii="宋体" w:hAnsi="宋体" w:cs="宋体"/>
                <w:color w:val="auto"/>
                <w:szCs w:val="21"/>
                <w:highlight w:val="none"/>
                <w:lang w:bidi="ar"/>
              </w:rPr>
            </w:pPr>
            <w:r>
              <w:rPr>
                <w:rFonts w:hint="eastAsia" w:ascii="宋体" w:hAnsi="宋体" w:cs="宋体"/>
                <w:color w:val="auto"/>
                <w:szCs w:val="21"/>
                <w:highlight w:val="none"/>
                <w:lang w:bidi="ar"/>
              </w:rPr>
              <w:t>安全保障措施（</w:t>
            </w:r>
            <w:r>
              <w:rPr>
                <w:rFonts w:hint="eastAsia" w:ascii="宋体" w:hAnsi="宋体" w:cs="宋体"/>
                <w:color w:val="auto"/>
                <w:szCs w:val="21"/>
                <w:highlight w:val="none"/>
                <w:lang w:val="en-US" w:eastAsia="zh-CN" w:bidi="ar"/>
              </w:rPr>
              <w:t>5</w:t>
            </w:r>
            <w:r>
              <w:rPr>
                <w:rFonts w:hint="eastAsia" w:ascii="宋体" w:hAnsi="宋体" w:cs="宋体"/>
                <w:color w:val="auto"/>
                <w:szCs w:val="21"/>
                <w:highlight w:val="none"/>
                <w:lang w:bidi="ar"/>
              </w:rPr>
              <w:t>分）评委根据投标人提供的投标文件，对其针对本项目制定的施工期间安全保障措施进行评审：措施完整、内容全面、操作性强的得</w:t>
            </w:r>
            <w:r>
              <w:rPr>
                <w:rFonts w:hint="eastAsia" w:ascii="宋体" w:hAnsi="宋体" w:cs="宋体"/>
                <w:color w:val="auto"/>
                <w:szCs w:val="21"/>
                <w:highlight w:val="none"/>
                <w:lang w:val="en-US" w:eastAsia="zh-CN" w:bidi="ar"/>
              </w:rPr>
              <w:t>5</w:t>
            </w:r>
            <w:r>
              <w:rPr>
                <w:rFonts w:hint="eastAsia" w:ascii="宋体" w:hAnsi="宋体" w:cs="宋体"/>
                <w:color w:val="auto"/>
                <w:szCs w:val="21"/>
                <w:highlight w:val="none"/>
                <w:lang w:bidi="ar"/>
              </w:rPr>
              <w:t>分，措施较完整、内容较完整、操作性较强的得3分，措施基本完整、操作性一般、内容基本符合项目要求的得1分，措施内容欠缺、描述笼统、操作性差的得0分，未提供本项内容的不得分。</w:t>
            </w:r>
          </w:p>
        </w:tc>
        <w:tc>
          <w:tcPr>
            <w:tcW w:w="524" w:type="dxa"/>
            <w:vAlign w:val="center"/>
          </w:tcPr>
          <w:p>
            <w:pPr>
              <w:widowControl/>
              <w:spacing w:line="360" w:lineRule="exact"/>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val="en-US" w:eastAsia="zh-CN"/>
              </w:rPr>
              <w:t>5</w:t>
            </w:r>
          </w:p>
        </w:tc>
        <w:tc>
          <w:tcPr>
            <w:tcW w:w="1260" w:type="dxa"/>
            <w:vAlign w:val="center"/>
          </w:tcPr>
          <w:p>
            <w:pPr>
              <w:widowControl/>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主观分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864" w:hRule="atLeast"/>
        </w:trPr>
        <w:tc>
          <w:tcPr>
            <w:tcW w:w="767" w:type="dxa"/>
            <w:vMerge w:val="continue"/>
            <w:vAlign w:val="center"/>
          </w:tcPr>
          <w:p>
            <w:pPr>
              <w:widowControl/>
              <w:snapToGrid w:val="0"/>
              <w:spacing w:line="360" w:lineRule="exact"/>
              <w:jc w:val="center"/>
              <w:rPr>
                <w:rFonts w:ascii="宋体" w:hAnsi="宋体" w:cs="宋体"/>
                <w:color w:val="auto"/>
                <w:kern w:val="0"/>
                <w:szCs w:val="21"/>
                <w:highlight w:val="none"/>
              </w:rPr>
            </w:pPr>
          </w:p>
        </w:tc>
        <w:tc>
          <w:tcPr>
            <w:tcW w:w="1091" w:type="dxa"/>
            <w:vMerge w:val="continue"/>
            <w:vAlign w:val="center"/>
          </w:tcPr>
          <w:p>
            <w:pPr>
              <w:widowControl/>
              <w:spacing w:line="360" w:lineRule="exact"/>
              <w:jc w:val="center"/>
              <w:rPr>
                <w:rFonts w:ascii="宋体" w:hAnsi="宋体" w:cs="宋体"/>
                <w:color w:val="auto"/>
                <w:szCs w:val="21"/>
                <w:highlight w:val="none"/>
              </w:rPr>
            </w:pPr>
          </w:p>
        </w:tc>
        <w:tc>
          <w:tcPr>
            <w:tcW w:w="5626" w:type="dxa"/>
            <w:vAlign w:val="center"/>
          </w:tcPr>
          <w:p>
            <w:pPr>
              <w:spacing w:line="360" w:lineRule="exact"/>
              <w:rPr>
                <w:rFonts w:ascii="宋体" w:hAnsi="宋体" w:cs="宋体"/>
                <w:color w:val="auto"/>
                <w:szCs w:val="21"/>
                <w:highlight w:val="none"/>
                <w:lang w:bidi="ar"/>
              </w:rPr>
            </w:pPr>
            <w:r>
              <w:rPr>
                <w:rFonts w:hint="eastAsia" w:ascii="宋体" w:hAnsi="宋体" w:cs="宋体"/>
                <w:color w:val="auto"/>
                <w:szCs w:val="21"/>
                <w:highlight w:val="none"/>
                <w:lang w:bidi="ar"/>
              </w:rPr>
              <w:t>质量保障措施（3分）：评委根据投标人提供的投标文件，对其针对本项目制定的质量保障措施进行评审：措施完整、内容全面、操作性强的得3分，措施较完整、内容较完整、操作性较强的得2分，措施基本完整、操作性一般、内容基本符合项目要求的得1分，措施内容欠缺、描述笼统、操作性差的得0分，未提供本项内容的不得分。</w:t>
            </w:r>
          </w:p>
        </w:tc>
        <w:tc>
          <w:tcPr>
            <w:tcW w:w="524" w:type="dxa"/>
            <w:vAlign w:val="center"/>
          </w:tcPr>
          <w:p>
            <w:pPr>
              <w:widowControl/>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1260" w:type="dxa"/>
            <w:vAlign w:val="center"/>
          </w:tcPr>
          <w:p>
            <w:pPr>
              <w:widowControl/>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主观分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7" w:type="dxa"/>
            <w:vMerge w:val="continue"/>
            <w:vAlign w:val="center"/>
          </w:tcPr>
          <w:p>
            <w:pPr>
              <w:widowControl/>
              <w:snapToGrid w:val="0"/>
              <w:spacing w:line="360" w:lineRule="exact"/>
              <w:jc w:val="center"/>
              <w:rPr>
                <w:rFonts w:ascii="宋体" w:hAnsi="宋体" w:cs="宋体"/>
                <w:color w:val="auto"/>
                <w:kern w:val="0"/>
                <w:szCs w:val="21"/>
                <w:highlight w:val="none"/>
              </w:rPr>
            </w:pPr>
          </w:p>
        </w:tc>
        <w:tc>
          <w:tcPr>
            <w:tcW w:w="1091" w:type="dxa"/>
            <w:vMerge w:val="continue"/>
            <w:vAlign w:val="center"/>
          </w:tcPr>
          <w:p>
            <w:pPr>
              <w:widowControl/>
              <w:spacing w:line="360" w:lineRule="exact"/>
              <w:jc w:val="center"/>
              <w:rPr>
                <w:rFonts w:ascii="宋体" w:hAnsi="宋体" w:cs="宋体"/>
                <w:color w:val="auto"/>
                <w:szCs w:val="21"/>
                <w:highlight w:val="none"/>
              </w:rPr>
            </w:pPr>
          </w:p>
        </w:tc>
        <w:tc>
          <w:tcPr>
            <w:tcW w:w="5626" w:type="dxa"/>
            <w:vAlign w:val="center"/>
          </w:tcPr>
          <w:p>
            <w:pPr>
              <w:adjustRightInd/>
              <w:spacing w:line="400" w:lineRule="exact"/>
              <w:rPr>
                <w:rFonts w:ascii="宋体" w:hAnsi="宋体" w:cs="宋体"/>
                <w:color w:val="auto"/>
                <w:szCs w:val="21"/>
                <w:highlight w:val="none"/>
                <w:lang w:bidi="ar"/>
              </w:rPr>
            </w:pPr>
            <w:r>
              <w:rPr>
                <w:rFonts w:hint="eastAsia" w:ascii="宋体" w:hAnsi="宋体" w:cs="宋体"/>
                <w:color w:val="auto"/>
                <w:kern w:val="0"/>
                <w:szCs w:val="21"/>
                <w:highlight w:val="none"/>
              </w:rPr>
              <w:t>项目进度安排（3分）（包括项目管理、项目组织结构、</w:t>
            </w:r>
            <w:r>
              <w:rPr>
                <w:rFonts w:hint="eastAsia" w:ascii="宋体" w:hAnsi="宋体" w:cs="宋体"/>
                <w:color w:val="auto"/>
                <w:szCs w:val="21"/>
                <w:highlight w:val="none"/>
              </w:rPr>
              <w:t>组织措施、进度计划，工期</w:t>
            </w:r>
            <w:r>
              <w:rPr>
                <w:rFonts w:hint="eastAsia" w:ascii="宋体" w:hAnsi="宋体" w:cs="宋体"/>
                <w:color w:val="auto"/>
                <w:kern w:val="0"/>
                <w:szCs w:val="21"/>
                <w:highlight w:val="none"/>
              </w:rPr>
              <w:t>）的评议，方案完善、操作性强、符合项目实际的得3</w:t>
            </w:r>
            <w:r>
              <w:rPr>
                <w:rFonts w:hint="eastAsia" w:ascii="宋体" w:hAnsi="宋体" w:cs="宋体"/>
                <w:color w:val="auto"/>
                <w:kern w:val="0"/>
                <w:szCs w:val="21"/>
                <w:highlight w:val="none"/>
                <w:lang w:val="zh-CN"/>
              </w:rPr>
              <w:t>分；</w:t>
            </w:r>
            <w:r>
              <w:rPr>
                <w:rFonts w:hint="eastAsia" w:ascii="宋体" w:hAnsi="宋体" w:cs="宋体"/>
                <w:color w:val="auto"/>
                <w:kern w:val="0"/>
                <w:szCs w:val="21"/>
                <w:highlight w:val="none"/>
              </w:rPr>
              <w:t>方案笼统、操作性较强、较符合项目实际的得2分</w:t>
            </w:r>
            <w:r>
              <w:rPr>
                <w:rFonts w:hint="eastAsia" w:ascii="宋体" w:hAnsi="宋体" w:cs="宋体"/>
                <w:color w:val="auto"/>
                <w:kern w:val="0"/>
                <w:szCs w:val="21"/>
                <w:highlight w:val="none"/>
                <w:lang w:val="zh-CN"/>
              </w:rPr>
              <w:t>；</w:t>
            </w:r>
            <w:r>
              <w:rPr>
                <w:rFonts w:hint="eastAsia" w:ascii="宋体" w:hAnsi="宋体" w:cs="宋体"/>
                <w:color w:val="auto"/>
                <w:kern w:val="0"/>
                <w:szCs w:val="21"/>
                <w:highlight w:val="none"/>
              </w:rPr>
              <w:t>方案考虑不够充分的得1分；未提供的得0分。</w:t>
            </w:r>
          </w:p>
        </w:tc>
        <w:tc>
          <w:tcPr>
            <w:tcW w:w="524" w:type="dxa"/>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1260" w:type="dxa"/>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主观分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135" w:hRule="atLeast"/>
        </w:trPr>
        <w:tc>
          <w:tcPr>
            <w:tcW w:w="767" w:type="dxa"/>
            <w:vMerge w:val="restart"/>
            <w:vAlign w:val="center"/>
          </w:tcPr>
          <w:p>
            <w:pPr>
              <w:widowControl/>
              <w:snapToGri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1091" w:type="dxa"/>
            <w:vMerge w:val="restart"/>
            <w:vAlign w:val="center"/>
          </w:tcPr>
          <w:p>
            <w:pPr>
              <w:adjustRightInd/>
              <w:spacing w:before="31" w:after="31" w:line="400" w:lineRule="exact"/>
              <w:rPr>
                <w:rFonts w:ascii="宋体" w:hAnsi="宋体" w:cs="宋体"/>
                <w:color w:val="auto"/>
                <w:szCs w:val="21"/>
                <w:highlight w:val="none"/>
              </w:rPr>
            </w:pPr>
            <w:r>
              <w:rPr>
                <w:rFonts w:hint="eastAsia" w:ascii="宋体" w:hAnsi="宋体" w:cs="宋体"/>
                <w:color w:val="auto"/>
                <w:szCs w:val="21"/>
                <w:highlight w:val="none"/>
              </w:rPr>
              <w:t>售后服务方案（6分）</w:t>
            </w:r>
          </w:p>
        </w:tc>
        <w:tc>
          <w:tcPr>
            <w:tcW w:w="5626" w:type="dxa"/>
            <w:vAlign w:val="center"/>
          </w:tcPr>
          <w:p>
            <w:pPr>
              <w:adjustRightInd/>
              <w:spacing w:before="31" w:after="31" w:line="400" w:lineRule="exact"/>
              <w:rPr>
                <w:rFonts w:ascii="宋体" w:hAnsi="宋体" w:cs="宋体"/>
                <w:b/>
                <w:color w:val="auto"/>
                <w:szCs w:val="21"/>
                <w:highlight w:val="none"/>
              </w:rPr>
            </w:pPr>
            <w:r>
              <w:rPr>
                <w:rFonts w:hint="eastAsia" w:ascii="宋体" w:hAnsi="宋体" w:cs="宋体"/>
                <w:color w:val="auto"/>
                <w:szCs w:val="21"/>
                <w:highlight w:val="none"/>
                <w:lang w:val="zh-CN"/>
              </w:rPr>
              <w:t>根据投标人提供的售后服务方案（</w:t>
            </w:r>
            <w:r>
              <w:rPr>
                <w:rFonts w:hint="eastAsia" w:ascii="宋体" w:hAnsi="宋体" w:cs="宋体"/>
                <w:color w:val="auto"/>
                <w:szCs w:val="21"/>
                <w:highlight w:val="none"/>
              </w:rPr>
              <w:t>包含运行维护方案、紧急故障处理预案</w:t>
            </w:r>
            <w:r>
              <w:rPr>
                <w:rFonts w:hint="eastAsia" w:ascii="宋体" w:hAnsi="宋体" w:cs="宋体"/>
                <w:color w:val="auto"/>
                <w:szCs w:val="21"/>
                <w:highlight w:val="none"/>
                <w:lang w:val="zh-CN"/>
              </w:rPr>
              <w:t>），方案完善、操作性强、符合项目实际的得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val="zh-CN"/>
              </w:rPr>
              <w:t>分；方案笼统、操作性较强、较符合项目实际的得</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val="zh-CN"/>
              </w:rPr>
              <w:t>分；方案考虑不够充分</w:t>
            </w:r>
            <w:r>
              <w:rPr>
                <w:rFonts w:hint="eastAsia" w:ascii="宋体" w:hAnsi="宋体" w:cs="宋体"/>
                <w:color w:val="auto"/>
                <w:szCs w:val="21"/>
                <w:highlight w:val="none"/>
                <w:lang w:val="en-US" w:eastAsia="zh-CN"/>
              </w:rPr>
              <w:t>或</w:t>
            </w:r>
            <w:r>
              <w:rPr>
                <w:rFonts w:hint="eastAsia" w:ascii="宋体" w:hAnsi="宋体" w:cs="宋体"/>
                <w:color w:val="auto"/>
                <w:szCs w:val="21"/>
                <w:highlight w:val="none"/>
                <w:lang w:val="zh-CN"/>
              </w:rPr>
              <w:t>未提供的得0分。</w:t>
            </w:r>
          </w:p>
        </w:tc>
        <w:tc>
          <w:tcPr>
            <w:tcW w:w="524" w:type="dxa"/>
            <w:vAlign w:val="center"/>
          </w:tcPr>
          <w:p>
            <w:pPr>
              <w:widowControl/>
              <w:spacing w:line="400" w:lineRule="exact"/>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val="en-US" w:eastAsia="zh-CN"/>
              </w:rPr>
              <w:t>2</w:t>
            </w:r>
          </w:p>
        </w:tc>
        <w:tc>
          <w:tcPr>
            <w:tcW w:w="1260" w:type="dxa"/>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主观分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135" w:hRule="atLeast"/>
        </w:trPr>
        <w:tc>
          <w:tcPr>
            <w:tcW w:w="767" w:type="dxa"/>
            <w:vMerge w:val="continue"/>
            <w:vAlign w:val="center"/>
          </w:tcPr>
          <w:p>
            <w:pPr>
              <w:widowControl/>
              <w:snapToGrid w:val="0"/>
              <w:spacing w:line="360" w:lineRule="exact"/>
              <w:jc w:val="center"/>
              <w:rPr>
                <w:rFonts w:ascii="宋体" w:hAnsi="宋体" w:cs="宋体"/>
                <w:color w:val="auto"/>
                <w:kern w:val="0"/>
                <w:szCs w:val="21"/>
                <w:highlight w:val="none"/>
              </w:rPr>
            </w:pPr>
          </w:p>
        </w:tc>
        <w:tc>
          <w:tcPr>
            <w:tcW w:w="1091" w:type="dxa"/>
            <w:vMerge w:val="continue"/>
            <w:vAlign w:val="center"/>
          </w:tcPr>
          <w:p>
            <w:pPr>
              <w:adjustRightInd/>
              <w:spacing w:before="31" w:after="31" w:line="400" w:lineRule="exact"/>
              <w:rPr>
                <w:rFonts w:ascii="宋体" w:hAnsi="宋体" w:cs="宋体"/>
                <w:color w:val="auto"/>
                <w:szCs w:val="21"/>
                <w:highlight w:val="none"/>
              </w:rPr>
            </w:pPr>
          </w:p>
        </w:tc>
        <w:tc>
          <w:tcPr>
            <w:tcW w:w="5626" w:type="dxa"/>
            <w:vAlign w:val="center"/>
          </w:tcPr>
          <w:p>
            <w:pPr>
              <w:adjustRightInd/>
              <w:spacing w:before="31" w:after="31" w:line="400" w:lineRule="exact"/>
              <w:rPr>
                <w:rFonts w:ascii="宋体" w:hAnsi="宋体" w:cs="宋体"/>
                <w:b/>
                <w:color w:val="auto"/>
                <w:szCs w:val="21"/>
                <w:highlight w:val="none"/>
              </w:rPr>
            </w:pPr>
            <w:r>
              <w:rPr>
                <w:rFonts w:hint="eastAsia" w:ascii="宋体" w:hAnsi="宋体" w:cs="宋体"/>
                <w:color w:val="auto"/>
                <w:szCs w:val="21"/>
                <w:highlight w:val="none"/>
                <w:lang w:val="zh-CN"/>
              </w:rPr>
              <w:t>根据投标人提供的售后服务方案（</w:t>
            </w:r>
            <w:r>
              <w:rPr>
                <w:rFonts w:hint="eastAsia" w:ascii="宋体" w:hAnsi="宋体" w:cs="宋体"/>
                <w:color w:val="auto"/>
                <w:szCs w:val="21"/>
                <w:highlight w:val="none"/>
              </w:rPr>
              <w:t>包含响应能力、服务响应时间、故障恢复时间</w:t>
            </w:r>
            <w:r>
              <w:rPr>
                <w:rFonts w:hint="eastAsia" w:ascii="宋体" w:hAnsi="宋体" w:cs="宋体"/>
                <w:color w:val="auto"/>
                <w:szCs w:val="21"/>
                <w:highlight w:val="none"/>
                <w:lang w:val="zh-CN"/>
              </w:rPr>
              <w:t>），</w:t>
            </w:r>
            <w:r>
              <w:rPr>
                <w:rFonts w:hint="eastAsia" w:ascii="宋体" w:hAnsi="宋体" w:cs="宋体"/>
                <w:color w:val="auto"/>
                <w:szCs w:val="21"/>
                <w:highlight w:val="none"/>
              </w:rPr>
              <w:t>响应时间快捷</w:t>
            </w:r>
            <w:r>
              <w:rPr>
                <w:rFonts w:hint="eastAsia" w:ascii="宋体" w:hAnsi="宋体" w:cs="宋体"/>
                <w:color w:val="auto"/>
                <w:szCs w:val="21"/>
                <w:highlight w:val="none"/>
                <w:lang w:val="zh-CN"/>
              </w:rPr>
              <w:t>的得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val="zh-CN"/>
              </w:rPr>
              <w:t>分；</w:t>
            </w:r>
            <w:r>
              <w:rPr>
                <w:rFonts w:hint="eastAsia" w:ascii="宋体" w:hAnsi="宋体" w:cs="宋体"/>
                <w:color w:val="auto"/>
                <w:szCs w:val="21"/>
                <w:highlight w:val="none"/>
              </w:rPr>
              <w:t>响应时间较快捷</w:t>
            </w:r>
            <w:r>
              <w:rPr>
                <w:rFonts w:hint="eastAsia" w:ascii="宋体" w:hAnsi="宋体" w:cs="宋体"/>
                <w:color w:val="auto"/>
                <w:szCs w:val="21"/>
                <w:highlight w:val="none"/>
                <w:lang w:val="zh-CN"/>
              </w:rPr>
              <w:t>的得</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val="zh-CN"/>
              </w:rPr>
              <w:t>分；</w:t>
            </w:r>
            <w:r>
              <w:rPr>
                <w:rFonts w:hint="eastAsia" w:ascii="宋体" w:hAnsi="宋体" w:cs="宋体"/>
                <w:color w:val="auto"/>
                <w:szCs w:val="21"/>
                <w:highlight w:val="none"/>
              </w:rPr>
              <w:t>响应时间滞缓</w:t>
            </w:r>
            <w:r>
              <w:rPr>
                <w:rFonts w:hint="eastAsia" w:ascii="宋体" w:hAnsi="宋体" w:cs="宋体"/>
                <w:color w:val="auto"/>
                <w:szCs w:val="21"/>
                <w:highlight w:val="none"/>
                <w:lang w:val="en-US" w:eastAsia="zh-CN"/>
              </w:rPr>
              <w:t>或</w:t>
            </w:r>
            <w:r>
              <w:rPr>
                <w:rFonts w:hint="eastAsia" w:ascii="宋体" w:hAnsi="宋体" w:cs="宋体"/>
                <w:color w:val="auto"/>
                <w:szCs w:val="21"/>
                <w:highlight w:val="none"/>
                <w:lang w:val="zh-CN"/>
              </w:rPr>
              <w:t>未提供</w:t>
            </w:r>
            <w:r>
              <w:rPr>
                <w:rFonts w:hint="eastAsia" w:ascii="宋体" w:hAnsi="宋体" w:cs="宋体"/>
                <w:color w:val="auto"/>
                <w:szCs w:val="21"/>
                <w:highlight w:val="none"/>
              </w:rPr>
              <w:t>响应</w:t>
            </w:r>
            <w:r>
              <w:rPr>
                <w:rFonts w:hint="eastAsia" w:ascii="宋体" w:hAnsi="宋体" w:cs="宋体"/>
                <w:color w:val="auto"/>
                <w:szCs w:val="21"/>
                <w:highlight w:val="none"/>
                <w:lang w:val="zh-CN"/>
              </w:rPr>
              <w:t>方案的得0分。</w:t>
            </w:r>
          </w:p>
        </w:tc>
        <w:tc>
          <w:tcPr>
            <w:tcW w:w="524" w:type="dxa"/>
            <w:vAlign w:val="center"/>
          </w:tcPr>
          <w:p>
            <w:pPr>
              <w:widowControl/>
              <w:spacing w:line="400" w:lineRule="exact"/>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val="en-US" w:eastAsia="zh-CN"/>
              </w:rPr>
              <w:t>2</w:t>
            </w:r>
          </w:p>
        </w:tc>
        <w:tc>
          <w:tcPr>
            <w:tcW w:w="1260" w:type="dxa"/>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主观分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387" w:hRule="atLeast"/>
        </w:trPr>
        <w:tc>
          <w:tcPr>
            <w:tcW w:w="767" w:type="dxa"/>
            <w:vMerge w:val="continue"/>
            <w:vAlign w:val="center"/>
          </w:tcPr>
          <w:p>
            <w:pPr>
              <w:widowControl/>
              <w:snapToGrid w:val="0"/>
              <w:spacing w:line="360" w:lineRule="exact"/>
              <w:jc w:val="center"/>
              <w:rPr>
                <w:rFonts w:ascii="宋体" w:hAnsi="宋体" w:cs="宋体"/>
                <w:color w:val="auto"/>
                <w:kern w:val="0"/>
                <w:szCs w:val="21"/>
                <w:highlight w:val="none"/>
              </w:rPr>
            </w:pPr>
          </w:p>
        </w:tc>
        <w:tc>
          <w:tcPr>
            <w:tcW w:w="1091" w:type="dxa"/>
            <w:vMerge w:val="continue"/>
            <w:vAlign w:val="center"/>
          </w:tcPr>
          <w:p>
            <w:pPr>
              <w:adjustRightInd/>
              <w:spacing w:before="31" w:after="31" w:line="400" w:lineRule="exact"/>
              <w:rPr>
                <w:rFonts w:ascii="宋体" w:hAnsi="宋体" w:cs="宋体"/>
                <w:color w:val="auto"/>
                <w:szCs w:val="21"/>
                <w:highlight w:val="none"/>
              </w:rPr>
            </w:pPr>
          </w:p>
        </w:tc>
        <w:tc>
          <w:tcPr>
            <w:tcW w:w="5626" w:type="dxa"/>
            <w:vAlign w:val="center"/>
          </w:tcPr>
          <w:p>
            <w:pPr>
              <w:adjustRightInd/>
              <w:spacing w:before="31" w:after="31" w:line="400" w:lineRule="exact"/>
              <w:rPr>
                <w:rFonts w:ascii="宋体" w:hAnsi="宋体" w:cs="宋体"/>
                <w:b/>
                <w:color w:val="auto"/>
                <w:szCs w:val="21"/>
                <w:highlight w:val="none"/>
              </w:rPr>
            </w:pPr>
            <w:r>
              <w:rPr>
                <w:rFonts w:hint="eastAsia" w:ascii="宋体" w:hAnsi="宋体" w:cs="宋体"/>
                <w:color w:val="auto"/>
                <w:szCs w:val="21"/>
                <w:highlight w:val="none"/>
              </w:rPr>
              <w:t>根据投标人</w:t>
            </w:r>
            <w:r>
              <w:rPr>
                <w:rFonts w:hint="eastAsia" w:ascii="宋体" w:hAnsi="宋体" w:cs="宋体"/>
                <w:color w:val="auto"/>
                <w:szCs w:val="21"/>
                <w:highlight w:val="none"/>
                <w:lang w:val="zh-CN"/>
              </w:rPr>
              <w:t>提供的培训服务保障体系（包括培训方案、培训目的、培训内容、培训时间安排、培训方式），</w:t>
            </w:r>
            <w:r>
              <w:rPr>
                <w:rFonts w:hint="eastAsia" w:ascii="宋体" w:hAnsi="宋体" w:cs="宋体"/>
                <w:color w:val="auto"/>
                <w:szCs w:val="21"/>
                <w:highlight w:val="none"/>
              </w:rPr>
              <w:t>使采购人能够熟悉系统、独立进行管理、常见故障处理、日常测试维护；</w:t>
            </w:r>
            <w:r>
              <w:rPr>
                <w:rFonts w:hint="eastAsia" w:ascii="宋体" w:hAnsi="宋体" w:cs="宋体"/>
                <w:color w:val="auto"/>
                <w:szCs w:val="21"/>
                <w:highlight w:val="none"/>
                <w:lang w:val="zh-CN"/>
              </w:rPr>
              <w:t>技术指导</w:t>
            </w:r>
            <w:r>
              <w:rPr>
                <w:rFonts w:hint="eastAsia" w:ascii="宋体" w:hAnsi="宋体" w:cs="宋体"/>
                <w:color w:val="auto"/>
                <w:szCs w:val="21"/>
                <w:highlight w:val="none"/>
              </w:rPr>
              <w:t>安排合理的</w:t>
            </w:r>
            <w:r>
              <w:rPr>
                <w:rFonts w:hint="eastAsia" w:ascii="宋体" w:hAnsi="宋体" w:cs="宋体"/>
                <w:color w:val="auto"/>
                <w:szCs w:val="21"/>
                <w:highlight w:val="none"/>
                <w:lang w:val="zh-CN"/>
              </w:rPr>
              <w:t>的得</w:t>
            </w:r>
            <w:r>
              <w:rPr>
                <w:rFonts w:hint="eastAsia" w:ascii="宋体" w:hAnsi="宋体" w:cs="宋体"/>
                <w:color w:val="auto"/>
                <w:szCs w:val="21"/>
                <w:highlight w:val="none"/>
              </w:rPr>
              <w:t>2</w:t>
            </w:r>
            <w:r>
              <w:rPr>
                <w:rFonts w:hint="eastAsia" w:ascii="宋体" w:hAnsi="宋体" w:cs="宋体"/>
                <w:color w:val="auto"/>
                <w:szCs w:val="21"/>
                <w:highlight w:val="none"/>
                <w:lang w:val="zh-CN"/>
              </w:rPr>
              <w:t>分；较</w:t>
            </w:r>
            <w:r>
              <w:rPr>
                <w:rFonts w:hint="eastAsia" w:ascii="宋体" w:hAnsi="宋体" w:cs="宋体"/>
                <w:color w:val="auto"/>
                <w:szCs w:val="21"/>
                <w:highlight w:val="none"/>
              </w:rPr>
              <w:t>合理</w:t>
            </w:r>
            <w:r>
              <w:rPr>
                <w:rFonts w:hint="eastAsia" w:ascii="宋体" w:hAnsi="宋体" w:cs="宋体"/>
                <w:color w:val="auto"/>
                <w:szCs w:val="21"/>
                <w:highlight w:val="none"/>
                <w:lang w:val="zh-CN"/>
              </w:rPr>
              <w:t>的得</w:t>
            </w:r>
            <w:r>
              <w:rPr>
                <w:rFonts w:hint="eastAsia" w:ascii="宋体" w:hAnsi="宋体" w:cs="宋体"/>
                <w:color w:val="auto"/>
                <w:szCs w:val="21"/>
                <w:highlight w:val="none"/>
              </w:rPr>
              <w:t>1</w:t>
            </w:r>
            <w:r>
              <w:rPr>
                <w:rFonts w:hint="eastAsia" w:ascii="宋体" w:hAnsi="宋体" w:cs="宋体"/>
                <w:color w:val="auto"/>
                <w:szCs w:val="21"/>
                <w:highlight w:val="none"/>
                <w:lang w:val="zh-CN"/>
              </w:rPr>
              <w:t>分；</w:t>
            </w:r>
            <w:r>
              <w:rPr>
                <w:rFonts w:hint="eastAsia" w:ascii="宋体" w:hAnsi="宋体" w:cs="宋体"/>
                <w:color w:val="auto"/>
                <w:szCs w:val="21"/>
                <w:highlight w:val="none"/>
              </w:rPr>
              <w:t>安排</w:t>
            </w:r>
            <w:r>
              <w:rPr>
                <w:rFonts w:hint="eastAsia" w:ascii="宋体" w:hAnsi="宋体" w:cs="宋体"/>
                <w:color w:val="auto"/>
                <w:szCs w:val="21"/>
                <w:highlight w:val="none"/>
                <w:lang w:val="zh-CN"/>
              </w:rPr>
              <w:t>笼统的得</w:t>
            </w:r>
            <w:r>
              <w:rPr>
                <w:rFonts w:hint="eastAsia" w:ascii="宋体" w:hAnsi="宋体" w:cs="宋体"/>
                <w:color w:val="auto"/>
                <w:szCs w:val="21"/>
                <w:highlight w:val="none"/>
              </w:rPr>
              <w:t>0.5</w:t>
            </w:r>
            <w:r>
              <w:rPr>
                <w:rFonts w:hint="eastAsia" w:ascii="宋体" w:hAnsi="宋体" w:cs="宋体"/>
                <w:color w:val="auto"/>
                <w:szCs w:val="21"/>
                <w:highlight w:val="none"/>
                <w:lang w:val="zh-CN"/>
              </w:rPr>
              <w:t>分；未提供的得0分。</w:t>
            </w:r>
          </w:p>
        </w:tc>
        <w:tc>
          <w:tcPr>
            <w:tcW w:w="524" w:type="dxa"/>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1260" w:type="dxa"/>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主观分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67" w:type="dxa"/>
            <w:vAlign w:val="center"/>
          </w:tcPr>
          <w:p>
            <w:pPr>
              <w:widowControl/>
              <w:snapToGri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1091" w:type="dxa"/>
            <w:vAlign w:val="center"/>
          </w:tcPr>
          <w:p>
            <w:pPr>
              <w:pStyle w:val="515"/>
              <w:spacing w:line="36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同类项目业绩（</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分）</w:t>
            </w:r>
          </w:p>
        </w:tc>
        <w:tc>
          <w:tcPr>
            <w:tcW w:w="5626" w:type="dxa"/>
            <w:vAlign w:val="center"/>
          </w:tcPr>
          <w:p>
            <w:pPr>
              <w:spacing w:line="360" w:lineRule="exact"/>
              <w:rPr>
                <w:rFonts w:ascii="宋体" w:hAnsi="宋体" w:cs="宋体"/>
                <w:color w:val="auto"/>
                <w:szCs w:val="21"/>
                <w:highlight w:val="none"/>
              </w:rPr>
            </w:pPr>
            <w:r>
              <w:rPr>
                <w:rFonts w:hint="eastAsia" w:ascii="宋体" w:hAnsi="宋体" w:cs="宋体"/>
                <w:color w:val="auto"/>
                <w:szCs w:val="21"/>
                <w:highlight w:val="none"/>
                <w:lang w:bidi="ar"/>
              </w:rPr>
              <w:t>2021年1月1日至今（以合同签订之日起算）实施过的项目，</w:t>
            </w:r>
          </w:p>
          <w:p>
            <w:pPr>
              <w:spacing w:line="360" w:lineRule="exact"/>
              <w:rPr>
                <w:rFonts w:ascii="宋体" w:hAnsi="宋体" w:cs="宋体"/>
                <w:color w:val="auto"/>
                <w:szCs w:val="21"/>
                <w:highlight w:val="none"/>
                <w:lang w:bidi="ar"/>
              </w:rPr>
            </w:pPr>
            <w:r>
              <w:rPr>
                <w:rFonts w:hint="eastAsia" w:ascii="宋体" w:hAnsi="宋体" w:cs="宋体"/>
                <w:color w:val="auto"/>
                <w:szCs w:val="21"/>
                <w:highlight w:val="none"/>
                <w:lang w:bidi="ar"/>
              </w:rPr>
              <w:t>每提供一份同类项目案例合同的得1分，最高计</w:t>
            </w:r>
            <w:r>
              <w:rPr>
                <w:rFonts w:hint="eastAsia" w:ascii="宋体" w:hAnsi="宋体" w:cs="宋体"/>
                <w:color w:val="auto"/>
                <w:szCs w:val="21"/>
                <w:highlight w:val="none"/>
                <w:lang w:val="en-US" w:eastAsia="zh-CN" w:bidi="ar"/>
              </w:rPr>
              <w:t>2</w:t>
            </w:r>
            <w:r>
              <w:rPr>
                <w:rFonts w:hint="eastAsia" w:ascii="宋体" w:hAnsi="宋体" w:cs="宋体"/>
                <w:color w:val="auto"/>
                <w:szCs w:val="21"/>
                <w:highlight w:val="none"/>
                <w:lang w:bidi="ar"/>
              </w:rPr>
              <w:t>分。</w:t>
            </w:r>
          </w:p>
          <w:p>
            <w:pPr>
              <w:snapToGrid w:val="0"/>
              <w:spacing w:line="360" w:lineRule="exact"/>
              <w:rPr>
                <w:rFonts w:ascii="宋体" w:hAnsi="宋体" w:cs="宋体"/>
                <w:b/>
                <w:color w:val="auto"/>
                <w:szCs w:val="21"/>
                <w:highlight w:val="none"/>
              </w:rPr>
            </w:pPr>
            <w:r>
              <w:rPr>
                <w:rFonts w:hint="eastAsia" w:ascii="宋体" w:hAnsi="宋体" w:cs="宋体"/>
                <w:b/>
                <w:color w:val="auto"/>
                <w:szCs w:val="21"/>
                <w:highlight w:val="none"/>
              </w:rPr>
              <w:t>备注：</w:t>
            </w:r>
          </w:p>
          <w:p>
            <w:pPr>
              <w:spacing w:line="360" w:lineRule="exact"/>
              <w:rPr>
                <w:rFonts w:ascii="宋体" w:hAnsi="宋体" w:cs="宋体"/>
                <w:color w:val="auto"/>
                <w:szCs w:val="21"/>
                <w:highlight w:val="none"/>
                <w:lang w:bidi="ar"/>
              </w:rPr>
            </w:pPr>
            <w:r>
              <w:rPr>
                <w:rFonts w:hint="eastAsia" w:ascii="宋体" w:hAnsi="宋体" w:cs="宋体"/>
                <w:b/>
                <w:color w:val="auto"/>
                <w:szCs w:val="21"/>
                <w:highlight w:val="none"/>
              </w:rPr>
              <w:t>投标文件中须提供合同复印件（须要有关键页内容）、中标通知书复印件并加盖公章。</w:t>
            </w:r>
            <w:r>
              <w:rPr>
                <w:rFonts w:hint="eastAsia" w:ascii="宋体" w:hAnsi="宋体" w:cs="宋体"/>
                <w:color w:val="auto"/>
                <w:szCs w:val="21"/>
                <w:highlight w:val="none"/>
                <w:lang w:bidi="ar"/>
              </w:rPr>
              <w:t>联合体投标的，联合体各方分别提供与联合体协议中规定的分工内容相应的业绩证明材料，业绩数量以提供材料较少的一方为准。</w:t>
            </w:r>
          </w:p>
        </w:tc>
        <w:tc>
          <w:tcPr>
            <w:tcW w:w="524" w:type="dxa"/>
            <w:vAlign w:val="center"/>
          </w:tcPr>
          <w:p>
            <w:pPr>
              <w:widowControl/>
              <w:spacing w:line="360" w:lineRule="exact"/>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val="en-US" w:eastAsia="zh-CN"/>
              </w:rPr>
              <w:t>2</w:t>
            </w:r>
          </w:p>
        </w:tc>
        <w:tc>
          <w:tcPr>
            <w:tcW w:w="1260" w:type="dxa"/>
            <w:vAlign w:val="center"/>
          </w:tcPr>
          <w:p>
            <w:pPr>
              <w:widowControl/>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客观分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850" w:hRule="atLeast"/>
        </w:trPr>
        <w:tc>
          <w:tcPr>
            <w:tcW w:w="767" w:type="dxa"/>
            <w:vAlign w:val="center"/>
          </w:tcPr>
          <w:p>
            <w:pPr>
              <w:widowControl/>
              <w:snapToGri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c>
          <w:tcPr>
            <w:tcW w:w="1091" w:type="dxa"/>
            <w:vAlign w:val="center"/>
          </w:tcPr>
          <w:p>
            <w:pPr>
              <w:widowControl/>
              <w:spacing w:line="240" w:lineRule="auto"/>
              <w:jc w:val="center"/>
              <w:rPr>
                <w:rFonts w:hint="eastAsia" w:ascii="宋体" w:hAnsi="宋体" w:eastAsia="宋体" w:cs="宋体"/>
                <w:color w:val="auto"/>
                <w:spacing w:val="-5"/>
                <w:kern w:val="0"/>
                <w:sz w:val="21"/>
                <w:szCs w:val="21"/>
                <w:highlight w:val="none"/>
                <w:lang w:val="en-US" w:eastAsia="zh-CN" w:bidi="ar"/>
              </w:rPr>
            </w:pPr>
            <w:r>
              <w:rPr>
                <w:rFonts w:hint="eastAsia" w:ascii="宋体" w:hAnsi="宋体" w:eastAsia="宋体" w:cs="宋体"/>
                <w:color w:val="auto"/>
                <w:spacing w:val="-5"/>
                <w:kern w:val="0"/>
                <w:sz w:val="21"/>
                <w:szCs w:val="21"/>
                <w:highlight w:val="none"/>
                <w:lang w:val="en-US" w:eastAsia="zh-CN" w:bidi="ar"/>
              </w:rPr>
              <w:t>投标人实力（</w:t>
            </w:r>
            <w:r>
              <w:rPr>
                <w:rFonts w:hint="eastAsia" w:ascii="宋体" w:hAnsi="宋体" w:cs="宋体"/>
                <w:color w:val="auto"/>
                <w:spacing w:val="-5"/>
                <w:kern w:val="0"/>
                <w:sz w:val="21"/>
                <w:szCs w:val="21"/>
                <w:highlight w:val="none"/>
                <w:lang w:val="en-US" w:eastAsia="zh-CN" w:bidi="ar"/>
              </w:rPr>
              <w:t>5</w:t>
            </w:r>
            <w:r>
              <w:rPr>
                <w:rFonts w:hint="eastAsia" w:ascii="宋体" w:hAnsi="宋体" w:eastAsia="宋体" w:cs="宋体"/>
                <w:color w:val="auto"/>
                <w:spacing w:val="-5"/>
                <w:kern w:val="0"/>
                <w:sz w:val="21"/>
                <w:szCs w:val="21"/>
                <w:highlight w:val="none"/>
                <w:lang w:val="en-US" w:eastAsia="zh-CN" w:bidi="ar"/>
              </w:rPr>
              <w:t>分）</w:t>
            </w:r>
          </w:p>
        </w:tc>
        <w:tc>
          <w:tcPr>
            <w:tcW w:w="5626" w:type="dxa"/>
            <w:vAlign w:val="center"/>
          </w:tcPr>
          <w:p>
            <w:pPr>
              <w:autoSpaceDE w:val="0"/>
              <w:autoSpaceDN w:val="0"/>
              <w:adjustRightInd w:val="0"/>
              <w:spacing w:line="240" w:lineRule="auto"/>
              <w:rPr>
                <w:rFonts w:hint="default" w:ascii="宋体" w:hAnsi="宋体" w:eastAsia="宋体" w:cs="宋体"/>
                <w:color w:val="auto"/>
                <w:spacing w:val="-5"/>
                <w:kern w:val="0"/>
                <w:sz w:val="21"/>
                <w:szCs w:val="21"/>
                <w:highlight w:val="none"/>
                <w:lang w:val="en-US" w:eastAsia="zh-CN" w:bidi="ar"/>
              </w:rPr>
            </w:pPr>
            <w:r>
              <w:rPr>
                <w:rFonts w:hint="eastAsia" w:ascii="宋体" w:hAnsi="宋体" w:eastAsia="宋体" w:cs="宋体"/>
                <w:color w:val="auto"/>
                <w:spacing w:val="-5"/>
                <w:kern w:val="0"/>
                <w:sz w:val="21"/>
                <w:szCs w:val="21"/>
                <w:highlight w:val="none"/>
                <w:lang w:val="en-US" w:eastAsia="zh-CN" w:bidi="ar"/>
              </w:rPr>
              <w:t>投标人</w:t>
            </w:r>
            <w:r>
              <w:rPr>
                <w:rFonts w:hint="eastAsia" w:ascii="宋体" w:hAnsi="宋体" w:eastAsia="宋体" w:cs="宋体"/>
                <w:color w:val="auto"/>
                <w:spacing w:val="-5"/>
                <w:kern w:val="0"/>
                <w:sz w:val="21"/>
                <w:szCs w:val="21"/>
                <w:highlight w:val="none"/>
                <w:lang w:val="en-US" w:eastAsia="zh-Hans" w:bidi="ar"/>
              </w:rPr>
              <w:t>具备有效的</w:t>
            </w:r>
            <w:r>
              <w:rPr>
                <w:rFonts w:hint="eastAsia" w:ascii="宋体" w:hAnsi="宋体" w:eastAsia="宋体" w:cs="宋体"/>
                <w:color w:val="auto"/>
                <w:spacing w:val="-5"/>
                <w:kern w:val="0"/>
                <w:sz w:val="21"/>
                <w:szCs w:val="21"/>
                <w:highlight w:val="none"/>
                <w:lang w:val="en-US" w:eastAsia="zh-CN" w:bidi="ar"/>
              </w:rPr>
              <w:t>ISO9001质量管理体系认证的得1分；</w:t>
            </w:r>
          </w:p>
          <w:p>
            <w:pPr>
              <w:autoSpaceDE w:val="0"/>
              <w:autoSpaceDN w:val="0"/>
              <w:adjustRightInd w:val="0"/>
              <w:spacing w:line="240" w:lineRule="auto"/>
              <w:rPr>
                <w:rFonts w:hint="eastAsia" w:ascii="宋体" w:hAnsi="宋体" w:eastAsia="宋体" w:cs="宋体"/>
                <w:color w:val="auto"/>
                <w:spacing w:val="-5"/>
                <w:kern w:val="0"/>
                <w:sz w:val="21"/>
                <w:szCs w:val="21"/>
                <w:highlight w:val="none"/>
                <w:lang w:val="en-US" w:eastAsia="zh-CN" w:bidi="ar"/>
              </w:rPr>
            </w:pPr>
            <w:r>
              <w:rPr>
                <w:rFonts w:hint="eastAsia" w:ascii="宋体" w:hAnsi="宋体" w:eastAsia="宋体" w:cs="宋体"/>
                <w:color w:val="auto"/>
                <w:spacing w:val="-5"/>
                <w:kern w:val="0"/>
                <w:sz w:val="21"/>
                <w:szCs w:val="21"/>
                <w:highlight w:val="none"/>
                <w:lang w:val="en-US" w:eastAsia="zh-CN" w:bidi="ar"/>
              </w:rPr>
              <w:t>投标人</w:t>
            </w:r>
            <w:r>
              <w:rPr>
                <w:rFonts w:hint="eastAsia" w:ascii="宋体" w:hAnsi="宋体" w:eastAsia="宋体" w:cs="宋体"/>
                <w:color w:val="auto"/>
                <w:spacing w:val="-5"/>
                <w:kern w:val="0"/>
                <w:sz w:val="21"/>
                <w:szCs w:val="21"/>
                <w:highlight w:val="none"/>
                <w:lang w:val="en-US" w:eastAsia="zh-Hans" w:bidi="ar"/>
              </w:rPr>
              <w:t>具备有效的</w:t>
            </w:r>
            <w:r>
              <w:rPr>
                <w:rFonts w:hint="eastAsia" w:ascii="宋体" w:hAnsi="宋体" w:eastAsia="宋体" w:cs="宋体"/>
                <w:color w:val="auto"/>
                <w:spacing w:val="-5"/>
                <w:kern w:val="0"/>
                <w:sz w:val="21"/>
                <w:szCs w:val="21"/>
                <w:highlight w:val="none"/>
                <w:lang w:val="en-US" w:eastAsia="zh-CN" w:bidi="ar"/>
              </w:rPr>
              <w:t>ISO22301业务连续性管理体系认证的得1分；</w:t>
            </w:r>
          </w:p>
          <w:p>
            <w:pPr>
              <w:autoSpaceDE w:val="0"/>
              <w:autoSpaceDN w:val="0"/>
              <w:adjustRightInd w:val="0"/>
              <w:spacing w:line="240" w:lineRule="auto"/>
              <w:rPr>
                <w:rFonts w:hint="eastAsia" w:ascii="宋体" w:hAnsi="宋体" w:eastAsia="宋体" w:cs="宋体"/>
                <w:color w:val="auto"/>
                <w:spacing w:val="-5"/>
                <w:kern w:val="0"/>
                <w:sz w:val="21"/>
                <w:szCs w:val="21"/>
                <w:highlight w:val="none"/>
                <w:lang w:val="en-US" w:eastAsia="zh-CN" w:bidi="ar"/>
              </w:rPr>
            </w:pPr>
            <w:r>
              <w:rPr>
                <w:rFonts w:hint="eastAsia" w:ascii="宋体" w:hAnsi="宋体" w:eastAsia="宋体" w:cs="宋体"/>
                <w:color w:val="auto"/>
                <w:spacing w:val="-5"/>
                <w:kern w:val="0"/>
                <w:sz w:val="21"/>
                <w:szCs w:val="21"/>
                <w:highlight w:val="none"/>
                <w:lang w:val="en-US" w:eastAsia="zh-CN" w:bidi="ar"/>
              </w:rPr>
              <w:t>投标人</w:t>
            </w:r>
            <w:r>
              <w:rPr>
                <w:rFonts w:hint="eastAsia" w:ascii="宋体" w:hAnsi="宋体" w:eastAsia="宋体" w:cs="宋体"/>
                <w:color w:val="auto"/>
                <w:spacing w:val="-5"/>
                <w:kern w:val="0"/>
                <w:sz w:val="21"/>
                <w:szCs w:val="21"/>
                <w:highlight w:val="none"/>
                <w:lang w:val="en-US" w:eastAsia="zh-Hans" w:bidi="ar"/>
              </w:rPr>
              <w:t>具备有效的</w:t>
            </w:r>
            <w:r>
              <w:rPr>
                <w:rFonts w:hint="eastAsia" w:ascii="宋体" w:hAnsi="宋体" w:eastAsia="宋体" w:cs="宋体"/>
                <w:color w:val="auto"/>
                <w:spacing w:val="-5"/>
                <w:kern w:val="0"/>
                <w:sz w:val="21"/>
                <w:szCs w:val="21"/>
                <w:highlight w:val="none"/>
                <w:lang w:val="en-US" w:eastAsia="zh-CN" w:bidi="ar"/>
              </w:rPr>
              <w:t>ISO28000供应链管理体系认证的得1分；</w:t>
            </w:r>
          </w:p>
          <w:p>
            <w:pPr>
              <w:autoSpaceDE w:val="0"/>
              <w:autoSpaceDN w:val="0"/>
              <w:adjustRightInd w:val="0"/>
              <w:spacing w:line="240" w:lineRule="auto"/>
              <w:rPr>
                <w:rFonts w:hint="eastAsia" w:ascii="宋体" w:hAnsi="宋体" w:eastAsia="宋体" w:cs="宋体"/>
                <w:color w:val="auto"/>
                <w:spacing w:val="-5"/>
                <w:kern w:val="0"/>
                <w:sz w:val="21"/>
                <w:szCs w:val="21"/>
                <w:highlight w:val="none"/>
                <w:lang w:val="en-US" w:eastAsia="zh-CN" w:bidi="ar"/>
              </w:rPr>
            </w:pPr>
            <w:r>
              <w:rPr>
                <w:rFonts w:hint="eastAsia" w:ascii="宋体" w:hAnsi="宋体" w:eastAsia="宋体" w:cs="宋体"/>
                <w:color w:val="auto"/>
                <w:spacing w:val="-5"/>
                <w:kern w:val="0"/>
                <w:sz w:val="21"/>
                <w:szCs w:val="21"/>
                <w:highlight w:val="none"/>
                <w:lang w:val="en-US" w:eastAsia="zh-CN" w:bidi="ar"/>
              </w:rPr>
              <w:t>投标人</w:t>
            </w:r>
            <w:r>
              <w:rPr>
                <w:rFonts w:hint="eastAsia" w:ascii="宋体" w:hAnsi="宋体" w:eastAsia="宋体" w:cs="宋体"/>
                <w:color w:val="auto"/>
                <w:spacing w:val="-5"/>
                <w:kern w:val="0"/>
                <w:sz w:val="21"/>
                <w:szCs w:val="21"/>
                <w:highlight w:val="none"/>
                <w:lang w:val="en-US" w:eastAsia="zh-Hans" w:bidi="ar"/>
              </w:rPr>
              <w:t>具备有效的</w:t>
            </w:r>
            <w:r>
              <w:rPr>
                <w:rFonts w:hint="eastAsia" w:ascii="宋体" w:hAnsi="宋体" w:eastAsia="宋体" w:cs="宋体"/>
                <w:color w:val="auto"/>
                <w:spacing w:val="-5"/>
                <w:kern w:val="0"/>
                <w:sz w:val="21"/>
                <w:szCs w:val="21"/>
                <w:highlight w:val="none"/>
                <w:lang w:val="en-US" w:eastAsia="zh-CN" w:bidi="ar"/>
              </w:rPr>
              <w:t>职业健康安全管理体系认证证书的得1分；</w:t>
            </w:r>
          </w:p>
          <w:p>
            <w:pPr>
              <w:autoSpaceDE w:val="0"/>
              <w:autoSpaceDN w:val="0"/>
              <w:adjustRightInd w:val="0"/>
              <w:spacing w:line="240" w:lineRule="auto"/>
              <w:rPr>
                <w:rFonts w:hint="eastAsia" w:ascii="宋体" w:hAnsi="宋体" w:eastAsia="宋体" w:cs="宋体"/>
                <w:color w:val="auto"/>
                <w:spacing w:val="-5"/>
                <w:kern w:val="0"/>
                <w:sz w:val="21"/>
                <w:szCs w:val="21"/>
                <w:highlight w:val="none"/>
                <w:lang w:val="en-US" w:eastAsia="zh-CN" w:bidi="ar"/>
              </w:rPr>
            </w:pPr>
            <w:r>
              <w:rPr>
                <w:rFonts w:hint="eastAsia" w:ascii="宋体" w:hAnsi="宋体" w:eastAsia="宋体" w:cs="宋体"/>
                <w:color w:val="auto"/>
                <w:spacing w:val="-5"/>
                <w:kern w:val="0"/>
                <w:sz w:val="21"/>
                <w:szCs w:val="21"/>
                <w:highlight w:val="none"/>
                <w:lang w:val="en-US" w:eastAsia="zh-CN" w:bidi="ar"/>
              </w:rPr>
              <w:t>投标人</w:t>
            </w:r>
            <w:r>
              <w:rPr>
                <w:rFonts w:hint="eastAsia" w:ascii="宋体" w:hAnsi="宋体" w:eastAsia="宋体" w:cs="宋体"/>
                <w:color w:val="auto"/>
                <w:spacing w:val="-5"/>
                <w:kern w:val="0"/>
                <w:sz w:val="21"/>
                <w:szCs w:val="21"/>
                <w:highlight w:val="none"/>
                <w:lang w:val="en-US" w:eastAsia="zh-Hans" w:bidi="ar"/>
              </w:rPr>
              <w:t>具备有效的</w:t>
            </w:r>
            <w:r>
              <w:rPr>
                <w:rFonts w:hint="eastAsia" w:ascii="宋体" w:hAnsi="宋体" w:eastAsia="宋体" w:cs="宋体"/>
                <w:color w:val="auto"/>
                <w:spacing w:val="-5"/>
                <w:kern w:val="0"/>
                <w:sz w:val="21"/>
                <w:szCs w:val="21"/>
                <w:highlight w:val="none"/>
                <w:lang w:val="en-US" w:eastAsia="zh-CN" w:bidi="ar"/>
              </w:rPr>
              <w:t>信息技术服务运行维护标准（ITSS）证书的得1分；</w:t>
            </w:r>
          </w:p>
          <w:p>
            <w:pPr>
              <w:pStyle w:val="515"/>
              <w:spacing w:line="240" w:lineRule="auto"/>
              <w:ind w:firstLine="0" w:firstLineChars="0"/>
              <w:jc w:val="left"/>
              <w:rPr>
                <w:rFonts w:hint="eastAsia" w:ascii="宋体" w:hAnsi="宋体" w:eastAsia="宋体" w:cs="宋体"/>
                <w:color w:val="auto"/>
                <w:spacing w:val="-5"/>
                <w:kern w:val="0"/>
                <w:sz w:val="21"/>
                <w:szCs w:val="21"/>
                <w:highlight w:val="none"/>
                <w:lang w:val="en-US" w:eastAsia="zh-CN" w:bidi="ar"/>
              </w:rPr>
            </w:pPr>
            <w:r>
              <w:rPr>
                <w:rFonts w:hint="eastAsia" w:ascii="宋体" w:hAnsi="宋体" w:eastAsia="宋体" w:cs="宋体"/>
                <w:color w:val="auto"/>
                <w:spacing w:val="-5"/>
                <w:kern w:val="0"/>
                <w:sz w:val="21"/>
                <w:szCs w:val="21"/>
                <w:highlight w:val="none"/>
                <w:lang w:val="en-US" w:eastAsia="zh-CN" w:bidi="ar"/>
              </w:rPr>
              <w:t>注：投标文件中提供证明资料的复印件加盖公章，否则不得分。</w:t>
            </w:r>
          </w:p>
        </w:tc>
        <w:tc>
          <w:tcPr>
            <w:tcW w:w="524" w:type="dxa"/>
            <w:vAlign w:val="center"/>
          </w:tcPr>
          <w:p>
            <w:pPr>
              <w:widowControl/>
              <w:spacing w:line="360" w:lineRule="exact"/>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w:t>
            </w:r>
          </w:p>
        </w:tc>
        <w:tc>
          <w:tcPr>
            <w:tcW w:w="1260" w:type="dxa"/>
            <w:vAlign w:val="center"/>
          </w:tcPr>
          <w:p>
            <w:pPr>
              <w:widowControl/>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客观分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7" w:type="dxa"/>
            <w:vMerge w:val="restart"/>
            <w:vAlign w:val="center"/>
          </w:tcPr>
          <w:p>
            <w:pPr>
              <w:widowControl/>
              <w:snapToGri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c>
          <w:tcPr>
            <w:tcW w:w="1091" w:type="dxa"/>
            <w:vMerge w:val="restart"/>
            <w:vAlign w:val="center"/>
          </w:tcPr>
          <w:p>
            <w:pPr>
              <w:widowControl/>
              <w:spacing w:line="240" w:lineRule="auto"/>
              <w:jc w:val="center"/>
              <w:rPr>
                <w:rFonts w:ascii="宋体" w:hAnsi="宋体" w:cs="宋体"/>
                <w:color w:val="auto"/>
                <w:szCs w:val="21"/>
                <w:highlight w:val="none"/>
              </w:rPr>
            </w:pPr>
            <w:r>
              <w:rPr>
                <w:rFonts w:hint="eastAsia" w:ascii="宋体" w:hAnsi="宋体" w:cs="宋体"/>
                <w:color w:val="auto"/>
                <w:szCs w:val="21"/>
                <w:highlight w:val="none"/>
              </w:rPr>
              <w:t>人员配置（</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分）</w:t>
            </w:r>
          </w:p>
        </w:tc>
        <w:tc>
          <w:tcPr>
            <w:tcW w:w="5626" w:type="dxa"/>
            <w:vAlign w:val="center"/>
          </w:tcPr>
          <w:p>
            <w:pPr>
              <w:autoSpaceDE w:val="0"/>
              <w:autoSpaceDN w:val="0"/>
              <w:spacing w:line="240" w:lineRule="auto"/>
              <w:rPr>
                <w:rFonts w:ascii="宋体" w:hAnsi="宋体" w:cs="宋体"/>
                <w:b/>
                <w:bCs/>
                <w:color w:val="auto"/>
                <w:kern w:val="0"/>
                <w:szCs w:val="21"/>
                <w:highlight w:val="none"/>
              </w:rPr>
            </w:pPr>
            <w:r>
              <w:rPr>
                <w:rFonts w:hint="eastAsia" w:ascii="宋体" w:hAnsi="宋体" w:cs="宋体"/>
                <w:b/>
                <w:bCs/>
                <w:color w:val="auto"/>
                <w:kern w:val="0"/>
                <w:szCs w:val="21"/>
                <w:highlight w:val="none"/>
              </w:rPr>
              <w:t>1、项目负责人（3分）</w:t>
            </w:r>
          </w:p>
          <w:p>
            <w:pPr>
              <w:autoSpaceDE w:val="0"/>
              <w:autoSpaceDN w:val="0"/>
              <w:adjustRightInd w:val="0"/>
              <w:spacing w:line="240" w:lineRule="auto"/>
              <w:rPr>
                <w:rFonts w:hint="default" w:ascii="宋体" w:hAnsi="宋体" w:eastAsia="宋体" w:cs="宋体"/>
                <w:color w:val="auto"/>
                <w:spacing w:val="-5"/>
                <w:kern w:val="0"/>
                <w:sz w:val="21"/>
                <w:szCs w:val="21"/>
                <w:highlight w:val="none"/>
                <w:lang w:val="en-US" w:eastAsia="zh-CN" w:bidi="ar"/>
              </w:rPr>
            </w:pPr>
            <w:r>
              <w:rPr>
                <w:rFonts w:hint="eastAsia" w:ascii="宋体" w:hAnsi="宋体" w:eastAsia="宋体" w:cs="宋体"/>
                <w:color w:val="auto"/>
                <w:spacing w:val="-5"/>
                <w:kern w:val="0"/>
                <w:sz w:val="21"/>
                <w:szCs w:val="21"/>
                <w:highlight w:val="none"/>
                <w:lang w:val="en-US" w:eastAsia="zh-CN" w:bidi="ar"/>
              </w:rPr>
              <w:t>项目负责人具有信息系统项目管理师的得1分；</w:t>
            </w:r>
          </w:p>
          <w:p>
            <w:pPr>
              <w:autoSpaceDE w:val="0"/>
              <w:autoSpaceDN w:val="0"/>
              <w:adjustRightInd w:val="0"/>
              <w:spacing w:line="240" w:lineRule="auto"/>
              <w:rPr>
                <w:rFonts w:hint="eastAsia" w:ascii="宋体" w:hAnsi="宋体" w:eastAsia="宋体" w:cs="宋体"/>
                <w:color w:val="auto"/>
                <w:spacing w:val="-5"/>
                <w:kern w:val="0"/>
                <w:sz w:val="21"/>
                <w:szCs w:val="21"/>
                <w:highlight w:val="none"/>
                <w:lang w:val="en-US" w:eastAsia="zh-CN" w:bidi="ar"/>
              </w:rPr>
            </w:pPr>
            <w:r>
              <w:rPr>
                <w:rFonts w:hint="eastAsia" w:ascii="宋体" w:hAnsi="宋体" w:eastAsia="宋体" w:cs="宋体"/>
                <w:color w:val="auto"/>
                <w:spacing w:val="-5"/>
                <w:kern w:val="0"/>
                <w:sz w:val="21"/>
                <w:szCs w:val="21"/>
                <w:highlight w:val="none"/>
                <w:lang w:val="en-US" w:eastAsia="zh-CN" w:bidi="ar"/>
              </w:rPr>
              <w:t>项目负责人具有网络工程师的得1分；</w:t>
            </w:r>
          </w:p>
          <w:p>
            <w:pPr>
              <w:autoSpaceDE w:val="0"/>
              <w:autoSpaceDN w:val="0"/>
              <w:adjustRightInd w:val="0"/>
              <w:spacing w:line="240" w:lineRule="auto"/>
              <w:rPr>
                <w:rFonts w:hint="eastAsia" w:ascii="宋体" w:hAnsi="宋体" w:eastAsia="宋体" w:cs="宋体"/>
                <w:color w:val="auto"/>
                <w:spacing w:val="-5"/>
                <w:kern w:val="0"/>
                <w:sz w:val="21"/>
                <w:szCs w:val="21"/>
                <w:highlight w:val="none"/>
                <w:lang w:val="en-US" w:eastAsia="zh-CN" w:bidi="ar"/>
              </w:rPr>
            </w:pPr>
            <w:r>
              <w:rPr>
                <w:rFonts w:hint="eastAsia" w:ascii="宋体" w:hAnsi="宋体" w:eastAsia="宋体" w:cs="宋体"/>
                <w:color w:val="auto"/>
                <w:spacing w:val="-5"/>
                <w:kern w:val="0"/>
                <w:sz w:val="21"/>
                <w:szCs w:val="21"/>
                <w:highlight w:val="none"/>
                <w:lang w:val="en-US" w:eastAsia="zh-CN" w:bidi="ar"/>
              </w:rPr>
              <w:t>CISE注册信息安全工程师的得1分；</w:t>
            </w:r>
          </w:p>
          <w:p>
            <w:pPr>
              <w:pStyle w:val="64"/>
              <w:spacing w:line="240" w:lineRule="auto"/>
              <w:ind w:left="0" w:leftChars="0" w:firstLine="0" w:firstLineChars="0"/>
              <w:rPr>
                <w:rFonts w:cs="宋体"/>
                <w:color w:val="auto"/>
                <w:szCs w:val="21"/>
                <w:highlight w:val="none"/>
              </w:rPr>
            </w:pPr>
            <w:r>
              <w:rPr>
                <w:rFonts w:hint="eastAsia" w:cs="宋体"/>
                <w:color w:val="auto"/>
                <w:szCs w:val="21"/>
                <w:highlight w:val="none"/>
              </w:rPr>
              <w:t>备注：项目负责人只能为一人；投标文件中提供证书复印件及投标人为其缴纳的社保证明材料。</w:t>
            </w:r>
          </w:p>
          <w:p>
            <w:pPr>
              <w:pStyle w:val="64"/>
              <w:spacing w:line="240" w:lineRule="auto"/>
              <w:ind w:left="0" w:leftChars="0" w:firstLine="0" w:firstLineChars="0"/>
              <w:rPr>
                <w:rFonts w:hint="eastAsia" w:cs="宋体"/>
                <w:b/>
                <w:bCs/>
                <w:color w:val="auto"/>
                <w:szCs w:val="21"/>
                <w:highlight w:val="none"/>
              </w:rPr>
            </w:pPr>
            <w:r>
              <w:rPr>
                <w:rFonts w:cs="宋体"/>
                <w:b/>
                <w:bCs/>
                <w:color w:val="auto"/>
                <w:kern w:val="0"/>
                <w:szCs w:val="21"/>
                <w:highlight w:val="none"/>
              </w:rPr>
              <w:t>2</w:t>
            </w:r>
            <w:r>
              <w:rPr>
                <w:rFonts w:hint="eastAsia" w:cs="宋体"/>
                <w:b/>
                <w:bCs/>
                <w:color w:val="auto"/>
                <w:szCs w:val="21"/>
                <w:highlight w:val="none"/>
              </w:rPr>
              <w:t>、技术负责人（</w:t>
            </w:r>
            <w:r>
              <w:rPr>
                <w:rFonts w:hint="eastAsia" w:cs="宋体"/>
                <w:b/>
                <w:bCs/>
                <w:color w:val="auto"/>
                <w:szCs w:val="21"/>
                <w:highlight w:val="none"/>
                <w:lang w:val="en-US" w:eastAsia="zh-CN"/>
              </w:rPr>
              <w:t>4</w:t>
            </w:r>
            <w:r>
              <w:rPr>
                <w:rFonts w:hint="eastAsia" w:cs="宋体"/>
                <w:b/>
                <w:bCs/>
                <w:color w:val="auto"/>
                <w:szCs w:val="21"/>
                <w:highlight w:val="none"/>
              </w:rPr>
              <w:t>分）</w:t>
            </w:r>
          </w:p>
          <w:p>
            <w:pPr>
              <w:autoSpaceDE w:val="0"/>
              <w:autoSpaceDN w:val="0"/>
              <w:adjustRightInd w:val="0"/>
              <w:spacing w:line="240" w:lineRule="auto"/>
              <w:rPr>
                <w:rFonts w:hint="eastAsia" w:ascii="宋体" w:hAnsi="宋体" w:eastAsia="宋体" w:cs="宋体"/>
                <w:color w:val="auto"/>
                <w:spacing w:val="-5"/>
                <w:kern w:val="0"/>
                <w:sz w:val="21"/>
                <w:szCs w:val="21"/>
                <w:highlight w:val="none"/>
                <w:lang w:val="en-US" w:eastAsia="zh-CN" w:bidi="ar"/>
              </w:rPr>
            </w:pPr>
            <w:r>
              <w:rPr>
                <w:rFonts w:hint="eastAsia" w:ascii="宋体" w:hAnsi="宋体" w:eastAsia="宋体" w:cs="宋体"/>
                <w:color w:val="auto"/>
                <w:spacing w:val="-5"/>
                <w:kern w:val="0"/>
                <w:sz w:val="21"/>
                <w:szCs w:val="21"/>
                <w:highlight w:val="none"/>
                <w:lang w:val="en-US" w:eastAsia="zh-CN" w:bidi="ar"/>
              </w:rPr>
              <w:t>项目技术负责人具有系统集成项目管理工程师的得1分；</w:t>
            </w:r>
          </w:p>
          <w:p>
            <w:pPr>
              <w:autoSpaceDE w:val="0"/>
              <w:autoSpaceDN w:val="0"/>
              <w:adjustRightInd w:val="0"/>
              <w:spacing w:line="240" w:lineRule="auto"/>
              <w:rPr>
                <w:rFonts w:hint="eastAsia" w:ascii="宋体" w:hAnsi="宋体" w:eastAsia="宋体" w:cs="宋体"/>
                <w:color w:val="auto"/>
                <w:spacing w:val="-5"/>
                <w:kern w:val="0"/>
                <w:sz w:val="21"/>
                <w:szCs w:val="21"/>
                <w:highlight w:val="none"/>
                <w:lang w:val="en-US" w:eastAsia="zh-CN" w:bidi="ar"/>
              </w:rPr>
            </w:pPr>
            <w:r>
              <w:rPr>
                <w:rFonts w:hint="eastAsia" w:ascii="宋体" w:hAnsi="宋体" w:eastAsia="宋体" w:cs="宋体"/>
                <w:color w:val="auto"/>
                <w:spacing w:val="-5"/>
                <w:kern w:val="0"/>
                <w:sz w:val="21"/>
                <w:szCs w:val="21"/>
                <w:highlight w:val="none"/>
                <w:lang w:val="en-US" w:eastAsia="zh-CN" w:bidi="ar"/>
              </w:rPr>
              <w:t>CISP注册信息安全专业人员的得</w:t>
            </w:r>
            <w:r>
              <w:rPr>
                <w:rFonts w:hint="eastAsia" w:ascii="宋体" w:hAnsi="宋体" w:cs="宋体"/>
                <w:color w:val="auto"/>
                <w:spacing w:val="-5"/>
                <w:kern w:val="0"/>
                <w:sz w:val="21"/>
                <w:szCs w:val="21"/>
                <w:highlight w:val="none"/>
                <w:lang w:val="en-US" w:eastAsia="zh-CN" w:bidi="ar"/>
              </w:rPr>
              <w:t>1</w:t>
            </w:r>
            <w:r>
              <w:rPr>
                <w:rFonts w:hint="eastAsia" w:ascii="宋体" w:hAnsi="宋体" w:eastAsia="宋体" w:cs="宋体"/>
                <w:color w:val="auto"/>
                <w:spacing w:val="-5"/>
                <w:kern w:val="0"/>
                <w:sz w:val="21"/>
                <w:szCs w:val="21"/>
                <w:highlight w:val="none"/>
                <w:lang w:val="en-US" w:eastAsia="zh-CN" w:bidi="ar"/>
              </w:rPr>
              <w:t>分；</w:t>
            </w:r>
          </w:p>
          <w:p>
            <w:pPr>
              <w:autoSpaceDE w:val="0"/>
              <w:autoSpaceDN w:val="0"/>
              <w:adjustRightInd w:val="0"/>
              <w:spacing w:line="240" w:lineRule="auto"/>
              <w:rPr>
                <w:rFonts w:hint="eastAsia" w:ascii="宋体" w:hAnsi="宋体" w:eastAsia="宋体" w:cs="宋体"/>
                <w:color w:val="auto"/>
                <w:spacing w:val="-5"/>
                <w:kern w:val="0"/>
                <w:sz w:val="21"/>
                <w:szCs w:val="21"/>
                <w:highlight w:val="none"/>
                <w:lang w:val="en-US" w:eastAsia="zh-CN" w:bidi="ar"/>
              </w:rPr>
            </w:pPr>
            <w:r>
              <w:rPr>
                <w:rFonts w:hint="eastAsia" w:ascii="宋体" w:hAnsi="宋体" w:eastAsia="宋体" w:cs="宋体"/>
                <w:color w:val="auto"/>
                <w:spacing w:val="-5"/>
                <w:kern w:val="0"/>
                <w:sz w:val="21"/>
                <w:szCs w:val="21"/>
                <w:highlight w:val="none"/>
                <w:lang w:val="en-US" w:eastAsia="zh-CN" w:bidi="ar"/>
              </w:rPr>
              <w:t>ITSS信息技术服务标准认证的得</w:t>
            </w:r>
            <w:r>
              <w:rPr>
                <w:rFonts w:hint="eastAsia" w:ascii="宋体" w:hAnsi="宋体" w:cs="宋体"/>
                <w:color w:val="auto"/>
                <w:spacing w:val="-5"/>
                <w:kern w:val="0"/>
                <w:sz w:val="21"/>
                <w:szCs w:val="21"/>
                <w:highlight w:val="none"/>
                <w:lang w:val="en-US" w:eastAsia="zh-CN" w:bidi="ar"/>
              </w:rPr>
              <w:t>1</w:t>
            </w:r>
            <w:r>
              <w:rPr>
                <w:rFonts w:hint="eastAsia" w:ascii="宋体" w:hAnsi="宋体" w:eastAsia="宋体" w:cs="宋体"/>
                <w:color w:val="auto"/>
                <w:spacing w:val="-5"/>
                <w:kern w:val="0"/>
                <w:sz w:val="21"/>
                <w:szCs w:val="21"/>
                <w:highlight w:val="none"/>
                <w:lang w:val="en-US" w:eastAsia="zh-CN" w:bidi="ar"/>
              </w:rPr>
              <w:t>分；</w:t>
            </w:r>
          </w:p>
          <w:p>
            <w:pPr>
              <w:autoSpaceDE w:val="0"/>
              <w:autoSpaceDN w:val="0"/>
              <w:adjustRightInd w:val="0"/>
              <w:spacing w:line="240" w:lineRule="auto"/>
              <w:rPr>
                <w:rFonts w:hint="eastAsia" w:ascii="宋体" w:hAnsi="宋体" w:eastAsia="宋体" w:cs="宋体"/>
                <w:color w:val="auto"/>
                <w:spacing w:val="-5"/>
                <w:kern w:val="0"/>
                <w:sz w:val="21"/>
                <w:szCs w:val="21"/>
                <w:highlight w:val="none"/>
                <w:lang w:val="en-US" w:eastAsia="zh-CN" w:bidi="ar"/>
              </w:rPr>
            </w:pPr>
            <w:r>
              <w:rPr>
                <w:rFonts w:hint="eastAsia" w:ascii="宋体" w:hAnsi="宋体" w:eastAsia="宋体" w:cs="宋体"/>
                <w:color w:val="auto"/>
                <w:spacing w:val="-5"/>
                <w:kern w:val="0"/>
                <w:sz w:val="21"/>
                <w:szCs w:val="21"/>
                <w:highlight w:val="none"/>
                <w:lang w:val="en-US" w:eastAsia="zh-CN" w:bidi="ar"/>
              </w:rPr>
              <w:t>ITIL信息技术基础架构库认证的得的得</w:t>
            </w:r>
            <w:r>
              <w:rPr>
                <w:rFonts w:hint="eastAsia" w:ascii="宋体" w:hAnsi="宋体" w:cs="宋体"/>
                <w:color w:val="auto"/>
                <w:spacing w:val="-5"/>
                <w:kern w:val="0"/>
                <w:sz w:val="21"/>
                <w:szCs w:val="21"/>
                <w:highlight w:val="none"/>
                <w:lang w:val="en-US" w:eastAsia="zh-CN" w:bidi="ar"/>
              </w:rPr>
              <w:t>1</w:t>
            </w:r>
            <w:r>
              <w:rPr>
                <w:rFonts w:hint="eastAsia" w:ascii="宋体" w:hAnsi="宋体" w:eastAsia="宋体" w:cs="宋体"/>
                <w:color w:val="auto"/>
                <w:spacing w:val="-5"/>
                <w:kern w:val="0"/>
                <w:sz w:val="21"/>
                <w:szCs w:val="21"/>
                <w:highlight w:val="none"/>
                <w:lang w:val="en-US" w:eastAsia="zh-CN" w:bidi="ar"/>
              </w:rPr>
              <w:t>分；</w:t>
            </w:r>
          </w:p>
          <w:p>
            <w:pPr>
              <w:pStyle w:val="64"/>
              <w:spacing w:line="240" w:lineRule="auto"/>
              <w:ind w:left="0" w:leftChars="0" w:firstLine="0" w:firstLineChars="0"/>
              <w:rPr>
                <w:rFonts w:cs="宋体"/>
                <w:color w:val="auto"/>
                <w:szCs w:val="21"/>
                <w:highlight w:val="none"/>
                <w:lang w:bidi="ar"/>
              </w:rPr>
            </w:pPr>
            <w:r>
              <w:rPr>
                <w:rFonts w:hint="eastAsia" w:cs="宋体"/>
                <w:color w:val="auto"/>
                <w:szCs w:val="21"/>
                <w:highlight w:val="none"/>
              </w:rPr>
              <w:t>备注：技术负责人只能为一人；投标文件中提供证书复印件及投标人为其缴纳的社保证明材料。</w:t>
            </w:r>
          </w:p>
        </w:tc>
        <w:tc>
          <w:tcPr>
            <w:tcW w:w="524" w:type="dxa"/>
            <w:vAlign w:val="center"/>
          </w:tcPr>
          <w:p>
            <w:pPr>
              <w:widowControl/>
              <w:spacing w:line="360" w:lineRule="exact"/>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val="en-US" w:eastAsia="zh-CN"/>
              </w:rPr>
              <w:t>7</w:t>
            </w:r>
          </w:p>
        </w:tc>
        <w:tc>
          <w:tcPr>
            <w:tcW w:w="1260" w:type="dxa"/>
            <w:vAlign w:val="center"/>
          </w:tcPr>
          <w:p>
            <w:pPr>
              <w:widowControl/>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客观分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740" w:hRule="atLeast"/>
        </w:trPr>
        <w:tc>
          <w:tcPr>
            <w:tcW w:w="767" w:type="dxa"/>
            <w:vMerge w:val="continue"/>
            <w:vAlign w:val="center"/>
          </w:tcPr>
          <w:p>
            <w:pPr>
              <w:widowControl/>
              <w:snapToGrid w:val="0"/>
              <w:spacing w:line="360" w:lineRule="exact"/>
              <w:jc w:val="center"/>
              <w:rPr>
                <w:rFonts w:ascii="宋体" w:hAnsi="宋体" w:cs="宋体"/>
                <w:color w:val="auto"/>
                <w:kern w:val="0"/>
                <w:szCs w:val="21"/>
                <w:highlight w:val="none"/>
              </w:rPr>
            </w:pPr>
          </w:p>
        </w:tc>
        <w:tc>
          <w:tcPr>
            <w:tcW w:w="1091" w:type="dxa"/>
            <w:vMerge w:val="continue"/>
            <w:vAlign w:val="center"/>
          </w:tcPr>
          <w:p>
            <w:pPr>
              <w:widowControl/>
              <w:spacing w:line="360" w:lineRule="exact"/>
              <w:jc w:val="center"/>
              <w:rPr>
                <w:rFonts w:ascii="宋体" w:hAnsi="宋体" w:cs="宋体"/>
                <w:color w:val="auto"/>
                <w:szCs w:val="21"/>
                <w:highlight w:val="none"/>
              </w:rPr>
            </w:pPr>
          </w:p>
        </w:tc>
        <w:tc>
          <w:tcPr>
            <w:tcW w:w="5626" w:type="dxa"/>
            <w:vAlign w:val="center"/>
          </w:tcPr>
          <w:p>
            <w:pPr>
              <w:autoSpaceDE w:val="0"/>
              <w:autoSpaceDN w:val="0"/>
              <w:adjustRightInd w:val="0"/>
              <w:spacing w:line="240" w:lineRule="auto"/>
              <w:rPr>
                <w:rFonts w:hint="eastAsia" w:ascii="宋体" w:hAnsi="宋体" w:eastAsia="宋体" w:cs="宋体"/>
                <w:color w:val="auto"/>
                <w:spacing w:val="-5"/>
                <w:kern w:val="0"/>
                <w:sz w:val="21"/>
                <w:szCs w:val="21"/>
                <w:highlight w:val="none"/>
                <w:lang w:val="en-US" w:eastAsia="zh-CN" w:bidi="ar"/>
              </w:rPr>
            </w:pPr>
            <w:r>
              <w:rPr>
                <w:rFonts w:hint="eastAsia" w:ascii="宋体" w:hAnsi="宋体" w:eastAsia="宋体" w:cs="宋体"/>
                <w:color w:val="auto"/>
                <w:spacing w:val="-5"/>
                <w:kern w:val="0"/>
                <w:sz w:val="21"/>
                <w:szCs w:val="21"/>
                <w:highlight w:val="none"/>
                <w:lang w:val="en-US" w:eastAsia="zh-CN" w:bidi="ar"/>
              </w:rPr>
              <w:t>本项目组其他组成人员（不含项目负责人、技术负责人、运维负责人）中具有国家信息安全技术水平证书（一级）、数据库系统工程师、网络规划师证书；每具一种证书得1分，最多得3分。</w:t>
            </w:r>
          </w:p>
          <w:p>
            <w:pPr>
              <w:autoSpaceDE w:val="0"/>
              <w:autoSpaceDN w:val="0"/>
              <w:adjustRightInd w:val="0"/>
              <w:spacing w:line="240" w:lineRule="auto"/>
              <w:rPr>
                <w:rFonts w:hint="eastAsia" w:ascii="宋体" w:hAnsi="宋体" w:eastAsia="宋体" w:cs="宋体"/>
                <w:color w:val="auto"/>
                <w:spacing w:val="-5"/>
                <w:kern w:val="0"/>
                <w:sz w:val="21"/>
                <w:szCs w:val="21"/>
                <w:highlight w:val="none"/>
                <w:lang w:val="en-US" w:eastAsia="zh-CN" w:bidi="ar"/>
              </w:rPr>
            </w:pPr>
            <w:r>
              <w:rPr>
                <w:rFonts w:hint="eastAsia" w:ascii="宋体" w:hAnsi="宋体" w:eastAsia="宋体" w:cs="宋体"/>
                <w:color w:val="auto"/>
                <w:spacing w:val="-5"/>
                <w:kern w:val="0"/>
                <w:sz w:val="21"/>
                <w:szCs w:val="21"/>
                <w:highlight w:val="none"/>
                <w:lang w:val="en-US" w:eastAsia="zh-CN" w:bidi="ar"/>
              </w:rPr>
              <w:t>注：投标文件中提供相关人员证书以及以投标人名义缴纳的近两个月的社保缴纳证明的复印件加盖公章。</w:t>
            </w:r>
          </w:p>
        </w:tc>
        <w:tc>
          <w:tcPr>
            <w:tcW w:w="524" w:type="dxa"/>
            <w:vAlign w:val="center"/>
          </w:tcPr>
          <w:p>
            <w:pPr>
              <w:autoSpaceDE w:val="0"/>
              <w:autoSpaceDN w:val="0"/>
              <w:adjustRightInd w:val="0"/>
              <w:spacing w:line="240" w:lineRule="auto"/>
              <w:ind w:firstLine="200" w:firstLineChars="100"/>
              <w:rPr>
                <w:rFonts w:hint="eastAsia" w:ascii="宋体" w:hAnsi="宋体" w:eastAsia="宋体" w:cs="宋体"/>
                <w:color w:val="auto"/>
                <w:spacing w:val="-5"/>
                <w:kern w:val="0"/>
                <w:sz w:val="21"/>
                <w:szCs w:val="21"/>
                <w:highlight w:val="none"/>
                <w:lang w:val="en-US" w:eastAsia="zh-CN" w:bidi="ar"/>
              </w:rPr>
            </w:pPr>
            <w:r>
              <w:rPr>
                <w:rFonts w:hint="eastAsia" w:ascii="宋体" w:hAnsi="宋体" w:eastAsia="宋体" w:cs="宋体"/>
                <w:color w:val="auto"/>
                <w:spacing w:val="-5"/>
                <w:kern w:val="0"/>
                <w:sz w:val="21"/>
                <w:szCs w:val="21"/>
                <w:highlight w:val="none"/>
                <w:lang w:val="en-US" w:eastAsia="zh-CN" w:bidi="ar"/>
              </w:rPr>
              <w:t>3</w:t>
            </w:r>
          </w:p>
        </w:tc>
        <w:tc>
          <w:tcPr>
            <w:tcW w:w="1260" w:type="dxa"/>
            <w:vAlign w:val="center"/>
          </w:tcPr>
          <w:p>
            <w:pPr>
              <w:autoSpaceDE w:val="0"/>
              <w:autoSpaceDN w:val="0"/>
              <w:adjustRightInd w:val="0"/>
              <w:spacing w:line="240" w:lineRule="auto"/>
              <w:rPr>
                <w:rFonts w:hint="eastAsia" w:ascii="宋体" w:hAnsi="宋体" w:eastAsia="宋体" w:cs="宋体"/>
                <w:color w:val="auto"/>
                <w:spacing w:val="-5"/>
                <w:kern w:val="0"/>
                <w:sz w:val="21"/>
                <w:szCs w:val="21"/>
                <w:highlight w:val="none"/>
                <w:lang w:val="en-US" w:eastAsia="zh-CN" w:bidi="ar"/>
              </w:rPr>
            </w:pPr>
            <w:r>
              <w:rPr>
                <w:rFonts w:hint="eastAsia" w:ascii="宋体" w:hAnsi="宋体" w:eastAsia="宋体" w:cs="宋体"/>
                <w:color w:val="auto"/>
                <w:spacing w:val="-5"/>
                <w:kern w:val="0"/>
                <w:sz w:val="21"/>
                <w:szCs w:val="21"/>
                <w:highlight w:val="none"/>
                <w:lang w:val="en-US" w:eastAsia="zh-CN" w:bidi="ar"/>
              </w:rPr>
              <w:t>客观分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740" w:hRule="atLeast"/>
        </w:trPr>
        <w:tc>
          <w:tcPr>
            <w:tcW w:w="767" w:type="dxa"/>
            <w:vAlign w:val="center"/>
          </w:tcPr>
          <w:p>
            <w:pPr>
              <w:widowControl/>
              <w:snapToGri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6</w:t>
            </w:r>
          </w:p>
        </w:tc>
        <w:tc>
          <w:tcPr>
            <w:tcW w:w="1091" w:type="dxa"/>
            <w:vAlign w:val="center"/>
          </w:tcPr>
          <w:p>
            <w:pPr>
              <w:widowControl/>
              <w:spacing w:line="360" w:lineRule="exact"/>
              <w:jc w:val="center"/>
              <w:rPr>
                <w:rFonts w:ascii="宋体" w:hAnsi="宋体" w:cs="宋体"/>
                <w:color w:val="auto"/>
                <w:szCs w:val="21"/>
                <w:highlight w:val="none"/>
              </w:rPr>
            </w:pPr>
            <w:r>
              <w:rPr>
                <w:rFonts w:hint="eastAsia" w:ascii="宋体" w:hAnsi="宋体" w:cs="宋体"/>
                <w:color w:val="auto"/>
                <w:szCs w:val="21"/>
                <w:highlight w:val="none"/>
                <w:lang w:val="en-US" w:eastAsia="zh-CN"/>
              </w:rPr>
              <w:t>政策分（1分）</w:t>
            </w:r>
          </w:p>
        </w:tc>
        <w:tc>
          <w:tcPr>
            <w:tcW w:w="5626" w:type="dxa"/>
            <w:vAlign w:val="top"/>
          </w:tcPr>
          <w:p>
            <w:pPr>
              <w:keepNext w:val="0"/>
              <w:keepLines w:val="0"/>
              <w:pageBreakBefore w:val="0"/>
              <w:kinsoku/>
              <w:wordWrap/>
              <w:overflowPunct/>
              <w:topLinePunct w:val="0"/>
              <w:autoSpaceDE/>
              <w:autoSpaceDN/>
              <w:bidi w:val="0"/>
              <w:snapToGrid w:val="0"/>
              <w:spacing w:line="360" w:lineRule="auto"/>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投标产品属于《节能产品政府采购品目清单》范围的且具有国家确定的认证机构出具的、处于有效期之内的节能产品认证证书的得</w:t>
            </w:r>
            <w:r>
              <w:rPr>
                <w:rFonts w:hint="eastAsia" w:asciiTheme="minorEastAsia" w:hAnsiTheme="minorEastAsia" w:eastAsiaTheme="minorEastAsia" w:cstheme="minorEastAsia"/>
                <w:color w:val="auto"/>
                <w:sz w:val="21"/>
                <w:szCs w:val="21"/>
                <w:highlight w:val="none"/>
                <w:lang w:val="en-US" w:eastAsia="zh-CN"/>
              </w:rPr>
              <w:t>0.5</w:t>
            </w:r>
            <w:r>
              <w:rPr>
                <w:rFonts w:hint="eastAsia" w:asciiTheme="minorEastAsia" w:hAnsiTheme="minorEastAsia" w:eastAsiaTheme="minorEastAsia" w:cstheme="minorEastAsia"/>
                <w:color w:val="auto"/>
                <w:sz w:val="21"/>
                <w:szCs w:val="21"/>
                <w:highlight w:val="none"/>
              </w:rPr>
              <w:t>分；</w:t>
            </w:r>
          </w:p>
          <w:p>
            <w:pPr>
              <w:keepNext w:val="0"/>
              <w:keepLines w:val="0"/>
              <w:pageBreakBefore w:val="0"/>
              <w:kinsoku/>
              <w:wordWrap/>
              <w:overflowPunct/>
              <w:topLinePunct w:val="0"/>
              <w:autoSpaceDE/>
              <w:autoSpaceDN/>
              <w:bidi w:val="0"/>
              <w:snapToGrid w:val="0"/>
              <w:spacing w:line="360" w:lineRule="auto"/>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投标产品属于《环境标志产品政府采购品目清单》范围的且具有国家确定的认证机构出具的、处于有效期之内的环境标志产品认证证书的得</w:t>
            </w:r>
            <w:r>
              <w:rPr>
                <w:rFonts w:hint="eastAsia" w:asciiTheme="minorEastAsia" w:hAnsiTheme="minorEastAsia" w:eastAsiaTheme="minorEastAsia" w:cstheme="minorEastAsia"/>
                <w:color w:val="auto"/>
                <w:sz w:val="21"/>
                <w:szCs w:val="21"/>
                <w:highlight w:val="none"/>
                <w:lang w:val="en-US" w:eastAsia="zh-CN"/>
              </w:rPr>
              <w:t>0.5</w:t>
            </w:r>
            <w:r>
              <w:rPr>
                <w:rFonts w:hint="eastAsia" w:asciiTheme="minorEastAsia" w:hAnsiTheme="minorEastAsia" w:eastAsiaTheme="minorEastAsia" w:cstheme="minorEastAsia"/>
                <w:color w:val="auto"/>
                <w:sz w:val="21"/>
                <w:szCs w:val="21"/>
                <w:highlight w:val="none"/>
              </w:rPr>
              <w:t>分。</w:t>
            </w:r>
          </w:p>
          <w:p>
            <w:pPr>
              <w:keepNext w:val="0"/>
              <w:keepLines w:val="0"/>
              <w:pageBreakBefore w:val="0"/>
              <w:kinsoku/>
              <w:wordWrap/>
              <w:overflowPunct/>
              <w:topLinePunct w:val="0"/>
              <w:autoSpaceDE/>
              <w:autoSpaceDN/>
              <w:bidi w:val="0"/>
              <w:snapToGrid w:val="0"/>
              <w:spacing w:line="360" w:lineRule="auto"/>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注：投标文件中必须同时提供以下资料：</w:t>
            </w:r>
          </w:p>
          <w:p>
            <w:pPr>
              <w:keepNext w:val="0"/>
              <w:keepLines w:val="0"/>
              <w:pageBreakBefore w:val="0"/>
              <w:kinsoku/>
              <w:wordWrap/>
              <w:overflowPunct/>
              <w:topLinePunct w:val="0"/>
              <w:autoSpaceDE/>
              <w:autoSpaceDN/>
              <w:bidi w:val="0"/>
              <w:snapToGrid w:val="0"/>
              <w:spacing w:line="360" w:lineRule="auto"/>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提供政府采购品目清单相关内容页（并对相关内容作圈记），采购品目清单详见《关于印发环境标志产品政府采购品目清单的通知》（财库〔2019〕18号）和《关于印发节能产品政府采购品目清单的通知》（财库〔2019〕19号）。</w:t>
            </w:r>
          </w:p>
          <w:p>
            <w:pPr>
              <w:keepNext w:val="0"/>
              <w:keepLines w:val="0"/>
              <w:pageBreakBefore w:val="0"/>
              <w:kinsoku/>
              <w:wordWrap/>
              <w:overflowPunct/>
              <w:topLinePunct w:val="0"/>
              <w:autoSpaceDE/>
              <w:autoSpaceDN/>
              <w:bidi w:val="0"/>
              <w:snapToGrid w:val="0"/>
              <w:spacing w:line="360" w:lineRule="auto"/>
              <w:jc w:val="left"/>
              <w:textAlignment w:val="auto"/>
              <w:rPr>
                <w:rFonts w:hint="eastAsia" w:ascii="宋体" w:hAnsi="宋体" w:eastAsia="宋体" w:cs="宋体"/>
                <w:color w:val="auto"/>
                <w:spacing w:val="-5"/>
                <w:kern w:val="0"/>
                <w:sz w:val="21"/>
                <w:szCs w:val="21"/>
                <w:highlight w:val="none"/>
                <w:lang w:val="en-US" w:eastAsia="zh-CN" w:bidi="ar"/>
              </w:rPr>
            </w:pPr>
            <w:r>
              <w:rPr>
                <w:rFonts w:hint="eastAsia" w:asciiTheme="minorEastAsia" w:hAnsiTheme="minorEastAsia" w:eastAsiaTheme="minorEastAsia" w:cstheme="minorEastAsia"/>
                <w:color w:val="auto"/>
                <w:sz w:val="21"/>
                <w:szCs w:val="21"/>
                <w:highlight w:val="none"/>
              </w:rPr>
              <w:t>（2）《市场监管总局关于发布参与实施政府采购节能产品、环境标志产品认证机构名录的公告》中的认证机构出具的、处于有效期之内的节能产品/环境标志产品认证证书复印件并加盖公章。</w:t>
            </w:r>
          </w:p>
        </w:tc>
        <w:tc>
          <w:tcPr>
            <w:tcW w:w="524" w:type="dxa"/>
            <w:vAlign w:val="center"/>
          </w:tcPr>
          <w:p>
            <w:pPr>
              <w:keepNext w:val="0"/>
              <w:keepLines w:val="0"/>
              <w:pageBreakBefore w:val="0"/>
              <w:kinsoku/>
              <w:wordWrap/>
              <w:overflowPunct/>
              <w:topLinePunct w:val="0"/>
              <w:autoSpaceDE/>
              <w:autoSpaceDN/>
              <w:bidi w:val="0"/>
              <w:snapToGrid w:val="0"/>
              <w:spacing w:line="360" w:lineRule="auto"/>
              <w:jc w:val="center"/>
              <w:textAlignment w:val="auto"/>
              <w:rPr>
                <w:rFonts w:hint="eastAsia" w:ascii="宋体" w:hAnsi="宋体" w:eastAsia="宋体" w:cs="宋体"/>
                <w:color w:val="auto"/>
                <w:spacing w:val="-5"/>
                <w:kern w:val="0"/>
                <w:sz w:val="21"/>
                <w:szCs w:val="21"/>
                <w:highlight w:val="none"/>
                <w:lang w:val="en-US" w:eastAsia="zh-CN" w:bidi="ar"/>
              </w:rPr>
            </w:pPr>
            <w:r>
              <w:rPr>
                <w:rFonts w:hint="eastAsia" w:asciiTheme="minorEastAsia" w:hAnsiTheme="minorEastAsia" w:eastAsiaTheme="minorEastAsia" w:cstheme="minorEastAsia"/>
                <w:color w:val="auto"/>
                <w:sz w:val="21"/>
                <w:szCs w:val="21"/>
                <w:highlight w:val="none"/>
                <w:lang w:val="en-US" w:eastAsia="zh-CN"/>
              </w:rPr>
              <w:t>1</w:t>
            </w:r>
          </w:p>
        </w:tc>
        <w:tc>
          <w:tcPr>
            <w:tcW w:w="1260" w:type="dxa"/>
            <w:vAlign w:val="center"/>
          </w:tcPr>
          <w:p>
            <w:pPr>
              <w:keepNext w:val="0"/>
              <w:keepLines w:val="0"/>
              <w:pageBreakBefore w:val="0"/>
              <w:kinsoku/>
              <w:wordWrap/>
              <w:overflowPunct/>
              <w:topLinePunct w:val="0"/>
              <w:autoSpaceDE/>
              <w:autoSpaceDN/>
              <w:bidi w:val="0"/>
              <w:snapToGrid w:val="0"/>
              <w:spacing w:line="360" w:lineRule="auto"/>
              <w:jc w:val="center"/>
              <w:textAlignment w:val="auto"/>
              <w:rPr>
                <w:rFonts w:hint="eastAsia" w:ascii="宋体" w:hAnsi="宋体" w:eastAsia="宋体" w:cs="宋体"/>
                <w:color w:val="auto"/>
                <w:spacing w:val="-5"/>
                <w:kern w:val="0"/>
                <w:sz w:val="21"/>
                <w:szCs w:val="21"/>
                <w:highlight w:val="none"/>
                <w:lang w:val="en-US" w:eastAsia="zh-CN" w:bidi="ar"/>
              </w:rPr>
            </w:pPr>
            <w:r>
              <w:rPr>
                <w:rFonts w:hint="eastAsia" w:asciiTheme="minorEastAsia" w:hAnsiTheme="minorEastAsia" w:eastAsiaTheme="minorEastAsia" w:cstheme="minorEastAsia"/>
                <w:color w:val="auto"/>
                <w:sz w:val="21"/>
                <w:szCs w:val="21"/>
                <w:highlight w:val="none"/>
                <w:lang w:val="en-US" w:eastAsia="zh-CN"/>
              </w:rPr>
              <w:t>客观分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9268" w:type="dxa"/>
            <w:gridSpan w:val="5"/>
            <w:vAlign w:val="center"/>
          </w:tcPr>
          <w:p>
            <w:pPr>
              <w:widowControl/>
              <w:tabs>
                <w:tab w:val="left" w:pos="0"/>
              </w:tabs>
              <w:spacing w:line="360" w:lineRule="exact"/>
              <w:jc w:val="center"/>
              <w:rPr>
                <w:rFonts w:ascii="宋体" w:hAnsi="宋体" w:cs="宋体"/>
                <w:color w:val="auto"/>
                <w:kern w:val="0"/>
                <w:szCs w:val="21"/>
                <w:highlight w:val="none"/>
              </w:rPr>
            </w:pPr>
            <w:r>
              <w:rPr>
                <w:rFonts w:hint="eastAsia" w:ascii="宋体" w:hAnsi="宋体" w:cs="宋体"/>
                <w:b/>
                <w:bCs/>
                <w:color w:val="auto"/>
                <w:kern w:val="0"/>
                <w:szCs w:val="21"/>
                <w:highlight w:val="none"/>
                <w:lang w:val="zh-CN"/>
              </w:rPr>
              <w:t>（</w:t>
            </w:r>
            <w:r>
              <w:rPr>
                <w:rFonts w:hint="eastAsia" w:ascii="宋体" w:hAnsi="宋体" w:cs="宋体"/>
                <w:b/>
                <w:bCs/>
                <w:color w:val="auto"/>
                <w:kern w:val="0"/>
                <w:szCs w:val="21"/>
                <w:highlight w:val="none"/>
              </w:rPr>
              <w:t>二）、报价分（</w:t>
            </w:r>
            <w:r>
              <w:rPr>
                <w:rFonts w:hint="eastAsia" w:ascii="宋体" w:hAnsi="宋体" w:cs="宋体"/>
                <w:b/>
                <w:bCs/>
                <w:color w:val="auto"/>
                <w:kern w:val="0"/>
                <w:szCs w:val="21"/>
                <w:highlight w:val="none"/>
                <w:lang w:val="en-US" w:eastAsia="zh-CN"/>
              </w:rPr>
              <w:t>3</w:t>
            </w:r>
            <w:r>
              <w:rPr>
                <w:rFonts w:hint="eastAsia" w:ascii="宋体" w:hAnsi="宋体" w:cs="宋体"/>
                <w:b/>
                <w:bCs/>
                <w:color w:val="auto"/>
                <w:kern w:val="0"/>
                <w:szCs w:val="21"/>
                <w:highlight w:val="none"/>
              </w:rPr>
              <w:t>0分）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771" w:hRule="atLeast"/>
        </w:trPr>
        <w:tc>
          <w:tcPr>
            <w:tcW w:w="767" w:type="dxa"/>
            <w:vAlign w:val="center"/>
          </w:tcPr>
          <w:p>
            <w:pPr>
              <w:widowControl/>
              <w:tabs>
                <w:tab w:val="left" w:pos="0"/>
              </w:tabs>
              <w:spacing w:line="360" w:lineRule="exact"/>
              <w:jc w:val="center"/>
              <w:rPr>
                <w:rFonts w:ascii="宋体" w:hAnsi="宋体" w:cs="宋体"/>
                <w:color w:val="auto"/>
                <w:szCs w:val="21"/>
                <w:highlight w:val="none"/>
              </w:rPr>
            </w:pPr>
            <w:r>
              <w:rPr>
                <w:rFonts w:hint="eastAsia" w:ascii="宋体" w:hAnsi="宋体" w:cs="宋体"/>
                <w:color w:val="auto"/>
                <w:szCs w:val="21"/>
                <w:highlight w:val="none"/>
              </w:rPr>
              <w:t>7</w:t>
            </w:r>
          </w:p>
        </w:tc>
        <w:tc>
          <w:tcPr>
            <w:tcW w:w="6717" w:type="dxa"/>
            <w:gridSpan w:val="2"/>
            <w:vAlign w:val="center"/>
          </w:tcPr>
          <w:p>
            <w:pPr>
              <w:widowControl/>
              <w:tabs>
                <w:tab w:val="left" w:pos="0"/>
              </w:tabs>
              <w:spacing w:line="360" w:lineRule="exact"/>
              <w:jc w:val="left"/>
              <w:rPr>
                <w:rFonts w:ascii="宋体" w:hAnsi="宋体" w:cs="宋体"/>
                <w:color w:val="auto"/>
                <w:szCs w:val="21"/>
                <w:highlight w:val="none"/>
                <w:lang w:val="zh-CN"/>
              </w:rPr>
            </w:pPr>
            <w:r>
              <w:rPr>
                <w:rFonts w:hint="eastAsia" w:ascii="宋体" w:hAnsi="宋体" w:cs="宋体"/>
                <w:color w:val="auto"/>
                <w:szCs w:val="21"/>
                <w:highlight w:val="none"/>
              </w:rPr>
              <w:t>报价</w:t>
            </w:r>
            <w:r>
              <w:rPr>
                <w:rFonts w:hint="eastAsia" w:ascii="宋体" w:hAnsi="宋体" w:cs="宋体"/>
                <w:color w:val="auto"/>
                <w:szCs w:val="21"/>
                <w:highlight w:val="none"/>
                <w:lang w:val="zh-CN"/>
              </w:rPr>
              <w:t>得分</w:t>
            </w:r>
          </w:p>
          <w:p>
            <w:pPr>
              <w:widowControl/>
              <w:tabs>
                <w:tab w:val="left" w:pos="0"/>
              </w:tabs>
              <w:spacing w:line="360" w:lineRule="exact"/>
              <w:ind w:firstLine="420" w:firstLineChars="200"/>
              <w:jc w:val="left"/>
              <w:rPr>
                <w:rFonts w:ascii="宋体" w:hAnsi="宋体" w:cs="宋体"/>
                <w:color w:val="auto"/>
                <w:szCs w:val="21"/>
                <w:highlight w:val="none"/>
                <w:lang w:val="zh-CN"/>
              </w:rPr>
            </w:pPr>
            <w:r>
              <w:rPr>
                <w:rFonts w:hint="eastAsia" w:ascii="宋体" w:hAnsi="宋体" w:cs="宋体"/>
                <w:color w:val="auto"/>
                <w:szCs w:val="21"/>
                <w:highlight w:val="none"/>
                <w:lang w:val="zh-CN"/>
              </w:rPr>
              <w:t>有效投标报价的最低价作为评标基准价，其最低报价为满分；按［投标报价得分=（评标基准价/投标报价）×权重］的计算公式计算。</w:t>
            </w:r>
          </w:p>
          <w:p>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lang w:val="zh-CN"/>
              </w:rPr>
              <w:t>对于未预留份额专门面向中小企业的政府采购货物项目，以及预留份额政府采购货物项目中的非预留部分标项，对小型和微型企业的投标报价给予 10 %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 4 %的扣除，用扣除后的价格参加评审。</w:t>
            </w:r>
          </w:p>
        </w:tc>
        <w:tc>
          <w:tcPr>
            <w:tcW w:w="524" w:type="dxa"/>
            <w:vAlign w:val="center"/>
          </w:tcPr>
          <w:p>
            <w:pPr>
              <w:widowControl/>
              <w:tabs>
                <w:tab w:val="left" w:pos="0"/>
              </w:tabs>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30</w:t>
            </w:r>
          </w:p>
        </w:tc>
        <w:tc>
          <w:tcPr>
            <w:tcW w:w="1260" w:type="dxa"/>
            <w:vAlign w:val="center"/>
          </w:tcPr>
          <w:p>
            <w:pPr>
              <w:widowControl/>
              <w:tabs>
                <w:tab w:val="left" w:pos="0"/>
              </w:tabs>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val="zh-CN"/>
              </w:rPr>
              <w:t>客观</w:t>
            </w:r>
            <w:r>
              <w:rPr>
                <w:rFonts w:hint="eastAsia" w:ascii="宋体" w:hAnsi="宋体" w:cs="宋体"/>
                <w:color w:val="auto"/>
                <w:kern w:val="0"/>
                <w:szCs w:val="21"/>
                <w:highlight w:val="none"/>
              </w:rPr>
              <w:t>分</w:t>
            </w:r>
          </w:p>
        </w:tc>
      </w:tr>
    </w:tbl>
    <w:p>
      <w:pPr>
        <w:numPr>
          <w:ilvl w:val="0"/>
          <w:numId w:val="0"/>
        </w:numPr>
        <w:snapToGrid w:val="0"/>
        <w:spacing w:line="360" w:lineRule="auto"/>
        <w:rPr>
          <w:rFonts w:hint="eastAsia" w:ascii="宋体" w:hAnsi="宋体" w:cs="宋体"/>
          <w:color w:val="auto"/>
          <w:szCs w:val="21"/>
          <w:highlight w:val="none"/>
        </w:rPr>
      </w:pPr>
    </w:p>
    <w:p>
      <w:pPr>
        <w:keepNext w:val="0"/>
        <w:keepLines w:val="0"/>
        <w:pageBreakBefore w:val="0"/>
        <w:widowControl w:val="0"/>
        <w:kinsoku/>
        <w:wordWrap/>
        <w:overflowPunct/>
        <w:topLinePunct w:val="0"/>
        <w:autoSpaceDE/>
        <w:autoSpaceDN/>
        <w:bidi w:val="0"/>
        <w:adjustRightInd w:val="0"/>
        <w:snapToGrid/>
        <w:jc w:val="left"/>
        <w:textAlignment w:val="auto"/>
        <w:rPr>
          <w:rFonts w:hint="eastAsia" w:ascii="宋体" w:hAnsi="宋体" w:eastAsia="宋体" w:cs="宋体"/>
          <w:b/>
          <w:bCs/>
          <w:color w:val="auto"/>
          <w:kern w:val="0"/>
          <w:sz w:val="28"/>
          <w:szCs w:val="28"/>
          <w:highlight w:val="none"/>
          <w:lang w:val="en-US" w:eastAsia="zh-CN" w:bidi="ar"/>
        </w:rPr>
      </w:pPr>
    </w:p>
    <w:p>
      <w:pPr>
        <w:keepNext w:val="0"/>
        <w:keepLines w:val="0"/>
        <w:pageBreakBefore w:val="0"/>
        <w:widowControl w:val="0"/>
        <w:kinsoku/>
        <w:wordWrap/>
        <w:overflowPunct/>
        <w:topLinePunct w:val="0"/>
        <w:autoSpaceDE/>
        <w:autoSpaceDN/>
        <w:bidi w:val="0"/>
        <w:adjustRightInd w:val="0"/>
        <w:snapToGrid/>
        <w:jc w:val="left"/>
        <w:textAlignment w:val="auto"/>
        <w:rPr>
          <w:rFonts w:hint="default" w:ascii="宋体" w:hAnsi="宋体" w:eastAsia="宋体" w:cs="宋体"/>
          <w:b/>
          <w:bCs/>
          <w:color w:val="auto"/>
          <w:kern w:val="0"/>
          <w:sz w:val="28"/>
          <w:szCs w:val="28"/>
          <w:highlight w:val="none"/>
          <w:lang w:val="en-US" w:eastAsia="zh-CN" w:bidi="ar"/>
        </w:rPr>
      </w:pPr>
      <w:r>
        <w:rPr>
          <w:rFonts w:hint="eastAsia" w:ascii="宋体" w:hAnsi="宋体" w:eastAsia="宋体" w:cs="宋体"/>
          <w:b/>
          <w:bCs/>
          <w:color w:val="auto"/>
          <w:kern w:val="0"/>
          <w:sz w:val="28"/>
          <w:szCs w:val="28"/>
          <w:highlight w:val="none"/>
          <w:lang w:val="en-US" w:eastAsia="zh-CN" w:bidi="ar"/>
        </w:rPr>
        <w:t>标项</w:t>
      </w:r>
      <w:r>
        <w:rPr>
          <w:rFonts w:hint="eastAsia" w:ascii="宋体" w:hAnsi="宋体" w:cs="宋体"/>
          <w:b/>
          <w:bCs/>
          <w:color w:val="auto"/>
          <w:kern w:val="0"/>
          <w:sz w:val="28"/>
          <w:szCs w:val="28"/>
          <w:highlight w:val="none"/>
          <w:lang w:val="en-US" w:eastAsia="zh-CN" w:bidi="ar"/>
        </w:rPr>
        <w:t>三</w:t>
      </w:r>
      <w:r>
        <w:rPr>
          <w:rFonts w:hint="eastAsia" w:ascii="宋体" w:hAnsi="宋体" w:eastAsia="宋体" w:cs="宋体"/>
          <w:b/>
          <w:bCs/>
          <w:color w:val="auto"/>
          <w:kern w:val="0"/>
          <w:sz w:val="28"/>
          <w:szCs w:val="28"/>
          <w:highlight w:val="none"/>
          <w:lang w:val="en-US" w:eastAsia="zh-CN" w:bidi="ar"/>
        </w:rPr>
        <w:t>:</w:t>
      </w:r>
    </w:p>
    <w:tbl>
      <w:tblPr>
        <w:tblStyle w:val="65"/>
        <w:tblpPr w:leftFromText="180" w:rightFromText="180" w:vertAnchor="text" w:horzAnchor="page" w:tblpX="1422" w:tblpY="607"/>
        <w:tblOverlap w:val="never"/>
        <w:tblW w:w="9268" w:type="dxa"/>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091"/>
        <w:gridCol w:w="5626"/>
        <w:gridCol w:w="524"/>
        <w:gridCol w:w="1260"/>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88" w:hRule="atLeast"/>
          <w:tblHeader/>
        </w:trPr>
        <w:tc>
          <w:tcPr>
            <w:tcW w:w="767" w:type="dxa"/>
            <w:vAlign w:val="center"/>
          </w:tcPr>
          <w:p>
            <w:pPr>
              <w:widowControl/>
              <w:snapToGrid w:val="0"/>
              <w:spacing w:line="360" w:lineRule="exact"/>
              <w:jc w:val="center"/>
              <w:rPr>
                <w:rFonts w:ascii="宋体" w:hAnsi="宋体" w:cs="宋体"/>
                <w:b/>
                <w:bCs/>
                <w:color w:val="auto"/>
                <w:kern w:val="0"/>
                <w:szCs w:val="21"/>
                <w:highlight w:val="none"/>
              </w:rPr>
            </w:pPr>
            <w:bookmarkStart w:id="651" w:name="_GoBack"/>
            <w:r>
              <w:rPr>
                <w:rFonts w:hint="eastAsia" w:ascii="宋体" w:hAnsi="宋体" w:cs="宋体"/>
                <w:b/>
                <w:bCs/>
                <w:color w:val="auto"/>
                <w:kern w:val="0"/>
                <w:szCs w:val="21"/>
                <w:highlight w:val="none"/>
              </w:rPr>
              <w:t>序号</w:t>
            </w:r>
          </w:p>
        </w:tc>
        <w:tc>
          <w:tcPr>
            <w:tcW w:w="6717" w:type="dxa"/>
            <w:gridSpan w:val="2"/>
            <w:vAlign w:val="center"/>
          </w:tcPr>
          <w:p>
            <w:pPr>
              <w:snapToGrid w:val="0"/>
              <w:spacing w:line="360" w:lineRule="exact"/>
              <w:jc w:val="center"/>
              <w:rPr>
                <w:rFonts w:ascii="宋体" w:hAnsi="宋体" w:cs="宋体"/>
                <w:b/>
                <w:bCs/>
                <w:color w:val="auto"/>
                <w:szCs w:val="21"/>
                <w:highlight w:val="none"/>
              </w:rPr>
            </w:pPr>
            <w:r>
              <w:rPr>
                <w:rFonts w:hint="eastAsia" w:ascii="宋体" w:hAnsi="宋体" w:cs="宋体"/>
                <w:b/>
                <w:bCs/>
                <w:color w:val="auto"/>
                <w:szCs w:val="21"/>
                <w:highlight w:val="none"/>
              </w:rPr>
              <w:t>评标标准</w:t>
            </w:r>
          </w:p>
        </w:tc>
        <w:tc>
          <w:tcPr>
            <w:tcW w:w="524" w:type="dxa"/>
            <w:vAlign w:val="center"/>
          </w:tcPr>
          <w:p>
            <w:pPr>
              <w:snapToGrid w:val="0"/>
              <w:spacing w:line="360" w:lineRule="exact"/>
              <w:jc w:val="center"/>
              <w:rPr>
                <w:rFonts w:ascii="宋体" w:hAnsi="宋体" w:cs="宋体"/>
                <w:b/>
                <w:bCs/>
                <w:color w:val="auto"/>
                <w:szCs w:val="21"/>
                <w:highlight w:val="none"/>
              </w:rPr>
            </w:pPr>
            <w:r>
              <w:rPr>
                <w:rFonts w:hint="eastAsia" w:ascii="宋体" w:hAnsi="宋体" w:cs="宋体"/>
                <w:b/>
                <w:bCs/>
                <w:color w:val="auto"/>
                <w:szCs w:val="21"/>
                <w:highlight w:val="none"/>
              </w:rPr>
              <w:t>权重</w:t>
            </w:r>
          </w:p>
        </w:tc>
        <w:tc>
          <w:tcPr>
            <w:tcW w:w="1260" w:type="dxa"/>
            <w:vAlign w:val="center"/>
          </w:tcPr>
          <w:p>
            <w:pPr>
              <w:snapToGrid w:val="0"/>
              <w:spacing w:line="360" w:lineRule="exact"/>
              <w:jc w:val="center"/>
              <w:rPr>
                <w:rFonts w:ascii="宋体" w:hAnsi="宋体" w:cs="宋体"/>
                <w:b/>
                <w:bCs/>
                <w:color w:val="auto"/>
                <w:szCs w:val="21"/>
                <w:highlight w:val="none"/>
              </w:rPr>
            </w:pPr>
            <w:r>
              <w:rPr>
                <w:rFonts w:hint="eastAsia" w:ascii="宋体" w:hAnsi="宋体" w:cs="宋体"/>
                <w:b/>
                <w:bCs/>
                <w:color w:val="auto"/>
                <w:szCs w:val="21"/>
                <w:highlight w:val="none"/>
              </w:rPr>
              <w:t>主观分/客观分属性</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9268" w:type="dxa"/>
            <w:gridSpan w:val="5"/>
            <w:vAlign w:val="center"/>
          </w:tcPr>
          <w:p>
            <w:pPr>
              <w:widowControl/>
              <w:spacing w:line="360" w:lineRule="exact"/>
              <w:jc w:val="center"/>
              <w:rPr>
                <w:rFonts w:ascii="宋体" w:hAnsi="宋体" w:cs="宋体"/>
                <w:color w:val="auto"/>
                <w:kern w:val="0"/>
                <w:szCs w:val="21"/>
                <w:highlight w:val="none"/>
              </w:rPr>
            </w:pPr>
            <w:r>
              <w:rPr>
                <w:rFonts w:hint="eastAsia" w:ascii="宋体" w:hAnsi="宋体" w:cs="宋体"/>
                <w:b/>
                <w:bCs/>
                <w:color w:val="auto"/>
                <w:kern w:val="0"/>
                <w:szCs w:val="21"/>
                <w:highlight w:val="none"/>
              </w:rPr>
              <w:t>一、商务技术分（</w:t>
            </w:r>
            <w:r>
              <w:rPr>
                <w:rFonts w:hint="eastAsia" w:ascii="宋体" w:hAnsi="宋体" w:cs="宋体"/>
                <w:b/>
                <w:bCs/>
                <w:color w:val="auto"/>
                <w:kern w:val="0"/>
                <w:szCs w:val="21"/>
                <w:highlight w:val="none"/>
                <w:lang w:val="en-US" w:eastAsia="zh-CN"/>
              </w:rPr>
              <w:t>7</w:t>
            </w:r>
            <w:r>
              <w:rPr>
                <w:rFonts w:hint="eastAsia" w:ascii="宋体" w:hAnsi="宋体" w:cs="宋体"/>
                <w:b/>
                <w:bCs/>
                <w:color w:val="auto"/>
                <w:kern w:val="0"/>
                <w:szCs w:val="21"/>
                <w:highlight w:val="none"/>
              </w:rPr>
              <w:t>0分）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767" w:type="dxa"/>
            <w:vAlign w:val="center"/>
          </w:tcPr>
          <w:p>
            <w:pPr>
              <w:widowControl/>
              <w:snapToGri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1091" w:type="dxa"/>
            <w:vAlign w:val="center"/>
          </w:tcPr>
          <w:p>
            <w:pPr>
              <w:pStyle w:val="515"/>
              <w:spacing w:line="360" w:lineRule="exact"/>
              <w:ind w:firstLine="0" w:firstLineChars="0"/>
              <w:jc w:val="center"/>
              <w:rPr>
                <w:rFonts w:ascii="宋体" w:hAnsi="宋体" w:cs="宋体"/>
                <w:color w:val="auto"/>
                <w:kern w:val="2"/>
                <w:sz w:val="21"/>
                <w:szCs w:val="21"/>
                <w:highlight w:val="none"/>
                <w:lang w:bidi="ar"/>
              </w:rPr>
            </w:pPr>
            <w:r>
              <w:rPr>
                <w:rFonts w:hint="eastAsia" w:ascii="宋体" w:hAnsi="宋体" w:cs="宋体"/>
                <w:color w:val="auto"/>
                <w:sz w:val="21"/>
                <w:szCs w:val="21"/>
                <w:highlight w:val="none"/>
              </w:rPr>
              <w:t>性能指标（30分）</w:t>
            </w:r>
          </w:p>
        </w:tc>
        <w:tc>
          <w:tcPr>
            <w:tcW w:w="5626" w:type="dxa"/>
            <w:vAlign w:val="center"/>
          </w:tcPr>
          <w:p>
            <w:pPr>
              <w:adjustRightInd/>
              <w:spacing w:line="360" w:lineRule="exact"/>
              <w:rPr>
                <w:rFonts w:ascii="宋体" w:hAnsi="宋体" w:cs="宋体"/>
                <w:color w:val="auto"/>
                <w:szCs w:val="21"/>
                <w:highlight w:val="none"/>
                <w:lang w:bidi="ar"/>
              </w:rPr>
            </w:pPr>
            <w:r>
              <w:rPr>
                <w:rFonts w:hint="eastAsia" w:ascii="宋体" w:hAnsi="宋体" w:cs="宋体"/>
                <w:color w:val="auto"/>
                <w:szCs w:val="21"/>
                <w:highlight w:val="none"/>
              </w:rPr>
              <w:t>根据投标单位提供设备的功能和技术参数进行打分,技术参数完全符合“技术参数要求”，没有负偏离的得30分，带★ 的参数为重要指标，每负偏一项扣2分，其他未标注符号的技术参数每负偏一项减1分，</w:t>
            </w:r>
            <w:r>
              <w:rPr>
                <w:rFonts w:hint="eastAsia" w:ascii="宋体" w:hAnsi="宋体" w:cs="宋体"/>
                <w:bCs/>
                <w:color w:val="auto"/>
                <w:szCs w:val="21"/>
                <w:highlight w:val="none"/>
              </w:rPr>
              <w:t>扣分至0分及以下的，其投标文件作无效标处理。</w:t>
            </w:r>
          </w:p>
        </w:tc>
        <w:tc>
          <w:tcPr>
            <w:tcW w:w="524" w:type="dxa"/>
            <w:vAlign w:val="center"/>
          </w:tcPr>
          <w:p>
            <w:pPr>
              <w:widowControl/>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30</w:t>
            </w:r>
          </w:p>
        </w:tc>
        <w:tc>
          <w:tcPr>
            <w:tcW w:w="1260" w:type="dxa"/>
            <w:vAlign w:val="center"/>
          </w:tcPr>
          <w:p>
            <w:pPr>
              <w:widowControl/>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客观分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7" w:type="dxa"/>
            <w:vMerge w:val="restart"/>
            <w:vAlign w:val="center"/>
          </w:tcPr>
          <w:p>
            <w:pPr>
              <w:widowControl/>
              <w:snapToGri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1091" w:type="dxa"/>
            <w:vMerge w:val="restart"/>
            <w:vAlign w:val="center"/>
          </w:tcPr>
          <w:p>
            <w:pPr>
              <w:widowControl/>
              <w:spacing w:line="360" w:lineRule="exact"/>
              <w:jc w:val="center"/>
              <w:rPr>
                <w:rFonts w:ascii="宋体" w:hAnsi="宋体" w:cs="宋体"/>
                <w:color w:val="auto"/>
                <w:szCs w:val="21"/>
                <w:highlight w:val="none"/>
              </w:rPr>
            </w:pPr>
            <w:r>
              <w:rPr>
                <w:rFonts w:hint="eastAsia" w:ascii="宋体" w:hAnsi="宋体" w:cs="宋体"/>
                <w:color w:val="auto"/>
                <w:szCs w:val="21"/>
                <w:highlight w:val="none"/>
                <w:lang w:bidi="ar"/>
              </w:rPr>
              <w:t>项目实施方案（</w:t>
            </w:r>
            <w:r>
              <w:rPr>
                <w:rFonts w:hint="eastAsia" w:ascii="宋体" w:hAnsi="宋体" w:cs="宋体"/>
                <w:color w:val="auto"/>
                <w:szCs w:val="21"/>
                <w:highlight w:val="none"/>
                <w:lang w:val="en-US" w:eastAsia="zh-CN" w:bidi="ar"/>
              </w:rPr>
              <w:t>16</w:t>
            </w:r>
            <w:r>
              <w:rPr>
                <w:rFonts w:hint="eastAsia" w:ascii="宋体" w:hAnsi="宋体" w:cs="宋体"/>
                <w:color w:val="auto"/>
                <w:szCs w:val="21"/>
                <w:highlight w:val="none"/>
                <w:lang w:bidi="ar"/>
              </w:rPr>
              <w:t>分）</w:t>
            </w:r>
          </w:p>
        </w:tc>
        <w:tc>
          <w:tcPr>
            <w:tcW w:w="5626" w:type="dxa"/>
            <w:vAlign w:val="center"/>
          </w:tcPr>
          <w:p>
            <w:pPr>
              <w:spacing w:line="360" w:lineRule="exact"/>
              <w:rPr>
                <w:rFonts w:ascii="宋体" w:hAnsi="宋体" w:cs="宋体"/>
                <w:color w:val="auto"/>
                <w:szCs w:val="21"/>
                <w:highlight w:val="none"/>
                <w:lang w:bidi="ar"/>
              </w:rPr>
            </w:pPr>
            <w:r>
              <w:rPr>
                <w:rFonts w:hint="eastAsia" w:ascii="宋体" w:hAnsi="宋体" w:cs="宋体"/>
                <w:color w:val="auto"/>
                <w:szCs w:val="21"/>
                <w:highlight w:val="none"/>
                <w:lang w:bidi="ar"/>
              </w:rPr>
              <w:t>施工组织方案（5分）评委根据投标人提供的投标文件，对其针对本项目制定的施工组织方案进行评审：方案描述完整、详尽、清楚、适用性强的得5分，方案描述较完整、适用性较强的得3分，方案描述基本完整、适用性一般的得1分，方案描述欠缺、适用性差的得0分，未提供本项内容的不得分。</w:t>
            </w:r>
          </w:p>
        </w:tc>
        <w:tc>
          <w:tcPr>
            <w:tcW w:w="524" w:type="dxa"/>
            <w:vAlign w:val="center"/>
          </w:tcPr>
          <w:p>
            <w:pPr>
              <w:widowControl/>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c>
          <w:tcPr>
            <w:tcW w:w="1260" w:type="dxa"/>
            <w:vAlign w:val="center"/>
          </w:tcPr>
          <w:p>
            <w:pPr>
              <w:widowControl/>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主观分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767" w:type="dxa"/>
            <w:vMerge w:val="continue"/>
            <w:vAlign w:val="center"/>
          </w:tcPr>
          <w:p>
            <w:pPr>
              <w:widowControl/>
              <w:snapToGrid w:val="0"/>
              <w:spacing w:line="360" w:lineRule="exact"/>
              <w:jc w:val="center"/>
              <w:rPr>
                <w:rFonts w:ascii="宋体" w:hAnsi="宋体" w:cs="宋体"/>
                <w:color w:val="auto"/>
                <w:kern w:val="0"/>
                <w:szCs w:val="21"/>
                <w:highlight w:val="none"/>
              </w:rPr>
            </w:pPr>
          </w:p>
        </w:tc>
        <w:tc>
          <w:tcPr>
            <w:tcW w:w="1091" w:type="dxa"/>
            <w:vMerge w:val="continue"/>
            <w:vAlign w:val="center"/>
          </w:tcPr>
          <w:p>
            <w:pPr>
              <w:widowControl/>
              <w:spacing w:line="360" w:lineRule="exact"/>
              <w:jc w:val="center"/>
              <w:rPr>
                <w:rFonts w:ascii="宋体" w:hAnsi="宋体" w:cs="宋体"/>
                <w:color w:val="auto"/>
                <w:szCs w:val="21"/>
                <w:highlight w:val="none"/>
              </w:rPr>
            </w:pPr>
          </w:p>
        </w:tc>
        <w:tc>
          <w:tcPr>
            <w:tcW w:w="5626" w:type="dxa"/>
            <w:vAlign w:val="center"/>
          </w:tcPr>
          <w:p>
            <w:pPr>
              <w:spacing w:line="360" w:lineRule="exact"/>
              <w:rPr>
                <w:rFonts w:ascii="宋体" w:hAnsi="宋体" w:cs="宋体"/>
                <w:color w:val="auto"/>
                <w:szCs w:val="21"/>
                <w:highlight w:val="none"/>
                <w:lang w:bidi="ar"/>
              </w:rPr>
            </w:pPr>
            <w:r>
              <w:rPr>
                <w:rFonts w:hint="eastAsia" w:ascii="宋体" w:hAnsi="宋体" w:cs="宋体"/>
                <w:color w:val="auto"/>
                <w:szCs w:val="21"/>
                <w:highlight w:val="none"/>
                <w:lang w:bidi="ar"/>
              </w:rPr>
              <w:t>安全保障措施（</w:t>
            </w:r>
            <w:r>
              <w:rPr>
                <w:rFonts w:hint="eastAsia" w:ascii="宋体" w:hAnsi="宋体" w:cs="宋体"/>
                <w:color w:val="auto"/>
                <w:szCs w:val="21"/>
                <w:highlight w:val="none"/>
                <w:lang w:val="en-US" w:eastAsia="zh-CN" w:bidi="ar"/>
              </w:rPr>
              <w:t>5</w:t>
            </w:r>
            <w:r>
              <w:rPr>
                <w:rFonts w:hint="eastAsia" w:ascii="宋体" w:hAnsi="宋体" w:cs="宋体"/>
                <w:color w:val="auto"/>
                <w:szCs w:val="21"/>
                <w:highlight w:val="none"/>
                <w:lang w:bidi="ar"/>
              </w:rPr>
              <w:t>分）评委根据投标人提供的投标文件，对其针对本项目制定的施工期间安全保障措施进行评审：措施完整、内容全面、操作性强的得</w:t>
            </w:r>
            <w:r>
              <w:rPr>
                <w:rFonts w:hint="eastAsia" w:ascii="宋体" w:hAnsi="宋体" w:cs="宋体"/>
                <w:color w:val="auto"/>
                <w:szCs w:val="21"/>
                <w:highlight w:val="none"/>
                <w:lang w:val="en-US" w:eastAsia="zh-CN" w:bidi="ar"/>
              </w:rPr>
              <w:t>5</w:t>
            </w:r>
            <w:r>
              <w:rPr>
                <w:rFonts w:hint="eastAsia" w:ascii="宋体" w:hAnsi="宋体" w:cs="宋体"/>
                <w:color w:val="auto"/>
                <w:szCs w:val="21"/>
                <w:highlight w:val="none"/>
                <w:lang w:bidi="ar"/>
              </w:rPr>
              <w:t>分，措施较完整、内容较完整、操作性较强的得3分，措施基本完整、操作性一般、内容基本符合项目要求的得1分，措施内容欠缺、描述笼统、操作性差的得0分，未提供本项内容的不得分。</w:t>
            </w:r>
          </w:p>
        </w:tc>
        <w:tc>
          <w:tcPr>
            <w:tcW w:w="524" w:type="dxa"/>
            <w:vAlign w:val="center"/>
          </w:tcPr>
          <w:p>
            <w:pPr>
              <w:widowControl/>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c>
          <w:tcPr>
            <w:tcW w:w="1260" w:type="dxa"/>
            <w:vAlign w:val="center"/>
          </w:tcPr>
          <w:p>
            <w:pPr>
              <w:widowControl/>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主观分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767" w:type="dxa"/>
            <w:vMerge w:val="continue"/>
            <w:vAlign w:val="center"/>
          </w:tcPr>
          <w:p>
            <w:pPr>
              <w:widowControl/>
              <w:snapToGrid w:val="0"/>
              <w:spacing w:line="360" w:lineRule="exact"/>
              <w:jc w:val="center"/>
              <w:rPr>
                <w:rFonts w:ascii="宋体" w:hAnsi="宋体" w:cs="宋体"/>
                <w:color w:val="auto"/>
                <w:kern w:val="0"/>
                <w:szCs w:val="21"/>
                <w:highlight w:val="none"/>
              </w:rPr>
            </w:pPr>
          </w:p>
        </w:tc>
        <w:tc>
          <w:tcPr>
            <w:tcW w:w="1091" w:type="dxa"/>
            <w:vMerge w:val="continue"/>
            <w:vAlign w:val="center"/>
          </w:tcPr>
          <w:p>
            <w:pPr>
              <w:widowControl/>
              <w:spacing w:line="360" w:lineRule="exact"/>
              <w:jc w:val="center"/>
              <w:rPr>
                <w:rFonts w:ascii="宋体" w:hAnsi="宋体" w:cs="宋体"/>
                <w:color w:val="auto"/>
                <w:szCs w:val="21"/>
                <w:highlight w:val="none"/>
              </w:rPr>
            </w:pPr>
          </w:p>
        </w:tc>
        <w:tc>
          <w:tcPr>
            <w:tcW w:w="5626" w:type="dxa"/>
            <w:vAlign w:val="center"/>
          </w:tcPr>
          <w:p>
            <w:pPr>
              <w:spacing w:line="360" w:lineRule="exact"/>
              <w:rPr>
                <w:rFonts w:ascii="宋体" w:hAnsi="宋体" w:cs="宋体"/>
                <w:color w:val="auto"/>
                <w:szCs w:val="21"/>
                <w:highlight w:val="none"/>
                <w:lang w:bidi="ar"/>
              </w:rPr>
            </w:pPr>
            <w:r>
              <w:rPr>
                <w:rFonts w:hint="eastAsia" w:ascii="宋体" w:hAnsi="宋体" w:cs="宋体"/>
                <w:color w:val="auto"/>
                <w:szCs w:val="21"/>
                <w:highlight w:val="none"/>
                <w:lang w:bidi="ar"/>
              </w:rPr>
              <w:t>质量保障措施（3分）：评委根据投标人提供的投标文件，对其针对本项目制定的质量保障措施进行评审：措施完整、内容全面、操作性强的得3分，措施较完整、内容较完整、操作性较强的得2分，措施基本完整、操作性一般、内容基本符合项目要求的得1分，措施内容欠缺、描述笼统、操作性差的得0分，未提供本项内容的不得分。</w:t>
            </w:r>
          </w:p>
        </w:tc>
        <w:tc>
          <w:tcPr>
            <w:tcW w:w="524" w:type="dxa"/>
            <w:vAlign w:val="center"/>
          </w:tcPr>
          <w:p>
            <w:pPr>
              <w:widowControl/>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1260" w:type="dxa"/>
            <w:vAlign w:val="center"/>
          </w:tcPr>
          <w:p>
            <w:pPr>
              <w:widowControl/>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主观分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7" w:type="dxa"/>
            <w:vMerge w:val="continue"/>
            <w:vAlign w:val="center"/>
          </w:tcPr>
          <w:p>
            <w:pPr>
              <w:widowControl/>
              <w:snapToGrid w:val="0"/>
              <w:spacing w:line="360" w:lineRule="exact"/>
              <w:jc w:val="center"/>
              <w:rPr>
                <w:rFonts w:ascii="宋体" w:hAnsi="宋体" w:cs="宋体"/>
                <w:color w:val="auto"/>
                <w:kern w:val="0"/>
                <w:szCs w:val="21"/>
                <w:highlight w:val="none"/>
              </w:rPr>
            </w:pPr>
          </w:p>
        </w:tc>
        <w:tc>
          <w:tcPr>
            <w:tcW w:w="1091" w:type="dxa"/>
            <w:vMerge w:val="continue"/>
            <w:vAlign w:val="center"/>
          </w:tcPr>
          <w:p>
            <w:pPr>
              <w:widowControl/>
              <w:spacing w:line="360" w:lineRule="exact"/>
              <w:jc w:val="center"/>
              <w:rPr>
                <w:rFonts w:ascii="宋体" w:hAnsi="宋体" w:cs="宋体"/>
                <w:color w:val="auto"/>
                <w:szCs w:val="21"/>
                <w:highlight w:val="none"/>
              </w:rPr>
            </w:pPr>
          </w:p>
        </w:tc>
        <w:tc>
          <w:tcPr>
            <w:tcW w:w="5626" w:type="dxa"/>
            <w:vAlign w:val="center"/>
          </w:tcPr>
          <w:p>
            <w:pPr>
              <w:adjustRightInd/>
              <w:spacing w:line="400" w:lineRule="exact"/>
              <w:rPr>
                <w:rFonts w:ascii="宋体" w:hAnsi="宋体" w:cs="宋体"/>
                <w:color w:val="auto"/>
                <w:szCs w:val="21"/>
                <w:highlight w:val="none"/>
                <w:lang w:bidi="ar"/>
              </w:rPr>
            </w:pPr>
            <w:r>
              <w:rPr>
                <w:rFonts w:hint="eastAsia" w:ascii="宋体" w:hAnsi="宋体" w:cs="宋体"/>
                <w:color w:val="auto"/>
                <w:kern w:val="0"/>
                <w:szCs w:val="21"/>
                <w:highlight w:val="none"/>
              </w:rPr>
              <w:t>项目进度安排（3分）（包括项目管理、项目组织结构、</w:t>
            </w:r>
            <w:r>
              <w:rPr>
                <w:rFonts w:hint="eastAsia" w:ascii="宋体" w:hAnsi="宋体" w:cs="宋体"/>
                <w:color w:val="auto"/>
                <w:szCs w:val="21"/>
                <w:highlight w:val="none"/>
              </w:rPr>
              <w:t>组织措施、进度计划，工期</w:t>
            </w:r>
            <w:r>
              <w:rPr>
                <w:rFonts w:hint="eastAsia" w:ascii="宋体" w:hAnsi="宋体" w:cs="宋体"/>
                <w:color w:val="auto"/>
                <w:kern w:val="0"/>
                <w:szCs w:val="21"/>
                <w:highlight w:val="none"/>
              </w:rPr>
              <w:t>）的评议，方案完善、操作性强、符合项目实际的得3</w:t>
            </w:r>
            <w:r>
              <w:rPr>
                <w:rFonts w:hint="eastAsia" w:ascii="宋体" w:hAnsi="宋体" w:cs="宋体"/>
                <w:color w:val="auto"/>
                <w:kern w:val="0"/>
                <w:szCs w:val="21"/>
                <w:highlight w:val="none"/>
                <w:lang w:val="zh-CN"/>
              </w:rPr>
              <w:t>分；</w:t>
            </w:r>
            <w:r>
              <w:rPr>
                <w:rFonts w:hint="eastAsia" w:ascii="宋体" w:hAnsi="宋体" w:cs="宋体"/>
                <w:color w:val="auto"/>
                <w:kern w:val="0"/>
                <w:szCs w:val="21"/>
                <w:highlight w:val="none"/>
              </w:rPr>
              <w:t>方案笼统、操作性较强、较符合项目实际的得2分</w:t>
            </w:r>
            <w:r>
              <w:rPr>
                <w:rFonts w:hint="eastAsia" w:ascii="宋体" w:hAnsi="宋体" w:cs="宋体"/>
                <w:color w:val="auto"/>
                <w:kern w:val="0"/>
                <w:szCs w:val="21"/>
                <w:highlight w:val="none"/>
                <w:lang w:val="zh-CN"/>
              </w:rPr>
              <w:t>；</w:t>
            </w:r>
            <w:r>
              <w:rPr>
                <w:rFonts w:hint="eastAsia" w:ascii="宋体" w:hAnsi="宋体" w:cs="宋体"/>
                <w:color w:val="auto"/>
                <w:kern w:val="0"/>
                <w:szCs w:val="21"/>
                <w:highlight w:val="none"/>
              </w:rPr>
              <w:t>方案考虑不够充分的得1分；未提供的得0分。</w:t>
            </w:r>
          </w:p>
        </w:tc>
        <w:tc>
          <w:tcPr>
            <w:tcW w:w="524" w:type="dxa"/>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1260" w:type="dxa"/>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主观分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135" w:hRule="atLeast"/>
        </w:trPr>
        <w:tc>
          <w:tcPr>
            <w:tcW w:w="767" w:type="dxa"/>
            <w:vMerge w:val="restart"/>
            <w:vAlign w:val="center"/>
          </w:tcPr>
          <w:p>
            <w:pPr>
              <w:widowControl/>
              <w:snapToGri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1091" w:type="dxa"/>
            <w:vMerge w:val="restart"/>
            <w:vAlign w:val="center"/>
          </w:tcPr>
          <w:p>
            <w:pPr>
              <w:adjustRightInd/>
              <w:spacing w:before="31" w:after="31" w:line="400" w:lineRule="exact"/>
              <w:rPr>
                <w:rFonts w:ascii="宋体" w:hAnsi="宋体" w:cs="宋体"/>
                <w:color w:val="auto"/>
                <w:szCs w:val="21"/>
                <w:highlight w:val="none"/>
              </w:rPr>
            </w:pPr>
            <w:r>
              <w:rPr>
                <w:rFonts w:hint="eastAsia" w:ascii="宋体" w:hAnsi="宋体" w:cs="宋体"/>
                <w:color w:val="auto"/>
                <w:szCs w:val="21"/>
                <w:highlight w:val="none"/>
              </w:rPr>
              <w:t>售后服务方案（</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分）</w:t>
            </w:r>
          </w:p>
        </w:tc>
        <w:tc>
          <w:tcPr>
            <w:tcW w:w="5626" w:type="dxa"/>
            <w:vAlign w:val="center"/>
          </w:tcPr>
          <w:p>
            <w:pPr>
              <w:adjustRightInd/>
              <w:spacing w:before="31" w:after="31" w:line="400" w:lineRule="exact"/>
              <w:rPr>
                <w:rFonts w:ascii="宋体" w:hAnsi="宋体" w:cs="宋体"/>
                <w:b/>
                <w:color w:val="auto"/>
                <w:szCs w:val="21"/>
                <w:highlight w:val="none"/>
              </w:rPr>
            </w:pPr>
            <w:r>
              <w:rPr>
                <w:rFonts w:hint="eastAsia" w:ascii="宋体" w:hAnsi="宋体" w:cs="宋体"/>
                <w:color w:val="auto"/>
                <w:szCs w:val="21"/>
                <w:highlight w:val="none"/>
                <w:lang w:val="zh-CN"/>
              </w:rPr>
              <w:t>根据投标人提供的售后服务方案（</w:t>
            </w:r>
            <w:r>
              <w:rPr>
                <w:rFonts w:hint="eastAsia" w:ascii="宋体" w:hAnsi="宋体" w:cs="宋体"/>
                <w:color w:val="auto"/>
                <w:szCs w:val="21"/>
                <w:highlight w:val="none"/>
              </w:rPr>
              <w:t>包含运行维护方案、紧急故障处理预案</w:t>
            </w:r>
            <w:r>
              <w:rPr>
                <w:rFonts w:hint="eastAsia" w:ascii="宋体" w:hAnsi="宋体" w:cs="宋体"/>
                <w:color w:val="auto"/>
                <w:szCs w:val="21"/>
                <w:highlight w:val="none"/>
                <w:lang w:val="zh-CN"/>
              </w:rPr>
              <w:t>），方案完善、操作性强、符合项目实际的得</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val="zh-CN"/>
              </w:rPr>
              <w:t>分；方案笼统、操作性较强、较符合项目实际的得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val="zh-CN"/>
              </w:rPr>
              <w:t>分；方案考虑不够充分</w:t>
            </w:r>
            <w:r>
              <w:rPr>
                <w:rFonts w:hint="eastAsia" w:ascii="宋体" w:hAnsi="宋体" w:cs="宋体"/>
                <w:color w:val="auto"/>
                <w:szCs w:val="21"/>
                <w:highlight w:val="none"/>
                <w:lang w:val="en-US" w:eastAsia="zh-CN"/>
              </w:rPr>
              <w:t>或</w:t>
            </w:r>
            <w:r>
              <w:rPr>
                <w:rFonts w:hint="eastAsia" w:ascii="宋体" w:hAnsi="宋体" w:cs="宋体"/>
                <w:color w:val="auto"/>
                <w:szCs w:val="21"/>
                <w:highlight w:val="none"/>
                <w:lang w:val="zh-CN"/>
              </w:rPr>
              <w:t>未提供的得0分。</w:t>
            </w:r>
          </w:p>
        </w:tc>
        <w:tc>
          <w:tcPr>
            <w:tcW w:w="524" w:type="dxa"/>
            <w:vAlign w:val="center"/>
          </w:tcPr>
          <w:p>
            <w:pPr>
              <w:widowControl/>
              <w:spacing w:line="400" w:lineRule="exact"/>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val="en-US" w:eastAsia="zh-CN"/>
              </w:rPr>
              <w:t>3</w:t>
            </w:r>
          </w:p>
        </w:tc>
        <w:tc>
          <w:tcPr>
            <w:tcW w:w="1260" w:type="dxa"/>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主观分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135" w:hRule="atLeast"/>
        </w:trPr>
        <w:tc>
          <w:tcPr>
            <w:tcW w:w="767" w:type="dxa"/>
            <w:vMerge w:val="continue"/>
            <w:vAlign w:val="center"/>
          </w:tcPr>
          <w:p>
            <w:pPr>
              <w:widowControl/>
              <w:snapToGrid w:val="0"/>
              <w:spacing w:line="360" w:lineRule="exact"/>
              <w:jc w:val="center"/>
              <w:rPr>
                <w:rFonts w:ascii="宋体" w:hAnsi="宋体" w:cs="宋体"/>
                <w:color w:val="auto"/>
                <w:kern w:val="0"/>
                <w:szCs w:val="21"/>
                <w:highlight w:val="none"/>
              </w:rPr>
            </w:pPr>
          </w:p>
        </w:tc>
        <w:tc>
          <w:tcPr>
            <w:tcW w:w="1091" w:type="dxa"/>
            <w:vMerge w:val="continue"/>
            <w:vAlign w:val="center"/>
          </w:tcPr>
          <w:p>
            <w:pPr>
              <w:adjustRightInd/>
              <w:spacing w:before="31" w:after="31" w:line="400" w:lineRule="exact"/>
              <w:rPr>
                <w:rFonts w:ascii="宋体" w:hAnsi="宋体" w:cs="宋体"/>
                <w:color w:val="auto"/>
                <w:szCs w:val="21"/>
                <w:highlight w:val="none"/>
              </w:rPr>
            </w:pPr>
          </w:p>
        </w:tc>
        <w:tc>
          <w:tcPr>
            <w:tcW w:w="5626" w:type="dxa"/>
            <w:vAlign w:val="center"/>
          </w:tcPr>
          <w:p>
            <w:pPr>
              <w:adjustRightInd/>
              <w:spacing w:before="31" w:after="31" w:line="400" w:lineRule="exact"/>
              <w:rPr>
                <w:rFonts w:ascii="宋体" w:hAnsi="宋体" w:cs="宋体"/>
                <w:b/>
                <w:color w:val="auto"/>
                <w:szCs w:val="21"/>
                <w:highlight w:val="none"/>
              </w:rPr>
            </w:pPr>
            <w:r>
              <w:rPr>
                <w:rFonts w:hint="eastAsia" w:ascii="宋体" w:hAnsi="宋体" w:cs="宋体"/>
                <w:color w:val="auto"/>
                <w:szCs w:val="21"/>
                <w:highlight w:val="none"/>
                <w:lang w:val="zh-CN"/>
              </w:rPr>
              <w:t>根据投标人提供的售后服务方案（</w:t>
            </w:r>
            <w:r>
              <w:rPr>
                <w:rFonts w:hint="eastAsia" w:ascii="宋体" w:hAnsi="宋体" w:cs="宋体"/>
                <w:color w:val="auto"/>
                <w:szCs w:val="21"/>
                <w:highlight w:val="none"/>
              </w:rPr>
              <w:t>包含响应能力、服务响应时间、故障恢复时间</w:t>
            </w:r>
            <w:r>
              <w:rPr>
                <w:rFonts w:hint="eastAsia" w:ascii="宋体" w:hAnsi="宋体" w:cs="宋体"/>
                <w:color w:val="auto"/>
                <w:szCs w:val="21"/>
                <w:highlight w:val="none"/>
                <w:lang w:val="zh-CN"/>
              </w:rPr>
              <w:t>），</w:t>
            </w:r>
            <w:r>
              <w:rPr>
                <w:rFonts w:hint="eastAsia" w:ascii="宋体" w:hAnsi="宋体" w:cs="宋体"/>
                <w:color w:val="auto"/>
                <w:szCs w:val="21"/>
                <w:highlight w:val="none"/>
              </w:rPr>
              <w:t>响应时间快捷</w:t>
            </w:r>
            <w:r>
              <w:rPr>
                <w:rFonts w:hint="eastAsia" w:ascii="宋体" w:hAnsi="宋体" w:cs="宋体"/>
                <w:color w:val="auto"/>
                <w:szCs w:val="21"/>
                <w:highlight w:val="none"/>
                <w:lang w:val="zh-CN"/>
              </w:rPr>
              <w:t>的得</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val="zh-CN"/>
              </w:rPr>
              <w:t>分；</w:t>
            </w:r>
            <w:r>
              <w:rPr>
                <w:rFonts w:hint="eastAsia" w:ascii="宋体" w:hAnsi="宋体" w:cs="宋体"/>
                <w:color w:val="auto"/>
                <w:szCs w:val="21"/>
                <w:highlight w:val="none"/>
              </w:rPr>
              <w:t>响应时间较快捷</w:t>
            </w:r>
            <w:r>
              <w:rPr>
                <w:rFonts w:hint="eastAsia" w:ascii="宋体" w:hAnsi="宋体" w:cs="宋体"/>
                <w:color w:val="auto"/>
                <w:szCs w:val="21"/>
                <w:highlight w:val="none"/>
                <w:lang w:val="zh-CN"/>
              </w:rPr>
              <w:t>的得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val="zh-CN"/>
              </w:rPr>
              <w:t>分；</w:t>
            </w:r>
            <w:r>
              <w:rPr>
                <w:rFonts w:hint="eastAsia" w:ascii="宋体" w:hAnsi="宋体" w:cs="宋体"/>
                <w:color w:val="auto"/>
                <w:szCs w:val="21"/>
                <w:highlight w:val="none"/>
              </w:rPr>
              <w:t>响应时间滞缓</w:t>
            </w:r>
            <w:r>
              <w:rPr>
                <w:rFonts w:hint="eastAsia" w:ascii="宋体" w:hAnsi="宋体" w:cs="宋体"/>
                <w:color w:val="auto"/>
                <w:szCs w:val="21"/>
                <w:highlight w:val="none"/>
                <w:lang w:val="en-US" w:eastAsia="zh-CN"/>
              </w:rPr>
              <w:t>或</w:t>
            </w:r>
            <w:r>
              <w:rPr>
                <w:rFonts w:hint="eastAsia" w:ascii="宋体" w:hAnsi="宋体" w:cs="宋体"/>
                <w:color w:val="auto"/>
                <w:szCs w:val="21"/>
                <w:highlight w:val="none"/>
                <w:lang w:val="zh-CN"/>
              </w:rPr>
              <w:t>未提供</w:t>
            </w:r>
            <w:r>
              <w:rPr>
                <w:rFonts w:hint="eastAsia" w:ascii="宋体" w:hAnsi="宋体" w:cs="宋体"/>
                <w:color w:val="auto"/>
                <w:szCs w:val="21"/>
                <w:highlight w:val="none"/>
              </w:rPr>
              <w:t>响应</w:t>
            </w:r>
            <w:r>
              <w:rPr>
                <w:rFonts w:hint="eastAsia" w:ascii="宋体" w:hAnsi="宋体" w:cs="宋体"/>
                <w:color w:val="auto"/>
                <w:szCs w:val="21"/>
                <w:highlight w:val="none"/>
                <w:lang w:val="zh-CN"/>
              </w:rPr>
              <w:t>方案的得0分。</w:t>
            </w:r>
          </w:p>
        </w:tc>
        <w:tc>
          <w:tcPr>
            <w:tcW w:w="524" w:type="dxa"/>
            <w:vAlign w:val="center"/>
          </w:tcPr>
          <w:p>
            <w:pPr>
              <w:widowControl/>
              <w:spacing w:line="400" w:lineRule="exact"/>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3</w:t>
            </w:r>
          </w:p>
        </w:tc>
        <w:tc>
          <w:tcPr>
            <w:tcW w:w="1260" w:type="dxa"/>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主观分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387" w:hRule="atLeast"/>
        </w:trPr>
        <w:tc>
          <w:tcPr>
            <w:tcW w:w="767" w:type="dxa"/>
            <w:vMerge w:val="continue"/>
            <w:vAlign w:val="center"/>
          </w:tcPr>
          <w:p>
            <w:pPr>
              <w:widowControl/>
              <w:snapToGrid w:val="0"/>
              <w:spacing w:line="360" w:lineRule="exact"/>
              <w:jc w:val="center"/>
              <w:rPr>
                <w:rFonts w:ascii="宋体" w:hAnsi="宋体" w:cs="宋体"/>
                <w:color w:val="auto"/>
                <w:kern w:val="0"/>
                <w:szCs w:val="21"/>
                <w:highlight w:val="none"/>
              </w:rPr>
            </w:pPr>
          </w:p>
        </w:tc>
        <w:tc>
          <w:tcPr>
            <w:tcW w:w="1091" w:type="dxa"/>
            <w:vMerge w:val="continue"/>
            <w:vAlign w:val="center"/>
          </w:tcPr>
          <w:p>
            <w:pPr>
              <w:adjustRightInd/>
              <w:spacing w:before="31" w:after="31" w:line="400" w:lineRule="exact"/>
              <w:rPr>
                <w:rFonts w:ascii="宋体" w:hAnsi="宋体" w:cs="宋体"/>
                <w:color w:val="auto"/>
                <w:szCs w:val="21"/>
                <w:highlight w:val="none"/>
              </w:rPr>
            </w:pPr>
          </w:p>
        </w:tc>
        <w:tc>
          <w:tcPr>
            <w:tcW w:w="5626" w:type="dxa"/>
            <w:vAlign w:val="center"/>
          </w:tcPr>
          <w:p>
            <w:pPr>
              <w:adjustRightInd/>
              <w:spacing w:before="31" w:after="31" w:line="400" w:lineRule="exact"/>
              <w:rPr>
                <w:rFonts w:ascii="宋体" w:hAnsi="宋体" w:cs="宋体"/>
                <w:b/>
                <w:color w:val="auto"/>
                <w:szCs w:val="21"/>
                <w:highlight w:val="none"/>
              </w:rPr>
            </w:pPr>
            <w:r>
              <w:rPr>
                <w:rFonts w:hint="eastAsia" w:ascii="宋体" w:hAnsi="宋体" w:cs="宋体"/>
                <w:color w:val="auto"/>
                <w:szCs w:val="21"/>
                <w:highlight w:val="none"/>
              </w:rPr>
              <w:t>根据投标人</w:t>
            </w:r>
            <w:r>
              <w:rPr>
                <w:rFonts w:hint="eastAsia" w:ascii="宋体" w:hAnsi="宋体" w:cs="宋体"/>
                <w:color w:val="auto"/>
                <w:szCs w:val="21"/>
                <w:highlight w:val="none"/>
                <w:lang w:val="zh-CN"/>
              </w:rPr>
              <w:t>提供的培训服务保障体系（包括培训方案、培训目的、培训内容、培训时间安排、培训方式），</w:t>
            </w:r>
            <w:r>
              <w:rPr>
                <w:rFonts w:hint="eastAsia" w:ascii="宋体" w:hAnsi="宋体" w:cs="宋体"/>
                <w:color w:val="auto"/>
                <w:szCs w:val="21"/>
                <w:highlight w:val="none"/>
              </w:rPr>
              <w:t>使采购人能够熟悉系统、独立进行管理、常见故障处理、日常测试维护；</w:t>
            </w:r>
            <w:r>
              <w:rPr>
                <w:rFonts w:hint="eastAsia" w:ascii="宋体" w:hAnsi="宋体" w:cs="宋体"/>
                <w:color w:val="auto"/>
                <w:szCs w:val="21"/>
                <w:highlight w:val="none"/>
                <w:lang w:val="zh-CN"/>
              </w:rPr>
              <w:t>技术指导</w:t>
            </w:r>
            <w:r>
              <w:rPr>
                <w:rFonts w:hint="eastAsia" w:ascii="宋体" w:hAnsi="宋体" w:cs="宋体"/>
                <w:color w:val="auto"/>
                <w:szCs w:val="21"/>
                <w:highlight w:val="none"/>
              </w:rPr>
              <w:t>安排合理的</w:t>
            </w:r>
            <w:r>
              <w:rPr>
                <w:rFonts w:hint="eastAsia" w:ascii="宋体" w:hAnsi="宋体" w:cs="宋体"/>
                <w:color w:val="auto"/>
                <w:szCs w:val="21"/>
                <w:highlight w:val="none"/>
                <w:lang w:val="zh-CN"/>
              </w:rPr>
              <w:t>的得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val="zh-CN"/>
              </w:rPr>
              <w:t>分；较</w:t>
            </w:r>
            <w:r>
              <w:rPr>
                <w:rFonts w:hint="eastAsia" w:ascii="宋体" w:hAnsi="宋体" w:cs="宋体"/>
                <w:color w:val="auto"/>
                <w:szCs w:val="21"/>
                <w:highlight w:val="none"/>
              </w:rPr>
              <w:t>合理</w:t>
            </w:r>
            <w:r>
              <w:rPr>
                <w:rFonts w:hint="eastAsia" w:ascii="宋体" w:hAnsi="宋体" w:cs="宋体"/>
                <w:color w:val="auto"/>
                <w:szCs w:val="21"/>
                <w:highlight w:val="none"/>
                <w:lang w:val="zh-CN"/>
              </w:rPr>
              <w:t>的得</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val="zh-CN"/>
              </w:rPr>
              <w:t>分；</w:t>
            </w:r>
            <w:r>
              <w:rPr>
                <w:rFonts w:hint="eastAsia" w:ascii="宋体" w:hAnsi="宋体" w:cs="宋体"/>
                <w:color w:val="auto"/>
                <w:szCs w:val="21"/>
                <w:highlight w:val="none"/>
              </w:rPr>
              <w:t>安排</w:t>
            </w:r>
            <w:r>
              <w:rPr>
                <w:rFonts w:hint="eastAsia" w:ascii="宋体" w:hAnsi="宋体" w:cs="宋体"/>
                <w:color w:val="auto"/>
                <w:szCs w:val="21"/>
                <w:highlight w:val="none"/>
                <w:lang w:val="zh-CN"/>
              </w:rPr>
              <w:t>笼统的得</w:t>
            </w:r>
            <w:r>
              <w:rPr>
                <w:rFonts w:hint="eastAsia" w:ascii="宋体" w:hAnsi="宋体" w:cs="宋体"/>
                <w:color w:val="auto"/>
                <w:szCs w:val="21"/>
                <w:highlight w:val="none"/>
              </w:rPr>
              <w:t>0.5</w:t>
            </w:r>
            <w:r>
              <w:rPr>
                <w:rFonts w:hint="eastAsia" w:ascii="宋体" w:hAnsi="宋体" w:cs="宋体"/>
                <w:color w:val="auto"/>
                <w:szCs w:val="21"/>
                <w:highlight w:val="none"/>
                <w:lang w:val="zh-CN"/>
              </w:rPr>
              <w:t>分；未提供的得0分。</w:t>
            </w:r>
          </w:p>
        </w:tc>
        <w:tc>
          <w:tcPr>
            <w:tcW w:w="524" w:type="dxa"/>
            <w:vAlign w:val="center"/>
          </w:tcPr>
          <w:p>
            <w:pPr>
              <w:widowControl/>
              <w:spacing w:line="400" w:lineRule="exact"/>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val="en-US" w:eastAsia="zh-CN"/>
              </w:rPr>
              <w:t>2</w:t>
            </w:r>
          </w:p>
        </w:tc>
        <w:tc>
          <w:tcPr>
            <w:tcW w:w="1260" w:type="dxa"/>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主观分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67" w:type="dxa"/>
            <w:vAlign w:val="center"/>
          </w:tcPr>
          <w:p>
            <w:pPr>
              <w:widowControl/>
              <w:snapToGri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1091" w:type="dxa"/>
            <w:vAlign w:val="center"/>
          </w:tcPr>
          <w:p>
            <w:pPr>
              <w:pStyle w:val="515"/>
              <w:spacing w:line="36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同类项目业绩（</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分）</w:t>
            </w:r>
          </w:p>
        </w:tc>
        <w:tc>
          <w:tcPr>
            <w:tcW w:w="5626" w:type="dxa"/>
            <w:vAlign w:val="center"/>
          </w:tcPr>
          <w:p>
            <w:pPr>
              <w:spacing w:line="360" w:lineRule="exact"/>
              <w:rPr>
                <w:rFonts w:ascii="宋体" w:hAnsi="宋体" w:cs="宋体"/>
                <w:color w:val="auto"/>
                <w:szCs w:val="21"/>
                <w:highlight w:val="none"/>
              </w:rPr>
            </w:pPr>
            <w:r>
              <w:rPr>
                <w:rFonts w:hint="eastAsia" w:ascii="宋体" w:hAnsi="宋体" w:cs="宋体"/>
                <w:color w:val="auto"/>
                <w:szCs w:val="21"/>
                <w:highlight w:val="none"/>
                <w:lang w:bidi="ar"/>
              </w:rPr>
              <w:t>2021年1月1日至今（以合同签订之日起算）实施过的项目，</w:t>
            </w:r>
          </w:p>
          <w:p>
            <w:pPr>
              <w:spacing w:line="360" w:lineRule="exact"/>
              <w:rPr>
                <w:rFonts w:ascii="宋体" w:hAnsi="宋体" w:cs="宋体"/>
                <w:color w:val="auto"/>
                <w:szCs w:val="21"/>
                <w:highlight w:val="none"/>
                <w:lang w:bidi="ar"/>
              </w:rPr>
            </w:pPr>
            <w:r>
              <w:rPr>
                <w:rFonts w:hint="eastAsia" w:ascii="宋体" w:hAnsi="宋体" w:cs="宋体"/>
                <w:color w:val="auto"/>
                <w:szCs w:val="21"/>
                <w:highlight w:val="none"/>
                <w:lang w:bidi="ar"/>
              </w:rPr>
              <w:t>每提供一份同类项目案例合同的得1分，最高计</w:t>
            </w:r>
            <w:r>
              <w:rPr>
                <w:rFonts w:hint="eastAsia" w:ascii="宋体" w:hAnsi="宋体" w:cs="宋体"/>
                <w:color w:val="auto"/>
                <w:szCs w:val="21"/>
                <w:highlight w:val="none"/>
                <w:lang w:val="en-US" w:eastAsia="zh-CN" w:bidi="ar"/>
              </w:rPr>
              <w:t>3</w:t>
            </w:r>
            <w:r>
              <w:rPr>
                <w:rFonts w:hint="eastAsia" w:ascii="宋体" w:hAnsi="宋体" w:cs="宋体"/>
                <w:color w:val="auto"/>
                <w:szCs w:val="21"/>
                <w:highlight w:val="none"/>
                <w:lang w:bidi="ar"/>
              </w:rPr>
              <w:t>分。</w:t>
            </w:r>
          </w:p>
          <w:p>
            <w:pPr>
              <w:snapToGrid w:val="0"/>
              <w:spacing w:line="360" w:lineRule="exact"/>
              <w:rPr>
                <w:rFonts w:ascii="宋体" w:hAnsi="宋体" w:cs="宋体"/>
                <w:b/>
                <w:color w:val="auto"/>
                <w:szCs w:val="21"/>
                <w:highlight w:val="none"/>
              </w:rPr>
            </w:pPr>
            <w:r>
              <w:rPr>
                <w:rFonts w:hint="eastAsia" w:ascii="宋体" w:hAnsi="宋体" w:cs="宋体"/>
                <w:b/>
                <w:color w:val="auto"/>
                <w:szCs w:val="21"/>
                <w:highlight w:val="none"/>
              </w:rPr>
              <w:t>备注：</w:t>
            </w:r>
          </w:p>
          <w:p>
            <w:pPr>
              <w:spacing w:line="360" w:lineRule="exact"/>
              <w:rPr>
                <w:rFonts w:ascii="宋体" w:hAnsi="宋体" w:cs="宋体"/>
                <w:color w:val="auto"/>
                <w:szCs w:val="21"/>
                <w:highlight w:val="none"/>
                <w:lang w:bidi="ar"/>
              </w:rPr>
            </w:pPr>
            <w:r>
              <w:rPr>
                <w:rFonts w:hint="eastAsia" w:ascii="宋体" w:hAnsi="宋体" w:cs="宋体"/>
                <w:b/>
                <w:color w:val="auto"/>
                <w:szCs w:val="21"/>
                <w:highlight w:val="none"/>
              </w:rPr>
              <w:t>投标文件中须提供合同复印件（须要有关键页内容）、中标通知书复印件并加盖公章。</w:t>
            </w:r>
            <w:r>
              <w:rPr>
                <w:rFonts w:hint="eastAsia" w:ascii="宋体" w:hAnsi="宋体" w:cs="宋体"/>
                <w:color w:val="auto"/>
                <w:szCs w:val="21"/>
                <w:highlight w:val="none"/>
                <w:lang w:bidi="ar"/>
              </w:rPr>
              <w:t>联合体投标的，联合体各方分别提供与联合体协议中规定的分工内容相应的业绩证明材料，业绩数量以提供材料较少的一方为准。</w:t>
            </w:r>
          </w:p>
        </w:tc>
        <w:tc>
          <w:tcPr>
            <w:tcW w:w="524" w:type="dxa"/>
            <w:vAlign w:val="center"/>
          </w:tcPr>
          <w:p>
            <w:pPr>
              <w:widowControl/>
              <w:spacing w:line="360" w:lineRule="exact"/>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val="en-US" w:eastAsia="zh-CN"/>
              </w:rPr>
              <w:t>3</w:t>
            </w:r>
          </w:p>
        </w:tc>
        <w:tc>
          <w:tcPr>
            <w:tcW w:w="1260" w:type="dxa"/>
            <w:vAlign w:val="center"/>
          </w:tcPr>
          <w:p>
            <w:pPr>
              <w:widowControl/>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客观分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45" w:hRule="atLeast"/>
        </w:trPr>
        <w:tc>
          <w:tcPr>
            <w:tcW w:w="767" w:type="dxa"/>
            <w:vAlign w:val="center"/>
          </w:tcPr>
          <w:p>
            <w:pPr>
              <w:widowControl/>
              <w:snapToGri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c>
          <w:tcPr>
            <w:tcW w:w="1091" w:type="dxa"/>
            <w:vAlign w:val="center"/>
          </w:tcPr>
          <w:p>
            <w:pPr>
              <w:widowControl/>
              <w:spacing w:line="240" w:lineRule="auto"/>
              <w:jc w:val="center"/>
              <w:rPr>
                <w:rFonts w:hint="eastAsia" w:ascii="宋体" w:hAnsi="宋体" w:eastAsia="宋体" w:cs="宋体"/>
                <w:color w:val="auto"/>
                <w:spacing w:val="-5"/>
                <w:kern w:val="0"/>
                <w:sz w:val="21"/>
                <w:szCs w:val="21"/>
                <w:highlight w:val="none"/>
                <w:lang w:val="en-US" w:eastAsia="zh-CN" w:bidi="ar"/>
              </w:rPr>
            </w:pPr>
            <w:r>
              <w:rPr>
                <w:rFonts w:hint="eastAsia" w:ascii="宋体" w:hAnsi="宋体" w:eastAsia="宋体" w:cs="宋体"/>
                <w:color w:val="auto"/>
                <w:spacing w:val="-5"/>
                <w:kern w:val="0"/>
                <w:sz w:val="21"/>
                <w:szCs w:val="21"/>
                <w:highlight w:val="none"/>
                <w:lang w:val="en-US" w:eastAsia="zh-CN" w:bidi="ar"/>
              </w:rPr>
              <w:t>投标人实力（</w:t>
            </w:r>
            <w:r>
              <w:rPr>
                <w:rFonts w:hint="eastAsia" w:ascii="宋体" w:hAnsi="宋体" w:cs="宋体"/>
                <w:color w:val="auto"/>
                <w:spacing w:val="-5"/>
                <w:kern w:val="0"/>
                <w:sz w:val="21"/>
                <w:szCs w:val="21"/>
                <w:highlight w:val="none"/>
                <w:lang w:val="en-US" w:eastAsia="zh-CN" w:bidi="ar"/>
              </w:rPr>
              <w:t>5</w:t>
            </w:r>
            <w:r>
              <w:rPr>
                <w:rFonts w:hint="eastAsia" w:ascii="宋体" w:hAnsi="宋体" w:eastAsia="宋体" w:cs="宋体"/>
                <w:color w:val="auto"/>
                <w:spacing w:val="-5"/>
                <w:kern w:val="0"/>
                <w:sz w:val="21"/>
                <w:szCs w:val="21"/>
                <w:highlight w:val="none"/>
                <w:lang w:val="en-US" w:eastAsia="zh-CN" w:bidi="ar"/>
              </w:rPr>
              <w:t>分）</w:t>
            </w:r>
          </w:p>
        </w:tc>
        <w:tc>
          <w:tcPr>
            <w:tcW w:w="5626" w:type="dxa"/>
            <w:vAlign w:val="center"/>
          </w:tcPr>
          <w:p>
            <w:pPr>
              <w:pStyle w:val="515"/>
              <w:spacing w:line="240" w:lineRule="auto"/>
              <w:ind w:firstLine="0" w:firstLineChars="0"/>
              <w:jc w:val="left"/>
              <w:rPr>
                <w:rFonts w:hint="eastAsia" w:ascii="Times New Roman" w:hAnsi="Times New Roman" w:eastAsia="宋体" w:cs="Times New Roman"/>
                <w:color w:val="auto"/>
                <w:kern w:val="2"/>
                <w:sz w:val="21"/>
                <w:szCs w:val="20"/>
                <w:highlight w:val="none"/>
                <w:lang w:val="en-US" w:eastAsia="zh-CN" w:bidi="ar-SA"/>
              </w:rPr>
            </w:pPr>
            <w:r>
              <w:rPr>
                <w:rFonts w:hint="default" w:ascii="Times New Roman" w:hAnsi="Times New Roman" w:eastAsia="宋体" w:cs="Times New Roman"/>
                <w:color w:val="auto"/>
                <w:kern w:val="2"/>
                <w:sz w:val="21"/>
                <w:szCs w:val="20"/>
                <w:highlight w:val="none"/>
                <w:lang w:val="en-US" w:eastAsia="zh-CN" w:bidi="ar-SA"/>
              </w:rPr>
              <w:t>投标人具备信息技术服务管理体系认证证书（ISO 20000-1）</w:t>
            </w:r>
            <w:r>
              <w:rPr>
                <w:rFonts w:hint="eastAsia" w:ascii="Times New Roman" w:hAnsi="Times New Roman" w:eastAsia="宋体" w:cs="Times New Roman"/>
                <w:color w:val="auto"/>
                <w:kern w:val="2"/>
                <w:sz w:val="21"/>
                <w:szCs w:val="20"/>
                <w:highlight w:val="none"/>
                <w:lang w:val="en-US" w:eastAsia="zh-CN" w:bidi="ar-SA"/>
              </w:rPr>
              <w:t>得1分；</w:t>
            </w:r>
          </w:p>
          <w:p>
            <w:pPr>
              <w:pStyle w:val="515"/>
              <w:spacing w:line="240" w:lineRule="auto"/>
              <w:ind w:firstLine="0" w:firstLineChars="0"/>
              <w:jc w:val="left"/>
              <w:rPr>
                <w:rFonts w:hint="eastAsia" w:ascii="Times New Roman" w:hAnsi="Times New Roman" w:eastAsia="宋体" w:cs="Times New Roman"/>
                <w:color w:val="auto"/>
                <w:kern w:val="2"/>
                <w:sz w:val="21"/>
                <w:szCs w:val="20"/>
                <w:highlight w:val="none"/>
                <w:lang w:val="en-US" w:eastAsia="zh-CN" w:bidi="ar-SA"/>
              </w:rPr>
            </w:pPr>
            <w:r>
              <w:rPr>
                <w:rFonts w:hint="eastAsia" w:ascii="Times New Roman" w:hAnsi="Times New Roman" w:eastAsia="宋体" w:cs="Times New Roman"/>
                <w:color w:val="auto"/>
                <w:kern w:val="2"/>
                <w:sz w:val="21"/>
                <w:szCs w:val="20"/>
                <w:highlight w:val="none"/>
                <w:lang w:val="en-US" w:eastAsia="zh-CN" w:bidi="ar-SA"/>
              </w:rPr>
              <w:t>具备</w:t>
            </w:r>
            <w:r>
              <w:rPr>
                <w:rFonts w:hint="default" w:ascii="Times New Roman" w:hAnsi="Times New Roman" w:eastAsia="宋体" w:cs="Times New Roman"/>
                <w:color w:val="auto"/>
                <w:kern w:val="2"/>
                <w:sz w:val="21"/>
                <w:szCs w:val="20"/>
                <w:highlight w:val="none"/>
                <w:lang w:val="en-US" w:eastAsia="zh-CN" w:bidi="ar-SA"/>
              </w:rPr>
              <w:t>信息安全管理体系认证证书ISO 27001）</w:t>
            </w:r>
            <w:r>
              <w:rPr>
                <w:rFonts w:hint="eastAsia" w:ascii="Times New Roman" w:hAnsi="Times New Roman" w:eastAsia="宋体" w:cs="Times New Roman"/>
                <w:color w:val="auto"/>
                <w:kern w:val="2"/>
                <w:sz w:val="21"/>
                <w:szCs w:val="20"/>
                <w:highlight w:val="none"/>
                <w:lang w:val="en-US" w:eastAsia="zh-CN" w:bidi="ar-SA"/>
              </w:rPr>
              <w:t>得1分；</w:t>
            </w:r>
          </w:p>
          <w:p>
            <w:pPr>
              <w:pStyle w:val="515"/>
              <w:spacing w:line="240" w:lineRule="auto"/>
              <w:ind w:firstLine="0" w:firstLineChars="0"/>
              <w:jc w:val="left"/>
              <w:rPr>
                <w:rFonts w:hint="eastAsia" w:ascii="Times New Roman" w:hAnsi="Times New Roman" w:eastAsia="宋体" w:cs="Times New Roman"/>
                <w:color w:val="auto"/>
                <w:kern w:val="2"/>
                <w:sz w:val="21"/>
                <w:szCs w:val="20"/>
                <w:highlight w:val="none"/>
                <w:lang w:val="en-US" w:eastAsia="zh-CN" w:bidi="ar-SA"/>
              </w:rPr>
            </w:pPr>
            <w:r>
              <w:rPr>
                <w:rFonts w:hint="eastAsia" w:ascii="Times New Roman" w:hAnsi="Times New Roman" w:eastAsia="宋体" w:cs="Times New Roman"/>
                <w:color w:val="auto"/>
                <w:kern w:val="2"/>
                <w:sz w:val="21"/>
                <w:szCs w:val="20"/>
                <w:highlight w:val="none"/>
                <w:lang w:val="en-US" w:eastAsia="zh-CN" w:bidi="ar-SA"/>
              </w:rPr>
              <w:t>具备</w:t>
            </w:r>
            <w:r>
              <w:rPr>
                <w:rFonts w:hint="default" w:ascii="Times New Roman" w:hAnsi="Times New Roman" w:eastAsia="宋体" w:cs="Times New Roman"/>
                <w:color w:val="auto"/>
                <w:kern w:val="2"/>
                <w:sz w:val="21"/>
                <w:szCs w:val="20"/>
                <w:highlight w:val="none"/>
                <w:lang w:val="en-US" w:eastAsia="zh-CN" w:bidi="ar-SA"/>
              </w:rPr>
              <w:t>质量管理体系认证证书（ISO 9001）</w:t>
            </w:r>
            <w:r>
              <w:rPr>
                <w:rFonts w:hint="eastAsia" w:ascii="Times New Roman" w:hAnsi="Times New Roman" w:eastAsia="宋体" w:cs="Times New Roman"/>
                <w:color w:val="auto"/>
                <w:kern w:val="2"/>
                <w:sz w:val="21"/>
                <w:szCs w:val="20"/>
                <w:highlight w:val="none"/>
                <w:lang w:val="en-US" w:eastAsia="zh-CN" w:bidi="ar-SA"/>
              </w:rPr>
              <w:t>得1分；</w:t>
            </w:r>
          </w:p>
          <w:p>
            <w:pPr>
              <w:pStyle w:val="515"/>
              <w:spacing w:line="240" w:lineRule="auto"/>
              <w:ind w:firstLine="0" w:firstLineChars="0"/>
              <w:jc w:val="left"/>
              <w:rPr>
                <w:rFonts w:hint="eastAsia" w:ascii="Times New Roman" w:hAnsi="Times New Roman" w:eastAsia="宋体" w:cs="Times New Roman"/>
                <w:color w:val="auto"/>
                <w:kern w:val="2"/>
                <w:sz w:val="21"/>
                <w:szCs w:val="20"/>
                <w:highlight w:val="none"/>
                <w:lang w:val="en-US" w:eastAsia="zh-CN" w:bidi="ar-SA"/>
              </w:rPr>
            </w:pPr>
            <w:r>
              <w:rPr>
                <w:rFonts w:hint="eastAsia" w:ascii="Times New Roman" w:hAnsi="Times New Roman" w:eastAsia="宋体" w:cs="Times New Roman"/>
                <w:color w:val="auto"/>
                <w:kern w:val="2"/>
                <w:sz w:val="21"/>
                <w:szCs w:val="20"/>
                <w:highlight w:val="none"/>
                <w:lang w:val="en-US" w:eastAsia="zh-CN" w:bidi="ar-SA"/>
              </w:rPr>
              <w:t>具备职业健康安全管理体系认证证书（ISO45001）得1分；</w:t>
            </w:r>
          </w:p>
          <w:p>
            <w:pPr>
              <w:pStyle w:val="515"/>
              <w:spacing w:line="240" w:lineRule="auto"/>
              <w:ind w:firstLine="0" w:firstLineChars="0"/>
              <w:jc w:val="left"/>
              <w:rPr>
                <w:rFonts w:hint="eastAsia" w:ascii="Times New Roman" w:hAnsi="Times New Roman" w:eastAsia="宋体" w:cs="Times New Roman"/>
                <w:color w:val="auto"/>
                <w:kern w:val="2"/>
                <w:sz w:val="21"/>
                <w:szCs w:val="20"/>
                <w:highlight w:val="none"/>
                <w:lang w:val="en-US" w:eastAsia="zh-CN" w:bidi="ar-SA"/>
              </w:rPr>
            </w:pPr>
            <w:r>
              <w:rPr>
                <w:rFonts w:hint="eastAsia" w:ascii="Times New Roman" w:hAnsi="Times New Roman" w:eastAsia="宋体" w:cs="Times New Roman"/>
                <w:color w:val="auto"/>
                <w:kern w:val="2"/>
                <w:sz w:val="21"/>
                <w:szCs w:val="20"/>
                <w:highlight w:val="none"/>
                <w:lang w:val="en-US" w:eastAsia="zh-CN" w:bidi="ar-SA"/>
              </w:rPr>
              <w:t>具备环境管理体系认证证书（ISO 14001）得1分；</w:t>
            </w:r>
          </w:p>
          <w:p>
            <w:pPr>
              <w:pStyle w:val="515"/>
              <w:spacing w:line="240" w:lineRule="auto"/>
              <w:ind w:firstLine="0" w:firstLineChars="0"/>
              <w:jc w:val="left"/>
              <w:rPr>
                <w:rFonts w:hint="eastAsia" w:ascii="宋体" w:hAnsi="宋体" w:eastAsia="宋体" w:cs="宋体"/>
                <w:color w:val="auto"/>
                <w:spacing w:val="-5"/>
                <w:kern w:val="0"/>
                <w:sz w:val="21"/>
                <w:szCs w:val="21"/>
                <w:highlight w:val="none"/>
                <w:lang w:val="en-US" w:eastAsia="zh-CN" w:bidi="ar"/>
              </w:rPr>
            </w:pPr>
            <w:r>
              <w:rPr>
                <w:rFonts w:hint="eastAsia" w:ascii="宋体" w:hAnsi="宋体" w:eastAsia="宋体" w:cs="宋体"/>
                <w:color w:val="auto"/>
                <w:spacing w:val="-5"/>
                <w:kern w:val="0"/>
                <w:sz w:val="21"/>
                <w:szCs w:val="21"/>
                <w:highlight w:val="none"/>
                <w:lang w:val="en-US" w:eastAsia="zh-CN" w:bidi="ar"/>
              </w:rPr>
              <w:t>注：投标文件中提供证明资料的复印件加盖公章，否则不得分。</w:t>
            </w:r>
          </w:p>
        </w:tc>
        <w:tc>
          <w:tcPr>
            <w:tcW w:w="524" w:type="dxa"/>
            <w:vAlign w:val="center"/>
          </w:tcPr>
          <w:p>
            <w:pPr>
              <w:widowControl/>
              <w:spacing w:line="360" w:lineRule="exact"/>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val="en-US" w:eastAsia="zh-CN"/>
              </w:rPr>
              <w:t>5</w:t>
            </w:r>
          </w:p>
        </w:tc>
        <w:tc>
          <w:tcPr>
            <w:tcW w:w="1260" w:type="dxa"/>
            <w:vAlign w:val="center"/>
          </w:tcPr>
          <w:p>
            <w:pPr>
              <w:widowControl/>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客观分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767" w:type="dxa"/>
            <w:vMerge w:val="restart"/>
            <w:vAlign w:val="center"/>
          </w:tcPr>
          <w:p>
            <w:pPr>
              <w:widowControl/>
              <w:snapToGri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c>
          <w:tcPr>
            <w:tcW w:w="1091" w:type="dxa"/>
            <w:vMerge w:val="restart"/>
            <w:vAlign w:val="center"/>
          </w:tcPr>
          <w:p>
            <w:pPr>
              <w:widowControl/>
              <w:spacing w:line="240" w:lineRule="auto"/>
              <w:jc w:val="center"/>
              <w:rPr>
                <w:rFonts w:ascii="宋体" w:hAnsi="宋体" w:cs="宋体"/>
                <w:color w:val="auto"/>
                <w:szCs w:val="21"/>
                <w:highlight w:val="none"/>
              </w:rPr>
            </w:pPr>
            <w:r>
              <w:rPr>
                <w:rFonts w:hint="eastAsia" w:ascii="宋体" w:hAnsi="宋体" w:cs="宋体"/>
                <w:color w:val="auto"/>
                <w:szCs w:val="21"/>
                <w:highlight w:val="none"/>
              </w:rPr>
              <w:t>人员配置（</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分）</w:t>
            </w:r>
          </w:p>
        </w:tc>
        <w:tc>
          <w:tcPr>
            <w:tcW w:w="5626" w:type="dxa"/>
            <w:vAlign w:val="center"/>
          </w:tcPr>
          <w:p>
            <w:pPr>
              <w:autoSpaceDE w:val="0"/>
              <w:autoSpaceDN w:val="0"/>
              <w:spacing w:line="240" w:lineRule="auto"/>
              <w:rPr>
                <w:rFonts w:ascii="宋体" w:hAnsi="宋体" w:cs="宋体"/>
                <w:b/>
                <w:bCs/>
                <w:color w:val="auto"/>
                <w:kern w:val="0"/>
                <w:szCs w:val="21"/>
                <w:highlight w:val="none"/>
              </w:rPr>
            </w:pPr>
            <w:r>
              <w:rPr>
                <w:rFonts w:hint="eastAsia" w:ascii="宋体" w:hAnsi="宋体" w:cs="宋体"/>
                <w:b/>
                <w:bCs/>
                <w:color w:val="auto"/>
                <w:kern w:val="0"/>
                <w:szCs w:val="21"/>
                <w:highlight w:val="none"/>
              </w:rPr>
              <w:t>1、项目负责人（3分）</w:t>
            </w:r>
          </w:p>
          <w:p>
            <w:pPr>
              <w:pStyle w:val="64"/>
              <w:spacing w:line="240" w:lineRule="auto"/>
              <w:ind w:left="0" w:leftChars="0" w:firstLine="0" w:firstLineChars="0"/>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项目负责人具备互联网技术相关专业高级工程师职称证书得1分；</w:t>
            </w:r>
          </w:p>
          <w:p>
            <w:pPr>
              <w:pStyle w:val="64"/>
              <w:spacing w:line="240" w:lineRule="auto"/>
              <w:ind w:left="0" w:leftChars="0" w:firstLine="0" w:firstLineChars="0"/>
              <w:rPr>
                <w:rFonts w:cs="宋体"/>
                <w:color w:val="auto"/>
                <w:szCs w:val="21"/>
                <w:highlight w:val="none"/>
              </w:rPr>
            </w:pPr>
            <w:r>
              <w:rPr>
                <w:rFonts w:hint="eastAsia" w:ascii="宋体" w:hAnsi="宋体" w:eastAsia="宋体" w:cs="宋体"/>
                <w:color w:val="auto"/>
                <w:kern w:val="0"/>
                <w:sz w:val="21"/>
                <w:szCs w:val="21"/>
                <w:highlight w:val="none"/>
                <w:lang w:val="en-US" w:eastAsia="zh-CN" w:bidi="ar-SA"/>
              </w:rPr>
              <w:t>具备注册信息安全专业人员证书，即CISP证书，得1分；具备信息系统项目管理师或项目管理相关高级工程师得1分</w:t>
            </w:r>
            <w:r>
              <w:rPr>
                <w:rFonts w:hint="eastAsia" w:cs="宋体"/>
                <w:color w:val="auto"/>
                <w:szCs w:val="21"/>
                <w:highlight w:val="none"/>
              </w:rPr>
              <w:t>备注：项目负责人只能为一人；投标文件中提供证书复印件及投标人为其缴纳的社保证明材料。</w:t>
            </w:r>
          </w:p>
          <w:p>
            <w:pPr>
              <w:pStyle w:val="64"/>
              <w:spacing w:line="240" w:lineRule="auto"/>
              <w:ind w:left="0" w:leftChars="0" w:firstLine="0" w:firstLineChars="0"/>
              <w:rPr>
                <w:rFonts w:hint="eastAsia" w:cs="宋体"/>
                <w:b/>
                <w:bCs/>
                <w:color w:val="auto"/>
                <w:szCs w:val="21"/>
                <w:highlight w:val="none"/>
              </w:rPr>
            </w:pPr>
            <w:r>
              <w:rPr>
                <w:rFonts w:cs="宋体"/>
                <w:b/>
                <w:bCs/>
                <w:color w:val="auto"/>
                <w:kern w:val="0"/>
                <w:szCs w:val="21"/>
                <w:highlight w:val="none"/>
              </w:rPr>
              <w:t>2</w:t>
            </w:r>
            <w:r>
              <w:rPr>
                <w:rFonts w:hint="eastAsia" w:cs="宋体"/>
                <w:b/>
                <w:bCs/>
                <w:color w:val="auto"/>
                <w:szCs w:val="21"/>
                <w:highlight w:val="none"/>
              </w:rPr>
              <w:t>、技术负责人（</w:t>
            </w:r>
            <w:r>
              <w:rPr>
                <w:rFonts w:hint="eastAsia" w:cs="宋体"/>
                <w:b/>
                <w:bCs/>
                <w:color w:val="auto"/>
                <w:szCs w:val="21"/>
                <w:highlight w:val="none"/>
                <w:lang w:val="en-US" w:eastAsia="zh-CN"/>
              </w:rPr>
              <w:t>2</w:t>
            </w:r>
            <w:r>
              <w:rPr>
                <w:rFonts w:hint="eastAsia" w:cs="宋体"/>
                <w:b/>
                <w:bCs/>
                <w:color w:val="auto"/>
                <w:szCs w:val="21"/>
                <w:highlight w:val="none"/>
              </w:rPr>
              <w:t>分）</w:t>
            </w:r>
          </w:p>
          <w:p>
            <w:pPr>
              <w:autoSpaceDE w:val="0"/>
              <w:autoSpaceDN w:val="0"/>
              <w:adjustRightInd w:val="0"/>
              <w:spacing w:line="240" w:lineRule="auto"/>
              <w:rPr>
                <w:rFonts w:hint="eastAsia" w:ascii="宋体" w:hAnsi="宋体" w:eastAsia="宋体" w:cs="宋体"/>
                <w:color w:val="auto"/>
                <w:spacing w:val="-5"/>
                <w:kern w:val="0"/>
                <w:sz w:val="21"/>
                <w:szCs w:val="21"/>
                <w:highlight w:val="none"/>
                <w:lang w:val="en-US" w:eastAsia="zh-CN" w:bidi="ar"/>
              </w:rPr>
            </w:pPr>
            <w:r>
              <w:rPr>
                <w:rFonts w:hint="eastAsia" w:ascii="宋体" w:hAnsi="宋体" w:eastAsia="宋体" w:cs="宋体"/>
                <w:color w:val="auto"/>
                <w:spacing w:val="-5"/>
                <w:kern w:val="0"/>
                <w:sz w:val="21"/>
                <w:szCs w:val="21"/>
                <w:highlight w:val="none"/>
                <w:lang w:val="en-US" w:eastAsia="zh-CN" w:bidi="ar"/>
              </w:rPr>
              <w:t>项目技术负责人</w:t>
            </w:r>
            <w:r>
              <w:rPr>
                <w:rFonts w:hint="eastAsia" w:ascii="宋体" w:hAnsi="宋体" w:eastAsia="宋体" w:cs="宋体"/>
                <w:color w:val="auto"/>
                <w:kern w:val="0"/>
                <w:sz w:val="21"/>
                <w:szCs w:val="21"/>
                <w:highlight w:val="none"/>
                <w:lang w:val="en-US" w:eastAsia="zh-CN" w:bidi="ar-SA"/>
              </w:rPr>
              <w:t>系统架构设计师得2分</w:t>
            </w:r>
          </w:p>
          <w:p>
            <w:pPr>
              <w:pStyle w:val="64"/>
              <w:spacing w:line="240" w:lineRule="auto"/>
              <w:ind w:left="0" w:leftChars="0" w:firstLine="0" w:firstLineChars="0"/>
              <w:rPr>
                <w:rFonts w:cs="宋体"/>
                <w:color w:val="auto"/>
                <w:szCs w:val="21"/>
                <w:highlight w:val="none"/>
                <w:lang w:bidi="ar"/>
              </w:rPr>
            </w:pPr>
            <w:r>
              <w:rPr>
                <w:rFonts w:hint="eastAsia" w:cs="宋体"/>
                <w:color w:val="auto"/>
                <w:szCs w:val="21"/>
                <w:highlight w:val="none"/>
              </w:rPr>
              <w:t>备注：投标文件中提供证书复印件及投标人为其缴纳的社保证明材料。</w:t>
            </w:r>
          </w:p>
        </w:tc>
        <w:tc>
          <w:tcPr>
            <w:tcW w:w="524" w:type="dxa"/>
            <w:vAlign w:val="center"/>
          </w:tcPr>
          <w:p>
            <w:pPr>
              <w:widowControl/>
              <w:spacing w:line="360" w:lineRule="exact"/>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val="en-US" w:eastAsia="zh-CN"/>
              </w:rPr>
              <w:t>5</w:t>
            </w:r>
          </w:p>
        </w:tc>
        <w:tc>
          <w:tcPr>
            <w:tcW w:w="1260" w:type="dxa"/>
            <w:vAlign w:val="center"/>
          </w:tcPr>
          <w:p>
            <w:pPr>
              <w:widowControl/>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客观分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740" w:hRule="atLeast"/>
        </w:trPr>
        <w:tc>
          <w:tcPr>
            <w:tcW w:w="767" w:type="dxa"/>
            <w:vMerge w:val="continue"/>
            <w:vAlign w:val="center"/>
          </w:tcPr>
          <w:p>
            <w:pPr>
              <w:widowControl/>
              <w:snapToGrid w:val="0"/>
              <w:spacing w:line="360" w:lineRule="exact"/>
              <w:jc w:val="center"/>
              <w:rPr>
                <w:rFonts w:ascii="宋体" w:hAnsi="宋体" w:cs="宋体"/>
                <w:color w:val="auto"/>
                <w:kern w:val="0"/>
                <w:szCs w:val="21"/>
                <w:highlight w:val="none"/>
              </w:rPr>
            </w:pPr>
          </w:p>
        </w:tc>
        <w:tc>
          <w:tcPr>
            <w:tcW w:w="1091" w:type="dxa"/>
            <w:vMerge w:val="continue"/>
            <w:vAlign w:val="center"/>
          </w:tcPr>
          <w:p>
            <w:pPr>
              <w:widowControl/>
              <w:spacing w:line="360" w:lineRule="exact"/>
              <w:jc w:val="center"/>
              <w:rPr>
                <w:rFonts w:ascii="宋体" w:hAnsi="宋体" w:cs="宋体"/>
                <w:color w:val="auto"/>
                <w:szCs w:val="21"/>
                <w:highlight w:val="none"/>
              </w:rPr>
            </w:pPr>
          </w:p>
        </w:tc>
        <w:tc>
          <w:tcPr>
            <w:tcW w:w="5626" w:type="dxa"/>
            <w:vAlign w:val="center"/>
          </w:tcPr>
          <w:p>
            <w:pPr>
              <w:autoSpaceDE w:val="0"/>
              <w:autoSpaceDN w:val="0"/>
              <w:adjustRightInd w:val="0"/>
              <w:spacing w:line="240" w:lineRule="auto"/>
              <w:rPr>
                <w:rFonts w:hint="eastAsia" w:ascii="宋体" w:hAnsi="宋体" w:eastAsia="宋体" w:cs="宋体"/>
                <w:color w:val="auto"/>
                <w:spacing w:val="-5"/>
                <w:kern w:val="0"/>
                <w:sz w:val="21"/>
                <w:szCs w:val="21"/>
                <w:highlight w:val="none"/>
                <w:lang w:val="en-US" w:eastAsia="zh-CN" w:bidi="ar"/>
              </w:rPr>
            </w:pPr>
            <w:r>
              <w:rPr>
                <w:rFonts w:hint="eastAsia" w:ascii="宋体" w:hAnsi="宋体" w:eastAsia="宋体" w:cs="宋体"/>
                <w:color w:val="auto"/>
                <w:spacing w:val="-5"/>
                <w:kern w:val="0"/>
                <w:sz w:val="21"/>
                <w:szCs w:val="21"/>
                <w:highlight w:val="none"/>
                <w:lang w:val="en-US" w:eastAsia="zh-CN" w:bidi="ar"/>
              </w:rPr>
              <w:t>本项目组其他组成人员（不含项目负责人、技术负责人）中</w:t>
            </w:r>
            <w:r>
              <w:rPr>
                <w:rFonts w:hint="eastAsia" w:ascii="宋体" w:hAnsi="宋体" w:eastAsia="宋体" w:cs="宋体"/>
                <w:color w:val="auto"/>
                <w:kern w:val="0"/>
                <w:sz w:val="21"/>
                <w:szCs w:val="21"/>
                <w:highlight w:val="none"/>
                <w:lang w:val="en-US" w:eastAsia="zh-CN" w:bidi="ar-SA"/>
              </w:rPr>
              <w:t>具备IT项目服务经理证书（ITSS）得1分；具备注册信息安全专业人员证书，即CISP证书得1分</w:t>
            </w:r>
            <w:r>
              <w:rPr>
                <w:rFonts w:hint="eastAsia" w:ascii="宋体" w:hAnsi="宋体" w:eastAsia="宋体" w:cs="宋体"/>
                <w:color w:val="auto"/>
                <w:spacing w:val="-5"/>
                <w:kern w:val="0"/>
                <w:sz w:val="21"/>
                <w:szCs w:val="21"/>
                <w:highlight w:val="none"/>
                <w:lang w:val="en-US" w:eastAsia="zh-CN" w:bidi="ar"/>
              </w:rPr>
              <w:t>，最多得</w:t>
            </w:r>
            <w:r>
              <w:rPr>
                <w:rFonts w:hint="eastAsia" w:ascii="宋体" w:hAnsi="宋体" w:cs="宋体"/>
                <w:color w:val="auto"/>
                <w:spacing w:val="-5"/>
                <w:kern w:val="0"/>
                <w:sz w:val="21"/>
                <w:szCs w:val="21"/>
                <w:highlight w:val="none"/>
                <w:lang w:val="en-US" w:eastAsia="zh-CN" w:bidi="ar"/>
              </w:rPr>
              <w:t>2</w:t>
            </w:r>
            <w:r>
              <w:rPr>
                <w:rFonts w:hint="eastAsia" w:ascii="宋体" w:hAnsi="宋体" w:eastAsia="宋体" w:cs="宋体"/>
                <w:color w:val="auto"/>
                <w:spacing w:val="-5"/>
                <w:kern w:val="0"/>
                <w:sz w:val="21"/>
                <w:szCs w:val="21"/>
                <w:highlight w:val="none"/>
                <w:lang w:val="en-US" w:eastAsia="zh-CN" w:bidi="ar"/>
              </w:rPr>
              <w:t>分。</w:t>
            </w:r>
          </w:p>
          <w:p>
            <w:pPr>
              <w:autoSpaceDE w:val="0"/>
              <w:autoSpaceDN w:val="0"/>
              <w:adjustRightInd w:val="0"/>
              <w:spacing w:line="240" w:lineRule="auto"/>
              <w:rPr>
                <w:rFonts w:hint="eastAsia" w:ascii="宋体" w:hAnsi="宋体" w:eastAsia="宋体" w:cs="宋体"/>
                <w:color w:val="auto"/>
                <w:spacing w:val="-5"/>
                <w:kern w:val="0"/>
                <w:sz w:val="21"/>
                <w:szCs w:val="21"/>
                <w:highlight w:val="none"/>
                <w:lang w:val="en-US" w:eastAsia="zh-CN" w:bidi="ar"/>
              </w:rPr>
            </w:pPr>
            <w:r>
              <w:rPr>
                <w:rFonts w:hint="eastAsia" w:ascii="宋体" w:hAnsi="宋体" w:eastAsia="宋体" w:cs="宋体"/>
                <w:color w:val="auto"/>
                <w:spacing w:val="-5"/>
                <w:kern w:val="0"/>
                <w:sz w:val="21"/>
                <w:szCs w:val="21"/>
                <w:highlight w:val="none"/>
                <w:lang w:val="en-US" w:eastAsia="zh-CN" w:bidi="ar"/>
              </w:rPr>
              <w:t>注：投标文件中提供相关人员证书以及以投标人名义缴纳的近两个月的社保缴纳证明的复印件加盖公章。</w:t>
            </w:r>
          </w:p>
        </w:tc>
        <w:tc>
          <w:tcPr>
            <w:tcW w:w="524" w:type="dxa"/>
            <w:vAlign w:val="center"/>
          </w:tcPr>
          <w:p>
            <w:pPr>
              <w:autoSpaceDE w:val="0"/>
              <w:autoSpaceDN w:val="0"/>
              <w:adjustRightInd w:val="0"/>
              <w:spacing w:line="240" w:lineRule="auto"/>
              <w:ind w:firstLine="200" w:firstLineChars="100"/>
              <w:rPr>
                <w:rFonts w:hint="eastAsia" w:ascii="宋体" w:hAnsi="宋体" w:eastAsia="宋体" w:cs="宋体"/>
                <w:color w:val="auto"/>
                <w:spacing w:val="-5"/>
                <w:kern w:val="0"/>
                <w:sz w:val="21"/>
                <w:szCs w:val="21"/>
                <w:highlight w:val="none"/>
                <w:lang w:val="en-US" w:eastAsia="zh-CN" w:bidi="ar"/>
              </w:rPr>
            </w:pPr>
            <w:r>
              <w:rPr>
                <w:rFonts w:hint="eastAsia" w:ascii="宋体" w:hAnsi="宋体" w:cs="宋体"/>
                <w:color w:val="auto"/>
                <w:spacing w:val="-5"/>
                <w:kern w:val="0"/>
                <w:sz w:val="21"/>
                <w:szCs w:val="21"/>
                <w:highlight w:val="none"/>
                <w:lang w:val="en-US" w:eastAsia="zh-CN" w:bidi="ar"/>
              </w:rPr>
              <w:t>2</w:t>
            </w:r>
          </w:p>
        </w:tc>
        <w:tc>
          <w:tcPr>
            <w:tcW w:w="1260" w:type="dxa"/>
            <w:vAlign w:val="center"/>
          </w:tcPr>
          <w:p>
            <w:pPr>
              <w:autoSpaceDE w:val="0"/>
              <w:autoSpaceDN w:val="0"/>
              <w:adjustRightInd w:val="0"/>
              <w:spacing w:line="240" w:lineRule="auto"/>
              <w:rPr>
                <w:rFonts w:hint="eastAsia" w:ascii="宋体" w:hAnsi="宋体" w:eastAsia="宋体" w:cs="宋体"/>
                <w:color w:val="auto"/>
                <w:spacing w:val="-5"/>
                <w:kern w:val="0"/>
                <w:sz w:val="21"/>
                <w:szCs w:val="21"/>
                <w:highlight w:val="none"/>
                <w:lang w:val="en-US" w:eastAsia="zh-CN" w:bidi="ar"/>
              </w:rPr>
            </w:pPr>
            <w:r>
              <w:rPr>
                <w:rFonts w:hint="eastAsia" w:ascii="宋体" w:hAnsi="宋体" w:eastAsia="宋体" w:cs="宋体"/>
                <w:color w:val="auto"/>
                <w:spacing w:val="-5"/>
                <w:kern w:val="0"/>
                <w:sz w:val="21"/>
                <w:szCs w:val="21"/>
                <w:highlight w:val="none"/>
                <w:lang w:val="en-US" w:eastAsia="zh-CN" w:bidi="ar"/>
              </w:rPr>
              <w:t>客观分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740" w:hRule="atLeast"/>
        </w:trPr>
        <w:tc>
          <w:tcPr>
            <w:tcW w:w="767" w:type="dxa"/>
            <w:vAlign w:val="center"/>
          </w:tcPr>
          <w:p>
            <w:pPr>
              <w:widowControl/>
              <w:snapToGrid w:val="0"/>
              <w:spacing w:line="360" w:lineRule="exact"/>
              <w:jc w:val="center"/>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6</w:t>
            </w:r>
          </w:p>
        </w:tc>
        <w:tc>
          <w:tcPr>
            <w:tcW w:w="1091" w:type="dxa"/>
            <w:vAlign w:val="center"/>
          </w:tcPr>
          <w:p>
            <w:pPr>
              <w:widowControl/>
              <w:spacing w:line="360" w:lineRule="exact"/>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政策分（1分）</w:t>
            </w:r>
          </w:p>
        </w:tc>
        <w:tc>
          <w:tcPr>
            <w:tcW w:w="5626" w:type="dxa"/>
            <w:vAlign w:val="top"/>
          </w:tcPr>
          <w:p>
            <w:pPr>
              <w:keepNext w:val="0"/>
              <w:keepLines w:val="0"/>
              <w:pageBreakBefore w:val="0"/>
              <w:kinsoku/>
              <w:wordWrap/>
              <w:overflowPunct/>
              <w:topLinePunct w:val="0"/>
              <w:autoSpaceDE/>
              <w:autoSpaceDN/>
              <w:bidi w:val="0"/>
              <w:snapToGrid w:val="0"/>
              <w:spacing w:line="360" w:lineRule="auto"/>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投标产品属于《节能产品政府采购品目清单》范围的且具有国家确定的认证机构出具的、处于有效期之内的节能产品认证证书的得</w:t>
            </w:r>
            <w:r>
              <w:rPr>
                <w:rFonts w:hint="eastAsia" w:asciiTheme="minorEastAsia" w:hAnsiTheme="minorEastAsia" w:eastAsiaTheme="minorEastAsia" w:cstheme="minorEastAsia"/>
                <w:color w:val="auto"/>
                <w:sz w:val="21"/>
                <w:szCs w:val="21"/>
                <w:highlight w:val="none"/>
                <w:lang w:val="en-US" w:eastAsia="zh-CN"/>
              </w:rPr>
              <w:t>0.5</w:t>
            </w:r>
            <w:r>
              <w:rPr>
                <w:rFonts w:hint="eastAsia" w:asciiTheme="minorEastAsia" w:hAnsiTheme="minorEastAsia" w:eastAsiaTheme="minorEastAsia" w:cstheme="minorEastAsia"/>
                <w:color w:val="auto"/>
                <w:sz w:val="21"/>
                <w:szCs w:val="21"/>
                <w:highlight w:val="none"/>
              </w:rPr>
              <w:t>分；</w:t>
            </w:r>
          </w:p>
          <w:p>
            <w:pPr>
              <w:keepNext w:val="0"/>
              <w:keepLines w:val="0"/>
              <w:pageBreakBefore w:val="0"/>
              <w:kinsoku/>
              <w:wordWrap/>
              <w:overflowPunct/>
              <w:topLinePunct w:val="0"/>
              <w:autoSpaceDE/>
              <w:autoSpaceDN/>
              <w:bidi w:val="0"/>
              <w:snapToGrid w:val="0"/>
              <w:spacing w:line="360" w:lineRule="auto"/>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投标产品属于《环境标志产品政府采购品目清单》范围的且具有国家确定的认证机构出具的、处于有效期之内的环境标志产品认证证书的得</w:t>
            </w:r>
            <w:r>
              <w:rPr>
                <w:rFonts w:hint="eastAsia" w:asciiTheme="minorEastAsia" w:hAnsiTheme="minorEastAsia" w:eastAsiaTheme="minorEastAsia" w:cstheme="minorEastAsia"/>
                <w:color w:val="auto"/>
                <w:sz w:val="21"/>
                <w:szCs w:val="21"/>
                <w:highlight w:val="none"/>
                <w:lang w:val="en-US" w:eastAsia="zh-CN"/>
              </w:rPr>
              <w:t>0.5</w:t>
            </w:r>
            <w:r>
              <w:rPr>
                <w:rFonts w:hint="eastAsia" w:asciiTheme="minorEastAsia" w:hAnsiTheme="minorEastAsia" w:eastAsiaTheme="minorEastAsia" w:cstheme="minorEastAsia"/>
                <w:color w:val="auto"/>
                <w:sz w:val="21"/>
                <w:szCs w:val="21"/>
                <w:highlight w:val="none"/>
              </w:rPr>
              <w:t>分。</w:t>
            </w:r>
          </w:p>
          <w:p>
            <w:pPr>
              <w:keepNext w:val="0"/>
              <w:keepLines w:val="0"/>
              <w:pageBreakBefore w:val="0"/>
              <w:kinsoku/>
              <w:wordWrap/>
              <w:overflowPunct/>
              <w:topLinePunct w:val="0"/>
              <w:autoSpaceDE/>
              <w:autoSpaceDN/>
              <w:bidi w:val="0"/>
              <w:snapToGrid w:val="0"/>
              <w:spacing w:line="360" w:lineRule="auto"/>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注：投标文件中必须同时提供以下资料：</w:t>
            </w:r>
          </w:p>
          <w:p>
            <w:pPr>
              <w:keepNext w:val="0"/>
              <w:keepLines w:val="0"/>
              <w:pageBreakBefore w:val="0"/>
              <w:kinsoku/>
              <w:wordWrap/>
              <w:overflowPunct/>
              <w:topLinePunct w:val="0"/>
              <w:autoSpaceDE/>
              <w:autoSpaceDN/>
              <w:bidi w:val="0"/>
              <w:snapToGrid w:val="0"/>
              <w:spacing w:line="360" w:lineRule="auto"/>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提供政府采购品目清单相关内容页（并对相关内容作圈记），采购品目清单详见《关于印发环境标志产品政府采购品目清单的通知》（财库〔2019〕18号）和《关于印发节能产品政府采购品目清单的通知》（财库〔2019〕19号）。</w:t>
            </w:r>
          </w:p>
          <w:p>
            <w:pPr>
              <w:keepNext w:val="0"/>
              <w:keepLines w:val="0"/>
              <w:pageBreakBefore w:val="0"/>
              <w:kinsoku/>
              <w:wordWrap/>
              <w:overflowPunct/>
              <w:topLinePunct w:val="0"/>
              <w:autoSpaceDE/>
              <w:autoSpaceDN/>
              <w:bidi w:val="0"/>
              <w:snapToGrid w:val="0"/>
              <w:spacing w:line="360" w:lineRule="auto"/>
              <w:jc w:val="left"/>
              <w:textAlignment w:val="auto"/>
              <w:rPr>
                <w:rFonts w:hint="eastAsia" w:ascii="宋体" w:hAnsi="宋体" w:eastAsia="宋体" w:cs="宋体"/>
                <w:color w:val="auto"/>
                <w:spacing w:val="-5"/>
                <w:kern w:val="0"/>
                <w:sz w:val="21"/>
                <w:szCs w:val="21"/>
                <w:highlight w:val="none"/>
                <w:lang w:val="en-US" w:eastAsia="zh-CN" w:bidi="ar"/>
              </w:rPr>
            </w:pPr>
            <w:r>
              <w:rPr>
                <w:rFonts w:hint="eastAsia" w:asciiTheme="minorEastAsia" w:hAnsiTheme="minorEastAsia" w:eastAsiaTheme="minorEastAsia" w:cstheme="minorEastAsia"/>
                <w:color w:val="auto"/>
                <w:sz w:val="21"/>
                <w:szCs w:val="21"/>
                <w:highlight w:val="none"/>
              </w:rPr>
              <w:t>（2）《市场监管总局关于发布参与实施政府采购节能产品、环境标志产品认证机构名录的公告》中的认证机构出具的、处于有效期之内的节能产品/环境标志产品认证证书复印件并加盖公章。</w:t>
            </w:r>
          </w:p>
        </w:tc>
        <w:tc>
          <w:tcPr>
            <w:tcW w:w="524" w:type="dxa"/>
            <w:vAlign w:val="center"/>
          </w:tcPr>
          <w:p>
            <w:pPr>
              <w:keepNext w:val="0"/>
              <w:keepLines w:val="0"/>
              <w:pageBreakBefore w:val="0"/>
              <w:kinsoku/>
              <w:wordWrap/>
              <w:overflowPunct/>
              <w:topLinePunct w:val="0"/>
              <w:autoSpaceDE/>
              <w:autoSpaceDN/>
              <w:bidi w:val="0"/>
              <w:snapToGrid w:val="0"/>
              <w:spacing w:line="360" w:lineRule="auto"/>
              <w:jc w:val="center"/>
              <w:textAlignment w:val="auto"/>
              <w:rPr>
                <w:rFonts w:hint="eastAsia" w:ascii="宋体" w:hAnsi="宋体" w:cs="宋体"/>
                <w:color w:val="auto"/>
                <w:spacing w:val="-5"/>
                <w:kern w:val="0"/>
                <w:sz w:val="21"/>
                <w:szCs w:val="21"/>
                <w:highlight w:val="none"/>
                <w:lang w:val="en-US" w:eastAsia="zh-CN" w:bidi="ar"/>
              </w:rPr>
            </w:pPr>
            <w:r>
              <w:rPr>
                <w:rFonts w:hint="eastAsia" w:asciiTheme="minorEastAsia" w:hAnsiTheme="minorEastAsia" w:eastAsiaTheme="minorEastAsia" w:cstheme="minorEastAsia"/>
                <w:color w:val="auto"/>
                <w:sz w:val="21"/>
                <w:szCs w:val="21"/>
                <w:highlight w:val="none"/>
                <w:lang w:val="en-US" w:eastAsia="zh-CN"/>
              </w:rPr>
              <w:t>1</w:t>
            </w:r>
          </w:p>
        </w:tc>
        <w:tc>
          <w:tcPr>
            <w:tcW w:w="1260" w:type="dxa"/>
            <w:vAlign w:val="center"/>
          </w:tcPr>
          <w:p>
            <w:pPr>
              <w:keepNext w:val="0"/>
              <w:keepLines w:val="0"/>
              <w:pageBreakBefore w:val="0"/>
              <w:kinsoku/>
              <w:wordWrap/>
              <w:overflowPunct/>
              <w:topLinePunct w:val="0"/>
              <w:autoSpaceDE/>
              <w:autoSpaceDN/>
              <w:bidi w:val="0"/>
              <w:snapToGrid w:val="0"/>
              <w:spacing w:line="360" w:lineRule="auto"/>
              <w:jc w:val="center"/>
              <w:textAlignment w:val="auto"/>
              <w:rPr>
                <w:rFonts w:hint="eastAsia" w:ascii="宋体" w:hAnsi="宋体" w:eastAsia="宋体" w:cs="宋体"/>
                <w:color w:val="auto"/>
                <w:spacing w:val="-5"/>
                <w:kern w:val="0"/>
                <w:sz w:val="21"/>
                <w:szCs w:val="21"/>
                <w:highlight w:val="none"/>
                <w:lang w:val="en-US" w:eastAsia="zh-CN" w:bidi="ar"/>
              </w:rPr>
            </w:pPr>
            <w:r>
              <w:rPr>
                <w:rFonts w:hint="eastAsia" w:asciiTheme="minorEastAsia" w:hAnsiTheme="minorEastAsia" w:eastAsiaTheme="minorEastAsia" w:cstheme="minorEastAsia"/>
                <w:color w:val="auto"/>
                <w:sz w:val="21"/>
                <w:szCs w:val="21"/>
                <w:highlight w:val="none"/>
                <w:lang w:val="en-US" w:eastAsia="zh-CN"/>
              </w:rPr>
              <w:t>客观分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9268" w:type="dxa"/>
            <w:gridSpan w:val="5"/>
            <w:vAlign w:val="center"/>
          </w:tcPr>
          <w:p>
            <w:pPr>
              <w:widowControl/>
              <w:tabs>
                <w:tab w:val="left" w:pos="0"/>
              </w:tabs>
              <w:spacing w:line="360" w:lineRule="exact"/>
              <w:jc w:val="center"/>
              <w:rPr>
                <w:rFonts w:ascii="宋体" w:hAnsi="宋体" w:cs="宋体"/>
                <w:color w:val="auto"/>
                <w:kern w:val="0"/>
                <w:szCs w:val="21"/>
                <w:highlight w:val="none"/>
              </w:rPr>
            </w:pPr>
            <w:r>
              <w:rPr>
                <w:rFonts w:hint="eastAsia" w:ascii="宋体" w:hAnsi="宋体" w:cs="宋体"/>
                <w:b/>
                <w:bCs/>
                <w:color w:val="auto"/>
                <w:kern w:val="0"/>
                <w:szCs w:val="21"/>
                <w:highlight w:val="none"/>
                <w:lang w:val="zh-CN"/>
              </w:rPr>
              <w:t>（</w:t>
            </w:r>
            <w:r>
              <w:rPr>
                <w:rFonts w:hint="eastAsia" w:ascii="宋体" w:hAnsi="宋体" w:cs="宋体"/>
                <w:b/>
                <w:bCs/>
                <w:color w:val="auto"/>
                <w:kern w:val="0"/>
                <w:szCs w:val="21"/>
                <w:highlight w:val="none"/>
              </w:rPr>
              <w:t>二）、报价分（</w:t>
            </w:r>
            <w:r>
              <w:rPr>
                <w:rFonts w:hint="eastAsia" w:ascii="宋体" w:hAnsi="宋体" w:cs="宋体"/>
                <w:b/>
                <w:bCs/>
                <w:color w:val="auto"/>
                <w:kern w:val="0"/>
                <w:szCs w:val="21"/>
                <w:highlight w:val="none"/>
                <w:lang w:val="en-US" w:eastAsia="zh-CN"/>
              </w:rPr>
              <w:t>3</w:t>
            </w:r>
            <w:r>
              <w:rPr>
                <w:rFonts w:hint="eastAsia" w:ascii="宋体" w:hAnsi="宋体" w:cs="宋体"/>
                <w:b/>
                <w:bCs/>
                <w:color w:val="auto"/>
                <w:kern w:val="0"/>
                <w:szCs w:val="21"/>
                <w:highlight w:val="none"/>
              </w:rPr>
              <w:t>0分）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771" w:hRule="atLeast"/>
        </w:trPr>
        <w:tc>
          <w:tcPr>
            <w:tcW w:w="767" w:type="dxa"/>
            <w:vAlign w:val="center"/>
          </w:tcPr>
          <w:p>
            <w:pPr>
              <w:widowControl/>
              <w:tabs>
                <w:tab w:val="left" w:pos="0"/>
              </w:tabs>
              <w:spacing w:line="360" w:lineRule="exact"/>
              <w:jc w:val="center"/>
              <w:rPr>
                <w:rFonts w:ascii="宋体" w:hAnsi="宋体" w:cs="宋体"/>
                <w:color w:val="auto"/>
                <w:szCs w:val="21"/>
                <w:highlight w:val="none"/>
              </w:rPr>
            </w:pPr>
            <w:r>
              <w:rPr>
                <w:rFonts w:hint="eastAsia" w:ascii="宋体" w:hAnsi="宋体" w:cs="宋体"/>
                <w:color w:val="auto"/>
                <w:szCs w:val="21"/>
                <w:highlight w:val="none"/>
              </w:rPr>
              <w:t>7</w:t>
            </w:r>
          </w:p>
        </w:tc>
        <w:tc>
          <w:tcPr>
            <w:tcW w:w="6717" w:type="dxa"/>
            <w:gridSpan w:val="2"/>
            <w:vAlign w:val="center"/>
          </w:tcPr>
          <w:p>
            <w:pPr>
              <w:widowControl/>
              <w:tabs>
                <w:tab w:val="left" w:pos="0"/>
              </w:tabs>
              <w:spacing w:line="360" w:lineRule="exact"/>
              <w:jc w:val="left"/>
              <w:rPr>
                <w:rFonts w:ascii="宋体" w:hAnsi="宋体" w:cs="宋体"/>
                <w:color w:val="auto"/>
                <w:szCs w:val="21"/>
                <w:highlight w:val="none"/>
                <w:lang w:val="zh-CN"/>
              </w:rPr>
            </w:pPr>
            <w:r>
              <w:rPr>
                <w:rFonts w:hint="eastAsia" w:ascii="宋体" w:hAnsi="宋体" w:cs="宋体"/>
                <w:color w:val="auto"/>
                <w:szCs w:val="21"/>
                <w:highlight w:val="none"/>
              </w:rPr>
              <w:t>报价</w:t>
            </w:r>
            <w:r>
              <w:rPr>
                <w:rFonts w:hint="eastAsia" w:ascii="宋体" w:hAnsi="宋体" w:cs="宋体"/>
                <w:color w:val="auto"/>
                <w:szCs w:val="21"/>
                <w:highlight w:val="none"/>
                <w:lang w:val="zh-CN"/>
              </w:rPr>
              <w:t>得分</w:t>
            </w:r>
          </w:p>
          <w:p>
            <w:pPr>
              <w:widowControl/>
              <w:tabs>
                <w:tab w:val="left" w:pos="0"/>
              </w:tabs>
              <w:spacing w:line="360" w:lineRule="exact"/>
              <w:ind w:firstLine="420" w:firstLineChars="200"/>
              <w:jc w:val="left"/>
              <w:rPr>
                <w:rFonts w:ascii="宋体" w:hAnsi="宋体" w:cs="宋体"/>
                <w:color w:val="auto"/>
                <w:szCs w:val="21"/>
                <w:highlight w:val="none"/>
                <w:lang w:val="zh-CN"/>
              </w:rPr>
            </w:pPr>
            <w:r>
              <w:rPr>
                <w:rFonts w:hint="eastAsia" w:ascii="宋体" w:hAnsi="宋体" w:cs="宋体"/>
                <w:color w:val="auto"/>
                <w:szCs w:val="21"/>
                <w:highlight w:val="none"/>
                <w:lang w:val="zh-CN"/>
              </w:rPr>
              <w:t>有效投标报价的最低价作为评标基准价，其最低报价为满分；按［投标报价得分=（评标基准价/投标报价）×权重］的计算公式计算。</w:t>
            </w:r>
          </w:p>
          <w:p>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lang w:val="zh-CN"/>
              </w:rPr>
              <w:t>对于未预留份额专门面向中小企业的政府采购货物项目，以及预留份额政府采购货物项目中的非预留部分标项，对小型和微型企业的投标报价给予 10 %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 4 %的扣除，用扣除后的价格参加评审。</w:t>
            </w:r>
          </w:p>
        </w:tc>
        <w:tc>
          <w:tcPr>
            <w:tcW w:w="524" w:type="dxa"/>
            <w:vAlign w:val="center"/>
          </w:tcPr>
          <w:p>
            <w:pPr>
              <w:widowControl/>
              <w:tabs>
                <w:tab w:val="left" w:pos="0"/>
              </w:tabs>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30</w:t>
            </w:r>
          </w:p>
        </w:tc>
        <w:tc>
          <w:tcPr>
            <w:tcW w:w="1260" w:type="dxa"/>
            <w:vAlign w:val="center"/>
          </w:tcPr>
          <w:p>
            <w:pPr>
              <w:widowControl/>
              <w:tabs>
                <w:tab w:val="left" w:pos="0"/>
              </w:tabs>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val="zh-CN"/>
              </w:rPr>
              <w:t>客观</w:t>
            </w:r>
            <w:r>
              <w:rPr>
                <w:rFonts w:hint="eastAsia" w:ascii="宋体" w:hAnsi="宋体" w:cs="宋体"/>
                <w:color w:val="auto"/>
                <w:kern w:val="0"/>
                <w:szCs w:val="21"/>
                <w:highlight w:val="none"/>
              </w:rPr>
              <w:t>分</w:t>
            </w:r>
          </w:p>
        </w:tc>
      </w:tr>
      <w:bookmarkEnd w:id="651"/>
    </w:tbl>
    <w:p>
      <w:pPr>
        <w:numPr>
          <w:ilvl w:val="0"/>
          <w:numId w:val="0"/>
        </w:numPr>
        <w:snapToGrid w:val="0"/>
        <w:spacing w:line="360" w:lineRule="auto"/>
        <w:rPr>
          <w:rFonts w:hint="eastAsia" w:ascii="宋体" w:hAnsi="宋体" w:cs="宋体"/>
          <w:color w:val="auto"/>
          <w:szCs w:val="21"/>
          <w:highlight w:val="none"/>
        </w:rPr>
      </w:pPr>
    </w:p>
    <w:p>
      <w:pPr>
        <w:numPr>
          <w:ilvl w:val="0"/>
          <w:numId w:val="0"/>
        </w:numPr>
        <w:snapToGrid w:val="0"/>
        <w:spacing w:line="360" w:lineRule="auto"/>
        <w:rPr>
          <w:rFonts w:hint="eastAsia" w:ascii="宋体" w:hAnsi="宋体" w:cs="宋体"/>
          <w:color w:val="auto"/>
          <w:szCs w:val="21"/>
          <w:highlight w:val="none"/>
        </w:rPr>
      </w:pPr>
    </w:p>
    <w:p>
      <w:pPr>
        <w:numPr>
          <w:ilvl w:val="0"/>
          <w:numId w:val="0"/>
        </w:num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 </w:t>
      </w:r>
    </w:p>
    <w:p>
      <w:pPr>
        <w:snapToGrid w:val="0"/>
        <w:spacing w:line="360" w:lineRule="auto"/>
        <w:outlineLvl w:val="1"/>
        <w:rPr>
          <w:rFonts w:ascii="宋体" w:hAnsi="宋体" w:cs="宋体"/>
          <w:b/>
          <w:color w:val="auto"/>
          <w:sz w:val="28"/>
          <w:szCs w:val="28"/>
          <w:highlight w:val="none"/>
        </w:rPr>
      </w:pPr>
      <w:bookmarkStart w:id="613" w:name="_Toc22860"/>
      <w:r>
        <w:rPr>
          <w:rFonts w:hint="eastAsia" w:ascii="宋体" w:hAnsi="宋体" w:cs="宋体"/>
          <w:b/>
          <w:color w:val="auto"/>
          <w:sz w:val="32"/>
          <w:highlight w:val="none"/>
        </w:rPr>
        <w:t>一、评标方法</w:t>
      </w:r>
      <w:bookmarkEnd w:id="613"/>
    </w:p>
    <w:p>
      <w:pPr>
        <w:adjustRightInd/>
        <w:spacing w:line="360" w:lineRule="auto"/>
        <w:ind w:firstLine="413" w:firstLineChars="196"/>
        <w:rPr>
          <w:rFonts w:ascii="宋体" w:hAnsi="宋体" w:cs="宋体"/>
          <w:color w:val="auto"/>
          <w:kern w:val="0"/>
          <w:szCs w:val="21"/>
          <w:highlight w:val="none"/>
        </w:rPr>
      </w:pPr>
      <w:r>
        <w:rPr>
          <w:rFonts w:hint="eastAsia" w:ascii="宋体" w:hAnsi="宋体" w:cs="宋体"/>
          <w:b/>
          <w:color w:val="auto"/>
          <w:kern w:val="0"/>
          <w:szCs w:val="21"/>
          <w:highlight w:val="none"/>
        </w:rPr>
        <w:t>1.本项目采用综合评分法。</w:t>
      </w:r>
      <w:r>
        <w:rPr>
          <w:rFonts w:hint="eastAsia" w:ascii="宋体" w:hAnsi="宋体" w:cs="宋体"/>
          <w:color w:val="auto"/>
          <w:kern w:val="0"/>
          <w:szCs w:val="21"/>
          <w:highlight w:val="none"/>
        </w:rPr>
        <w:t>综合评分法，是指投标文件满足招标文件全部实质性要求，且按照评审因素的量化指标评审得分最高的投标人为中标候选人的评标方法。</w:t>
      </w:r>
    </w:p>
    <w:p>
      <w:pPr>
        <w:adjustRightInd/>
        <w:spacing w:line="360" w:lineRule="auto"/>
        <w:outlineLvl w:val="1"/>
        <w:rPr>
          <w:rFonts w:ascii="宋体" w:hAnsi="宋体" w:cs="宋体"/>
          <w:color w:val="auto"/>
          <w:kern w:val="0"/>
          <w:sz w:val="24"/>
          <w:highlight w:val="none"/>
        </w:rPr>
      </w:pPr>
      <w:bookmarkStart w:id="614" w:name="_Toc29389"/>
      <w:r>
        <w:rPr>
          <w:rFonts w:hint="eastAsia" w:ascii="宋体" w:hAnsi="宋体" w:cs="宋体"/>
          <w:b/>
          <w:color w:val="auto"/>
          <w:sz w:val="32"/>
          <w:highlight w:val="none"/>
        </w:rPr>
        <w:t>二、评标标准</w:t>
      </w:r>
      <w:bookmarkEnd w:id="614"/>
    </w:p>
    <w:p>
      <w:pPr>
        <w:spacing w:line="360" w:lineRule="auto"/>
        <w:ind w:firstLine="413" w:firstLineChars="196"/>
        <w:outlineLvl w:val="2"/>
        <w:rPr>
          <w:rFonts w:ascii="宋体" w:hAnsi="宋体" w:cs="宋体"/>
          <w:b/>
          <w:color w:val="auto"/>
          <w:szCs w:val="21"/>
          <w:highlight w:val="none"/>
        </w:rPr>
      </w:pPr>
      <w:r>
        <w:rPr>
          <w:rFonts w:hint="eastAsia" w:ascii="宋体" w:hAnsi="宋体" w:cs="宋体"/>
          <w:b/>
          <w:color w:val="auto"/>
          <w:szCs w:val="21"/>
          <w:highlight w:val="none"/>
        </w:rPr>
        <w:t>2.</w:t>
      </w:r>
      <w:r>
        <w:rPr>
          <w:rFonts w:hint="eastAsia" w:ascii="宋体" w:hAnsi="宋体" w:cs="宋体"/>
          <w:color w:val="auto"/>
          <w:szCs w:val="21"/>
          <w:highlight w:val="none"/>
        </w:rPr>
        <w:t xml:space="preserve"> </w:t>
      </w:r>
      <w:r>
        <w:rPr>
          <w:rFonts w:hint="eastAsia" w:ascii="宋体" w:hAnsi="宋体" w:cs="宋体"/>
          <w:b/>
          <w:color w:val="auto"/>
          <w:szCs w:val="21"/>
          <w:highlight w:val="none"/>
        </w:rPr>
        <w:t>评标标准：</w:t>
      </w:r>
      <w:r>
        <w:rPr>
          <w:rFonts w:hint="eastAsia" w:ascii="宋体" w:hAnsi="宋体" w:cs="宋体"/>
          <w:color w:val="auto"/>
          <w:kern w:val="0"/>
          <w:szCs w:val="21"/>
          <w:highlight w:val="none"/>
        </w:rPr>
        <w:t>见评标办法前附表。</w:t>
      </w:r>
    </w:p>
    <w:p>
      <w:pPr>
        <w:spacing w:line="360" w:lineRule="auto"/>
        <w:outlineLvl w:val="1"/>
        <w:rPr>
          <w:rFonts w:ascii="宋体" w:hAnsi="宋体" w:cs="宋体"/>
          <w:b/>
          <w:color w:val="auto"/>
          <w:sz w:val="36"/>
          <w:szCs w:val="36"/>
          <w:highlight w:val="none"/>
        </w:rPr>
      </w:pPr>
      <w:bookmarkStart w:id="615" w:name="_Toc1306"/>
      <w:r>
        <w:rPr>
          <w:rFonts w:hint="eastAsia" w:ascii="宋体" w:hAnsi="宋体" w:cs="宋体"/>
          <w:b/>
          <w:color w:val="auto"/>
          <w:sz w:val="36"/>
          <w:szCs w:val="36"/>
          <w:highlight w:val="none"/>
        </w:rPr>
        <w:t>三、评标程序</w:t>
      </w:r>
      <w:bookmarkEnd w:id="615"/>
    </w:p>
    <w:p>
      <w:pPr>
        <w:spacing w:line="360" w:lineRule="auto"/>
        <w:ind w:firstLine="413" w:firstLineChars="196"/>
        <w:rPr>
          <w:rFonts w:ascii="宋体" w:hAnsi="宋体" w:cs="宋体"/>
          <w:color w:val="auto"/>
          <w:kern w:val="0"/>
          <w:szCs w:val="21"/>
          <w:highlight w:val="none"/>
        </w:rPr>
      </w:pPr>
      <w:r>
        <w:rPr>
          <w:rFonts w:hint="eastAsia" w:ascii="宋体" w:hAnsi="宋体" w:cs="宋体"/>
          <w:b/>
          <w:color w:val="auto"/>
          <w:kern w:val="0"/>
          <w:szCs w:val="21"/>
          <w:highlight w:val="none"/>
        </w:rPr>
        <w:t>3.1符合性审查。</w:t>
      </w:r>
      <w:r>
        <w:rPr>
          <w:rFonts w:hint="eastAsia" w:ascii="宋体" w:hAnsi="宋体" w:cs="宋体"/>
          <w:color w:val="auto"/>
          <w:kern w:val="0"/>
          <w:szCs w:val="21"/>
          <w:highlight w:val="none"/>
        </w:rPr>
        <w:t>评标委员会应当对符合资格的投标人的投标文件进行符合性审查，以确定其是否满足招标文件的实质性要求。不满足招标文件的实质性要求的，投标无效。</w:t>
      </w:r>
    </w:p>
    <w:p>
      <w:pPr>
        <w:spacing w:line="360" w:lineRule="auto"/>
        <w:ind w:firstLine="413" w:firstLineChars="196"/>
        <w:rPr>
          <w:rFonts w:ascii="宋体" w:hAnsi="宋体" w:cs="宋体"/>
          <w:color w:val="auto"/>
          <w:kern w:val="0"/>
          <w:szCs w:val="21"/>
          <w:highlight w:val="none"/>
        </w:rPr>
      </w:pPr>
      <w:r>
        <w:rPr>
          <w:rFonts w:hint="eastAsia" w:ascii="宋体" w:hAnsi="宋体" w:cs="宋体"/>
          <w:b/>
          <w:color w:val="auto"/>
          <w:kern w:val="0"/>
          <w:szCs w:val="21"/>
          <w:highlight w:val="none"/>
        </w:rPr>
        <w:t>3.2 比较与评价。</w:t>
      </w:r>
      <w:r>
        <w:rPr>
          <w:rFonts w:hint="eastAsia" w:ascii="宋体" w:hAnsi="宋体" w:cs="宋体"/>
          <w:color w:val="auto"/>
          <w:kern w:val="0"/>
          <w:szCs w:val="21"/>
          <w:highlight w:val="none"/>
        </w:rPr>
        <w:t>评标委员会应当按照招标文件中规定的评标方法和标准，对符合性审查合格的投标文件进行商务和技术评估，综合比较与评价。评标委员会成员个人主观打分偏离所有评标委员会成员主观打分平均值30%以上的，由评标委员会启动评分畸高、畸低行为认定程序。</w:t>
      </w:r>
    </w:p>
    <w:p>
      <w:pPr>
        <w:spacing w:line="360" w:lineRule="auto"/>
        <w:ind w:firstLine="413" w:firstLineChars="196"/>
        <w:rPr>
          <w:rFonts w:ascii="宋体" w:hAnsi="宋体" w:cs="宋体"/>
          <w:color w:val="auto"/>
          <w:kern w:val="0"/>
          <w:szCs w:val="21"/>
          <w:highlight w:val="none"/>
        </w:rPr>
      </w:pPr>
      <w:r>
        <w:rPr>
          <w:rFonts w:hint="eastAsia" w:ascii="宋体" w:hAnsi="宋体" w:cs="宋体"/>
          <w:b/>
          <w:color w:val="auto"/>
          <w:kern w:val="0"/>
          <w:szCs w:val="21"/>
          <w:highlight w:val="none"/>
        </w:rPr>
        <w:t>3.3汇总商务技术得分。</w:t>
      </w:r>
      <w:r>
        <w:rPr>
          <w:rFonts w:hint="eastAsia" w:ascii="宋体" w:hAnsi="宋体" w:cs="宋体"/>
          <w:color w:val="auto"/>
          <w:kern w:val="0"/>
          <w:szCs w:val="21"/>
          <w:highlight w:val="none"/>
        </w:rPr>
        <w:t>评标委员会各成员应当独立对每个投标人的商务和技术文件进行评价，并汇总商务技术得分情况。</w:t>
      </w:r>
    </w:p>
    <w:p>
      <w:pPr>
        <w:spacing w:line="360" w:lineRule="auto"/>
        <w:ind w:firstLine="413" w:firstLineChars="196"/>
        <w:outlineLvl w:val="2"/>
        <w:rPr>
          <w:rFonts w:ascii="宋体" w:hAnsi="宋体" w:cs="宋体"/>
          <w:b/>
          <w:color w:val="auto"/>
          <w:kern w:val="0"/>
          <w:szCs w:val="21"/>
          <w:highlight w:val="none"/>
        </w:rPr>
      </w:pPr>
      <w:r>
        <w:rPr>
          <w:rFonts w:hint="eastAsia" w:ascii="宋体" w:hAnsi="宋体" w:cs="宋体"/>
          <w:b/>
          <w:color w:val="auto"/>
          <w:kern w:val="0"/>
          <w:szCs w:val="21"/>
          <w:highlight w:val="none"/>
        </w:rPr>
        <w:t>3.4报价评审。</w:t>
      </w:r>
    </w:p>
    <w:p>
      <w:pPr>
        <w:pStyle w:val="133"/>
        <w:spacing w:before="0"/>
        <w:ind w:firstLine="445" w:firstLineChars="212"/>
        <w:outlineLvl w:val="3"/>
        <w:rPr>
          <w:rFonts w:ascii="宋体" w:hAnsi="宋体" w:cs="宋体"/>
          <w:color w:val="auto"/>
          <w:kern w:val="0"/>
          <w:sz w:val="21"/>
          <w:szCs w:val="21"/>
          <w:highlight w:val="none"/>
        </w:rPr>
      </w:pPr>
      <w:r>
        <w:rPr>
          <w:rFonts w:hint="eastAsia" w:ascii="宋体" w:hAnsi="宋体" w:cs="宋体"/>
          <w:color w:val="auto"/>
          <w:kern w:val="0"/>
          <w:sz w:val="21"/>
          <w:szCs w:val="21"/>
          <w:highlight w:val="none"/>
        </w:rPr>
        <w:t>3.4.1投标文件报价出现前后不一致的，按照下列规定修正：</w:t>
      </w:r>
    </w:p>
    <w:p>
      <w:pPr>
        <w:pStyle w:val="133"/>
        <w:spacing w:before="0"/>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3.4.1.1投标文件中开标一览表(报价表)内容与投标文件中相应内容不一致的，以开标一览表(报价表)为准;</w:t>
      </w:r>
    </w:p>
    <w:p>
      <w:pPr>
        <w:pStyle w:val="133"/>
        <w:spacing w:before="0"/>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3.4.1.2大写金额和小写金额不一致的，以大写金额为准;</w:t>
      </w:r>
    </w:p>
    <w:p>
      <w:pPr>
        <w:pStyle w:val="133"/>
        <w:spacing w:before="0"/>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3.4.1.3单价金额小数点或者百分比有明显错位的，以开标一览表的总价为准，并修改单价;</w:t>
      </w:r>
    </w:p>
    <w:p>
      <w:pPr>
        <w:pStyle w:val="133"/>
        <w:spacing w:before="0"/>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3.4.1.4总价金额与按单价汇总金额不一致的，以单价金额计算结果为准。</w:t>
      </w:r>
    </w:p>
    <w:p>
      <w:pPr>
        <w:pStyle w:val="133"/>
        <w:spacing w:before="0"/>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3.4.2投标文件出现不是唯一的、有选择性投标报价的，投标无效。</w:t>
      </w:r>
    </w:p>
    <w:p>
      <w:pPr>
        <w:snapToGri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3.4.3投标报价超过招标文件中规定的预算金额或者最高限价的，投标无效。</w:t>
      </w:r>
    </w:p>
    <w:p>
      <w:pPr>
        <w:pStyle w:val="133"/>
        <w:spacing w:before="0"/>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33"/>
        <w:spacing w:before="0"/>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3.4.5对于未预留份额专门面向中小企业的政府采购货物项目，以及预留份额政府采购货物项目中的非预留部分标项，对小型和微型企业的投标报价给予10%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360" w:lineRule="auto"/>
        <w:rPr>
          <w:rFonts w:ascii="宋体" w:hAnsi="宋体" w:cs="宋体"/>
          <w:color w:val="auto"/>
          <w:szCs w:val="21"/>
          <w:highlight w:val="none"/>
        </w:rPr>
      </w:pPr>
      <w:r>
        <w:rPr>
          <w:rFonts w:hint="eastAsia" w:ascii="宋体" w:hAnsi="宋体" w:cs="宋体"/>
          <w:b/>
          <w:color w:val="auto"/>
          <w:kern w:val="0"/>
          <w:szCs w:val="21"/>
          <w:highlight w:val="none"/>
        </w:rPr>
        <w:t>3.5排序与推荐。</w:t>
      </w:r>
      <w:r>
        <w:rPr>
          <w:rFonts w:hint="eastAsia" w:ascii="宋体" w:hAnsi="宋体" w:cs="宋体"/>
          <w:color w:val="auto"/>
          <w:kern w:val="0"/>
          <w:szCs w:val="21"/>
          <w:highlight w:val="none"/>
        </w:rPr>
        <w:t>采用综合评分法的，每标项评标结果按评审后得分由高到低顺序排列。得分相同的，按投标报价由低到高顺序排列。得分且投标报价相同的并列</w:t>
      </w:r>
      <w:r>
        <w:rPr>
          <w:rFonts w:hint="eastAsia" w:ascii="宋体" w:hAnsi="宋体" w:cs="宋体"/>
          <w:color w:val="auto"/>
          <w:kern w:val="0"/>
          <w:szCs w:val="21"/>
          <w:highlight w:val="none"/>
          <w:lang w:eastAsia="zh-CN"/>
        </w:rPr>
        <w:t>，</w:t>
      </w:r>
      <w:r>
        <w:rPr>
          <w:rFonts w:hint="eastAsia" w:ascii="宋体" w:hAnsi="宋体" w:cs="宋体"/>
          <w:color w:val="auto"/>
          <w:szCs w:val="21"/>
          <w:highlight w:val="none"/>
          <w:lang w:val="en-US" w:eastAsia="zh-CN"/>
        </w:rPr>
        <w:t>每标项</w:t>
      </w:r>
      <w:r>
        <w:rPr>
          <w:rFonts w:hint="eastAsia" w:ascii="宋体" w:hAnsi="宋体" w:cs="宋体"/>
          <w:color w:val="auto"/>
          <w:szCs w:val="21"/>
          <w:highlight w:val="none"/>
        </w:rPr>
        <w:t>由排名第1至2名的投标人为本标项第一、二中标候选人。</w:t>
      </w:r>
    </w:p>
    <w:p>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rPr>
          <w:rFonts w:ascii="宋体" w:hAnsi="宋体" w:cs="宋体"/>
          <w:color w:val="auto"/>
          <w:kern w:val="0"/>
          <w:szCs w:val="21"/>
          <w:highlight w:val="none"/>
        </w:rPr>
      </w:pPr>
    </w:p>
    <w:p>
      <w:pPr>
        <w:spacing w:line="360" w:lineRule="auto"/>
        <w:ind w:firstLine="413" w:firstLineChars="196"/>
        <w:rPr>
          <w:rFonts w:hint="eastAsia" w:ascii="宋体" w:hAnsi="宋体" w:eastAsia="宋体" w:cs="宋体"/>
          <w:color w:val="auto"/>
          <w:kern w:val="0"/>
          <w:szCs w:val="21"/>
          <w:highlight w:val="none"/>
        </w:rPr>
      </w:pPr>
      <w:r>
        <w:rPr>
          <w:rFonts w:hint="eastAsia" w:ascii="宋体" w:hAnsi="宋体" w:cs="宋体"/>
          <w:b/>
          <w:color w:val="auto"/>
          <w:kern w:val="0"/>
          <w:szCs w:val="21"/>
          <w:highlight w:val="none"/>
        </w:rPr>
        <w:t>3.6编写评标报告。</w:t>
      </w:r>
      <w:r>
        <w:rPr>
          <w:rFonts w:hint="eastAsia" w:ascii="宋体" w:hAnsi="宋体" w:cs="宋体"/>
          <w:color w:val="auto"/>
          <w:kern w:val="0"/>
          <w:szCs w:val="21"/>
          <w:highlight w:val="none"/>
        </w:rPr>
        <w:t>评标委员会根据全体评标成员</w:t>
      </w:r>
      <w:r>
        <w:rPr>
          <w:rFonts w:hint="eastAsia" w:ascii="宋体" w:hAnsi="宋体" w:eastAsia="宋体" w:cs="宋体"/>
          <w:color w:val="auto"/>
          <w:kern w:val="0"/>
          <w:szCs w:val="21"/>
          <w:highlight w:val="none"/>
        </w:rPr>
        <w:t>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spacing w:line="360" w:lineRule="auto"/>
        <w:outlineLvl w:val="1"/>
        <w:rPr>
          <w:rFonts w:ascii="宋体" w:hAnsi="宋体" w:cs="宋体"/>
          <w:b/>
          <w:color w:val="auto"/>
          <w:sz w:val="36"/>
          <w:szCs w:val="36"/>
          <w:highlight w:val="none"/>
        </w:rPr>
      </w:pPr>
      <w:bookmarkStart w:id="616" w:name="_Toc29108"/>
      <w:r>
        <w:rPr>
          <w:rFonts w:hint="eastAsia" w:ascii="宋体" w:hAnsi="宋体" w:cs="宋体"/>
          <w:b/>
          <w:color w:val="auto"/>
          <w:sz w:val="36"/>
          <w:szCs w:val="36"/>
          <w:highlight w:val="none"/>
        </w:rPr>
        <w:t>四、评标中的其他事项</w:t>
      </w:r>
      <w:bookmarkEnd w:id="616"/>
    </w:p>
    <w:p>
      <w:pPr>
        <w:pStyle w:val="133"/>
        <w:spacing w:before="0"/>
        <w:ind w:firstLine="413" w:firstLineChars="196"/>
        <w:rPr>
          <w:rFonts w:ascii="宋体" w:hAnsi="宋体" w:cs="宋体"/>
          <w:color w:val="auto"/>
          <w:kern w:val="0"/>
          <w:sz w:val="21"/>
          <w:szCs w:val="21"/>
          <w:highlight w:val="none"/>
        </w:rPr>
      </w:pPr>
      <w:r>
        <w:rPr>
          <w:rFonts w:hint="eastAsia" w:ascii="宋体" w:hAnsi="宋体" w:cs="宋体"/>
          <w:b/>
          <w:color w:val="auto"/>
          <w:kern w:val="0"/>
          <w:sz w:val="21"/>
          <w:szCs w:val="21"/>
          <w:highlight w:val="none"/>
        </w:rPr>
        <w:t>4.1投标人澄清、说明或者补正。</w:t>
      </w:r>
      <w:r>
        <w:rPr>
          <w:rFonts w:hint="eastAsia" w:ascii="宋体" w:hAnsi="宋体" w:cs="宋体"/>
          <w:color w:val="auto"/>
          <w:kern w:val="0"/>
          <w:sz w:val="21"/>
          <w:szCs w:val="21"/>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5"/>
        <w:spacing w:line="360" w:lineRule="auto"/>
        <w:ind w:left="954" w:leftChars="226" w:hanging="479" w:firstLineChars="0"/>
        <w:outlineLvl w:val="2"/>
        <w:rPr>
          <w:rFonts w:cs="宋体"/>
          <w:color w:val="auto"/>
          <w:sz w:val="21"/>
          <w:szCs w:val="21"/>
          <w:highlight w:val="none"/>
        </w:rPr>
      </w:pPr>
      <w:r>
        <w:rPr>
          <w:rFonts w:hint="eastAsia" w:cs="宋体"/>
          <w:b/>
          <w:color w:val="auto"/>
          <w:kern w:val="0"/>
          <w:sz w:val="21"/>
          <w:szCs w:val="21"/>
          <w:highlight w:val="none"/>
        </w:rPr>
        <w:t>4.2投标无效。</w:t>
      </w:r>
      <w:r>
        <w:rPr>
          <w:rFonts w:hint="eastAsia" w:cs="宋体"/>
          <w:color w:val="auto"/>
          <w:sz w:val="21"/>
          <w:szCs w:val="21"/>
          <w:highlight w:val="none"/>
        </w:rPr>
        <w:t>有下列情形之一的，投标无效：</w:t>
      </w:r>
    </w:p>
    <w:p>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4.2.1投标人不具备招标文件中规定的资格要求的（投标人未提供有效的资格文件的，视为投标人不具备招标文件中规定的资格要求）；</w:t>
      </w:r>
    </w:p>
    <w:p>
      <w:pPr>
        <w:spacing w:line="360" w:lineRule="auto"/>
        <w:ind w:firstLine="420" w:firstLineChars="200"/>
        <w:outlineLvl w:val="3"/>
        <w:rPr>
          <w:rFonts w:ascii="宋体" w:hAnsi="宋体" w:cs="宋体"/>
          <w:color w:val="auto"/>
          <w:kern w:val="0"/>
          <w:szCs w:val="21"/>
          <w:highlight w:val="none"/>
        </w:rPr>
      </w:pPr>
      <w:r>
        <w:rPr>
          <w:rFonts w:hint="eastAsia" w:ascii="宋体" w:hAnsi="宋体" w:cs="宋体"/>
          <w:color w:val="auto"/>
          <w:kern w:val="0"/>
          <w:szCs w:val="21"/>
          <w:highlight w:val="none"/>
        </w:rPr>
        <w:t>4.2.2投标文件未按照招标文件要求签署、盖章的；</w:t>
      </w:r>
    </w:p>
    <w:p>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4.2.3采购人拟采购的产品属于政府强制采购的节能产品品目清单范围的，投标人相应的投标产品未获得国家确定的认证机构出具的、处于有效期之内的节能产品认证证书的；</w:t>
      </w:r>
    </w:p>
    <w:p>
      <w:pPr>
        <w:spacing w:line="360" w:lineRule="auto"/>
        <w:ind w:firstLine="420" w:firstLineChars="200"/>
        <w:outlineLvl w:val="3"/>
        <w:rPr>
          <w:rFonts w:ascii="宋体" w:hAnsi="宋体" w:cs="宋体"/>
          <w:color w:val="auto"/>
          <w:kern w:val="0"/>
          <w:szCs w:val="21"/>
          <w:highlight w:val="none"/>
        </w:rPr>
      </w:pPr>
      <w:r>
        <w:rPr>
          <w:rFonts w:hint="eastAsia" w:ascii="宋体" w:hAnsi="宋体" w:cs="宋体"/>
          <w:color w:val="auto"/>
          <w:kern w:val="0"/>
          <w:szCs w:val="21"/>
          <w:highlight w:val="none"/>
        </w:rPr>
        <w:t>4.2.4投标文件含有采购人不能接受的附加条件的；</w:t>
      </w:r>
    </w:p>
    <w:p>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4.2.5投标文件中承诺的投标有效期少于招标文件中载明的投标有效期的；</w:t>
      </w:r>
    </w:p>
    <w:p>
      <w:pPr>
        <w:snapToGrid w:val="0"/>
        <w:spacing w:line="360" w:lineRule="auto"/>
        <w:ind w:firstLine="105" w:firstLineChars="50"/>
        <w:jc w:val="left"/>
        <w:outlineLvl w:val="3"/>
        <w:rPr>
          <w:rFonts w:ascii="宋体" w:hAnsi="宋体" w:cs="宋体"/>
          <w:color w:val="auto"/>
          <w:kern w:val="0"/>
          <w:szCs w:val="21"/>
          <w:highlight w:val="none"/>
        </w:rPr>
      </w:pPr>
      <w:r>
        <w:rPr>
          <w:rFonts w:hint="eastAsia" w:ascii="宋体" w:hAnsi="宋体" w:cs="宋体"/>
          <w:color w:val="auto"/>
          <w:kern w:val="0"/>
          <w:szCs w:val="21"/>
          <w:highlight w:val="none"/>
        </w:rPr>
        <w:t xml:space="preserve">   4.2.6投标文件出现不是唯一的、有选择性投标报价的;</w:t>
      </w:r>
    </w:p>
    <w:p>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4.2.7投标报价超过招标文件中规定的预算金额或者最高限价的;</w:t>
      </w:r>
    </w:p>
    <w:p>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4.2.9投标人对根据修正原则修正后的报价不确认的；</w:t>
      </w:r>
    </w:p>
    <w:p>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4.2.10投标人提供虚假材料投标的；</w:t>
      </w:r>
    </w:p>
    <w:p>
      <w:pPr>
        <w:spacing w:line="360" w:lineRule="auto"/>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 xml:space="preserve">  4.2.11投标人有恶意串通、妨碍其他投标人的竞争行为、损害采购人或者其他投标人的合法权益情形的；</w:t>
      </w:r>
    </w:p>
    <w:p>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4.2.12投标人仅提交备份投标文件，未在电子交易平台传输递交投标文件的，投标无效；</w:t>
      </w:r>
    </w:p>
    <w:p>
      <w:pPr>
        <w:pStyle w:val="4"/>
        <w:ind w:left="862" w:leftChars="205"/>
        <w:rPr>
          <w:rFonts w:ascii="宋体" w:hAnsi="宋体" w:eastAsia="宋体" w:cs="宋体"/>
          <w:b w:val="0"/>
          <w:bCs w:val="0"/>
          <w:color w:val="auto"/>
          <w:kern w:val="0"/>
          <w:sz w:val="21"/>
          <w:szCs w:val="21"/>
          <w:highlight w:val="none"/>
          <w:lang w:val="en-US"/>
        </w:rPr>
      </w:pPr>
      <w:bookmarkStart w:id="617" w:name="_Toc16784"/>
      <w:r>
        <w:rPr>
          <w:rFonts w:hint="eastAsia" w:ascii="宋体" w:hAnsi="宋体" w:eastAsia="宋体" w:cs="宋体"/>
          <w:b w:val="0"/>
          <w:bCs w:val="0"/>
          <w:color w:val="auto"/>
          <w:kern w:val="0"/>
          <w:sz w:val="21"/>
          <w:szCs w:val="21"/>
          <w:highlight w:val="none"/>
          <w:lang w:val="en-US"/>
        </w:rPr>
        <w:t>4.2.13 投标文件不满足招标文件的其它实质性要求的；</w:t>
      </w:r>
      <w:bookmarkEnd w:id="617"/>
    </w:p>
    <w:p>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4.2.14法律、法规、规章（适用本市的）及省级以上规范性文件（适用本市的）规定的其他无效情形。</w:t>
      </w:r>
    </w:p>
    <w:p>
      <w:pPr>
        <w:pStyle w:val="25"/>
        <w:snapToGrid w:val="0"/>
        <w:spacing w:line="360" w:lineRule="auto"/>
        <w:ind w:firstLine="413" w:firstLineChars="196"/>
        <w:rPr>
          <w:rFonts w:cs="宋体"/>
          <w:color w:val="auto"/>
          <w:sz w:val="21"/>
          <w:szCs w:val="21"/>
          <w:highlight w:val="none"/>
        </w:rPr>
      </w:pPr>
      <w:r>
        <w:rPr>
          <w:rFonts w:hint="eastAsia" w:cs="宋体"/>
          <w:b/>
          <w:color w:val="auto"/>
          <w:sz w:val="21"/>
          <w:szCs w:val="21"/>
          <w:highlight w:val="none"/>
        </w:rPr>
        <w:t>5.废标。</w:t>
      </w:r>
      <w:r>
        <w:rPr>
          <w:rFonts w:hint="eastAsia" w:cs="宋体"/>
          <w:color w:val="auto"/>
          <w:sz w:val="21"/>
          <w:szCs w:val="21"/>
          <w:highlight w:val="none"/>
        </w:rPr>
        <w:t>根据《中华人民共和国政府采购法》第三十六条之规定，在采购中，出现下列情形之一的，应予废标：</w:t>
      </w:r>
    </w:p>
    <w:p>
      <w:pPr>
        <w:pStyle w:val="25"/>
        <w:snapToGrid w:val="0"/>
        <w:spacing w:line="360" w:lineRule="auto"/>
        <w:ind w:firstLine="420"/>
        <w:rPr>
          <w:rFonts w:cs="宋体"/>
          <w:color w:val="auto"/>
          <w:sz w:val="21"/>
          <w:szCs w:val="21"/>
          <w:highlight w:val="none"/>
        </w:rPr>
      </w:pPr>
      <w:r>
        <w:rPr>
          <w:rFonts w:hint="eastAsia" w:cs="宋体"/>
          <w:color w:val="auto"/>
          <w:sz w:val="21"/>
          <w:szCs w:val="21"/>
          <w:highlight w:val="none"/>
        </w:rPr>
        <w:t>5.1符合专业条件的供应商或者对招标文件作实质响应的供应商不足3家的；</w:t>
      </w:r>
    </w:p>
    <w:p>
      <w:pPr>
        <w:pStyle w:val="25"/>
        <w:snapToGrid w:val="0"/>
        <w:spacing w:line="360" w:lineRule="auto"/>
        <w:ind w:firstLine="420"/>
        <w:rPr>
          <w:rFonts w:cs="宋体"/>
          <w:color w:val="auto"/>
          <w:sz w:val="21"/>
          <w:szCs w:val="21"/>
          <w:highlight w:val="none"/>
        </w:rPr>
      </w:pPr>
      <w:r>
        <w:rPr>
          <w:rFonts w:hint="eastAsia" w:cs="宋体"/>
          <w:color w:val="auto"/>
          <w:sz w:val="21"/>
          <w:szCs w:val="21"/>
          <w:highlight w:val="none"/>
        </w:rPr>
        <w:t>5.2出现影响采购公正的违法、违规行为的；</w:t>
      </w:r>
    </w:p>
    <w:p>
      <w:pPr>
        <w:pStyle w:val="25"/>
        <w:snapToGrid w:val="0"/>
        <w:spacing w:line="360" w:lineRule="auto"/>
        <w:ind w:firstLine="420"/>
        <w:rPr>
          <w:rFonts w:cs="宋体"/>
          <w:color w:val="auto"/>
          <w:sz w:val="21"/>
          <w:szCs w:val="21"/>
          <w:highlight w:val="none"/>
        </w:rPr>
      </w:pPr>
      <w:r>
        <w:rPr>
          <w:rFonts w:hint="eastAsia" w:cs="宋体"/>
          <w:color w:val="auto"/>
          <w:sz w:val="21"/>
          <w:szCs w:val="21"/>
          <w:highlight w:val="none"/>
        </w:rPr>
        <w:t>5.3投标人的报价均超过了采购预算，采购人不能支付的；</w:t>
      </w:r>
    </w:p>
    <w:p>
      <w:pPr>
        <w:pStyle w:val="25"/>
        <w:snapToGrid w:val="0"/>
        <w:spacing w:line="360" w:lineRule="auto"/>
        <w:ind w:firstLine="420"/>
        <w:rPr>
          <w:rFonts w:cs="宋体"/>
          <w:color w:val="auto"/>
          <w:sz w:val="21"/>
          <w:szCs w:val="21"/>
          <w:highlight w:val="none"/>
        </w:rPr>
      </w:pPr>
      <w:r>
        <w:rPr>
          <w:rFonts w:hint="eastAsia" w:cs="宋体"/>
          <w:color w:val="auto"/>
          <w:sz w:val="21"/>
          <w:szCs w:val="21"/>
          <w:highlight w:val="none"/>
        </w:rPr>
        <w:t>5.4因重大变故，采购任务取消的。</w:t>
      </w:r>
    </w:p>
    <w:p>
      <w:pPr>
        <w:pStyle w:val="25"/>
        <w:snapToGrid w:val="0"/>
        <w:spacing w:line="360" w:lineRule="auto"/>
        <w:ind w:firstLine="420"/>
        <w:rPr>
          <w:rFonts w:cs="宋体"/>
          <w:color w:val="auto"/>
          <w:sz w:val="21"/>
          <w:szCs w:val="21"/>
          <w:highlight w:val="none"/>
        </w:rPr>
      </w:pPr>
      <w:r>
        <w:rPr>
          <w:rFonts w:hint="eastAsia" w:cs="宋体"/>
          <w:color w:val="auto"/>
          <w:sz w:val="21"/>
          <w:szCs w:val="21"/>
          <w:highlight w:val="none"/>
        </w:rPr>
        <w:t>废标后，采购代理机构应当将废标理由通知所有投标人。</w:t>
      </w:r>
    </w:p>
    <w:p>
      <w:pPr>
        <w:pStyle w:val="25"/>
        <w:snapToGrid w:val="0"/>
        <w:spacing w:line="360" w:lineRule="auto"/>
        <w:ind w:firstLine="517" w:firstLineChars="245"/>
        <w:rPr>
          <w:rFonts w:cs="宋体"/>
          <w:color w:val="auto"/>
          <w:sz w:val="21"/>
          <w:szCs w:val="21"/>
          <w:highlight w:val="none"/>
        </w:rPr>
      </w:pPr>
      <w:r>
        <w:rPr>
          <w:rFonts w:hint="eastAsia" w:cs="宋体"/>
          <w:b/>
          <w:color w:val="auto"/>
          <w:sz w:val="21"/>
          <w:szCs w:val="21"/>
          <w:highlight w:val="none"/>
        </w:rPr>
        <w:t>6.修改招标文件，重新组织采购活动。</w:t>
      </w:r>
      <w:r>
        <w:rPr>
          <w:rFonts w:hint="eastAsia" w:cs="宋体"/>
          <w:color w:val="auto"/>
          <w:sz w:val="21"/>
          <w:szCs w:val="21"/>
          <w:highlight w:val="none"/>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pPr>
        <w:pStyle w:val="25"/>
        <w:snapToGrid w:val="0"/>
        <w:spacing w:line="360" w:lineRule="auto"/>
        <w:ind w:firstLine="422"/>
        <w:rPr>
          <w:rFonts w:cs="宋体"/>
          <w:color w:val="auto"/>
          <w:sz w:val="21"/>
          <w:szCs w:val="21"/>
          <w:highlight w:val="none"/>
        </w:rPr>
      </w:pPr>
      <w:r>
        <w:rPr>
          <w:rFonts w:hint="eastAsia" w:cs="宋体"/>
          <w:b/>
          <w:color w:val="auto"/>
          <w:kern w:val="0"/>
          <w:sz w:val="21"/>
          <w:szCs w:val="21"/>
          <w:highlight w:val="none"/>
        </w:rPr>
        <w:t>7.重新开展采购。</w:t>
      </w:r>
      <w:r>
        <w:rPr>
          <w:rFonts w:hint="eastAsia" w:cs="宋体"/>
          <w:color w:val="auto"/>
          <w:sz w:val="21"/>
          <w:szCs w:val="21"/>
          <w:highlight w:val="none"/>
        </w:rPr>
        <w:t>有政府采购法第七十一条、第七十二条规定的违法行为之一，影响或者可能影响中标结果的，依照下列规定处理：</w:t>
      </w:r>
    </w:p>
    <w:p>
      <w:pPr>
        <w:pStyle w:val="25"/>
        <w:snapToGrid w:val="0"/>
        <w:spacing w:line="360" w:lineRule="auto"/>
        <w:ind w:firstLine="420"/>
        <w:rPr>
          <w:rFonts w:cs="宋体"/>
          <w:color w:val="auto"/>
          <w:sz w:val="21"/>
          <w:szCs w:val="21"/>
          <w:highlight w:val="none"/>
        </w:rPr>
      </w:pPr>
      <w:r>
        <w:rPr>
          <w:rFonts w:hint="eastAsia" w:cs="宋体"/>
          <w:color w:val="auto"/>
          <w:sz w:val="21"/>
          <w:szCs w:val="21"/>
          <w:highlight w:val="none"/>
        </w:rPr>
        <w:t>7.1未确定中标供应商的，终止本次政府采购活动，重新开展政府采购活动。</w:t>
      </w:r>
    </w:p>
    <w:p>
      <w:pPr>
        <w:pStyle w:val="25"/>
        <w:snapToGrid w:val="0"/>
        <w:spacing w:line="360" w:lineRule="auto"/>
        <w:ind w:firstLine="420"/>
        <w:rPr>
          <w:rFonts w:cs="宋体"/>
          <w:color w:val="auto"/>
          <w:sz w:val="21"/>
          <w:szCs w:val="21"/>
          <w:highlight w:val="none"/>
        </w:rPr>
      </w:pPr>
      <w:r>
        <w:rPr>
          <w:rFonts w:hint="eastAsia" w:cs="宋体"/>
          <w:color w:val="auto"/>
          <w:sz w:val="21"/>
          <w:szCs w:val="21"/>
          <w:highlight w:val="none"/>
        </w:rPr>
        <w:t>7.2已确定中标供应商但尚未签订政府采购合同的，中标结果无效，从合格的中标候选人中另行确定中标供应商；没有合格的中标候选人的，重新开展政府采购活动。</w:t>
      </w:r>
    </w:p>
    <w:p>
      <w:pPr>
        <w:pStyle w:val="25"/>
        <w:snapToGrid w:val="0"/>
        <w:spacing w:line="360" w:lineRule="auto"/>
        <w:ind w:firstLine="420"/>
        <w:rPr>
          <w:rFonts w:cs="宋体"/>
          <w:color w:val="auto"/>
          <w:sz w:val="21"/>
          <w:szCs w:val="21"/>
          <w:highlight w:val="none"/>
        </w:rPr>
      </w:pPr>
      <w:r>
        <w:rPr>
          <w:rFonts w:hint="eastAsia" w:cs="宋体"/>
          <w:color w:val="auto"/>
          <w:sz w:val="21"/>
          <w:szCs w:val="21"/>
          <w:highlight w:val="none"/>
        </w:rPr>
        <w:t>7.3政府采购合同已签订但尚未履行的，撤销合同，从合格的中标候选人中另行确定中标供应商；没有合格的中标候选人的，重新开展政府采购活动。</w:t>
      </w:r>
    </w:p>
    <w:p>
      <w:pPr>
        <w:pStyle w:val="25"/>
        <w:snapToGrid w:val="0"/>
        <w:spacing w:line="360" w:lineRule="auto"/>
        <w:ind w:firstLine="420"/>
        <w:rPr>
          <w:rFonts w:cs="宋体"/>
          <w:color w:val="auto"/>
          <w:sz w:val="21"/>
          <w:szCs w:val="21"/>
          <w:highlight w:val="none"/>
        </w:rPr>
      </w:pPr>
      <w:r>
        <w:rPr>
          <w:rFonts w:hint="eastAsia" w:cs="宋体"/>
          <w:color w:val="auto"/>
          <w:sz w:val="21"/>
          <w:szCs w:val="21"/>
          <w:highlight w:val="none"/>
        </w:rPr>
        <w:t>7.4政府采购合同已经履行，给采购人、供应商造成损失的，由责任人承担赔偿责任。</w:t>
      </w:r>
    </w:p>
    <w:p>
      <w:pPr>
        <w:pStyle w:val="25"/>
        <w:snapToGrid w:val="0"/>
        <w:spacing w:line="360" w:lineRule="auto"/>
        <w:ind w:firstLine="420"/>
        <w:rPr>
          <w:rFonts w:cs="宋体"/>
          <w:color w:val="auto"/>
          <w:sz w:val="21"/>
          <w:szCs w:val="21"/>
          <w:highlight w:val="none"/>
        </w:rPr>
      </w:pPr>
      <w:r>
        <w:rPr>
          <w:rFonts w:hint="eastAsia" w:cs="宋体"/>
          <w:color w:val="auto"/>
          <w:sz w:val="21"/>
          <w:szCs w:val="21"/>
          <w:highlight w:val="none"/>
        </w:rPr>
        <w:t>7.5政府采购当事人有其他违反政府采购法或者政府采购法实施条例等法律法规规定的行为，经改正后仍然影响或者可能影响中标结果或者依法被认定为中标无效的，依照7.1-7.4规定处理。</w:t>
      </w:r>
    </w:p>
    <w:bookmarkEnd w:id="60"/>
    <w:p>
      <w:pPr>
        <w:spacing w:line="360" w:lineRule="auto"/>
        <w:ind w:left="720" w:leftChars="343" w:firstLine="1084" w:firstLineChars="300"/>
        <w:rPr>
          <w:rFonts w:ascii="宋体" w:hAnsi="宋体" w:cs="宋体"/>
          <w:b/>
          <w:color w:val="auto"/>
          <w:sz w:val="36"/>
          <w:szCs w:val="36"/>
          <w:highlight w:val="none"/>
        </w:rPr>
      </w:pPr>
      <w:bookmarkStart w:id="618" w:name="_Toc20593"/>
      <w:bookmarkStart w:id="619" w:name="_Toc12957"/>
      <w:bookmarkStart w:id="620" w:name="第五部分"/>
      <w:bookmarkStart w:id="621" w:name="_Toc86217003"/>
    </w:p>
    <w:p>
      <w:pPr>
        <w:spacing w:line="360" w:lineRule="auto"/>
        <w:ind w:left="720" w:leftChars="343" w:firstLine="1084" w:firstLineChars="300"/>
        <w:rPr>
          <w:rFonts w:ascii="宋体" w:hAnsi="宋体" w:cs="宋体"/>
          <w:b/>
          <w:color w:val="auto"/>
          <w:sz w:val="36"/>
          <w:szCs w:val="36"/>
          <w:highlight w:val="none"/>
        </w:rPr>
      </w:pPr>
    </w:p>
    <w:p>
      <w:pPr>
        <w:spacing w:line="360" w:lineRule="auto"/>
        <w:ind w:left="720" w:leftChars="343" w:firstLine="1084" w:firstLineChars="300"/>
        <w:rPr>
          <w:rFonts w:ascii="宋体" w:hAnsi="宋体" w:cs="宋体"/>
          <w:b/>
          <w:color w:val="auto"/>
          <w:sz w:val="36"/>
          <w:szCs w:val="36"/>
          <w:highlight w:val="none"/>
        </w:rPr>
      </w:pPr>
    </w:p>
    <w:p>
      <w:pPr>
        <w:spacing w:line="360" w:lineRule="auto"/>
        <w:ind w:left="720" w:leftChars="343" w:firstLine="1084" w:firstLineChars="300"/>
        <w:rPr>
          <w:rFonts w:ascii="宋体" w:hAnsi="宋体" w:cs="宋体"/>
          <w:b/>
          <w:color w:val="auto"/>
          <w:sz w:val="36"/>
          <w:szCs w:val="36"/>
          <w:highlight w:val="none"/>
        </w:rPr>
      </w:pPr>
    </w:p>
    <w:p>
      <w:pPr>
        <w:spacing w:line="360" w:lineRule="auto"/>
        <w:ind w:left="720" w:leftChars="343" w:firstLine="1084" w:firstLineChars="300"/>
        <w:rPr>
          <w:rFonts w:ascii="宋体" w:hAnsi="宋体" w:cs="宋体"/>
          <w:b/>
          <w:color w:val="auto"/>
          <w:sz w:val="36"/>
          <w:szCs w:val="36"/>
          <w:highlight w:val="none"/>
        </w:rPr>
      </w:pPr>
    </w:p>
    <w:p>
      <w:pPr>
        <w:spacing w:line="360" w:lineRule="auto"/>
        <w:ind w:left="720" w:leftChars="343" w:firstLine="1084" w:firstLineChars="300"/>
        <w:rPr>
          <w:rFonts w:ascii="宋体" w:hAnsi="宋体" w:cs="宋体"/>
          <w:b/>
          <w:color w:val="auto"/>
          <w:sz w:val="36"/>
          <w:szCs w:val="36"/>
          <w:highlight w:val="none"/>
        </w:rPr>
      </w:pPr>
    </w:p>
    <w:p>
      <w:pPr>
        <w:spacing w:line="360" w:lineRule="auto"/>
        <w:ind w:left="720" w:leftChars="343" w:firstLine="1084" w:firstLineChars="300"/>
        <w:rPr>
          <w:rFonts w:ascii="宋体" w:hAnsi="宋体" w:cs="宋体"/>
          <w:b/>
          <w:color w:val="auto"/>
          <w:sz w:val="36"/>
          <w:szCs w:val="36"/>
          <w:highlight w:val="none"/>
        </w:rPr>
      </w:pPr>
    </w:p>
    <w:p>
      <w:pPr>
        <w:rPr>
          <w:color w:val="auto"/>
          <w:highlight w:val="none"/>
        </w:rPr>
      </w:pPr>
    </w:p>
    <w:p>
      <w:pPr>
        <w:spacing w:line="360" w:lineRule="auto"/>
        <w:ind w:left="720" w:leftChars="343" w:firstLine="1084" w:firstLineChars="300"/>
        <w:outlineLvl w:val="0"/>
        <w:rPr>
          <w:rFonts w:hint="eastAsia" w:ascii="宋体" w:hAnsi="宋体" w:cs="宋体"/>
          <w:b/>
          <w:color w:val="auto"/>
          <w:sz w:val="36"/>
          <w:szCs w:val="36"/>
          <w:highlight w:val="none"/>
        </w:rPr>
      </w:pPr>
    </w:p>
    <w:p>
      <w:pPr>
        <w:spacing w:line="360" w:lineRule="auto"/>
        <w:ind w:left="720" w:leftChars="343" w:firstLine="1084" w:firstLineChars="300"/>
        <w:outlineLvl w:val="0"/>
        <w:rPr>
          <w:rFonts w:hint="eastAsia" w:ascii="宋体" w:hAnsi="宋体" w:cs="宋体"/>
          <w:b/>
          <w:color w:val="auto"/>
          <w:sz w:val="36"/>
          <w:szCs w:val="36"/>
          <w:highlight w:val="none"/>
        </w:rPr>
      </w:pPr>
    </w:p>
    <w:p>
      <w:pPr>
        <w:spacing w:line="360" w:lineRule="auto"/>
        <w:ind w:left="720" w:leftChars="343" w:firstLine="1084" w:firstLineChars="300"/>
        <w:outlineLvl w:val="0"/>
        <w:rPr>
          <w:rFonts w:hint="eastAsia" w:ascii="宋体" w:hAnsi="宋体" w:cs="宋体"/>
          <w:b/>
          <w:color w:val="auto"/>
          <w:sz w:val="36"/>
          <w:szCs w:val="36"/>
          <w:highlight w:val="none"/>
        </w:rPr>
      </w:pPr>
    </w:p>
    <w:p>
      <w:pPr>
        <w:spacing w:line="360" w:lineRule="auto"/>
        <w:ind w:left="720" w:leftChars="343" w:firstLine="1084" w:firstLineChars="300"/>
        <w:outlineLvl w:val="0"/>
        <w:rPr>
          <w:rFonts w:hint="eastAsia" w:ascii="宋体" w:hAnsi="宋体" w:cs="宋体"/>
          <w:b/>
          <w:color w:val="auto"/>
          <w:sz w:val="36"/>
          <w:szCs w:val="36"/>
          <w:highlight w:val="none"/>
        </w:rPr>
      </w:pPr>
    </w:p>
    <w:p>
      <w:pPr>
        <w:spacing w:line="360" w:lineRule="auto"/>
        <w:ind w:left="720" w:leftChars="343" w:firstLine="1084" w:firstLineChars="300"/>
        <w:outlineLvl w:val="0"/>
        <w:rPr>
          <w:rFonts w:hint="eastAsia" w:ascii="宋体" w:hAnsi="宋体" w:cs="宋体"/>
          <w:b/>
          <w:color w:val="auto"/>
          <w:sz w:val="36"/>
          <w:szCs w:val="36"/>
          <w:highlight w:val="none"/>
        </w:rPr>
      </w:pPr>
    </w:p>
    <w:p>
      <w:pPr>
        <w:spacing w:line="360" w:lineRule="auto"/>
        <w:ind w:left="720" w:leftChars="343" w:firstLine="1084" w:firstLineChars="300"/>
        <w:outlineLvl w:val="0"/>
        <w:rPr>
          <w:rFonts w:ascii="宋体" w:hAnsi="宋体" w:cs="宋体"/>
          <w:b/>
          <w:color w:val="auto"/>
          <w:sz w:val="36"/>
          <w:szCs w:val="36"/>
          <w:highlight w:val="none"/>
        </w:rPr>
      </w:pPr>
      <w:r>
        <w:rPr>
          <w:rFonts w:hint="eastAsia" w:ascii="宋体" w:hAnsi="宋体" w:cs="宋体"/>
          <w:b/>
          <w:color w:val="auto"/>
          <w:sz w:val="36"/>
          <w:szCs w:val="36"/>
          <w:highlight w:val="none"/>
        </w:rPr>
        <w:t>第五部分 拟签订的合同文本</w:t>
      </w:r>
      <w:bookmarkEnd w:id="618"/>
      <w:bookmarkEnd w:id="619"/>
    </w:p>
    <w:p>
      <w:pPr>
        <w:rPr>
          <w:rFonts w:ascii="宋体" w:hAnsi="宋体" w:cs="宋体"/>
          <w:color w:val="auto"/>
          <w:szCs w:val="21"/>
          <w:highlight w:val="none"/>
          <w:u w:val="single"/>
        </w:rPr>
      </w:pPr>
      <w:r>
        <w:rPr>
          <w:rFonts w:hint="eastAsia" w:ascii="宋体" w:hAnsi="宋体" w:cs="宋体"/>
          <w:color w:val="auto"/>
          <w:szCs w:val="21"/>
          <w:highlight w:val="none"/>
        </w:rPr>
        <w:t>合同编号：</w:t>
      </w:r>
      <w:r>
        <w:rPr>
          <w:rFonts w:hint="eastAsia" w:ascii="宋体" w:hAnsi="宋体" w:cs="宋体"/>
          <w:color w:val="auto"/>
          <w:szCs w:val="21"/>
          <w:highlight w:val="none"/>
          <w:u w:val="single"/>
        </w:rPr>
        <w:t xml:space="preserve">           </w:t>
      </w:r>
    </w:p>
    <w:p>
      <w:pPr>
        <w:spacing w:line="480" w:lineRule="auto"/>
        <w:jc w:val="center"/>
        <w:rPr>
          <w:rFonts w:ascii="宋体" w:hAnsi="宋体" w:cs="宋体"/>
          <w:b/>
          <w:color w:val="auto"/>
          <w:sz w:val="28"/>
          <w:szCs w:val="28"/>
          <w:highlight w:val="none"/>
        </w:rPr>
      </w:pPr>
    </w:p>
    <w:p>
      <w:pPr>
        <w:spacing w:line="480" w:lineRule="auto"/>
        <w:jc w:val="center"/>
        <w:rPr>
          <w:rFonts w:ascii="宋体" w:hAnsi="宋体" w:cs="宋体"/>
          <w:b/>
          <w:color w:val="auto"/>
          <w:sz w:val="24"/>
          <w:highlight w:val="none"/>
        </w:rPr>
      </w:pPr>
    </w:p>
    <w:p>
      <w:pPr>
        <w:spacing w:line="480" w:lineRule="auto"/>
        <w:jc w:val="center"/>
        <w:outlineLvl w:val="1"/>
        <w:rPr>
          <w:rFonts w:ascii="宋体" w:hAnsi="宋体" w:cs="宋体"/>
          <w:b/>
          <w:color w:val="auto"/>
          <w:sz w:val="36"/>
          <w:szCs w:val="36"/>
          <w:highlight w:val="none"/>
        </w:rPr>
      </w:pPr>
      <w:r>
        <w:rPr>
          <w:rFonts w:hint="eastAsia" w:ascii="宋体" w:hAnsi="宋体" w:cs="宋体"/>
          <w:b/>
          <w:color w:val="auto"/>
          <w:sz w:val="36"/>
          <w:szCs w:val="36"/>
          <w:highlight w:val="none"/>
        </w:rPr>
        <w:t>政府采购合同参考范本</w:t>
      </w:r>
    </w:p>
    <w:p>
      <w:pPr>
        <w:spacing w:line="48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w:t>
      </w:r>
      <w:r>
        <w:rPr>
          <w:rFonts w:hint="eastAsia" w:ascii="宋体" w:hAnsi="宋体" w:cs="宋体"/>
          <w:b/>
          <w:color w:val="auto"/>
          <w:sz w:val="36"/>
          <w:szCs w:val="36"/>
          <w:highlight w:val="none"/>
          <w:lang w:val="en-US" w:eastAsia="zh-CN"/>
        </w:rPr>
        <w:t>货物类</w:t>
      </w:r>
      <w:r>
        <w:rPr>
          <w:rFonts w:hint="eastAsia" w:ascii="宋体" w:hAnsi="宋体" w:cs="宋体"/>
          <w:b/>
          <w:color w:val="auto"/>
          <w:sz w:val="36"/>
          <w:szCs w:val="36"/>
          <w:highlight w:val="none"/>
        </w:rPr>
        <w:t>）</w:t>
      </w:r>
    </w:p>
    <w:p>
      <w:pPr>
        <w:pStyle w:val="702"/>
        <w:ind w:firstLine="2843" w:firstLineChars="1180"/>
        <w:outlineLvl w:val="0"/>
        <w:rPr>
          <w:rFonts w:ascii="宋体" w:hAnsi="宋体" w:cs="宋体"/>
          <w:b/>
          <w:color w:val="auto"/>
          <w:szCs w:val="24"/>
          <w:highlight w:val="none"/>
        </w:rPr>
      </w:pPr>
      <w:r>
        <w:rPr>
          <w:rFonts w:hint="eastAsia" w:ascii="宋体" w:hAnsi="宋体" w:cs="宋体"/>
          <w:b/>
          <w:color w:val="auto"/>
          <w:szCs w:val="24"/>
          <w:highlight w:val="none"/>
        </w:rPr>
        <w:t>第一部分 合同书</w:t>
      </w:r>
    </w:p>
    <w:p>
      <w:pPr>
        <w:spacing w:before="120" w:line="22" w:lineRule="atLeast"/>
        <w:rPr>
          <w:rFonts w:ascii="宋体" w:hAnsi="宋体" w:cs="宋体"/>
          <w:color w:val="auto"/>
          <w:sz w:val="24"/>
          <w:highlight w:val="none"/>
        </w:rPr>
      </w:pPr>
    </w:p>
    <w:p>
      <w:pPr>
        <w:pStyle w:val="4"/>
        <w:rPr>
          <w:color w:val="auto"/>
          <w:highlight w:val="none"/>
        </w:rPr>
      </w:pPr>
    </w:p>
    <w:p>
      <w:pPr>
        <w:spacing w:before="120" w:line="22" w:lineRule="atLeast"/>
        <w:ind w:left="960"/>
        <w:rPr>
          <w:rFonts w:ascii="宋体" w:hAnsi="宋体" w:cs="宋体"/>
          <w:color w:val="auto"/>
          <w:szCs w:val="21"/>
          <w:highlight w:val="none"/>
        </w:rPr>
      </w:pPr>
      <w:r>
        <w:rPr>
          <w:rFonts w:hint="eastAsia" w:ascii="宋体" w:hAnsi="宋体" w:cs="宋体"/>
          <w:color w:val="auto"/>
          <w:szCs w:val="21"/>
          <w:highlight w:val="none"/>
        </w:rPr>
        <w:t>项目名称：</w:t>
      </w:r>
      <w:r>
        <w:rPr>
          <w:rFonts w:hint="eastAsia" w:ascii="宋体" w:hAnsi="宋体" w:cs="宋体"/>
          <w:color w:val="auto"/>
          <w:szCs w:val="21"/>
          <w:highlight w:val="none"/>
          <w:u w:val="single"/>
        </w:rPr>
        <w:t xml:space="preserve">                                   </w:t>
      </w:r>
    </w:p>
    <w:p>
      <w:pPr>
        <w:pStyle w:val="599"/>
        <w:spacing w:before="120" w:line="22" w:lineRule="atLeast"/>
        <w:rPr>
          <w:rFonts w:ascii="宋体" w:hAnsi="宋体" w:eastAsia="宋体" w:cs="宋体"/>
          <w:color w:val="auto"/>
          <w:sz w:val="21"/>
          <w:szCs w:val="21"/>
          <w:highlight w:val="none"/>
        </w:rPr>
      </w:pPr>
    </w:p>
    <w:p>
      <w:pPr>
        <w:pStyle w:val="599"/>
        <w:spacing w:before="120" w:line="22" w:lineRule="atLeast"/>
        <w:rPr>
          <w:rFonts w:ascii="宋体" w:hAnsi="宋体" w:eastAsia="宋体" w:cs="宋体"/>
          <w:color w:val="auto"/>
          <w:sz w:val="21"/>
          <w:szCs w:val="21"/>
          <w:highlight w:val="none"/>
        </w:rPr>
      </w:pPr>
    </w:p>
    <w:p>
      <w:pPr>
        <w:rPr>
          <w:rFonts w:ascii="宋体" w:hAnsi="宋体" w:cs="宋体"/>
          <w:color w:val="auto"/>
          <w:szCs w:val="21"/>
          <w:highlight w:val="none"/>
        </w:rPr>
      </w:pPr>
    </w:p>
    <w:p>
      <w:pPr>
        <w:spacing w:before="120" w:line="22" w:lineRule="atLeast"/>
        <w:ind w:left="960"/>
        <w:rPr>
          <w:rFonts w:ascii="宋体" w:hAnsi="宋体" w:cs="宋体"/>
          <w:color w:val="auto"/>
          <w:szCs w:val="21"/>
          <w:highlight w:val="none"/>
          <w:u w:val="single"/>
        </w:rPr>
      </w:pPr>
      <w:r>
        <w:rPr>
          <w:rFonts w:hint="eastAsia" w:ascii="宋体" w:hAnsi="宋体" w:cs="宋体"/>
          <w:color w:val="auto"/>
          <w:szCs w:val="21"/>
          <w:highlight w:val="none"/>
        </w:rPr>
        <w:t>甲方：</w:t>
      </w:r>
      <w:r>
        <w:rPr>
          <w:rFonts w:hint="eastAsia" w:ascii="宋体" w:hAnsi="宋体" w:cs="宋体"/>
          <w:color w:val="auto"/>
          <w:szCs w:val="21"/>
          <w:highlight w:val="none"/>
          <w:u w:val="single"/>
        </w:rPr>
        <w:t xml:space="preserve">                                       </w:t>
      </w:r>
    </w:p>
    <w:p>
      <w:pPr>
        <w:spacing w:before="120" w:line="22" w:lineRule="atLeast"/>
        <w:rPr>
          <w:rFonts w:ascii="宋体" w:hAnsi="宋体" w:cs="宋体"/>
          <w:color w:val="auto"/>
          <w:szCs w:val="21"/>
          <w:highlight w:val="none"/>
        </w:rPr>
      </w:pPr>
    </w:p>
    <w:p>
      <w:pPr>
        <w:spacing w:before="120" w:line="22" w:lineRule="atLeast"/>
        <w:ind w:left="960"/>
        <w:rPr>
          <w:rFonts w:ascii="宋体" w:hAnsi="宋体" w:cs="宋体"/>
          <w:color w:val="auto"/>
          <w:szCs w:val="21"/>
          <w:highlight w:val="none"/>
          <w:u w:val="single"/>
        </w:rPr>
      </w:pPr>
      <w:r>
        <w:rPr>
          <w:rFonts w:hint="eastAsia" w:ascii="宋体" w:hAnsi="宋体" w:cs="宋体"/>
          <w:color w:val="auto"/>
          <w:szCs w:val="21"/>
          <w:highlight w:val="none"/>
        </w:rPr>
        <w:t>乙方：</w:t>
      </w:r>
      <w:r>
        <w:rPr>
          <w:rFonts w:hint="eastAsia" w:ascii="宋体" w:hAnsi="宋体" w:cs="宋体"/>
          <w:color w:val="auto"/>
          <w:szCs w:val="21"/>
          <w:highlight w:val="none"/>
          <w:u w:val="single"/>
        </w:rPr>
        <w:t xml:space="preserve">                                       </w:t>
      </w:r>
    </w:p>
    <w:p>
      <w:pPr>
        <w:spacing w:before="120" w:line="22" w:lineRule="atLeast"/>
        <w:rPr>
          <w:rFonts w:ascii="宋体" w:hAnsi="宋体" w:cs="宋体"/>
          <w:color w:val="auto"/>
          <w:szCs w:val="21"/>
          <w:highlight w:val="none"/>
        </w:rPr>
      </w:pPr>
    </w:p>
    <w:p>
      <w:pPr>
        <w:spacing w:before="120" w:line="22" w:lineRule="atLeast"/>
        <w:ind w:firstLine="840" w:firstLineChars="400"/>
        <w:rPr>
          <w:rFonts w:ascii="宋体" w:hAnsi="宋体" w:cs="宋体"/>
          <w:color w:val="auto"/>
          <w:szCs w:val="21"/>
          <w:highlight w:val="none"/>
          <w:u w:val="single"/>
        </w:rPr>
      </w:pPr>
      <w:r>
        <w:rPr>
          <w:rFonts w:hint="eastAsia" w:ascii="宋体" w:hAnsi="宋体" w:cs="宋体"/>
          <w:color w:val="auto"/>
          <w:szCs w:val="21"/>
          <w:highlight w:val="none"/>
        </w:rPr>
        <w:t>签订地：</w:t>
      </w:r>
      <w:r>
        <w:rPr>
          <w:rFonts w:hint="eastAsia" w:ascii="宋体" w:hAnsi="宋体" w:cs="宋体"/>
          <w:color w:val="auto"/>
          <w:szCs w:val="21"/>
          <w:highlight w:val="none"/>
          <w:u w:val="single"/>
        </w:rPr>
        <w:t xml:space="preserve">                                     </w:t>
      </w:r>
    </w:p>
    <w:p>
      <w:pPr>
        <w:spacing w:before="120" w:line="22" w:lineRule="atLeast"/>
        <w:rPr>
          <w:rFonts w:ascii="宋体" w:hAnsi="宋体" w:cs="宋体"/>
          <w:color w:val="auto"/>
          <w:szCs w:val="21"/>
          <w:highlight w:val="none"/>
        </w:rPr>
      </w:pPr>
    </w:p>
    <w:p>
      <w:pPr>
        <w:spacing w:before="120" w:line="22" w:lineRule="atLeast"/>
        <w:ind w:firstLine="840" w:firstLineChars="400"/>
        <w:rPr>
          <w:rFonts w:ascii="宋体" w:hAnsi="宋体" w:cs="宋体"/>
          <w:color w:val="auto"/>
          <w:szCs w:val="21"/>
          <w:highlight w:val="none"/>
          <w:u w:val="single"/>
        </w:rPr>
      </w:pPr>
      <w:r>
        <w:rPr>
          <w:rFonts w:hint="eastAsia" w:ascii="宋体" w:hAnsi="宋体" w:cs="宋体"/>
          <w:color w:val="auto"/>
          <w:szCs w:val="21"/>
          <w:highlight w:val="none"/>
        </w:rPr>
        <w:t>签订日期：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pPr>
        <w:widowControl/>
        <w:jc w:val="left"/>
        <w:rPr>
          <w:rFonts w:ascii="宋体" w:hAnsi="宋体" w:cs="宋体"/>
          <w:color w:val="auto"/>
          <w:kern w:val="0"/>
          <w:szCs w:val="21"/>
          <w:highlight w:val="none"/>
        </w:rPr>
        <w:sectPr>
          <w:pgSz w:w="11905" w:h="16838"/>
          <w:pgMar w:top="1440" w:right="1803" w:bottom="1440" w:left="1803" w:header="851" w:footer="992" w:gutter="0"/>
          <w:cols w:space="0" w:num="1"/>
          <w:docGrid w:type="lines" w:linePitch="325" w:charSpace="0"/>
        </w:sectPr>
      </w:pPr>
    </w:p>
    <w:p>
      <w:pPr>
        <w:adjustRightInd w:val="0"/>
        <w:snapToGrid w:val="0"/>
        <w:spacing w:line="360" w:lineRule="auto"/>
        <w:rPr>
          <w:rFonts w:ascii="宋体" w:hAnsi="宋体" w:cs="宋体"/>
          <w:color w:val="auto"/>
          <w:szCs w:val="21"/>
        </w:rPr>
      </w:pPr>
      <w:r>
        <w:rPr>
          <w:rFonts w:hint="eastAsia" w:ascii="宋体" w:hAnsi="宋体" w:cs="宋体"/>
          <w:color w:val="auto"/>
          <w:szCs w:val="21"/>
        </w:rPr>
        <w:t>甲方：</w:t>
      </w:r>
    </w:p>
    <w:p>
      <w:pPr>
        <w:adjustRightInd w:val="0"/>
        <w:snapToGrid w:val="0"/>
        <w:spacing w:line="360" w:lineRule="auto"/>
        <w:rPr>
          <w:rFonts w:ascii="宋体" w:hAnsi="宋体" w:cs="宋体"/>
          <w:color w:val="auto"/>
          <w:szCs w:val="21"/>
        </w:rPr>
      </w:pPr>
      <w:r>
        <w:rPr>
          <w:rFonts w:hint="eastAsia" w:ascii="宋体" w:hAnsi="宋体" w:cs="宋体"/>
          <w:color w:val="auto"/>
          <w:szCs w:val="21"/>
        </w:rPr>
        <w:t>乙方：</w:t>
      </w:r>
    </w:p>
    <w:p>
      <w:pPr>
        <w:adjustRightInd w:val="0"/>
        <w:snapToGrid w:val="0"/>
        <w:spacing w:line="360" w:lineRule="auto"/>
        <w:rPr>
          <w:rFonts w:ascii="宋体" w:hAnsi="宋体" w:cs="宋体"/>
          <w:color w:val="auto"/>
          <w:szCs w:val="21"/>
        </w:rPr>
      </w:pPr>
      <w:r>
        <w:rPr>
          <w:rFonts w:hint="eastAsia" w:ascii="宋体" w:hAnsi="宋体" w:cs="宋体"/>
          <w:color w:val="auto"/>
          <w:szCs w:val="21"/>
        </w:rPr>
        <w:t>甲、乙双方根据</w:t>
      </w:r>
      <w:r>
        <w:rPr>
          <w:rFonts w:hint="eastAsia" w:ascii="宋体" w:hAnsi="宋体" w:cs="宋体"/>
          <w:color w:val="auto"/>
          <w:szCs w:val="21"/>
          <w:u w:val="single"/>
        </w:rPr>
        <w:t xml:space="preserve">                       项目名称             </w:t>
      </w:r>
      <w:r>
        <w:rPr>
          <w:rFonts w:hint="eastAsia" w:ascii="宋体" w:hAnsi="宋体" w:cs="宋体"/>
          <w:color w:val="auto"/>
          <w:szCs w:val="21"/>
        </w:rPr>
        <w:t>的结果，签署本合同。</w:t>
      </w:r>
    </w:p>
    <w:p>
      <w:pPr>
        <w:adjustRightInd w:val="0"/>
        <w:snapToGrid w:val="0"/>
        <w:spacing w:line="360" w:lineRule="auto"/>
        <w:rPr>
          <w:rFonts w:ascii="宋体" w:hAnsi="宋体" w:cs="宋体"/>
          <w:color w:val="auto"/>
          <w:szCs w:val="21"/>
        </w:rPr>
      </w:pPr>
      <w:r>
        <w:rPr>
          <w:rFonts w:hint="eastAsia" w:ascii="宋体" w:hAnsi="宋体" w:cs="宋体"/>
          <w:b/>
          <w:bCs/>
          <w:color w:val="auto"/>
          <w:szCs w:val="21"/>
        </w:rPr>
        <w:t xml:space="preserve">一、采购商品清单及合同价格 </w:t>
      </w:r>
      <w:r>
        <w:rPr>
          <w:rFonts w:hint="eastAsia" w:ascii="宋体" w:hAnsi="宋体" w:cs="宋体"/>
          <w:color w:val="auto"/>
          <w:szCs w:val="21"/>
        </w:rPr>
        <w:t xml:space="preserve"> </w:t>
      </w:r>
    </w:p>
    <w:tbl>
      <w:tblPr>
        <w:tblStyle w:val="65"/>
        <w:tblW w:w="0" w:type="auto"/>
        <w:jc w:val="center"/>
        <w:tblLayout w:type="fixed"/>
        <w:tblCellMar>
          <w:top w:w="0" w:type="dxa"/>
          <w:left w:w="108" w:type="dxa"/>
          <w:bottom w:w="0" w:type="dxa"/>
          <w:right w:w="108" w:type="dxa"/>
        </w:tblCellMar>
      </w:tblPr>
      <w:tblGrid>
        <w:gridCol w:w="928"/>
        <w:gridCol w:w="2430"/>
        <w:gridCol w:w="1140"/>
        <w:gridCol w:w="1200"/>
        <w:gridCol w:w="1112"/>
        <w:gridCol w:w="2694"/>
      </w:tblGrid>
      <w:tr>
        <w:tblPrEx>
          <w:tblCellMar>
            <w:top w:w="0" w:type="dxa"/>
            <w:left w:w="108" w:type="dxa"/>
            <w:bottom w:w="0" w:type="dxa"/>
            <w:right w:w="108" w:type="dxa"/>
          </w:tblCellMar>
        </w:tblPrEx>
        <w:trPr>
          <w:trHeight w:val="285" w:hRule="atLeast"/>
          <w:jc w:val="center"/>
        </w:trPr>
        <w:tc>
          <w:tcPr>
            <w:tcW w:w="92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序号</w:t>
            </w:r>
          </w:p>
        </w:tc>
        <w:tc>
          <w:tcPr>
            <w:tcW w:w="2430"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名称</w:t>
            </w:r>
          </w:p>
        </w:tc>
        <w:tc>
          <w:tcPr>
            <w:tcW w:w="11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规格</w:t>
            </w:r>
          </w:p>
        </w:tc>
        <w:tc>
          <w:tcPr>
            <w:tcW w:w="1200"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单位</w:t>
            </w:r>
          </w:p>
        </w:tc>
        <w:tc>
          <w:tcPr>
            <w:tcW w:w="111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数量</w:t>
            </w:r>
          </w:p>
        </w:tc>
        <w:tc>
          <w:tcPr>
            <w:tcW w:w="2694"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技术参数</w:t>
            </w:r>
          </w:p>
        </w:tc>
      </w:tr>
      <w:tr>
        <w:tblPrEx>
          <w:tblCellMar>
            <w:top w:w="0" w:type="dxa"/>
            <w:left w:w="108" w:type="dxa"/>
            <w:bottom w:w="0" w:type="dxa"/>
            <w:right w:w="108" w:type="dxa"/>
          </w:tblCellMar>
        </w:tblPrEx>
        <w:trPr>
          <w:trHeight w:val="591" w:hRule="atLeast"/>
          <w:jc w:val="center"/>
        </w:trPr>
        <w:tc>
          <w:tcPr>
            <w:tcW w:w="928" w:type="dxa"/>
            <w:tcBorders>
              <w:top w:val="nil"/>
              <w:left w:val="single" w:color="auto" w:sz="4" w:space="0"/>
              <w:bottom w:val="single" w:color="auto" w:sz="4" w:space="0"/>
              <w:right w:val="single" w:color="auto" w:sz="4" w:space="0"/>
            </w:tcBorders>
            <w:noWrap w:val="0"/>
            <w:vAlign w:val="center"/>
          </w:tcPr>
          <w:p>
            <w:pPr>
              <w:jc w:val="center"/>
              <w:rPr>
                <w:rFonts w:ascii="宋体" w:hAnsi="宋体" w:cs="宋体"/>
                <w:color w:val="auto"/>
                <w:szCs w:val="21"/>
              </w:rPr>
            </w:pPr>
          </w:p>
        </w:tc>
        <w:tc>
          <w:tcPr>
            <w:tcW w:w="2430" w:type="dxa"/>
            <w:tcBorders>
              <w:top w:val="nil"/>
              <w:left w:val="nil"/>
              <w:bottom w:val="single" w:color="auto" w:sz="4" w:space="0"/>
              <w:right w:val="single" w:color="auto" w:sz="4" w:space="0"/>
            </w:tcBorders>
            <w:noWrap w:val="0"/>
            <w:vAlign w:val="center"/>
          </w:tcPr>
          <w:p>
            <w:pPr>
              <w:rPr>
                <w:rFonts w:ascii="宋体" w:hAnsi="宋体" w:cs="宋体"/>
                <w:color w:val="auto"/>
                <w:szCs w:val="21"/>
              </w:rPr>
            </w:pPr>
          </w:p>
        </w:tc>
        <w:tc>
          <w:tcPr>
            <w:tcW w:w="1140" w:type="dxa"/>
            <w:tcBorders>
              <w:top w:val="nil"/>
              <w:left w:val="single" w:color="auto" w:sz="4" w:space="0"/>
              <w:bottom w:val="single" w:color="auto" w:sz="4" w:space="0"/>
              <w:right w:val="single" w:color="auto" w:sz="4" w:space="0"/>
            </w:tcBorders>
            <w:noWrap w:val="0"/>
            <w:vAlign w:val="center"/>
          </w:tcPr>
          <w:p>
            <w:pPr>
              <w:jc w:val="center"/>
              <w:rPr>
                <w:rFonts w:ascii="宋体" w:hAnsi="宋体" w:cs="宋体"/>
                <w:color w:val="auto"/>
                <w:szCs w:val="21"/>
              </w:rPr>
            </w:pPr>
          </w:p>
        </w:tc>
        <w:tc>
          <w:tcPr>
            <w:tcW w:w="1200" w:type="dxa"/>
            <w:tcBorders>
              <w:top w:val="nil"/>
              <w:left w:val="nil"/>
              <w:bottom w:val="single" w:color="auto" w:sz="4" w:space="0"/>
              <w:right w:val="single" w:color="auto" w:sz="4" w:space="0"/>
            </w:tcBorders>
            <w:noWrap w:val="0"/>
            <w:vAlign w:val="center"/>
          </w:tcPr>
          <w:p>
            <w:pPr>
              <w:jc w:val="center"/>
              <w:rPr>
                <w:rFonts w:ascii="宋体" w:hAnsi="宋体" w:cs="宋体"/>
                <w:color w:val="auto"/>
                <w:szCs w:val="21"/>
              </w:rPr>
            </w:pPr>
          </w:p>
        </w:tc>
        <w:tc>
          <w:tcPr>
            <w:tcW w:w="1112" w:type="dxa"/>
            <w:tcBorders>
              <w:top w:val="nil"/>
              <w:left w:val="single" w:color="auto" w:sz="4" w:space="0"/>
              <w:bottom w:val="single" w:color="auto" w:sz="4" w:space="0"/>
              <w:right w:val="single" w:color="auto" w:sz="4" w:space="0"/>
            </w:tcBorders>
            <w:noWrap w:val="0"/>
            <w:vAlign w:val="center"/>
          </w:tcPr>
          <w:p>
            <w:pPr>
              <w:jc w:val="center"/>
              <w:rPr>
                <w:rFonts w:ascii="宋体" w:hAnsi="宋体" w:cs="宋体"/>
                <w:color w:val="auto"/>
                <w:szCs w:val="21"/>
              </w:rPr>
            </w:pPr>
          </w:p>
        </w:tc>
        <w:tc>
          <w:tcPr>
            <w:tcW w:w="2694" w:type="dxa"/>
            <w:tcBorders>
              <w:top w:val="nil"/>
              <w:left w:val="nil"/>
              <w:bottom w:val="single" w:color="auto" w:sz="4" w:space="0"/>
              <w:right w:val="single" w:color="auto" w:sz="4" w:space="0"/>
            </w:tcBorders>
            <w:noWrap w:val="0"/>
            <w:vAlign w:val="center"/>
          </w:tcPr>
          <w:p>
            <w:pPr>
              <w:jc w:val="center"/>
              <w:rPr>
                <w:rFonts w:ascii="宋体" w:hAnsi="宋体" w:cs="宋体"/>
                <w:color w:val="auto"/>
                <w:szCs w:val="21"/>
              </w:rPr>
            </w:pPr>
          </w:p>
        </w:tc>
      </w:tr>
      <w:tr>
        <w:tblPrEx>
          <w:tblCellMar>
            <w:top w:w="0" w:type="dxa"/>
            <w:left w:w="108" w:type="dxa"/>
            <w:bottom w:w="0" w:type="dxa"/>
            <w:right w:w="108" w:type="dxa"/>
          </w:tblCellMar>
        </w:tblPrEx>
        <w:trPr>
          <w:trHeight w:val="457" w:hRule="atLeast"/>
          <w:jc w:val="center"/>
        </w:trPr>
        <w:tc>
          <w:tcPr>
            <w:tcW w:w="928" w:type="dxa"/>
            <w:tcBorders>
              <w:top w:val="nil"/>
              <w:left w:val="single" w:color="auto" w:sz="4" w:space="0"/>
              <w:bottom w:val="single" w:color="auto" w:sz="4" w:space="0"/>
              <w:right w:val="single" w:color="auto" w:sz="4" w:space="0"/>
            </w:tcBorders>
            <w:noWrap w:val="0"/>
            <w:vAlign w:val="center"/>
          </w:tcPr>
          <w:p>
            <w:pPr>
              <w:jc w:val="center"/>
              <w:rPr>
                <w:rFonts w:ascii="宋体" w:hAnsi="宋体" w:cs="宋体"/>
                <w:color w:val="auto"/>
                <w:szCs w:val="21"/>
              </w:rPr>
            </w:pPr>
          </w:p>
        </w:tc>
        <w:tc>
          <w:tcPr>
            <w:tcW w:w="2430" w:type="dxa"/>
            <w:tcBorders>
              <w:top w:val="nil"/>
              <w:left w:val="nil"/>
              <w:bottom w:val="single" w:color="auto" w:sz="4" w:space="0"/>
              <w:right w:val="single" w:color="auto" w:sz="4" w:space="0"/>
            </w:tcBorders>
            <w:noWrap w:val="0"/>
            <w:vAlign w:val="center"/>
          </w:tcPr>
          <w:p>
            <w:pPr>
              <w:rPr>
                <w:rFonts w:ascii="宋体" w:hAnsi="宋体" w:cs="宋体"/>
                <w:color w:val="auto"/>
                <w:szCs w:val="21"/>
              </w:rPr>
            </w:pPr>
          </w:p>
        </w:tc>
        <w:tc>
          <w:tcPr>
            <w:tcW w:w="1140" w:type="dxa"/>
            <w:tcBorders>
              <w:top w:val="nil"/>
              <w:left w:val="single" w:color="auto" w:sz="4" w:space="0"/>
              <w:bottom w:val="single" w:color="auto" w:sz="4" w:space="0"/>
              <w:right w:val="single" w:color="auto" w:sz="4" w:space="0"/>
            </w:tcBorders>
            <w:noWrap w:val="0"/>
            <w:vAlign w:val="center"/>
          </w:tcPr>
          <w:p>
            <w:pPr>
              <w:jc w:val="center"/>
              <w:rPr>
                <w:rFonts w:ascii="宋体" w:hAnsi="宋体" w:cs="宋体"/>
                <w:color w:val="auto"/>
                <w:szCs w:val="21"/>
              </w:rPr>
            </w:pPr>
          </w:p>
        </w:tc>
        <w:tc>
          <w:tcPr>
            <w:tcW w:w="1200" w:type="dxa"/>
            <w:tcBorders>
              <w:top w:val="nil"/>
              <w:left w:val="nil"/>
              <w:bottom w:val="single" w:color="auto" w:sz="4" w:space="0"/>
              <w:right w:val="single" w:color="auto" w:sz="4" w:space="0"/>
            </w:tcBorders>
            <w:noWrap w:val="0"/>
            <w:vAlign w:val="center"/>
          </w:tcPr>
          <w:p>
            <w:pPr>
              <w:jc w:val="center"/>
              <w:rPr>
                <w:rFonts w:ascii="宋体" w:hAnsi="宋体" w:cs="宋体"/>
                <w:color w:val="auto"/>
                <w:szCs w:val="21"/>
              </w:rPr>
            </w:pPr>
          </w:p>
        </w:tc>
        <w:tc>
          <w:tcPr>
            <w:tcW w:w="1112" w:type="dxa"/>
            <w:tcBorders>
              <w:top w:val="nil"/>
              <w:left w:val="single" w:color="auto" w:sz="4" w:space="0"/>
              <w:bottom w:val="single" w:color="auto" w:sz="4" w:space="0"/>
              <w:right w:val="single" w:color="auto" w:sz="4" w:space="0"/>
            </w:tcBorders>
            <w:noWrap w:val="0"/>
            <w:vAlign w:val="center"/>
          </w:tcPr>
          <w:p>
            <w:pPr>
              <w:jc w:val="center"/>
              <w:rPr>
                <w:rFonts w:ascii="宋体" w:hAnsi="宋体" w:cs="宋体"/>
                <w:color w:val="auto"/>
                <w:szCs w:val="21"/>
              </w:rPr>
            </w:pPr>
          </w:p>
        </w:tc>
        <w:tc>
          <w:tcPr>
            <w:tcW w:w="2694" w:type="dxa"/>
            <w:tcBorders>
              <w:top w:val="nil"/>
              <w:left w:val="nil"/>
              <w:bottom w:val="single" w:color="auto" w:sz="4" w:space="0"/>
              <w:right w:val="single" w:color="auto" w:sz="4" w:space="0"/>
            </w:tcBorders>
            <w:noWrap w:val="0"/>
            <w:vAlign w:val="center"/>
          </w:tcPr>
          <w:p>
            <w:pPr>
              <w:jc w:val="center"/>
              <w:rPr>
                <w:rFonts w:ascii="宋体" w:hAnsi="宋体" w:cs="宋体"/>
                <w:color w:val="auto"/>
                <w:szCs w:val="21"/>
              </w:rPr>
            </w:pPr>
          </w:p>
        </w:tc>
      </w:tr>
      <w:tr>
        <w:tblPrEx>
          <w:tblCellMar>
            <w:top w:w="0" w:type="dxa"/>
            <w:left w:w="108" w:type="dxa"/>
            <w:bottom w:w="0" w:type="dxa"/>
            <w:right w:w="108" w:type="dxa"/>
          </w:tblCellMar>
        </w:tblPrEx>
        <w:trPr>
          <w:trHeight w:val="457" w:hRule="atLeast"/>
          <w:jc w:val="center"/>
        </w:trPr>
        <w:tc>
          <w:tcPr>
            <w:tcW w:w="928" w:type="dxa"/>
            <w:tcBorders>
              <w:top w:val="nil"/>
              <w:left w:val="single" w:color="auto" w:sz="4" w:space="0"/>
              <w:bottom w:val="single" w:color="auto" w:sz="4" w:space="0"/>
              <w:right w:val="single" w:color="auto" w:sz="4" w:space="0"/>
            </w:tcBorders>
            <w:noWrap w:val="0"/>
            <w:vAlign w:val="center"/>
          </w:tcPr>
          <w:p>
            <w:pPr>
              <w:jc w:val="center"/>
              <w:rPr>
                <w:rFonts w:ascii="宋体" w:hAnsi="宋体" w:cs="宋体"/>
                <w:color w:val="auto"/>
                <w:szCs w:val="21"/>
              </w:rPr>
            </w:pPr>
          </w:p>
        </w:tc>
        <w:tc>
          <w:tcPr>
            <w:tcW w:w="2430" w:type="dxa"/>
            <w:tcBorders>
              <w:top w:val="nil"/>
              <w:left w:val="nil"/>
              <w:bottom w:val="single" w:color="auto" w:sz="4" w:space="0"/>
              <w:right w:val="single" w:color="auto" w:sz="4" w:space="0"/>
            </w:tcBorders>
            <w:noWrap w:val="0"/>
            <w:vAlign w:val="center"/>
          </w:tcPr>
          <w:p>
            <w:pPr>
              <w:rPr>
                <w:rFonts w:ascii="宋体" w:hAnsi="宋体" w:cs="宋体"/>
                <w:color w:val="auto"/>
                <w:szCs w:val="21"/>
              </w:rPr>
            </w:pPr>
          </w:p>
        </w:tc>
        <w:tc>
          <w:tcPr>
            <w:tcW w:w="1140" w:type="dxa"/>
            <w:tcBorders>
              <w:top w:val="nil"/>
              <w:left w:val="single" w:color="auto" w:sz="4" w:space="0"/>
              <w:bottom w:val="single" w:color="auto" w:sz="4" w:space="0"/>
              <w:right w:val="single" w:color="auto" w:sz="4" w:space="0"/>
            </w:tcBorders>
            <w:noWrap w:val="0"/>
            <w:vAlign w:val="center"/>
          </w:tcPr>
          <w:p>
            <w:pPr>
              <w:jc w:val="center"/>
              <w:rPr>
                <w:rFonts w:ascii="宋体" w:hAnsi="宋体" w:cs="宋体"/>
                <w:color w:val="auto"/>
                <w:szCs w:val="21"/>
              </w:rPr>
            </w:pPr>
          </w:p>
        </w:tc>
        <w:tc>
          <w:tcPr>
            <w:tcW w:w="1200" w:type="dxa"/>
            <w:tcBorders>
              <w:top w:val="nil"/>
              <w:left w:val="nil"/>
              <w:bottom w:val="single" w:color="auto" w:sz="4" w:space="0"/>
              <w:right w:val="single" w:color="auto" w:sz="4" w:space="0"/>
            </w:tcBorders>
            <w:noWrap w:val="0"/>
            <w:vAlign w:val="center"/>
          </w:tcPr>
          <w:p>
            <w:pPr>
              <w:jc w:val="center"/>
              <w:rPr>
                <w:rFonts w:ascii="宋体" w:hAnsi="宋体" w:cs="宋体"/>
                <w:color w:val="auto"/>
                <w:szCs w:val="21"/>
              </w:rPr>
            </w:pPr>
          </w:p>
        </w:tc>
        <w:tc>
          <w:tcPr>
            <w:tcW w:w="1112" w:type="dxa"/>
            <w:tcBorders>
              <w:top w:val="nil"/>
              <w:left w:val="single" w:color="auto" w:sz="4" w:space="0"/>
              <w:bottom w:val="single" w:color="auto" w:sz="4" w:space="0"/>
              <w:right w:val="single" w:color="auto" w:sz="4" w:space="0"/>
            </w:tcBorders>
            <w:noWrap w:val="0"/>
            <w:vAlign w:val="center"/>
          </w:tcPr>
          <w:p>
            <w:pPr>
              <w:jc w:val="center"/>
              <w:rPr>
                <w:rFonts w:ascii="宋体" w:hAnsi="宋体" w:cs="宋体"/>
                <w:color w:val="auto"/>
                <w:szCs w:val="21"/>
              </w:rPr>
            </w:pPr>
          </w:p>
        </w:tc>
        <w:tc>
          <w:tcPr>
            <w:tcW w:w="2694" w:type="dxa"/>
            <w:tcBorders>
              <w:top w:val="nil"/>
              <w:left w:val="nil"/>
              <w:bottom w:val="single" w:color="auto" w:sz="4" w:space="0"/>
              <w:right w:val="single" w:color="auto" w:sz="4" w:space="0"/>
            </w:tcBorders>
            <w:noWrap w:val="0"/>
            <w:vAlign w:val="center"/>
          </w:tcPr>
          <w:p>
            <w:pPr>
              <w:jc w:val="center"/>
              <w:rPr>
                <w:rFonts w:ascii="宋体" w:hAnsi="宋体" w:cs="宋体"/>
                <w:color w:val="auto"/>
                <w:szCs w:val="21"/>
              </w:rPr>
            </w:pPr>
          </w:p>
        </w:tc>
      </w:tr>
      <w:tr>
        <w:tblPrEx>
          <w:tblCellMar>
            <w:top w:w="0" w:type="dxa"/>
            <w:left w:w="108" w:type="dxa"/>
            <w:bottom w:w="0" w:type="dxa"/>
            <w:right w:w="108" w:type="dxa"/>
          </w:tblCellMar>
        </w:tblPrEx>
        <w:trPr>
          <w:trHeight w:val="457" w:hRule="atLeast"/>
          <w:jc w:val="center"/>
        </w:trPr>
        <w:tc>
          <w:tcPr>
            <w:tcW w:w="928" w:type="dxa"/>
            <w:tcBorders>
              <w:top w:val="nil"/>
              <w:left w:val="single" w:color="auto" w:sz="4" w:space="0"/>
              <w:bottom w:val="single" w:color="auto" w:sz="4" w:space="0"/>
              <w:right w:val="single" w:color="auto" w:sz="4" w:space="0"/>
            </w:tcBorders>
            <w:noWrap w:val="0"/>
            <w:vAlign w:val="center"/>
          </w:tcPr>
          <w:p>
            <w:pPr>
              <w:jc w:val="center"/>
              <w:rPr>
                <w:rFonts w:ascii="宋体" w:hAnsi="宋体" w:cs="宋体"/>
                <w:color w:val="auto"/>
                <w:szCs w:val="21"/>
              </w:rPr>
            </w:pPr>
          </w:p>
        </w:tc>
        <w:tc>
          <w:tcPr>
            <w:tcW w:w="2430" w:type="dxa"/>
            <w:tcBorders>
              <w:top w:val="nil"/>
              <w:left w:val="nil"/>
              <w:bottom w:val="single" w:color="auto" w:sz="4" w:space="0"/>
              <w:right w:val="single" w:color="auto" w:sz="4" w:space="0"/>
            </w:tcBorders>
            <w:noWrap w:val="0"/>
            <w:vAlign w:val="center"/>
          </w:tcPr>
          <w:p>
            <w:pPr>
              <w:rPr>
                <w:rFonts w:ascii="宋体" w:hAnsi="宋体" w:cs="宋体"/>
                <w:color w:val="auto"/>
                <w:szCs w:val="21"/>
              </w:rPr>
            </w:pPr>
          </w:p>
        </w:tc>
        <w:tc>
          <w:tcPr>
            <w:tcW w:w="1140" w:type="dxa"/>
            <w:tcBorders>
              <w:top w:val="nil"/>
              <w:left w:val="single" w:color="auto" w:sz="4" w:space="0"/>
              <w:bottom w:val="single" w:color="auto" w:sz="4" w:space="0"/>
              <w:right w:val="single" w:color="auto" w:sz="4" w:space="0"/>
            </w:tcBorders>
            <w:noWrap w:val="0"/>
            <w:vAlign w:val="center"/>
          </w:tcPr>
          <w:p>
            <w:pPr>
              <w:jc w:val="center"/>
              <w:rPr>
                <w:rFonts w:ascii="宋体" w:hAnsi="宋体" w:cs="宋体"/>
                <w:color w:val="auto"/>
                <w:szCs w:val="21"/>
              </w:rPr>
            </w:pPr>
          </w:p>
        </w:tc>
        <w:tc>
          <w:tcPr>
            <w:tcW w:w="1200" w:type="dxa"/>
            <w:tcBorders>
              <w:top w:val="nil"/>
              <w:left w:val="nil"/>
              <w:bottom w:val="single" w:color="auto" w:sz="4" w:space="0"/>
              <w:right w:val="single" w:color="auto" w:sz="4" w:space="0"/>
            </w:tcBorders>
            <w:noWrap w:val="0"/>
            <w:vAlign w:val="center"/>
          </w:tcPr>
          <w:p>
            <w:pPr>
              <w:jc w:val="center"/>
              <w:rPr>
                <w:rFonts w:ascii="宋体" w:hAnsi="宋体" w:cs="宋体"/>
                <w:color w:val="auto"/>
                <w:szCs w:val="21"/>
              </w:rPr>
            </w:pPr>
          </w:p>
        </w:tc>
        <w:tc>
          <w:tcPr>
            <w:tcW w:w="1112" w:type="dxa"/>
            <w:tcBorders>
              <w:top w:val="nil"/>
              <w:left w:val="single" w:color="auto" w:sz="4" w:space="0"/>
              <w:bottom w:val="single" w:color="auto" w:sz="4" w:space="0"/>
              <w:right w:val="single" w:color="auto" w:sz="4" w:space="0"/>
            </w:tcBorders>
            <w:noWrap w:val="0"/>
            <w:vAlign w:val="center"/>
          </w:tcPr>
          <w:p>
            <w:pPr>
              <w:jc w:val="center"/>
              <w:rPr>
                <w:rFonts w:ascii="宋体" w:hAnsi="宋体" w:cs="宋体"/>
                <w:color w:val="auto"/>
                <w:szCs w:val="21"/>
              </w:rPr>
            </w:pPr>
          </w:p>
        </w:tc>
        <w:tc>
          <w:tcPr>
            <w:tcW w:w="2694" w:type="dxa"/>
            <w:tcBorders>
              <w:top w:val="nil"/>
              <w:left w:val="nil"/>
              <w:bottom w:val="single" w:color="auto" w:sz="4" w:space="0"/>
              <w:right w:val="single" w:color="auto" w:sz="4" w:space="0"/>
            </w:tcBorders>
            <w:noWrap w:val="0"/>
            <w:vAlign w:val="center"/>
          </w:tcPr>
          <w:p>
            <w:pPr>
              <w:jc w:val="center"/>
              <w:rPr>
                <w:rFonts w:ascii="宋体" w:hAnsi="宋体" w:cs="宋体"/>
                <w:color w:val="auto"/>
                <w:szCs w:val="21"/>
              </w:rPr>
            </w:pPr>
          </w:p>
        </w:tc>
      </w:tr>
      <w:tr>
        <w:tblPrEx>
          <w:tblCellMar>
            <w:top w:w="0" w:type="dxa"/>
            <w:left w:w="108" w:type="dxa"/>
            <w:bottom w:w="0" w:type="dxa"/>
            <w:right w:w="108" w:type="dxa"/>
          </w:tblCellMar>
        </w:tblPrEx>
        <w:trPr>
          <w:trHeight w:val="457" w:hRule="atLeast"/>
          <w:jc w:val="center"/>
        </w:trPr>
        <w:tc>
          <w:tcPr>
            <w:tcW w:w="928" w:type="dxa"/>
            <w:tcBorders>
              <w:top w:val="nil"/>
              <w:left w:val="single" w:color="auto" w:sz="4" w:space="0"/>
              <w:bottom w:val="single" w:color="auto" w:sz="4" w:space="0"/>
              <w:right w:val="single" w:color="auto" w:sz="4" w:space="0"/>
            </w:tcBorders>
            <w:noWrap w:val="0"/>
            <w:vAlign w:val="center"/>
          </w:tcPr>
          <w:p>
            <w:pPr>
              <w:jc w:val="center"/>
              <w:rPr>
                <w:rFonts w:ascii="宋体" w:hAnsi="宋体" w:cs="宋体"/>
                <w:color w:val="auto"/>
                <w:szCs w:val="21"/>
              </w:rPr>
            </w:pPr>
          </w:p>
        </w:tc>
        <w:tc>
          <w:tcPr>
            <w:tcW w:w="2430" w:type="dxa"/>
            <w:tcBorders>
              <w:top w:val="nil"/>
              <w:left w:val="nil"/>
              <w:bottom w:val="single" w:color="auto" w:sz="4" w:space="0"/>
              <w:right w:val="single" w:color="auto" w:sz="4" w:space="0"/>
            </w:tcBorders>
            <w:noWrap w:val="0"/>
            <w:vAlign w:val="center"/>
          </w:tcPr>
          <w:p>
            <w:pPr>
              <w:rPr>
                <w:rFonts w:ascii="宋体" w:hAnsi="宋体" w:cs="宋体"/>
                <w:color w:val="auto"/>
                <w:szCs w:val="21"/>
              </w:rPr>
            </w:pPr>
          </w:p>
        </w:tc>
        <w:tc>
          <w:tcPr>
            <w:tcW w:w="1140" w:type="dxa"/>
            <w:tcBorders>
              <w:top w:val="nil"/>
              <w:left w:val="single" w:color="auto" w:sz="4" w:space="0"/>
              <w:bottom w:val="single" w:color="auto" w:sz="4" w:space="0"/>
              <w:right w:val="single" w:color="auto" w:sz="4" w:space="0"/>
            </w:tcBorders>
            <w:noWrap w:val="0"/>
            <w:vAlign w:val="center"/>
          </w:tcPr>
          <w:p>
            <w:pPr>
              <w:jc w:val="center"/>
              <w:rPr>
                <w:rFonts w:ascii="宋体" w:hAnsi="宋体" w:cs="宋体"/>
                <w:color w:val="auto"/>
                <w:szCs w:val="21"/>
              </w:rPr>
            </w:pPr>
          </w:p>
        </w:tc>
        <w:tc>
          <w:tcPr>
            <w:tcW w:w="1200" w:type="dxa"/>
            <w:tcBorders>
              <w:top w:val="nil"/>
              <w:left w:val="nil"/>
              <w:bottom w:val="single" w:color="auto" w:sz="4" w:space="0"/>
              <w:right w:val="single" w:color="auto" w:sz="4" w:space="0"/>
            </w:tcBorders>
            <w:noWrap w:val="0"/>
            <w:vAlign w:val="center"/>
          </w:tcPr>
          <w:p>
            <w:pPr>
              <w:jc w:val="center"/>
              <w:rPr>
                <w:rFonts w:ascii="宋体" w:hAnsi="宋体" w:cs="宋体"/>
                <w:color w:val="auto"/>
                <w:szCs w:val="21"/>
              </w:rPr>
            </w:pPr>
          </w:p>
        </w:tc>
        <w:tc>
          <w:tcPr>
            <w:tcW w:w="1112" w:type="dxa"/>
            <w:tcBorders>
              <w:top w:val="nil"/>
              <w:left w:val="single" w:color="auto" w:sz="4" w:space="0"/>
              <w:bottom w:val="single" w:color="auto" w:sz="4" w:space="0"/>
              <w:right w:val="single" w:color="auto" w:sz="4" w:space="0"/>
            </w:tcBorders>
            <w:noWrap w:val="0"/>
            <w:vAlign w:val="center"/>
          </w:tcPr>
          <w:p>
            <w:pPr>
              <w:jc w:val="center"/>
              <w:rPr>
                <w:rFonts w:ascii="宋体" w:hAnsi="宋体" w:cs="宋体"/>
                <w:color w:val="auto"/>
                <w:szCs w:val="21"/>
              </w:rPr>
            </w:pPr>
          </w:p>
        </w:tc>
        <w:tc>
          <w:tcPr>
            <w:tcW w:w="2694" w:type="dxa"/>
            <w:tcBorders>
              <w:top w:val="nil"/>
              <w:left w:val="nil"/>
              <w:bottom w:val="single" w:color="auto" w:sz="4" w:space="0"/>
              <w:right w:val="single" w:color="auto" w:sz="4" w:space="0"/>
            </w:tcBorders>
            <w:noWrap w:val="0"/>
            <w:vAlign w:val="center"/>
          </w:tcPr>
          <w:p>
            <w:pPr>
              <w:jc w:val="center"/>
              <w:rPr>
                <w:rFonts w:ascii="宋体" w:hAnsi="宋体" w:cs="宋体"/>
                <w:color w:val="auto"/>
                <w:szCs w:val="21"/>
              </w:rPr>
            </w:pPr>
          </w:p>
        </w:tc>
      </w:tr>
      <w:tr>
        <w:tblPrEx>
          <w:tblCellMar>
            <w:top w:w="0" w:type="dxa"/>
            <w:left w:w="108" w:type="dxa"/>
            <w:bottom w:w="0" w:type="dxa"/>
            <w:right w:w="108" w:type="dxa"/>
          </w:tblCellMar>
        </w:tblPrEx>
        <w:trPr>
          <w:trHeight w:val="457" w:hRule="atLeast"/>
          <w:jc w:val="center"/>
        </w:trPr>
        <w:tc>
          <w:tcPr>
            <w:tcW w:w="928" w:type="dxa"/>
            <w:tcBorders>
              <w:top w:val="nil"/>
              <w:left w:val="single" w:color="auto" w:sz="4" w:space="0"/>
              <w:bottom w:val="single" w:color="auto" w:sz="4" w:space="0"/>
              <w:right w:val="single" w:color="auto" w:sz="4" w:space="0"/>
            </w:tcBorders>
            <w:noWrap w:val="0"/>
            <w:vAlign w:val="center"/>
          </w:tcPr>
          <w:p>
            <w:pPr>
              <w:jc w:val="center"/>
              <w:rPr>
                <w:rFonts w:ascii="宋体" w:hAnsi="宋体" w:cs="宋体"/>
                <w:color w:val="auto"/>
                <w:szCs w:val="21"/>
              </w:rPr>
            </w:pPr>
          </w:p>
        </w:tc>
        <w:tc>
          <w:tcPr>
            <w:tcW w:w="2430" w:type="dxa"/>
            <w:tcBorders>
              <w:top w:val="nil"/>
              <w:left w:val="nil"/>
              <w:bottom w:val="single" w:color="auto" w:sz="4" w:space="0"/>
              <w:right w:val="single" w:color="auto" w:sz="4" w:space="0"/>
            </w:tcBorders>
            <w:noWrap w:val="0"/>
            <w:vAlign w:val="center"/>
          </w:tcPr>
          <w:p>
            <w:pPr>
              <w:rPr>
                <w:rFonts w:ascii="宋体" w:hAnsi="宋体" w:cs="宋体"/>
                <w:color w:val="auto"/>
                <w:szCs w:val="21"/>
              </w:rPr>
            </w:pPr>
          </w:p>
        </w:tc>
        <w:tc>
          <w:tcPr>
            <w:tcW w:w="1140" w:type="dxa"/>
            <w:tcBorders>
              <w:top w:val="nil"/>
              <w:left w:val="single" w:color="auto" w:sz="4" w:space="0"/>
              <w:bottom w:val="single" w:color="auto" w:sz="4" w:space="0"/>
              <w:right w:val="single" w:color="auto" w:sz="4" w:space="0"/>
            </w:tcBorders>
            <w:noWrap w:val="0"/>
            <w:vAlign w:val="center"/>
          </w:tcPr>
          <w:p>
            <w:pPr>
              <w:jc w:val="center"/>
              <w:rPr>
                <w:rFonts w:ascii="宋体" w:hAnsi="宋体" w:cs="宋体"/>
                <w:color w:val="auto"/>
                <w:szCs w:val="21"/>
              </w:rPr>
            </w:pPr>
          </w:p>
        </w:tc>
        <w:tc>
          <w:tcPr>
            <w:tcW w:w="1200" w:type="dxa"/>
            <w:tcBorders>
              <w:top w:val="nil"/>
              <w:left w:val="nil"/>
              <w:bottom w:val="single" w:color="auto" w:sz="4" w:space="0"/>
              <w:right w:val="single" w:color="auto" w:sz="4" w:space="0"/>
            </w:tcBorders>
            <w:noWrap w:val="0"/>
            <w:vAlign w:val="center"/>
          </w:tcPr>
          <w:p>
            <w:pPr>
              <w:jc w:val="center"/>
              <w:rPr>
                <w:rFonts w:ascii="宋体" w:hAnsi="宋体" w:cs="宋体"/>
                <w:color w:val="auto"/>
                <w:szCs w:val="21"/>
              </w:rPr>
            </w:pPr>
          </w:p>
        </w:tc>
        <w:tc>
          <w:tcPr>
            <w:tcW w:w="1112" w:type="dxa"/>
            <w:tcBorders>
              <w:top w:val="nil"/>
              <w:left w:val="single" w:color="auto" w:sz="4" w:space="0"/>
              <w:bottom w:val="single" w:color="auto" w:sz="4" w:space="0"/>
              <w:right w:val="single" w:color="auto" w:sz="4" w:space="0"/>
            </w:tcBorders>
            <w:noWrap w:val="0"/>
            <w:vAlign w:val="center"/>
          </w:tcPr>
          <w:p>
            <w:pPr>
              <w:jc w:val="center"/>
              <w:rPr>
                <w:rFonts w:ascii="宋体" w:hAnsi="宋体" w:cs="宋体"/>
                <w:color w:val="auto"/>
                <w:szCs w:val="21"/>
              </w:rPr>
            </w:pPr>
          </w:p>
        </w:tc>
        <w:tc>
          <w:tcPr>
            <w:tcW w:w="2694" w:type="dxa"/>
            <w:tcBorders>
              <w:top w:val="nil"/>
              <w:left w:val="nil"/>
              <w:bottom w:val="single" w:color="auto" w:sz="4" w:space="0"/>
              <w:right w:val="single" w:color="auto" w:sz="4" w:space="0"/>
            </w:tcBorders>
            <w:noWrap w:val="0"/>
            <w:vAlign w:val="center"/>
          </w:tcPr>
          <w:p>
            <w:pPr>
              <w:jc w:val="center"/>
              <w:rPr>
                <w:rFonts w:ascii="宋体" w:hAnsi="宋体" w:cs="宋体"/>
                <w:color w:val="auto"/>
                <w:szCs w:val="21"/>
              </w:rPr>
            </w:pPr>
          </w:p>
        </w:tc>
      </w:tr>
    </w:tbl>
    <w:p>
      <w:pPr>
        <w:adjustRightInd w:val="0"/>
        <w:snapToGrid w:val="0"/>
        <w:spacing w:line="360" w:lineRule="auto"/>
        <w:ind w:firstLine="420" w:firstLineChars="200"/>
        <w:rPr>
          <w:rFonts w:ascii="宋体" w:hAnsi="宋体" w:cs="宋体"/>
          <w:color w:val="auto"/>
          <w:szCs w:val="21"/>
        </w:rPr>
      </w:pPr>
    </w:p>
    <w:p>
      <w:pPr>
        <w:adjustRightInd w:val="0"/>
        <w:snapToGrid w:val="0"/>
        <w:spacing w:line="360" w:lineRule="auto"/>
        <w:rPr>
          <w:rFonts w:hint="eastAsia" w:ascii="宋体" w:hAnsi="宋体" w:cs="宋体"/>
          <w:b/>
          <w:bCs/>
          <w:color w:val="auto"/>
          <w:szCs w:val="21"/>
        </w:rPr>
      </w:pPr>
      <w:r>
        <w:rPr>
          <w:rFonts w:hint="eastAsia" w:ascii="宋体" w:hAnsi="宋体" w:cs="宋体"/>
          <w:b/>
          <w:bCs/>
          <w:color w:val="auto"/>
          <w:szCs w:val="21"/>
        </w:rPr>
        <w:t>二、合同金额及履约保证金</w:t>
      </w:r>
    </w:p>
    <w:p>
      <w:pPr>
        <w:pStyle w:val="24"/>
        <w:spacing w:line="360" w:lineRule="auto"/>
        <w:ind w:left="315" w:leftChars="150" w:firstLine="105" w:firstLineChars="50"/>
        <w:rPr>
          <w:rFonts w:hint="eastAsia" w:ascii="宋体" w:hAnsi="宋体" w:cs="宋体"/>
          <w:i w:val="0"/>
          <w:color w:val="auto"/>
          <w:sz w:val="21"/>
          <w:szCs w:val="21"/>
        </w:rPr>
      </w:pPr>
      <w:r>
        <w:rPr>
          <w:rFonts w:hint="eastAsia" w:ascii="宋体" w:hAnsi="宋体" w:cs="宋体"/>
          <w:b/>
          <w:bCs/>
          <w:i w:val="0"/>
          <w:color w:val="auto"/>
          <w:sz w:val="21"/>
          <w:szCs w:val="21"/>
        </w:rPr>
        <w:t>1、履约保证金：</w:t>
      </w:r>
      <w:r>
        <w:rPr>
          <w:rFonts w:hint="eastAsia" w:ascii="宋体" w:hAnsi="宋体" w:cs="宋体"/>
          <w:i w:val="0"/>
          <w:color w:val="auto"/>
          <w:sz w:val="21"/>
          <w:szCs w:val="21"/>
        </w:rPr>
        <w:t>合同金额的5%，由中标人在合同签订后七个工作日内提交给招标人，服务期满或服务中止时七个工作日内无息退还。中标人如在服务期间单方面退出服务违约的，履约保证金不再返还。缴纳</w:t>
      </w:r>
      <w:r>
        <w:rPr>
          <w:rFonts w:ascii="宋体" w:hAnsi="宋体" w:cs="宋体"/>
          <w:i w:val="0"/>
          <w:color w:val="auto"/>
          <w:sz w:val="21"/>
          <w:szCs w:val="21"/>
        </w:rPr>
        <w:t>方式：</w:t>
      </w:r>
      <w:r>
        <w:rPr>
          <w:rFonts w:hint="eastAsia" w:ascii="宋体" w:hAnsi="宋体" w:cs="宋体"/>
          <w:i w:val="0"/>
          <w:color w:val="auto"/>
          <w:sz w:val="21"/>
          <w:szCs w:val="21"/>
        </w:rPr>
        <w:t>银行保函或保证担保或保险保单。</w:t>
      </w:r>
    </w:p>
    <w:p>
      <w:pPr>
        <w:numPr>
          <w:ilvl w:val="0"/>
          <w:numId w:val="7"/>
        </w:numPr>
        <w:spacing w:line="360" w:lineRule="auto"/>
        <w:ind w:firstLine="422" w:firstLineChars="200"/>
        <w:rPr>
          <w:rFonts w:hint="eastAsia" w:ascii="宋体" w:hAnsi="宋体" w:cs="宋体"/>
          <w:b/>
          <w:bCs/>
          <w:color w:val="auto"/>
          <w:szCs w:val="21"/>
        </w:rPr>
      </w:pPr>
      <w:r>
        <w:rPr>
          <w:rFonts w:hint="eastAsia" w:ascii="宋体" w:hAnsi="宋体" w:cs="宋体"/>
          <w:b/>
          <w:bCs/>
          <w:color w:val="auto"/>
          <w:szCs w:val="21"/>
        </w:rPr>
        <w:t>本合同金额为（大写）：_______________元（￥____________元）人民币。</w:t>
      </w:r>
    </w:p>
    <w:p>
      <w:pPr>
        <w:pStyle w:val="24"/>
        <w:numPr>
          <w:ilvl w:val="0"/>
          <w:numId w:val="0"/>
        </w:numPr>
        <w:rPr>
          <w:color w:val="auto"/>
        </w:rPr>
      </w:pPr>
    </w:p>
    <w:p>
      <w:pPr>
        <w:numPr>
          <w:ilvl w:val="0"/>
          <w:numId w:val="8"/>
        </w:numPr>
        <w:adjustRightInd w:val="0"/>
        <w:snapToGrid w:val="0"/>
        <w:spacing w:line="360" w:lineRule="auto"/>
        <w:rPr>
          <w:rFonts w:ascii="宋体" w:hAnsi="宋体" w:cs="宋体"/>
          <w:color w:val="auto"/>
          <w:szCs w:val="21"/>
        </w:rPr>
      </w:pPr>
      <w:r>
        <w:rPr>
          <w:rFonts w:hint="eastAsia" w:ascii="宋体" w:hAnsi="宋体" w:cs="宋体"/>
          <w:b/>
          <w:bCs/>
          <w:color w:val="auto"/>
          <w:szCs w:val="21"/>
        </w:rPr>
        <w:t>付款方式</w:t>
      </w:r>
      <w:r>
        <w:rPr>
          <w:rFonts w:hint="eastAsia" w:ascii="宋体" w:hAnsi="宋体" w:cs="宋体"/>
          <w:color w:val="auto"/>
          <w:szCs w:val="21"/>
        </w:rPr>
        <w:t>：</w:t>
      </w:r>
    </w:p>
    <w:p>
      <w:pPr>
        <w:pStyle w:val="24"/>
        <w:rPr>
          <w:color w:val="auto"/>
        </w:rPr>
      </w:pPr>
    </w:p>
    <w:p>
      <w:pPr>
        <w:adjustRightInd w:val="0"/>
        <w:snapToGrid w:val="0"/>
        <w:spacing w:line="360" w:lineRule="auto"/>
        <w:rPr>
          <w:rFonts w:ascii="宋体" w:hAnsi="宋体" w:cs="宋体"/>
          <w:b/>
          <w:bCs/>
          <w:color w:val="auto"/>
          <w:szCs w:val="21"/>
        </w:rPr>
      </w:pPr>
      <w:r>
        <w:rPr>
          <w:rFonts w:hint="eastAsia" w:ascii="宋体" w:hAnsi="宋体" w:cs="宋体"/>
          <w:b/>
          <w:bCs/>
          <w:color w:val="auto"/>
          <w:szCs w:val="21"/>
        </w:rPr>
        <w:t>四、知识产权</w:t>
      </w:r>
    </w:p>
    <w:p>
      <w:pPr>
        <w:adjustRightInd w:val="0"/>
        <w:snapToGrid w:val="0"/>
        <w:spacing w:line="360" w:lineRule="auto"/>
        <w:ind w:firstLine="420" w:firstLineChars="200"/>
        <w:rPr>
          <w:rFonts w:hint="eastAsia" w:ascii="宋体" w:hAnsi="宋体" w:cs="宋体"/>
          <w:color w:val="auto"/>
          <w:szCs w:val="21"/>
        </w:rPr>
      </w:pPr>
      <w:r>
        <w:rPr>
          <w:rFonts w:hint="eastAsia" w:ascii="宋体" w:hAnsi="宋体" w:cs="宋体"/>
          <w:color w:val="auto"/>
          <w:szCs w:val="21"/>
        </w:rPr>
        <w:t>乙方应保证所提供的货物或其任何一部分均不会侵犯任何第三方的知识产权。</w:t>
      </w:r>
    </w:p>
    <w:p>
      <w:pPr>
        <w:pStyle w:val="24"/>
        <w:rPr>
          <w:color w:val="auto"/>
        </w:rPr>
      </w:pPr>
    </w:p>
    <w:p>
      <w:pPr>
        <w:adjustRightInd w:val="0"/>
        <w:snapToGrid w:val="0"/>
        <w:spacing w:line="360" w:lineRule="auto"/>
        <w:rPr>
          <w:rFonts w:ascii="宋体" w:hAnsi="宋体" w:cs="宋体"/>
          <w:b/>
          <w:bCs/>
          <w:color w:val="auto"/>
          <w:szCs w:val="21"/>
        </w:rPr>
      </w:pPr>
      <w:r>
        <w:rPr>
          <w:rFonts w:hint="eastAsia" w:ascii="宋体" w:hAnsi="宋体" w:cs="宋体"/>
          <w:b/>
          <w:bCs/>
          <w:color w:val="auto"/>
          <w:szCs w:val="21"/>
        </w:rPr>
        <w:t>五、转包或分包</w:t>
      </w:r>
    </w:p>
    <w:p>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1.本合同范围的货物，应由乙方直接供应，不得转让他人供应；</w:t>
      </w:r>
    </w:p>
    <w:p>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2.除非得到甲方的书面同意，乙方不得将本合同范围的货物全部或部分分包给他人供应；</w:t>
      </w:r>
    </w:p>
    <w:p>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3.如有转让和未经甲方同意的分包行为，甲方有权解除合同并追究乙方的违约责任。</w:t>
      </w:r>
    </w:p>
    <w:p>
      <w:pPr>
        <w:adjustRightInd w:val="0"/>
        <w:snapToGrid w:val="0"/>
        <w:spacing w:line="360" w:lineRule="auto"/>
        <w:rPr>
          <w:rFonts w:ascii="宋体" w:hAnsi="宋体" w:cs="宋体"/>
          <w:b/>
          <w:bCs/>
          <w:color w:val="auto"/>
          <w:szCs w:val="21"/>
        </w:rPr>
      </w:pPr>
      <w:r>
        <w:rPr>
          <w:rFonts w:hint="eastAsia" w:ascii="宋体" w:hAnsi="宋体" w:cs="宋体"/>
          <w:b/>
          <w:bCs/>
          <w:color w:val="auto"/>
          <w:szCs w:val="21"/>
        </w:rPr>
        <w:t>六、质保期</w:t>
      </w:r>
    </w:p>
    <w:p>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质保期：</w:t>
      </w:r>
      <w:r>
        <w:rPr>
          <w:rFonts w:hint="eastAsia" w:ascii="宋体" w:hAnsi="宋体" w:cs="宋体"/>
          <w:color w:val="auto"/>
          <w:szCs w:val="21"/>
          <w:u w:val="single"/>
          <w:lang w:val="en-US" w:eastAsia="zh-CN"/>
        </w:rPr>
        <w:t xml:space="preserve">    </w:t>
      </w:r>
      <w:r>
        <w:rPr>
          <w:rFonts w:hint="eastAsia" w:ascii="宋体" w:hAnsi="宋体" w:cs="宋体"/>
          <w:color w:val="auto"/>
          <w:szCs w:val="21"/>
          <w:u w:val="single"/>
        </w:rPr>
        <w:t>年</w:t>
      </w:r>
      <w:r>
        <w:rPr>
          <w:rFonts w:hint="eastAsia" w:ascii="宋体" w:hAnsi="宋体" w:cs="宋体"/>
          <w:color w:val="auto"/>
          <w:szCs w:val="21"/>
        </w:rPr>
        <w:t>。（自交货验收合格之日起计）</w:t>
      </w:r>
    </w:p>
    <w:p>
      <w:pPr>
        <w:adjustRightInd w:val="0"/>
        <w:snapToGrid w:val="0"/>
        <w:spacing w:line="360" w:lineRule="auto"/>
        <w:rPr>
          <w:rFonts w:ascii="宋体" w:hAnsi="宋体" w:cs="宋体"/>
          <w:b/>
          <w:bCs/>
          <w:color w:val="auto"/>
          <w:szCs w:val="21"/>
        </w:rPr>
      </w:pPr>
      <w:r>
        <w:rPr>
          <w:rFonts w:hint="eastAsia" w:ascii="宋体" w:hAnsi="宋体" w:cs="宋体"/>
          <w:b/>
          <w:bCs/>
          <w:color w:val="auto"/>
          <w:szCs w:val="21"/>
        </w:rPr>
        <w:t>七、交货期、交货方式及交货地点</w:t>
      </w:r>
    </w:p>
    <w:p>
      <w:pPr>
        <w:adjustRightInd w:val="0"/>
        <w:snapToGrid w:val="0"/>
        <w:spacing w:line="360" w:lineRule="auto"/>
        <w:ind w:firstLine="420" w:firstLineChars="200"/>
        <w:rPr>
          <w:rFonts w:hint="eastAsia" w:ascii="宋体" w:hAnsi="宋体" w:cs="宋体"/>
          <w:color w:val="auto"/>
          <w:szCs w:val="21"/>
        </w:rPr>
      </w:pPr>
      <w:r>
        <w:rPr>
          <w:rFonts w:hint="eastAsia" w:ascii="宋体" w:hAnsi="宋体" w:cs="宋体"/>
          <w:color w:val="auto"/>
          <w:szCs w:val="21"/>
        </w:rPr>
        <w:t>1.交货期：</w:t>
      </w:r>
      <w:r>
        <w:rPr>
          <w:rFonts w:hint="eastAsia" w:ascii="宋体" w:hAnsi="宋体" w:cs="宋体"/>
          <w:color w:val="auto"/>
          <w:szCs w:val="21"/>
          <w:lang w:val="en-US" w:eastAsia="zh-CN"/>
        </w:rPr>
        <w:t xml:space="preserve">  </w:t>
      </w:r>
    </w:p>
    <w:p>
      <w:pPr>
        <w:pStyle w:val="24"/>
        <w:spacing w:line="360" w:lineRule="auto"/>
        <w:rPr>
          <w:rFonts w:hint="eastAsia" w:ascii="宋体" w:hAnsi="宋体" w:cs="宋体"/>
          <w:i w:val="0"/>
          <w:color w:val="auto"/>
          <w:sz w:val="21"/>
          <w:szCs w:val="21"/>
        </w:rPr>
      </w:pPr>
      <w:r>
        <w:rPr>
          <w:rFonts w:hint="eastAsia" w:ascii="Verdana" w:hAnsi="Verdana"/>
          <w:i w:val="0"/>
          <w:color w:val="auto"/>
          <w:kern w:val="0"/>
          <w:sz w:val="20"/>
        </w:rPr>
        <w:t xml:space="preserve">    2．</w:t>
      </w:r>
      <w:r>
        <w:rPr>
          <w:rFonts w:hint="eastAsia" w:ascii="宋体" w:hAnsi="宋体" w:cs="宋体"/>
          <w:i w:val="0"/>
          <w:color w:val="auto"/>
          <w:sz w:val="21"/>
          <w:szCs w:val="21"/>
        </w:rPr>
        <w:t>材料进场前须提交合格证、质保单和检验报告（进口设备、材料交货时，乙方必须提交原产地证明及相应的通关证明），并经发包人和监理人验收合格后方能使用，如发现不合格的设备材料，任何一方必须制止使用，并由乙方承担全部经济损失和责任；发包人和监理人验收时没有发现问题并不免除乙方仍应对设备材料今后出面的问题负有的质量责任。</w:t>
      </w:r>
    </w:p>
    <w:p>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2.交货地点：甲方指定地点。</w:t>
      </w:r>
    </w:p>
    <w:p>
      <w:pPr>
        <w:adjustRightInd w:val="0"/>
        <w:snapToGrid w:val="0"/>
        <w:spacing w:line="360" w:lineRule="auto"/>
        <w:rPr>
          <w:rFonts w:ascii="宋体" w:hAnsi="宋体" w:cs="宋体"/>
          <w:b/>
          <w:bCs/>
          <w:color w:val="auto"/>
          <w:szCs w:val="21"/>
        </w:rPr>
      </w:pPr>
      <w:r>
        <w:rPr>
          <w:rFonts w:hint="eastAsia" w:ascii="宋体" w:hAnsi="宋体" w:cs="宋体"/>
          <w:b/>
          <w:bCs/>
          <w:color w:val="auto"/>
          <w:szCs w:val="21"/>
        </w:rPr>
        <w:t>八、税费</w:t>
      </w:r>
    </w:p>
    <w:p>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本合同执行中相关的一切税费均由乙方负担。</w:t>
      </w:r>
    </w:p>
    <w:p>
      <w:pPr>
        <w:adjustRightInd w:val="0"/>
        <w:snapToGrid w:val="0"/>
        <w:spacing w:line="360" w:lineRule="auto"/>
        <w:rPr>
          <w:rFonts w:ascii="宋体" w:hAnsi="宋体" w:cs="宋体"/>
          <w:b/>
          <w:bCs/>
          <w:color w:val="auto"/>
          <w:szCs w:val="21"/>
        </w:rPr>
      </w:pPr>
      <w:r>
        <w:rPr>
          <w:rFonts w:hint="eastAsia" w:ascii="宋体" w:hAnsi="宋体" w:cs="宋体"/>
          <w:b/>
          <w:bCs/>
          <w:color w:val="auto"/>
          <w:szCs w:val="21"/>
        </w:rPr>
        <w:t>九、质量保证及售后服务</w:t>
      </w:r>
    </w:p>
    <w:p>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1. 乙方应按招标文件规定的货物性能、技术要求、质量标准向甲方提供未经使用的全新产品。</w:t>
      </w:r>
    </w:p>
    <w:p>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2. 乙方提供的货物在质保期内因货物本身的质量问题发生故障，乙方应负责免费更换。对达不到技术要求者，根据实际情况，经双方协商，可按以下办法处理：</w:t>
      </w:r>
    </w:p>
    <w:p>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⑴更换：由乙方承担所发生的全部费用。</w:t>
      </w:r>
    </w:p>
    <w:p>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⑵贬值处理：由甲乙双方合议定价。</w:t>
      </w:r>
    </w:p>
    <w:p>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⑶退货处理：乙方应退还甲方支付的合同款，同时应承担该货物的直接费用（运输、保险、检验、货款利息及银行手续费等）。</w:t>
      </w:r>
    </w:p>
    <w:p>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3. 如在使用过程中发生质量问题，乙方在接到甲方通知后在</w:t>
      </w:r>
      <w:r>
        <w:rPr>
          <w:rFonts w:hint="eastAsia" w:ascii="宋体" w:hAnsi="宋体" w:cs="宋体"/>
          <w:color w:val="auto"/>
          <w:szCs w:val="21"/>
          <w:u w:val="single"/>
        </w:rPr>
        <w:t>24</w:t>
      </w:r>
      <w:r>
        <w:rPr>
          <w:rFonts w:hint="eastAsia" w:ascii="宋体" w:hAnsi="宋体" w:cs="宋体"/>
          <w:color w:val="auto"/>
          <w:szCs w:val="21"/>
        </w:rPr>
        <w:t>小时内到达甲方现场。</w:t>
      </w:r>
    </w:p>
    <w:p>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4. 在质保期内，乙方应对货物出现的质量及安全问题负责处理解决并承担一切费用。</w:t>
      </w:r>
    </w:p>
    <w:p>
      <w:pPr>
        <w:adjustRightInd w:val="0"/>
        <w:snapToGrid w:val="0"/>
        <w:spacing w:line="360" w:lineRule="auto"/>
        <w:ind w:firstLine="420" w:firstLineChars="200"/>
        <w:rPr>
          <w:rFonts w:hint="eastAsia" w:ascii="宋体" w:hAnsi="宋体" w:cs="宋体"/>
          <w:color w:val="auto"/>
          <w:szCs w:val="21"/>
        </w:rPr>
      </w:pPr>
      <w:r>
        <w:rPr>
          <w:rFonts w:hint="eastAsia" w:ascii="宋体" w:hAnsi="宋体" w:cs="宋体"/>
          <w:color w:val="auto"/>
          <w:szCs w:val="21"/>
        </w:rPr>
        <w:t>5.上述的货物免费保修期为：</w:t>
      </w:r>
      <w:r>
        <w:rPr>
          <w:rFonts w:hint="eastAsia" w:ascii="宋体" w:hAnsi="宋体" w:cs="宋体"/>
          <w:color w:val="auto"/>
          <w:szCs w:val="21"/>
          <w:u w:val="single"/>
        </w:rPr>
        <w:t xml:space="preserve"> </w:t>
      </w:r>
      <w:r>
        <w:rPr>
          <w:rFonts w:hint="eastAsia" w:ascii="宋体" w:hAnsi="宋体" w:cs="宋体"/>
          <w:color w:val="auto"/>
          <w:szCs w:val="21"/>
          <w:u w:val="single"/>
          <w:lang w:val="en-US" w:eastAsia="zh-CN"/>
        </w:rPr>
        <w:t xml:space="preserve">    </w:t>
      </w:r>
      <w:r>
        <w:rPr>
          <w:rFonts w:hint="eastAsia" w:ascii="宋体" w:hAnsi="宋体" w:cs="宋体"/>
          <w:color w:val="auto"/>
          <w:szCs w:val="21"/>
          <w:u w:val="single"/>
        </w:rPr>
        <w:t>年</w:t>
      </w:r>
      <w:r>
        <w:rPr>
          <w:rFonts w:hint="eastAsia" w:ascii="宋体" w:hAnsi="宋体" w:cs="宋体"/>
          <w:color w:val="auto"/>
          <w:szCs w:val="21"/>
        </w:rPr>
        <w:t>，因人为因素出现的故障不在免费保修范围内。超过保修期的机器设备，终生维修，维修时只收部件成本费。</w:t>
      </w:r>
    </w:p>
    <w:p>
      <w:pPr>
        <w:pStyle w:val="24"/>
        <w:spacing w:line="360" w:lineRule="auto"/>
        <w:rPr>
          <w:rFonts w:hint="eastAsia" w:ascii="宋体" w:hAnsi="宋体" w:cs="宋体"/>
          <w:i w:val="0"/>
          <w:color w:val="auto"/>
          <w:sz w:val="21"/>
          <w:szCs w:val="21"/>
        </w:rPr>
      </w:pPr>
      <w:r>
        <w:rPr>
          <w:rFonts w:hint="eastAsia" w:ascii="宋体" w:hAnsi="宋体" w:cs="宋体"/>
          <w:i w:val="0"/>
          <w:color w:val="auto"/>
          <w:sz w:val="21"/>
          <w:szCs w:val="21"/>
        </w:rPr>
        <w:t xml:space="preserve">    6.乙方实际采购使用的材料，须经发包人、监理单位确认，以该种材料投标时的信息（市场）价相近于投标报价为原则，如实际采购使用的材料低于投标报价10%以上的，结算时对应材料款项应按实调减，高于投标报价的不作调增。</w:t>
      </w:r>
    </w:p>
    <w:p>
      <w:pPr>
        <w:adjustRightInd w:val="0"/>
        <w:snapToGrid w:val="0"/>
        <w:spacing w:line="360" w:lineRule="auto"/>
        <w:rPr>
          <w:rFonts w:ascii="宋体" w:hAnsi="宋体" w:cs="宋体"/>
          <w:b/>
          <w:bCs/>
          <w:color w:val="auto"/>
          <w:szCs w:val="21"/>
        </w:rPr>
      </w:pPr>
      <w:r>
        <w:rPr>
          <w:rFonts w:hint="eastAsia" w:ascii="宋体" w:hAnsi="宋体" w:cs="宋体"/>
          <w:b/>
          <w:bCs/>
          <w:color w:val="auto"/>
          <w:szCs w:val="21"/>
        </w:rPr>
        <w:t>十、调试和验收</w:t>
      </w:r>
    </w:p>
    <w:p>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1. 甲方对乙方提交的货物依据招标文件上的技术规格要求和国家有关质量标准进行现场初步验收，外观、说明书符合招标文件技术要求的，给予签收，初步验收不合格的不予签收。货到后，甲方需在五个工作日内验收。</w:t>
      </w:r>
    </w:p>
    <w:p>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2. 乙方交货前应对产品作出全面检查和对验收文件进行整理，并列出清单，作为甲方收货验收和使用的技术条件依据，检验的结果应随货物交甲方。</w:t>
      </w:r>
    </w:p>
    <w:p>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3. 由乙方负责现场调试，并培训甲方的使用操作人员，直到符合技术要求，甲方才做最终验收。</w:t>
      </w:r>
    </w:p>
    <w:p>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4. 验收时乙方必须在现场，验收完毕后作出验收结果报告；验收费用由乙方负责。</w:t>
      </w:r>
    </w:p>
    <w:p>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5.从验收合格次日起三个月内，出现非使用方人为因素造成的无法排除的故障，由乙方予以调换。</w:t>
      </w:r>
    </w:p>
    <w:p>
      <w:pPr>
        <w:adjustRightInd w:val="0"/>
        <w:snapToGrid w:val="0"/>
        <w:spacing w:line="360" w:lineRule="auto"/>
        <w:rPr>
          <w:rFonts w:ascii="宋体" w:hAnsi="宋体" w:cs="宋体"/>
          <w:b/>
          <w:bCs/>
          <w:color w:val="auto"/>
          <w:szCs w:val="21"/>
        </w:rPr>
      </w:pPr>
      <w:r>
        <w:rPr>
          <w:rFonts w:hint="eastAsia" w:ascii="宋体" w:hAnsi="宋体" w:cs="宋体"/>
          <w:b/>
          <w:bCs/>
          <w:color w:val="auto"/>
          <w:szCs w:val="21"/>
        </w:rPr>
        <w:t>十一、货物包装、发运及运输</w:t>
      </w:r>
    </w:p>
    <w:p>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1. 乙方应在货物发运前对其进行满足运输距离、防潮、防震、防锈和防破损装卸等要求包装，以保证货物安全运达甲方指定地点。</w:t>
      </w:r>
    </w:p>
    <w:p>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2. 使用说明书、质量检验证明书、随配附件和工具以及清单一并附于货物内。</w:t>
      </w:r>
    </w:p>
    <w:p>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3. 乙方在货物发运手续办理完毕后24小时内或货到甲方48小时前通知甲方，以准备接货。</w:t>
      </w:r>
    </w:p>
    <w:p>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4. 货物在调试结束，交付甲方使用前发生的风险均由乙方负责。</w:t>
      </w:r>
    </w:p>
    <w:p>
      <w:pPr>
        <w:adjustRightInd w:val="0"/>
        <w:snapToGrid w:val="0"/>
        <w:spacing w:line="360" w:lineRule="auto"/>
        <w:rPr>
          <w:rFonts w:ascii="宋体" w:hAnsi="宋体" w:cs="宋体"/>
          <w:b/>
          <w:bCs/>
          <w:color w:val="auto"/>
          <w:szCs w:val="21"/>
        </w:rPr>
      </w:pPr>
      <w:r>
        <w:rPr>
          <w:rFonts w:hint="eastAsia" w:ascii="宋体" w:hAnsi="宋体" w:cs="宋体"/>
          <w:b/>
          <w:bCs/>
          <w:color w:val="auto"/>
          <w:szCs w:val="21"/>
        </w:rPr>
        <w:t>十二、违约责任</w:t>
      </w:r>
    </w:p>
    <w:p>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1. 甲方无正当理由拒收货物的，甲方向乙方偿付拒收货款总值的百分之五违约金。</w:t>
      </w:r>
    </w:p>
    <w:p>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2. 甲方无故逾期验收和办理货款支付手续的,甲方应按逾期付款总额每日万分之五向乙方支付违约金。</w:t>
      </w:r>
    </w:p>
    <w:p>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 xml:space="preserve">3. 乙方逾期交付货物的，乙方应按逾期交货总额每日千分之六向甲方支付违约金，由甲方从待付货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 </w:t>
      </w:r>
    </w:p>
    <w:p>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4. 乙方所交的货物品种、型号、规格、技术参数、品牌、质量不符合合同规定、投标文件响应条款及招标文件规定标准的，甲方有权拒收该货物，乙方愿意更换货物但逾期交货的，按乙方逾期交货处理。乙方拒绝更换货物的，甲方可单方面解除合同。</w:t>
      </w:r>
    </w:p>
    <w:p>
      <w:pPr>
        <w:adjustRightInd w:val="0"/>
        <w:snapToGrid w:val="0"/>
        <w:spacing w:line="360" w:lineRule="auto"/>
        <w:rPr>
          <w:rFonts w:ascii="宋体" w:hAnsi="宋体" w:cs="宋体"/>
          <w:b/>
          <w:bCs/>
          <w:color w:val="auto"/>
          <w:szCs w:val="21"/>
        </w:rPr>
      </w:pPr>
      <w:r>
        <w:rPr>
          <w:rFonts w:hint="eastAsia" w:ascii="宋体" w:hAnsi="宋体" w:cs="宋体"/>
          <w:b/>
          <w:bCs/>
          <w:color w:val="auto"/>
          <w:szCs w:val="21"/>
        </w:rPr>
        <w:t>十三、不可抗力事件处理</w:t>
      </w:r>
    </w:p>
    <w:p>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1. 在合同有效期内，任何一方因不可抗力事件导致不能履行合同，则合同履行期可延长，其延长期与不可抗力影响期相同。</w:t>
      </w:r>
    </w:p>
    <w:p>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2. 不可抗力事件发生后，应立即通知对方，并寄送有关权威机构出具的证明。</w:t>
      </w:r>
    </w:p>
    <w:p>
      <w:pPr>
        <w:adjustRightInd w:val="0"/>
        <w:snapToGrid w:val="0"/>
        <w:spacing w:line="360" w:lineRule="auto"/>
        <w:ind w:firstLine="420" w:firstLineChars="200"/>
        <w:rPr>
          <w:rFonts w:hint="eastAsia" w:ascii="宋体" w:hAnsi="宋体" w:cs="宋体"/>
          <w:color w:val="auto"/>
          <w:szCs w:val="21"/>
        </w:rPr>
      </w:pPr>
      <w:r>
        <w:rPr>
          <w:rFonts w:hint="eastAsia" w:ascii="宋体" w:hAnsi="宋体" w:cs="宋体"/>
          <w:color w:val="auto"/>
          <w:szCs w:val="21"/>
        </w:rPr>
        <w:t>3. 不可抗力事件延续120天以上，双方应通过友好协商，确定是否继续履行合同。</w:t>
      </w:r>
    </w:p>
    <w:p>
      <w:pPr>
        <w:pStyle w:val="61"/>
        <w:spacing w:line="360" w:lineRule="auto"/>
        <w:ind w:left="432" w:hanging="432"/>
        <w:jc w:val="both"/>
        <w:rPr>
          <w:rFonts w:hint="eastAsia" w:ascii="宋体" w:hAnsi="宋体" w:cs="宋体"/>
          <w:color w:val="auto"/>
          <w:sz w:val="21"/>
          <w:szCs w:val="21"/>
        </w:rPr>
      </w:pPr>
      <w:r>
        <w:rPr>
          <w:rFonts w:hint="eastAsia" w:ascii="宋体" w:hAnsi="宋体" w:cs="宋体"/>
          <w:color w:val="auto"/>
          <w:sz w:val="21"/>
          <w:szCs w:val="21"/>
        </w:rPr>
        <w:t>十四、其他</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1、设备须严格按照招标文件要求供货并安装调试。如乙方在施工时采用的材料、设备经监理人或甲方发现不合格的，乙方须无条件更换材料达到招标文件要求，由此产生的一切损失由乙方承担。</w:t>
      </w:r>
    </w:p>
    <w:p>
      <w:pPr>
        <w:adjustRightInd w:val="0"/>
        <w:snapToGrid w:val="0"/>
        <w:spacing w:line="360" w:lineRule="auto"/>
        <w:rPr>
          <w:rFonts w:ascii="宋体" w:hAnsi="宋体" w:cs="宋体"/>
          <w:b/>
          <w:bCs/>
          <w:color w:val="auto"/>
          <w:szCs w:val="21"/>
        </w:rPr>
      </w:pPr>
      <w:r>
        <w:rPr>
          <w:rFonts w:hint="eastAsia" w:ascii="宋体" w:hAnsi="宋体" w:cs="宋体"/>
          <w:b/>
          <w:bCs/>
          <w:color w:val="auto"/>
          <w:szCs w:val="21"/>
        </w:rPr>
        <w:t>十五、诉讼</w:t>
      </w:r>
    </w:p>
    <w:p>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双方在执行合同中所发生的一切争议，应通过协商解决。如协商不成，可向甲方所在地法院起诉。</w:t>
      </w:r>
    </w:p>
    <w:p>
      <w:pPr>
        <w:pStyle w:val="33"/>
        <w:snapToGrid w:val="0"/>
        <w:spacing w:line="360" w:lineRule="auto"/>
        <w:rPr>
          <w:b/>
          <w:color w:val="auto"/>
          <w:sz w:val="21"/>
          <w:szCs w:val="21"/>
        </w:rPr>
      </w:pPr>
      <w:r>
        <w:rPr>
          <w:b/>
          <w:color w:val="auto"/>
          <w:sz w:val="21"/>
          <w:szCs w:val="21"/>
          <w:lang w:val="zh-CN"/>
        </w:rPr>
        <w:t>十</w:t>
      </w:r>
      <w:r>
        <w:rPr>
          <w:rFonts w:hint="eastAsia"/>
          <w:b/>
          <w:color w:val="auto"/>
          <w:sz w:val="21"/>
          <w:szCs w:val="21"/>
          <w:lang w:val="zh-CN"/>
        </w:rPr>
        <w:t>六</w:t>
      </w:r>
      <w:r>
        <w:rPr>
          <w:b/>
          <w:color w:val="auto"/>
          <w:sz w:val="21"/>
          <w:szCs w:val="21"/>
          <w:lang w:val="zh-CN"/>
        </w:rPr>
        <w:t>、本合同一式六份，甲乙双方各执二份，招标代理机构留存一份，备案一份，均具有同等效力，本合同签字盖章之日起生效。</w:t>
      </w:r>
      <w:r>
        <w:rPr>
          <w:b/>
          <w:color w:val="auto"/>
          <w:sz w:val="21"/>
          <w:szCs w:val="21"/>
        </w:rPr>
        <w:t xml:space="preserve"> </w:t>
      </w:r>
    </w:p>
    <w:p>
      <w:pPr>
        <w:pStyle w:val="33"/>
        <w:snapToGrid w:val="0"/>
        <w:spacing w:line="360" w:lineRule="auto"/>
        <w:rPr>
          <w:b/>
          <w:color w:val="auto"/>
          <w:sz w:val="21"/>
          <w:szCs w:val="21"/>
        </w:rPr>
      </w:pPr>
      <w:r>
        <w:rPr>
          <w:b/>
          <w:color w:val="auto"/>
          <w:sz w:val="21"/>
          <w:szCs w:val="21"/>
        </w:rPr>
        <w:t>十</w:t>
      </w:r>
      <w:r>
        <w:rPr>
          <w:rFonts w:hint="eastAsia"/>
          <w:b/>
          <w:color w:val="auto"/>
          <w:sz w:val="21"/>
          <w:szCs w:val="21"/>
        </w:rPr>
        <w:t>七</w:t>
      </w:r>
      <w:r>
        <w:rPr>
          <w:b/>
          <w:color w:val="auto"/>
          <w:sz w:val="21"/>
          <w:szCs w:val="21"/>
        </w:rPr>
        <w:t>、本合同未尽事宜，遵照《</w:t>
      </w:r>
      <w:r>
        <w:rPr>
          <w:rFonts w:hint="eastAsia"/>
          <w:b/>
          <w:color w:val="auto"/>
          <w:sz w:val="21"/>
          <w:szCs w:val="21"/>
          <w:lang w:val="en-US" w:eastAsia="zh-CN"/>
        </w:rPr>
        <w:t>中华人民共和国民法典</w:t>
      </w:r>
      <w:r>
        <w:rPr>
          <w:b/>
          <w:color w:val="auto"/>
          <w:sz w:val="21"/>
          <w:szCs w:val="21"/>
        </w:rPr>
        <w:t>》有关条文执行。</w:t>
      </w:r>
    </w:p>
    <w:p>
      <w:pPr>
        <w:pStyle w:val="33"/>
        <w:snapToGrid w:val="0"/>
        <w:spacing w:line="480" w:lineRule="auto"/>
        <w:rPr>
          <w:color w:val="auto"/>
          <w:sz w:val="21"/>
          <w:szCs w:val="21"/>
        </w:rPr>
      </w:pPr>
      <w:r>
        <w:rPr>
          <w:color w:val="auto"/>
          <w:sz w:val="21"/>
          <w:szCs w:val="21"/>
        </w:rPr>
        <w:t xml:space="preserve"> </w:t>
      </w:r>
      <w:r>
        <w:rPr>
          <w:rFonts w:hint="eastAsia"/>
          <w:color w:val="auto"/>
          <w:sz w:val="21"/>
          <w:szCs w:val="21"/>
          <w:lang w:val="en-US" w:eastAsia="zh-CN"/>
        </w:rPr>
        <w:t xml:space="preserve">    </w:t>
      </w:r>
      <w:r>
        <w:rPr>
          <w:color w:val="auto"/>
          <w:sz w:val="21"/>
          <w:szCs w:val="21"/>
        </w:rPr>
        <w:t xml:space="preserve"> 甲方：                                        乙方： </w:t>
      </w:r>
    </w:p>
    <w:p>
      <w:pPr>
        <w:adjustRightInd w:val="0"/>
        <w:snapToGrid w:val="0"/>
        <w:spacing w:line="480" w:lineRule="auto"/>
        <w:ind w:firstLine="420" w:firstLineChars="200"/>
        <w:rPr>
          <w:rFonts w:ascii="宋体" w:hAnsi="宋体" w:cs="宋体"/>
          <w:color w:val="auto"/>
          <w:szCs w:val="21"/>
        </w:rPr>
      </w:pPr>
      <w:r>
        <w:rPr>
          <w:rFonts w:hint="eastAsia"/>
          <w:color w:val="auto"/>
          <w:szCs w:val="21"/>
        </w:rPr>
        <w:t xml:space="preserve">  地址：                                        地址： </w:t>
      </w:r>
    </w:p>
    <w:p>
      <w:pPr>
        <w:adjustRightInd w:val="0"/>
        <w:snapToGrid w:val="0"/>
        <w:spacing w:line="480" w:lineRule="auto"/>
        <w:ind w:firstLine="420" w:firstLineChars="200"/>
        <w:rPr>
          <w:rFonts w:ascii="宋体" w:hAnsi="宋体" w:cs="宋体"/>
          <w:color w:val="auto"/>
          <w:szCs w:val="21"/>
        </w:rPr>
      </w:pPr>
      <w:r>
        <w:rPr>
          <w:rFonts w:hint="eastAsia" w:ascii="宋体" w:hAnsi="宋体" w:cs="宋体"/>
          <w:color w:val="auto"/>
          <w:szCs w:val="21"/>
        </w:rPr>
        <w:t xml:space="preserve">  法定（授权）代表人：                          法定（授权）代表人：</w:t>
      </w:r>
    </w:p>
    <w:p>
      <w:pPr>
        <w:pStyle w:val="24"/>
        <w:spacing w:line="480" w:lineRule="auto"/>
        <w:ind w:right="486" w:firstLine="420" w:firstLineChars="200"/>
        <w:rPr>
          <w:rFonts w:ascii="宋体" w:hAnsi="宋体" w:cs="宋体"/>
          <w:i w:val="0"/>
          <w:color w:val="auto"/>
          <w:sz w:val="21"/>
          <w:szCs w:val="21"/>
        </w:rPr>
      </w:pPr>
      <w:r>
        <w:rPr>
          <w:rFonts w:hint="eastAsia" w:ascii="宋体" w:hAnsi="宋体" w:cs="宋体"/>
          <w:i w:val="0"/>
          <w:color w:val="auto"/>
          <w:sz w:val="21"/>
          <w:szCs w:val="21"/>
        </w:rPr>
        <w:t xml:space="preserve">  签订地点：                                  签订日期：      年  月  日</w:t>
      </w:r>
    </w:p>
    <w:p>
      <w:pPr>
        <w:widowControl/>
        <w:adjustRightInd/>
        <w:jc w:val="left"/>
        <w:rPr>
          <w:rFonts w:ascii="宋体" w:hAnsi="宋体"/>
          <w:b/>
          <w:color w:val="auto"/>
          <w:sz w:val="24"/>
          <w:highlight w:val="none"/>
        </w:rPr>
      </w:pPr>
      <w:r>
        <w:rPr>
          <w:rFonts w:ascii="宋体" w:hAnsi="宋体"/>
          <w:b/>
          <w:color w:val="auto"/>
          <w:highlight w:val="none"/>
        </w:rPr>
        <w:br w:type="page"/>
      </w:r>
    </w:p>
    <w:p>
      <w:pPr>
        <w:spacing w:line="360" w:lineRule="auto"/>
        <w:ind w:left="720" w:firstLine="723" w:firstLineChars="200"/>
        <w:outlineLvl w:val="0"/>
        <w:rPr>
          <w:rFonts w:ascii="宋体" w:hAnsi="宋体" w:cs="宋体"/>
          <w:b/>
          <w:color w:val="auto"/>
          <w:sz w:val="36"/>
          <w:szCs w:val="20"/>
          <w:highlight w:val="none"/>
        </w:rPr>
      </w:pPr>
      <w:bookmarkStart w:id="622" w:name="_Toc14949"/>
      <w:bookmarkStart w:id="623" w:name="_Toc12182"/>
      <w:r>
        <w:rPr>
          <w:rFonts w:hint="eastAsia" w:ascii="宋体" w:hAnsi="宋体" w:cs="宋体"/>
          <w:b/>
          <w:color w:val="auto"/>
          <w:sz w:val="36"/>
          <w:szCs w:val="20"/>
          <w:highlight w:val="none"/>
        </w:rPr>
        <w:t>第六部分</w:t>
      </w:r>
      <w:bookmarkEnd w:id="620"/>
      <w:r>
        <w:rPr>
          <w:rFonts w:hint="eastAsia" w:ascii="宋体" w:hAnsi="宋体" w:cs="宋体"/>
          <w:b/>
          <w:color w:val="auto"/>
          <w:sz w:val="36"/>
          <w:szCs w:val="20"/>
          <w:highlight w:val="none"/>
        </w:rPr>
        <w:t xml:space="preserve"> </w:t>
      </w:r>
      <w:bookmarkEnd w:id="621"/>
      <w:r>
        <w:rPr>
          <w:rFonts w:hint="eastAsia" w:ascii="宋体" w:hAnsi="宋体" w:cs="宋体"/>
          <w:b/>
          <w:color w:val="auto"/>
          <w:sz w:val="36"/>
          <w:szCs w:val="20"/>
          <w:highlight w:val="none"/>
        </w:rPr>
        <w:t>应提交的有关格式范例</w:t>
      </w:r>
      <w:bookmarkEnd w:id="622"/>
      <w:bookmarkEnd w:id="623"/>
    </w:p>
    <w:p>
      <w:pPr>
        <w:spacing w:line="360" w:lineRule="auto"/>
        <w:jc w:val="center"/>
        <w:rPr>
          <w:rFonts w:ascii="宋体" w:hAnsi="宋体" w:cs="宋体"/>
          <w:b/>
          <w:color w:val="auto"/>
          <w:kern w:val="0"/>
          <w:sz w:val="36"/>
          <w:szCs w:val="36"/>
          <w:highlight w:val="none"/>
        </w:rPr>
      </w:pPr>
    </w:p>
    <w:p>
      <w:pPr>
        <w:spacing w:line="360" w:lineRule="auto"/>
        <w:jc w:val="center"/>
        <w:outlineLvl w:val="1"/>
        <w:rPr>
          <w:rFonts w:ascii="宋体" w:hAnsi="宋体" w:cs="宋体"/>
          <w:b/>
          <w:color w:val="auto"/>
          <w:kern w:val="0"/>
          <w:sz w:val="36"/>
          <w:szCs w:val="36"/>
          <w:highlight w:val="none"/>
        </w:rPr>
      </w:pPr>
      <w:bookmarkStart w:id="624" w:name="_Toc29848"/>
      <w:r>
        <w:rPr>
          <w:rFonts w:hint="eastAsia" w:ascii="宋体" w:hAnsi="宋体" w:cs="宋体"/>
          <w:b/>
          <w:color w:val="auto"/>
          <w:kern w:val="0"/>
          <w:sz w:val="36"/>
          <w:szCs w:val="36"/>
          <w:highlight w:val="none"/>
        </w:rPr>
        <w:t>资格文件部分</w:t>
      </w:r>
      <w:bookmarkEnd w:id="624"/>
    </w:p>
    <w:p>
      <w:pPr>
        <w:jc w:val="center"/>
        <w:rPr>
          <w:b/>
          <w:bCs/>
          <w:color w:val="auto"/>
          <w:sz w:val="36"/>
          <w:szCs w:val="36"/>
          <w:highlight w:val="none"/>
        </w:rPr>
      </w:pPr>
      <w:bookmarkStart w:id="625" w:name="_Toc26717"/>
      <w:r>
        <w:rPr>
          <w:rFonts w:hint="eastAsia"/>
          <w:b/>
          <w:bCs/>
          <w:color w:val="auto"/>
          <w:sz w:val="36"/>
          <w:szCs w:val="36"/>
          <w:highlight w:val="none"/>
        </w:rPr>
        <w:t>目录</w:t>
      </w:r>
      <w:bookmarkEnd w:id="625"/>
    </w:p>
    <w:p>
      <w:pPr>
        <w:spacing w:line="360" w:lineRule="auto"/>
        <w:jc w:val="center"/>
        <w:rPr>
          <w:rFonts w:ascii="宋体" w:hAnsi="宋体" w:cs="宋体"/>
          <w:b/>
          <w:color w:val="auto"/>
          <w:kern w:val="0"/>
          <w:sz w:val="36"/>
          <w:szCs w:val="36"/>
          <w:highlight w:val="none"/>
        </w:rPr>
      </w:pPr>
    </w:p>
    <w:p>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（1）有效的企业营业执照（或事业法人登记证）、其他组织（个体工商户）的营业执照或者民办非企业单位登记证书 ……………………………………（页码）</w:t>
      </w:r>
    </w:p>
    <w:p>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（2）符合参加政府采购活动应当具备的一般条件的承诺函……………（页码）</w:t>
      </w:r>
    </w:p>
    <w:p>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）落实政府采购政策需满足的资格要求………………………………（</w:t>
      </w:r>
      <w:r>
        <w:rPr>
          <w:rFonts w:hint="eastAsia" w:ascii="宋体" w:hAnsi="宋体" w:cs="宋体"/>
          <w:color w:val="auto"/>
          <w:szCs w:val="21"/>
          <w:highlight w:val="none"/>
          <w:lang w:val="en-US" w:eastAsia="zh-CN"/>
        </w:rPr>
        <w:t>无</w:t>
      </w:r>
      <w:r>
        <w:rPr>
          <w:rFonts w:hint="eastAsia" w:ascii="宋体" w:hAnsi="宋体" w:cs="宋体"/>
          <w:color w:val="auto"/>
          <w:szCs w:val="21"/>
          <w:highlight w:val="none"/>
        </w:rPr>
        <w:t>）</w:t>
      </w:r>
    </w:p>
    <w:p>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4</w:t>
      </w:r>
      <w:r>
        <w:rPr>
          <w:rFonts w:hint="eastAsia" w:ascii="宋体" w:hAnsi="宋体" w:cs="宋体"/>
          <w:color w:val="auto"/>
          <w:szCs w:val="21"/>
          <w:highlight w:val="none"/>
        </w:rPr>
        <w:t>）本项目的特定资格要求………………………………………………（页码）</w:t>
      </w:r>
    </w:p>
    <w:p>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（5）联合协议（如果有）………………………………………………（页码）</w:t>
      </w:r>
    </w:p>
    <w:p>
      <w:pPr>
        <w:snapToGrid w:val="0"/>
        <w:spacing w:line="360" w:lineRule="auto"/>
        <w:rPr>
          <w:rFonts w:ascii="宋体" w:hAnsi="宋体" w:cs="宋体"/>
          <w:color w:val="auto"/>
          <w:szCs w:val="21"/>
          <w:highlight w:val="none"/>
        </w:rPr>
      </w:pPr>
      <w:bookmarkStart w:id="626" w:name="_Toc1638"/>
      <w:r>
        <w:rPr>
          <w:rFonts w:hint="eastAsia" w:ascii="宋体" w:hAnsi="宋体" w:cs="宋体"/>
          <w:color w:val="auto"/>
          <w:szCs w:val="21"/>
          <w:highlight w:val="none"/>
        </w:rPr>
        <w:t>（6）业务专用章使用说明函………………………………………………（页码）</w:t>
      </w:r>
      <w:bookmarkEnd w:id="626"/>
    </w:p>
    <w:p>
      <w:pPr>
        <w:snapToGrid w:val="0"/>
        <w:spacing w:line="360" w:lineRule="auto"/>
        <w:rPr>
          <w:rFonts w:ascii="宋体" w:hAnsi="宋体" w:cs="宋体"/>
          <w:color w:val="auto"/>
          <w:sz w:val="24"/>
          <w:highlight w:val="none"/>
        </w:rPr>
      </w:pPr>
    </w:p>
    <w:p>
      <w:pPr>
        <w:snapToGrid w:val="0"/>
        <w:spacing w:line="360" w:lineRule="auto"/>
        <w:rPr>
          <w:rFonts w:ascii="宋体" w:hAnsi="宋体" w:cs="宋体"/>
          <w:color w:val="auto"/>
          <w:sz w:val="24"/>
          <w:highlight w:val="none"/>
        </w:rPr>
      </w:pP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color w:val="auto"/>
          <w:kern w:val="0"/>
          <w:sz w:val="24"/>
          <w:highlight w:val="none"/>
        </w:rPr>
        <w:br w:type="page"/>
      </w:r>
      <w:r>
        <w:rPr>
          <w:rFonts w:hint="eastAsia" w:ascii="宋体" w:hAnsi="宋体" w:cs="宋体"/>
          <w:b/>
          <w:color w:val="auto"/>
          <w:kern w:val="0"/>
          <w:sz w:val="32"/>
          <w:szCs w:val="32"/>
          <w:highlight w:val="none"/>
        </w:rPr>
        <w:t xml:space="preserve">  一、有效的企业营业执照（或事业法人登记证）、其他组织（个体工商户）的营业执照或者民办非企业单位登记证书 </w:t>
      </w:r>
    </w:p>
    <w:p>
      <w:pP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pPr>
        <w:snapToGrid w:val="0"/>
        <w:spacing w:line="360" w:lineRule="auto"/>
        <w:ind w:right="480"/>
        <w:jc w:val="center"/>
        <w:outlineLvl w:val="1"/>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 xml:space="preserve"> 二、符合参加政府采购活动应当具备的一般条件的承诺函</w:t>
      </w:r>
    </w:p>
    <w:p>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（采购人）、（采购代理机构）：</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我方参与</w:t>
      </w:r>
      <w:r>
        <w:rPr>
          <w:rFonts w:hint="eastAsia" w:ascii="宋体" w:hAnsi="宋体" w:cs="宋体"/>
          <w:color w:val="auto"/>
          <w:szCs w:val="21"/>
          <w:highlight w:val="none"/>
          <w:u w:val="single"/>
        </w:rPr>
        <w:t>（项目名称）</w:t>
      </w:r>
      <w:r>
        <w:rPr>
          <w:rFonts w:hint="eastAsia" w:ascii="宋体" w:hAnsi="宋体" w:cs="宋体"/>
          <w:color w:val="auto"/>
          <w:szCs w:val="21"/>
          <w:highlight w:val="none"/>
        </w:rPr>
        <w:t>【</w:t>
      </w:r>
      <w:r>
        <w:rPr>
          <w:rFonts w:hint="eastAsia" w:ascii="宋体" w:hAnsi="宋体" w:cs="宋体"/>
          <w:color w:val="auto"/>
          <w:szCs w:val="21"/>
          <w:highlight w:val="none"/>
          <w:u w:val="single"/>
        </w:rPr>
        <w:t>招标编号：（采购编号）</w:t>
      </w:r>
      <w:r>
        <w:rPr>
          <w:rFonts w:hint="eastAsia" w:ascii="宋体" w:hAnsi="宋体" w:cs="宋体"/>
          <w:color w:val="auto"/>
          <w:szCs w:val="21"/>
          <w:highlight w:val="none"/>
        </w:rPr>
        <w:t>】政府采购活动，郑重承诺：</w:t>
      </w:r>
    </w:p>
    <w:p>
      <w:pPr>
        <w:snapToGrid w:val="0"/>
        <w:spacing w:line="360" w:lineRule="auto"/>
        <w:ind w:firstLine="315" w:firstLineChars="150"/>
        <w:outlineLvl w:val="2"/>
        <w:rPr>
          <w:rFonts w:ascii="宋体" w:hAnsi="宋体" w:cs="宋体"/>
          <w:color w:val="auto"/>
          <w:szCs w:val="21"/>
          <w:highlight w:val="none"/>
        </w:rPr>
      </w:pPr>
      <w:r>
        <w:rPr>
          <w:rFonts w:hint="eastAsia" w:ascii="宋体" w:hAnsi="宋体" w:cs="宋体"/>
          <w:color w:val="auto"/>
          <w:szCs w:val="21"/>
          <w:highlight w:val="none"/>
        </w:rPr>
        <w:t>（一）具备《中华人民共和国政府采购法》第二十二条第一款规定的条件：</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1、具有独立承担民事责任的能力；</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2、具有良好的商业信誉和健全的财务会计制度； </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3、具有履行合同所必需的设备和专业技术能力；</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4、有依法缴纳税收和社会保障资金的良好记录；</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5、参加政府采购活动前三年内，在经营活动中没有重大违法记录；</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6、具有法律、行政法规规定的其他条件。</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（二）未被信用中国（www.creditchina.gov.cn)、中国政府采购网（www.ccgp.gov.cn）列入失信被执行人、</w:t>
      </w:r>
      <w:r>
        <w:rPr>
          <w:rFonts w:hint="eastAsia" w:asciiTheme="minorEastAsia" w:hAnsiTheme="minorEastAsia" w:eastAsiaTheme="minorEastAsia" w:cstheme="minorEastAsia"/>
          <w:snapToGrid w:val="0"/>
          <w:color w:val="auto"/>
          <w:kern w:val="28"/>
          <w:szCs w:val="21"/>
          <w:highlight w:val="none"/>
        </w:rPr>
        <w:t>重大税收违法失信主体</w:t>
      </w:r>
      <w:r>
        <w:rPr>
          <w:rFonts w:hint="eastAsia" w:ascii="宋体" w:hAnsi="宋体" w:cs="宋体"/>
          <w:color w:val="auto"/>
          <w:szCs w:val="21"/>
          <w:highlight w:val="none"/>
        </w:rPr>
        <w:t>、政府采购严重违法失信行为记录名单。</w:t>
      </w:r>
    </w:p>
    <w:p>
      <w:pPr>
        <w:snapToGrid w:val="0"/>
        <w:spacing w:line="360" w:lineRule="auto"/>
        <w:ind w:firstLine="420" w:firstLineChars="200"/>
        <w:outlineLvl w:val="2"/>
        <w:rPr>
          <w:rFonts w:ascii="宋体" w:hAnsi="宋体" w:cs="宋体"/>
          <w:color w:val="auto"/>
          <w:szCs w:val="21"/>
          <w:highlight w:val="none"/>
        </w:rPr>
      </w:pPr>
      <w:r>
        <w:rPr>
          <w:rFonts w:hint="eastAsia" w:ascii="宋体" w:hAnsi="宋体" w:cs="宋体"/>
          <w:color w:val="auto"/>
          <w:szCs w:val="21"/>
          <w:highlight w:val="none"/>
        </w:rPr>
        <w:t>（三）不存在以下情况：</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1、单位负责人为同一人或者存在直接控股、管理关系的不同供应商参加同一合同项下的政府采购活动的。</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2、为采购项目提供整体设计、规范编制或者项目管理、监理、检测等服务后再参加该采购项目的其他采购活动的。</w:t>
      </w:r>
    </w:p>
    <w:p>
      <w:pPr>
        <w:snapToGrid w:val="0"/>
        <w:spacing w:line="360" w:lineRule="auto"/>
        <w:ind w:firstLine="4830" w:firstLineChars="2300"/>
        <w:rPr>
          <w:rFonts w:ascii="宋体" w:hAnsi="宋体" w:cs="宋体"/>
          <w:color w:val="auto"/>
          <w:kern w:val="0"/>
          <w:szCs w:val="21"/>
          <w:highlight w:val="none"/>
          <w:lang w:val="zh-CN"/>
        </w:rPr>
      </w:pPr>
    </w:p>
    <w:p>
      <w:pPr>
        <w:snapToGrid w:val="0"/>
        <w:spacing w:line="360" w:lineRule="auto"/>
        <w:ind w:firstLine="4830" w:firstLineChars="2300"/>
        <w:rPr>
          <w:rFonts w:ascii="宋体" w:hAnsi="宋体" w:cs="宋体"/>
          <w:color w:val="auto"/>
          <w:kern w:val="0"/>
          <w:szCs w:val="21"/>
          <w:highlight w:val="none"/>
          <w:lang w:val="zh-CN"/>
        </w:rPr>
      </w:pPr>
    </w:p>
    <w:p>
      <w:pPr>
        <w:snapToGrid w:val="0"/>
        <w:spacing w:line="360" w:lineRule="auto"/>
        <w:ind w:firstLine="4830" w:firstLineChars="2300"/>
        <w:rPr>
          <w:rFonts w:ascii="宋体" w:hAnsi="宋体" w:cs="宋体"/>
          <w:color w:val="auto"/>
          <w:kern w:val="0"/>
          <w:szCs w:val="21"/>
          <w:highlight w:val="none"/>
        </w:rPr>
      </w:pPr>
      <w:r>
        <w:rPr>
          <w:rFonts w:hint="eastAsia" w:ascii="宋体" w:hAnsi="宋体" w:cs="宋体"/>
          <w:color w:val="auto"/>
          <w:kern w:val="0"/>
          <w:szCs w:val="21"/>
          <w:highlight w:val="none"/>
          <w:lang w:val="zh-CN"/>
        </w:rPr>
        <w:t>投标人名称(电子签章)：</w:t>
      </w:r>
    </w:p>
    <w:p>
      <w:pPr>
        <w:snapToGrid w:val="0"/>
        <w:spacing w:line="360" w:lineRule="auto"/>
        <w:rPr>
          <w:rFonts w:ascii="宋体" w:hAnsi="宋体" w:cs="宋体"/>
          <w:color w:val="auto"/>
          <w:kern w:val="0"/>
          <w:szCs w:val="21"/>
          <w:highlight w:val="none"/>
        </w:rPr>
      </w:pPr>
      <w:r>
        <w:rPr>
          <w:rFonts w:hint="eastAsia" w:ascii="宋体" w:hAnsi="宋体" w:cs="宋体"/>
          <w:color w:val="auto"/>
          <w:kern w:val="0"/>
          <w:szCs w:val="21"/>
          <w:highlight w:val="none"/>
          <w:lang w:val="zh-CN"/>
        </w:rPr>
        <w:t xml:space="preserve">                        </w:t>
      </w:r>
      <w:r>
        <w:rPr>
          <w:rFonts w:hint="eastAsia" w:ascii="宋体" w:hAnsi="宋体" w:cs="宋体"/>
          <w:color w:val="auto"/>
          <w:kern w:val="0"/>
          <w:szCs w:val="21"/>
          <w:highlight w:val="none"/>
        </w:rPr>
        <w:t xml:space="preserve">                      </w:t>
      </w:r>
      <w:r>
        <w:rPr>
          <w:rFonts w:hint="eastAsia" w:ascii="宋体" w:hAnsi="宋体" w:cs="宋体"/>
          <w:color w:val="auto"/>
          <w:kern w:val="0"/>
          <w:szCs w:val="21"/>
          <w:highlight w:val="none"/>
          <w:lang w:val="zh-CN"/>
        </w:rPr>
        <w:t>日期</w:t>
      </w:r>
      <w:r>
        <w:rPr>
          <w:rFonts w:hint="eastAsia" w:ascii="宋体" w:hAnsi="宋体" w:cs="宋体"/>
          <w:color w:val="auto"/>
          <w:kern w:val="0"/>
          <w:szCs w:val="21"/>
          <w:highlight w:val="none"/>
        </w:rPr>
        <w:t xml:space="preserve">：  年  </w:t>
      </w:r>
      <w:r>
        <w:rPr>
          <w:rFonts w:hint="eastAsia" w:ascii="宋体" w:hAnsi="宋体" w:cs="宋体"/>
          <w:color w:val="auto"/>
          <w:kern w:val="0"/>
          <w:szCs w:val="21"/>
          <w:highlight w:val="none"/>
          <w:lang w:val="zh-CN"/>
        </w:rPr>
        <w:t>月</w:t>
      </w:r>
      <w:r>
        <w:rPr>
          <w:rFonts w:hint="eastAsia" w:ascii="宋体" w:hAnsi="宋体" w:cs="宋体"/>
          <w:color w:val="auto"/>
          <w:kern w:val="0"/>
          <w:szCs w:val="21"/>
          <w:highlight w:val="none"/>
        </w:rPr>
        <w:t xml:space="preserve">   </w:t>
      </w:r>
      <w:r>
        <w:rPr>
          <w:rFonts w:hint="eastAsia" w:ascii="宋体" w:hAnsi="宋体" w:cs="宋体"/>
          <w:color w:val="auto"/>
          <w:kern w:val="0"/>
          <w:szCs w:val="21"/>
          <w:highlight w:val="none"/>
          <w:lang w:val="zh-CN"/>
        </w:rPr>
        <w:t>日</w:t>
      </w:r>
    </w:p>
    <w:p>
      <w:pPr>
        <w:snapToGrid w:val="0"/>
        <w:spacing w:line="360" w:lineRule="auto"/>
        <w:ind w:right="480"/>
        <w:jc w:val="center"/>
        <w:rPr>
          <w:rFonts w:ascii="宋体" w:hAnsi="宋体" w:cs="宋体"/>
          <w:b/>
          <w:color w:val="auto"/>
          <w:kern w:val="0"/>
          <w:szCs w:val="21"/>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rPr>
          <w:rFonts w:ascii="宋体" w:hAnsi="宋体" w:cs="宋体"/>
          <w:color w:val="auto"/>
          <w:highlight w:val="none"/>
        </w:rPr>
      </w:pPr>
    </w:p>
    <w:p>
      <w:pPr>
        <w:snapToGrid w:val="0"/>
        <w:spacing w:line="360" w:lineRule="auto"/>
        <w:ind w:right="480"/>
        <w:jc w:val="center"/>
        <w:rPr>
          <w:rFonts w:ascii="宋体" w:hAnsi="宋体" w:cs="宋体"/>
          <w:b/>
          <w:color w:val="auto"/>
          <w:kern w:val="0"/>
          <w:sz w:val="32"/>
          <w:szCs w:val="32"/>
          <w:highlight w:val="none"/>
        </w:rPr>
      </w:pPr>
    </w:p>
    <w:p>
      <w:pPr>
        <w:pStyle w:val="64"/>
        <w:ind w:firstLine="420"/>
        <w:rPr>
          <w:color w:val="auto"/>
          <w:highlight w:val="none"/>
        </w:rPr>
      </w:pPr>
    </w:p>
    <w:p>
      <w:pPr>
        <w:rPr>
          <w:color w:val="auto"/>
          <w:highlight w:val="none"/>
        </w:rPr>
      </w:pPr>
    </w:p>
    <w:p>
      <w:pPr>
        <w:pStyle w:val="4"/>
        <w:rPr>
          <w:color w:val="auto"/>
          <w:highlight w:val="none"/>
        </w:rPr>
      </w:pPr>
    </w:p>
    <w:p>
      <w:pPr>
        <w:snapToGrid w:val="0"/>
        <w:spacing w:line="360" w:lineRule="auto"/>
        <w:ind w:right="480"/>
        <w:jc w:val="center"/>
        <w:rPr>
          <w:rFonts w:ascii="宋体" w:hAnsi="宋体" w:cs="宋体"/>
          <w:b/>
          <w:color w:val="auto"/>
          <w:kern w:val="0"/>
          <w:sz w:val="32"/>
          <w:szCs w:val="32"/>
          <w:highlight w:val="none"/>
        </w:rPr>
      </w:pPr>
    </w:p>
    <w:p>
      <w:pPr>
        <w:pStyle w:val="24"/>
        <w:rPr>
          <w:rFonts w:hAnsi="宋体" w:cs="宋体"/>
          <w:b/>
          <w:color w:val="auto"/>
          <w:kern w:val="0"/>
          <w:sz w:val="32"/>
          <w:szCs w:val="32"/>
          <w:highlight w:val="none"/>
        </w:rPr>
      </w:pPr>
    </w:p>
    <w:p>
      <w:pPr>
        <w:snapToGrid w:val="0"/>
        <w:spacing w:line="360" w:lineRule="auto"/>
        <w:ind w:right="480"/>
        <w:jc w:val="center"/>
        <w:outlineLvl w:val="1"/>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三、落实政府采购政策需满足的资格要求</w:t>
      </w:r>
    </w:p>
    <w:p>
      <w:pPr>
        <w:spacing w:line="360" w:lineRule="auto"/>
        <w:rPr>
          <w:rFonts w:ascii="宋体" w:hAnsi="宋体" w:cs="宋体"/>
          <w:color w:val="auto"/>
          <w:szCs w:val="21"/>
          <w:highlight w:val="none"/>
        </w:rPr>
      </w:pPr>
      <w:r>
        <w:rPr>
          <w:rFonts w:hint="eastAsia" w:ascii="宋体" w:hAnsi="宋体" w:cs="宋体"/>
          <w:color w:val="auto"/>
          <w:szCs w:val="21"/>
          <w:highlight w:val="none"/>
        </w:rPr>
        <w:t>（根据招标公告落实政府采购政策需满足的资格要求选择提供相应的材料；未要求的，无需提供）</w:t>
      </w:r>
    </w:p>
    <w:p>
      <w:pPr>
        <w:snapToGrid w:val="0"/>
        <w:spacing w:before="50" w:after="50" w:line="360" w:lineRule="auto"/>
        <w:ind w:firstLine="413" w:firstLineChars="196"/>
        <w:jc w:val="left"/>
        <w:rPr>
          <w:rFonts w:ascii="宋体" w:hAnsi="宋体" w:cs="宋体"/>
          <w:color w:val="auto"/>
          <w:szCs w:val="21"/>
          <w:highlight w:val="none"/>
        </w:rPr>
      </w:pPr>
      <w:r>
        <w:rPr>
          <w:rFonts w:hint="eastAsia" w:ascii="宋体" w:hAnsi="宋体" w:cs="宋体"/>
          <w:b/>
          <w:color w:val="auto"/>
          <w:szCs w:val="21"/>
          <w:highlight w:val="none"/>
        </w:rPr>
        <w:t>A</w:t>
      </w:r>
      <w:r>
        <w:rPr>
          <w:rFonts w:hint="eastAsia" w:ascii="宋体" w:hAnsi="宋体" w:cs="宋体"/>
          <w:color w:val="auto"/>
          <w:szCs w:val="21"/>
          <w:highlight w:val="none"/>
        </w:rPr>
        <w:t xml:space="preserve">.专门面向中小企业，货物全部由符合政策要求的中小企业（或小微企业）制造的，提供相应的中小企业声明函（附件5）。 </w:t>
      </w:r>
    </w:p>
    <w:p>
      <w:pPr>
        <w:widowControl/>
        <w:spacing w:line="360" w:lineRule="auto"/>
        <w:ind w:firstLine="480"/>
        <w:jc w:val="left"/>
        <w:rPr>
          <w:rFonts w:ascii="宋体" w:hAnsi="宋体" w:cs="宋体"/>
          <w:color w:val="auto"/>
          <w:szCs w:val="21"/>
          <w:highlight w:val="none"/>
        </w:rPr>
      </w:pPr>
    </w:p>
    <w:p>
      <w:pPr>
        <w:widowControl/>
        <w:spacing w:line="360" w:lineRule="auto"/>
        <w:ind w:firstLine="413" w:firstLineChars="196"/>
        <w:jc w:val="left"/>
        <w:rPr>
          <w:rFonts w:ascii="宋体" w:hAnsi="宋体" w:cs="宋体"/>
          <w:color w:val="auto"/>
          <w:szCs w:val="21"/>
          <w:highlight w:val="none"/>
        </w:rPr>
      </w:pPr>
      <w:r>
        <w:rPr>
          <w:rFonts w:hint="eastAsia" w:ascii="宋体" w:hAnsi="宋体" w:cs="宋体"/>
          <w:b/>
          <w:color w:val="auto"/>
          <w:szCs w:val="21"/>
          <w:highlight w:val="none"/>
        </w:rPr>
        <w:t>B.</w:t>
      </w:r>
      <w:r>
        <w:rPr>
          <w:rFonts w:hint="eastAsia" w:ascii="宋体" w:hAnsi="宋体" w:cs="宋体"/>
          <w:color w:val="auto"/>
          <w:szCs w:val="21"/>
          <w:highlight w:val="none"/>
        </w:rPr>
        <w:t>要求以联合体形式参加的，提供联合协议（附件3）和中小企业声明函（附件5），联合协议中中小企业合同金额应当达到招标公告载明的比例；如果供应商本身提供所有标的均由中小企业制造的，</w:t>
      </w:r>
      <w:r>
        <w:rPr>
          <w:rFonts w:hint="eastAsia" w:ascii="宋体" w:hAnsi="宋体" w:cs="宋体"/>
          <w:color w:val="auto"/>
          <w:spacing w:val="8"/>
          <w:kern w:val="0"/>
          <w:szCs w:val="21"/>
          <w:highlight w:val="none"/>
        </w:rPr>
        <w:t>并相应达到了前述比例要求，</w:t>
      </w:r>
      <w:r>
        <w:rPr>
          <w:rFonts w:hint="eastAsia" w:ascii="宋体" w:hAnsi="宋体" w:cs="宋体"/>
          <w:color w:val="auto"/>
          <w:szCs w:val="21"/>
          <w:highlight w:val="none"/>
        </w:rPr>
        <w:t>视同符合了资格条件，无需再与其他中小企业组成联合体参加政府采购活动，无需提供联合协议。</w:t>
      </w:r>
    </w:p>
    <w:p>
      <w:pPr>
        <w:snapToGrid w:val="0"/>
        <w:spacing w:before="50" w:after="50" w:line="360" w:lineRule="auto"/>
        <w:jc w:val="center"/>
        <w:rPr>
          <w:rFonts w:ascii="宋体" w:hAnsi="宋体" w:cs="宋体"/>
          <w:color w:val="auto"/>
          <w:szCs w:val="21"/>
          <w:highlight w:val="none"/>
        </w:rPr>
      </w:pPr>
      <w:r>
        <w:rPr>
          <w:rFonts w:hint="eastAsia" w:ascii="宋体" w:hAnsi="宋体" w:cs="宋体"/>
          <w:b/>
          <w:color w:val="auto"/>
          <w:szCs w:val="21"/>
          <w:highlight w:val="none"/>
        </w:rPr>
        <w:t xml:space="preserve">    </w:t>
      </w:r>
    </w:p>
    <w:p>
      <w:pPr>
        <w:spacing w:line="360" w:lineRule="auto"/>
        <w:ind w:firstLine="422" w:firstLineChars="200"/>
        <w:rPr>
          <w:rFonts w:ascii="宋体" w:hAnsi="宋体" w:cs="宋体"/>
          <w:color w:val="auto"/>
          <w:szCs w:val="21"/>
          <w:highlight w:val="none"/>
        </w:rPr>
      </w:pPr>
      <w:r>
        <w:rPr>
          <w:rFonts w:hint="eastAsia" w:ascii="宋体" w:hAnsi="宋体" w:cs="宋体"/>
          <w:b/>
          <w:color w:val="auto"/>
          <w:szCs w:val="21"/>
          <w:highlight w:val="none"/>
        </w:rPr>
        <w:t>C、</w:t>
      </w:r>
      <w:r>
        <w:rPr>
          <w:rFonts w:hint="eastAsia" w:ascii="宋体" w:hAnsi="宋体" w:cs="宋体"/>
          <w:color w:val="auto"/>
          <w:szCs w:val="21"/>
          <w:highlight w:val="none"/>
        </w:rPr>
        <w:t>要求合同分包的，提供分包意向协议（附件4）和中小企业声明函（附件5），分包意向协议中中小企业合同金额应当达到招标公告载明的比例；如果供应商本身提供所有标的均由中小企业制造的，</w:t>
      </w:r>
      <w:r>
        <w:rPr>
          <w:rFonts w:hint="eastAsia" w:ascii="宋体" w:hAnsi="宋体" w:cs="宋体"/>
          <w:color w:val="auto"/>
          <w:spacing w:val="8"/>
          <w:kern w:val="0"/>
          <w:szCs w:val="21"/>
          <w:highlight w:val="none"/>
        </w:rPr>
        <w:t>并相应达到了前述比例要求，</w:t>
      </w:r>
      <w:r>
        <w:rPr>
          <w:rFonts w:hint="eastAsia" w:ascii="宋体" w:hAnsi="宋体" w:cs="宋体"/>
          <w:color w:val="auto"/>
          <w:szCs w:val="21"/>
          <w:highlight w:val="none"/>
        </w:rPr>
        <w:t>视同符合了资格条件，无需再向中小企业分包，无需提供分包意向协议。</w:t>
      </w:r>
    </w:p>
    <w:p>
      <w:pPr>
        <w:widowControl/>
        <w:spacing w:line="360" w:lineRule="auto"/>
        <w:ind w:left="150"/>
        <w:jc w:val="center"/>
        <w:rPr>
          <w:rFonts w:ascii="宋体" w:hAnsi="宋体" w:cs="宋体"/>
          <w:b/>
          <w:color w:val="auto"/>
          <w:kern w:val="0"/>
          <w:szCs w:val="21"/>
          <w:highlight w:val="none"/>
        </w:rPr>
      </w:pPr>
    </w:p>
    <w:p>
      <w:pPr>
        <w:widowControl/>
        <w:spacing w:line="360" w:lineRule="auto"/>
        <w:ind w:left="150"/>
        <w:jc w:val="center"/>
        <w:outlineLvl w:val="1"/>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四、本项目的特定资格要求</w:t>
      </w:r>
    </w:p>
    <w:p>
      <w:pPr>
        <w:spacing w:line="360" w:lineRule="auto"/>
        <w:jc w:val="center"/>
        <w:outlineLvl w:val="2"/>
        <w:rPr>
          <w:rFonts w:ascii="宋体" w:hAnsi="宋体" w:cs="宋体"/>
          <w:color w:val="auto"/>
          <w:szCs w:val="21"/>
          <w:highlight w:val="none"/>
        </w:rPr>
      </w:pPr>
      <w:r>
        <w:rPr>
          <w:rFonts w:hint="eastAsia" w:ascii="宋体" w:hAnsi="宋体" w:cs="宋体"/>
          <w:color w:val="auto"/>
          <w:szCs w:val="21"/>
          <w:highlight w:val="none"/>
        </w:rPr>
        <w:t>（根据招标公告本项目的特定资格要求提供相应的材料；未要求的，无需提供）</w:t>
      </w:r>
    </w:p>
    <w:p>
      <w:pPr>
        <w:rPr>
          <w:rFonts w:ascii="宋体" w:hAnsi="宋体" w:cs="宋体"/>
          <w:color w:val="auto"/>
          <w:highlight w:val="none"/>
        </w:rPr>
      </w:pPr>
    </w:p>
    <w:p>
      <w:pPr>
        <w:widowControl/>
        <w:spacing w:line="360" w:lineRule="auto"/>
        <w:jc w:val="center"/>
        <w:rPr>
          <w:rFonts w:ascii="宋体" w:hAnsi="宋体" w:cs="宋体"/>
          <w:b/>
          <w:color w:val="auto"/>
          <w:kern w:val="0"/>
          <w:sz w:val="32"/>
          <w:szCs w:val="32"/>
          <w:highlight w:val="none"/>
        </w:rPr>
      </w:pPr>
    </w:p>
    <w:p>
      <w:pPr>
        <w:pStyle w:val="4"/>
        <w:rPr>
          <w:color w:val="auto"/>
          <w:highlight w:val="none"/>
          <w:lang w:val="en-US"/>
        </w:rPr>
      </w:pPr>
    </w:p>
    <w:p>
      <w:pPr>
        <w:widowControl/>
        <w:numPr>
          <w:ilvl w:val="0"/>
          <w:numId w:val="9"/>
        </w:numPr>
        <w:spacing w:line="360" w:lineRule="auto"/>
        <w:jc w:val="center"/>
        <w:outlineLvl w:val="1"/>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联合协议（如果有）</w:t>
      </w:r>
    </w:p>
    <w:p>
      <w:pPr>
        <w:widowControl/>
        <w:spacing w:line="360" w:lineRule="auto"/>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（以联合体形式投标的，提供联合协议；本项目不接受联合体投标或者投标人不以联合体形式投标的，则不需要提供）</w:t>
      </w:r>
    </w:p>
    <w:p>
      <w:pPr>
        <w:autoSpaceDE w:val="0"/>
        <w:autoSpaceDN w:val="0"/>
        <w:jc w:val="center"/>
        <w:rPr>
          <w:rFonts w:ascii="宋体" w:hAnsi="宋体" w:cs="宋体"/>
          <w:b/>
          <w:color w:val="auto"/>
          <w:spacing w:val="6"/>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widowControl/>
        <w:spacing w:line="360" w:lineRule="auto"/>
        <w:jc w:val="center"/>
        <w:outlineLvl w:val="1"/>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六、业务专用章使用说明函</w:t>
      </w:r>
    </w:p>
    <w:p>
      <w:pPr>
        <w:pStyle w:val="64"/>
        <w:ind w:left="840" w:leftChars="400" w:firstLine="0" w:firstLineChars="0"/>
        <w:rPr>
          <w:color w:val="auto"/>
          <w:szCs w:val="21"/>
          <w:highlight w:val="none"/>
        </w:rPr>
      </w:pPr>
      <w:r>
        <w:rPr>
          <w:rFonts w:hint="eastAsia"/>
          <w:color w:val="auto"/>
          <w:szCs w:val="21"/>
          <w:highlight w:val="none"/>
        </w:rPr>
        <w:t>[如适用，</w:t>
      </w:r>
      <w:r>
        <w:rPr>
          <w:rFonts w:hint="eastAsia" w:cs="宋体"/>
          <w:b/>
          <w:color w:val="auto"/>
          <w:szCs w:val="21"/>
          <w:highlight w:val="none"/>
        </w:rPr>
        <w:t>提供业务专用章使用说明函（附件2）]</w:t>
      </w:r>
    </w:p>
    <w:p>
      <w:pPr>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pPr>
        <w:spacing w:line="360" w:lineRule="auto"/>
        <w:ind w:right="420" w:firstLine="3614" w:firstLineChars="1000"/>
        <w:outlineLvl w:val="2"/>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商务技术文件部分</w:t>
      </w:r>
    </w:p>
    <w:p>
      <w:pPr>
        <w:spacing w:line="360" w:lineRule="auto"/>
        <w:jc w:val="center"/>
        <w:outlineLvl w:val="1"/>
        <w:rPr>
          <w:rFonts w:ascii="宋体" w:hAnsi="宋体" w:cs="宋体"/>
          <w:b/>
          <w:color w:val="auto"/>
          <w:kern w:val="0"/>
          <w:sz w:val="28"/>
          <w:szCs w:val="28"/>
          <w:highlight w:val="none"/>
        </w:rPr>
      </w:pPr>
      <w:bookmarkStart w:id="627" w:name="_Toc24305"/>
      <w:r>
        <w:rPr>
          <w:rFonts w:hint="eastAsia" w:ascii="宋体" w:hAnsi="宋体" w:cs="宋体"/>
          <w:b/>
          <w:color w:val="auto"/>
          <w:kern w:val="0"/>
          <w:sz w:val="28"/>
          <w:szCs w:val="28"/>
          <w:highlight w:val="none"/>
        </w:rPr>
        <w:t>目录</w:t>
      </w:r>
      <w:bookmarkEnd w:id="627"/>
    </w:p>
    <w:p>
      <w:pPr>
        <w:snapToGrid w:val="0"/>
        <w:spacing w:line="360" w:lineRule="auto"/>
        <w:ind w:firstLine="840" w:firstLineChars="400"/>
        <w:outlineLvl w:val="2"/>
        <w:rPr>
          <w:rFonts w:ascii="宋体" w:hAnsi="宋体" w:cs="宋体"/>
          <w:color w:val="auto"/>
          <w:szCs w:val="21"/>
          <w:highlight w:val="none"/>
        </w:rPr>
      </w:pPr>
      <w:bookmarkStart w:id="628" w:name="_Toc8519"/>
      <w:r>
        <w:rPr>
          <w:rFonts w:hint="eastAsia" w:ascii="宋体" w:hAnsi="宋体" w:cs="宋体"/>
          <w:color w:val="auto"/>
          <w:szCs w:val="21"/>
          <w:highlight w:val="none"/>
        </w:rPr>
        <w:t>（1）投标函………………………………………………………………（页码）</w:t>
      </w:r>
      <w:bookmarkEnd w:id="628"/>
    </w:p>
    <w:p>
      <w:pPr>
        <w:snapToGrid w:val="0"/>
        <w:spacing w:line="360" w:lineRule="auto"/>
        <w:ind w:left="958" w:leftChars="456"/>
        <w:rPr>
          <w:rFonts w:ascii="宋体" w:hAnsi="宋体" w:cs="宋体"/>
          <w:color w:val="auto"/>
          <w:szCs w:val="21"/>
          <w:highlight w:val="none"/>
        </w:rPr>
      </w:pPr>
      <w:r>
        <w:rPr>
          <w:rFonts w:hint="eastAsia" w:ascii="宋体" w:hAnsi="宋体" w:cs="宋体"/>
          <w:color w:val="auto"/>
          <w:szCs w:val="21"/>
          <w:highlight w:val="none"/>
        </w:rPr>
        <w:t>（2）授权委托书或法定代表人（单位负责人、自然人本人）身份证明…（页码）</w:t>
      </w:r>
    </w:p>
    <w:p>
      <w:pPr>
        <w:snapToGrid w:val="0"/>
        <w:spacing w:line="360" w:lineRule="auto"/>
        <w:ind w:left="958" w:leftChars="456"/>
        <w:rPr>
          <w:rFonts w:ascii="宋体" w:hAnsi="宋体" w:cs="宋体"/>
          <w:color w:val="auto"/>
          <w:szCs w:val="21"/>
          <w:highlight w:val="none"/>
        </w:rPr>
      </w:pPr>
      <w:r>
        <w:rPr>
          <w:rFonts w:hint="eastAsia" w:ascii="宋体" w:hAnsi="宋体" w:cs="宋体"/>
          <w:color w:val="auto"/>
          <w:szCs w:val="21"/>
          <w:highlight w:val="none"/>
        </w:rPr>
        <w:t>（3）分包意向协议</w:t>
      </w:r>
      <w:r>
        <w:rPr>
          <w:rFonts w:hint="eastAsia" w:ascii="宋体" w:hAnsi="宋体" w:cs="宋体"/>
          <w:snapToGrid w:val="0"/>
          <w:color w:val="auto"/>
          <w:kern w:val="28"/>
          <w:szCs w:val="21"/>
          <w:highlight w:val="none"/>
        </w:rPr>
        <w:t xml:space="preserve">（本项目不适用) </w:t>
      </w:r>
      <w:r>
        <w:rPr>
          <w:rFonts w:hint="eastAsia" w:ascii="宋体" w:hAnsi="宋体" w:cs="宋体"/>
          <w:color w:val="auto"/>
          <w:szCs w:val="21"/>
          <w:highlight w:val="none"/>
        </w:rPr>
        <w:t>…………………………………（页码）</w:t>
      </w:r>
    </w:p>
    <w:p>
      <w:pPr>
        <w:snapToGrid w:val="0"/>
        <w:spacing w:line="360" w:lineRule="auto"/>
        <w:ind w:firstLine="840" w:firstLineChars="400"/>
        <w:rPr>
          <w:rFonts w:ascii="宋体" w:hAnsi="宋体" w:cs="宋体"/>
          <w:color w:val="auto"/>
          <w:szCs w:val="21"/>
          <w:highlight w:val="none"/>
        </w:rPr>
      </w:pPr>
      <w:r>
        <w:rPr>
          <w:rFonts w:hint="eastAsia" w:ascii="宋体" w:hAnsi="宋体" w:cs="宋体"/>
          <w:color w:val="auto"/>
          <w:szCs w:val="21"/>
          <w:highlight w:val="none"/>
        </w:rPr>
        <w:t>（4）符合性审查资料 ………………………………………………………（页码）</w:t>
      </w:r>
    </w:p>
    <w:p>
      <w:pPr>
        <w:snapToGrid w:val="0"/>
        <w:spacing w:line="360" w:lineRule="auto"/>
        <w:ind w:firstLine="840" w:firstLineChars="400"/>
        <w:rPr>
          <w:rFonts w:ascii="宋体" w:hAnsi="宋体" w:cs="宋体"/>
          <w:color w:val="auto"/>
          <w:szCs w:val="21"/>
          <w:highlight w:val="none"/>
          <w:lang w:val="zh-CN"/>
        </w:rPr>
      </w:pPr>
      <w:r>
        <w:rPr>
          <w:rFonts w:hint="eastAsia" w:ascii="宋体" w:hAnsi="宋体" w:cs="宋体"/>
          <w:color w:val="auto"/>
          <w:szCs w:val="21"/>
          <w:highlight w:val="none"/>
          <w:lang w:val="zh-CN"/>
        </w:rPr>
        <w:t>（</w:t>
      </w:r>
      <w:r>
        <w:rPr>
          <w:rFonts w:hint="eastAsia" w:ascii="宋体" w:hAnsi="宋体" w:cs="宋体"/>
          <w:color w:val="auto"/>
          <w:szCs w:val="21"/>
          <w:highlight w:val="none"/>
        </w:rPr>
        <w:t>5）</w:t>
      </w:r>
      <w:r>
        <w:rPr>
          <w:rFonts w:hint="eastAsia" w:ascii="宋体" w:hAnsi="宋体" w:cs="宋体"/>
          <w:color w:val="auto"/>
          <w:szCs w:val="21"/>
          <w:highlight w:val="none"/>
          <w:lang w:val="zh-CN"/>
        </w:rPr>
        <w:t>政府采购供应商廉洁自律承诺书</w:t>
      </w:r>
      <w:r>
        <w:rPr>
          <w:rFonts w:hint="eastAsia" w:ascii="宋体" w:hAnsi="宋体" w:cs="宋体"/>
          <w:color w:val="auto"/>
          <w:szCs w:val="21"/>
          <w:highlight w:val="none"/>
        </w:rPr>
        <w:t xml:space="preserve"> …………………………………（页码）</w:t>
      </w:r>
    </w:p>
    <w:p>
      <w:pPr>
        <w:snapToGrid w:val="0"/>
        <w:spacing w:line="360" w:lineRule="auto"/>
        <w:ind w:firstLine="840" w:firstLineChars="400"/>
        <w:rPr>
          <w:rFonts w:ascii="宋体" w:hAnsi="宋体" w:cs="宋体"/>
          <w:color w:val="auto"/>
          <w:szCs w:val="21"/>
          <w:highlight w:val="none"/>
        </w:rPr>
      </w:pPr>
      <w:r>
        <w:rPr>
          <w:rFonts w:hint="eastAsia" w:ascii="宋体" w:hAnsi="宋体" w:cs="宋体"/>
          <w:color w:val="auto"/>
          <w:szCs w:val="21"/>
          <w:highlight w:val="none"/>
        </w:rPr>
        <w:t>（6）采购要求偏离表 ………………………………………………………（页码）</w:t>
      </w:r>
    </w:p>
    <w:p>
      <w:pPr>
        <w:snapToGrid w:val="0"/>
        <w:spacing w:line="360" w:lineRule="auto"/>
        <w:ind w:firstLine="840" w:firstLineChars="400"/>
        <w:rPr>
          <w:rFonts w:ascii="宋体" w:hAnsi="宋体" w:cs="宋体"/>
          <w:color w:val="auto"/>
          <w:szCs w:val="21"/>
          <w:highlight w:val="none"/>
        </w:rPr>
      </w:pPr>
      <w:r>
        <w:rPr>
          <w:rFonts w:hint="eastAsia" w:ascii="宋体" w:hAnsi="宋体" w:cs="宋体"/>
          <w:color w:val="auto"/>
          <w:szCs w:val="21"/>
          <w:highlight w:val="none"/>
        </w:rPr>
        <w:t>（7）商务技术偏离表 ………………………………………………………（页码）</w:t>
      </w:r>
    </w:p>
    <w:p>
      <w:pPr>
        <w:pStyle w:val="24"/>
        <w:ind w:firstLine="840" w:firstLineChars="400"/>
        <w:rPr>
          <w:rFonts w:hAnsi="宋体" w:cs="宋体"/>
          <w:color w:val="auto"/>
          <w:sz w:val="21"/>
          <w:highlight w:val="none"/>
          <w:lang w:val="en-US"/>
        </w:rPr>
      </w:pPr>
      <w:r>
        <w:rPr>
          <w:rFonts w:hint="eastAsia" w:hAnsi="宋体" w:cs="宋体"/>
          <w:color w:val="auto"/>
          <w:sz w:val="21"/>
          <w:highlight w:val="none"/>
          <w:lang w:val="en-US"/>
        </w:rPr>
        <w:t>（8）评标标准相应的商务技术资料………………………………………（页码）</w:t>
      </w:r>
    </w:p>
    <w:p>
      <w:pPr>
        <w:snapToGrid w:val="0"/>
        <w:spacing w:line="360" w:lineRule="auto"/>
        <w:ind w:firstLine="840" w:firstLineChars="4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（8-1）</w:t>
      </w:r>
      <w:r>
        <w:rPr>
          <w:rFonts w:hint="eastAsia" w:asciiTheme="minorEastAsia" w:hAnsiTheme="minorEastAsia" w:eastAsiaTheme="minorEastAsia" w:cstheme="minorEastAsia"/>
          <w:color w:val="auto"/>
          <w:szCs w:val="21"/>
          <w:highlight w:val="none"/>
          <w:lang w:bidi="ar"/>
        </w:rPr>
        <w:t>本项目工程的实施方案</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lang w:bidi="ar"/>
        </w:rPr>
        <w:t>施工组织方案</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lang w:bidi="ar"/>
        </w:rPr>
        <w:t>安全保障措施</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lang w:bidi="ar"/>
        </w:rPr>
        <w:t>质量保障措施</w:t>
      </w:r>
      <w:r>
        <w:rPr>
          <w:rFonts w:hint="eastAsia" w:asciiTheme="minorEastAsia" w:hAnsiTheme="minorEastAsia" w:eastAsiaTheme="minorEastAsia" w:cstheme="minorEastAsia"/>
          <w:color w:val="auto"/>
          <w:szCs w:val="21"/>
          <w:highlight w:val="none"/>
          <w:lang w:eastAsia="zh-CN" w:bidi="ar"/>
        </w:rPr>
        <w:t>、</w:t>
      </w:r>
      <w:r>
        <w:rPr>
          <w:rFonts w:hint="eastAsia" w:ascii="宋体" w:hAnsi="宋体" w:cs="宋体"/>
          <w:color w:val="auto"/>
          <w:kern w:val="0"/>
          <w:szCs w:val="21"/>
          <w:highlight w:val="none"/>
        </w:rPr>
        <w:t>项目进度安排</w:t>
      </w:r>
      <w:r>
        <w:rPr>
          <w:rFonts w:hint="eastAsia" w:asciiTheme="minorEastAsia" w:hAnsiTheme="minorEastAsia" w:eastAsiaTheme="minorEastAsia" w:cstheme="minorEastAsia"/>
          <w:color w:val="auto"/>
          <w:szCs w:val="21"/>
          <w:highlight w:val="none"/>
        </w:rPr>
        <w:t>）（格式自拟）；</w:t>
      </w:r>
    </w:p>
    <w:p>
      <w:pPr>
        <w:snapToGrid w:val="0"/>
        <w:spacing w:line="360" w:lineRule="auto"/>
        <w:ind w:firstLine="840" w:firstLineChars="400"/>
        <w:rPr>
          <w:rFonts w:ascii="宋体" w:hAnsi="宋体"/>
          <w:color w:val="auto"/>
          <w:szCs w:val="21"/>
          <w:highlight w:val="none"/>
        </w:rPr>
      </w:pPr>
      <w:r>
        <w:rPr>
          <w:rFonts w:hint="eastAsia" w:asciiTheme="minorEastAsia" w:hAnsiTheme="minorEastAsia" w:eastAsiaTheme="minorEastAsia" w:cstheme="minorEastAsia"/>
          <w:color w:val="auto"/>
          <w:szCs w:val="21"/>
          <w:highlight w:val="none"/>
        </w:rPr>
        <w:t>（8-2）</w:t>
      </w:r>
      <w:r>
        <w:rPr>
          <w:rFonts w:hint="eastAsia" w:ascii="宋体" w:hAnsi="宋体"/>
          <w:color w:val="auto"/>
          <w:szCs w:val="21"/>
          <w:highlight w:val="none"/>
        </w:rPr>
        <w:t>售后服务方案（人员保障能力、施工车辆配备情况、设备配备情况）（格式自拟）；</w:t>
      </w:r>
    </w:p>
    <w:p>
      <w:pPr>
        <w:snapToGrid w:val="0"/>
        <w:spacing w:line="360" w:lineRule="auto"/>
        <w:ind w:firstLine="840" w:firstLineChars="400"/>
        <w:rPr>
          <w:rFonts w:ascii="宋体" w:hAnsi="宋体"/>
          <w:color w:val="auto"/>
          <w:szCs w:val="21"/>
          <w:highlight w:val="none"/>
        </w:rPr>
      </w:pPr>
      <w:r>
        <w:rPr>
          <w:rFonts w:hint="eastAsia" w:ascii="宋体" w:hAnsi="宋体"/>
          <w:color w:val="auto"/>
          <w:szCs w:val="21"/>
          <w:highlight w:val="none"/>
        </w:rPr>
        <w:t>（8-3）业绩一览表；</w:t>
      </w:r>
    </w:p>
    <w:p>
      <w:pPr>
        <w:snapToGrid w:val="0"/>
        <w:spacing w:line="360" w:lineRule="auto"/>
        <w:ind w:firstLine="840" w:firstLineChars="400"/>
        <w:rPr>
          <w:rFonts w:hint="eastAsia" w:ascii="宋体" w:hAnsi="宋体" w:eastAsia="宋体"/>
          <w:color w:val="auto"/>
          <w:szCs w:val="21"/>
          <w:highlight w:val="none"/>
          <w:lang w:eastAsia="zh-CN"/>
        </w:rPr>
      </w:pPr>
      <w:r>
        <w:rPr>
          <w:rFonts w:hint="eastAsia" w:ascii="宋体" w:hAnsi="宋体"/>
          <w:color w:val="auto"/>
          <w:szCs w:val="21"/>
          <w:highlight w:val="none"/>
        </w:rPr>
        <w:t>（8-4）</w:t>
      </w:r>
      <w:r>
        <w:rPr>
          <w:rFonts w:hint="eastAsia" w:ascii="宋体" w:hAnsi="宋体" w:cs="宋体"/>
          <w:color w:val="auto"/>
          <w:spacing w:val="-5"/>
          <w:kern w:val="0"/>
          <w:szCs w:val="21"/>
          <w:highlight w:val="none"/>
          <w:lang w:bidi="ar"/>
        </w:rPr>
        <w:t>投标人实力</w:t>
      </w:r>
      <w:r>
        <w:rPr>
          <w:rFonts w:hint="eastAsia" w:ascii="宋体" w:hAnsi="宋体" w:cs="宋体"/>
          <w:color w:val="auto"/>
          <w:spacing w:val="-5"/>
          <w:kern w:val="0"/>
          <w:szCs w:val="21"/>
          <w:highlight w:val="none"/>
          <w:lang w:eastAsia="zh-CN" w:bidi="ar"/>
        </w:rPr>
        <w:t>（</w:t>
      </w:r>
      <w:r>
        <w:rPr>
          <w:rFonts w:hint="eastAsia" w:ascii="宋体" w:hAnsi="宋体" w:cs="宋体"/>
          <w:color w:val="auto"/>
          <w:spacing w:val="-5"/>
          <w:kern w:val="0"/>
          <w:szCs w:val="21"/>
          <w:highlight w:val="none"/>
          <w:lang w:val="en-US" w:eastAsia="zh-CN" w:bidi="ar"/>
        </w:rPr>
        <w:t>提供证明材料复印件加盖公章</w:t>
      </w:r>
      <w:r>
        <w:rPr>
          <w:rFonts w:hint="eastAsia" w:ascii="宋体" w:hAnsi="宋体" w:cs="宋体"/>
          <w:color w:val="auto"/>
          <w:spacing w:val="-5"/>
          <w:kern w:val="0"/>
          <w:szCs w:val="21"/>
          <w:highlight w:val="none"/>
          <w:lang w:eastAsia="zh-CN" w:bidi="ar"/>
        </w:rPr>
        <w:t>）；</w:t>
      </w:r>
    </w:p>
    <w:p>
      <w:pPr>
        <w:snapToGrid w:val="0"/>
        <w:spacing w:line="360" w:lineRule="auto"/>
        <w:ind w:firstLine="840" w:firstLineChars="4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（8-5）</w:t>
      </w:r>
      <w:r>
        <w:rPr>
          <w:rFonts w:hint="eastAsia" w:ascii="宋体" w:hAnsi="宋体" w:cs="宋体"/>
          <w:color w:val="auto"/>
          <w:szCs w:val="21"/>
          <w:highlight w:val="none"/>
        </w:rPr>
        <w:t>人员配置</w:t>
      </w:r>
      <w:r>
        <w:rPr>
          <w:rFonts w:hint="eastAsia" w:ascii="宋体" w:hAnsi="宋体" w:cs="宋体"/>
          <w:color w:val="auto"/>
          <w:spacing w:val="-5"/>
          <w:kern w:val="0"/>
          <w:szCs w:val="21"/>
          <w:highlight w:val="none"/>
          <w:lang w:eastAsia="zh-CN" w:bidi="ar"/>
        </w:rPr>
        <w:t>（</w:t>
      </w:r>
      <w:r>
        <w:rPr>
          <w:rFonts w:hint="eastAsia" w:ascii="宋体" w:hAnsi="宋体" w:cs="宋体"/>
          <w:color w:val="auto"/>
          <w:spacing w:val="-5"/>
          <w:kern w:val="0"/>
          <w:szCs w:val="21"/>
          <w:highlight w:val="none"/>
          <w:lang w:val="en-US" w:eastAsia="zh-CN" w:bidi="ar"/>
        </w:rPr>
        <w:t>提供证明材料复印件加盖公章</w:t>
      </w:r>
      <w:r>
        <w:rPr>
          <w:rFonts w:hint="eastAsia" w:ascii="宋体" w:hAnsi="宋体" w:cs="宋体"/>
          <w:color w:val="auto"/>
          <w:spacing w:val="-5"/>
          <w:kern w:val="0"/>
          <w:szCs w:val="21"/>
          <w:highlight w:val="none"/>
          <w:lang w:eastAsia="zh-CN" w:bidi="ar"/>
        </w:rPr>
        <w:t>）</w:t>
      </w:r>
    </w:p>
    <w:p>
      <w:pPr>
        <w:snapToGrid w:val="0"/>
        <w:spacing w:line="360" w:lineRule="auto"/>
        <w:ind w:firstLine="840" w:firstLineChars="4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（8-</w:t>
      </w:r>
      <w:r>
        <w:rPr>
          <w:rFonts w:hint="eastAsia" w:asciiTheme="minorEastAsia" w:hAnsiTheme="minorEastAsia" w:eastAsiaTheme="minorEastAsia" w:cstheme="minorEastAsia"/>
          <w:color w:val="auto"/>
          <w:szCs w:val="21"/>
          <w:highlight w:val="none"/>
          <w:lang w:val="en-US" w:eastAsia="zh-CN"/>
        </w:rPr>
        <w:t>6</w:t>
      </w:r>
      <w:r>
        <w:rPr>
          <w:rFonts w:hint="eastAsia" w:asciiTheme="minorEastAsia" w:hAnsiTheme="minorEastAsia" w:eastAsiaTheme="minorEastAsia" w:cstheme="minorEastAsia"/>
          <w:color w:val="auto"/>
          <w:szCs w:val="21"/>
          <w:highlight w:val="none"/>
        </w:rPr>
        <w:t>）评标标准相应的其他商务技术资料。</w:t>
      </w:r>
    </w:p>
    <w:p>
      <w:pPr>
        <w:snapToGrid w:val="0"/>
        <w:spacing w:line="360" w:lineRule="auto"/>
        <w:ind w:firstLine="840" w:firstLineChars="400"/>
        <w:rPr>
          <w:rFonts w:asciiTheme="minorEastAsia" w:hAnsiTheme="minorEastAsia" w:eastAsiaTheme="minorEastAsia" w:cstheme="minorEastAsia"/>
          <w:color w:val="auto"/>
          <w:szCs w:val="21"/>
          <w:highlight w:val="none"/>
        </w:rPr>
      </w:pPr>
    </w:p>
    <w:p>
      <w:pPr>
        <w:snapToGrid w:val="0"/>
        <w:spacing w:line="360" w:lineRule="auto"/>
        <w:jc w:val="center"/>
        <w:rPr>
          <w:rFonts w:ascii="宋体" w:hAnsi="宋体" w:cs="宋体"/>
          <w:b/>
          <w:color w:val="auto"/>
          <w:kern w:val="0"/>
          <w:szCs w:val="21"/>
          <w:highlight w:val="none"/>
          <w:lang w:val="zh-CN"/>
        </w:rPr>
      </w:pPr>
    </w:p>
    <w:p>
      <w:pPr>
        <w:pStyle w:val="24"/>
        <w:rPr>
          <w:rFonts w:hAnsi="宋体" w:cs="宋体"/>
          <w:b/>
          <w:color w:val="auto"/>
          <w:kern w:val="0"/>
          <w:sz w:val="21"/>
          <w:highlight w:val="none"/>
        </w:rPr>
      </w:pPr>
    </w:p>
    <w:p>
      <w:pPr>
        <w:pStyle w:val="63"/>
        <w:rPr>
          <w:rFonts w:hAnsi="宋体" w:cs="宋体"/>
          <w:b/>
          <w:color w:val="auto"/>
          <w:kern w:val="0"/>
          <w:sz w:val="32"/>
          <w:szCs w:val="32"/>
          <w:highlight w:val="none"/>
        </w:rPr>
      </w:pPr>
    </w:p>
    <w:p>
      <w:pPr>
        <w:rPr>
          <w:rFonts w:ascii="宋体" w:hAnsi="宋体" w:cs="宋体"/>
          <w:b/>
          <w:color w:val="auto"/>
          <w:kern w:val="0"/>
          <w:sz w:val="32"/>
          <w:szCs w:val="32"/>
          <w:highlight w:val="none"/>
          <w:lang w:val="zh-CN"/>
        </w:rPr>
      </w:pPr>
    </w:p>
    <w:p>
      <w:pPr>
        <w:pStyle w:val="24"/>
        <w:rPr>
          <w:rFonts w:hAnsi="宋体" w:cs="宋体"/>
          <w:b/>
          <w:color w:val="auto"/>
          <w:kern w:val="0"/>
          <w:sz w:val="32"/>
          <w:szCs w:val="32"/>
          <w:highlight w:val="none"/>
        </w:rPr>
      </w:pPr>
    </w:p>
    <w:p>
      <w:pPr>
        <w:pStyle w:val="63"/>
        <w:rPr>
          <w:rFonts w:hAnsi="宋体" w:cs="宋体"/>
          <w:b/>
          <w:color w:val="auto"/>
          <w:kern w:val="0"/>
          <w:sz w:val="32"/>
          <w:szCs w:val="32"/>
          <w:highlight w:val="none"/>
        </w:rPr>
      </w:pPr>
    </w:p>
    <w:p>
      <w:pPr>
        <w:rPr>
          <w:rFonts w:ascii="宋体" w:hAnsi="宋体" w:cs="宋体"/>
          <w:b/>
          <w:color w:val="auto"/>
          <w:kern w:val="0"/>
          <w:sz w:val="32"/>
          <w:szCs w:val="32"/>
          <w:highlight w:val="none"/>
          <w:lang w:val="zh-CN"/>
        </w:rPr>
      </w:pPr>
    </w:p>
    <w:p>
      <w:pPr>
        <w:pStyle w:val="24"/>
        <w:rPr>
          <w:rFonts w:hAnsi="宋体" w:cs="宋体"/>
          <w:b/>
          <w:color w:val="auto"/>
          <w:kern w:val="0"/>
          <w:sz w:val="32"/>
          <w:szCs w:val="32"/>
          <w:highlight w:val="none"/>
        </w:rPr>
      </w:pPr>
    </w:p>
    <w:p>
      <w:pPr>
        <w:pStyle w:val="63"/>
        <w:rPr>
          <w:rFonts w:hAnsi="宋体" w:cs="宋体"/>
          <w:b/>
          <w:color w:val="auto"/>
          <w:kern w:val="0"/>
          <w:sz w:val="32"/>
          <w:szCs w:val="32"/>
          <w:highlight w:val="none"/>
        </w:rPr>
      </w:pPr>
    </w:p>
    <w:p>
      <w:pPr>
        <w:rPr>
          <w:color w:val="auto"/>
          <w:highlight w:val="none"/>
          <w:lang w:val="zh-CN"/>
        </w:rPr>
      </w:pPr>
    </w:p>
    <w:p>
      <w:pPr>
        <w:pStyle w:val="63"/>
        <w:rPr>
          <w:color w:val="auto"/>
          <w:highlight w:val="none"/>
        </w:rPr>
      </w:pPr>
    </w:p>
    <w:p>
      <w:pPr>
        <w:numPr>
          <w:ilvl w:val="0"/>
          <w:numId w:val="10"/>
        </w:numPr>
        <w:jc w:val="center"/>
        <w:outlineLvl w:val="1"/>
        <w:rPr>
          <w:b/>
          <w:bCs/>
          <w:color w:val="auto"/>
          <w:sz w:val="32"/>
          <w:szCs w:val="32"/>
          <w:highlight w:val="none"/>
        </w:rPr>
      </w:pPr>
      <w:bookmarkStart w:id="629" w:name="_Toc2704"/>
      <w:r>
        <w:rPr>
          <w:rFonts w:hint="eastAsia"/>
          <w:b/>
          <w:bCs/>
          <w:color w:val="auto"/>
          <w:sz w:val="32"/>
          <w:szCs w:val="32"/>
          <w:highlight w:val="none"/>
        </w:rPr>
        <w:t>投标函</w:t>
      </w:r>
      <w:bookmarkEnd w:id="629"/>
    </w:p>
    <w:p>
      <w:pPr>
        <w:pStyle w:val="64"/>
        <w:ind w:left="840" w:leftChars="400" w:firstLine="0" w:firstLineChars="0"/>
        <w:rPr>
          <w:color w:val="auto"/>
          <w:highlight w:val="none"/>
        </w:rPr>
      </w:pPr>
    </w:p>
    <w:p>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u w:val="single"/>
        </w:rPr>
        <w:t>（采购人）、（采购代理机构）</w:t>
      </w:r>
      <w:r>
        <w:rPr>
          <w:rFonts w:hint="eastAsia" w:ascii="宋体" w:hAnsi="宋体" w:cs="宋体"/>
          <w:color w:val="auto"/>
          <w:szCs w:val="21"/>
          <w:highlight w:val="none"/>
        </w:rPr>
        <w:t>：</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我方参加你方组织的</w:t>
      </w:r>
      <w:r>
        <w:rPr>
          <w:rFonts w:hint="eastAsia" w:ascii="宋体" w:hAnsi="宋体" w:cs="宋体"/>
          <w:color w:val="auto"/>
          <w:szCs w:val="21"/>
          <w:highlight w:val="none"/>
          <w:u w:val="single"/>
        </w:rPr>
        <w:t>（项目名称）</w:t>
      </w:r>
      <w:r>
        <w:rPr>
          <w:rFonts w:hint="eastAsia" w:ascii="宋体" w:hAnsi="宋体" w:cs="宋体"/>
          <w:color w:val="auto"/>
          <w:szCs w:val="21"/>
          <w:highlight w:val="none"/>
        </w:rPr>
        <w:t>【</w:t>
      </w:r>
      <w:r>
        <w:rPr>
          <w:rFonts w:hint="eastAsia" w:ascii="宋体" w:hAnsi="宋体" w:cs="宋体"/>
          <w:color w:val="auto"/>
          <w:szCs w:val="21"/>
          <w:highlight w:val="none"/>
          <w:u w:val="single"/>
        </w:rPr>
        <w:t>招标编号：（采购编号）</w:t>
      </w:r>
      <w:r>
        <w:rPr>
          <w:rFonts w:hint="eastAsia" w:ascii="宋体" w:hAnsi="宋体" w:cs="宋体"/>
          <w:color w:val="auto"/>
          <w:szCs w:val="21"/>
          <w:highlight w:val="none"/>
        </w:rPr>
        <w:t>】招标的有关活动，并对此项目进行投标。为此：</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1、我方承诺投标有效期从提交投标文件的截止之日起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天（不少于90天），本投标文件在投标有效期满之前均具有约束力。</w:t>
      </w:r>
    </w:p>
    <w:p>
      <w:pPr>
        <w:snapToGrid w:val="0"/>
        <w:spacing w:line="360" w:lineRule="auto"/>
        <w:ind w:firstLine="420" w:firstLineChars="200"/>
        <w:outlineLvl w:val="2"/>
        <w:rPr>
          <w:rFonts w:ascii="宋体" w:hAnsi="宋体" w:cs="宋体"/>
          <w:color w:val="auto"/>
          <w:szCs w:val="21"/>
          <w:highlight w:val="none"/>
        </w:rPr>
      </w:pPr>
      <w:r>
        <w:rPr>
          <w:rFonts w:hint="eastAsia" w:ascii="宋体" w:hAnsi="宋体" w:cs="宋体"/>
          <w:color w:val="auto"/>
          <w:szCs w:val="21"/>
          <w:highlight w:val="none"/>
        </w:rPr>
        <w:t>2、我方的投标文件包括以下内容：</w:t>
      </w:r>
    </w:p>
    <w:p>
      <w:pPr>
        <w:snapToGrid w:val="0"/>
        <w:spacing w:line="360" w:lineRule="auto"/>
        <w:ind w:left="210" w:leftChars="100" w:firstLine="420" w:firstLineChars="200"/>
        <w:rPr>
          <w:rFonts w:ascii="宋体" w:hAnsi="宋体" w:cs="宋体"/>
          <w:color w:val="auto"/>
          <w:szCs w:val="21"/>
          <w:highlight w:val="none"/>
        </w:rPr>
      </w:pPr>
      <w:r>
        <w:rPr>
          <w:rFonts w:hint="eastAsia" w:ascii="宋体" w:hAnsi="宋体" w:cs="宋体"/>
          <w:color w:val="auto"/>
          <w:szCs w:val="21"/>
          <w:highlight w:val="none"/>
        </w:rPr>
        <w:t>2.1资格文件：</w:t>
      </w:r>
    </w:p>
    <w:p>
      <w:pPr>
        <w:snapToGrid w:val="0"/>
        <w:spacing w:line="360" w:lineRule="auto"/>
        <w:ind w:left="210" w:leftChars="100" w:firstLine="420" w:firstLineChars="200"/>
        <w:rPr>
          <w:rFonts w:ascii="宋体" w:hAnsi="宋体" w:cs="宋体"/>
          <w:color w:val="auto"/>
          <w:szCs w:val="21"/>
          <w:highlight w:val="none"/>
          <w:lang w:val="zh-CN"/>
        </w:rPr>
      </w:pPr>
      <w:r>
        <w:rPr>
          <w:rFonts w:hint="eastAsia" w:ascii="宋体" w:hAnsi="宋体" w:cs="宋体"/>
          <w:color w:val="auto"/>
          <w:szCs w:val="21"/>
          <w:highlight w:val="none"/>
        </w:rPr>
        <w:t>2</w:t>
      </w:r>
      <w:r>
        <w:rPr>
          <w:rFonts w:hint="eastAsia" w:ascii="宋体" w:hAnsi="宋体" w:cs="宋体"/>
          <w:color w:val="auto"/>
          <w:szCs w:val="21"/>
          <w:highlight w:val="none"/>
          <w:lang w:val="zh-CN"/>
        </w:rPr>
        <w:t>.</w:t>
      </w:r>
      <w:r>
        <w:rPr>
          <w:rFonts w:hint="eastAsia" w:ascii="宋体" w:hAnsi="宋体" w:cs="宋体"/>
          <w:color w:val="auto"/>
          <w:szCs w:val="21"/>
          <w:highlight w:val="none"/>
        </w:rPr>
        <w:t>2</w:t>
      </w:r>
      <w:r>
        <w:rPr>
          <w:rFonts w:hint="eastAsia" w:ascii="宋体" w:hAnsi="宋体" w:cs="宋体"/>
          <w:color w:val="auto"/>
          <w:szCs w:val="21"/>
          <w:highlight w:val="none"/>
          <w:lang w:val="zh-CN"/>
        </w:rPr>
        <w:t xml:space="preserve"> </w:t>
      </w:r>
      <w:r>
        <w:rPr>
          <w:rFonts w:hint="eastAsia" w:ascii="宋体" w:hAnsi="宋体" w:cs="宋体"/>
          <w:color w:val="auto"/>
          <w:szCs w:val="21"/>
          <w:highlight w:val="none"/>
        </w:rPr>
        <w:t>商务技术</w:t>
      </w:r>
      <w:r>
        <w:rPr>
          <w:rFonts w:hint="eastAsia" w:ascii="宋体" w:hAnsi="宋体" w:cs="宋体"/>
          <w:color w:val="auto"/>
          <w:szCs w:val="21"/>
          <w:highlight w:val="none"/>
          <w:lang w:val="zh-CN"/>
        </w:rPr>
        <w:t>文件：</w:t>
      </w:r>
    </w:p>
    <w:p>
      <w:pPr>
        <w:snapToGrid w:val="0"/>
        <w:spacing w:line="360" w:lineRule="auto"/>
        <w:ind w:left="210" w:leftChars="100"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zh-CN"/>
        </w:rPr>
        <w:t>.</w:t>
      </w:r>
      <w:r>
        <w:rPr>
          <w:rFonts w:hint="eastAsia" w:ascii="宋体" w:hAnsi="宋体" w:cs="宋体"/>
          <w:color w:val="auto"/>
          <w:szCs w:val="21"/>
          <w:highlight w:val="none"/>
        </w:rPr>
        <w:t>3报价文件</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3、我方承诺除商务技术偏离表列出的偏离外，我方响应招标文件的全部要求。</w:t>
      </w:r>
    </w:p>
    <w:p>
      <w:pPr>
        <w:snapToGrid w:val="0"/>
        <w:spacing w:line="360" w:lineRule="auto"/>
        <w:ind w:firstLine="420" w:firstLineChars="200"/>
        <w:outlineLvl w:val="2"/>
        <w:rPr>
          <w:rFonts w:ascii="宋体" w:hAnsi="宋体" w:cs="宋体"/>
          <w:color w:val="auto"/>
          <w:szCs w:val="21"/>
          <w:highlight w:val="none"/>
        </w:rPr>
      </w:pPr>
      <w:r>
        <w:rPr>
          <w:rFonts w:hint="eastAsia" w:ascii="宋体" w:hAnsi="宋体" w:cs="宋体"/>
          <w:color w:val="auto"/>
          <w:szCs w:val="21"/>
          <w:highlight w:val="none"/>
        </w:rPr>
        <w:t>4、如我方中标，我方承诺：</w:t>
      </w:r>
    </w:p>
    <w:p>
      <w:pPr>
        <w:snapToGrid w:val="0"/>
        <w:spacing w:line="360" w:lineRule="auto"/>
        <w:ind w:left="210" w:leftChars="100"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4.1在收到中标通知书后，在中标通知书规定的期限内与你方签订合同； </w:t>
      </w:r>
    </w:p>
    <w:p>
      <w:pPr>
        <w:snapToGrid w:val="0"/>
        <w:spacing w:line="360" w:lineRule="auto"/>
        <w:ind w:left="210" w:leftChars="100"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4.2在签订合同时不向你方提出附加条件； </w:t>
      </w:r>
    </w:p>
    <w:p>
      <w:pPr>
        <w:snapToGrid w:val="0"/>
        <w:spacing w:line="360" w:lineRule="auto"/>
        <w:ind w:left="210" w:leftChars="100"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4.3按照招标文件要求提交履约保证金； </w:t>
      </w:r>
    </w:p>
    <w:p>
      <w:pPr>
        <w:snapToGrid w:val="0"/>
        <w:spacing w:line="360" w:lineRule="auto"/>
        <w:ind w:left="210" w:leftChars="100"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4.4在合同约定的期限内完成合同规定的全部义务。 </w:t>
      </w:r>
    </w:p>
    <w:p>
      <w:pPr>
        <w:snapToGrid w:val="0"/>
        <w:spacing w:line="360" w:lineRule="auto"/>
        <w:ind w:left="210" w:leftChars="100" w:firstLine="420" w:firstLineChars="200"/>
        <w:rPr>
          <w:rFonts w:ascii="宋体" w:hAnsi="宋体" w:cs="宋体"/>
          <w:color w:val="auto"/>
          <w:szCs w:val="21"/>
          <w:highlight w:val="none"/>
        </w:rPr>
      </w:pPr>
      <w:r>
        <w:rPr>
          <w:rFonts w:hint="eastAsia" w:ascii="宋体" w:hAnsi="宋体" w:cs="宋体"/>
          <w:color w:val="auto"/>
          <w:szCs w:val="21"/>
          <w:highlight w:val="none"/>
        </w:rPr>
        <w:t>5、其他补充说明: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pacing w:line="360" w:lineRule="auto"/>
        <w:ind w:firstLine="3150" w:firstLineChars="1500"/>
        <w:rPr>
          <w:rFonts w:ascii="宋体" w:hAnsi="宋体" w:cs="宋体"/>
          <w:color w:val="auto"/>
          <w:szCs w:val="21"/>
          <w:highlight w:val="none"/>
        </w:rPr>
      </w:pPr>
      <w:r>
        <w:rPr>
          <w:rFonts w:hint="eastAsia" w:ascii="宋体" w:hAnsi="宋体" w:cs="宋体"/>
          <w:color w:val="auto"/>
          <w:szCs w:val="21"/>
          <w:highlight w:val="none"/>
        </w:rPr>
        <w:t xml:space="preserve">投标人名称（电子签章）：                          </w:t>
      </w:r>
    </w:p>
    <w:p>
      <w:pPr>
        <w:spacing w:line="360" w:lineRule="auto"/>
        <w:jc w:val="center"/>
        <w:outlineLvl w:val="1"/>
        <w:rPr>
          <w:rFonts w:ascii="宋体" w:hAnsi="宋体" w:cs="宋体"/>
          <w:color w:val="auto"/>
          <w:szCs w:val="21"/>
          <w:highlight w:val="none"/>
        </w:rPr>
      </w:pPr>
      <w:r>
        <w:rPr>
          <w:rFonts w:hint="eastAsia" w:ascii="宋体" w:hAnsi="宋体" w:cs="宋体"/>
          <w:color w:val="auto"/>
          <w:szCs w:val="21"/>
          <w:highlight w:val="none"/>
        </w:rPr>
        <w:t xml:space="preserve">     日期：  年   月   日</w:t>
      </w:r>
    </w:p>
    <w:p>
      <w:pPr>
        <w:snapToGrid w:val="0"/>
        <w:spacing w:line="360" w:lineRule="auto"/>
        <w:ind w:left="420" w:leftChars="200" w:firstLine="3675" w:firstLineChars="1750"/>
        <w:rPr>
          <w:rFonts w:ascii="宋体" w:hAnsi="宋体" w:cs="宋体"/>
          <w:color w:val="auto"/>
          <w:kern w:val="0"/>
          <w:szCs w:val="21"/>
          <w:highlight w:val="none"/>
          <w:u w:val="single"/>
        </w:rPr>
      </w:pPr>
    </w:p>
    <w:p>
      <w:pPr>
        <w:spacing w:line="360" w:lineRule="auto"/>
        <w:ind w:right="420"/>
        <w:rPr>
          <w:rFonts w:ascii="宋体" w:hAnsi="宋体" w:cs="宋体"/>
          <w:color w:val="auto"/>
          <w:szCs w:val="21"/>
          <w:highlight w:val="none"/>
        </w:rPr>
      </w:pPr>
      <w:r>
        <w:rPr>
          <w:rFonts w:hint="eastAsia" w:ascii="宋体" w:hAnsi="宋体" w:cs="宋体"/>
          <w:color w:val="auto"/>
          <w:szCs w:val="21"/>
          <w:highlight w:val="none"/>
        </w:rPr>
        <w:t>注：按本格式和要求提供。</w:t>
      </w:r>
    </w:p>
    <w:p>
      <w:pPr>
        <w:snapToGrid w:val="0"/>
        <w:spacing w:line="360" w:lineRule="auto"/>
        <w:jc w:val="center"/>
        <w:rPr>
          <w:rFonts w:ascii="宋体" w:hAnsi="宋体" w:cs="宋体"/>
          <w:b/>
          <w:color w:val="auto"/>
          <w:kern w:val="0"/>
          <w:szCs w:val="21"/>
          <w:highlight w:val="none"/>
        </w:rPr>
      </w:pPr>
    </w:p>
    <w:p>
      <w:pPr>
        <w:snapToGrid w:val="0"/>
        <w:spacing w:line="360" w:lineRule="auto"/>
        <w:rPr>
          <w:rFonts w:ascii="宋体" w:hAnsi="宋体" w:cs="宋体"/>
          <w:color w:val="auto"/>
          <w:sz w:val="24"/>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outlineLvl w:val="1"/>
        <w:rPr>
          <w:rFonts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t>二、授权委托书或法定代表人（单位负责人、自然人本人）身份证明</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pPr>
        <w:snapToGrid w:val="0"/>
        <w:spacing w:line="360" w:lineRule="auto"/>
        <w:ind w:firstLine="2872" w:firstLineChars="894"/>
        <w:rPr>
          <w:rFonts w:ascii="宋体" w:hAnsi="宋体" w:cs="宋体"/>
          <w:color w:val="auto"/>
          <w:highlight w:val="none"/>
        </w:rPr>
      </w:pPr>
      <w:r>
        <w:rPr>
          <w:rFonts w:hint="eastAsia" w:ascii="宋体" w:hAnsi="宋体" w:cs="宋体"/>
          <w:b/>
          <w:color w:val="auto"/>
          <w:kern w:val="0"/>
          <w:sz w:val="32"/>
          <w:szCs w:val="32"/>
          <w:highlight w:val="none"/>
          <w:lang w:val="zh-CN"/>
        </w:rPr>
        <w:t>授权委托书（适用于非联合体投标）</w:t>
      </w:r>
      <w:r>
        <w:rPr>
          <w:rFonts w:hint="eastAsia" w:ascii="宋体" w:hAnsi="宋体" w:cs="宋体"/>
          <w:color w:val="auto"/>
          <w:highlight w:val="none"/>
        </w:rPr>
        <w:t xml:space="preserve">                               </w:t>
      </w:r>
    </w:p>
    <w:p>
      <w:pPr>
        <w:snapToGrid w:val="0"/>
        <w:spacing w:line="360" w:lineRule="auto"/>
        <w:rPr>
          <w:rFonts w:ascii="宋体" w:hAnsi="宋体" w:cs="宋体"/>
          <w:color w:val="auto"/>
          <w:kern w:val="0"/>
          <w:szCs w:val="21"/>
          <w:highlight w:val="none"/>
        </w:rPr>
      </w:pPr>
      <w:r>
        <w:rPr>
          <w:rFonts w:hint="eastAsia" w:ascii="宋体" w:hAnsi="宋体" w:cs="宋体"/>
          <w:color w:val="auto"/>
          <w:szCs w:val="21"/>
          <w:highlight w:val="none"/>
        </w:rPr>
        <w:t>（采购人）、（采购代理机构）</w:t>
      </w:r>
      <w:r>
        <w:rPr>
          <w:rFonts w:hint="eastAsia" w:ascii="宋体" w:hAnsi="宋体" w:cs="宋体"/>
          <w:color w:val="auto"/>
          <w:kern w:val="0"/>
          <w:szCs w:val="21"/>
          <w:highlight w:val="none"/>
          <w:lang w:val="zh-CN"/>
        </w:rPr>
        <w:t>：</w:t>
      </w:r>
    </w:p>
    <w:p>
      <w:pPr>
        <w:snapToGrid w:val="0"/>
        <w:spacing w:line="360" w:lineRule="auto"/>
        <w:ind w:firstLine="576"/>
        <w:rPr>
          <w:rFonts w:ascii="宋体" w:hAnsi="宋体" w:cs="宋体"/>
          <w:color w:val="auto"/>
          <w:kern w:val="0"/>
          <w:szCs w:val="21"/>
          <w:highlight w:val="none"/>
        </w:rPr>
      </w:pPr>
      <w:r>
        <w:rPr>
          <w:rFonts w:hint="eastAsia" w:ascii="宋体" w:hAnsi="宋体" w:cs="宋体"/>
          <w:color w:val="auto"/>
          <w:kern w:val="0"/>
          <w:szCs w:val="21"/>
          <w:highlight w:val="none"/>
        </w:rPr>
        <w:t>现</w:t>
      </w:r>
      <w:r>
        <w:rPr>
          <w:rFonts w:hint="eastAsia" w:ascii="宋体" w:hAnsi="宋体" w:cs="宋体"/>
          <w:color w:val="auto"/>
          <w:kern w:val="0"/>
          <w:szCs w:val="21"/>
          <w:highlight w:val="none"/>
          <w:lang w:val="zh-CN"/>
        </w:rPr>
        <w:t>委托</w:t>
      </w:r>
      <w:r>
        <w:rPr>
          <w:rFonts w:hint="eastAsia" w:ascii="宋体" w:hAnsi="宋体" w:cs="宋体"/>
          <w:color w:val="auto"/>
          <w:kern w:val="0"/>
          <w:szCs w:val="21"/>
          <w:highlight w:val="none"/>
          <w:u w:val="single"/>
          <w:lang w:val="zh-CN"/>
        </w:rPr>
        <w:t xml:space="preserve">          </w:t>
      </w:r>
      <w:r>
        <w:rPr>
          <w:rFonts w:hint="eastAsia" w:ascii="宋体" w:hAnsi="宋体" w:cs="宋体"/>
          <w:color w:val="auto"/>
          <w:kern w:val="0"/>
          <w:szCs w:val="21"/>
          <w:highlight w:val="none"/>
          <w:lang w:val="zh-CN"/>
        </w:rPr>
        <w:t>（姓名）为我方代理人（身份证号码：</w:t>
      </w:r>
      <w:r>
        <w:rPr>
          <w:rFonts w:hint="eastAsia" w:ascii="宋体" w:hAnsi="宋体" w:cs="宋体"/>
          <w:color w:val="auto"/>
          <w:kern w:val="0"/>
          <w:szCs w:val="21"/>
          <w:highlight w:val="none"/>
          <w:u w:val="single"/>
          <w:lang w:val="zh-CN"/>
        </w:rPr>
        <w:t xml:space="preserve">          </w:t>
      </w:r>
      <w:r>
        <w:rPr>
          <w:rFonts w:hint="eastAsia" w:ascii="宋体" w:hAnsi="宋体" w:cs="宋体"/>
          <w:color w:val="auto"/>
          <w:kern w:val="0"/>
          <w:szCs w:val="21"/>
          <w:highlight w:val="none"/>
          <w:lang w:val="zh-CN"/>
        </w:rPr>
        <w:t>，手机：</w:t>
      </w:r>
      <w:r>
        <w:rPr>
          <w:rFonts w:hint="eastAsia" w:ascii="宋体" w:hAnsi="宋体" w:cs="宋体"/>
          <w:color w:val="auto"/>
          <w:kern w:val="0"/>
          <w:szCs w:val="21"/>
          <w:highlight w:val="none"/>
          <w:u w:val="single"/>
          <w:lang w:val="zh-CN"/>
        </w:rPr>
        <w:t xml:space="preserve">          </w:t>
      </w:r>
      <w:r>
        <w:rPr>
          <w:rFonts w:hint="eastAsia" w:ascii="宋体" w:hAnsi="宋体" w:cs="宋体"/>
          <w:color w:val="auto"/>
          <w:kern w:val="0"/>
          <w:szCs w:val="21"/>
          <w:highlight w:val="none"/>
          <w:lang w:val="zh-CN"/>
        </w:rPr>
        <w:t>），以我方名义处理</w:t>
      </w:r>
      <w:r>
        <w:rPr>
          <w:rFonts w:hint="eastAsia" w:ascii="宋体" w:hAnsi="宋体" w:cs="宋体"/>
          <w:color w:val="auto"/>
          <w:szCs w:val="21"/>
          <w:highlight w:val="none"/>
          <w:u w:val="single"/>
        </w:rPr>
        <w:t>（项目名称）</w:t>
      </w:r>
      <w:r>
        <w:rPr>
          <w:rFonts w:hint="eastAsia" w:ascii="宋体" w:hAnsi="宋体" w:cs="宋体"/>
          <w:color w:val="auto"/>
          <w:szCs w:val="21"/>
          <w:highlight w:val="none"/>
        </w:rPr>
        <w:t>【</w:t>
      </w:r>
      <w:r>
        <w:rPr>
          <w:rFonts w:hint="eastAsia" w:ascii="宋体" w:hAnsi="宋体" w:cs="宋体"/>
          <w:color w:val="auto"/>
          <w:szCs w:val="21"/>
          <w:highlight w:val="none"/>
          <w:u w:val="single"/>
        </w:rPr>
        <w:t>招标编号：（采购编号）</w:t>
      </w:r>
      <w:r>
        <w:rPr>
          <w:rFonts w:hint="eastAsia" w:ascii="宋体" w:hAnsi="宋体" w:cs="宋体"/>
          <w:color w:val="auto"/>
          <w:szCs w:val="21"/>
          <w:highlight w:val="none"/>
        </w:rPr>
        <w:t>】</w:t>
      </w:r>
      <w:r>
        <w:rPr>
          <w:rFonts w:hint="eastAsia" w:ascii="宋体" w:hAnsi="宋体" w:cs="宋体"/>
          <w:color w:val="auto"/>
          <w:kern w:val="0"/>
          <w:szCs w:val="21"/>
          <w:highlight w:val="none"/>
          <w:lang w:val="zh-CN"/>
        </w:rPr>
        <w:t>政府采购投标的一切事项，其法律后果由我方承担。</w:t>
      </w:r>
    </w:p>
    <w:p>
      <w:pPr>
        <w:snapToGrid w:val="0"/>
        <w:spacing w:line="360" w:lineRule="auto"/>
        <w:rPr>
          <w:rFonts w:ascii="宋体" w:hAnsi="宋体" w:cs="宋体"/>
          <w:color w:val="auto"/>
          <w:kern w:val="0"/>
          <w:szCs w:val="21"/>
          <w:highlight w:val="none"/>
        </w:rPr>
      </w:pPr>
      <w:r>
        <w:rPr>
          <w:rFonts w:hint="eastAsia" w:ascii="宋体" w:hAnsi="宋体" w:cs="宋体"/>
          <w:color w:val="auto"/>
          <w:kern w:val="0"/>
          <w:szCs w:val="21"/>
          <w:highlight w:val="none"/>
        </w:rPr>
        <w:t xml:space="preserve">    </w:t>
      </w:r>
      <w:r>
        <w:rPr>
          <w:rFonts w:hint="eastAsia" w:ascii="宋体" w:hAnsi="宋体" w:cs="宋体"/>
          <w:color w:val="auto"/>
          <w:kern w:val="0"/>
          <w:szCs w:val="21"/>
          <w:highlight w:val="none"/>
          <w:lang w:val="zh-CN"/>
        </w:rPr>
        <w:t>委托期限</w:t>
      </w:r>
      <w:r>
        <w:rPr>
          <w:rFonts w:hint="eastAsia" w:ascii="宋体" w:hAnsi="宋体" w:cs="宋体"/>
          <w:color w:val="auto"/>
          <w:kern w:val="0"/>
          <w:szCs w:val="21"/>
          <w:highlight w:val="none"/>
        </w:rPr>
        <w:t xml:space="preserve">：   </w:t>
      </w:r>
      <w:r>
        <w:rPr>
          <w:rFonts w:hint="eastAsia" w:ascii="宋体" w:hAnsi="宋体" w:cs="宋体"/>
          <w:color w:val="auto"/>
          <w:kern w:val="0"/>
          <w:szCs w:val="21"/>
          <w:highlight w:val="none"/>
          <w:lang w:val="zh-CN"/>
        </w:rPr>
        <w:t>自</w:t>
      </w:r>
      <w:r>
        <w:rPr>
          <w:rFonts w:hint="eastAsia" w:ascii="宋体" w:hAnsi="宋体" w:cs="宋体"/>
          <w:color w:val="auto"/>
          <w:kern w:val="0"/>
          <w:szCs w:val="21"/>
          <w:highlight w:val="none"/>
        </w:rPr>
        <w:t xml:space="preserve">   </w:t>
      </w:r>
      <w:r>
        <w:rPr>
          <w:rFonts w:hint="eastAsia" w:ascii="宋体" w:hAnsi="宋体" w:cs="宋体"/>
          <w:color w:val="auto"/>
          <w:kern w:val="0"/>
          <w:szCs w:val="21"/>
          <w:highlight w:val="none"/>
          <w:lang w:val="zh-CN"/>
        </w:rPr>
        <w:t>年</w:t>
      </w:r>
      <w:r>
        <w:rPr>
          <w:rFonts w:hint="eastAsia" w:ascii="宋体" w:hAnsi="宋体" w:cs="宋体"/>
          <w:color w:val="auto"/>
          <w:kern w:val="0"/>
          <w:szCs w:val="21"/>
          <w:highlight w:val="none"/>
        </w:rPr>
        <w:t xml:space="preserve"> </w:t>
      </w:r>
      <w:r>
        <w:rPr>
          <w:rFonts w:hint="eastAsia" w:ascii="宋体" w:hAnsi="宋体" w:cs="宋体"/>
          <w:color w:val="auto"/>
          <w:kern w:val="0"/>
          <w:szCs w:val="21"/>
          <w:highlight w:val="none"/>
          <w:lang w:val="zh-CN"/>
        </w:rPr>
        <w:t>月</w:t>
      </w:r>
      <w:r>
        <w:rPr>
          <w:rFonts w:hint="eastAsia" w:ascii="宋体" w:hAnsi="宋体" w:cs="宋体"/>
          <w:color w:val="auto"/>
          <w:kern w:val="0"/>
          <w:szCs w:val="21"/>
          <w:highlight w:val="none"/>
        </w:rPr>
        <w:t xml:space="preserve">  </w:t>
      </w:r>
      <w:r>
        <w:rPr>
          <w:rFonts w:hint="eastAsia" w:ascii="宋体" w:hAnsi="宋体" w:cs="宋体"/>
          <w:color w:val="auto"/>
          <w:kern w:val="0"/>
          <w:szCs w:val="21"/>
          <w:highlight w:val="none"/>
          <w:lang w:val="zh-CN"/>
        </w:rPr>
        <w:t>日起至</w:t>
      </w:r>
      <w:r>
        <w:rPr>
          <w:rFonts w:hint="eastAsia" w:ascii="宋体" w:hAnsi="宋体" w:cs="宋体"/>
          <w:color w:val="auto"/>
          <w:kern w:val="0"/>
          <w:szCs w:val="21"/>
          <w:highlight w:val="none"/>
        </w:rPr>
        <w:t xml:space="preserve">   </w:t>
      </w:r>
      <w:r>
        <w:rPr>
          <w:rFonts w:hint="eastAsia" w:ascii="宋体" w:hAnsi="宋体" w:cs="宋体"/>
          <w:color w:val="auto"/>
          <w:kern w:val="0"/>
          <w:szCs w:val="21"/>
          <w:highlight w:val="none"/>
          <w:lang w:val="zh-CN"/>
        </w:rPr>
        <w:t>年</w:t>
      </w:r>
      <w:r>
        <w:rPr>
          <w:rFonts w:hint="eastAsia" w:ascii="宋体" w:hAnsi="宋体" w:cs="宋体"/>
          <w:color w:val="auto"/>
          <w:kern w:val="0"/>
          <w:szCs w:val="21"/>
          <w:highlight w:val="none"/>
        </w:rPr>
        <w:t xml:space="preserve">  </w:t>
      </w:r>
      <w:r>
        <w:rPr>
          <w:rFonts w:hint="eastAsia" w:ascii="宋体" w:hAnsi="宋体" w:cs="宋体"/>
          <w:color w:val="auto"/>
          <w:kern w:val="0"/>
          <w:szCs w:val="21"/>
          <w:highlight w:val="none"/>
          <w:lang w:val="zh-CN"/>
        </w:rPr>
        <w:t>月</w:t>
      </w:r>
      <w:r>
        <w:rPr>
          <w:rFonts w:hint="eastAsia" w:ascii="宋体" w:hAnsi="宋体" w:cs="宋体"/>
          <w:color w:val="auto"/>
          <w:kern w:val="0"/>
          <w:szCs w:val="21"/>
          <w:highlight w:val="none"/>
        </w:rPr>
        <w:t xml:space="preserve">  </w:t>
      </w:r>
      <w:r>
        <w:rPr>
          <w:rFonts w:hint="eastAsia" w:ascii="宋体" w:hAnsi="宋体" w:cs="宋体"/>
          <w:color w:val="auto"/>
          <w:kern w:val="0"/>
          <w:szCs w:val="21"/>
          <w:highlight w:val="none"/>
          <w:lang w:val="zh-CN"/>
        </w:rPr>
        <w:t>日止。</w:t>
      </w:r>
    </w:p>
    <w:p>
      <w:pPr>
        <w:snapToGrid w:val="0"/>
        <w:spacing w:line="360" w:lineRule="auto"/>
        <w:rPr>
          <w:rFonts w:ascii="宋体" w:hAnsi="宋体" w:cs="宋体"/>
          <w:color w:val="auto"/>
          <w:kern w:val="0"/>
          <w:szCs w:val="21"/>
          <w:highlight w:val="none"/>
        </w:rPr>
      </w:pPr>
      <w:r>
        <w:rPr>
          <w:rFonts w:hint="eastAsia" w:ascii="宋体" w:hAnsi="宋体" w:cs="宋体"/>
          <w:color w:val="auto"/>
          <w:kern w:val="0"/>
          <w:szCs w:val="21"/>
          <w:highlight w:val="none"/>
        </w:rPr>
        <w:t xml:space="preserve">    </w:t>
      </w:r>
      <w:r>
        <w:rPr>
          <w:rFonts w:hint="eastAsia" w:ascii="宋体" w:hAnsi="宋体" w:cs="宋体"/>
          <w:color w:val="auto"/>
          <w:kern w:val="0"/>
          <w:szCs w:val="21"/>
          <w:highlight w:val="none"/>
          <w:lang w:val="zh-CN"/>
        </w:rPr>
        <w:t>特此告知。</w:t>
      </w:r>
    </w:p>
    <w:p>
      <w:pPr>
        <w:snapToGrid w:val="0"/>
        <w:spacing w:line="360" w:lineRule="auto"/>
        <w:rPr>
          <w:rFonts w:ascii="宋体" w:hAnsi="宋体" w:cs="宋体"/>
          <w:color w:val="auto"/>
          <w:kern w:val="0"/>
          <w:szCs w:val="21"/>
          <w:highlight w:val="none"/>
        </w:rPr>
      </w:pPr>
      <w:r>
        <w:rPr>
          <w:rFonts w:hint="eastAsia" w:ascii="宋体" w:hAnsi="宋体" w:cs="宋体"/>
          <w:color w:val="auto"/>
          <w:kern w:val="0"/>
          <w:szCs w:val="21"/>
          <w:highlight w:val="none"/>
          <w:lang w:val="zh-CN"/>
        </w:rPr>
        <w:t xml:space="preserve">                                                 投标人名称</w:t>
      </w:r>
      <w:r>
        <w:rPr>
          <w:rFonts w:hint="eastAsia" w:ascii="宋体" w:hAnsi="宋体" w:cs="宋体"/>
          <w:color w:val="auto"/>
          <w:szCs w:val="21"/>
          <w:highlight w:val="none"/>
        </w:rPr>
        <w:t xml:space="preserve">（电子签章）：  </w:t>
      </w:r>
    </w:p>
    <w:p>
      <w:pPr>
        <w:snapToGrid w:val="0"/>
        <w:spacing w:line="360" w:lineRule="auto"/>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 xml:space="preserve">                                                 签发日期：  年  月   日</w:t>
      </w:r>
    </w:p>
    <w:p>
      <w:pPr>
        <w:snapToGrid w:val="0"/>
        <w:spacing w:line="360" w:lineRule="auto"/>
        <w:rPr>
          <w:rFonts w:ascii="宋体" w:hAnsi="宋体" w:cs="宋体"/>
          <w:color w:val="auto"/>
          <w:sz w:val="24"/>
          <w:highlight w:val="none"/>
        </w:rPr>
      </w:pPr>
    </w:p>
    <w:p>
      <w:pPr>
        <w:snapToGrid w:val="0"/>
        <w:spacing w:line="360" w:lineRule="auto"/>
        <w:rPr>
          <w:rFonts w:ascii="宋体" w:hAnsi="宋体" w:cs="宋体"/>
          <w:color w:val="auto"/>
          <w:sz w:val="24"/>
          <w:highlight w:val="none"/>
        </w:rPr>
      </w:pPr>
    </w:p>
    <w:p>
      <w:pPr>
        <w:snapToGrid w:val="0"/>
        <w:spacing w:line="360" w:lineRule="auto"/>
        <w:rPr>
          <w:rFonts w:ascii="宋体" w:hAnsi="宋体" w:cs="宋体"/>
          <w:color w:val="auto"/>
          <w:sz w:val="24"/>
          <w:highlight w:val="none"/>
        </w:rPr>
      </w:pPr>
    </w:p>
    <w:p>
      <w:pPr>
        <w:jc w:val="center"/>
        <w:outlineLvl w:val="2"/>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val="zh-CN"/>
        </w:rPr>
        <w:t xml:space="preserve">      </w:t>
      </w:r>
      <w:r>
        <w:rPr>
          <w:rFonts w:hint="eastAsia" w:ascii="宋体" w:hAnsi="宋体" w:cs="宋体"/>
          <w:b/>
          <w:color w:val="auto"/>
          <w:kern w:val="0"/>
          <w:sz w:val="32"/>
          <w:szCs w:val="32"/>
          <w:highlight w:val="none"/>
        </w:rPr>
        <w:t xml:space="preserve"> </w:t>
      </w:r>
      <w:r>
        <w:rPr>
          <w:rFonts w:hint="eastAsia" w:ascii="宋体" w:hAnsi="宋体" w:cs="宋体"/>
          <w:b/>
          <w:color w:val="auto"/>
          <w:kern w:val="0"/>
          <w:sz w:val="32"/>
          <w:szCs w:val="32"/>
          <w:highlight w:val="none"/>
          <w:lang w:val="zh-CN"/>
        </w:rPr>
        <w:t>授权委托书（适用于联合体投标）</w:t>
      </w: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kern w:val="0"/>
          <w:szCs w:val="21"/>
          <w:highlight w:val="none"/>
        </w:rPr>
      </w:pPr>
      <w:r>
        <w:rPr>
          <w:rFonts w:hint="eastAsia" w:ascii="宋体" w:hAnsi="宋体" w:cs="宋体"/>
          <w:color w:val="auto"/>
          <w:szCs w:val="21"/>
          <w:highlight w:val="none"/>
        </w:rPr>
        <w:t>（采购人）、（采购代理机构）</w:t>
      </w:r>
      <w:r>
        <w:rPr>
          <w:rFonts w:hint="eastAsia" w:ascii="宋体" w:hAnsi="宋体" w:cs="宋体"/>
          <w:color w:val="auto"/>
          <w:kern w:val="0"/>
          <w:szCs w:val="21"/>
          <w:highlight w:val="none"/>
          <w:lang w:val="zh-CN"/>
        </w:rPr>
        <w:t>：</w:t>
      </w:r>
    </w:p>
    <w:p>
      <w:pPr>
        <w:snapToGrid w:val="0"/>
        <w:spacing w:line="360" w:lineRule="auto"/>
        <w:ind w:firstLine="576"/>
        <w:rPr>
          <w:rFonts w:ascii="宋体" w:hAnsi="宋体" w:cs="宋体"/>
          <w:color w:val="auto"/>
          <w:kern w:val="0"/>
          <w:szCs w:val="21"/>
          <w:highlight w:val="none"/>
        </w:rPr>
      </w:pPr>
      <w:r>
        <w:rPr>
          <w:rFonts w:hint="eastAsia" w:ascii="宋体" w:hAnsi="宋体" w:cs="宋体"/>
          <w:color w:val="auto"/>
          <w:kern w:val="0"/>
          <w:szCs w:val="21"/>
          <w:highlight w:val="none"/>
        </w:rPr>
        <w:t>现</w:t>
      </w:r>
      <w:r>
        <w:rPr>
          <w:rFonts w:hint="eastAsia" w:ascii="宋体" w:hAnsi="宋体" w:cs="宋体"/>
          <w:color w:val="auto"/>
          <w:kern w:val="0"/>
          <w:szCs w:val="21"/>
          <w:highlight w:val="none"/>
          <w:lang w:val="zh-CN"/>
        </w:rPr>
        <w:t>委托</w:t>
      </w:r>
      <w:r>
        <w:rPr>
          <w:rFonts w:hint="eastAsia" w:ascii="宋体" w:hAnsi="宋体" w:cs="宋体"/>
          <w:color w:val="auto"/>
          <w:kern w:val="0"/>
          <w:szCs w:val="21"/>
          <w:highlight w:val="none"/>
          <w:u w:val="single"/>
          <w:lang w:val="zh-CN"/>
        </w:rPr>
        <w:t xml:space="preserve">          </w:t>
      </w:r>
      <w:r>
        <w:rPr>
          <w:rFonts w:hint="eastAsia" w:ascii="宋体" w:hAnsi="宋体" w:cs="宋体"/>
          <w:color w:val="auto"/>
          <w:kern w:val="0"/>
          <w:szCs w:val="21"/>
          <w:highlight w:val="none"/>
          <w:lang w:val="zh-CN"/>
        </w:rPr>
        <w:t>（姓名）为我方代理人（身份证号码：</w:t>
      </w:r>
      <w:r>
        <w:rPr>
          <w:rFonts w:hint="eastAsia" w:ascii="宋体" w:hAnsi="宋体" w:cs="宋体"/>
          <w:color w:val="auto"/>
          <w:kern w:val="0"/>
          <w:szCs w:val="21"/>
          <w:highlight w:val="none"/>
          <w:u w:val="single"/>
          <w:lang w:val="zh-CN"/>
        </w:rPr>
        <w:t xml:space="preserve">          </w:t>
      </w:r>
      <w:r>
        <w:rPr>
          <w:rFonts w:hint="eastAsia" w:ascii="宋体" w:hAnsi="宋体" w:cs="宋体"/>
          <w:color w:val="auto"/>
          <w:kern w:val="0"/>
          <w:szCs w:val="21"/>
          <w:highlight w:val="none"/>
          <w:lang w:val="zh-CN"/>
        </w:rPr>
        <w:t>，手机：</w:t>
      </w:r>
      <w:r>
        <w:rPr>
          <w:rFonts w:hint="eastAsia" w:ascii="宋体" w:hAnsi="宋体" w:cs="宋体"/>
          <w:color w:val="auto"/>
          <w:kern w:val="0"/>
          <w:szCs w:val="21"/>
          <w:highlight w:val="none"/>
          <w:u w:val="single"/>
          <w:lang w:val="zh-CN"/>
        </w:rPr>
        <w:t xml:space="preserve">          </w:t>
      </w:r>
      <w:r>
        <w:rPr>
          <w:rFonts w:hint="eastAsia" w:ascii="宋体" w:hAnsi="宋体" w:cs="宋体"/>
          <w:color w:val="auto"/>
          <w:kern w:val="0"/>
          <w:szCs w:val="21"/>
          <w:highlight w:val="none"/>
          <w:lang w:val="zh-CN"/>
        </w:rPr>
        <w:t>），以我方名义处理</w:t>
      </w:r>
      <w:r>
        <w:rPr>
          <w:rFonts w:hint="eastAsia" w:ascii="宋体" w:hAnsi="宋体" w:cs="宋体"/>
          <w:color w:val="auto"/>
          <w:szCs w:val="21"/>
          <w:highlight w:val="none"/>
        </w:rPr>
        <w:t>（项目名称）【招标编号：（采购编号）】</w:t>
      </w:r>
      <w:r>
        <w:rPr>
          <w:rFonts w:hint="eastAsia" w:ascii="宋体" w:hAnsi="宋体" w:cs="宋体"/>
          <w:color w:val="auto"/>
          <w:kern w:val="0"/>
          <w:szCs w:val="21"/>
          <w:highlight w:val="none"/>
          <w:lang w:val="zh-CN"/>
        </w:rPr>
        <w:t>政府采购投标的一切事项，其法律后果由我方承担。</w:t>
      </w:r>
    </w:p>
    <w:p>
      <w:pPr>
        <w:snapToGrid w:val="0"/>
        <w:spacing w:line="360" w:lineRule="auto"/>
        <w:rPr>
          <w:rFonts w:ascii="宋体" w:hAnsi="宋体" w:cs="宋体"/>
          <w:color w:val="auto"/>
          <w:kern w:val="0"/>
          <w:szCs w:val="21"/>
          <w:highlight w:val="none"/>
        </w:rPr>
      </w:pPr>
      <w:r>
        <w:rPr>
          <w:rFonts w:hint="eastAsia" w:ascii="宋体" w:hAnsi="宋体" w:cs="宋体"/>
          <w:color w:val="auto"/>
          <w:kern w:val="0"/>
          <w:szCs w:val="21"/>
          <w:highlight w:val="none"/>
        </w:rPr>
        <w:t xml:space="preserve">    </w:t>
      </w:r>
      <w:r>
        <w:rPr>
          <w:rFonts w:hint="eastAsia" w:ascii="宋体" w:hAnsi="宋体" w:cs="宋体"/>
          <w:color w:val="auto"/>
          <w:kern w:val="0"/>
          <w:szCs w:val="21"/>
          <w:highlight w:val="none"/>
          <w:lang w:val="zh-CN"/>
        </w:rPr>
        <w:t>委托期限</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val="zh-CN"/>
        </w:rPr>
        <w:t>自</w:t>
      </w:r>
      <w:r>
        <w:rPr>
          <w:rFonts w:hint="eastAsia" w:ascii="宋体" w:hAnsi="宋体" w:cs="宋体"/>
          <w:color w:val="auto"/>
          <w:kern w:val="0"/>
          <w:szCs w:val="21"/>
          <w:highlight w:val="none"/>
        </w:rPr>
        <w:t xml:space="preserve">   </w:t>
      </w:r>
      <w:r>
        <w:rPr>
          <w:rFonts w:hint="eastAsia" w:ascii="宋体" w:hAnsi="宋体" w:cs="宋体"/>
          <w:color w:val="auto"/>
          <w:kern w:val="0"/>
          <w:szCs w:val="21"/>
          <w:highlight w:val="none"/>
          <w:lang w:val="zh-CN"/>
        </w:rPr>
        <w:t>年</w:t>
      </w:r>
      <w:r>
        <w:rPr>
          <w:rFonts w:hint="eastAsia" w:ascii="宋体" w:hAnsi="宋体" w:cs="宋体"/>
          <w:color w:val="auto"/>
          <w:kern w:val="0"/>
          <w:szCs w:val="21"/>
          <w:highlight w:val="none"/>
        </w:rPr>
        <w:t xml:space="preserve"> </w:t>
      </w:r>
      <w:r>
        <w:rPr>
          <w:rFonts w:hint="eastAsia" w:ascii="宋体" w:hAnsi="宋体" w:cs="宋体"/>
          <w:color w:val="auto"/>
          <w:kern w:val="0"/>
          <w:szCs w:val="21"/>
          <w:highlight w:val="none"/>
          <w:lang w:val="zh-CN"/>
        </w:rPr>
        <w:t>月</w:t>
      </w:r>
      <w:r>
        <w:rPr>
          <w:rFonts w:hint="eastAsia" w:ascii="宋体" w:hAnsi="宋体" w:cs="宋体"/>
          <w:color w:val="auto"/>
          <w:kern w:val="0"/>
          <w:szCs w:val="21"/>
          <w:highlight w:val="none"/>
        </w:rPr>
        <w:t xml:space="preserve">  </w:t>
      </w:r>
      <w:r>
        <w:rPr>
          <w:rFonts w:hint="eastAsia" w:ascii="宋体" w:hAnsi="宋体" w:cs="宋体"/>
          <w:color w:val="auto"/>
          <w:kern w:val="0"/>
          <w:szCs w:val="21"/>
          <w:highlight w:val="none"/>
          <w:lang w:val="zh-CN"/>
        </w:rPr>
        <w:t>日起至</w:t>
      </w:r>
      <w:r>
        <w:rPr>
          <w:rFonts w:hint="eastAsia" w:ascii="宋体" w:hAnsi="宋体" w:cs="宋体"/>
          <w:color w:val="auto"/>
          <w:kern w:val="0"/>
          <w:szCs w:val="21"/>
          <w:highlight w:val="none"/>
        </w:rPr>
        <w:t xml:space="preserve">  </w:t>
      </w:r>
      <w:r>
        <w:rPr>
          <w:rFonts w:hint="eastAsia" w:ascii="宋体" w:hAnsi="宋体" w:cs="宋体"/>
          <w:color w:val="auto"/>
          <w:kern w:val="0"/>
          <w:szCs w:val="21"/>
          <w:highlight w:val="none"/>
          <w:lang w:val="zh-CN"/>
        </w:rPr>
        <w:t>年</w:t>
      </w:r>
      <w:r>
        <w:rPr>
          <w:rFonts w:hint="eastAsia" w:ascii="宋体" w:hAnsi="宋体" w:cs="宋体"/>
          <w:color w:val="auto"/>
          <w:kern w:val="0"/>
          <w:szCs w:val="21"/>
          <w:highlight w:val="none"/>
        </w:rPr>
        <w:t xml:space="preserve">  </w:t>
      </w:r>
      <w:r>
        <w:rPr>
          <w:rFonts w:hint="eastAsia" w:ascii="宋体" w:hAnsi="宋体" w:cs="宋体"/>
          <w:color w:val="auto"/>
          <w:kern w:val="0"/>
          <w:szCs w:val="21"/>
          <w:highlight w:val="none"/>
          <w:lang w:val="zh-CN"/>
        </w:rPr>
        <w:t>月</w:t>
      </w:r>
      <w:r>
        <w:rPr>
          <w:rFonts w:hint="eastAsia" w:ascii="宋体" w:hAnsi="宋体" w:cs="宋体"/>
          <w:color w:val="auto"/>
          <w:kern w:val="0"/>
          <w:szCs w:val="21"/>
          <w:highlight w:val="none"/>
        </w:rPr>
        <w:t xml:space="preserve">  </w:t>
      </w:r>
      <w:r>
        <w:rPr>
          <w:rFonts w:hint="eastAsia" w:ascii="宋体" w:hAnsi="宋体" w:cs="宋体"/>
          <w:color w:val="auto"/>
          <w:kern w:val="0"/>
          <w:szCs w:val="21"/>
          <w:highlight w:val="none"/>
          <w:lang w:val="zh-CN"/>
        </w:rPr>
        <w:t>日止。</w:t>
      </w:r>
    </w:p>
    <w:p>
      <w:pPr>
        <w:snapToGrid w:val="0"/>
        <w:spacing w:line="360" w:lineRule="auto"/>
        <w:rPr>
          <w:rFonts w:ascii="宋体" w:hAnsi="宋体" w:cs="宋体"/>
          <w:color w:val="auto"/>
          <w:kern w:val="0"/>
          <w:szCs w:val="21"/>
          <w:highlight w:val="none"/>
        </w:rPr>
      </w:pPr>
      <w:r>
        <w:rPr>
          <w:rFonts w:hint="eastAsia" w:ascii="宋体" w:hAnsi="宋体" w:cs="宋体"/>
          <w:color w:val="auto"/>
          <w:kern w:val="0"/>
          <w:szCs w:val="21"/>
          <w:highlight w:val="none"/>
        </w:rPr>
        <w:t xml:space="preserve">    </w:t>
      </w:r>
      <w:r>
        <w:rPr>
          <w:rFonts w:hint="eastAsia" w:ascii="宋体" w:hAnsi="宋体" w:cs="宋体"/>
          <w:color w:val="auto"/>
          <w:kern w:val="0"/>
          <w:szCs w:val="21"/>
          <w:highlight w:val="none"/>
          <w:lang w:val="zh-CN"/>
        </w:rPr>
        <w:t>特此告知。</w:t>
      </w:r>
    </w:p>
    <w:p>
      <w:pPr>
        <w:jc w:val="center"/>
        <w:rPr>
          <w:rFonts w:ascii="宋体" w:hAnsi="宋体" w:cs="宋体"/>
          <w:b/>
          <w:color w:val="auto"/>
          <w:kern w:val="0"/>
          <w:szCs w:val="21"/>
          <w:highlight w:val="none"/>
        </w:rPr>
      </w:pPr>
    </w:p>
    <w:p>
      <w:pPr>
        <w:jc w:val="center"/>
        <w:rPr>
          <w:rFonts w:ascii="宋体" w:hAnsi="宋体" w:cs="宋体"/>
          <w:b/>
          <w:color w:val="auto"/>
          <w:kern w:val="0"/>
          <w:szCs w:val="21"/>
          <w:highlight w:val="none"/>
        </w:rPr>
      </w:pPr>
    </w:p>
    <w:p>
      <w:pPr>
        <w:jc w:val="center"/>
        <w:rPr>
          <w:rFonts w:ascii="宋体" w:hAnsi="宋体" w:cs="宋体"/>
          <w:b/>
          <w:color w:val="auto"/>
          <w:kern w:val="0"/>
          <w:szCs w:val="21"/>
          <w:highlight w:val="none"/>
        </w:rPr>
      </w:pPr>
    </w:p>
    <w:p>
      <w:pPr>
        <w:rPr>
          <w:rFonts w:ascii="宋体" w:hAnsi="宋体" w:cs="宋体"/>
          <w:color w:val="auto"/>
          <w:szCs w:val="21"/>
          <w:highlight w:val="none"/>
        </w:rPr>
      </w:pPr>
    </w:p>
    <w:p>
      <w:pPr>
        <w:snapToGrid w:val="0"/>
        <w:spacing w:line="360" w:lineRule="auto"/>
        <w:ind w:firstLine="4410" w:firstLineChars="2100"/>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联合体成员名称(电子签</w:t>
      </w:r>
      <w:r>
        <w:rPr>
          <w:rFonts w:hint="eastAsia" w:ascii="宋体" w:hAnsi="宋体" w:cs="宋体"/>
          <w:color w:val="auto"/>
          <w:kern w:val="0"/>
          <w:szCs w:val="21"/>
          <w:highlight w:val="none"/>
        </w:rPr>
        <w:t>章</w:t>
      </w:r>
      <w:r>
        <w:rPr>
          <w:rFonts w:hint="eastAsia" w:ascii="宋体" w:hAnsi="宋体" w:cs="宋体"/>
          <w:color w:val="auto"/>
          <w:kern w:val="0"/>
          <w:szCs w:val="21"/>
          <w:highlight w:val="none"/>
          <w:lang w:val="zh-CN"/>
        </w:rPr>
        <w:t>/公章)：</w:t>
      </w:r>
    </w:p>
    <w:p>
      <w:pPr>
        <w:snapToGrid w:val="0"/>
        <w:spacing w:line="360" w:lineRule="auto"/>
        <w:ind w:firstLine="4410" w:firstLineChars="2100"/>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联合体成员名称(电子签</w:t>
      </w:r>
      <w:r>
        <w:rPr>
          <w:rFonts w:hint="eastAsia" w:ascii="宋体" w:hAnsi="宋体" w:cs="宋体"/>
          <w:color w:val="auto"/>
          <w:kern w:val="0"/>
          <w:szCs w:val="21"/>
          <w:highlight w:val="none"/>
        </w:rPr>
        <w:t>章</w:t>
      </w:r>
      <w:r>
        <w:rPr>
          <w:rFonts w:hint="eastAsia" w:ascii="宋体" w:hAnsi="宋体" w:cs="宋体"/>
          <w:color w:val="auto"/>
          <w:kern w:val="0"/>
          <w:szCs w:val="21"/>
          <w:highlight w:val="none"/>
          <w:lang w:val="zh-CN"/>
        </w:rPr>
        <w:t>/公章)：</w:t>
      </w:r>
    </w:p>
    <w:p>
      <w:pPr>
        <w:snapToGrid w:val="0"/>
        <w:spacing w:line="360" w:lineRule="auto"/>
        <w:ind w:firstLine="5040" w:firstLineChars="2400"/>
        <w:rPr>
          <w:rFonts w:ascii="宋体" w:hAnsi="宋体" w:cs="宋体"/>
          <w:color w:val="auto"/>
          <w:szCs w:val="21"/>
          <w:highlight w:val="none"/>
        </w:rPr>
      </w:pPr>
      <w:r>
        <w:rPr>
          <w:rFonts w:hint="eastAsia" w:ascii="宋体" w:hAnsi="宋体" w:cs="宋体"/>
          <w:color w:val="auto"/>
          <w:kern w:val="0"/>
          <w:szCs w:val="21"/>
          <w:highlight w:val="none"/>
          <w:lang w:val="zh-CN"/>
        </w:rPr>
        <w:t>……</w:t>
      </w:r>
    </w:p>
    <w:p>
      <w:pPr>
        <w:snapToGrid w:val="0"/>
        <w:spacing w:line="360" w:lineRule="auto"/>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 xml:space="preserve">                                               日期：  年  月   日</w:t>
      </w:r>
    </w:p>
    <w:p>
      <w:pPr>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kern w:val="0"/>
          <w:sz w:val="32"/>
          <w:szCs w:val="32"/>
          <w:highlight w:val="none"/>
          <w:lang w:val="zh-CN"/>
        </w:rPr>
        <w:t>法定代表人、单位负责人或自然人本人</w:t>
      </w:r>
      <w:r>
        <w:rPr>
          <w:rFonts w:hint="eastAsia" w:ascii="宋体" w:hAnsi="宋体" w:cs="宋体"/>
          <w:b/>
          <w:color w:val="auto"/>
          <w:sz w:val="30"/>
          <w:szCs w:val="30"/>
          <w:highlight w:val="none"/>
        </w:rPr>
        <w:t>的身份证明（适用于法定代表人、单位负责人或者自然人本人代表投标人参加投标）</w:t>
      </w:r>
    </w:p>
    <w:p>
      <w:pPr>
        <w:pStyle w:val="151"/>
        <w:spacing w:line="360" w:lineRule="auto"/>
        <w:rPr>
          <w:rFonts w:hAnsi="宋体" w:cs="宋体"/>
          <w:bCs/>
          <w:color w:val="auto"/>
          <w:highlight w:val="none"/>
        </w:rPr>
      </w:pPr>
      <w:r>
        <w:rPr>
          <w:rFonts w:hint="eastAsia" w:hAnsi="宋体" w:cs="宋体"/>
          <w:bCs/>
          <w:color w:val="auto"/>
          <w:highlight w:val="none"/>
        </w:rPr>
        <w:t>身份证件扫描件：</w:t>
      </w:r>
    </w:p>
    <w:tbl>
      <w:tblPr>
        <w:tblStyle w:val="6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51"/>
              <w:adjustRightInd w:val="0"/>
              <w:spacing w:line="360" w:lineRule="auto"/>
              <w:rPr>
                <w:rFonts w:hAnsi="宋体" w:cs="宋体"/>
                <w:bCs/>
                <w:color w:val="auto"/>
                <w:highlight w:val="none"/>
              </w:rPr>
            </w:pPr>
            <w:r>
              <w:rPr>
                <w:rFonts w:hint="eastAsia" w:hAnsi="宋体" w:cs="宋体"/>
                <w:bCs/>
                <w:color w:val="auto"/>
                <w:highlight w:val="none"/>
              </w:rPr>
              <w:t>正面：                                 反面：</w:t>
            </w:r>
          </w:p>
          <w:p>
            <w:pPr>
              <w:pStyle w:val="151"/>
              <w:adjustRightInd w:val="0"/>
              <w:spacing w:line="360" w:lineRule="auto"/>
              <w:rPr>
                <w:rFonts w:hAnsi="宋体" w:cs="宋体"/>
                <w:bCs/>
                <w:color w:val="auto"/>
                <w:highlight w:val="none"/>
              </w:rPr>
            </w:pPr>
          </w:p>
        </w:tc>
      </w:tr>
    </w:tbl>
    <w:p>
      <w:pPr>
        <w:snapToGrid w:val="0"/>
        <w:spacing w:line="360" w:lineRule="auto"/>
        <w:ind w:firstLine="576"/>
        <w:jc w:val="center"/>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 xml:space="preserve">                 </w:t>
      </w:r>
    </w:p>
    <w:p>
      <w:pPr>
        <w:snapToGrid w:val="0"/>
        <w:spacing w:line="360" w:lineRule="auto"/>
        <w:ind w:firstLine="576"/>
        <w:jc w:val="center"/>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 xml:space="preserve">                  投标人名称(电子签</w:t>
      </w:r>
      <w:r>
        <w:rPr>
          <w:rFonts w:hint="eastAsia" w:ascii="宋体" w:hAnsi="宋体" w:cs="宋体"/>
          <w:color w:val="auto"/>
          <w:kern w:val="0"/>
          <w:szCs w:val="21"/>
          <w:highlight w:val="none"/>
        </w:rPr>
        <w:t>章</w:t>
      </w:r>
      <w:r>
        <w:rPr>
          <w:rFonts w:hint="eastAsia" w:ascii="宋体" w:hAnsi="宋体" w:cs="宋体"/>
          <w:color w:val="auto"/>
          <w:kern w:val="0"/>
          <w:szCs w:val="21"/>
          <w:highlight w:val="none"/>
          <w:lang w:val="zh-CN"/>
        </w:rPr>
        <w:t xml:space="preserve">)：                              </w:t>
      </w:r>
    </w:p>
    <w:p>
      <w:pPr>
        <w:spacing w:line="360" w:lineRule="auto"/>
        <w:jc w:val="center"/>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 xml:space="preserve">                   日期：  年  月  日</w:t>
      </w:r>
    </w:p>
    <w:p>
      <w:pPr>
        <w:jc w:val="center"/>
        <w:rPr>
          <w:rFonts w:ascii="宋体" w:hAnsi="宋体" w:cs="宋体"/>
          <w:b/>
          <w:color w:val="auto"/>
          <w:kern w:val="0"/>
          <w:szCs w:val="21"/>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snapToGrid w:val="0"/>
        <w:spacing w:line="360" w:lineRule="auto"/>
        <w:ind w:right="480"/>
        <w:rPr>
          <w:rFonts w:ascii="宋体" w:hAnsi="宋体" w:cs="宋体"/>
          <w:b/>
          <w:color w:val="auto"/>
          <w:kern w:val="0"/>
          <w:sz w:val="32"/>
          <w:szCs w:val="32"/>
          <w:highlight w:val="none"/>
        </w:rPr>
        <w:sectPr>
          <w:headerReference r:id="rId9" w:type="default"/>
          <w:footerReference r:id="rId10" w:type="default"/>
          <w:pgSz w:w="11905" w:h="16838"/>
          <w:pgMar w:top="1440" w:right="1803" w:bottom="1440" w:left="1803" w:header="851" w:footer="992" w:gutter="0"/>
          <w:cols w:space="0" w:num="1"/>
          <w:docGrid w:type="lines" w:linePitch="325" w:charSpace="0"/>
        </w:sectPr>
      </w:pPr>
    </w:p>
    <w:p>
      <w:pPr>
        <w:snapToGrid w:val="0"/>
        <w:spacing w:line="360" w:lineRule="auto"/>
        <w:jc w:val="center"/>
        <w:outlineLvl w:val="1"/>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三、分包意向协议（本项目不适用）</w:t>
      </w:r>
    </w:p>
    <w:p>
      <w:pPr>
        <w:widowControl/>
        <w:spacing w:line="360" w:lineRule="auto"/>
        <w:ind w:firstLine="105" w:firstLineChars="50"/>
        <w:jc w:val="left"/>
        <w:rPr>
          <w:rFonts w:ascii="宋体" w:hAnsi="宋体" w:cs="宋体"/>
          <w:color w:val="auto"/>
          <w:szCs w:val="21"/>
          <w:highlight w:val="none"/>
        </w:rPr>
      </w:pPr>
      <w:bookmarkStart w:id="630" w:name="_Hlk101169080"/>
      <w:r>
        <w:rPr>
          <w:rFonts w:hint="eastAsia" w:ascii="宋体" w:hAnsi="宋体" w:cs="宋体"/>
          <w:color w:val="auto"/>
          <w:szCs w:val="21"/>
          <w:highlight w:val="none"/>
        </w:rPr>
        <w:t>[</w:t>
      </w:r>
      <w:r>
        <w:rPr>
          <w:rFonts w:hint="eastAsia" w:ascii="宋体" w:hAnsi="宋体" w:cs="宋体"/>
          <w:b/>
          <w:color w:val="auto"/>
          <w:szCs w:val="21"/>
          <w:highlight w:val="none"/>
        </w:rPr>
        <w:t>中标后以分包方式履行合同的，提供分包意向协议(附件4</w:t>
      </w:r>
      <w:r>
        <w:rPr>
          <w:rFonts w:ascii="宋体" w:hAnsi="宋体" w:cs="宋体"/>
          <w:b/>
          <w:color w:val="auto"/>
          <w:szCs w:val="21"/>
          <w:highlight w:val="none"/>
        </w:rPr>
        <w:t>)</w:t>
      </w:r>
      <w:r>
        <w:rPr>
          <w:rFonts w:hint="eastAsia" w:ascii="宋体" w:hAnsi="宋体" w:cs="宋体"/>
          <w:b/>
          <w:color w:val="auto"/>
          <w:szCs w:val="21"/>
          <w:highlight w:val="none"/>
        </w:rPr>
        <w:t>；采购人不同意分包或者投标人中标后不以分包方式履行合同的，则不需要提供。</w:t>
      </w:r>
      <w:r>
        <w:rPr>
          <w:rFonts w:hint="eastAsia" w:ascii="宋体" w:hAnsi="宋体" w:cs="宋体"/>
          <w:color w:val="auto"/>
          <w:szCs w:val="21"/>
          <w:highlight w:val="none"/>
        </w:rPr>
        <w:t>]</w:t>
      </w:r>
    </w:p>
    <w:bookmarkEnd w:id="630"/>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snapToGrid w:val="0"/>
        <w:spacing w:line="360" w:lineRule="auto"/>
        <w:rPr>
          <w:rFonts w:ascii="宋体" w:hAnsi="宋体" w:cs="宋体"/>
          <w:color w:val="auto"/>
          <w:kern w:val="0"/>
          <w:sz w:val="24"/>
          <w:highlight w:val="none"/>
        </w:rPr>
      </w:pPr>
    </w:p>
    <w:p>
      <w:pPr>
        <w:jc w:val="center"/>
        <w:rPr>
          <w:rFonts w:ascii="宋体" w:hAnsi="宋体" w:cs="宋体"/>
          <w:b/>
          <w:color w:val="auto"/>
          <w:kern w:val="0"/>
          <w:sz w:val="32"/>
          <w:szCs w:val="32"/>
          <w:highlight w:val="none"/>
        </w:rPr>
      </w:pPr>
    </w:p>
    <w:p>
      <w:pPr>
        <w:pStyle w:val="4"/>
        <w:rPr>
          <w:color w:val="auto"/>
          <w:highlight w:val="none"/>
          <w:lang w:val="en-US"/>
        </w:rPr>
      </w:pPr>
    </w:p>
    <w:p>
      <w:pPr>
        <w:rPr>
          <w:color w:val="auto"/>
          <w:highlight w:val="none"/>
        </w:rPr>
      </w:pPr>
    </w:p>
    <w:p>
      <w:pPr>
        <w:pStyle w:val="16"/>
        <w:rPr>
          <w:color w:val="auto"/>
          <w:highlight w:val="none"/>
        </w:rPr>
      </w:pPr>
    </w:p>
    <w:p>
      <w:pPr>
        <w:rPr>
          <w:color w:val="auto"/>
          <w:highlight w:val="none"/>
        </w:rPr>
      </w:pPr>
    </w:p>
    <w:p>
      <w:pPr>
        <w:pStyle w:val="16"/>
        <w:rPr>
          <w:color w:val="auto"/>
          <w:highlight w:val="none"/>
        </w:rPr>
      </w:pPr>
    </w:p>
    <w:p>
      <w:pPr>
        <w:rPr>
          <w:color w:val="auto"/>
          <w:highlight w:val="none"/>
        </w:rPr>
      </w:pPr>
    </w:p>
    <w:p>
      <w:pPr>
        <w:pStyle w:val="16"/>
        <w:rPr>
          <w:color w:val="auto"/>
          <w:highlight w:val="none"/>
        </w:rPr>
      </w:pPr>
    </w:p>
    <w:p>
      <w:pPr>
        <w:rPr>
          <w:color w:val="auto"/>
          <w:highlight w:val="none"/>
        </w:rPr>
      </w:pPr>
    </w:p>
    <w:p>
      <w:pPr>
        <w:pStyle w:val="16"/>
        <w:rPr>
          <w:color w:val="auto"/>
          <w:highlight w:val="none"/>
        </w:rPr>
      </w:pPr>
    </w:p>
    <w:p>
      <w:pPr>
        <w:rPr>
          <w:color w:val="auto"/>
          <w:highlight w:val="none"/>
        </w:rPr>
      </w:pPr>
    </w:p>
    <w:p>
      <w:pPr>
        <w:pStyle w:val="16"/>
        <w:rPr>
          <w:color w:val="auto"/>
          <w:highlight w:val="none"/>
        </w:rPr>
      </w:pPr>
    </w:p>
    <w:p>
      <w:pPr>
        <w:rPr>
          <w:color w:val="auto"/>
          <w:highlight w:val="none"/>
        </w:rPr>
      </w:pPr>
    </w:p>
    <w:p>
      <w:pPr>
        <w:pStyle w:val="16"/>
        <w:rPr>
          <w:color w:val="auto"/>
          <w:highlight w:val="none"/>
        </w:rPr>
      </w:pPr>
    </w:p>
    <w:p>
      <w:pPr>
        <w:rPr>
          <w:color w:val="auto"/>
          <w:highlight w:val="none"/>
        </w:rPr>
      </w:pPr>
    </w:p>
    <w:p>
      <w:pPr>
        <w:pStyle w:val="16"/>
        <w:rPr>
          <w:color w:val="auto"/>
          <w:highlight w:val="none"/>
        </w:rPr>
      </w:pPr>
    </w:p>
    <w:p>
      <w:pPr>
        <w:rPr>
          <w:color w:val="auto"/>
          <w:highlight w:val="none"/>
        </w:rPr>
      </w:pPr>
    </w:p>
    <w:p>
      <w:pPr>
        <w:pStyle w:val="16"/>
        <w:rPr>
          <w:color w:val="auto"/>
          <w:highlight w:val="none"/>
        </w:rPr>
      </w:pPr>
    </w:p>
    <w:p>
      <w:pPr>
        <w:rPr>
          <w:color w:val="auto"/>
          <w:highlight w:val="none"/>
        </w:rPr>
      </w:pPr>
    </w:p>
    <w:p>
      <w:pPr>
        <w:pStyle w:val="16"/>
        <w:rPr>
          <w:color w:val="auto"/>
          <w:highlight w:val="none"/>
        </w:rPr>
      </w:pPr>
    </w:p>
    <w:p>
      <w:pPr>
        <w:rPr>
          <w:color w:val="auto"/>
          <w:highlight w:val="none"/>
        </w:rPr>
      </w:pPr>
    </w:p>
    <w:p>
      <w:pPr>
        <w:pStyle w:val="16"/>
        <w:rPr>
          <w:color w:val="auto"/>
          <w:highlight w:val="none"/>
        </w:rPr>
      </w:pPr>
    </w:p>
    <w:p>
      <w:pPr>
        <w:rPr>
          <w:color w:val="auto"/>
          <w:highlight w:val="none"/>
        </w:rPr>
      </w:pPr>
    </w:p>
    <w:p>
      <w:pPr>
        <w:pStyle w:val="16"/>
        <w:rPr>
          <w:color w:val="auto"/>
          <w:highlight w:val="none"/>
        </w:rPr>
      </w:pPr>
    </w:p>
    <w:p>
      <w:pPr>
        <w:rPr>
          <w:color w:val="auto"/>
          <w:highlight w:val="none"/>
        </w:rPr>
      </w:pPr>
    </w:p>
    <w:p>
      <w:pPr>
        <w:jc w:val="center"/>
        <w:rPr>
          <w:rFonts w:ascii="宋体" w:hAnsi="宋体" w:cs="宋体"/>
          <w:b/>
          <w:color w:val="auto"/>
          <w:kern w:val="0"/>
          <w:sz w:val="32"/>
          <w:szCs w:val="32"/>
          <w:highlight w:val="none"/>
        </w:rPr>
      </w:pPr>
    </w:p>
    <w:p>
      <w:pPr>
        <w:jc w:val="center"/>
        <w:outlineLvl w:val="1"/>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四、符合性审查资料</w:t>
      </w:r>
    </w:p>
    <w:p>
      <w:pPr>
        <w:jc w:val="center"/>
        <w:rPr>
          <w:rFonts w:ascii="宋体" w:hAnsi="宋体" w:cs="宋体"/>
          <w:b/>
          <w:color w:val="auto"/>
          <w:kern w:val="0"/>
          <w:sz w:val="32"/>
          <w:szCs w:val="32"/>
          <w:highlight w:val="none"/>
        </w:rPr>
      </w:pPr>
    </w:p>
    <w:tbl>
      <w:tblPr>
        <w:tblStyle w:val="65"/>
        <w:tblW w:w="9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3400"/>
        <w:gridCol w:w="3585"/>
        <w:gridCol w:w="1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646" w:type="dxa"/>
            <w:vAlign w:val="center"/>
          </w:tcPr>
          <w:p>
            <w:pPr>
              <w:snapToGrid w:val="0"/>
              <w:spacing w:line="240" w:lineRule="atLeast"/>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3400" w:type="dxa"/>
            <w:vAlign w:val="center"/>
          </w:tcPr>
          <w:p>
            <w:pPr>
              <w:snapToGrid w:val="0"/>
              <w:spacing w:line="240" w:lineRule="atLeast"/>
              <w:jc w:val="center"/>
              <w:rPr>
                <w:rFonts w:ascii="宋体" w:hAnsi="宋体" w:cs="宋体"/>
                <w:b/>
                <w:color w:val="auto"/>
                <w:szCs w:val="21"/>
                <w:highlight w:val="none"/>
              </w:rPr>
            </w:pPr>
            <w:r>
              <w:rPr>
                <w:rFonts w:hint="eastAsia" w:ascii="宋体" w:hAnsi="宋体" w:cs="宋体"/>
                <w:b/>
                <w:color w:val="auto"/>
                <w:szCs w:val="21"/>
                <w:highlight w:val="none"/>
              </w:rPr>
              <w:t>实质性要求</w:t>
            </w:r>
          </w:p>
        </w:tc>
        <w:tc>
          <w:tcPr>
            <w:tcW w:w="3585" w:type="dxa"/>
            <w:vAlign w:val="center"/>
          </w:tcPr>
          <w:p>
            <w:pPr>
              <w:snapToGrid w:val="0"/>
              <w:spacing w:line="240" w:lineRule="atLeast"/>
              <w:jc w:val="center"/>
              <w:rPr>
                <w:rFonts w:ascii="宋体" w:hAnsi="宋体" w:cs="宋体"/>
                <w:b/>
                <w:color w:val="auto"/>
                <w:szCs w:val="21"/>
                <w:highlight w:val="none"/>
              </w:rPr>
            </w:pPr>
            <w:r>
              <w:rPr>
                <w:rFonts w:hint="eastAsia" w:ascii="宋体" w:hAnsi="宋体" w:cs="宋体"/>
                <w:b/>
                <w:color w:val="auto"/>
                <w:szCs w:val="21"/>
                <w:highlight w:val="none"/>
              </w:rPr>
              <w:t>需要提供的符合性审查资料</w:t>
            </w:r>
          </w:p>
        </w:tc>
        <w:tc>
          <w:tcPr>
            <w:tcW w:w="1975" w:type="dxa"/>
            <w:vAlign w:val="center"/>
          </w:tcPr>
          <w:p>
            <w:pPr>
              <w:snapToGrid w:val="0"/>
              <w:spacing w:line="240" w:lineRule="atLeast"/>
              <w:jc w:val="center"/>
              <w:rPr>
                <w:rFonts w:ascii="宋体" w:hAnsi="宋体" w:cs="宋体"/>
                <w:b/>
                <w:color w:val="auto"/>
                <w:szCs w:val="21"/>
                <w:highlight w:val="none"/>
              </w:rPr>
            </w:pPr>
            <w:r>
              <w:rPr>
                <w:rFonts w:hint="eastAsia" w:ascii="宋体" w:hAnsi="宋体" w:cs="宋体"/>
                <w:b/>
                <w:color w:val="auto"/>
                <w:szCs w:val="21"/>
                <w:highlight w:val="none"/>
              </w:rPr>
              <w:t>投标文件中的</w:t>
            </w:r>
          </w:p>
          <w:p>
            <w:pPr>
              <w:snapToGrid w:val="0"/>
              <w:spacing w:line="240" w:lineRule="atLeast"/>
              <w:jc w:val="center"/>
              <w:rPr>
                <w:rFonts w:ascii="宋体" w:hAnsi="宋体" w:cs="宋体"/>
                <w:b/>
                <w:color w:val="auto"/>
                <w:szCs w:val="21"/>
                <w:highlight w:val="none"/>
              </w:rPr>
            </w:pPr>
            <w:r>
              <w:rPr>
                <w:rFonts w:hint="eastAsia" w:ascii="宋体" w:hAnsi="宋体" w:cs="宋体"/>
                <w:b/>
                <w:color w:val="auto"/>
                <w:szCs w:val="21"/>
                <w:highlight w:val="none"/>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jc w:val="center"/>
        </w:trPr>
        <w:tc>
          <w:tcPr>
            <w:tcW w:w="646"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w:t>
            </w:r>
          </w:p>
        </w:tc>
        <w:tc>
          <w:tcPr>
            <w:tcW w:w="3400" w:type="dxa"/>
            <w:vAlign w:val="center"/>
          </w:tcPr>
          <w:p>
            <w:pPr>
              <w:spacing w:line="360" w:lineRule="auto"/>
              <w:rPr>
                <w:rFonts w:ascii="宋体" w:hAnsi="宋体" w:cs="宋体"/>
                <w:color w:val="auto"/>
                <w:szCs w:val="21"/>
                <w:highlight w:val="none"/>
              </w:rPr>
            </w:pPr>
            <w:r>
              <w:rPr>
                <w:rFonts w:hint="eastAsia" w:ascii="宋体" w:hAnsi="宋体" w:cs="宋体"/>
                <w:color w:val="auto"/>
                <w:szCs w:val="21"/>
                <w:highlight w:val="none"/>
              </w:rPr>
              <w:t>投标文件按照招标文件要求签署、盖章。</w:t>
            </w:r>
          </w:p>
        </w:tc>
        <w:tc>
          <w:tcPr>
            <w:tcW w:w="3585" w:type="dxa"/>
            <w:vAlign w:val="center"/>
          </w:tcPr>
          <w:p>
            <w:pPr>
              <w:rPr>
                <w:rFonts w:ascii="宋体" w:hAnsi="宋体" w:cs="宋体"/>
                <w:color w:val="auto"/>
                <w:szCs w:val="21"/>
                <w:highlight w:val="none"/>
              </w:rPr>
            </w:pPr>
            <w:r>
              <w:rPr>
                <w:rFonts w:hint="eastAsia" w:ascii="宋体" w:hAnsi="宋体" w:cs="宋体"/>
                <w:color w:val="auto"/>
                <w:szCs w:val="21"/>
                <w:highlight w:val="none"/>
              </w:rPr>
              <w:t>需要使用电子签名或者签字盖章的投标文件的组成部分</w:t>
            </w:r>
          </w:p>
        </w:tc>
        <w:tc>
          <w:tcPr>
            <w:tcW w:w="1975" w:type="dxa"/>
            <w:vAlign w:val="center"/>
          </w:tcPr>
          <w:p>
            <w:pPr>
              <w:rPr>
                <w:rFonts w:ascii="宋体" w:hAnsi="宋体" w:cs="宋体"/>
                <w:color w:val="auto"/>
                <w:szCs w:val="21"/>
                <w:highlight w:val="none"/>
              </w:rPr>
            </w:pPr>
            <w:r>
              <w:rPr>
                <w:rFonts w:hint="eastAsia" w:hAnsi="宋体"/>
                <w:color w:val="auto"/>
                <w:szCs w:val="21"/>
                <w:highlight w:val="none"/>
              </w:rPr>
              <w:t>见投标文件需要签字盖章的各页。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646"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2</w:t>
            </w:r>
          </w:p>
        </w:tc>
        <w:tc>
          <w:tcPr>
            <w:tcW w:w="3400" w:type="dxa"/>
            <w:vAlign w:val="center"/>
          </w:tcPr>
          <w:p>
            <w:pPr>
              <w:spacing w:line="360" w:lineRule="auto"/>
              <w:rPr>
                <w:rFonts w:ascii="宋体" w:hAnsi="宋体" w:cs="宋体"/>
                <w:color w:val="auto"/>
                <w:szCs w:val="21"/>
                <w:highlight w:val="none"/>
              </w:rPr>
            </w:pPr>
            <w:r>
              <w:rPr>
                <w:rFonts w:hint="eastAsia" w:ascii="宋体" w:hAnsi="宋体" w:cs="宋体"/>
                <w:color w:val="auto"/>
                <w:szCs w:val="21"/>
                <w:highlight w:val="none"/>
              </w:rPr>
              <w:t>投标文件中承诺的投标有效期不少于招标文件中载明的投标有效期。</w:t>
            </w:r>
          </w:p>
        </w:tc>
        <w:tc>
          <w:tcPr>
            <w:tcW w:w="3585" w:type="dxa"/>
            <w:vAlign w:val="center"/>
          </w:tcPr>
          <w:p>
            <w:pPr>
              <w:rPr>
                <w:rFonts w:ascii="宋体" w:hAnsi="宋体" w:cs="宋体"/>
                <w:color w:val="auto"/>
                <w:szCs w:val="21"/>
                <w:highlight w:val="none"/>
              </w:rPr>
            </w:pPr>
            <w:r>
              <w:rPr>
                <w:rFonts w:hint="eastAsia" w:ascii="宋体" w:hAnsi="宋体" w:cs="宋体"/>
                <w:color w:val="auto"/>
                <w:szCs w:val="21"/>
                <w:highlight w:val="none"/>
              </w:rPr>
              <w:t>投标函</w:t>
            </w:r>
          </w:p>
        </w:tc>
        <w:tc>
          <w:tcPr>
            <w:tcW w:w="1975" w:type="dxa"/>
            <w:vAlign w:val="center"/>
          </w:tcPr>
          <w:p>
            <w:pPr>
              <w:rPr>
                <w:rFonts w:ascii="宋体" w:hAnsi="宋体" w:cs="宋体"/>
                <w:color w:val="auto"/>
                <w:szCs w:val="21"/>
                <w:highlight w:val="none"/>
              </w:rPr>
            </w:pPr>
            <w:r>
              <w:rPr>
                <w:rFonts w:hint="eastAsia" w:ascii="宋体" w:hAnsi="宋体" w:cs="宋体"/>
                <w:color w:val="auto"/>
                <w:szCs w:val="21"/>
                <w:highlight w:val="none"/>
              </w:rPr>
              <w:t>见投标文件第</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646"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3</w:t>
            </w:r>
          </w:p>
        </w:tc>
        <w:tc>
          <w:tcPr>
            <w:tcW w:w="3400" w:type="dxa"/>
            <w:vAlign w:val="center"/>
          </w:tcPr>
          <w:p>
            <w:pPr>
              <w:spacing w:line="360" w:lineRule="auto"/>
              <w:rPr>
                <w:rFonts w:ascii="宋体" w:hAnsi="宋体" w:cs="宋体"/>
                <w:color w:val="auto"/>
                <w:szCs w:val="21"/>
                <w:highlight w:val="none"/>
              </w:rPr>
            </w:pPr>
            <w:r>
              <w:rPr>
                <w:rFonts w:hint="eastAsia" w:ascii="宋体" w:hAnsi="宋体" w:cs="宋体"/>
                <w:color w:val="auto"/>
                <w:szCs w:val="21"/>
                <w:highlight w:val="none"/>
              </w:rPr>
              <w:t>投标文件满足招标文件的其它实质性要求。</w:t>
            </w:r>
          </w:p>
        </w:tc>
        <w:tc>
          <w:tcPr>
            <w:tcW w:w="3585" w:type="dxa"/>
            <w:vAlign w:val="center"/>
          </w:tcPr>
          <w:p>
            <w:pPr>
              <w:rPr>
                <w:rFonts w:ascii="宋体" w:hAnsi="宋体" w:cs="宋体"/>
                <w:color w:val="auto"/>
                <w:szCs w:val="21"/>
                <w:highlight w:val="none"/>
              </w:rPr>
            </w:pPr>
            <w:r>
              <w:rPr>
                <w:rFonts w:hint="eastAsia" w:ascii="宋体" w:hAnsi="宋体" w:cs="宋体"/>
                <w:color w:val="auto"/>
                <w:kern w:val="0"/>
                <w:szCs w:val="21"/>
                <w:highlight w:val="none"/>
              </w:rPr>
              <w:t>招标文件其它实质性要求相应的材料（“▲” 系指实质性要求条款，招标文件无其它实质性要求的，无需提供）</w:t>
            </w:r>
          </w:p>
        </w:tc>
        <w:tc>
          <w:tcPr>
            <w:tcW w:w="1975" w:type="dxa"/>
            <w:vAlign w:val="center"/>
          </w:tcPr>
          <w:p>
            <w:pPr>
              <w:rPr>
                <w:rFonts w:ascii="宋体" w:hAnsi="宋体" w:cs="宋体"/>
                <w:color w:val="auto"/>
                <w:szCs w:val="21"/>
                <w:highlight w:val="none"/>
              </w:rPr>
            </w:pPr>
            <w:r>
              <w:rPr>
                <w:rFonts w:hint="eastAsia" w:ascii="宋体" w:hAnsi="宋体" w:cs="宋体"/>
                <w:color w:val="auto"/>
                <w:szCs w:val="21"/>
                <w:highlight w:val="none"/>
              </w:rPr>
              <w:t>见投标文件第</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页</w:t>
            </w:r>
          </w:p>
        </w:tc>
      </w:tr>
    </w:tbl>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jc w:val="center"/>
        <w:rPr>
          <w:rFonts w:ascii="宋体" w:hAnsi="宋体" w:cs="宋体"/>
          <w:b/>
          <w:color w:val="auto"/>
          <w:kern w:val="0"/>
          <w:sz w:val="32"/>
          <w:szCs w:val="32"/>
          <w:highlight w:val="none"/>
        </w:rPr>
      </w:pPr>
    </w:p>
    <w:p>
      <w:pP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pPr>
        <w:ind w:firstLine="1911" w:firstLineChars="595"/>
        <w:outlineLvl w:val="1"/>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五、</w:t>
      </w:r>
      <w:r>
        <w:rPr>
          <w:rFonts w:hint="eastAsia" w:ascii="宋体" w:hAnsi="宋体" w:cs="宋体"/>
          <w:b/>
          <w:color w:val="auto"/>
          <w:kern w:val="0"/>
          <w:sz w:val="32"/>
          <w:szCs w:val="32"/>
          <w:highlight w:val="none"/>
          <w:lang w:val="zh-CN"/>
        </w:rPr>
        <w:t>政府采购供应商廉洁自律承诺书</w:t>
      </w:r>
    </w:p>
    <w:p>
      <w:pPr>
        <w:snapToGrid w:val="0"/>
        <w:spacing w:line="360" w:lineRule="auto"/>
        <w:rPr>
          <w:rFonts w:ascii="宋体" w:hAnsi="宋体" w:cs="宋体"/>
          <w:color w:val="auto"/>
          <w:sz w:val="24"/>
          <w:highlight w:val="none"/>
        </w:rPr>
      </w:pPr>
    </w:p>
    <w:p>
      <w:pPr>
        <w:snapToGrid w:val="0"/>
        <w:spacing w:line="360" w:lineRule="auto"/>
        <w:rPr>
          <w:rFonts w:ascii="宋体" w:hAnsi="宋体" w:cs="宋体"/>
          <w:color w:val="auto"/>
          <w:kern w:val="0"/>
          <w:szCs w:val="21"/>
          <w:highlight w:val="none"/>
        </w:rPr>
      </w:pPr>
      <w:r>
        <w:rPr>
          <w:rFonts w:hint="eastAsia" w:ascii="宋体" w:hAnsi="宋体" w:cs="宋体"/>
          <w:color w:val="auto"/>
          <w:szCs w:val="21"/>
          <w:highlight w:val="none"/>
          <w:u w:val="single"/>
        </w:rPr>
        <w:t>（采购人）、（采购代理机构）</w:t>
      </w:r>
      <w:r>
        <w:rPr>
          <w:rFonts w:hint="eastAsia" w:ascii="宋体" w:hAnsi="宋体" w:cs="宋体"/>
          <w:color w:val="auto"/>
          <w:kern w:val="0"/>
          <w:szCs w:val="21"/>
          <w:highlight w:val="none"/>
          <w:lang w:val="zh-CN"/>
        </w:rPr>
        <w:t>：</w:t>
      </w:r>
    </w:p>
    <w:p>
      <w:pPr>
        <w:autoSpaceDE w:val="0"/>
        <w:autoSpaceDN w:val="0"/>
        <w:spacing w:line="360" w:lineRule="auto"/>
        <w:ind w:left="2" w:leftChars="1" w:firstLine="420" w:firstLineChars="20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我单位响应你</w:t>
      </w:r>
      <w:r>
        <w:rPr>
          <w:rFonts w:hint="eastAsia" w:ascii="宋体" w:hAnsi="宋体" w:cs="宋体"/>
          <w:color w:val="auto"/>
          <w:szCs w:val="21"/>
          <w:highlight w:val="none"/>
        </w:rPr>
        <w:t>单位</w:t>
      </w:r>
      <w:r>
        <w:rPr>
          <w:rFonts w:hint="eastAsia" w:ascii="宋体" w:hAnsi="宋体" w:cs="宋体"/>
          <w:color w:val="auto"/>
          <w:kern w:val="0"/>
          <w:szCs w:val="21"/>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20" w:firstLineChars="20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20" w:firstLineChars="20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 xml:space="preserve">二、不为项目有关人员及部门报销应由你方单位或个人支付的费用； </w:t>
      </w:r>
    </w:p>
    <w:p>
      <w:pPr>
        <w:autoSpaceDE w:val="0"/>
        <w:autoSpaceDN w:val="0"/>
        <w:spacing w:line="360" w:lineRule="auto"/>
        <w:ind w:left="2" w:leftChars="1" w:firstLine="420" w:firstLineChars="20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 xml:space="preserve">三、不向项目有关人员及部门提供有可能影响公正的宴请和健身娱乐等活动； </w:t>
      </w:r>
    </w:p>
    <w:p>
      <w:pPr>
        <w:autoSpaceDE w:val="0"/>
        <w:autoSpaceDN w:val="0"/>
        <w:spacing w:line="360" w:lineRule="auto"/>
        <w:ind w:left="2" w:leftChars="1" w:firstLine="420" w:firstLineChars="20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四、不为项目有关人员及部门出国（境）、旅游等提供方便；</w:t>
      </w:r>
    </w:p>
    <w:p>
      <w:pPr>
        <w:autoSpaceDE w:val="0"/>
        <w:autoSpaceDN w:val="0"/>
        <w:spacing w:line="360" w:lineRule="auto"/>
        <w:ind w:left="481" w:leftChars="229"/>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五、不为项目有关人员个人装修住房、婚丧嫁娶、配偶子女工作安排等提供</w:t>
      </w:r>
    </w:p>
    <w:p>
      <w:pPr>
        <w:autoSpaceDE w:val="0"/>
        <w:autoSpaceDN w:val="0"/>
        <w:spacing w:line="360" w:lineRule="auto"/>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好处；</w:t>
      </w:r>
    </w:p>
    <w:p>
      <w:pPr>
        <w:autoSpaceDE w:val="0"/>
        <w:autoSpaceDN w:val="0"/>
        <w:spacing w:line="360" w:lineRule="auto"/>
        <w:ind w:left="481" w:leftChars="229"/>
        <w:jc w:val="left"/>
        <w:rPr>
          <w:rFonts w:ascii="宋体" w:hAnsi="宋体" w:cs="宋体"/>
          <w:color w:val="auto"/>
          <w:kern w:val="0"/>
          <w:szCs w:val="21"/>
          <w:highlight w:val="none"/>
        </w:rPr>
      </w:pPr>
      <w:r>
        <w:rPr>
          <w:rFonts w:hint="eastAsia" w:ascii="宋体" w:hAnsi="宋体" w:cs="宋体"/>
          <w:color w:val="auto"/>
          <w:kern w:val="0"/>
          <w:szCs w:val="21"/>
          <w:highlight w:val="none"/>
          <w:lang w:val="zh-CN"/>
        </w:rPr>
        <w:t>六、严格遵守《</w:t>
      </w:r>
      <w:r>
        <w:rPr>
          <w:rFonts w:hint="eastAsia" w:ascii="宋体" w:hAnsi="宋体" w:cs="宋体"/>
          <w:color w:val="auto"/>
          <w:szCs w:val="21"/>
          <w:highlight w:val="none"/>
          <w:lang w:val="zh-CN"/>
        </w:rPr>
        <w:t>中华人民共和国</w:t>
      </w:r>
      <w:r>
        <w:rPr>
          <w:rFonts w:hint="eastAsia" w:ascii="宋体" w:hAnsi="宋体" w:cs="宋体"/>
          <w:color w:val="auto"/>
          <w:kern w:val="0"/>
          <w:szCs w:val="21"/>
          <w:highlight w:val="none"/>
          <w:lang w:val="zh-CN"/>
        </w:rPr>
        <w:t>政府采购法》、《</w:t>
      </w:r>
      <w:r>
        <w:rPr>
          <w:rFonts w:hint="eastAsia" w:ascii="宋体" w:hAnsi="宋体" w:cs="宋体"/>
          <w:color w:val="auto"/>
          <w:szCs w:val="21"/>
          <w:highlight w:val="none"/>
          <w:lang w:val="zh-CN"/>
        </w:rPr>
        <w:t>中华人民共和国</w:t>
      </w:r>
      <w:r>
        <w:rPr>
          <w:rFonts w:hint="eastAsia" w:ascii="宋体" w:hAnsi="宋体" w:cs="宋体"/>
          <w:color w:val="auto"/>
          <w:kern w:val="0"/>
          <w:szCs w:val="21"/>
          <w:highlight w:val="none"/>
          <w:lang w:val="zh-CN"/>
        </w:rPr>
        <w:t>招标投标</w:t>
      </w:r>
      <w:r>
        <w:rPr>
          <w:rFonts w:hint="eastAsia" w:ascii="宋体" w:hAnsi="宋体" w:cs="宋体"/>
          <w:color w:val="auto"/>
          <w:kern w:val="0"/>
          <w:szCs w:val="21"/>
          <w:highlight w:val="none"/>
        </w:rPr>
        <w:t>法》、</w:t>
      </w:r>
    </w:p>
    <w:p>
      <w:pPr>
        <w:autoSpaceDE w:val="0"/>
        <w:autoSpaceDN w:val="0"/>
        <w:spacing w:line="360" w:lineRule="auto"/>
        <w:ind w:firstLine="420" w:firstLineChars="200"/>
        <w:jc w:val="left"/>
        <w:rPr>
          <w:rFonts w:ascii="宋体" w:hAnsi="宋体" w:cs="宋体"/>
          <w:color w:val="auto"/>
          <w:kern w:val="0"/>
          <w:szCs w:val="21"/>
          <w:highlight w:val="none"/>
          <w:lang w:val="zh-CN"/>
        </w:rPr>
      </w:pPr>
      <w:r>
        <w:rPr>
          <w:rFonts w:hint="eastAsia" w:ascii="宋体" w:hAnsi="宋体" w:cs="宋体"/>
          <w:color w:val="auto"/>
          <w:szCs w:val="21"/>
          <w:highlight w:val="none"/>
          <w:lang w:val="zh-CN"/>
        </w:rPr>
        <w:t>《中华人民共和国民法典》</w:t>
      </w:r>
      <w:r>
        <w:rPr>
          <w:rFonts w:hint="eastAsia" w:ascii="宋体" w:hAnsi="宋体" w:cs="宋体"/>
          <w:color w:val="auto"/>
          <w:kern w:val="0"/>
          <w:szCs w:val="21"/>
          <w:highlight w:val="none"/>
          <w:lang w:val="zh-CN"/>
        </w:rPr>
        <w:t xml:space="preserve">等法律法规，诚实守信，合法经营，坚决抵制各种违法违纪行为。 </w:t>
      </w:r>
    </w:p>
    <w:p>
      <w:pPr>
        <w:autoSpaceDE w:val="0"/>
        <w:autoSpaceDN w:val="0"/>
        <w:spacing w:line="360" w:lineRule="auto"/>
        <w:ind w:firstLine="420" w:firstLineChars="20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如违反上述承诺，你</w:t>
      </w:r>
      <w:r>
        <w:rPr>
          <w:rFonts w:hint="eastAsia" w:ascii="宋体" w:hAnsi="宋体" w:cs="宋体"/>
          <w:color w:val="auto"/>
          <w:szCs w:val="21"/>
          <w:highlight w:val="none"/>
        </w:rPr>
        <w:t>单位</w:t>
      </w:r>
      <w:r>
        <w:rPr>
          <w:rFonts w:hint="eastAsia" w:ascii="宋体" w:hAnsi="宋体" w:cs="宋体"/>
          <w:color w:val="auto"/>
          <w:kern w:val="0"/>
          <w:szCs w:val="21"/>
          <w:highlight w:val="none"/>
          <w:lang w:val="zh-CN"/>
        </w:rPr>
        <w:t>有权立即取消我单位投标、中标或在建项目的建设资格，有权拒绝我单位在一定时期内进入你</w:t>
      </w:r>
      <w:r>
        <w:rPr>
          <w:rFonts w:hint="eastAsia" w:ascii="宋体" w:hAnsi="宋体" w:cs="宋体"/>
          <w:color w:val="auto"/>
          <w:szCs w:val="21"/>
          <w:highlight w:val="none"/>
        </w:rPr>
        <w:t>单位</w:t>
      </w:r>
      <w:r>
        <w:rPr>
          <w:rFonts w:hint="eastAsia" w:ascii="宋体" w:hAnsi="宋体" w:cs="宋体"/>
          <w:color w:val="auto"/>
          <w:kern w:val="0"/>
          <w:szCs w:val="21"/>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宋体" w:hAnsi="宋体" w:cs="宋体"/>
          <w:color w:val="auto"/>
          <w:kern w:val="0"/>
          <w:szCs w:val="21"/>
          <w:highlight w:val="none"/>
          <w:lang w:val="zh-CN"/>
        </w:rPr>
      </w:pPr>
    </w:p>
    <w:p>
      <w:pPr>
        <w:autoSpaceDE w:val="0"/>
        <w:autoSpaceDN w:val="0"/>
        <w:spacing w:line="360" w:lineRule="auto"/>
        <w:ind w:left="2"/>
        <w:jc w:val="left"/>
        <w:rPr>
          <w:rFonts w:ascii="宋体" w:hAnsi="宋体" w:cs="宋体"/>
          <w:color w:val="auto"/>
          <w:kern w:val="0"/>
          <w:szCs w:val="21"/>
          <w:highlight w:val="none"/>
          <w:lang w:val="zh-CN"/>
        </w:rPr>
      </w:pPr>
    </w:p>
    <w:p>
      <w:pPr>
        <w:autoSpaceDE w:val="0"/>
        <w:autoSpaceDN w:val="0"/>
        <w:spacing w:line="360" w:lineRule="auto"/>
        <w:ind w:left="2"/>
        <w:jc w:val="left"/>
        <w:rPr>
          <w:rFonts w:ascii="宋体" w:hAnsi="宋体" w:cs="宋体"/>
          <w:color w:val="auto"/>
          <w:kern w:val="0"/>
          <w:szCs w:val="21"/>
          <w:highlight w:val="none"/>
          <w:lang w:val="zh-CN"/>
        </w:rPr>
      </w:pPr>
    </w:p>
    <w:p>
      <w:pPr>
        <w:autoSpaceDE w:val="0"/>
        <w:autoSpaceDN w:val="0"/>
        <w:spacing w:line="360" w:lineRule="auto"/>
        <w:ind w:left="2" w:leftChars="1" w:right="1120" w:firstLine="3990" w:firstLineChars="190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投标人名称(电子签</w:t>
      </w:r>
      <w:r>
        <w:rPr>
          <w:rFonts w:hint="eastAsia" w:ascii="宋体" w:hAnsi="宋体" w:cs="宋体"/>
          <w:color w:val="auto"/>
          <w:kern w:val="0"/>
          <w:szCs w:val="21"/>
          <w:highlight w:val="none"/>
        </w:rPr>
        <w:t>章</w:t>
      </w:r>
      <w:r>
        <w:rPr>
          <w:rFonts w:hint="eastAsia" w:ascii="宋体" w:hAnsi="宋体" w:cs="宋体"/>
          <w:color w:val="auto"/>
          <w:kern w:val="0"/>
          <w:szCs w:val="21"/>
          <w:highlight w:val="none"/>
          <w:lang w:val="zh-CN"/>
        </w:rPr>
        <w:t xml:space="preserve">)：                                                                                                                                                                                                               </w:t>
      </w:r>
    </w:p>
    <w:p>
      <w:pPr>
        <w:spacing w:line="360" w:lineRule="auto"/>
        <w:ind w:left="4620" w:leftChars="2200"/>
        <w:rPr>
          <w:rFonts w:ascii="宋体" w:hAnsi="宋体" w:cs="宋体"/>
          <w:color w:val="auto"/>
          <w:szCs w:val="21"/>
          <w:highlight w:val="none"/>
        </w:rPr>
      </w:pPr>
      <w:r>
        <w:rPr>
          <w:rFonts w:hint="eastAsia" w:ascii="宋体" w:hAnsi="宋体" w:cs="宋体"/>
          <w:color w:val="auto"/>
          <w:kern w:val="0"/>
          <w:szCs w:val="21"/>
          <w:highlight w:val="none"/>
          <w:lang w:val="zh-CN"/>
        </w:rPr>
        <w:t>日期</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val="zh-CN"/>
        </w:rPr>
        <w:t xml:space="preserve">   年   月   日</w:t>
      </w:r>
    </w:p>
    <w:p>
      <w:pPr>
        <w:spacing w:line="360" w:lineRule="auto"/>
        <w:jc w:val="center"/>
        <w:rPr>
          <w:rFonts w:ascii="宋体" w:hAnsi="宋体" w:cs="宋体"/>
          <w:b/>
          <w:bCs/>
          <w:color w:val="auto"/>
          <w:sz w:val="24"/>
          <w:highlight w:val="none"/>
        </w:rPr>
      </w:pPr>
    </w:p>
    <w:p>
      <w:pPr>
        <w:spacing w:line="360" w:lineRule="auto"/>
        <w:ind w:right="420"/>
        <w:rPr>
          <w:rFonts w:ascii="宋体" w:hAnsi="宋体" w:cs="宋体"/>
          <w:color w:val="auto"/>
          <w:szCs w:val="21"/>
          <w:highlight w:val="none"/>
        </w:rPr>
      </w:pPr>
      <w:r>
        <w:rPr>
          <w:rFonts w:hint="eastAsia" w:ascii="宋体" w:hAnsi="宋体" w:cs="宋体"/>
          <w:color w:val="auto"/>
          <w:szCs w:val="21"/>
          <w:highlight w:val="none"/>
        </w:rPr>
        <w:t>注：按本格式和要求提供。</w:t>
      </w:r>
    </w:p>
    <w:p>
      <w:pPr>
        <w:rPr>
          <w:rFonts w:ascii="宋体" w:hAnsi="宋体" w:cs="宋体"/>
          <w:b/>
          <w:bCs/>
          <w:color w:val="auto"/>
          <w:sz w:val="24"/>
          <w:highlight w:val="none"/>
        </w:rPr>
      </w:pPr>
      <w:r>
        <w:rPr>
          <w:rFonts w:ascii="宋体" w:hAnsi="宋体" w:cs="宋体"/>
          <w:b/>
          <w:bCs/>
          <w:color w:val="auto"/>
          <w:sz w:val="24"/>
          <w:highlight w:val="none"/>
        </w:rPr>
        <w:br w:type="page"/>
      </w:r>
    </w:p>
    <w:p>
      <w:pPr>
        <w:ind w:firstLine="2891" w:firstLineChars="900"/>
        <w:outlineLvl w:val="1"/>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六、采购要求偏离表</w:t>
      </w:r>
    </w:p>
    <w:tbl>
      <w:tblPr>
        <w:tblStyle w:val="66"/>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3376"/>
        <w:gridCol w:w="3250"/>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79" w:type="dxa"/>
          </w:tcPr>
          <w:p>
            <w:pPr>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3376" w:type="dxa"/>
          </w:tcPr>
          <w:p>
            <w:pPr>
              <w:jc w:val="center"/>
              <w:rPr>
                <w:rFonts w:ascii="宋体" w:hAnsi="宋体" w:cs="宋体"/>
                <w:b/>
                <w:bCs/>
                <w:color w:val="auto"/>
                <w:szCs w:val="21"/>
                <w:highlight w:val="none"/>
              </w:rPr>
            </w:pPr>
            <w:r>
              <w:rPr>
                <w:rFonts w:hint="eastAsia" w:ascii="宋体" w:hAnsi="宋体" w:cs="宋体"/>
                <w:b/>
                <w:bCs/>
                <w:color w:val="auto"/>
                <w:szCs w:val="21"/>
                <w:highlight w:val="none"/>
              </w:rPr>
              <w:t>招标文件章节及具体内容</w:t>
            </w:r>
          </w:p>
        </w:tc>
        <w:tc>
          <w:tcPr>
            <w:tcW w:w="3250" w:type="dxa"/>
          </w:tcPr>
          <w:p>
            <w:pPr>
              <w:jc w:val="center"/>
              <w:rPr>
                <w:rFonts w:ascii="宋体" w:hAnsi="宋体" w:cs="宋体"/>
                <w:b/>
                <w:bCs/>
                <w:color w:val="auto"/>
                <w:szCs w:val="21"/>
                <w:highlight w:val="none"/>
              </w:rPr>
            </w:pPr>
            <w:r>
              <w:rPr>
                <w:rFonts w:hint="eastAsia" w:ascii="宋体" w:hAnsi="宋体" w:cs="宋体"/>
                <w:b/>
                <w:bCs/>
                <w:color w:val="auto"/>
                <w:szCs w:val="21"/>
                <w:highlight w:val="none"/>
              </w:rPr>
              <w:t>投标文件章节及具体内容</w:t>
            </w:r>
          </w:p>
        </w:tc>
        <w:tc>
          <w:tcPr>
            <w:tcW w:w="1421" w:type="dxa"/>
          </w:tcPr>
          <w:p>
            <w:pPr>
              <w:jc w:val="center"/>
              <w:rPr>
                <w:rFonts w:ascii="宋体" w:hAnsi="宋体" w:cs="宋体"/>
                <w:b/>
                <w:bCs/>
                <w:color w:val="auto"/>
                <w:szCs w:val="21"/>
                <w:highlight w:val="none"/>
              </w:rPr>
            </w:pPr>
            <w:r>
              <w:rPr>
                <w:rFonts w:hint="eastAsia" w:ascii="宋体" w:hAnsi="宋体" w:cs="宋体"/>
                <w:b/>
                <w:bCs/>
                <w:color w:val="auto"/>
                <w:szCs w:val="21"/>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79" w:type="dxa"/>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3376" w:type="dxa"/>
          </w:tcPr>
          <w:p>
            <w:pPr>
              <w:jc w:val="center"/>
              <w:rPr>
                <w:rFonts w:ascii="宋体" w:hAnsi="宋体" w:cs="宋体"/>
                <w:b/>
                <w:color w:val="auto"/>
                <w:kern w:val="0"/>
                <w:szCs w:val="21"/>
                <w:highlight w:val="none"/>
              </w:rPr>
            </w:pPr>
          </w:p>
        </w:tc>
        <w:tc>
          <w:tcPr>
            <w:tcW w:w="3250" w:type="dxa"/>
          </w:tcPr>
          <w:p>
            <w:pPr>
              <w:jc w:val="center"/>
              <w:rPr>
                <w:rFonts w:ascii="宋体" w:hAnsi="宋体" w:cs="宋体"/>
                <w:b/>
                <w:color w:val="auto"/>
                <w:kern w:val="0"/>
                <w:szCs w:val="21"/>
                <w:highlight w:val="none"/>
              </w:rPr>
            </w:pPr>
          </w:p>
        </w:tc>
        <w:tc>
          <w:tcPr>
            <w:tcW w:w="1421" w:type="dxa"/>
          </w:tcPr>
          <w:p>
            <w:pPr>
              <w:jc w:val="center"/>
              <w:rPr>
                <w:rFonts w:ascii="宋体" w:hAnsi="宋体" w:cs="宋体"/>
                <w:b/>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79" w:type="dxa"/>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3376" w:type="dxa"/>
          </w:tcPr>
          <w:p>
            <w:pPr>
              <w:jc w:val="center"/>
              <w:rPr>
                <w:rFonts w:ascii="宋体" w:hAnsi="宋体" w:cs="宋体"/>
                <w:b/>
                <w:color w:val="auto"/>
                <w:kern w:val="0"/>
                <w:szCs w:val="21"/>
                <w:highlight w:val="none"/>
              </w:rPr>
            </w:pPr>
          </w:p>
        </w:tc>
        <w:tc>
          <w:tcPr>
            <w:tcW w:w="3250" w:type="dxa"/>
          </w:tcPr>
          <w:p>
            <w:pPr>
              <w:jc w:val="center"/>
              <w:rPr>
                <w:rFonts w:ascii="宋体" w:hAnsi="宋体" w:cs="宋体"/>
                <w:b/>
                <w:color w:val="auto"/>
                <w:kern w:val="0"/>
                <w:szCs w:val="21"/>
                <w:highlight w:val="none"/>
              </w:rPr>
            </w:pPr>
          </w:p>
        </w:tc>
        <w:tc>
          <w:tcPr>
            <w:tcW w:w="1421" w:type="dxa"/>
          </w:tcPr>
          <w:p>
            <w:pPr>
              <w:jc w:val="center"/>
              <w:rPr>
                <w:rFonts w:ascii="宋体" w:hAnsi="宋体" w:cs="宋体"/>
                <w:b/>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79" w:type="dxa"/>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w:t>
            </w:r>
          </w:p>
        </w:tc>
        <w:tc>
          <w:tcPr>
            <w:tcW w:w="3376" w:type="dxa"/>
          </w:tcPr>
          <w:p>
            <w:pPr>
              <w:jc w:val="center"/>
              <w:rPr>
                <w:rFonts w:ascii="宋体" w:hAnsi="宋体" w:cs="宋体"/>
                <w:b/>
                <w:color w:val="auto"/>
                <w:kern w:val="0"/>
                <w:szCs w:val="21"/>
                <w:highlight w:val="none"/>
              </w:rPr>
            </w:pPr>
          </w:p>
        </w:tc>
        <w:tc>
          <w:tcPr>
            <w:tcW w:w="3250" w:type="dxa"/>
          </w:tcPr>
          <w:p>
            <w:pPr>
              <w:jc w:val="center"/>
              <w:rPr>
                <w:rFonts w:ascii="宋体" w:hAnsi="宋体" w:cs="宋体"/>
                <w:b/>
                <w:color w:val="auto"/>
                <w:kern w:val="0"/>
                <w:szCs w:val="21"/>
                <w:highlight w:val="none"/>
              </w:rPr>
            </w:pPr>
          </w:p>
        </w:tc>
        <w:tc>
          <w:tcPr>
            <w:tcW w:w="1421" w:type="dxa"/>
          </w:tcPr>
          <w:p>
            <w:pPr>
              <w:jc w:val="center"/>
              <w:rPr>
                <w:rFonts w:ascii="宋体" w:hAnsi="宋体" w:cs="宋体"/>
                <w:b/>
                <w:color w:val="auto"/>
                <w:kern w:val="0"/>
                <w:szCs w:val="21"/>
                <w:highlight w:val="none"/>
              </w:rPr>
            </w:pPr>
          </w:p>
        </w:tc>
      </w:tr>
    </w:tbl>
    <w:p>
      <w:pPr>
        <w:spacing w:line="360" w:lineRule="auto"/>
        <w:ind w:right="420"/>
        <w:rPr>
          <w:rFonts w:ascii="宋体" w:hAnsi="宋体" w:cs="宋体"/>
          <w:color w:val="auto"/>
          <w:szCs w:val="21"/>
          <w:highlight w:val="none"/>
        </w:rPr>
      </w:pPr>
      <w:r>
        <w:rPr>
          <w:rFonts w:hint="eastAsia" w:ascii="宋体" w:hAnsi="宋体" w:cs="宋体"/>
          <w:color w:val="auto"/>
          <w:szCs w:val="21"/>
          <w:highlight w:val="none"/>
        </w:rPr>
        <w:t>注：按本格式和要求提供。</w:t>
      </w:r>
    </w:p>
    <w:p>
      <w:pPr>
        <w:jc w:val="center"/>
        <w:rPr>
          <w:rFonts w:ascii="宋体" w:hAnsi="宋体" w:cs="宋体"/>
          <w:b/>
          <w:color w:val="auto"/>
          <w:kern w:val="0"/>
          <w:szCs w:val="21"/>
          <w:highlight w:val="none"/>
        </w:rPr>
      </w:pPr>
    </w:p>
    <w:p>
      <w:pPr>
        <w:jc w:val="center"/>
        <w:rPr>
          <w:rFonts w:ascii="宋体" w:hAnsi="宋体" w:cs="宋体"/>
          <w:b/>
          <w:color w:val="auto"/>
          <w:kern w:val="0"/>
          <w:szCs w:val="21"/>
          <w:highlight w:val="none"/>
        </w:rPr>
      </w:pPr>
    </w:p>
    <w:p>
      <w:pPr>
        <w:jc w:val="center"/>
        <w:outlineLvl w:val="1"/>
        <w:rPr>
          <w:rFonts w:ascii="宋体" w:hAnsi="宋体" w:cs="宋体"/>
          <w:b/>
          <w:color w:val="auto"/>
          <w:kern w:val="0"/>
          <w:szCs w:val="21"/>
          <w:highlight w:val="none"/>
        </w:rPr>
      </w:pPr>
      <w:r>
        <w:rPr>
          <w:rFonts w:hint="eastAsia" w:ascii="宋体" w:hAnsi="宋体" w:cs="宋体"/>
          <w:b/>
          <w:color w:val="auto"/>
          <w:kern w:val="0"/>
          <w:szCs w:val="21"/>
          <w:highlight w:val="none"/>
        </w:rPr>
        <w:t>七、商务要求偏离表</w:t>
      </w:r>
    </w:p>
    <w:tbl>
      <w:tblPr>
        <w:tblStyle w:val="66"/>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3376"/>
        <w:gridCol w:w="3250"/>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79" w:type="dxa"/>
          </w:tcPr>
          <w:p>
            <w:pPr>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3376" w:type="dxa"/>
          </w:tcPr>
          <w:p>
            <w:pPr>
              <w:jc w:val="center"/>
              <w:rPr>
                <w:rFonts w:ascii="宋体" w:hAnsi="宋体" w:cs="宋体"/>
                <w:b/>
                <w:bCs/>
                <w:color w:val="auto"/>
                <w:szCs w:val="21"/>
                <w:highlight w:val="none"/>
              </w:rPr>
            </w:pPr>
            <w:r>
              <w:rPr>
                <w:rFonts w:hint="eastAsia" w:ascii="宋体" w:hAnsi="宋体" w:cs="宋体"/>
                <w:b/>
                <w:bCs/>
                <w:color w:val="auto"/>
                <w:szCs w:val="21"/>
                <w:highlight w:val="none"/>
              </w:rPr>
              <w:t>招标文件章节及具体内容</w:t>
            </w:r>
          </w:p>
        </w:tc>
        <w:tc>
          <w:tcPr>
            <w:tcW w:w="3250" w:type="dxa"/>
          </w:tcPr>
          <w:p>
            <w:pPr>
              <w:jc w:val="center"/>
              <w:rPr>
                <w:rFonts w:ascii="宋体" w:hAnsi="宋体" w:cs="宋体"/>
                <w:b/>
                <w:bCs/>
                <w:color w:val="auto"/>
                <w:szCs w:val="21"/>
                <w:highlight w:val="none"/>
              </w:rPr>
            </w:pPr>
            <w:r>
              <w:rPr>
                <w:rFonts w:hint="eastAsia" w:ascii="宋体" w:hAnsi="宋体" w:cs="宋体"/>
                <w:b/>
                <w:bCs/>
                <w:color w:val="auto"/>
                <w:szCs w:val="21"/>
                <w:highlight w:val="none"/>
              </w:rPr>
              <w:t>投标文件章节及具体内容</w:t>
            </w:r>
          </w:p>
        </w:tc>
        <w:tc>
          <w:tcPr>
            <w:tcW w:w="1421" w:type="dxa"/>
          </w:tcPr>
          <w:p>
            <w:pPr>
              <w:jc w:val="center"/>
              <w:rPr>
                <w:rFonts w:ascii="宋体" w:hAnsi="宋体" w:cs="宋体"/>
                <w:b/>
                <w:bCs/>
                <w:color w:val="auto"/>
                <w:szCs w:val="21"/>
                <w:highlight w:val="none"/>
              </w:rPr>
            </w:pPr>
            <w:r>
              <w:rPr>
                <w:rFonts w:hint="eastAsia" w:ascii="宋体" w:hAnsi="宋体" w:cs="宋体"/>
                <w:b/>
                <w:bCs/>
                <w:color w:val="auto"/>
                <w:szCs w:val="21"/>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79" w:type="dxa"/>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3376" w:type="dxa"/>
          </w:tcPr>
          <w:p>
            <w:pPr>
              <w:jc w:val="center"/>
              <w:rPr>
                <w:rFonts w:ascii="宋体" w:hAnsi="宋体" w:cs="宋体"/>
                <w:b/>
                <w:color w:val="auto"/>
                <w:kern w:val="0"/>
                <w:szCs w:val="21"/>
                <w:highlight w:val="none"/>
              </w:rPr>
            </w:pPr>
          </w:p>
        </w:tc>
        <w:tc>
          <w:tcPr>
            <w:tcW w:w="3250" w:type="dxa"/>
          </w:tcPr>
          <w:p>
            <w:pPr>
              <w:jc w:val="center"/>
              <w:rPr>
                <w:rFonts w:ascii="宋体" w:hAnsi="宋体" w:cs="宋体"/>
                <w:b/>
                <w:color w:val="auto"/>
                <w:kern w:val="0"/>
                <w:szCs w:val="21"/>
                <w:highlight w:val="none"/>
              </w:rPr>
            </w:pPr>
          </w:p>
        </w:tc>
        <w:tc>
          <w:tcPr>
            <w:tcW w:w="1421" w:type="dxa"/>
          </w:tcPr>
          <w:p>
            <w:pPr>
              <w:jc w:val="center"/>
              <w:rPr>
                <w:rFonts w:ascii="宋体" w:hAnsi="宋体" w:cs="宋体"/>
                <w:b/>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79" w:type="dxa"/>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3376" w:type="dxa"/>
          </w:tcPr>
          <w:p>
            <w:pPr>
              <w:jc w:val="center"/>
              <w:rPr>
                <w:rFonts w:ascii="宋体" w:hAnsi="宋体" w:cs="宋体"/>
                <w:b/>
                <w:color w:val="auto"/>
                <w:kern w:val="0"/>
                <w:szCs w:val="21"/>
                <w:highlight w:val="none"/>
              </w:rPr>
            </w:pPr>
          </w:p>
        </w:tc>
        <w:tc>
          <w:tcPr>
            <w:tcW w:w="3250" w:type="dxa"/>
          </w:tcPr>
          <w:p>
            <w:pPr>
              <w:jc w:val="center"/>
              <w:rPr>
                <w:rFonts w:ascii="宋体" w:hAnsi="宋体" w:cs="宋体"/>
                <w:b/>
                <w:color w:val="auto"/>
                <w:kern w:val="0"/>
                <w:szCs w:val="21"/>
                <w:highlight w:val="none"/>
              </w:rPr>
            </w:pPr>
          </w:p>
        </w:tc>
        <w:tc>
          <w:tcPr>
            <w:tcW w:w="1421" w:type="dxa"/>
          </w:tcPr>
          <w:p>
            <w:pPr>
              <w:jc w:val="center"/>
              <w:rPr>
                <w:rFonts w:ascii="宋体" w:hAnsi="宋体" w:cs="宋体"/>
                <w:b/>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79" w:type="dxa"/>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w:t>
            </w:r>
          </w:p>
        </w:tc>
        <w:tc>
          <w:tcPr>
            <w:tcW w:w="3376" w:type="dxa"/>
          </w:tcPr>
          <w:p>
            <w:pPr>
              <w:jc w:val="center"/>
              <w:rPr>
                <w:rFonts w:ascii="宋体" w:hAnsi="宋体" w:cs="宋体"/>
                <w:b/>
                <w:color w:val="auto"/>
                <w:kern w:val="0"/>
                <w:szCs w:val="21"/>
                <w:highlight w:val="none"/>
              </w:rPr>
            </w:pPr>
          </w:p>
        </w:tc>
        <w:tc>
          <w:tcPr>
            <w:tcW w:w="3250" w:type="dxa"/>
          </w:tcPr>
          <w:p>
            <w:pPr>
              <w:jc w:val="center"/>
              <w:rPr>
                <w:rFonts w:ascii="宋体" w:hAnsi="宋体" w:cs="宋体"/>
                <w:b/>
                <w:color w:val="auto"/>
                <w:kern w:val="0"/>
                <w:szCs w:val="21"/>
                <w:highlight w:val="none"/>
              </w:rPr>
            </w:pPr>
          </w:p>
        </w:tc>
        <w:tc>
          <w:tcPr>
            <w:tcW w:w="1421" w:type="dxa"/>
          </w:tcPr>
          <w:p>
            <w:pPr>
              <w:jc w:val="center"/>
              <w:rPr>
                <w:rFonts w:ascii="宋体" w:hAnsi="宋体" w:cs="宋体"/>
                <w:b/>
                <w:color w:val="auto"/>
                <w:kern w:val="0"/>
                <w:szCs w:val="21"/>
                <w:highlight w:val="none"/>
              </w:rPr>
            </w:pPr>
          </w:p>
        </w:tc>
      </w:tr>
    </w:tbl>
    <w:p>
      <w:pPr>
        <w:jc w:val="center"/>
        <w:rPr>
          <w:rFonts w:ascii="宋体" w:hAnsi="宋体" w:cs="宋体"/>
          <w:b/>
          <w:color w:val="auto"/>
          <w:kern w:val="0"/>
          <w:szCs w:val="21"/>
          <w:highlight w:val="none"/>
        </w:rPr>
      </w:pPr>
    </w:p>
    <w:p>
      <w:pPr>
        <w:snapToGrid w:val="0"/>
        <w:spacing w:line="288" w:lineRule="auto"/>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『编制说明』：</w:t>
      </w:r>
    </w:p>
    <w:p>
      <w:pPr>
        <w:numPr>
          <w:ilvl w:val="0"/>
          <w:numId w:val="11"/>
        </w:numPr>
        <w:snapToGrid w:val="0"/>
        <w:spacing w:line="288" w:lineRule="auto"/>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投标人需按“第三部分  采购需求”中“一、商务要求表”和</w:t>
      </w:r>
      <w:r>
        <w:rPr>
          <w:rFonts w:hint="eastAsia" w:asciiTheme="minorEastAsia" w:hAnsiTheme="minorEastAsia" w:eastAsiaTheme="minorEastAsia" w:cstheme="minorEastAsia"/>
          <w:b/>
          <w:bCs/>
          <w:color w:val="auto"/>
          <w:szCs w:val="21"/>
          <w:highlight w:val="none"/>
          <w:lang w:val="en-US" w:eastAsia="zh-CN"/>
        </w:rPr>
        <w:t>每标项采购内容</w:t>
      </w:r>
      <w:r>
        <w:rPr>
          <w:rFonts w:hint="eastAsia" w:asciiTheme="minorEastAsia" w:hAnsiTheme="minorEastAsia" w:eastAsiaTheme="minorEastAsia" w:cstheme="minorEastAsia"/>
          <w:b/>
          <w:bCs/>
          <w:color w:val="auto"/>
          <w:szCs w:val="21"/>
          <w:highlight w:val="none"/>
        </w:rPr>
        <w:t>“二、</w:t>
      </w:r>
      <w:r>
        <w:rPr>
          <w:rFonts w:hint="eastAsia" w:asciiTheme="minorEastAsia" w:hAnsiTheme="minorEastAsia" w:eastAsiaTheme="minorEastAsia" w:cstheme="minorEastAsia"/>
          <w:b/>
          <w:bCs/>
          <w:color w:val="auto"/>
          <w:szCs w:val="21"/>
          <w:highlight w:val="none"/>
          <w:lang w:val="en-US" w:eastAsia="zh-CN"/>
        </w:rPr>
        <w:t>技术参数</w:t>
      </w:r>
      <w:r>
        <w:rPr>
          <w:rFonts w:hint="eastAsia" w:asciiTheme="minorEastAsia" w:hAnsiTheme="minorEastAsia" w:eastAsiaTheme="minorEastAsia" w:cstheme="minorEastAsia"/>
          <w:b/>
          <w:bCs/>
          <w:color w:val="auto"/>
          <w:szCs w:val="21"/>
          <w:highlight w:val="none"/>
        </w:rPr>
        <w:t>”一一对应,在本表中如实填写具体响应(有技术参数的提供响应的技术参数)，未按要求填写的，有可能作负偏离处理。</w:t>
      </w:r>
    </w:p>
    <w:p>
      <w:pPr>
        <w:numPr>
          <w:ilvl w:val="0"/>
          <w:numId w:val="11"/>
        </w:numPr>
        <w:snapToGrid w:val="0"/>
        <w:spacing w:line="288" w:lineRule="auto"/>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偏离说明是指对招标文件要求存在不同之处的解释说明。偏离系指：正偏离（高于采购需求）、负偏离（低于采购需求）、无偏离（满足采购需求）</w:t>
      </w:r>
    </w:p>
    <w:p>
      <w:pPr>
        <w:widowControl/>
        <w:jc w:val="left"/>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3、技术指标若有要求供应商提供相应佐证材料的，供应商未提供相应佐证材料或者供应商的响应承诺与其佐证材料不一致的，评审小组会将以不利于供应商的内容为准进行评审（负偏离）。</w:t>
      </w:r>
    </w:p>
    <w:p>
      <w:pPr>
        <w:pStyle w:val="64"/>
        <w:ind w:firstLine="420"/>
        <w:rPr>
          <w:color w:val="auto"/>
          <w:szCs w:val="21"/>
          <w:highlight w:val="none"/>
        </w:rPr>
      </w:pPr>
    </w:p>
    <w:p>
      <w:pPr>
        <w:spacing w:line="360" w:lineRule="auto"/>
        <w:ind w:right="420"/>
        <w:rPr>
          <w:rFonts w:ascii="宋体" w:hAnsi="宋体" w:cs="宋体"/>
          <w:color w:val="auto"/>
          <w:szCs w:val="21"/>
          <w:highlight w:val="none"/>
        </w:rPr>
      </w:pPr>
      <w:r>
        <w:rPr>
          <w:rFonts w:hint="eastAsia" w:ascii="宋体" w:hAnsi="宋体" w:cs="宋体"/>
          <w:color w:val="auto"/>
          <w:szCs w:val="21"/>
          <w:highlight w:val="none"/>
        </w:rPr>
        <w:t>注：按本格式和要求提供。</w:t>
      </w:r>
    </w:p>
    <w:p>
      <w:pPr>
        <w:widowControl/>
        <w:adjustRightInd/>
        <w:jc w:val="left"/>
        <w:rPr>
          <w:rFonts w:ascii="宋体" w:hAnsi="宋体" w:cs="宋体"/>
          <w:b/>
          <w:bCs/>
          <w:color w:val="auto"/>
          <w:szCs w:val="21"/>
          <w:highlight w:val="none"/>
        </w:rPr>
      </w:pPr>
      <w:r>
        <w:rPr>
          <w:rFonts w:ascii="宋体" w:hAnsi="宋体" w:cs="宋体"/>
          <w:b/>
          <w:bCs/>
          <w:color w:val="auto"/>
          <w:szCs w:val="21"/>
          <w:highlight w:val="none"/>
        </w:rPr>
        <w:br w:type="page"/>
      </w:r>
    </w:p>
    <w:p>
      <w:pPr>
        <w:pStyle w:val="24"/>
        <w:rPr>
          <w:color w:val="auto"/>
          <w:sz w:val="21"/>
          <w:highlight w:val="none"/>
          <w:lang w:val="en-US"/>
        </w:rPr>
        <w:sectPr>
          <w:headerReference r:id="rId12" w:type="first"/>
          <w:footerReference r:id="rId14" w:type="first"/>
          <w:headerReference r:id="rId11" w:type="default"/>
          <w:footerReference r:id="rId13" w:type="default"/>
          <w:pgSz w:w="11905" w:h="16838"/>
          <w:pgMar w:top="1440" w:right="1803" w:bottom="1440" w:left="1803" w:header="851" w:footer="992" w:gutter="0"/>
          <w:cols w:space="0" w:num="1"/>
          <w:docGrid w:type="lines" w:linePitch="325" w:charSpace="0"/>
        </w:sectPr>
      </w:pPr>
    </w:p>
    <w:p>
      <w:pPr>
        <w:widowControl/>
        <w:adjustRightInd/>
        <w:jc w:val="left"/>
        <w:rPr>
          <w:rFonts w:ascii="宋体" w:hAnsi="宋体" w:cs="宋体"/>
          <w:b/>
          <w:color w:val="auto"/>
          <w:kern w:val="0"/>
          <w:sz w:val="32"/>
          <w:szCs w:val="32"/>
          <w:highlight w:val="none"/>
        </w:rPr>
      </w:pPr>
    </w:p>
    <w:p>
      <w:pPr>
        <w:jc w:val="center"/>
        <w:outlineLvl w:val="1"/>
        <w:rPr>
          <w:rFonts w:ascii="宋体" w:hAnsi="宋体" w:cs="宋体"/>
          <w:color w:val="auto"/>
          <w:highlight w:val="none"/>
        </w:rPr>
      </w:pPr>
      <w:r>
        <w:rPr>
          <w:rFonts w:hint="eastAsia" w:ascii="宋体" w:hAnsi="宋体" w:cs="宋体"/>
          <w:b/>
          <w:color w:val="auto"/>
          <w:kern w:val="0"/>
          <w:sz w:val="32"/>
          <w:szCs w:val="32"/>
          <w:highlight w:val="none"/>
        </w:rPr>
        <w:t>八、评标标准相应的商务技术资料</w:t>
      </w:r>
    </w:p>
    <w:p>
      <w:pPr>
        <w:snapToGrid w:val="0"/>
        <w:spacing w:line="360" w:lineRule="auto"/>
        <w:ind w:firstLine="960" w:firstLineChars="400"/>
        <w:rPr>
          <w:rFonts w:ascii="宋体" w:hAnsi="宋体" w:cs="宋体"/>
          <w:color w:val="auto"/>
          <w:sz w:val="24"/>
          <w:highlight w:val="none"/>
        </w:rPr>
      </w:pPr>
    </w:p>
    <w:p>
      <w:pPr>
        <w:snapToGrid w:val="0"/>
        <w:spacing w:line="360" w:lineRule="auto"/>
        <w:ind w:firstLine="964" w:firstLineChars="400"/>
        <w:rPr>
          <w:rFonts w:ascii="宋体" w:hAnsi="宋体" w:cs="宋体"/>
          <w:b/>
          <w:bCs/>
          <w:color w:val="auto"/>
          <w:sz w:val="24"/>
          <w:highlight w:val="none"/>
        </w:rPr>
      </w:pPr>
    </w:p>
    <w:p>
      <w:pPr>
        <w:snapToGrid w:val="0"/>
        <w:spacing w:line="360" w:lineRule="auto"/>
        <w:ind w:firstLine="840" w:firstLineChars="4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（8-1）</w:t>
      </w:r>
      <w:r>
        <w:rPr>
          <w:rFonts w:hint="eastAsia" w:asciiTheme="minorEastAsia" w:hAnsiTheme="minorEastAsia" w:eastAsiaTheme="minorEastAsia" w:cstheme="minorEastAsia"/>
          <w:color w:val="auto"/>
          <w:szCs w:val="21"/>
          <w:highlight w:val="none"/>
          <w:lang w:bidi="ar"/>
        </w:rPr>
        <w:t>本项目工程的实施方案</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lang w:bidi="ar"/>
        </w:rPr>
        <w:t>施工组织方案</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lang w:bidi="ar"/>
        </w:rPr>
        <w:t>安全保障措施</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lang w:bidi="ar"/>
        </w:rPr>
        <w:t>质量保障措施</w:t>
      </w:r>
      <w:r>
        <w:rPr>
          <w:rFonts w:hint="eastAsia" w:asciiTheme="minorEastAsia" w:hAnsiTheme="minorEastAsia" w:eastAsiaTheme="minorEastAsia" w:cstheme="minorEastAsia"/>
          <w:color w:val="auto"/>
          <w:szCs w:val="21"/>
          <w:highlight w:val="none"/>
        </w:rPr>
        <w:t>）（格式自拟）；</w:t>
      </w:r>
    </w:p>
    <w:p>
      <w:pPr>
        <w:snapToGrid w:val="0"/>
        <w:spacing w:line="360" w:lineRule="auto"/>
        <w:ind w:firstLine="840" w:firstLineChars="400"/>
        <w:rPr>
          <w:rFonts w:ascii="宋体" w:hAnsi="宋体"/>
          <w:color w:val="auto"/>
          <w:szCs w:val="21"/>
          <w:highlight w:val="none"/>
        </w:rPr>
      </w:pPr>
      <w:r>
        <w:rPr>
          <w:rFonts w:hint="eastAsia" w:asciiTheme="minorEastAsia" w:hAnsiTheme="minorEastAsia" w:eastAsiaTheme="minorEastAsia" w:cstheme="minorEastAsia"/>
          <w:color w:val="auto"/>
          <w:szCs w:val="21"/>
          <w:highlight w:val="none"/>
        </w:rPr>
        <w:t>（8-2）</w:t>
      </w:r>
      <w:r>
        <w:rPr>
          <w:rFonts w:hint="eastAsia" w:ascii="宋体" w:hAnsi="宋体"/>
          <w:color w:val="auto"/>
          <w:szCs w:val="21"/>
          <w:highlight w:val="none"/>
        </w:rPr>
        <w:t>工程保障能力（人员保障能力、施工车辆配备情况、设备配备情况）（格式自拟）；</w:t>
      </w:r>
    </w:p>
    <w:p>
      <w:pPr>
        <w:snapToGrid w:val="0"/>
        <w:spacing w:line="360" w:lineRule="auto"/>
        <w:ind w:firstLine="840" w:firstLineChars="400"/>
        <w:rPr>
          <w:rFonts w:ascii="宋体" w:hAnsi="宋体"/>
          <w:color w:val="auto"/>
          <w:szCs w:val="21"/>
          <w:highlight w:val="none"/>
        </w:rPr>
      </w:pPr>
      <w:r>
        <w:rPr>
          <w:rFonts w:hint="eastAsia" w:ascii="宋体" w:hAnsi="宋体"/>
          <w:color w:val="auto"/>
          <w:szCs w:val="21"/>
          <w:highlight w:val="none"/>
        </w:rPr>
        <w:t>（8-3）业绩一览表；</w:t>
      </w:r>
    </w:p>
    <w:p>
      <w:pPr>
        <w:snapToGrid w:val="0"/>
        <w:spacing w:line="360" w:lineRule="auto"/>
        <w:ind w:firstLine="840" w:firstLineChars="400"/>
        <w:outlineLvl w:val="2"/>
        <w:rPr>
          <w:rFonts w:ascii="宋体" w:hAnsi="宋体"/>
          <w:color w:val="auto"/>
          <w:szCs w:val="21"/>
          <w:highlight w:val="none"/>
        </w:rPr>
      </w:pPr>
      <w:r>
        <w:rPr>
          <w:rFonts w:hint="eastAsia" w:ascii="宋体" w:hAnsi="宋体"/>
          <w:color w:val="auto"/>
          <w:szCs w:val="21"/>
          <w:highlight w:val="none"/>
        </w:rPr>
        <w:t>（8-4）售后服务方案</w:t>
      </w:r>
    </w:p>
    <w:p>
      <w:pPr>
        <w:snapToGrid w:val="0"/>
        <w:spacing w:line="360" w:lineRule="auto"/>
        <w:ind w:firstLine="840" w:firstLineChars="4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（8-5）评标标准相应的其他商务技术资料。</w:t>
      </w:r>
    </w:p>
    <w:p>
      <w:pPr>
        <w:snapToGrid w:val="0"/>
        <w:spacing w:line="360" w:lineRule="auto"/>
        <w:ind w:firstLine="960" w:firstLineChars="400"/>
        <w:rPr>
          <w:rFonts w:ascii="宋体" w:hAnsi="宋体" w:cs="宋体"/>
          <w:color w:val="auto"/>
          <w:sz w:val="24"/>
          <w:highlight w:val="none"/>
        </w:rPr>
      </w:pPr>
    </w:p>
    <w:p>
      <w:pPr>
        <w:snapToGrid w:val="0"/>
        <w:spacing w:line="360" w:lineRule="auto"/>
        <w:ind w:firstLine="960" w:firstLineChars="400"/>
        <w:rPr>
          <w:rFonts w:ascii="宋体" w:hAnsi="宋体" w:cs="宋体"/>
          <w:color w:val="auto"/>
          <w:sz w:val="24"/>
          <w:highlight w:val="none"/>
        </w:rPr>
      </w:pPr>
    </w:p>
    <w:p>
      <w:pPr>
        <w:snapToGrid w:val="0"/>
        <w:spacing w:line="360" w:lineRule="auto"/>
        <w:ind w:firstLine="960" w:firstLineChars="400"/>
        <w:rPr>
          <w:rFonts w:ascii="宋体" w:hAnsi="宋体" w:cs="宋体"/>
          <w:color w:val="auto"/>
          <w:sz w:val="24"/>
          <w:highlight w:val="none"/>
        </w:rPr>
      </w:pPr>
    </w:p>
    <w:p>
      <w:pPr>
        <w:snapToGrid w:val="0"/>
        <w:spacing w:line="360" w:lineRule="auto"/>
        <w:ind w:firstLine="960" w:firstLineChars="400"/>
        <w:rPr>
          <w:rFonts w:ascii="宋体" w:hAnsi="宋体" w:cs="宋体"/>
          <w:color w:val="auto"/>
          <w:sz w:val="24"/>
          <w:highlight w:val="none"/>
        </w:rPr>
      </w:pPr>
    </w:p>
    <w:p>
      <w:pPr>
        <w:snapToGrid w:val="0"/>
        <w:spacing w:line="360" w:lineRule="auto"/>
        <w:ind w:firstLine="960" w:firstLineChars="400"/>
        <w:rPr>
          <w:rFonts w:ascii="宋体" w:hAnsi="宋体" w:cs="宋体"/>
          <w:color w:val="auto"/>
          <w:sz w:val="24"/>
          <w:highlight w:val="none"/>
        </w:rPr>
      </w:pPr>
    </w:p>
    <w:p>
      <w:pPr>
        <w:snapToGrid w:val="0"/>
        <w:spacing w:line="360" w:lineRule="auto"/>
        <w:ind w:firstLine="960" w:firstLineChars="400"/>
        <w:rPr>
          <w:rFonts w:ascii="宋体" w:hAnsi="宋体" w:cs="宋体"/>
          <w:color w:val="auto"/>
          <w:sz w:val="24"/>
          <w:highlight w:val="none"/>
        </w:rPr>
      </w:pPr>
    </w:p>
    <w:p>
      <w:pPr>
        <w:snapToGrid w:val="0"/>
        <w:spacing w:line="360" w:lineRule="auto"/>
        <w:ind w:firstLine="960" w:firstLineChars="400"/>
        <w:rPr>
          <w:rFonts w:ascii="宋体" w:hAnsi="宋体" w:cs="宋体"/>
          <w:color w:val="auto"/>
          <w:sz w:val="24"/>
          <w:highlight w:val="none"/>
        </w:rPr>
      </w:pPr>
    </w:p>
    <w:p>
      <w:pPr>
        <w:snapToGrid w:val="0"/>
        <w:spacing w:line="360" w:lineRule="auto"/>
        <w:ind w:firstLine="960" w:firstLineChars="400"/>
        <w:rPr>
          <w:rFonts w:ascii="宋体" w:hAnsi="宋体" w:cs="宋体"/>
          <w:color w:val="auto"/>
          <w:sz w:val="24"/>
          <w:highlight w:val="none"/>
        </w:rPr>
      </w:pPr>
    </w:p>
    <w:p>
      <w:pPr>
        <w:pStyle w:val="41"/>
        <w:rPr>
          <w:color w:val="auto"/>
          <w:highlight w:val="none"/>
        </w:rPr>
      </w:pPr>
    </w:p>
    <w:p>
      <w:pPr>
        <w:pStyle w:val="41"/>
        <w:rPr>
          <w:color w:val="auto"/>
          <w:highlight w:val="none"/>
        </w:rPr>
      </w:pPr>
    </w:p>
    <w:p>
      <w:pPr>
        <w:pStyle w:val="41"/>
        <w:rPr>
          <w:color w:val="auto"/>
          <w:highlight w:val="none"/>
        </w:rPr>
      </w:pPr>
    </w:p>
    <w:p>
      <w:pPr>
        <w:pStyle w:val="41"/>
        <w:rPr>
          <w:color w:val="auto"/>
          <w:highlight w:val="none"/>
        </w:rPr>
      </w:pPr>
    </w:p>
    <w:p>
      <w:pPr>
        <w:pStyle w:val="41"/>
        <w:rPr>
          <w:color w:val="auto"/>
          <w:highlight w:val="none"/>
        </w:rPr>
      </w:pPr>
    </w:p>
    <w:p>
      <w:pPr>
        <w:pStyle w:val="41"/>
        <w:rPr>
          <w:color w:val="auto"/>
          <w:highlight w:val="none"/>
        </w:rPr>
      </w:pPr>
    </w:p>
    <w:p>
      <w:pPr>
        <w:pStyle w:val="41"/>
        <w:rPr>
          <w:color w:val="auto"/>
          <w:highlight w:val="none"/>
        </w:rPr>
      </w:pPr>
    </w:p>
    <w:p>
      <w:pPr>
        <w:pStyle w:val="41"/>
        <w:rPr>
          <w:color w:val="auto"/>
          <w:highlight w:val="none"/>
        </w:rPr>
      </w:pPr>
    </w:p>
    <w:p>
      <w:pPr>
        <w:pStyle w:val="41"/>
        <w:rPr>
          <w:color w:val="auto"/>
          <w:highlight w:val="none"/>
        </w:rPr>
      </w:pPr>
    </w:p>
    <w:p>
      <w:pPr>
        <w:pStyle w:val="41"/>
        <w:rPr>
          <w:color w:val="auto"/>
          <w:highlight w:val="none"/>
        </w:rPr>
      </w:pPr>
    </w:p>
    <w:p>
      <w:pPr>
        <w:pStyle w:val="41"/>
        <w:rPr>
          <w:color w:val="auto"/>
          <w:highlight w:val="none"/>
        </w:rPr>
      </w:pPr>
    </w:p>
    <w:p>
      <w:pPr>
        <w:pStyle w:val="41"/>
        <w:rPr>
          <w:color w:val="auto"/>
          <w:highlight w:val="none"/>
        </w:rPr>
      </w:pPr>
    </w:p>
    <w:p>
      <w:pPr>
        <w:pStyle w:val="41"/>
        <w:rPr>
          <w:color w:val="auto"/>
          <w:highlight w:val="none"/>
        </w:rPr>
      </w:pPr>
    </w:p>
    <w:p>
      <w:pPr>
        <w:pStyle w:val="41"/>
        <w:rPr>
          <w:color w:val="auto"/>
          <w:highlight w:val="none"/>
        </w:rPr>
      </w:pPr>
    </w:p>
    <w:p>
      <w:pPr>
        <w:pStyle w:val="41"/>
        <w:rPr>
          <w:color w:val="auto"/>
          <w:highlight w:val="none"/>
        </w:rPr>
      </w:pPr>
    </w:p>
    <w:p>
      <w:pPr>
        <w:pStyle w:val="41"/>
        <w:rPr>
          <w:color w:val="auto"/>
          <w:highlight w:val="none"/>
        </w:rPr>
      </w:pPr>
    </w:p>
    <w:p>
      <w:pPr>
        <w:pStyle w:val="41"/>
        <w:rPr>
          <w:color w:val="auto"/>
          <w:highlight w:val="none"/>
        </w:rPr>
      </w:pPr>
    </w:p>
    <w:p>
      <w:pPr>
        <w:pStyle w:val="41"/>
        <w:rPr>
          <w:color w:val="auto"/>
          <w:highlight w:val="none"/>
        </w:rPr>
      </w:pPr>
    </w:p>
    <w:p>
      <w:pPr>
        <w:pStyle w:val="41"/>
        <w:rPr>
          <w:color w:val="auto"/>
          <w:highlight w:val="none"/>
        </w:rPr>
      </w:pPr>
    </w:p>
    <w:p>
      <w:pPr>
        <w:pStyle w:val="41"/>
        <w:rPr>
          <w:color w:val="auto"/>
          <w:highlight w:val="none"/>
        </w:rPr>
      </w:pPr>
    </w:p>
    <w:p>
      <w:pPr>
        <w:pStyle w:val="41"/>
        <w:rPr>
          <w:color w:val="auto"/>
          <w:highlight w:val="none"/>
        </w:rPr>
      </w:pPr>
    </w:p>
    <w:p>
      <w:pPr>
        <w:pStyle w:val="41"/>
        <w:rPr>
          <w:color w:val="auto"/>
          <w:highlight w:val="none"/>
        </w:rPr>
      </w:pPr>
    </w:p>
    <w:p>
      <w:pPr>
        <w:pStyle w:val="41"/>
        <w:rPr>
          <w:color w:val="auto"/>
          <w:highlight w:val="none"/>
        </w:rPr>
      </w:pPr>
    </w:p>
    <w:p>
      <w:pPr>
        <w:pStyle w:val="41"/>
        <w:rPr>
          <w:color w:val="auto"/>
          <w:highlight w:val="none"/>
        </w:rPr>
      </w:pPr>
    </w:p>
    <w:p>
      <w:pPr>
        <w:pStyle w:val="41"/>
        <w:rPr>
          <w:color w:val="auto"/>
          <w:highlight w:val="none"/>
        </w:rPr>
      </w:pPr>
    </w:p>
    <w:p>
      <w:pPr>
        <w:pStyle w:val="41"/>
        <w:rPr>
          <w:color w:val="auto"/>
          <w:highlight w:val="none"/>
        </w:rPr>
      </w:pPr>
    </w:p>
    <w:p>
      <w:pPr>
        <w:snapToGrid w:val="0"/>
        <w:spacing w:line="360" w:lineRule="auto"/>
        <w:ind w:firstLine="964" w:firstLineChars="400"/>
        <w:rPr>
          <w:rFonts w:ascii="宋体" w:hAnsi="宋体" w:cs="宋体"/>
          <w:b/>
          <w:bCs/>
          <w:color w:val="auto"/>
          <w:sz w:val="24"/>
          <w:highlight w:val="none"/>
        </w:rPr>
      </w:pPr>
      <w:r>
        <w:rPr>
          <w:rFonts w:hint="eastAsia" w:ascii="宋体" w:hAnsi="宋体" w:cs="宋体"/>
          <w:b/>
          <w:bCs/>
          <w:color w:val="auto"/>
          <w:sz w:val="24"/>
          <w:highlight w:val="none"/>
        </w:rPr>
        <w:t>（8-3）业绩一览表</w:t>
      </w:r>
    </w:p>
    <w:tbl>
      <w:tblPr>
        <w:tblStyle w:val="65"/>
        <w:tblW w:w="882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31"/>
        <w:gridCol w:w="1555"/>
        <w:gridCol w:w="1732"/>
        <w:gridCol w:w="1603"/>
        <w:gridCol w:w="1875"/>
        <w:gridCol w:w="123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5" w:hRule="atLeast"/>
        </w:trPr>
        <w:tc>
          <w:tcPr>
            <w:tcW w:w="83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序号</w:t>
            </w:r>
          </w:p>
        </w:tc>
        <w:tc>
          <w:tcPr>
            <w:tcW w:w="155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采购单位</w:t>
            </w:r>
          </w:p>
        </w:tc>
        <w:tc>
          <w:tcPr>
            <w:tcW w:w="1732" w:type="dxa"/>
            <w:tcBorders>
              <w:top w:val="single" w:color="auto" w:sz="4" w:space="0"/>
              <w:left w:val="single" w:color="auto" w:sz="4" w:space="0"/>
              <w:right w:val="single" w:color="auto" w:sz="4" w:space="0"/>
            </w:tcBorders>
            <w:vAlign w:val="center"/>
          </w:tcPr>
          <w:p>
            <w:pPr>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项目名称</w:t>
            </w:r>
          </w:p>
        </w:tc>
        <w:tc>
          <w:tcPr>
            <w:tcW w:w="160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合同金额</w:t>
            </w:r>
          </w:p>
          <w:p>
            <w:pPr>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（万元）</w:t>
            </w:r>
          </w:p>
        </w:tc>
        <w:tc>
          <w:tcPr>
            <w:tcW w:w="18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采购单位联系人及联系电话</w:t>
            </w:r>
          </w:p>
        </w:tc>
        <w:tc>
          <w:tcPr>
            <w:tcW w:w="123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合同签订时间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1" w:hRule="atLeast"/>
        </w:trPr>
        <w:tc>
          <w:tcPr>
            <w:tcW w:w="83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155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宋体" w:hAnsi="宋体" w:cs="宋体"/>
                <w:color w:val="auto"/>
                <w:kern w:val="0"/>
                <w:szCs w:val="21"/>
                <w:highlight w:val="none"/>
              </w:rPr>
            </w:pPr>
          </w:p>
        </w:tc>
        <w:tc>
          <w:tcPr>
            <w:tcW w:w="1732"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宋体" w:hAnsi="宋体" w:cs="宋体"/>
                <w:color w:val="auto"/>
                <w:kern w:val="0"/>
                <w:szCs w:val="21"/>
                <w:highlight w:val="none"/>
              </w:rPr>
            </w:pPr>
          </w:p>
        </w:tc>
        <w:tc>
          <w:tcPr>
            <w:tcW w:w="1603"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宋体" w:hAnsi="宋体" w:cs="宋体"/>
                <w:color w:val="auto"/>
                <w:kern w:val="0"/>
                <w:szCs w:val="21"/>
                <w:highlight w:val="none"/>
              </w:rPr>
            </w:pPr>
          </w:p>
        </w:tc>
        <w:tc>
          <w:tcPr>
            <w:tcW w:w="18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宋体" w:hAnsi="宋体" w:cs="宋体"/>
                <w:color w:val="auto"/>
                <w:kern w:val="0"/>
                <w:szCs w:val="21"/>
                <w:highlight w:val="none"/>
              </w:rPr>
            </w:pPr>
          </w:p>
        </w:tc>
        <w:tc>
          <w:tcPr>
            <w:tcW w:w="1230"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1" w:hRule="atLeast"/>
        </w:trPr>
        <w:tc>
          <w:tcPr>
            <w:tcW w:w="83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155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宋体" w:hAnsi="宋体" w:cs="宋体"/>
                <w:color w:val="auto"/>
                <w:kern w:val="0"/>
                <w:szCs w:val="21"/>
                <w:highlight w:val="none"/>
              </w:rPr>
            </w:pPr>
          </w:p>
        </w:tc>
        <w:tc>
          <w:tcPr>
            <w:tcW w:w="1732"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宋体" w:hAnsi="宋体" w:cs="宋体"/>
                <w:color w:val="auto"/>
                <w:kern w:val="0"/>
                <w:szCs w:val="21"/>
                <w:highlight w:val="none"/>
              </w:rPr>
            </w:pPr>
          </w:p>
        </w:tc>
        <w:tc>
          <w:tcPr>
            <w:tcW w:w="1603"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宋体" w:hAnsi="宋体" w:cs="宋体"/>
                <w:color w:val="auto"/>
                <w:kern w:val="0"/>
                <w:szCs w:val="21"/>
                <w:highlight w:val="none"/>
              </w:rPr>
            </w:pPr>
          </w:p>
        </w:tc>
        <w:tc>
          <w:tcPr>
            <w:tcW w:w="18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宋体" w:hAnsi="宋体" w:cs="宋体"/>
                <w:color w:val="auto"/>
                <w:kern w:val="0"/>
                <w:szCs w:val="21"/>
                <w:highlight w:val="none"/>
              </w:rPr>
            </w:pPr>
          </w:p>
        </w:tc>
        <w:tc>
          <w:tcPr>
            <w:tcW w:w="1230"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1" w:hRule="atLeast"/>
        </w:trPr>
        <w:tc>
          <w:tcPr>
            <w:tcW w:w="83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155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宋体" w:hAnsi="宋体" w:cs="宋体"/>
                <w:color w:val="auto"/>
                <w:kern w:val="0"/>
                <w:szCs w:val="21"/>
                <w:highlight w:val="none"/>
              </w:rPr>
            </w:pPr>
          </w:p>
        </w:tc>
        <w:tc>
          <w:tcPr>
            <w:tcW w:w="1732"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宋体" w:hAnsi="宋体" w:cs="宋体"/>
                <w:color w:val="auto"/>
                <w:kern w:val="0"/>
                <w:szCs w:val="21"/>
                <w:highlight w:val="none"/>
              </w:rPr>
            </w:pPr>
          </w:p>
        </w:tc>
        <w:tc>
          <w:tcPr>
            <w:tcW w:w="1603"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宋体" w:hAnsi="宋体" w:cs="宋体"/>
                <w:color w:val="auto"/>
                <w:kern w:val="0"/>
                <w:szCs w:val="21"/>
                <w:highlight w:val="none"/>
              </w:rPr>
            </w:pPr>
          </w:p>
        </w:tc>
        <w:tc>
          <w:tcPr>
            <w:tcW w:w="18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宋体" w:hAnsi="宋体" w:cs="宋体"/>
                <w:color w:val="auto"/>
                <w:kern w:val="0"/>
                <w:szCs w:val="21"/>
                <w:highlight w:val="none"/>
              </w:rPr>
            </w:pPr>
          </w:p>
        </w:tc>
        <w:tc>
          <w:tcPr>
            <w:tcW w:w="1230"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1" w:hRule="atLeast"/>
        </w:trPr>
        <w:tc>
          <w:tcPr>
            <w:tcW w:w="83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c>
          <w:tcPr>
            <w:tcW w:w="155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宋体" w:hAnsi="宋体" w:cs="宋体"/>
                <w:color w:val="auto"/>
                <w:kern w:val="0"/>
                <w:szCs w:val="21"/>
                <w:highlight w:val="none"/>
              </w:rPr>
            </w:pPr>
          </w:p>
        </w:tc>
        <w:tc>
          <w:tcPr>
            <w:tcW w:w="1732"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宋体" w:hAnsi="宋体" w:cs="宋体"/>
                <w:color w:val="auto"/>
                <w:kern w:val="0"/>
                <w:szCs w:val="21"/>
                <w:highlight w:val="none"/>
              </w:rPr>
            </w:pPr>
          </w:p>
        </w:tc>
        <w:tc>
          <w:tcPr>
            <w:tcW w:w="1603"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宋体" w:hAnsi="宋体" w:cs="宋体"/>
                <w:color w:val="auto"/>
                <w:kern w:val="0"/>
                <w:szCs w:val="21"/>
                <w:highlight w:val="none"/>
              </w:rPr>
            </w:pPr>
          </w:p>
        </w:tc>
        <w:tc>
          <w:tcPr>
            <w:tcW w:w="18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宋体" w:hAnsi="宋体" w:cs="宋体"/>
                <w:color w:val="auto"/>
                <w:kern w:val="0"/>
                <w:szCs w:val="21"/>
                <w:highlight w:val="none"/>
              </w:rPr>
            </w:pPr>
          </w:p>
        </w:tc>
        <w:tc>
          <w:tcPr>
            <w:tcW w:w="1230"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1" w:hRule="atLeast"/>
        </w:trPr>
        <w:tc>
          <w:tcPr>
            <w:tcW w:w="83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c>
          <w:tcPr>
            <w:tcW w:w="155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宋体" w:hAnsi="宋体" w:cs="宋体"/>
                <w:color w:val="auto"/>
                <w:kern w:val="0"/>
                <w:szCs w:val="21"/>
                <w:highlight w:val="none"/>
              </w:rPr>
            </w:pPr>
          </w:p>
        </w:tc>
        <w:tc>
          <w:tcPr>
            <w:tcW w:w="1732"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宋体" w:hAnsi="宋体" w:cs="宋体"/>
                <w:color w:val="auto"/>
                <w:kern w:val="0"/>
                <w:szCs w:val="21"/>
                <w:highlight w:val="none"/>
              </w:rPr>
            </w:pPr>
          </w:p>
        </w:tc>
        <w:tc>
          <w:tcPr>
            <w:tcW w:w="1603"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宋体" w:hAnsi="宋体" w:cs="宋体"/>
                <w:color w:val="auto"/>
                <w:kern w:val="0"/>
                <w:szCs w:val="21"/>
                <w:highlight w:val="none"/>
              </w:rPr>
            </w:pPr>
          </w:p>
        </w:tc>
        <w:tc>
          <w:tcPr>
            <w:tcW w:w="18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宋体" w:hAnsi="宋体" w:cs="宋体"/>
                <w:color w:val="auto"/>
                <w:kern w:val="0"/>
                <w:szCs w:val="21"/>
                <w:highlight w:val="none"/>
              </w:rPr>
            </w:pPr>
          </w:p>
        </w:tc>
        <w:tc>
          <w:tcPr>
            <w:tcW w:w="1230"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宋体" w:hAnsi="宋体" w:cs="宋体"/>
                <w:color w:val="auto"/>
                <w:kern w:val="0"/>
                <w:szCs w:val="21"/>
                <w:highlight w:val="none"/>
              </w:rPr>
            </w:pPr>
          </w:p>
        </w:tc>
      </w:tr>
    </w:tbl>
    <w:p>
      <w:pPr>
        <w:spacing w:line="360" w:lineRule="auto"/>
        <w:jc w:val="left"/>
        <w:rPr>
          <w:rFonts w:ascii="宋体" w:hAnsi="宋体" w:cs="宋体"/>
          <w:color w:val="auto"/>
          <w:kern w:val="0"/>
          <w:sz w:val="24"/>
          <w:highlight w:val="none"/>
        </w:rPr>
      </w:pPr>
    </w:p>
    <w:p>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lang w:val="zh-CN"/>
        </w:rPr>
        <w:t>投标人名称(电子签章)</w:t>
      </w:r>
      <w:r>
        <w:rPr>
          <w:rFonts w:hint="eastAsia" w:ascii="宋体" w:hAnsi="宋体" w:cs="宋体"/>
          <w:color w:val="auto"/>
          <w:kern w:val="0"/>
          <w:szCs w:val="21"/>
          <w:highlight w:val="none"/>
        </w:rPr>
        <w:t xml:space="preserve">：         </w:t>
      </w:r>
    </w:p>
    <w:p>
      <w:pPr>
        <w:pStyle w:val="25"/>
        <w:ind w:firstLine="420"/>
        <w:rPr>
          <w:color w:val="auto"/>
          <w:sz w:val="21"/>
          <w:szCs w:val="21"/>
          <w:highlight w:val="none"/>
        </w:rPr>
      </w:pPr>
      <w:r>
        <w:rPr>
          <w:rFonts w:hint="eastAsia" w:cs="宋体"/>
          <w:color w:val="auto"/>
          <w:kern w:val="0"/>
          <w:sz w:val="21"/>
          <w:szCs w:val="21"/>
          <w:highlight w:val="none"/>
        </w:rPr>
        <w:t>日  期：</w:t>
      </w:r>
    </w:p>
    <w:p>
      <w:pPr>
        <w:snapToGrid w:val="0"/>
        <w:spacing w:line="360" w:lineRule="auto"/>
        <w:ind w:firstLine="840" w:firstLineChars="400"/>
        <w:rPr>
          <w:rFonts w:ascii="宋体" w:hAnsi="宋体" w:cs="宋体"/>
          <w:color w:val="auto"/>
          <w:szCs w:val="21"/>
          <w:highlight w:val="none"/>
        </w:rPr>
      </w:pPr>
    </w:p>
    <w:p>
      <w:pPr>
        <w:pStyle w:val="25"/>
        <w:ind w:firstLine="0" w:firstLineChars="0"/>
        <w:rPr>
          <w:color w:val="auto"/>
          <w:sz w:val="21"/>
          <w:szCs w:val="21"/>
          <w:highlight w:val="none"/>
        </w:rPr>
      </w:pPr>
    </w:p>
    <w:p>
      <w:pPr>
        <w:jc w:val="left"/>
        <w:rPr>
          <w:rFonts w:ascii="宋体" w:hAnsi="宋体" w:cs="宋体"/>
          <w:b/>
          <w:color w:val="auto"/>
          <w:kern w:val="0"/>
          <w:szCs w:val="21"/>
          <w:highlight w:val="none"/>
        </w:rPr>
      </w:pPr>
    </w:p>
    <w:p>
      <w:pPr>
        <w:snapToGrid w:val="0"/>
        <w:spacing w:line="360" w:lineRule="auto"/>
        <w:ind w:firstLine="843" w:firstLineChars="400"/>
        <w:rPr>
          <w:rFonts w:ascii="宋体" w:hAnsi="宋体" w:cs="宋体"/>
          <w:b/>
          <w:color w:val="auto"/>
          <w:highlight w:val="none"/>
        </w:rPr>
      </w:pPr>
      <w:r>
        <w:rPr>
          <w:rFonts w:hint="eastAsia" w:ascii="宋体" w:hAnsi="宋体" w:cs="宋体"/>
          <w:b/>
          <w:color w:val="auto"/>
          <w:szCs w:val="21"/>
          <w:highlight w:val="none"/>
        </w:rPr>
        <w:t>（8-4）评标标准相应的其他商务技术资料</w:t>
      </w:r>
      <w:r>
        <w:rPr>
          <w:rFonts w:hint="eastAsia" w:ascii="宋体" w:hAnsi="宋体" w:cs="宋体"/>
          <w:b/>
          <w:color w:val="auto"/>
          <w:highlight w:val="none"/>
        </w:rPr>
        <w:t>。</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spacing w:line="360" w:lineRule="auto"/>
        <w:jc w:val="center"/>
        <w:rPr>
          <w:rFonts w:ascii="宋体" w:hAnsi="宋体" w:cs="宋体"/>
          <w:b/>
          <w:color w:val="auto"/>
          <w:kern w:val="0"/>
          <w:sz w:val="36"/>
          <w:szCs w:val="36"/>
          <w:highlight w:val="none"/>
        </w:rPr>
      </w:pPr>
    </w:p>
    <w:p>
      <w:pPr>
        <w:spacing w:line="360" w:lineRule="auto"/>
        <w:jc w:val="center"/>
        <w:rPr>
          <w:rFonts w:ascii="宋体" w:hAnsi="宋体" w:cs="宋体"/>
          <w:b/>
          <w:color w:val="auto"/>
          <w:kern w:val="0"/>
          <w:sz w:val="36"/>
          <w:szCs w:val="36"/>
          <w:highlight w:val="none"/>
        </w:rPr>
      </w:pPr>
    </w:p>
    <w:p>
      <w:pPr>
        <w:spacing w:line="360" w:lineRule="auto"/>
        <w:jc w:val="center"/>
        <w:rPr>
          <w:rFonts w:ascii="宋体" w:hAnsi="宋体" w:cs="宋体"/>
          <w:b/>
          <w:color w:val="auto"/>
          <w:kern w:val="0"/>
          <w:sz w:val="36"/>
          <w:szCs w:val="36"/>
          <w:highlight w:val="none"/>
        </w:rPr>
      </w:pPr>
    </w:p>
    <w:p>
      <w:pPr>
        <w:spacing w:line="360" w:lineRule="auto"/>
        <w:jc w:val="center"/>
        <w:rPr>
          <w:rFonts w:ascii="宋体" w:hAnsi="宋体" w:cs="宋体"/>
          <w:b/>
          <w:color w:val="auto"/>
          <w:kern w:val="0"/>
          <w:sz w:val="36"/>
          <w:szCs w:val="36"/>
          <w:highlight w:val="none"/>
        </w:rPr>
      </w:pPr>
    </w:p>
    <w:p>
      <w:pPr>
        <w:spacing w:line="360" w:lineRule="auto"/>
        <w:jc w:val="center"/>
        <w:rPr>
          <w:rFonts w:ascii="宋体" w:hAnsi="宋体" w:cs="宋体"/>
          <w:b/>
          <w:color w:val="auto"/>
          <w:kern w:val="0"/>
          <w:sz w:val="36"/>
          <w:szCs w:val="36"/>
          <w:highlight w:val="none"/>
        </w:rPr>
      </w:pPr>
    </w:p>
    <w:p>
      <w:pPr>
        <w:spacing w:line="360" w:lineRule="auto"/>
        <w:jc w:val="center"/>
        <w:rPr>
          <w:rFonts w:ascii="宋体" w:hAnsi="宋体" w:cs="宋体"/>
          <w:b/>
          <w:color w:val="auto"/>
          <w:kern w:val="0"/>
          <w:sz w:val="36"/>
          <w:szCs w:val="36"/>
          <w:highlight w:val="none"/>
        </w:rPr>
      </w:pPr>
    </w:p>
    <w:p>
      <w:pPr>
        <w:spacing w:line="360" w:lineRule="auto"/>
        <w:jc w:val="center"/>
        <w:rPr>
          <w:rFonts w:ascii="宋体" w:hAnsi="宋体" w:cs="宋体"/>
          <w:b/>
          <w:color w:val="auto"/>
          <w:kern w:val="0"/>
          <w:sz w:val="36"/>
          <w:szCs w:val="36"/>
          <w:highlight w:val="none"/>
        </w:rPr>
      </w:pPr>
    </w:p>
    <w:p>
      <w:pPr>
        <w:jc w:val="center"/>
        <w:rPr>
          <w:b/>
          <w:bCs/>
          <w:color w:val="auto"/>
          <w:sz w:val="36"/>
          <w:szCs w:val="36"/>
          <w:highlight w:val="none"/>
        </w:rPr>
      </w:pPr>
      <w:bookmarkStart w:id="631" w:name="_Toc16712"/>
      <w:r>
        <w:rPr>
          <w:rFonts w:hint="eastAsia"/>
          <w:b/>
          <w:bCs/>
          <w:color w:val="auto"/>
          <w:sz w:val="36"/>
          <w:szCs w:val="36"/>
          <w:highlight w:val="none"/>
        </w:rPr>
        <w:t>报价文件部分</w:t>
      </w:r>
      <w:bookmarkEnd w:id="631"/>
    </w:p>
    <w:p>
      <w:pPr>
        <w:spacing w:line="360" w:lineRule="auto"/>
        <w:jc w:val="center"/>
        <w:rPr>
          <w:rFonts w:ascii="宋体" w:hAnsi="宋体" w:cs="宋体"/>
          <w:b/>
          <w:color w:val="auto"/>
          <w:kern w:val="0"/>
          <w:sz w:val="36"/>
          <w:szCs w:val="36"/>
          <w:highlight w:val="none"/>
        </w:rPr>
      </w:pPr>
      <w:bookmarkStart w:id="632" w:name="_Toc31513"/>
    </w:p>
    <w:p>
      <w:pPr>
        <w:jc w:val="center"/>
        <w:rPr>
          <w:b/>
          <w:bCs/>
          <w:color w:val="auto"/>
          <w:sz w:val="36"/>
          <w:szCs w:val="36"/>
          <w:highlight w:val="none"/>
        </w:rPr>
      </w:pPr>
      <w:r>
        <w:rPr>
          <w:rFonts w:hint="eastAsia"/>
          <w:b/>
          <w:bCs/>
          <w:color w:val="auto"/>
          <w:sz w:val="36"/>
          <w:szCs w:val="36"/>
          <w:highlight w:val="none"/>
        </w:rPr>
        <w:t>目录</w:t>
      </w:r>
      <w:bookmarkEnd w:id="632"/>
    </w:p>
    <w:p>
      <w:pPr>
        <w:spacing w:line="360" w:lineRule="auto"/>
        <w:jc w:val="center"/>
        <w:rPr>
          <w:rFonts w:ascii="宋体" w:hAnsi="宋体" w:cs="宋体"/>
          <w:b/>
          <w:color w:val="auto"/>
          <w:kern w:val="0"/>
          <w:sz w:val="36"/>
          <w:szCs w:val="36"/>
          <w:highlight w:val="none"/>
        </w:rPr>
      </w:pPr>
    </w:p>
    <w:p>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(1)开标一览表（报价表）………………………………………………………（页码）</w:t>
      </w:r>
    </w:p>
    <w:p>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(2)分项报价表……………………………………………………………………（页码）</w:t>
      </w:r>
    </w:p>
    <w:p>
      <w:pPr>
        <w:snapToGrid w:val="0"/>
        <w:spacing w:line="360" w:lineRule="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lang w:val="en-US" w:eastAsia="zh-CN"/>
        </w:rPr>
        <w:t>3</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中小企业声明函</w:t>
      </w:r>
      <w:r>
        <w:rPr>
          <w:rFonts w:hint="eastAsia" w:ascii="宋体" w:hAnsi="宋体" w:cs="宋体"/>
          <w:color w:val="auto"/>
          <w:szCs w:val="21"/>
          <w:highlight w:val="none"/>
        </w:rPr>
        <w:t>……………………………………………………………（页码）</w:t>
      </w:r>
    </w:p>
    <w:p>
      <w:pPr>
        <w:snapToGrid w:val="0"/>
        <w:spacing w:line="360" w:lineRule="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lang w:val="en-US" w:eastAsia="zh-CN"/>
        </w:rPr>
        <w:t>4</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残疾人福利性单位声明函</w:t>
      </w:r>
      <w:r>
        <w:rPr>
          <w:rFonts w:hint="eastAsia" w:ascii="宋体" w:hAnsi="宋体" w:cs="宋体"/>
          <w:color w:val="auto"/>
          <w:szCs w:val="21"/>
          <w:highlight w:val="none"/>
        </w:rPr>
        <w:t>…………………………………………………（页码）</w:t>
      </w:r>
    </w:p>
    <w:p>
      <w:pPr>
        <w:snapToGrid w:val="0"/>
        <w:spacing w:line="360" w:lineRule="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lang w:val="en-US" w:eastAsia="zh-CN"/>
        </w:rPr>
        <w:t>5</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由省级以上监狱管理局、戒毒管理局（含新疆生产建设兵团）出具的属于监狱企业的证明文件</w:t>
      </w:r>
      <w:r>
        <w:rPr>
          <w:rFonts w:hint="eastAsia" w:ascii="宋体" w:hAnsi="宋体" w:cs="宋体"/>
          <w:color w:val="auto"/>
          <w:szCs w:val="21"/>
          <w:highlight w:val="none"/>
        </w:rPr>
        <w:t>……………………………………………………………………………（页码）</w:t>
      </w:r>
    </w:p>
    <w:p>
      <w:pPr>
        <w:snapToGrid w:val="0"/>
        <w:spacing w:line="360" w:lineRule="auto"/>
        <w:ind w:right="480"/>
        <w:jc w:val="center"/>
        <w:rPr>
          <w:rFonts w:ascii="宋体" w:hAnsi="宋体" w:cs="宋体"/>
          <w:b/>
          <w:color w:val="auto"/>
          <w:kern w:val="0"/>
          <w:szCs w:val="21"/>
          <w:highlight w:val="none"/>
        </w:rPr>
      </w:pPr>
    </w:p>
    <w:p>
      <w:pPr>
        <w:snapToGrid w:val="0"/>
        <w:spacing w:line="360" w:lineRule="auto"/>
        <w:ind w:right="480"/>
        <w:jc w:val="center"/>
        <w:rPr>
          <w:rFonts w:ascii="宋体" w:hAnsi="宋体" w:cs="宋体"/>
          <w:b/>
          <w:color w:val="auto"/>
          <w:kern w:val="0"/>
          <w:sz w:val="32"/>
          <w:szCs w:val="32"/>
          <w:highlight w:val="none"/>
        </w:rPr>
      </w:pPr>
    </w:p>
    <w:p>
      <w:pPr>
        <w:pStyle w:val="64"/>
        <w:ind w:firstLine="420"/>
        <w:rPr>
          <w:color w:val="auto"/>
          <w:highlight w:val="none"/>
        </w:rPr>
      </w:pPr>
    </w:p>
    <w:p>
      <w:pPr>
        <w:rPr>
          <w:color w:val="auto"/>
          <w:highlight w:val="none"/>
        </w:rPr>
      </w:pPr>
    </w:p>
    <w:p>
      <w:pPr>
        <w:pStyle w:val="64"/>
        <w:ind w:firstLine="420"/>
        <w:rPr>
          <w:color w:val="auto"/>
          <w:highlight w:val="none"/>
        </w:rPr>
      </w:pPr>
    </w:p>
    <w:p>
      <w:pPr>
        <w:rPr>
          <w:color w:val="auto"/>
          <w:highlight w:val="none"/>
        </w:rPr>
      </w:pPr>
    </w:p>
    <w:p>
      <w:pPr>
        <w:pStyle w:val="64"/>
        <w:ind w:firstLine="420"/>
        <w:rPr>
          <w:color w:val="auto"/>
          <w:highlight w:val="none"/>
        </w:rPr>
      </w:pPr>
    </w:p>
    <w:p>
      <w:pPr>
        <w:rPr>
          <w:color w:val="auto"/>
          <w:highlight w:val="none"/>
        </w:rPr>
      </w:pPr>
    </w:p>
    <w:p>
      <w:pPr>
        <w:pStyle w:val="64"/>
        <w:ind w:firstLine="420"/>
        <w:rPr>
          <w:color w:val="auto"/>
          <w:highlight w:val="none"/>
        </w:rPr>
      </w:pPr>
    </w:p>
    <w:p>
      <w:pPr>
        <w:rPr>
          <w:color w:val="auto"/>
          <w:highlight w:val="none"/>
        </w:rPr>
      </w:pPr>
    </w:p>
    <w:p>
      <w:pPr>
        <w:pStyle w:val="64"/>
        <w:ind w:firstLine="420"/>
        <w:rPr>
          <w:color w:val="auto"/>
          <w:highlight w:val="none"/>
        </w:rPr>
      </w:pPr>
    </w:p>
    <w:p>
      <w:pPr>
        <w:rPr>
          <w:color w:val="auto"/>
          <w:highlight w:val="none"/>
        </w:rPr>
      </w:pPr>
    </w:p>
    <w:p>
      <w:pPr>
        <w:pStyle w:val="64"/>
        <w:ind w:firstLine="420"/>
        <w:rPr>
          <w:color w:val="auto"/>
          <w:highlight w:val="none"/>
        </w:rPr>
      </w:pPr>
    </w:p>
    <w:p>
      <w:pPr>
        <w:rPr>
          <w:color w:val="auto"/>
          <w:highlight w:val="none"/>
        </w:rPr>
      </w:pPr>
    </w:p>
    <w:p>
      <w:pPr>
        <w:pStyle w:val="64"/>
        <w:ind w:firstLine="420"/>
        <w:rPr>
          <w:color w:val="auto"/>
          <w:highlight w:val="none"/>
        </w:rPr>
        <w:sectPr>
          <w:headerReference r:id="rId16" w:type="first"/>
          <w:footerReference r:id="rId18" w:type="first"/>
          <w:headerReference r:id="rId15" w:type="default"/>
          <w:footerReference r:id="rId17" w:type="default"/>
          <w:pgSz w:w="11905" w:h="16838"/>
          <w:pgMar w:top="1440" w:right="1803" w:bottom="1440" w:left="1803" w:header="851" w:footer="992" w:gutter="0"/>
          <w:cols w:space="0" w:num="1"/>
          <w:docGrid w:type="lines" w:linePitch="325" w:charSpace="0"/>
        </w:sectPr>
      </w:pPr>
    </w:p>
    <w:p>
      <w:pPr>
        <w:pStyle w:val="64"/>
        <w:ind w:firstLine="420"/>
        <w:rPr>
          <w:color w:val="auto"/>
          <w:highlight w:val="none"/>
        </w:rPr>
      </w:pPr>
    </w:p>
    <w:p>
      <w:pPr>
        <w:jc w:val="center"/>
        <w:outlineLvl w:val="1"/>
        <w:rPr>
          <w:b/>
          <w:bCs/>
          <w:color w:val="auto"/>
          <w:sz w:val="30"/>
          <w:szCs w:val="30"/>
          <w:highlight w:val="none"/>
        </w:rPr>
      </w:pPr>
      <w:bookmarkStart w:id="633" w:name="_Toc21159"/>
      <w:r>
        <w:rPr>
          <w:rFonts w:hint="eastAsia"/>
          <w:b/>
          <w:bCs/>
          <w:color w:val="auto"/>
          <w:sz w:val="30"/>
          <w:szCs w:val="30"/>
          <w:highlight w:val="none"/>
        </w:rPr>
        <w:t>一、开标一览表（报价表）</w:t>
      </w:r>
      <w:bookmarkEnd w:id="633"/>
    </w:p>
    <w:p>
      <w:pPr>
        <w:snapToGrid w:val="0"/>
        <w:spacing w:line="360" w:lineRule="auto"/>
        <w:rPr>
          <w:rFonts w:ascii="宋体" w:hAnsi="宋体" w:cs="宋体"/>
          <w:color w:val="auto"/>
          <w:sz w:val="24"/>
          <w:highlight w:val="none"/>
        </w:rPr>
      </w:pPr>
    </w:p>
    <w:p>
      <w:pPr>
        <w:snapToGrid w:val="0"/>
        <w:spacing w:line="360" w:lineRule="auto"/>
        <w:rPr>
          <w:rFonts w:ascii="宋体" w:hAnsi="宋体" w:cs="宋体"/>
          <w:color w:val="auto"/>
          <w:kern w:val="0"/>
          <w:szCs w:val="21"/>
          <w:highlight w:val="none"/>
        </w:rPr>
      </w:pPr>
      <w:r>
        <w:rPr>
          <w:rFonts w:hint="eastAsia" w:ascii="宋体" w:hAnsi="宋体" w:cs="宋体"/>
          <w:color w:val="auto"/>
          <w:szCs w:val="21"/>
          <w:highlight w:val="none"/>
          <w:u w:val="single"/>
        </w:rPr>
        <w:t>（采购人）、（采购代理机构）</w:t>
      </w:r>
      <w:r>
        <w:rPr>
          <w:rFonts w:hint="eastAsia" w:ascii="宋体" w:hAnsi="宋体" w:cs="宋体"/>
          <w:color w:val="auto"/>
          <w:kern w:val="0"/>
          <w:szCs w:val="21"/>
          <w:highlight w:val="none"/>
          <w:lang w:val="zh-CN"/>
        </w:rPr>
        <w:t>：</w:t>
      </w:r>
    </w:p>
    <w:p>
      <w:pPr>
        <w:snapToGrid w:val="0"/>
        <w:spacing w:line="360" w:lineRule="auto"/>
        <w:ind w:firstLine="482"/>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Cs w:val="21"/>
          <w:highlight w:val="none"/>
        </w:rPr>
        <w:t>（项目名称）</w:t>
      </w:r>
      <w:r>
        <w:rPr>
          <w:rFonts w:hint="eastAsia" w:ascii="宋体" w:hAnsi="宋体" w:cs="宋体"/>
          <w:color w:val="auto"/>
          <w:kern w:val="0"/>
          <w:szCs w:val="21"/>
          <w:highlight w:val="none"/>
          <w:lang w:val="zh-CN"/>
        </w:rPr>
        <w:t>【招标编号：_</w:t>
      </w:r>
      <w:r>
        <w:rPr>
          <w:rFonts w:ascii="宋体" w:hAnsi="宋体" w:cs="宋体"/>
          <w:color w:val="auto"/>
          <w:kern w:val="0"/>
          <w:szCs w:val="21"/>
          <w:highlight w:val="none"/>
          <w:lang w:val="zh-CN"/>
        </w:rPr>
        <w:t>______</w:t>
      </w:r>
      <w:r>
        <w:rPr>
          <w:rFonts w:hint="eastAsia" w:ascii="宋体" w:hAnsi="宋体" w:cs="宋体"/>
          <w:color w:val="auto"/>
          <w:szCs w:val="21"/>
          <w:highlight w:val="none"/>
        </w:rPr>
        <w:t>】的实施</w:t>
      </w:r>
      <w:r>
        <w:rPr>
          <w:rFonts w:hint="eastAsia" w:ascii="宋体" w:hAnsi="宋体" w:cs="宋体"/>
          <w:color w:val="auto"/>
          <w:kern w:val="0"/>
          <w:szCs w:val="21"/>
          <w:highlight w:val="none"/>
          <w:lang w:val="zh-CN"/>
        </w:rPr>
        <w:t>。</w:t>
      </w:r>
    </w:p>
    <w:p>
      <w:pPr>
        <w:spacing w:line="360" w:lineRule="auto"/>
        <w:jc w:val="center"/>
        <w:outlineLvl w:val="2"/>
        <w:rPr>
          <w:rFonts w:ascii="宋体" w:hAnsi="宋体" w:cs="宋体"/>
          <w:b/>
          <w:color w:val="auto"/>
          <w:kern w:val="0"/>
          <w:szCs w:val="21"/>
          <w:highlight w:val="none"/>
          <w:lang w:val="zh-CN"/>
        </w:rPr>
      </w:pPr>
      <w:r>
        <w:rPr>
          <w:rFonts w:hint="eastAsia" w:ascii="宋体" w:hAnsi="宋体" w:cs="宋体"/>
          <w:b/>
          <w:color w:val="auto"/>
          <w:kern w:val="0"/>
          <w:szCs w:val="21"/>
          <w:highlight w:val="none"/>
          <w:lang w:val="zh-CN"/>
        </w:rPr>
        <w:t>开标一览表（报价表）(单位均为人民币元)</w:t>
      </w:r>
      <w:r>
        <w:rPr>
          <w:rFonts w:ascii="宋体" w:hAnsi="宋体" w:cs="宋体"/>
          <w:b/>
          <w:color w:val="auto"/>
          <w:kern w:val="0"/>
          <w:szCs w:val="21"/>
          <w:highlight w:val="none"/>
          <w:lang w:val="zh-CN"/>
        </w:rPr>
        <w:t xml:space="preserve">              </w:t>
      </w:r>
    </w:p>
    <w:tbl>
      <w:tblPr>
        <w:tblStyle w:val="65"/>
        <w:tblW w:w="45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4303"/>
        <w:gridCol w:w="2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520" w:type="pct"/>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cs="宋体"/>
                <w:color w:val="auto"/>
                <w:szCs w:val="21"/>
                <w:highlight w:val="none"/>
              </w:rPr>
            </w:pPr>
            <w:r>
              <w:rPr>
                <w:rFonts w:hint="eastAsia" w:ascii="宋体" w:hAnsi="宋体" w:cs="宋体"/>
                <w:color w:val="auto"/>
                <w:szCs w:val="21"/>
                <w:highlight w:val="none"/>
                <w:lang w:bidi="ar"/>
              </w:rPr>
              <w:t>标项</w:t>
            </w:r>
          </w:p>
        </w:tc>
        <w:tc>
          <w:tcPr>
            <w:tcW w:w="2772" w:type="pct"/>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cs="宋体"/>
                <w:color w:val="auto"/>
                <w:szCs w:val="21"/>
                <w:highlight w:val="none"/>
                <w:lang w:bidi="ar"/>
              </w:rPr>
            </w:pPr>
            <w:r>
              <w:rPr>
                <w:rFonts w:hint="eastAsia" w:ascii="宋体" w:hAnsi="宋体" w:cs="宋体"/>
                <w:color w:val="auto"/>
                <w:szCs w:val="21"/>
                <w:highlight w:val="none"/>
                <w:lang w:bidi="ar"/>
              </w:rPr>
              <w:t>采购内容</w:t>
            </w:r>
          </w:p>
        </w:tc>
        <w:tc>
          <w:tcPr>
            <w:tcW w:w="1707" w:type="pct"/>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hint="eastAsia" w:ascii="宋体" w:hAnsi="宋体" w:eastAsia="宋体" w:cs="宋体"/>
                <w:color w:val="auto"/>
                <w:szCs w:val="21"/>
                <w:highlight w:val="none"/>
                <w:lang w:eastAsia="zh-CN" w:bidi="ar"/>
              </w:rPr>
            </w:pPr>
            <w:r>
              <w:rPr>
                <w:rFonts w:hint="eastAsia" w:ascii="宋体" w:hAnsi="宋体" w:cs="宋体"/>
                <w:color w:val="auto"/>
                <w:szCs w:val="21"/>
                <w:highlight w:val="none"/>
                <w:lang w:bidi="ar"/>
              </w:rPr>
              <w:t>投标</w:t>
            </w:r>
            <w:r>
              <w:rPr>
                <w:rFonts w:hint="eastAsia" w:ascii="宋体" w:hAnsi="宋体" w:cs="宋体"/>
                <w:color w:val="auto"/>
                <w:szCs w:val="21"/>
                <w:highlight w:val="none"/>
                <w:lang w:val="en-US" w:eastAsia="zh-CN" w:bidi="ar"/>
              </w:rPr>
              <w:t>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520" w:type="pct"/>
            <w:tcBorders>
              <w:top w:val="single" w:color="auto" w:sz="4" w:space="0"/>
              <w:left w:val="single" w:color="auto" w:sz="4" w:space="0"/>
              <w:bottom w:val="single" w:color="auto" w:sz="4" w:space="0"/>
              <w:right w:val="single" w:color="auto" w:sz="4" w:space="0"/>
            </w:tcBorders>
            <w:vAlign w:val="center"/>
          </w:tcPr>
          <w:p>
            <w:pPr>
              <w:pStyle w:val="60"/>
              <w:widowControl w:val="0"/>
              <w:snapToGrid w:val="0"/>
              <w:spacing w:after="120" w:line="360" w:lineRule="auto"/>
              <w:jc w:val="center"/>
              <w:rPr>
                <w:rFonts w:cs="宋体"/>
                <w:color w:val="auto"/>
                <w:sz w:val="21"/>
                <w:szCs w:val="21"/>
                <w:highlight w:val="none"/>
              </w:rPr>
            </w:pPr>
            <w:r>
              <w:rPr>
                <w:rFonts w:hint="eastAsia" w:cs="宋体"/>
                <w:color w:val="auto"/>
                <w:sz w:val="21"/>
                <w:szCs w:val="21"/>
                <w:highlight w:val="none"/>
              </w:rPr>
              <w:t>一</w:t>
            </w:r>
          </w:p>
        </w:tc>
        <w:tc>
          <w:tcPr>
            <w:tcW w:w="2772" w:type="pct"/>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jc w:val="center"/>
              <w:rPr>
                <w:rFonts w:ascii="宋体" w:hAnsi="宋体" w:cs="宋体"/>
                <w:color w:val="auto"/>
                <w:kern w:val="0"/>
                <w:szCs w:val="21"/>
                <w:highlight w:val="none"/>
              </w:rPr>
            </w:pPr>
          </w:p>
        </w:tc>
        <w:tc>
          <w:tcPr>
            <w:tcW w:w="1707" w:type="pct"/>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420"/>
              <w:jc w:val="center"/>
              <w:rPr>
                <w:rFonts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520" w:type="pct"/>
            <w:tcBorders>
              <w:top w:val="single" w:color="auto" w:sz="4" w:space="0"/>
              <w:left w:val="single" w:color="auto" w:sz="4" w:space="0"/>
              <w:bottom w:val="single" w:color="auto" w:sz="4" w:space="0"/>
              <w:right w:val="single" w:color="auto" w:sz="4" w:space="0"/>
            </w:tcBorders>
            <w:vAlign w:val="center"/>
          </w:tcPr>
          <w:p>
            <w:pPr>
              <w:pStyle w:val="60"/>
              <w:widowControl w:val="0"/>
              <w:snapToGrid w:val="0"/>
              <w:spacing w:after="120" w:line="360" w:lineRule="auto"/>
              <w:jc w:val="center"/>
              <w:rPr>
                <w:rFonts w:cs="宋体"/>
                <w:color w:val="auto"/>
                <w:sz w:val="21"/>
                <w:szCs w:val="21"/>
                <w:highlight w:val="none"/>
              </w:rPr>
            </w:pPr>
            <w:r>
              <w:rPr>
                <w:rFonts w:hint="eastAsia" w:cs="宋体"/>
                <w:color w:val="auto"/>
                <w:sz w:val="21"/>
                <w:szCs w:val="21"/>
                <w:highlight w:val="none"/>
              </w:rPr>
              <w:t>二</w:t>
            </w:r>
          </w:p>
        </w:tc>
        <w:tc>
          <w:tcPr>
            <w:tcW w:w="2772" w:type="pct"/>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jc w:val="center"/>
              <w:rPr>
                <w:rFonts w:ascii="宋体" w:hAnsi="宋体" w:cs="宋体"/>
                <w:color w:val="auto"/>
                <w:kern w:val="0"/>
                <w:szCs w:val="21"/>
                <w:highlight w:val="none"/>
              </w:rPr>
            </w:pPr>
          </w:p>
        </w:tc>
        <w:tc>
          <w:tcPr>
            <w:tcW w:w="1707" w:type="pct"/>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420"/>
              <w:jc w:val="center"/>
              <w:rPr>
                <w:rFonts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520" w:type="pct"/>
            <w:tcBorders>
              <w:top w:val="single" w:color="auto" w:sz="4" w:space="0"/>
              <w:left w:val="single" w:color="auto" w:sz="4" w:space="0"/>
              <w:bottom w:val="single" w:color="auto" w:sz="4" w:space="0"/>
              <w:right w:val="single" w:color="auto" w:sz="4" w:space="0"/>
            </w:tcBorders>
            <w:vAlign w:val="center"/>
          </w:tcPr>
          <w:p>
            <w:pPr>
              <w:pStyle w:val="60"/>
              <w:widowControl w:val="0"/>
              <w:snapToGrid w:val="0"/>
              <w:spacing w:after="120" w:line="360" w:lineRule="auto"/>
              <w:jc w:val="center"/>
              <w:rPr>
                <w:rFonts w:cs="宋体"/>
                <w:color w:val="auto"/>
                <w:sz w:val="21"/>
                <w:szCs w:val="21"/>
                <w:highlight w:val="none"/>
              </w:rPr>
            </w:pPr>
            <w:r>
              <w:rPr>
                <w:rFonts w:hint="eastAsia" w:cs="宋体"/>
                <w:color w:val="auto"/>
                <w:sz w:val="21"/>
                <w:szCs w:val="21"/>
                <w:highlight w:val="none"/>
              </w:rPr>
              <w:t>三</w:t>
            </w:r>
          </w:p>
        </w:tc>
        <w:tc>
          <w:tcPr>
            <w:tcW w:w="2772" w:type="pct"/>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jc w:val="center"/>
              <w:rPr>
                <w:rFonts w:ascii="宋体" w:hAnsi="宋体" w:cs="宋体"/>
                <w:color w:val="auto"/>
                <w:kern w:val="0"/>
                <w:szCs w:val="21"/>
                <w:highlight w:val="none"/>
              </w:rPr>
            </w:pPr>
          </w:p>
        </w:tc>
        <w:tc>
          <w:tcPr>
            <w:tcW w:w="1707" w:type="pct"/>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420"/>
              <w:jc w:val="center"/>
              <w:rPr>
                <w:rFonts w:cs="宋体"/>
                <w:color w:val="auto"/>
                <w:kern w:val="0"/>
                <w:sz w:val="21"/>
                <w:szCs w:val="21"/>
                <w:highlight w:val="none"/>
              </w:rPr>
            </w:pPr>
          </w:p>
        </w:tc>
      </w:tr>
    </w:tbl>
    <w:p>
      <w:pPr>
        <w:snapToGrid w:val="0"/>
        <w:spacing w:line="360" w:lineRule="auto"/>
        <w:ind w:left="480"/>
        <w:rPr>
          <w:rFonts w:ascii="宋体" w:hAnsi="宋体" w:cs="宋体"/>
          <w:b/>
          <w:color w:val="auto"/>
          <w:kern w:val="0"/>
          <w:szCs w:val="21"/>
          <w:highlight w:val="none"/>
          <w:lang w:val="zh-CN"/>
        </w:rPr>
      </w:pPr>
      <w:r>
        <w:rPr>
          <w:rFonts w:hint="eastAsia" w:ascii="宋体" w:hAnsi="宋体" w:cs="宋体"/>
          <w:b/>
          <w:color w:val="auto"/>
          <w:kern w:val="0"/>
          <w:szCs w:val="21"/>
          <w:highlight w:val="none"/>
          <w:lang w:val="zh-CN"/>
        </w:rPr>
        <w:t>注：</w:t>
      </w:r>
    </w:p>
    <w:p>
      <w:pPr>
        <w:spacing w:line="360" w:lineRule="auto"/>
        <w:ind w:left="-2" w:leftChars="-1" w:firstLine="420" w:firstLineChars="200"/>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1、投标人需按本表格式填写</w:t>
      </w:r>
      <w:r>
        <w:rPr>
          <w:rFonts w:hint="eastAsia" w:ascii="宋体" w:hAnsi="宋体" w:cs="宋体"/>
          <w:b/>
          <w:color w:val="auto"/>
          <w:kern w:val="0"/>
          <w:szCs w:val="21"/>
          <w:highlight w:val="none"/>
          <w:lang w:val="zh-CN"/>
        </w:rPr>
        <w:t>，</w:t>
      </w:r>
      <w:r>
        <w:rPr>
          <w:rFonts w:hint="eastAsia" w:ascii="宋体" w:hAnsi="宋体" w:cs="宋体"/>
          <w:b/>
          <w:color w:val="auto"/>
          <w:kern w:val="0"/>
          <w:szCs w:val="21"/>
          <w:highlight w:val="none"/>
        </w:rPr>
        <w:t>否则视为</w:t>
      </w:r>
      <w:r>
        <w:rPr>
          <w:rFonts w:hint="eastAsia" w:ascii="宋体" w:hAnsi="宋体" w:cs="宋体"/>
          <w:b/>
          <w:color w:val="auto"/>
          <w:szCs w:val="21"/>
          <w:highlight w:val="none"/>
        </w:rPr>
        <w:t>投标文件含有采购人不能接受的附加条件，投标无效</w:t>
      </w:r>
      <w:r>
        <w:rPr>
          <w:rFonts w:hint="eastAsia" w:ascii="宋体" w:hAnsi="宋体" w:cs="宋体"/>
          <w:b/>
          <w:color w:val="auto"/>
          <w:kern w:val="0"/>
          <w:szCs w:val="21"/>
          <w:highlight w:val="none"/>
          <w:lang w:val="zh-CN"/>
        </w:rPr>
        <w:t>；</w:t>
      </w:r>
      <w:r>
        <w:rPr>
          <w:rFonts w:hint="eastAsia" w:ascii="宋体" w:hAnsi="宋体" w:cs="宋体"/>
          <w:color w:val="auto"/>
          <w:kern w:val="0"/>
          <w:szCs w:val="21"/>
          <w:highlight w:val="none"/>
          <w:lang w:val="zh-CN"/>
        </w:rPr>
        <w:t>。</w:t>
      </w:r>
    </w:p>
    <w:p>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lang w:val="zh-CN"/>
        </w:rPr>
        <w:t>2、有关本项目实施所涉及的一切费用均计入报价。</w:t>
      </w:r>
      <w:r>
        <w:rPr>
          <w:rFonts w:hint="eastAsia" w:ascii="宋体" w:hAnsi="宋体" w:cs="宋体"/>
          <w:b/>
          <w:color w:val="auto"/>
          <w:kern w:val="0"/>
          <w:szCs w:val="21"/>
          <w:highlight w:val="none"/>
          <w:lang w:val="zh-CN"/>
        </w:rPr>
        <w:t>采购人将以合同形式有偿取得货物或服务，不接受投标人给予的赠品、回扣或者与采购无关的其他商品、服务</w:t>
      </w:r>
      <w:r>
        <w:rPr>
          <w:rFonts w:hint="eastAsia" w:ascii="宋体" w:hAnsi="宋体" w:cs="宋体"/>
          <w:color w:val="auto"/>
          <w:kern w:val="0"/>
          <w:szCs w:val="21"/>
          <w:highlight w:val="none"/>
          <w:lang w:val="zh-CN"/>
        </w:rPr>
        <w:t>，</w:t>
      </w:r>
      <w:r>
        <w:rPr>
          <w:rFonts w:hint="eastAsia" w:ascii="宋体" w:hAnsi="宋体" w:cs="宋体"/>
          <w:b/>
          <w:color w:val="auto"/>
          <w:kern w:val="0"/>
          <w:szCs w:val="21"/>
          <w:highlight w:val="none"/>
          <w:lang w:val="zh-CN"/>
        </w:rPr>
        <w:t>不得出现“0元”“免费赠送”等形式的无偿报价，</w:t>
      </w:r>
      <w:r>
        <w:rPr>
          <w:rFonts w:hint="eastAsia" w:ascii="宋体" w:hAnsi="宋体" w:cs="宋体"/>
          <w:b/>
          <w:color w:val="auto"/>
          <w:kern w:val="0"/>
          <w:szCs w:val="21"/>
          <w:highlight w:val="none"/>
        </w:rPr>
        <w:t>否则视为</w:t>
      </w:r>
      <w:r>
        <w:rPr>
          <w:rFonts w:hint="eastAsia" w:ascii="宋体" w:hAnsi="宋体" w:cs="宋体"/>
          <w:b/>
          <w:color w:val="auto"/>
          <w:szCs w:val="21"/>
          <w:highlight w:val="none"/>
        </w:rPr>
        <w:t>投标文件含有采购人不能接受的附加条件，投标无效</w:t>
      </w:r>
      <w:r>
        <w:rPr>
          <w:rFonts w:hint="eastAsia" w:ascii="宋体" w:hAnsi="宋体" w:cs="宋体"/>
          <w:b/>
          <w:color w:val="auto"/>
          <w:kern w:val="0"/>
          <w:szCs w:val="21"/>
          <w:highlight w:val="none"/>
          <w:lang w:val="zh-CN"/>
        </w:rPr>
        <w:t>；采购内容未包含在《开标一览表（报价表）》名称栏中，投标人不能作出合理解释的，</w:t>
      </w:r>
      <w:r>
        <w:rPr>
          <w:rFonts w:hint="eastAsia" w:ascii="宋体" w:hAnsi="宋体" w:cs="宋体"/>
          <w:b/>
          <w:color w:val="auto"/>
          <w:kern w:val="0"/>
          <w:szCs w:val="21"/>
          <w:highlight w:val="none"/>
        </w:rPr>
        <w:t>视为</w:t>
      </w:r>
      <w:r>
        <w:rPr>
          <w:rFonts w:hint="eastAsia" w:ascii="宋体" w:hAnsi="宋体" w:cs="宋体"/>
          <w:b/>
          <w:color w:val="auto"/>
          <w:szCs w:val="21"/>
          <w:highlight w:val="none"/>
        </w:rPr>
        <w:t>投标文件含有采购人不能接受的附加条件的，投标无效。</w:t>
      </w:r>
    </w:p>
    <w:p>
      <w:pPr>
        <w:snapToGrid w:val="0"/>
        <w:spacing w:line="360" w:lineRule="auto"/>
        <w:ind w:firstLine="420" w:firstLineChars="20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20" w:firstLineChars="200"/>
        <w:jc w:val="left"/>
        <w:rPr>
          <w:rFonts w:ascii="宋体" w:hAnsi="宋体" w:cs="宋体"/>
          <w:color w:val="auto"/>
          <w:kern w:val="0"/>
          <w:szCs w:val="21"/>
          <w:highlight w:val="none"/>
          <w:lang w:val="zh-CN"/>
        </w:rPr>
        <w:sectPr>
          <w:pgSz w:w="11905" w:h="16838"/>
          <w:pgMar w:top="1440" w:right="1803" w:bottom="1440" w:left="1803" w:header="851" w:footer="992" w:gutter="0"/>
          <w:cols w:space="0" w:num="1"/>
          <w:docGrid w:type="lines" w:linePitch="325" w:charSpace="0"/>
        </w:sectPr>
      </w:pPr>
      <w:r>
        <w:rPr>
          <w:rFonts w:hint="eastAsia" w:ascii="宋体" w:hAnsi="宋体" w:cs="宋体"/>
          <w:color w:val="auto"/>
          <w:kern w:val="0"/>
          <w:szCs w:val="21"/>
          <w:highlight w:val="none"/>
          <w:lang w:val="zh-CN"/>
        </w:rPr>
        <w:t>4、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pStyle w:val="693"/>
        <w:keepNext w:val="0"/>
        <w:pageBreakBefore w:val="0"/>
        <w:numPr>
          <w:ilvl w:val="0"/>
          <w:numId w:val="10"/>
        </w:numPr>
        <w:tabs>
          <w:tab w:val="clear" w:pos="720"/>
        </w:tabs>
        <w:snapToGrid w:val="0"/>
        <w:spacing w:before="120" w:after="120"/>
        <w:outlineLvl w:val="1"/>
        <w:rPr>
          <w:rFonts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分项报价表</w:t>
      </w:r>
    </w:p>
    <w:p>
      <w:pPr>
        <w:spacing w:line="360" w:lineRule="auto"/>
        <w:jc w:val="left"/>
        <w:rPr>
          <w:rFonts w:ascii="宋体" w:hAnsi="宋体" w:cs="宋体"/>
          <w:b/>
          <w:color w:val="auto"/>
          <w:kern w:val="0"/>
          <w:szCs w:val="21"/>
          <w:highlight w:val="none"/>
          <w:lang w:val="zh-CN"/>
        </w:rPr>
      </w:pPr>
      <w:r>
        <w:rPr>
          <w:rFonts w:hint="eastAsia" w:ascii="宋体" w:hAnsi="宋体" w:cs="宋体"/>
          <w:b/>
          <w:color w:val="auto"/>
          <w:kern w:val="0"/>
          <w:szCs w:val="21"/>
          <w:highlight w:val="none"/>
        </w:rPr>
        <w:t xml:space="preserve">标项：                                                                                </w:t>
      </w:r>
      <w:r>
        <w:rPr>
          <w:rFonts w:hint="eastAsia" w:ascii="宋体" w:hAnsi="宋体" w:cs="宋体"/>
          <w:b/>
          <w:color w:val="auto"/>
          <w:kern w:val="0"/>
          <w:szCs w:val="21"/>
          <w:highlight w:val="none"/>
          <w:lang w:val="zh-CN"/>
        </w:rPr>
        <w:t>(单位均为人民币元)</w:t>
      </w:r>
    </w:p>
    <w:tbl>
      <w:tblPr>
        <w:tblStyle w:val="65"/>
        <w:tblW w:w="142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3593"/>
        <w:gridCol w:w="1740"/>
        <w:gridCol w:w="1815"/>
        <w:gridCol w:w="1299"/>
        <w:gridCol w:w="1230"/>
        <w:gridCol w:w="1290"/>
        <w:gridCol w:w="1365"/>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539" w:type="dxa"/>
            <w:vAlign w:val="center"/>
          </w:tcPr>
          <w:p>
            <w:pPr>
              <w:spacing w:line="420" w:lineRule="exact"/>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3593" w:type="dxa"/>
            <w:vAlign w:val="center"/>
          </w:tcPr>
          <w:p>
            <w:pPr>
              <w:spacing w:line="420" w:lineRule="exact"/>
              <w:jc w:val="center"/>
              <w:rPr>
                <w:rFonts w:ascii="宋体" w:hAnsi="宋体" w:cs="宋体"/>
                <w:b/>
                <w:color w:val="auto"/>
                <w:szCs w:val="21"/>
                <w:highlight w:val="none"/>
              </w:rPr>
            </w:pPr>
            <w:r>
              <w:rPr>
                <w:rFonts w:hint="eastAsia" w:ascii="宋体" w:hAnsi="宋体" w:cs="宋体"/>
                <w:b/>
                <w:color w:val="auto"/>
                <w:szCs w:val="21"/>
                <w:highlight w:val="none"/>
              </w:rPr>
              <w:t>货物名称</w:t>
            </w:r>
          </w:p>
        </w:tc>
        <w:tc>
          <w:tcPr>
            <w:tcW w:w="1740" w:type="dxa"/>
            <w:vAlign w:val="center"/>
          </w:tcPr>
          <w:p>
            <w:pPr>
              <w:spacing w:line="420" w:lineRule="exact"/>
              <w:jc w:val="center"/>
              <w:rPr>
                <w:rFonts w:ascii="宋体" w:hAnsi="宋体" w:cs="宋体"/>
                <w:b/>
                <w:color w:val="auto"/>
                <w:szCs w:val="21"/>
                <w:highlight w:val="none"/>
              </w:rPr>
            </w:pPr>
            <w:r>
              <w:rPr>
                <w:rFonts w:hint="eastAsia" w:ascii="宋体" w:hAnsi="宋体" w:cs="宋体"/>
                <w:b/>
                <w:color w:val="auto"/>
                <w:szCs w:val="21"/>
                <w:highlight w:val="none"/>
              </w:rPr>
              <w:t>品牌</w:t>
            </w:r>
          </w:p>
        </w:tc>
        <w:tc>
          <w:tcPr>
            <w:tcW w:w="1815" w:type="dxa"/>
            <w:vAlign w:val="center"/>
          </w:tcPr>
          <w:p>
            <w:pPr>
              <w:spacing w:line="420" w:lineRule="exact"/>
              <w:jc w:val="center"/>
              <w:rPr>
                <w:rFonts w:ascii="宋体" w:hAnsi="宋体" w:cs="宋体"/>
                <w:b/>
                <w:color w:val="auto"/>
                <w:szCs w:val="21"/>
                <w:highlight w:val="none"/>
              </w:rPr>
            </w:pPr>
            <w:r>
              <w:rPr>
                <w:rFonts w:hint="eastAsia" w:ascii="宋体" w:hAnsi="宋体" w:cs="宋体"/>
                <w:b/>
                <w:color w:val="auto"/>
                <w:szCs w:val="21"/>
                <w:highlight w:val="none"/>
              </w:rPr>
              <w:t>规格型号</w:t>
            </w:r>
          </w:p>
        </w:tc>
        <w:tc>
          <w:tcPr>
            <w:tcW w:w="1299" w:type="dxa"/>
            <w:vAlign w:val="center"/>
          </w:tcPr>
          <w:p>
            <w:pPr>
              <w:spacing w:line="420" w:lineRule="exact"/>
              <w:jc w:val="center"/>
              <w:rPr>
                <w:rFonts w:ascii="宋体" w:hAnsi="宋体" w:cs="宋体"/>
                <w:b/>
                <w:color w:val="auto"/>
                <w:szCs w:val="21"/>
                <w:highlight w:val="none"/>
              </w:rPr>
            </w:pPr>
            <w:r>
              <w:rPr>
                <w:rFonts w:hint="eastAsia" w:ascii="宋体" w:hAnsi="宋体" w:cs="宋体"/>
                <w:b/>
                <w:color w:val="auto"/>
                <w:szCs w:val="21"/>
                <w:highlight w:val="none"/>
              </w:rPr>
              <w:t>数量</w:t>
            </w:r>
          </w:p>
        </w:tc>
        <w:tc>
          <w:tcPr>
            <w:tcW w:w="1230" w:type="dxa"/>
            <w:vAlign w:val="center"/>
          </w:tcPr>
          <w:p>
            <w:pPr>
              <w:spacing w:line="420" w:lineRule="exact"/>
              <w:jc w:val="center"/>
              <w:rPr>
                <w:rFonts w:ascii="宋体" w:hAnsi="宋体" w:cs="宋体"/>
                <w:b/>
                <w:color w:val="auto"/>
                <w:szCs w:val="21"/>
                <w:highlight w:val="none"/>
              </w:rPr>
            </w:pPr>
            <w:r>
              <w:rPr>
                <w:rFonts w:hint="eastAsia" w:ascii="宋体" w:hAnsi="宋体" w:cs="宋体"/>
                <w:b/>
                <w:color w:val="auto"/>
                <w:szCs w:val="21"/>
                <w:highlight w:val="none"/>
              </w:rPr>
              <w:t>单位</w:t>
            </w:r>
          </w:p>
        </w:tc>
        <w:tc>
          <w:tcPr>
            <w:tcW w:w="1290" w:type="dxa"/>
            <w:vAlign w:val="center"/>
          </w:tcPr>
          <w:p>
            <w:pPr>
              <w:spacing w:line="420" w:lineRule="exact"/>
              <w:jc w:val="center"/>
              <w:rPr>
                <w:rFonts w:ascii="宋体" w:hAnsi="宋体" w:cs="宋体"/>
                <w:b/>
                <w:color w:val="auto"/>
                <w:szCs w:val="21"/>
                <w:highlight w:val="none"/>
              </w:rPr>
            </w:pPr>
            <w:r>
              <w:rPr>
                <w:rFonts w:hint="eastAsia" w:ascii="宋体" w:hAnsi="宋体" w:cs="宋体"/>
                <w:b/>
                <w:bCs/>
                <w:color w:val="auto"/>
                <w:kern w:val="0"/>
                <w:szCs w:val="21"/>
                <w:highlight w:val="none"/>
                <w:lang w:bidi="ar"/>
              </w:rPr>
              <w:t>单价（元）</w:t>
            </w:r>
          </w:p>
        </w:tc>
        <w:tc>
          <w:tcPr>
            <w:tcW w:w="1365" w:type="dxa"/>
            <w:vAlign w:val="center"/>
          </w:tcPr>
          <w:p>
            <w:pPr>
              <w:spacing w:line="420" w:lineRule="exact"/>
              <w:jc w:val="center"/>
              <w:rPr>
                <w:rFonts w:ascii="宋体" w:hAnsi="宋体" w:cs="宋体"/>
                <w:b/>
                <w:bCs/>
                <w:color w:val="auto"/>
                <w:kern w:val="0"/>
                <w:szCs w:val="21"/>
                <w:highlight w:val="none"/>
                <w:lang w:bidi="ar"/>
              </w:rPr>
            </w:pPr>
            <w:r>
              <w:rPr>
                <w:rFonts w:hint="eastAsia" w:ascii="宋体" w:hAnsi="宋体" w:cs="宋体"/>
                <w:b/>
                <w:bCs/>
                <w:color w:val="auto"/>
                <w:kern w:val="0"/>
                <w:szCs w:val="21"/>
                <w:highlight w:val="none"/>
                <w:lang w:bidi="ar"/>
              </w:rPr>
              <w:t>小计</w:t>
            </w:r>
          </w:p>
        </w:tc>
        <w:tc>
          <w:tcPr>
            <w:tcW w:w="1365" w:type="dxa"/>
            <w:vAlign w:val="center"/>
          </w:tcPr>
          <w:p>
            <w:pPr>
              <w:spacing w:line="420" w:lineRule="exact"/>
              <w:jc w:val="center"/>
              <w:rPr>
                <w:rFonts w:ascii="宋体" w:hAnsi="宋体" w:cs="宋体"/>
                <w:b/>
                <w:color w:val="auto"/>
                <w:szCs w:val="21"/>
                <w:highlight w:val="none"/>
              </w:rPr>
            </w:pPr>
            <w:r>
              <w:rPr>
                <w:rFonts w:hint="eastAsia" w:ascii="宋体" w:hAnsi="宋体" w:cs="宋体"/>
                <w:b/>
                <w:color w:val="auto"/>
                <w:szCs w:val="21"/>
                <w:highlight w:val="none"/>
              </w:rPr>
              <w:t>备注（如果有）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39" w:type="dxa"/>
            <w:vAlign w:val="center"/>
          </w:tcPr>
          <w:p>
            <w:pPr>
              <w:widowControl/>
              <w:spacing w:line="420" w:lineRule="exact"/>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593" w:type="dxa"/>
            <w:vAlign w:val="center"/>
          </w:tcPr>
          <w:p>
            <w:pPr>
              <w:widowControl/>
              <w:spacing w:line="420" w:lineRule="exact"/>
              <w:jc w:val="left"/>
              <w:textAlignment w:val="center"/>
              <w:rPr>
                <w:rFonts w:ascii="宋体" w:hAnsi="宋体" w:cs="宋体"/>
                <w:color w:val="auto"/>
                <w:kern w:val="0"/>
                <w:szCs w:val="21"/>
                <w:highlight w:val="none"/>
                <w:lang w:bidi="ar"/>
              </w:rPr>
            </w:pPr>
          </w:p>
        </w:tc>
        <w:tc>
          <w:tcPr>
            <w:tcW w:w="1740"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815"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299"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230"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290"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365"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365" w:type="dxa"/>
            <w:vAlign w:val="center"/>
          </w:tcPr>
          <w:p>
            <w:pPr>
              <w:widowControl/>
              <w:spacing w:line="420" w:lineRule="exact"/>
              <w:jc w:val="center"/>
              <w:textAlignment w:val="center"/>
              <w:rPr>
                <w:rFonts w:ascii="宋体" w:hAnsi="宋体" w:cs="宋体"/>
                <w:color w:val="auto"/>
                <w:kern w:val="0"/>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39" w:type="dxa"/>
            <w:vAlign w:val="center"/>
          </w:tcPr>
          <w:p>
            <w:pPr>
              <w:widowControl/>
              <w:spacing w:line="420" w:lineRule="exact"/>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3593" w:type="dxa"/>
            <w:vAlign w:val="center"/>
          </w:tcPr>
          <w:p>
            <w:pPr>
              <w:widowControl/>
              <w:spacing w:line="420" w:lineRule="exact"/>
              <w:jc w:val="left"/>
              <w:textAlignment w:val="center"/>
              <w:rPr>
                <w:rFonts w:ascii="宋体" w:hAnsi="宋体" w:cs="宋体"/>
                <w:color w:val="auto"/>
                <w:kern w:val="0"/>
                <w:szCs w:val="21"/>
                <w:highlight w:val="none"/>
                <w:lang w:bidi="ar"/>
              </w:rPr>
            </w:pPr>
          </w:p>
        </w:tc>
        <w:tc>
          <w:tcPr>
            <w:tcW w:w="1740"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815"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299"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230"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290"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365"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365" w:type="dxa"/>
            <w:vAlign w:val="center"/>
          </w:tcPr>
          <w:p>
            <w:pPr>
              <w:widowControl/>
              <w:spacing w:line="420" w:lineRule="exact"/>
              <w:jc w:val="center"/>
              <w:textAlignment w:val="center"/>
              <w:rPr>
                <w:rFonts w:ascii="宋体" w:hAnsi="宋体" w:cs="宋体"/>
                <w:color w:val="auto"/>
                <w:kern w:val="0"/>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39" w:type="dxa"/>
            <w:vAlign w:val="center"/>
          </w:tcPr>
          <w:p>
            <w:pPr>
              <w:widowControl/>
              <w:spacing w:line="420" w:lineRule="exact"/>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3593" w:type="dxa"/>
            <w:vAlign w:val="center"/>
          </w:tcPr>
          <w:p>
            <w:pPr>
              <w:widowControl/>
              <w:spacing w:line="420" w:lineRule="exact"/>
              <w:jc w:val="left"/>
              <w:textAlignment w:val="center"/>
              <w:rPr>
                <w:rFonts w:ascii="宋体" w:hAnsi="宋体" w:cs="宋体"/>
                <w:color w:val="auto"/>
                <w:kern w:val="0"/>
                <w:szCs w:val="21"/>
                <w:highlight w:val="none"/>
                <w:lang w:bidi="ar"/>
              </w:rPr>
            </w:pPr>
          </w:p>
        </w:tc>
        <w:tc>
          <w:tcPr>
            <w:tcW w:w="1740"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815"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299"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230"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290"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365"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365" w:type="dxa"/>
            <w:vAlign w:val="center"/>
          </w:tcPr>
          <w:p>
            <w:pPr>
              <w:widowControl/>
              <w:spacing w:line="420" w:lineRule="exact"/>
              <w:jc w:val="center"/>
              <w:textAlignment w:val="center"/>
              <w:rPr>
                <w:rFonts w:ascii="宋体" w:hAnsi="宋体" w:cs="宋体"/>
                <w:color w:val="auto"/>
                <w:kern w:val="0"/>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39" w:type="dxa"/>
            <w:vAlign w:val="center"/>
          </w:tcPr>
          <w:p>
            <w:pPr>
              <w:widowControl/>
              <w:spacing w:line="420" w:lineRule="exact"/>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3593" w:type="dxa"/>
            <w:vAlign w:val="center"/>
          </w:tcPr>
          <w:p>
            <w:pPr>
              <w:widowControl/>
              <w:spacing w:line="420" w:lineRule="exact"/>
              <w:jc w:val="left"/>
              <w:textAlignment w:val="center"/>
              <w:rPr>
                <w:rFonts w:ascii="宋体" w:hAnsi="宋体" w:cs="宋体"/>
                <w:color w:val="auto"/>
                <w:kern w:val="0"/>
                <w:szCs w:val="21"/>
                <w:highlight w:val="none"/>
                <w:lang w:bidi="ar"/>
              </w:rPr>
            </w:pPr>
          </w:p>
        </w:tc>
        <w:tc>
          <w:tcPr>
            <w:tcW w:w="1740"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815"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299"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230"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290"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365"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365" w:type="dxa"/>
            <w:vAlign w:val="center"/>
          </w:tcPr>
          <w:p>
            <w:pPr>
              <w:widowControl/>
              <w:spacing w:line="420" w:lineRule="exact"/>
              <w:jc w:val="center"/>
              <w:textAlignment w:val="center"/>
              <w:rPr>
                <w:rFonts w:ascii="宋体" w:hAnsi="宋体" w:cs="宋体"/>
                <w:color w:val="auto"/>
                <w:kern w:val="0"/>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39" w:type="dxa"/>
            <w:vAlign w:val="center"/>
          </w:tcPr>
          <w:p>
            <w:pPr>
              <w:widowControl/>
              <w:spacing w:line="420" w:lineRule="exact"/>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w:t>
            </w:r>
          </w:p>
        </w:tc>
        <w:tc>
          <w:tcPr>
            <w:tcW w:w="3593" w:type="dxa"/>
            <w:vAlign w:val="center"/>
          </w:tcPr>
          <w:p>
            <w:pPr>
              <w:widowControl/>
              <w:spacing w:line="420" w:lineRule="exact"/>
              <w:jc w:val="left"/>
              <w:textAlignment w:val="center"/>
              <w:rPr>
                <w:rFonts w:ascii="宋体" w:hAnsi="宋体" w:cs="宋体"/>
                <w:color w:val="auto"/>
                <w:kern w:val="0"/>
                <w:szCs w:val="21"/>
                <w:highlight w:val="none"/>
                <w:lang w:bidi="ar"/>
              </w:rPr>
            </w:pPr>
          </w:p>
        </w:tc>
        <w:tc>
          <w:tcPr>
            <w:tcW w:w="1740"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815"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299"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230"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290"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365"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365" w:type="dxa"/>
            <w:vAlign w:val="center"/>
          </w:tcPr>
          <w:p>
            <w:pPr>
              <w:widowControl/>
              <w:spacing w:line="420" w:lineRule="exact"/>
              <w:jc w:val="center"/>
              <w:textAlignment w:val="center"/>
              <w:rPr>
                <w:rFonts w:ascii="宋体" w:hAnsi="宋体" w:cs="宋体"/>
                <w:color w:val="auto"/>
                <w:kern w:val="0"/>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39" w:type="dxa"/>
            <w:vAlign w:val="center"/>
          </w:tcPr>
          <w:p>
            <w:pPr>
              <w:widowControl/>
              <w:spacing w:line="420" w:lineRule="exact"/>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3593" w:type="dxa"/>
            <w:vAlign w:val="center"/>
          </w:tcPr>
          <w:p>
            <w:pPr>
              <w:widowControl/>
              <w:spacing w:line="420" w:lineRule="exact"/>
              <w:jc w:val="left"/>
              <w:textAlignment w:val="center"/>
              <w:rPr>
                <w:rFonts w:ascii="宋体" w:hAnsi="宋体" w:cs="宋体"/>
                <w:color w:val="auto"/>
                <w:kern w:val="0"/>
                <w:szCs w:val="21"/>
                <w:highlight w:val="none"/>
                <w:lang w:bidi="ar"/>
              </w:rPr>
            </w:pPr>
          </w:p>
        </w:tc>
        <w:tc>
          <w:tcPr>
            <w:tcW w:w="1740"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815"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299"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230"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290"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365"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365" w:type="dxa"/>
            <w:vAlign w:val="center"/>
          </w:tcPr>
          <w:p>
            <w:pPr>
              <w:widowControl/>
              <w:spacing w:line="420" w:lineRule="exact"/>
              <w:jc w:val="center"/>
              <w:textAlignment w:val="center"/>
              <w:rPr>
                <w:rFonts w:ascii="宋体" w:hAnsi="宋体" w:cs="宋体"/>
                <w:color w:val="auto"/>
                <w:kern w:val="0"/>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39" w:type="dxa"/>
            <w:vAlign w:val="center"/>
          </w:tcPr>
          <w:p>
            <w:pPr>
              <w:widowControl/>
              <w:spacing w:line="420" w:lineRule="exact"/>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w:t>
            </w:r>
          </w:p>
        </w:tc>
        <w:tc>
          <w:tcPr>
            <w:tcW w:w="3593" w:type="dxa"/>
            <w:vAlign w:val="center"/>
          </w:tcPr>
          <w:p>
            <w:pPr>
              <w:widowControl/>
              <w:spacing w:line="420" w:lineRule="exact"/>
              <w:jc w:val="left"/>
              <w:textAlignment w:val="center"/>
              <w:rPr>
                <w:rFonts w:ascii="宋体" w:hAnsi="宋体" w:cs="宋体"/>
                <w:color w:val="auto"/>
                <w:kern w:val="0"/>
                <w:szCs w:val="21"/>
                <w:highlight w:val="none"/>
                <w:lang w:bidi="ar"/>
              </w:rPr>
            </w:pPr>
          </w:p>
        </w:tc>
        <w:tc>
          <w:tcPr>
            <w:tcW w:w="1740"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815"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299"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230"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290"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365"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365" w:type="dxa"/>
            <w:vAlign w:val="center"/>
          </w:tcPr>
          <w:p>
            <w:pPr>
              <w:widowControl/>
              <w:spacing w:line="420" w:lineRule="exact"/>
              <w:jc w:val="center"/>
              <w:textAlignment w:val="center"/>
              <w:rPr>
                <w:rFonts w:ascii="宋体" w:hAnsi="宋体" w:cs="宋体"/>
                <w:color w:val="auto"/>
                <w:kern w:val="0"/>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39" w:type="dxa"/>
            <w:vAlign w:val="center"/>
          </w:tcPr>
          <w:p>
            <w:pPr>
              <w:widowControl/>
              <w:spacing w:line="420" w:lineRule="exact"/>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w:t>
            </w:r>
          </w:p>
        </w:tc>
        <w:tc>
          <w:tcPr>
            <w:tcW w:w="3593" w:type="dxa"/>
            <w:vAlign w:val="center"/>
          </w:tcPr>
          <w:p>
            <w:pPr>
              <w:widowControl/>
              <w:spacing w:line="420" w:lineRule="exact"/>
              <w:jc w:val="left"/>
              <w:textAlignment w:val="center"/>
              <w:rPr>
                <w:rFonts w:ascii="宋体" w:hAnsi="宋体" w:cs="宋体"/>
                <w:color w:val="auto"/>
                <w:kern w:val="0"/>
                <w:szCs w:val="21"/>
                <w:highlight w:val="none"/>
                <w:lang w:bidi="ar"/>
              </w:rPr>
            </w:pPr>
          </w:p>
        </w:tc>
        <w:tc>
          <w:tcPr>
            <w:tcW w:w="1740"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815"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299"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230"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290"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365"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365" w:type="dxa"/>
            <w:vAlign w:val="center"/>
          </w:tcPr>
          <w:p>
            <w:pPr>
              <w:widowControl/>
              <w:spacing w:line="420" w:lineRule="exact"/>
              <w:jc w:val="center"/>
              <w:textAlignment w:val="center"/>
              <w:rPr>
                <w:rFonts w:ascii="宋体" w:hAnsi="宋体" w:cs="宋体"/>
                <w:color w:val="auto"/>
                <w:kern w:val="0"/>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39" w:type="dxa"/>
            <w:vAlign w:val="center"/>
          </w:tcPr>
          <w:p>
            <w:pPr>
              <w:widowControl/>
              <w:spacing w:line="420" w:lineRule="exact"/>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w:t>
            </w:r>
          </w:p>
        </w:tc>
        <w:tc>
          <w:tcPr>
            <w:tcW w:w="3593" w:type="dxa"/>
            <w:vAlign w:val="center"/>
          </w:tcPr>
          <w:p>
            <w:pPr>
              <w:widowControl/>
              <w:spacing w:line="420" w:lineRule="exact"/>
              <w:jc w:val="left"/>
              <w:textAlignment w:val="center"/>
              <w:rPr>
                <w:rFonts w:ascii="宋体" w:hAnsi="宋体" w:cs="宋体"/>
                <w:color w:val="auto"/>
                <w:kern w:val="0"/>
                <w:szCs w:val="21"/>
                <w:highlight w:val="none"/>
                <w:lang w:bidi="ar"/>
              </w:rPr>
            </w:pPr>
          </w:p>
        </w:tc>
        <w:tc>
          <w:tcPr>
            <w:tcW w:w="1740"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815"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299"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230"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290"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365"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365" w:type="dxa"/>
            <w:vAlign w:val="center"/>
          </w:tcPr>
          <w:p>
            <w:pPr>
              <w:widowControl/>
              <w:spacing w:line="420" w:lineRule="exact"/>
              <w:jc w:val="center"/>
              <w:textAlignment w:val="center"/>
              <w:rPr>
                <w:rFonts w:ascii="宋体" w:hAnsi="宋体" w:cs="宋体"/>
                <w:color w:val="auto"/>
                <w:kern w:val="0"/>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39" w:type="dxa"/>
            <w:vAlign w:val="center"/>
          </w:tcPr>
          <w:p>
            <w:pPr>
              <w:widowControl/>
              <w:spacing w:line="420" w:lineRule="exact"/>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w:t>
            </w:r>
          </w:p>
        </w:tc>
        <w:tc>
          <w:tcPr>
            <w:tcW w:w="3593" w:type="dxa"/>
            <w:vAlign w:val="center"/>
          </w:tcPr>
          <w:p>
            <w:pPr>
              <w:widowControl/>
              <w:spacing w:line="420" w:lineRule="exact"/>
              <w:jc w:val="left"/>
              <w:textAlignment w:val="center"/>
              <w:rPr>
                <w:rFonts w:ascii="宋体" w:hAnsi="宋体" w:cs="宋体"/>
                <w:color w:val="auto"/>
                <w:kern w:val="0"/>
                <w:szCs w:val="21"/>
                <w:highlight w:val="none"/>
                <w:lang w:bidi="ar"/>
              </w:rPr>
            </w:pPr>
          </w:p>
        </w:tc>
        <w:tc>
          <w:tcPr>
            <w:tcW w:w="1740"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815"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299"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230"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290"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365"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365" w:type="dxa"/>
            <w:vAlign w:val="center"/>
          </w:tcPr>
          <w:p>
            <w:pPr>
              <w:widowControl/>
              <w:spacing w:line="420" w:lineRule="exact"/>
              <w:jc w:val="center"/>
              <w:textAlignment w:val="center"/>
              <w:rPr>
                <w:rFonts w:ascii="宋体" w:hAnsi="宋体" w:cs="宋体"/>
                <w:color w:val="auto"/>
                <w:kern w:val="0"/>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539" w:type="dxa"/>
            <w:vAlign w:val="center"/>
          </w:tcPr>
          <w:p>
            <w:pPr>
              <w:widowControl/>
              <w:spacing w:line="420" w:lineRule="exact"/>
              <w:jc w:val="center"/>
              <w:textAlignment w:val="center"/>
              <w:rPr>
                <w:rFonts w:ascii="宋体" w:hAnsi="宋体" w:cs="宋体"/>
                <w:color w:val="auto"/>
                <w:szCs w:val="21"/>
                <w:highlight w:val="none"/>
              </w:rPr>
            </w:pPr>
          </w:p>
        </w:tc>
        <w:tc>
          <w:tcPr>
            <w:tcW w:w="3593" w:type="dxa"/>
            <w:vAlign w:val="center"/>
          </w:tcPr>
          <w:p>
            <w:pPr>
              <w:widowControl/>
              <w:spacing w:line="420" w:lineRule="exact"/>
              <w:jc w:val="left"/>
              <w:textAlignment w:val="center"/>
              <w:rPr>
                <w:rFonts w:ascii="宋体" w:hAnsi="宋体" w:cs="宋体"/>
                <w:color w:val="auto"/>
                <w:kern w:val="0"/>
                <w:szCs w:val="21"/>
                <w:highlight w:val="none"/>
                <w:lang w:bidi="ar"/>
              </w:rPr>
            </w:pPr>
          </w:p>
        </w:tc>
        <w:tc>
          <w:tcPr>
            <w:tcW w:w="1740"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815"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299"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230"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290"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365" w:type="dxa"/>
            <w:vAlign w:val="center"/>
          </w:tcPr>
          <w:p>
            <w:pPr>
              <w:widowControl/>
              <w:spacing w:line="420" w:lineRule="exact"/>
              <w:jc w:val="center"/>
              <w:textAlignment w:val="center"/>
              <w:rPr>
                <w:rFonts w:ascii="宋体" w:hAnsi="宋体" w:cs="宋体"/>
                <w:color w:val="auto"/>
                <w:kern w:val="0"/>
                <w:szCs w:val="21"/>
                <w:highlight w:val="none"/>
                <w:lang w:bidi="ar"/>
              </w:rPr>
            </w:pPr>
          </w:p>
        </w:tc>
        <w:tc>
          <w:tcPr>
            <w:tcW w:w="1365" w:type="dxa"/>
            <w:vAlign w:val="center"/>
          </w:tcPr>
          <w:p>
            <w:pPr>
              <w:widowControl/>
              <w:spacing w:line="420" w:lineRule="exact"/>
              <w:jc w:val="center"/>
              <w:textAlignment w:val="center"/>
              <w:rPr>
                <w:rFonts w:ascii="宋体" w:hAnsi="宋体" w:cs="宋体"/>
                <w:color w:val="auto"/>
                <w:kern w:val="0"/>
                <w:szCs w:val="21"/>
                <w:highlight w:val="none"/>
                <w:lang w:bidi="ar"/>
              </w:rPr>
            </w:pPr>
          </w:p>
        </w:tc>
      </w:tr>
    </w:tbl>
    <w:p>
      <w:pPr>
        <w:pStyle w:val="693"/>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sectPr>
          <w:pgSz w:w="16838" w:h="11905" w:orient="landscape"/>
          <w:pgMar w:top="1803" w:right="1440" w:bottom="1803" w:left="1440" w:header="851" w:footer="992" w:gutter="0"/>
          <w:cols w:space="0" w:num="1"/>
          <w:docGrid w:type="lines" w:linePitch="331" w:charSpace="0"/>
        </w:sectPr>
      </w:pPr>
      <w:bookmarkStart w:id="634" w:name="_Toc8239"/>
    </w:p>
    <w:p>
      <w:pPr>
        <w:pStyle w:val="695"/>
        <w:numPr>
          <w:ilvl w:val="0"/>
          <w:numId w:val="10"/>
        </w:numPr>
        <w:ind w:firstLine="0"/>
        <w:jc w:val="center"/>
        <w:outlineLvl w:val="1"/>
        <w:rPr>
          <w:b/>
          <w:bCs/>
          <w:color w:val="auto"/>
          <w:sz w:val="32"/>
          <w:szCs w:val="32"/>
          <w:highlight w:val="none"/>
        </w:rPr>
      </w:pPr>
      <w:r>
        <w:rPr>
          <w:rFonts w:hint="eastAsia"/>
          <w:b/>
          <w:bCs/>
          <w:color w:val="auto"/>
          <w:sz w:val="32"/>
          <w:szCs w:val="32"/>
          <w:highlight w:val="none"/>
        </w:rPr>
        <w:t>中小企业声明函</w:t>
      </w:r>
      <w:bookmarkStart w:id="635" w:name="_Hlk101259491"/>
      <w:r>
        <w:rPr>
          <w:rFonts w:hint="eastAsia"/>
          <w:b/>
          <w:bCs/>
          <w:color w:val="auto"/>
          <w:sz w:val="32"/>
          <w:szCs w:val="32"/>
          <w:highlight w:val="none"/>
        </w:rPr>
        <w:t>（如果有）</w:t>
      </w:r>
      <w:bookmarkEnd w:id="634"/>
      <w:bookmarkEnd w:id="635"/>
    </w:p>
    <w:p>
      <w:pPr>
        <w:pStyle w:val="695"/>
        <w:ind w:firstLine="0"/>
        <w:jc w:val="both"/>
        <w:rPr>
          <w:b/>
          <w:bCs/>
          <w:color w:val="auto"/>
          <w:sz w:val="32"/>
          <w:szCs w:val="32"/>
          <w:highlight w:val="none"/>
        </w:rPr>
      </w:pPr>
    </w:p>
    <w:p>
      <w:pPr>
        <w:widowControl/>
        <w:spacing w:line="360" w:lineRule="auto"/>
        <w:ind w:firstLine="105" w:firstLineChars="50"/>
        <w:jc w:val="left"/>
        <w:rPr>
          <w:rFonts w:ascii="宋体" w:hAnsi="宋体" w:cs="宋体"/>
          <w:b/>
          <w:color w:val="auto"/>
          <w:szCs w:val="21"/>
          <w:highlight w:val="none"/>
        </w:rPr>
      </w:pPr>
      <w:r>
        <w:rPr>
          <w:rFonts w:hint="eastAsia" w:ascii="宋体" w:hAnsi="宋体" w:cs="宋体"/>
          <w:b/>
          <w:color w:val="auto"/>
          <w:szCs w:val="21"/>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5）。]</w:t>
      </w:r>
    </w:p>
    <w:p>
      <w:pPr>
        <w:pStyle w:val="693"/>
        <w:keepNext w:val="0"/>
        <w:pageBreakBefore w:val="0"/>
        <w:tabs>
          <w:tab w:val="clear" w:pos="720"/>
        </w:tabs>
        <w:snapToGrid w:val="0"/>
        <w:spacing w:before="120" w:after="120"/>
        <w:ind w:firstLine="643"/>
        <w:outlineLvl w:val="9"/>
        <w:rPr>
          <w:rFonts w:ascii="宋体" w:hAnsi="宋体" w:eastAsia="宋体" w:cs="宋体"/>
          <w:b w:val="0"/>
          <w:color w:val="auto"/>
          <w:sz w:val="32"/>
          <w:szCs w:val="32"/>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pStyle w:val="64"/>
        <w:ind w:firstLine="420"/>
        <w:rPr>
          <w:color w:val="auto"/>
          <w:highlight w:val="none"/>
        </w:rPr>
      </w:pPr>
    </w:p>
    <w:p>
      <w:pPr>
        <w:rPr>
          <w:color w:val="auto"/>
          <w:highlight w:val="none"/>
        </w:rPr>
      </w:pPr>
    </w:p>
    <w:p>
      <w:pPr>
        <w:pStyle w:val="64"/>
        <w:ind w:firstLine="420"/>
        <w:rPr>
          <w:color w:val="auto"/>
          <w:highlight w:val="none"/>
        </w:rPr>
      </w:pPr>
    </w:p>
    <w:p>
      <w:pPr>
        <w:rPr>
          <w:color w:val="auto"/>
          <w:highlight w:val="none"/>
        </w:rPr>
      </w:pPr>
    </w:p>
    <w:p>
      <w:pPr>
        <w:pStyle w:val="64"/>
        <w:ind w:firstLine="420"/>
        <w:rPr>
          <w:color w:val="auto"/>
          <w:highlight w:val="none"/>
        </w:rPr>
      </w:pPr>
    </w:p>
    <w:p>
      <w:pPr>
        <w:rPr>
          <w:color w:val="auto"/>
          <w:highlight w:val="none"/>
        </w:rPr>
      </w:pPr>
    </w:p>
    <w:p>
      <w:pPr>
        <w:pStyle w:val="64"/>
        <w:ind w:firstLine="420"/>
        <w:rPr>
          <w:color w:val="auto"/>
          <w:highlight w:val="none"/>
        </w:rPr>
      </w:pPr>
    </w:p>
    <w:p>
      <w:pPr>
        <w:rPr>
          <w:color w:val="auto"/>
          <w:highlight w:val="none"/>
        </w:rPr>
      </w:pPr>
    </w:p>
    <w:p>
      <w:pPr>
        <w:pStyle w:val="64"/>
        <w:ind w:firstLine="420"/>
        <w:rPr>
          <w:color w:val="auto"/>
          <w:highlight w:val="none"/>
        </w:rPr>
      </w:pPr>
    </w:p>
    <w:p>
      <w:pPr>
        <w:rPr>
          <w:color w:val="auto"/>
          <w:highlight w:val="none"/>
        </w:rPr>
      </w:pPr>
    </w:p>
    <w:p>
      <w:pPr>
        <w:pStyle w:val="64"/>
        <w:ind w:firstLine="420"/>
        <w:rPr>
          <w:color w:val="auto"/>
          <w:highlight w:val="none"/>
        </w:rPr>
      </w:pPr>
    </w:p>
    <w:p>
      <w:pPr>
        <w:rPr>
          <w:color w:val="auto"/>
          <w:highlight w:val="none"/>
        </w:rPr>
      </w:pPr>
    </w:p>
    <w:p>
      <w:pPr>
        <w:pStyle w:val="64"/>
        <w:ind w:firstLine="420"/>
        <w:rPr>
          <w:color w:val="auto"/>
          <w:highlight w:val="none"/>
        </w:rPr>
      </w:pPr>
    </w:p>
    <w:p>
      <w:pPr>
        <w:rPr>
          <w:color w:val="auto"/>
          <w:highlight w:val="none"/>
        </w:rPr>
      </w:pPr>
    </w:p>
    <w:p>
      <w:pPr>
        <w:jc w:val="center"/>
        <w:outlineLvl w:val="2"/>
        <w:rPr>
          <w:b/>
          <w:bCs/>
          <w:color w:val="auto"/>
          <w:sz w:val="44"/>
          <w:szCs w:val="44"/>
          <w:highlight w:val="none"/>
        </w:rPr>
      </w:pPr>
      <w:bookmarkStart w:id="636" w:name="_Toc465665161"/>
      <w:bookmarkStart w:id="637" w:name="_Toc20847"/>
      <w:r>
        <w:rPr>
          <w:rFonts w:hint="eastAsia"/>
          <w:b/>
          <w:bCs/>
          <w:color w:val="auto"/>
          <w:sz w:val="44"/>
          <w:szCs w:val="44"/>
          <w:highlight w:val="none"/>
        </w:rPr>
        <w:t>附件</w:t>
      </w:r>
      <w:bookmarkEnd w:id="636"/>
      <w:bookmarkEnd w:id="637"/>
    </w:p>
    <w:p>
      <w:pPr>
        <w:spacing w:line="360" w:lineRule="auto"/>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w:t>
      </w:r>
    </w:p>
    <w:p>
      <w:pPr>
        <w:spacing w:line="360" w:lineRule="auto"/>
        <w:jc w:val="center"/>
        <w:rPr>
          <w:rFonts w:ascii="宋体" w:hAnsi="宋体" w:cs="宋体"/>
          <w:b/>
          <w:color w:val="auto"/>
          <w:spacing w:val="6"/>
          <w:sz w:val="32"/>
          <w:szCs w:val="32"/>
          <w:highlight w:val="none"/>
        </w:rPr>
      </w:pPr>
      <w:bookmarkStart w:id="638" w:name="OLE_LINK14"/>
      <w:bookmarkStart w:id="639" w:name="OLE_LINK13"/>
      <w:r>
        <w:rPr>
          <w:rFonts w:hint="eastAsia" w:ascii="宋体" w:hAnsi="宋体" w:cs="宋体"/>
          <w:b/>
          <w:color w:val="auto"/>
          <w:spacing w:val="6"/>
          <w:sz w:val="32"/>
          <w:szCs w:val="32"/>
          <w:highlight w:val="none"/>
        </w:rPr>
        <w:t>残疾人福利性单位声明函</w:t>
      </w:r>
    </w:p>
    <w:bookmarkEnd w:id="638"/>
    <w:bookmarkEnd w:id="639"/>
    <w:p>
      <w:pPr>
        <w:spacing w:line="360" w:lineRule="auto"/>
        <w:rPr>
          <w:rFonts w:ascii="宋体" w:hAnsi="宋体" w:cs="宋体"/>
          <w:b/>
          <w:color w:val="auto"/>
          <w:spacing w:val="6"/>
          <w:sz w:val="30"/>
          <w:szCs w:val="30"/>
          <w:highlight w:val="none"/>
        </w:rPr>
      </w:pP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auto"/>
          <w:szCs w:val="21"/>
          <w:highlight w:val="none"/>
          <w:u w:val="single"/>
        </w:rPr>
        <w:t>（采购人）</w:t>
      </w:r>
      <w:r>
        <w:rPr>
          <w:rFonts w:hint="eastAsia" w:ascii="宋体" w:hAnsi="宋体" w:cs="宋体"/>
          <w:color w:val="auto"/>
          <w:szCs w:val="21"/>
          <w:highlight w:val="none"/>
        </w:rPr>
        <w:t>_单位的_</w:t>
      </w:r>
      <w:r>
        <w:rPr>
          <w:rFonts w:hint="eastAsia" w:ascii="宋体" w:hAnsi="宋体" w:cs="宋体"/>
          <w:color w:val="auto"/>
          <w:szCs w:val="21"/>
          <w:highlight w:val="none"/>
          <w:u w:val="single"/>
        </w:rPr>
        <w:t>（项目名称）</w:t>
      </w:r>
      <w:r>
        <w:rPr>
          <w:rFonts w:hint="eastAsia" w:ascii="宋体" w:hAnsi="宋体" w:cs="宋体"/>
          <w:color w:val="auto"/>
          <w:szCs w:val="21"/>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本单位对上述声明的真实性负责。如有虚假，将依法承担相应责任。</w:t>
      </w:r>
    </w:p>
    <w:p>
      <w:pPr>
        <w:spacing w:line="360" w:lineRule="auto"/>
        <w:ind w:firstLine="420" w:firstLineChars="200"/>
        <w:rPr>
          <w:rFonts w:ascii="宋体" w:hAnsi="宋体" w:cs="宋体"/>
          <w:color w:val="auto"/>
          <w:szCs w:val="21"/>
          <w:highlight w:val="none"/>
        </w:rPr>
      </w:pPr>
    </w:p>
    <w:p>
      <w:pPr>
        <w:spacing w:line="360" w:lineRule="auto"/>
        <w:ind w:firstLine="420" w:firstLineChars="200"/>
        <w:rPr>
          <w:rFonts w:ascii="宋体" w:hAnsi="宋体" w:cs="宋体"/>
          <w:color w:val="auto"/>
          <w:szCs w:val="21"/>
          <w:highlight w:val="none"/>
        </w:rPr>
      </w:pPr>
    </w:p>
    <w:p>
      <w:pPr>
        <w:tabs>
          <w:tab w:val="left" w:pos="4860"/>
        </w:tabs>
        <w:spacing w:line="360" w:lineRule="auto"/>
        <w:ind w:right="1560" w:firstLine="420" w:firstLineChars="200"/>
        <w:jc w:val="center"/>
        <w:rPr>
          <w:rFonts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kern w:val="0"/>
          <w:szCs w:val="21"/>
          <w:highlight w:val="none"/>
          <w:lang w:val="zh-CN"/>
        </w:rPr>
        <w:t>投标人名称（电子签</w:t>
      </w:r>
      <w:r>
        <w:rPr>
          <w:rFonts w:hint="eastAsia" w:ascii="宋体" w:hAnsi="宋体" w:cs="宋体"/>
          <w:color w:val="auto"/>
          <w:kern w:val="0"/>
          <w:szCs w:val="21"/>
          <w:highlight w:val="none"/>
        </w:rPr>
        <w:t>章/公章</w:t>
      </w:r>
      <w:r>
        <w:rPr>
          <w:rFonts w:hint="eastAsia" w:ascii="宋体" w:hAnsi="宋体" w:cs="宋体"/>
          <w:color w:val="auto"/>
          <w:kern w:val="0"/>
          <w:szCs w:val="21"/>
          <w:highlight w:val="none"/>
          <w:lang w:val="zh-CN"/>
        </w:rPr>
        <w:t>）</w:t>
      </w:r>
      <w:r>
        <w:rPr>
          <w:rFonts w:hint="eastAsia" w:ascii="宋体" w:hAnsi="宋体" w:cs="宋体"/>
          <w:color w:val="auto"/>
          <w:szCs w:val="21"/>
          <w:highlight w:val="none"/>
        </w:rPr>
        <w:t>：</w:t>
      </w:r>
    </w:p>
    <w:p>
      <w:pPr>
        <w:tabs>
          <w:tab w:val="left" w:pos="4860"/>
        </w:tabs>
        <w:spacing w:line="360" w:lineRule="auto"/>
        <w:ind w:right="1560" w:firstLine="420" w:firstLineChars="200"/>
        <w:jc w:val="center"/>
        <w:rPr>
          <w:rFonts w:ascii="宋体" w:hAnsi="宋体" w:cs="宋体"/>
          <w:color w:val="auto"/>
          <w:szCs w:val="21"/>
          <w:highlight w:val="none"/>
        </w:rPr>
      </w:pPr>
      <w:r>
        <w:rPr>
          <w:rFonts w:hint="eastAsia" w:ascii="宋体" w:hAnsi="宋体" w:cs="宋体"/>
          <w:color w:val="auto"/>
          <w:szCs w:val="21"/>
          <w:highlight w:val="none"/>
        </w:rPr>
        <w:t xml:space="preserve">                 日  期：</w:t>
      </w:r>
    </w:p>
    <w:p>
      <w:pPr>
        <w:spacing w:line="360" w:lineRule="auto"/>
        <w:ind w:firstLine="480" w:firstLineChars="200"/>
        <w:rPr>
          <w:rFonts w:ascii="宋体" w:hAnsi="宋体" w:cs="宋体"/>
          <w:color w:val="auto"/>
          <w:sz w:val="24"/>
          <w:highlight w:val="none"/>
        </w:rPr>
      </w:pPr>
    </w:p>
    <w:p>
      <w:pPr>
        <w:spacing w:line="360" w:lineRule="auto"/>
        <w:ind w:firstLine="420" w:firstLineChars="200"/>
        <w:rPr>
          <w:rFonts w:ascii="宋体" w:hAnsi="宋体" w:cs="宋体"/>
          <w:color w:val="auto"/>
          <w:highlight w:val="none"/>
        </w:rPr>
      </w:pPr>
    </w:p>
    <w:p>
      <w:pPr>
        <w:pStyle w:val="64"/>
        <w:ind w:firstLine="420"/>
        <w:rPr>
          <w:color w:val="auto"/>
          <w:highlight w:val="none"/>
        </w:rPr>
      </w:pPr>
    </w:p>
    <w:p>
      <w:pPr>
        <w:rPr>
          <w:color w:val="auto"/>
          <w:highlight w:val="none"/>
        </w:rPr>
      </w:pPr>
    </w:p>
    <w:p>
      <w:pPr>
        <w:pStyle w:val="64"/>
        <w:ind w:firstLine="420"/>
        <w:rPr>
          <w:color w:val="auto"/>
          <w:highlight w:val="none"/>
        </w:rPr>
      </w:pPr>
    </w:p>
    <w:p>
      <w:pPr>
        <w:rPr>
          <w:color w:val="auto"/>
          <w:highlight w:val="none"/>
        </w:rPr>
      </w:pPr>
    </w:p>
    <w:p>
      <w:pPr>
        <w:pStyle w:val="64"/>
        <w:ind w:firstLine="420"/>
        <w:rPr>
          <w:color w:val="auto"/>
          <w:highlight w:val="none"/>
        </w:rPr>
      </w:pPr>
    </w:p>
    <w:p>
      <w:pPr>
        <w:rPr>
          <w:color w:val="auto"/>
          <w:highlight w:val="none"/>
        </w:rPr>
      </w:pPr>
    </w:p>
    <w:p>
      <w:pPr>
        <w:pStyle w:val="64"/>
        <w:ind w:firstLine="420"/>
        <w:rPr>
          <w:color w:val="auto"/>
          <w:highlight w:val="none"/>
        </w:rPr>
      </w:pPr>
    </w:p>
    <w:p>
      <w:pPr>
        <w:rPr>
          <w:color w:val="auto"/>
          <w:highlight w:val="none"/>
        </w:rPr>
      </w:pPr>
    </w:p>
    <w:p>
      <w:pPr>
        <w:pStyle w:val="64"/>
        <w:ind w:firstLine="420"/>
        <w:rPr>
          <w:color w:val="auto"/>
          <w:highlight w:val="none"/>
        </w:rPr>
      </w:pPr>
    </w:p>
    <w:p>
      <w:pPr>
        <w:rPr>
          <w:color w:val="auto"/>
          <w:highlight w:val="none"/>
        </w:rPr>
      </w:pPr>
    </w:p>
    <w:p>
      <w:pPr>
        <w:autoSpaceDE w:val="0"/>
        <w:autoSpaceDN w:val="0"/>
        <w:jc w:val="center"/>
        <w:rPr>
          <w:rFonts w:ascii="宋体" w:hAnsi="宋体" w:cs="宋体"/>
          <w:b/>
          <w:bCs/>
          <w:color w:val="auto"/>
          <w:sz w:val="32"/>
          <w:szCs w:val="32"/>
          <w:highlight w:val="none"/>
        </w:rPr>
      </w:pPr>
      <w:r>
        <w:rPr>
          <w:rFonts w:hint="eastAsia" w:ascii="宋体" w:hAnsi="宋体" w:cs="宋体"/>
          <w:b/>
          <w:color w:val="auto"/>
          <w:spacing w:val="6"/>
          <w:sz w:val="32"/>
          <w:szCs w:val="32"/>
          <w:highlight w:val="none"/>
        </w:rPr>
        <w:t>附件2：</w:t>
      </w:r>
      <w:r>
        <w:rPr>
          <w:rFonts w:hint="eastAsia" w:ascii="宋体" w:hAnsi="宋体" w:cs="宋体"/>
          <w:b/>
          <w:bCs/>
          <w:color w:val="auto"/>
          <w:sz w:val="32"/>
          <w:szCs w:val="32"/>
          <w:highlight w:val="none"/>
        </w:rPr>
        <w:t>业务专用章使用说明函</w:t>
      </w:r>
    </w:p>
    <w:p>
      <w:pPr>
        <w:spacing w:line="360" w:lineRule="auto"/>
        <w:rPr>
          <w:rFonts w:ascii="宋体" w:hAnsi="宋体" w:cs="宋体"/>
          <w:color w:val="auto"/>
          <w:sz w:val="24"/>
          <w:highlight w:val="none"/>
          <w:u w:val="single"/>
        </w:rPr>
      </w:pPr>
    </w:p>
    <w:p>
      <w:pPr>
        <w:spacing w:line="360" w:lineRule="auto"/>
        <w:rPr>
          <w:rFonts w:ascii="宋体" w:hAnsi="宋体" w:cs="宋体"/>
          <w:color w:val="auto"/>
          <w:szCs w:val="21"/>
          <w:highlight w:val="none"/>
        </w:rPr>
      </w:pPr>
      <w:r>
        <w:rPr>
          <w:rFonts w:hint="eastAsia" w:ascii="宋体" w:hAnsi="宋体" w:cs="宋体"/>
          <w:color w:val="auto"/>
          <w:szCs w:val="21"/>
          <w:highlight w:val="none"/>
          <w:u w:val="single"/>
        </w:rPr>
        <w:t>（采购人）、（采购代理机构）：</w:t>
      </w:r>
    </w:p>
    <w:p>
      <w:pPr>
        <w:spacing w:line="360" w:lineRule="auto"/>
        <w:ind w:firstLine="420" w:firstLineChars="200"/>
        <w:rPr>
          <w:rFonts w:ascii="宋体" w:hAnsi="宋体" w:cs="宋体"/>
          <w:color w:val="auto"/>
          <w:szCs w:val="21"/>
          <w:highlight w:val="none"/>
        </w:rPr>
      </w:pPr>
      <w:r>
        <w:rPr>
          <w:rFonts w:hint="eastAsia" w:ascii="宋体" w:hAnsi="宋体" w:cs="宋体"/>
          <w:color w:val="auto"/>
          <w:kern w:val="0"/>
          <w:szCs w:val="21"/>
          <w:highlight w:val="none"/>
          <w:lang w:val="zh-CN"/>
        </w:rPr>
        <w:t>我方</w:t>
      </w:r>
      <w:r>
        <w:rPr>
          <w:rFonts w:hint="eastAsia" w:ascii="宋体" w:hAnsi="宋体" w:cs="宋体"/>
          <w:color w:val="auto"/>
          <w:kern w:val="0"/>
          <w:szCs w:val="21"/>
          <w:highlight w:val="none"/>
          <w:u w:val="single"/>
          <w:lang w:val="zh-CN"/>
        </w:rPr>
        <w:t xml:space="preserve">                         </w:t>
      </w:r>
      <w:r>
        <w:rPr>
          <w:rFonts w:hint="eastAsia" w:ascii="宋体" w:hAnsi="宋体" w:cs="宋体"/>
          <w:color w:val="auto"/>
          <w:szCs w:val="21"/>
          <w:highlight w:val="none"/>
        </w:rPr>
        <w:t>(投标人全称)是中华人民共和国依法登记注册的合法企业，</w:t>
      </w:r>
      <w:r>
        <w:rPr>
          <w:rFonts w:hint="eastAsia" w:ascii="宋体" w:hAnsi="宋体" w:cs="宋体"/>
          <w:bCs/>
          <w:color w:val="auto"/>
          <w:szCs w:val="21"/>
          <w:highlight w:val="none"/>
        </w:rPr>
        <w:t>在参加</w:t>
      </w:r>
      <w:r>
        <w:rPr>
          <w:rFonts w:hint="eastAsia" w:ascii="宋体" w:hAnsi="宋体" w:cs="宋体"/>
          <w:color w:val="auto"/>
          <w:szCs w:val="21"/>
          <w:highlight w:val="none"/>
        </w:rPr>
        <w:t>你方组织的（项目名称）【招标编号：（采购编号）】</w:t>
      </w:r>
      <w:r>
        <w:rPr>
          <w:rFonts w:hint="eastAsia" w:ascii="宋体" w:hAnsi="宋体" w:cs="宋体"/>
          <w:bCs/>
          <w:color w:val="auto"/>
          <w:szCs w:val="21"/>
          <w:highlight w:val="none"/>
        </w:rPr>
        <w:t>投标活动中作如下说明：</w:t>
      </w:r>
      <w:r>
        <w:rPr>
          <w:rFonts w:hint="eastAsia" w:ascii="宋体" w:hAnsi="宋体" w:cs="宋体"/>
          <w:color w:val="auto"/>
          <w:szCs w:val="21"/>
          <w:highlight w:val="none"/>
        </w:rPr>
        <w:t xml:space="preserve">我方所使用的“XX专用章”与法定名称章具有同等的法律效力，对使用“XX专用章”的行为予以完全承认，并愿意承担相应责任。   </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特此说明。</w:t>
      </w:r>
    </w:p>
    <w:p>
      <w:pPr>
        <w:spacing w:line="360" w:lineRule="auto"/>
        <w:ind w:firstLine="494"/>
        <w:rPr>
          <w:rFonts w:ascii="宋体" w:hAnsi="宋体" w:cs="宋体"/>
          <w:color w:val="auto"/>
          <w:szCs w:val="21"/>
          <w:highlight w:val="none"/>
        </w:rPr>
      </w:pPr>
    </w:p>
    <w:p>
      <w:pPr>
        <w:spacing w:line="360" w:lineRule="auto"/>
        <w:ind w:firstLine="494"/>
        <w:rPr>
          <w:rFonts w:ascii="宋体" w:hAnsi="宋体" w:cs="宋体"/>
          <w:color w:val="auto"/>
          <w:szCs w:val="21"/>
          <w:highlight w:val="none"/>
        </w:rPr>
      </w:pPr>
    </w:p>
    <w:p>
      <w:pPr>
        <w:spacing w:line="360" w:lineRule="auto"/>
        <w:ind w:firstLine="494"/>
        <w:rPr>
          <w:rFonts w:ascii="宋体" w:hAnsi="宋体" w:cs="宋体"/>
          <w:color w:val="auto"/>
          <w:szCs w:val="21"/>
          <w:highlight w:val="none"/>
        </w:rPr>
      </w:pPr>
    </w:p>
    <w:p>
      <w:pPr>
        <w:spacing w:line="360" w:lineRule="auto"/>
        <w:ind w:right="480" w:firstLine="4200" w:firstLineChars="2000"/>
        <w:rPr>
          <w:rFonts w:ascii="宋体" w:hAnsi="宋体" w:cs="宋体"/>
          <w:color w:val="auto"/>
          <w:szCs w:val="21"/>
          <w:highlight w:val="none"/>
        </w:rPr>
      </w:pPr>
      <w:r>
        <w:rPr>
          <w:rFonts w:hint="eastAsia" w:ascii="宋体" w:hAnsi="宋体" w:cs="宋体"/>
          <w:color w:val="auto"/>
          <w:szCs w:val="21"/>
          <w:highlight w:val="none"/>
        </w:rPr>
        <w:t>投标单位（法定名称章）：</w:t>
      </w:r>
    </w:p>
    <w:p>
      <w:pPr>
        <w:ind w:right="1440" w:firstLine="494"/>
        <w:jc w:val="center"/>
        <w:rPr>
          <w:rFonts w:ascii="宋体" w:hAnsi="宋体" w:cs="宋体"/>
          <w:color w:val="auto"/>
          <w:szCs w:val="21"/>
          <w:highlight w:val="none"/>
        </w:rPr>
      </w:pPr>
      <w:r>
        <w:rPr>
          <w:rFonts w:hint="eastAsia" w:ascii="宋体" w:hAnsi="宋体" w:cs="宋体"/>
          <w:color w:val="auto"/>
          <w:szCs w:val="21"/>
          <w:highlight w:val="none"/>
        </w:rPr>
        <w:t xml:space="preserve">                               日期：       年     月     日</w:t>
      </w:r>
    </w:p>
    <w:p>
      <w:pPr>
        <w:rPr>
          <w:rFonts w:ascii="宋体" w:hAnsi="宋体" w:cs="宋体"/>
          <w:color w:val="auto"/>
          <w:szCs w:val="21"/>
          <w:highlight w:val="none"/>
        </w:rPr>
      </w:pPr>
      <w:r>
        <w:rPr>
          <w:rFonts w:hint="eastAsia" w:ascii="宋体" w:hAnsi="宋体" w:cs="宋体"/>
          <w:b/>
          <w:bCs/>
          <w:color w:val="auto"/>
          <w:szCs w:val="21"/>
          <w:highlight w:val="none"/>
        </w:rPr>
        <w:t>附：</w:t>
      </w:r>
    </w:p>
    <w:p>
      <w:pPr>
        <w:spacing w:line="360" w:lineRule="auto"/>
        <w:rPr>
          <w:rFonts w:ascii="宋体" w:hAnsi="宋体" w:cs="宋体"/>
          <w:bCs/>
          <w:color w:val="auto"/>
          <w:szCs w:val="21"/>
          <w:highlight w:val="none"/>
        </w:rPr>
      </w:pPr>
      <w:r>
        <w:rPr>
          <w:rFonts w:hint="eastAsia" w:ascii="宋体" w:hAnsi="宋体" w:cs="宋体"/>
          <w:b/>
          <w:bCs/>
          <w:color w:val="auto"/>
          <w:szCs w:val="21"/>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 AQAADwAAAGRycy9kb3ducmV2LnhtbE2PzU7DMBCE70i8g7VI3KjtAk0JcSoB4oKqVISqZzc2iUW8 tmL3h7dnOcFxNKOZb6rV2Y/saKfkAiqQMwHMYheMw17B9uP1ZgksZY1GjwGtgm+bYFVfXlS6NOGE 7/bY5p5RCaZSKxhyjiXnqRus12kWokXyPsPkdSY59dxM+kTlfuRzIRbca4e0MOhonwfbfbUHr2AX Uch1E3PTvs0366eN2700TqnrKykegWV7zn9h+MUndKiJaR8OaBIbFdwVBaFnBfcLCYwCD+K2ALYn R0oBvK74/wv1D1BLAwQUAAAACACHTuJAyCw/ti8CAAB/BAAADgAAAGRycy9lMm9Eb2MueG1srVTB btswDL0P2D8Iui+O3SRdjTpFkSDDgG4r1u0DFFmOhUmiRilxsq8fLbtd2u3Qw3wwRJN6eu+R8vXN 0Rp2UBg0uIrnkylnykmotdtV/Pu3zbv3nIUoXC0MOFXxkwr8Zvn2zXXnS1VAC6ZWyAjEhbLzFW9j 9GWWBdkqK8IEvHKUbACtiBTiLqtRdIRuTVZMp4usA6w9glQh0Nf1kOQjIr4GEJpGS7UGubfKxQEV lRGRJIVW+8CXiW3TKBm/NE1QkZmKk9KY3nQIrbf9O1tei3KHwrdajhTEayi80GSFdnToE9RaRMH2 qP+CsloiBGjiRILNBiHJEVKRT19489AKr5IWsjr4J9PD/4OVnw/3yHRd8QvOnLDU8K9kmnA7o1h+ 2fvT+VBS2YO/x15h8HcgfwTmYNVSmbpFhK5VoiZWeV+fPdvQB4G2sm33CWqCF/sIyapjg7YHJBPY MXXk9NQRdYxM0sficjqbLeacScoVxfxikc/TGaJ83O4xxA8KLOsXFUdin+DF4S7Eno4oH0sSfTC6 3mhjUoC77cogOwgaj016RvRwXmYc6yp+NS/mCflZLpxDTNPzLwirI90aoy3JOC8ybjSs92jwOh63 x9H2LdQnsg5hmFu6tbRoAX9x1tHMVjz83AtUnJmPjuy/ymezfshTMJtfFhTgeWZ7nhFOElTFI2fD chWHi7H3qHctnZQnuQ5uqWWNTmb27RxYjbxpLpPH4x3qB/88TlV//hvL31BLAwQKAAAAAACHTuJA AAAAAAAAAAAAAAAABgAAAF9yZWxzL1BLAwQUAAAACACHTuJAihRmPNEAAACUAQAACwAAAF9yZWxz Ly5yZWxzpZDBasMwDIbvg72D0X1xmsMYo04vo9Br6R7A2IpjGltGMtn69vMOg2X0tqN+oe8T//7w mRa1IkukbGDX9aAwO/IxBwPvl+PTCyipNnu7UEYDNxQ4jI8P+zMutrYjmWMR1ShZDMy1lletxc2Y rHRUMLfNRJxsbSMHXay72oB66Ptnzb8ZMG6Y6uQN8MkPoC630sx/2Ck6JqGpdo6SpmmK7h5VB7Zl ju7INuEbuUazHLAa8CwaB2pZ134EfV+/+6fe00c+47rVfoeM649Xb7ocvwBQSwMEFAAAAAgAh07i QH7m5SD3AAAA4QEAABMAAABbQ29udGVudF9UeXBlc10ueG1slZFBTsMwEEX3SNzB8hYlTrtACCXp grRLQKgcYGRPEotkbHlMaG+Pk7YbRJFY2jP/vye73BzGQUwY2Dqq5CovpEDSzljqKvm+32UPUnAE MjA4wkoekeWmvr0p90ePLFKauJJ9jP5RKdY9jsC580hp0rowQkzH0CkP+gM6VOuiuFfaUUSKWZw7 ZF022MLnEMX2kK5PJgEHluLptDizKgneD1ZDTKZqIvODkp0JeUouO9xbz3dJQ6pfCfPkOuCce0lP E6xB8QohPsOYNJQJrIz7ooBT/nfJbDly5trWasybwE2KveF0sbrWjmvXOP3f8u2SunSr5YPqb1BL AQIUABQAAAAIAIdO4kB+5uUg9wAAAOEBAAATAAAAAAAAAAEAIAAAAKAEAABbQ29udGVudF9UeXBl c10ueG1sUEsBAhQACgAAAAAAh07iQAAAAAAAAAAAAAAAAAYAAAAAAAAAAAAQAAAAggMAAF9yZWxz L1BLAQIUABQAAAAIAIdO4kCKFGY80QAAAJQBAAALAAAAAAAAAAEAIAAAAKYDAABfcmVscy8ucmVs c1BLAQIUAAoAAAAAAIdO4kAAAAAAAAAAAAAAAAAEAAAAAAAAAAAAEAAAAAAAAABkcnMvUEsBAhQA FAAAAAgAh07iQPWQDz/YAAAACgEAAA8AAAAAAAAAAQAgAAAAIgAAAGRycy9kb3ducmV2LnhtbFBL AQIUABQAAAAIAIdO4kDILD+2LwIAAH8EAAAOAAAAAAAAAAEAIAAAACcBAABkcnMvZTJvRG9jLnht bFBLBQYAAAAABgAGAFkBAADIBQAAAAA= ">
                <v:fill on="t" focussize="0,0"/>
                <v:stroke color="#000000" miterlimit="2" joinstyle="miter"/>
                <v:imagedata o:title=""/>
                <o:lock v:ext="edit" aspectratio="f"/>
                <v:textbox>
                  <w:txbxContent>
                    <w:p>
                      <w:pPr>
                        <w:jc w:val="center"/>
                      </w:pPr>
                    </w:p>
                  </w:txbxContent>
                </v:textbox>
              </v:rect>
            </w:pict>
          </mc:Fallback>
        </mc:AlternateContent>
      </w:r>
      <w:r>
        <w:rPr>
          <w:rFonts w:hint="eastAsia" w:ascii="宋体" w:hAnsi="宋体" w:cs="宋体"/>
          <w:b/>
          <w:bCs/>
          <w:color w:val="auto"/>
          <w:szCs w:val="21"/>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 AQAADwAAAGRycy9kb3ducmV2LnhtbE2Py2rDMBBF94X+g5hCd4kk45jiWg6kpZsSHOqUrBVLtUWs kbGUR/++01W7u8Mc7pyp1jc/soudowuoQC4FMItdMA57BZ/7t8UTsJg0Gj0GtAq+bYR1fX9X6dKE K37YS5t6RiUYS61gSGkqOY/dYL2OyzBZpN1XmL1ONM49N7O+UrkfeSZEwb12SBcGPdmXwXan9uwV HCYUcttMqWnfs912s3OH18Yp9fggxTOwZG/pD4ZffVKHmpyO4YwmslHBQuY5oQoKUQAjIBcZhSMF uVoBryv+/4X6B1BLAwQUAAAACACHTuJASi97gy8CAAB/BAAADgAAAGRycy9lMm9Eb2MueG1srVTB btswDL0P2D8Iui+OvSRdjTpF0SLDgG4t1u0DFFmOhUmiRilxuq8fLbuZ2+3Qw3wwRJN6eu+R8sXl 0Rp2UBg0uIrnszlnykmotdtV/Pu3zbsPnIUoXC0MOFXxRxX45frtm4vOl6qAFkytkBGIC2XnK97G 6MssC7JVVoQZeOUo2QBaESnEXVaj6AjdmqyYz1dZB1h7BKlCoK83Q5KPiPgaQGgaLdUNyL1VLg6o qIyIJCm02ge+TmybRsl41zRBRWYqTkpjetMhtN7272x9IcodCt9qOVIQr6HwQpMV2tGhJ6gbEQXb o/4LymqJEKCJMwk2G4QkR0hFPn/hzUMrvEpayOrgT6aH/wcrvxzukem64gvOnLDU8K9kmnA7o1i+ 6v3pfCip7MHfY68w+FuQPwJzcN1SmbpChK5VoiZWeV+fPdvQB4G2sm33GWqCF/sIyapjg7YHJBPY MXXk8dQRdYxM0sditTg7X1KzJOWKYvl+lS/TGaJ82u4xxI8KLOsXFUdin+DF4TbEno4on0oSfTC6 3mhjUoC77bVBdhA0Hpv0jOhhWmYc6yp+viyWCflZLkwh5un5F4TVkW6N0ZZkTIuMGw3rPRq8jsft cbR9C/UjWYcwzC3dWlq0gL8462hmKx5+7gUqzswnR/af54tFP+QpWCzPCgpwmtlOM8JJgqp45GxY XsfhYuw96l1LJ+VJroMralmjk5l9OwdWI2+ay+TxeIf6wZ/GqerPf2P9G1BLAwQKAAAAAACHTuJA AAAAAAAAAAAAAAAABgAAAF9yZWxzL1BLAwQUAAAACACHTuJAihRmPNEAAACUAQAACwAAAF9yZWxz Ly5yZWxzpZDBasMwDIbvg72D0X1xmsMYo04vo9Br6R7A2IpjGltGMtn69vMOg2X0tqN+oe8T//7w mRa1IkukbGDX9aAwO/IxBwPvl+PTCyipNnu7UEYDNxQ4jI8P+zMutrYjmWMR1ShZDMy1lletxc2Y rHRUMLfNRJxsbSMHXay72oB66Ptnzb8ZMG6Y6uQN8MkPoC630sx/2Ck6JqGpdo6SpmmK7h5VB7Zl ju7INuEbuUazHLAa8CwaB2pZ134EfV+/+6fe00c+47rVfoeM649Xb7ocvwBQSwMEFAAAAAgAh07i QH7m5SD3AAAA4QEAABMAAABbQ29udGVudF9UeXBlc10ueG1slZFBTsMwEEX3SNzB8hYlTrtACCXp grRLQKgcYGRPEotkbHlMaG+Pk7YbRJFY2jP/vye73BzGQUwY2Dqq5CovpEDSzljqKvm+32UPUnAE MjA4wkoekeWmvr0p90ePLFKauJJ9jP5RKdY9jsC580hp0rowQkzH0CkP+gM6VOuiuFfaUUSKWZw7 ZF022MLnEMX2kK5PJgEHluLptDizKgneD1ZDTKZqIvODkp0JeUouO9xbz3dJQ6pfCfPkOuCce0lP E6xB8QohPsOYNJQJrIz7ooBT/nfJbDly5trWasybwE2KveF0sbrWjmvXOP3f8u2SunSr5YPqb1BL AQIUABQAAAAIAIdO4kB+5uUg9wAAAOEBAAATAAAAAAAAAAEAIAAAAKAEAABbQ29udGVudF9UeXBl c10ueG1sUEsBAhQACgAAAAAAh07iQAAAAAAAAAAAAAAAAAYAAAAAAAAAAAAQAAAAggMAAF9yZWxz L1BLAQIUABQAAAAIAIdO4kCKFGY80QAAAJQBAAALAAAAAAAAAAEAIAAAAKYDAABfcmVscy8ucmVs c1BLAQIUAAoAAAAAAIdO4kAAAAAAAAAAAAAAAAAEAAAAAAAAAAAAEAAAAAAAAABkcnMvUEsBAhQA FAAAAAgAh07iQBmMR6bYAAAACgEAAA8AAAAAAAAAAQAgAAAAIgAAAGRycy9kb3ducmV2LnhtbFBL AQIUABQAAAAIAIdO4kBKL3uDLwIAAH8EAAAOAAAAAAAAAAEAIAAAACcBAABkcnMvZTJvRG9jLnht bFBLBQYAAAAABgAGAFkBAADIBQAAAAA= ">
                <v:fill on="t" focussize="0,0"/>
                <v:stroke color="#000000" miterlimit="2" joinstyle="miter"/>
                <v:imagedata o:title=""/>
                <o:lock v:ext="edit" aspectratio="f"/>
                <v:textbox>
                  <w:txbxContent>
                    <w:p>
                      <w:pPr>
                        <w:jc w:val="center"/>
                      </w:pPr>
                    </w:p>
                  </w:txbxContent>
                </v:textbox>
              </v:rect>
            </w:pict>
          </mc:Fallback>
        </mc:AlternateContent>
      </w:r>
      <w:r>
        <w:rPr>
          <w:rFonts w:hint="eastAsia" w:ascii="宋体" w:hAnsi="宋体" w:cs="宋体"/>
          <w:color w:val="auto"/>
          <w:szCs w:val="21"/>
          <w:highlight w:val="none"/>
        </w:rPr>
        <w:t>投标单位法定名称章（印模）                投标单位“XX专用章”（印模）</w:t>
      </w:r>
    </w:p>
    <w:p>
      <w:pPr>
        <w:autoSpaceDE w:val="0"/>
        <w:autoSpaceDN w:val="0"/>
        <w:jc w:val="center"/>
        <w:rPr>
          <w:rFonts w:ascii="宋体" w:hAnsi="宋体" w:cs="宋体"/>
          <w:b/>
          <w:color w:val="auto"/>
          <w:spacing w:val="6"/>
          <w:szCs w:val="21"/>
          <w:highlight w:val="none"/>
        </w:rPr>
      </w:pPr>
    </w:p>
    <w:p>
      <w:pPr>
        <w:autoSpaceDE w:val="0"/>
        <w:autoSpaceDN w:val="0"/>
        <w:jc w:val="center"/>
        <w:rPr>
          <w:rFonts w:ascii="宋体" w:hAnsi="宋体" w:cs="宋体"/>
          <w:b/>
          <w:color w:val="auto"/>
          <w:spacing w:val="6"/>
          <w:szCs w:val="21"/>
          <w:highlight w:val="none"/>
        </w:rPr>
      </w:pPr>
    </w:p>
    <w:p>
      <w:pPr>
        <w:autoSpaceDE w:val="0"/>
        <w:autoSpaceDN w:val="0"/>
        <w:jc w:val="center"/>
        <w:rPr>
          <w:rFonts w:ascii="宋体" w:hAnsi="宋体" w:cs="宋体"/>
          <w:b/>
          <w:color w:val="auto"/>
          <w:spacing w:val="6"/>
          <w:szCs w:val="21"/>
          <w:highlight w:val="none"/>
        </w:rPr>
      </w:pPr>
    </w:p>
    <w:p>
      <w:pPr>
        <w:autoSpaceDE w:val="0"/>
        <w:autoSpaceDN w:val="0"/>
        <w:jc w:val="center"/>
        <w:rPr>
          <w:rFonts w:ascii="宋体" w:hAnsi="宋体" w:cs="宋体"/>
          <w:b/>
          <w:color w:val="auto"/>
          <w:spacing w:val="6"/>
          <w:szCs w:val="21"/>
          <w:highlight w:val="none"/>
        </w:rPr>
      </w:pPr>
    </w:p>
    <w:p>
      <w:pPr>
        <w:autoSpaceDE w:val="0"/>
        <w:autoSpaceDN w:val="0"/>
        <w:jc w:val="center"/>
        <w:rPr>
          <w:rFonts w:ascii="宋体" w:hAnsi="宋体" w:cs="宋体"/>
          <w:b/>
          <w:color w:val="auto"/>
          <w:spacing w:val="6"/>
          <w:szCs w:val="21"/>
          <w:highlight w:val="none"/>
        </w:rPr>
      </w:pPr>
    </w:p>
    <w:p>
      <w:pPr>
        <w:autoSpaceDE w:val="0"/>
        <w:autoSpaceDN w:val="0"/>
        <w:jc w:val="center"/>
        <w:rPr>
          <w:rFonts w:ascii="宋体" w:hAnsi="宋体" w:cs="宋体"/>
          <w:b/>
          <w:color w:val="auto"/>
          <w:spacing w:val="6"/>
          <w:szCs w:val="21"/>
          <w:highlight w:val="none"/>
        </w:rPr>
      </w:pPr>
    </w:p>
    <w:p>
      <w:pPr>
        <w:autoSpaceDE w:val="0"/>
        <w:autoSpaceDN w:val="0"/>
        <w:jc w:val="center"/>
        <w:rPr>
          <w:rFonts w:ascii="宋体" w:hAnsi="宋体" w:cs="宋体"/>
          <w:b/>
          <w:color w:val="auto"/>
          <w:spacing w:val="6"/>
          <w:szCs w:val="21"/>
          <w:highlight w:val="none"/>
        </w:rPr>
      </w:pPr>
    </w:p>
    <w:p>
      <w:pPr>
        <w:autoSpaceDE w:val="0"/>
        <w:autoSpaceDN w:val="0"/>
        <w:jc w:val="center"/>
        <w:rPr>
          <w:rFonts w:ascii="宋体" w:hAnsi="宋体" w:cs="宋体"/>
          <w:b/>
          <w:color w:val="auto"/>
          <w:spacing w:val="6"/>
          <w:szCs w:val="21"/>
          <w:highlight w:val="none"/>
        </w:rPr>
      </w:pPr>
    </w:p>
    <w:p>
      <w:pPr>
        <w:autoSpaceDE w:val="0"/>
        <w:autoSpaceDN w:val="0"/>
        <w:jc w:val="center"/>
        <w:rPr>
          <w:rFonts w:ascii="宋体" w:hAnsi="宋体" w:cs="宋体"/>
          <w:b/>
          <w:color w:val="auto"/>
          <w:spacing w:val="6"/>
          <w:szCs w:val="21"/>
          <w:highlight w:val="none"/>
        </w:rPr>
      </w:pPr>
    </w:p>
    <w:p>
      <w:pPr>
        <w:autoSpaceDE w:val="0"/>
        <w:autoSpaceDN w:val="0"/>
        <w:jc w:val="center"/>
        <w:rPr>
          <w:rFonts w:ascii="宋体" w:hAnsi="宋体" w:cs="宋体"/>
          <w:b/>
          <w:color w:val="auto"/>
          <w:spacing w:val="6"/>
          <w:szCs w:val="21"/>
          <w:highlight w:val="none"/>
        </w:rPr>
      </w:pPr>
    </w:p>
    <w:p>
      <w:pPr>
        <w:autoSpaceDE w:val="0"/>
        <w:autoSpaceDN w:val="0"/>
        <w:jc w:val="center"/>
        <w:rPr>
          <w:rFonts w:ascii="宋体" w:hAnsi="宋体" w:cs="宋体"/>
          <w:b/>
          <w:color w:val="auto"/>
          <w:spacing w:val="6"/>
          <w:szCs w:val="21"/>
          <w:highlight w:val="none"/>
        </w:rPr>
      </w:pPr>
    </w:p>
    <w:p>
      <w:pPr>
        <w:autoSpaceDE w:val="0"/>
        <w:autoSpaceDN w:val="0"/>
        <w:jc w:val="center"/>
        <w:rPr>
          <w:rFonts w:ascii="宋体" w:hAnsi="宋体" w:cs="宋体"/>
          <w:b/>
          <w:color w:val="auto"/>
          <w:spacing w:val="6"/>
          <w:szCs w:val="21"/>
          <w:highlight w:val="none"/>
        </w:rPr>
      </w:pPr>
    </w:p>
    <w:p>
      <w:pPr>
        <w:autoSpaceDE w:val="0"/>
        <w:autoSpaceDN w:val="0"/>
        <w:jc w:val="center"/>
        <w:rPr>
          <w:rFonts w:ascii="宋体" w:hAnsi="宋体" w:cs="宋体"/>
          <w:b/>
          <w:color w:val="auto"/>
          <w:spacing w:val="6"/>
          <w:szCs w:val="21"/>
          <w:highlight w:val="none"/>
        </w:rPr>
      </w:pPr>
    </w:p>
    <w:p>
      <w:pPr>
        <w:autoSpaceDE w:val="0"/>
        <w:autoSpaceDN w:val="0"/>
        <w:jc w:val="center"/>
        <w:rPr>
          <w:rFonts w:ascii="宋体" w:hAnsi="宋体" w:cs="宋体"/>
          <w:b/>
          <w:color w:val="auto"/>
          <w:spacing w:val="6"/>
          <w:szCs w:val="21"/>
          <w:highlight w:val="none"/>
        </w:rPr>
      </w:pPr>
    </w:p>
    <w:p>
      <w:pPr>
        <w:autoSpaceDE w:val="0"/>
        <w:autoSpaceDN w:val="0"/>
        <w:jc w:val="center"/>
        <w:rPr>
          <w:rFonts w:ascii="宋体" w:hAnsi="宋体" w:cs="宋体"/>
          <w:b/>
          <w:color w:val="auto"/>
          <w:spacing w:val="6"/>
          <w:szCs w:val="21"/>
          <w:highlight w:val="none"/>
        </w:rPr>
      </w:pPr>
    </w:p>
    <w:p>
      <w:pPr>
        <w:autoSpaceDE w:val="0"/>
        <w:autoSpaceDN w:val="0"/>
        <w:jc w:val="center"/>
        <w:rPr>
          <w:rFonts w:ascii="宋体" w:hAnsi="宋体" w:cs="宋体"/>
          <w:b/>
          <w:color w:val="auto"/>
          <w:spacing w:val="6"/>
          <w:szCs w:val="21"/>
          <w:highlight w:val="none"/>
        </w:rPr>
      </w:pPr>
    </w:p>
    <w:p>
      <w:pPr>
        <w:autoSpaceDE w:val="0"/>
        <w:autoSpaceDN w:val="0"/>
        <w:jc w:val="center"/>
        <w:rPr>
          <w:rFonts w:ascii="宋体" w:hAnsi="宋体" w:cs="宋体"/>
          <w:b/>
          <w:color w:val="auto"/>
          <w:spacing w:val="6"/>
          <w:szCs w:val="21"/>
          <w:highlight w:val="none"/>
        </w:rPr>
      </w:pPr>
    </w:p>
    <w:p>
      <w:pPr>
        <w:jc w:val="center"/>
        <w:rPr>
          <w:rFonts w:asciiTheme="minorEastAsia" w:hAnsiTheme="minorEastAsia" w:eastAsiaTheme="minorEastAsia"/>
          <w:b/>
          <w:bCs/>
          <w:color w:val="auto"/>
          <w:sz w:val="32"/>
          <w:szCs w:val="32"/>
          <w:highlight w:val="none"/>
        </w:rPr>
      </w:pPr>
      <w:bookmarkStart w:id="640" w:name="_Toc27865"/>
    </w:p>
    <w:p>
      <w:pPr>
        <w:jc w:val="center"/>
        <w:rPr>
          <w:rFonts w:asciiTheme="minorEastAsia" w:hAnsiTheme="minorEastAsia" w:eastAsiaTheme="minorEastAsia"/>
          <w:b/>
          <w:bCs/>
          <w:color w:val="auto"/>
          <w:sz w:val="32"/>
          <w:szCs w:val="32"/>
          <w:highlight w:val="none"/>
        </w:rPr>
      </w:pPr>
      <w:r>
        <w:rPr>
          <w:rFonts w:hint="eastAsia" w:asciiTheme="minorEastAsia" w:hAnsiTheme="minorEastAsia" w:eastAsiaTheme="minorEastAsia"/>
          <w:b/>
          <w:bCs/>
          <w:color w:val="auto"/>
          <w:sz w:val="32"/>
          <w:szCs w:val="32"/>
          <w:highlight w:val="none"/>
        </w:rPr>
        <w:t>附件3：联合协议</w:t>
      </w:r>
      <w:bookmarkEnd w:id="640"/>
      <w:r>
        <w:rPr>
          <w:rFonts w:hint="eastAsia" w:asciiTheme="minorEastAsia" w:hAnsiTheme="minorEastAsia" w:eastAsiaTheme="minorEastAsia"/>
          <w:b/>
          <w:bCs/>
          <w:color w:val="auto"/>
          <w:sz w:val="32"/>
          <w:szCs w:val="32"/>
          <w:highlight w:val="none"/>
        </w:rPr>
        <w:t>（如果有）</w:t>
      </w:r>
    </w:p>
    <w:p>
      <w:pPr>
        <w:widowControl/>
        <w:spacing w:line="360" w:lineRule="auto"/>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（以联合体形式投标的，提供联合协议；本项目不接受联合体投标或者投标人不以联合体形式投标的，则不需要提供）</w:t>
      </w:r>
    </w:p>
    <w:p>
      <w:pPr>
        <w:snapToGrid w:val="0"/>
        <w:spacing w:line="360" w:lineRule="auto"/>
        <w:ind w:firstLine="576"/>
        <w:rPr>
          <w:rFonts w:ascii="宋体" w:hAnsi="宋体" w:cs="宋体"/>
          <w:color w:val="auto"/>
          <w:kern w:val="0"/>
          <w:szCs w:val="21"/>
          <w:highlight w:val="none"/>
          <w:lang w:val="zh-CN"/>
        </w:rPr>
      </w:pPr>
      <w:r>
        <w:rPr>
          <w:rFonts w:hint="eastAsia" w:ascii="宋体" w:hAnsi="宋体" w:cs="宋体"/>
          <w:color w:val="auto"/>
          <w:kern w:val="0"/>
          <w:szCs w:val="21"/>
          <w:highlight w:val="none"/>
          <w:u w:val="single"/>
        </w:rPr>
        <w:t>（联合体所有成员名称）</w:t>
      </w:r>
      <w:r>
        <w:rPr>
          <w:rFonts w:hint="eastAsia" w:ascii="宋体" w:hAnsi="宋体" w:cs="宋体"/>
          <w:color w:val="auto"/>
          <w:kern w:val="0"/>
          <w:szCs w:val="21"/>
          <w:highlight w:val="none"/>
        </w:rPr>
        <w:t>自愿</w:t>
      </w:r>
      <w:r>
        <w:rPr>
          <w:rFonts w:hint="eastAsia" w:ascii="宋体" w:hAnsi="宋体" w:cs="宋体"/>
          <w:color w:val="auto"/>
          <w:kern w:val="0"/>
          <w:szCs w:val="21"/>
          <w:highlight w:val="none"/>
          <w:lang w:val="zh-CN"/>
        </w:rPr>
        <w:t>组成一个联合体，以一个投标人的身份</w:t>
      </w:r>
      <w:r>
        <w:rPr>
          <w:rFonts w:hint="eastAsia" w:ascii="宋体" w:hAnsi="宋体" w:cs="宋体"/>
          <w:color w:val="auto"/>
          <w:kern w:val="0"/>
          <w:szCs w:val="21"/>
          <w:highlight w:val="none"/>
        </w:rPr>
        <w:t>参加</w:t>
      </w:r>
      <w:r>
        <w:rPr>
          <w:rFonts w:hint="eastAsia" w:ascii="宋体" w:hAnsi="宋体" w:cs="宋体"/>
          <w:color w:val="auto"/>
          <w:szCs w:val="21"/>
          <w:highlight w:val="none"/>
        </w:rPr>
        <w:t>（</w:t>
      </w:r>
      <w:r>
        <w:rPr>
          <w:rFonts w:hint="eastAsia" w:ascii="宋体" w:hAnsi="宋体" w:cs="宋体"/>
          <w:color w:val="auto"/>
          <w:szCs w:val="21"/>
          <w:highlight w:val="none"/>
          <w:u w:val="single"/>
        </w:rPr>
        <w:t>项目名称</w:t>
      </w:r>
      <w:r>
        <w:rPr>
          <w:rFonts w:hint="eastAsia" w:ascii="宋体" w:hAnsi="宋体" w:cs="宋体"/>
          <w:color w:val="auto"/>
          <w:szCs w:val="21"/>
          <w:highlight w:val="none"/>
        </w:rPr>
        <w:t>）【</w:t>
      </w:r>
      <w:r>
        <w:rPr>
          <w:rFonts w:hint="eastAsia" w:ascii="宋体" w:hAnsi="宋体" w:cs="宋体"/>
          <w:color w:val="auto"/>
          <w:szCs w:val="21"/>
          <w:highlight w:val="none"/>
          <w:u w:val="single"/>
        </w:rPr>
        <w:t>招标编号：（采购编号）</w:t>
      </w:r>
      <w:r>
        <w:rPr>
          <w:rFonts w:hint="eastAsia" w:ascii="宋体" w:hAnsi="宋体" w:cs="宋体"/>
          <w:color w:val="auto"/>
          <w:szCs w:val="21"/>
          <w:highlight w:val="none"/>
        </w:rPr>
        <w:t>】</w:t>
      </w:r>
      <w:r>
        <w:rPr>
          <w:rFonts w:hint="eastAsia" w:ascii="宋体" w:hAnsi="宋体" w:cs="宋体"/>
          <w:color w:val="auto"/>
          <w:kern w:val="0"/>
          <w:szCs w:val="21"/>
          <w:highlight w:val="none"/>
          <w:lang w:val="zh-CN"/>
        </w:rPr>
        <w:t xml:space="preserve">投标。 </w:t>
      </w:r>
    </w:p>
    <w:p>
      <w:pPr>
        <w:snapToGrid w:val="0"/>
        <w:spacing w:line="360" w:lineRule="auto"/>
        <w:ind w:firstLine="576"/>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一、各方一致决定，</w:t>
      </w:r>
      <w:r>
        <w:rPr>
          <w:rFonts w:hint="eastAsia" w:ascii="宋体" w:hAnsi="宋体" w:cs="宋体"/>
          <w:color w:val="auto"/>
          <w:kern w:val="0"/>
          <w:szCs w:val="21"/>
          <w:highlight w:val="none"/>
          <w:u w:val="single"/>
        </w:rPr>
        <w:t>（某联合体成员名称）</w:t>
      </w:r>
      <w:r>
        <w:rPr>
          <w:rFonts w:hint="eastAsia" w:ascii="宋体" w:hAnsi="宋体" w:cs="宋体"/>
          <w:color w:val="auto"/>
          <w:kern w:val="0"/>
          <w:szCs w:val="21"/>
          <w:highlight w:val="none"/>
        </w:rPr>
        <w:t>为联合体</w:t>
      </w:r>
      <w:r>
        <w:rPr>
          <w:rFonts w:hint="eastAsia" w:ascii="宋体" w:hAnsi="宋体" w:cs="宋体"/>
          <w:color w:val="auto"/>
          <w:kern w:val="0"/>
          <w:szCs w:val="21"/>
          <w:highlight w:val="none"/>
          <w:lang w:val="zh-CN"/>
        </w:rPr>
        <w:t>牵头人</w:t>
      </w:r>
      <w:r>
        <w:rPr>
          <w:rFonts w:hint="eastAsia" w:ascii="宋体" w:hAnsi="宋体" w:cs="宋体"/>
          <w:color w:val="auto"/>
          <w:szCs w:val="21"/>
          <w:highlight w:val="none"/>
        </w:rPr>
        <w:t>，代表所有联合体成员负责投标和合同实施阶段的主办、协调工作</w:t>
      </w:r>
      <w:r>
        <w:rPr>
          <w:rFonts w:hint="eastAsia" w:ascii="宋体" w:hAnsi="宋体" w:cs="宋体"/>
          <w:color w:val="auto"/>
          <w:kern w:val="0"/>
          <w:szCs w:val="21"/>
          <w:highlight w:val="none"/>
          <w:lang w:val="zh-CN"/>
        </w:rPr>
        <w:t>。</w:t>
      </w:r>
    </w:p>
    <w:p>
      <w:pPr>
        <w:snapToGrid w:val="0"/>
        <w:spacing w:line="360" w:lineRule="auto"/>
        <w:ind w:firstLine="576"/>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二、</w:t>
      </w:r>
      <w:r>
        <w:rPr>
          <w:rFonts w:hint="eastAsia" w:ascii="宋体" w:hAnsi="宋体" w:cs="宋体"/>
          <w:color w:val="auto"/>
          <w:szCs w:val="21"/>
          <w:highlight w:val="none"/>
        </w:rPr>
        <w:t>所有联合体成员各方签署授权书，授权书载明的</w:t>
      </w:r>
      <w:r>
        <w:rPr>
          <w:rFonts w:hint="eastAsia" w:ascii="宋体" w:hAnsi="宋体" w:cs="宋体"/>
          <w:color w:val="auto"/>
          <w:kern w:val="0"/>
          <w:szCs w:val="21"/>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outlineLvl w:val="1"/>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三、本次联合投标中，分工如下：</w:t>
      </w:r>
    </w:p>
    <w:p>
      <w:pPr>
        <w:snapToGrid w:val="0"/>
        <w:spacing w:line="360" w:lineRule="auto"/>
        <w:ind w:firstLine="576"/>
        <w:rPr>
          <w:rFonts w:ascii="宋体" w:hAnsi="宋体" w:cs="宋体"/>
          <w:color w:val="auto"/>
          <w:kern w:val="0"/>
          <w:szCs w:val="21"/>
          <w:highlight w:val="none"/>
          <w:lang w:val="zh-CN"/>
        </w:rPr>
      </w:pPr>
      <w:bookmarkStart w:id="641" w:name="_Hlk101134295"/>
      <w:r>
        <w:rPr>
          <w:rFonts w:hint="eastAsia" w:ascii="宋体" w:hAnsi="宋体" w:cs="宋体"/>
          <w:color w:val="auto"/>
          <w:kern w:val="0"/>
          <w:szCs w:val="21"/>
          <w:highlight w:val="none"/>
          <w:u w:val="single"/>
        </w:rPr>
        <w:t>（联合体成员1）</w:t>
      </w:r>
      <w:r>
        <w:rPr>
          <w:rFonts w:hint="eastAsia" w:ascii="宋体" w:hAnsi="宋体" w:cs="宋体"/>
          <w:color w:val="auto"/>
          <w:kern w:val="0"/>
          <w:szCs w:val="21"/>
          <w:highlight w:val="none"/>
          <w:lang w:val="zh-CN"/>
        </w:rPr>
        <w:t>承担的工作和义务为：</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lang w:val="zh-CN"/>
        </w:rPr>
        <w:t>；</w:t>
      </w:r>
    </w:p>
    <w:p>
      <w:pPr>
        <w:snapToGrid w:val="0"/>
        <w:spacing w:line="360" w:lineRule="auto"/>
        <w:ind w:firstLine="576"/>
        <w:rPr>
          <w:rFonts w:ascii="宋体" w:hAnsi="宋体" w:cs="宋体"/>
          <w:color w:val="auto"/>
          <w:kern w:val="0"/>
          <w:szCs w:val="21"/>
          <w:highlight w:val="none"/>
          <w:lang w:val="zh-CN"/>
        </w:rPr>
      </w:pPr>
      <w:r>
        <w:rPr>
          <w:rFonts w:hint="eastAsia" w:ascii="宋体" w:hAnsi="宋体" w:cs="宋体"/>
          <w:color w:val="auto"/>
          <w:kern w:val="0"/>
          <w:szCs w:val="21"/>
          <w:highlight w:val="none"/>
          <w:u w:val="single"/>
        </w:rPr>
        <w:t>（联合体成员</w:t>
      </w:r>
      <w:r>
        <w:rPr>
          <w:rFonts w:ascii="宋体" w:hAnsi="宋体" w:cs="宋体"/>
          <w:color w:val="auto"/>
          <w:kern w:val="0"/>
          <w:szCs w:val="21"/>
          <w:highlight w:val="none"/>
          <w:u w:val="single"/>
        </w:rPr>
        <w:t>2</w:t>
      </w:r>
      <w:r>
        <w:rPr>
          <w:rFonts w:hint="eastAsia" w:ascii="宋体" w:hAnsi="宋体" w:cs="宋体"/>
          <w:color w:val="auto"/>
          <w:kern w:val="0"/>
          <w:szCs w:val="21"/>
          <w:highlight w:val="none"/>
          <w:u w:val="single"/>
        </w:rPr>
        <w:t>）</w:t>
      </w:r>
      <w:r>
        <w:rPr>
          <w:rFonts w:hint="eastAsia" w:ascii="宋体" w:hAnsi="宋体" w:cs="宋体"/>
          <w:color w:val="auto"/>
          <w:kern w:val="0"/>
          <w:szCs w:val="21"/>
          <w:highlight w:val="none"/>
          <w:lang w:val="zh-CN"/>
        </w:rPr>
        <w:t>承担的工作和义务为：</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lang w:val="zh-CN"/>
        </w:rPr>
        <w:t>；</w:t>
      </w:r>
    </w:p>
    <w:p>
      <w:pPr>
        <w:snapToGrid w:val="0"/>
        <w:spacing w:line="360" w:lineRule="auto"/>
        <w:ind w:firstLine="576"/>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w:t>
      </w:r>
    </w:p>
    <w:bookmarkEnd w:id="641"/>
    <w:p>
      <w:pPr>
        <w:snapToGrid w:val="0"/>
        <w:spacing w:line="360" w:lineRule="auto"/>
        <w:ind w:firstLine="576"/>
        <w:outlineLvl w:val="1"/>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四、联合体成员中小企业合同份额。</w:t>
      </w:r>
    </w:p>
    <w:p>
      <w:pPr>
        <w:snapToGrid w:val="0"/>
        <w:spacing w:line="360" w:lineRule="auto"/>
        <w:ind w:firstLine="576"/>
        <w:rPr>
          <w:rFonts w:ascii="宋体" w:hAnsi="宋体" w:cs="宋体"/>
          <w:b/>
          <w:color w:val="auto"/>
          <w:kern w:val="0"/>
          <w:szCs w:val="21"/>
          <w:highlight w:val="none"/>
          <w:lang w:val="zh-CN"/>
        </w:rPr>
      </w:pPr>
      <w:r>
        <w:rPr>
          <w:rFonts w:hint="eastAsia" w:ascii="宋体" w:hAnsi="宋体" w:cs="宋体"/>
          <w:color w:val="auto"/>
          <w:kern w:val="0"/>
          <w:szCs w:val="21"/>
          <w:highlight w:val="none"/>
          <w:lang w:val="zh-CN"/>
        </w:rPr>
        <w:t>1、</w:t>
      </w:r>
      <w:r>
        <w:rPr>
          <w:rFonts w:hint="eastAsia" w:ascii="宋体" w:hAnsi="宋体" w:cs="宋体"/>
          <w:color w:val="auto"/>
          <w:kern w:val="0"/>
          <w:szCs w:val="21"/>
          <w:highlight w:val="none"/>
          <w:u w:val="single"/>
        </w:rPr>
        <w:t>（联合体成员</w:t>
      </w:r>
      <w:r>
        <w:rPr>
          <w:rFonts w:ascii="宋体" w:hAnsi="宋体" w:cs="宋体"/>
          <w:color w:val="auto"/>
          <w:kern w:val="0"/>
          <w:szCs w:val="21"/>
          <w:highlight w:val="none"/>
          <w:u w:val="single"/>
        </w:rPr>
        <w:t>X,</w:t>
      </w:r>
      <w:r>
        <w:rPr>
          <w:rFonts w:hint="eastAsia" w:ascii="宋体" w:hAnsi="宋体" w:cs="宋体"/>
          <w:color w:val="auto"/>
          <w:kern w:val="0"/>
          <w:szCs w:val="21"/>
          <w:highlight w:val="none"/>
          <w:u w:val="single"/>
        </w:rPr>
        <w:t>……）</w:t>
      </w:r>
      <w:r>
        <w:rPr>
          <w:rFonts w:hint="eastAsia" w:ascii="宋体" w:hAnsi="宋体" w:cs="宋体"/>
          <w:color w:val="auto"/>
          <w:kern w:val="0"/>
          <w:szCs w:val="21"/>
          <w:highlight w:val="none"/>
        </w:rPr>
        <w:t>提供的全部货物由小微企业制造，其合同份额占到合同总金额</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%以上；</w:t>
      </w:r>
      <w:r>
        <w:rPr>
          <w:rFonts w:hint="eastAsia" w:ascii="宋体" w:hAnsi="宋体" w:cs="宋体"/>
          <w:color w:val="auto"/>
          <w:kern w:val="0"/>
          <w:szCs w:val="21"/>
          <w:highlight w:val="none"/>
          <w:lang w:val="zh-CN"/>
        </w:rPr>
        <w:t>……。</w:t>
      </w:r>
      <w:r>
        <w:rPr>
          <w:rFonts w:hint="eastAsia" w:ascii="宋体" w:hAnsi="宋体" w:cs="宋体"/>
          <w:b/>
          <w:color w:val="auto"/>
          <w:kern w:val="0"/>
          <w:szCs w:val="21"/>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Cs w:val="21"/>
          <w:highlight w:val="none"/>
        </w:rPr>
        <w:t>拟享受以上价格扣除政策的，填写有关内容。</w:t>
      </w:r>
      <w:r>
        <w:rPr>
          <w:rFonts w:hint="eastAsia" w:ascii="宋体" w:hAnsi="宋体" w:cs="宋体"/>
          <w:b/>
          <w:color w:val="auto"/>
          <w:kern w:val="0"/>
          <w:szCs w:val="21"/>
          <w:highlight w:val="none"/>
          <w:lang w:val="zh-CN"/>
        </w:rPr>
        <w:t>）</w:t>
      </w:r>
    </w:p>
    <w:p>
      <w:pPr>
        <w:snapToGrid w:val="0"/>
        <w:spacing w:line="360" w:lineRule="auto"/>
        <w:ind w:firstLine="576"/>
        <w:rPr>
          <w:rFonts w:ascii="宋体" w:hAnsi="宋体" w:cs="宋体"/>
          <w:color w:val="auto"/>
          <w:kern w:val="0"/>
          <w:szCs w:val="21"/>
          <w:highlight w:val="none"/>
          <w:lang w:val="zh-CN"/>
        </w:rPr>
      </w:pPr>
      <w:r>
        <w:rPr>
          <w:rFonts w:hint="eastAsia" w:ascii="宋体" w:hAnsi="宋体" w:cs="宋体"/>
          <w:color w:val="auto"/>
          <w:szCs w:val="21"/>
          <w:highlight w:val="none"/>
        </w:rPr>
        <w:t>2、中小企业合同金额达到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%，其中小微企业合同金额达到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s="宋体"/>
          <w:color w:val="auto"/>
          <w:kern w:val="0"/>
          <w:szCs w:val="21"/>
          <w:highlight w:val="none"/>
          <w:lang w:val="zh-CN"/>
        </w:rPr>
        <w:t>。</w:t>
      </w:r>
      <w:r>
        <w:rPr>
          <w:rFonts w:hint="eastAsia" w:ascii="宋体" w:hAnsi="宋体" w:cs="宋体"/>
          <w:b/>
          <w:bCs/>
          <w:color w:val="auto"/>
          <w:kern w:val="0"/>
          <w:szCs w:val="21"/>
          <w:highlight w:val="none"/>
          <w:lang w:val="zh-CN"/>
        </w:rPr>
        <w:t>（</w:t>
      </w:r>
      <w:r>
        <w:rPr>
          <w:rFonts w:hint="eastAsia" w:ascii="宋体" w:hAnsi="宋体" w:cs="宋体"/>
          <w:b/>
          <w:bCs/>
          <w:color w:val="auto"/>
          <w:szCs w:val="21"/>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Cs w:val="21"/>
          <w:highlight w:val="none"/>
          <w:lang w:val="zh-CN"/>
        </w:rPr>
        <w:t>）</w:t>
      </w:r>
    </w:p>
    <w:p>
      <w:pPr>
        <w:snapToGrid w:val="0"/>
        <w:spacing w:line="360" w:lineRule="auto"/>
        <w:ind w:firstLine="576"/>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五、如果中标，</w:t>
      </w:r>
      <w:r>
        <w:rPr>
          <w:rFonts w:hint="eastAsia" w:ascii="宋体" w:hAnsi="宋体" w:cs="宋体"/>
          <w:color w:val="auto"/>
          <w:szCs w:val="21"/>
          <w:highlight w:val="none"/>
        </w:rPr>
        <w:t>联合体各成员方共同与采购人签订合同，并就采购合同约定的事项对采购人承担连带责任。</w:t>
      </w:r>
    </w:p>
    <w:p>
      <w:pPr>
        <w:snapToGrid w:val="0"/>
        <w:spacing w:line="360" w:lineRule="auto"/>
        <w:ind w:firstLine="576"/>
        <w:outlineLvl w:val="1"/>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六、有关本次联合投标的其他事宜：</w:t>
      </w:r>
    </w:p>
    <w:p>
      <w:pPr>
        <w:snapToGrid w:val="0"/>
        <w:spacing w:line="360" w:lineRule="auto"/>
        <w:ind w:firstLine="576"/>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1、联合体各方不再单独参加或者与其他供应商另外组成联合体参加同一合同项下的政府采购活动。</w:t>
      </w:r>
    </w:p>
    <w:p>
      <w:pPr>
        <w:snapToGrid w:val="0"/>
        <w:spacing w:line="360" w:lineRule="auto"/>
        <w:ind w:firstLine="576"/>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3、本协议提交采购人、采购代理机构后，联合体各方不得以任何形式对上述内容进行修改或撤销。</w:t>
      </w:r>
    </w:p>
    <w:p>
      <w:pPr>
        <w:snapToGrid w:val="0"/>
        <w:spacing w:line="360" w:lineRule="auto"/>
        <w:ind w:firstLine="4410" w:firstLineChars="2100"/>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联合体成员名称(电子签</w:t>
      </w:r>
      <w:r>
        <w:rPr>
          <w:rFonts w:hint="eastAsia" w:ascii="宋体" w:hAnsi="宋体" w:cs="宋体"/>
          <w:color w:val="auto"/>
          <w:kern w:val="0"/>
          <w:szCs w:val="21"/>
          <w:highlight w:val="none"/>
        </w:rPr>
        <w:t>章</w:t>
      </w:r>
      <w:r>
        <w:rPr>
          <w:rFonts w:hint="eastAsia" w:ascii="宋体" w:hAnsi="宋体" w:cs="宋体"/>
          <w:color w:val="auto"/>
          <w:kern w:val="0"/>
          <w:szCs w:val="21"/>
          <w:highlight w:val="none"/>
          <w:lang w:val="zh-CN"/>
        </w:rPr>
        <w:t>/公章)：</w:t>
      </w:r>
    </w:p>
    <w:p>
      <w:pPr>
        <w:snapToGrid w:val="0"/>
        <w:spacing w:line="360" w:lineRule="auto"/>
        <w:ind w:firstLine="4410" w:firstLineChars="2100"/>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联合体成员名称(电子签</w:t>
      </w:r>
      <w:r>
        <w:rPr>
          <w:rFonts w:hint="eastAsia" w:ascii="宋体" w:hAnsi="宋体" w:cs="宋体"/>
          <w:color w:val="auto"/>
          <w:kern w:val="0"/>
          <w:szCs w:val="21"/>
          <w:highlight w:val="none"/>
        </w:rPr>
        <w:t>章</w:t>
      </w:r>
      <w:r>
        <w:rPr>
          <w:rFonts w:hint="eastAsia" w:ascii="宋体" w:hAnsi="宋体" w:cs="宋体"/>
          <w:color w:val="auto"/>
          <w:kern w:val="0"/>
          <w:szCs w:val="21"/>
          <w:highlight w:val="none"/>
          <w:lang w:val="zh-CN"/>
        </w:rPr>
        <w:t>/公章)：</w:t>
      </w:r>
    </w:p>
    <w:p>
      <w:pPr>
        <w:snapToGrid w:val="0"/>
        <w:spacing w:line="360" w:lineRule="auto"/>
        <w:ind w:right="960"/>
        <w:jc w:val="center"/>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 xml:space="preserve">                   ……</w:t>
      </w:r>
    </w:p>
    <w:p>
      <w:pPr>
        <w:snapToGrid w:val="0"/>
        <w:spacing w:line="360" w:lineRule="auto"/>
        <w:jc w:val="righ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日期：  年  月   日</w:t>
      </w:r>
    </w:p>
    <w:p>
      <w:pPr>
        <w:spacing w:line="360" w:lineRule="auto"/>
        <w:ind w:right="420"/>
        <w:rPr>
          <w:rFonts w:ascii="宋体" w:hAnsi="宋体" w:cs="宋体"/>
          <w:color w:val="auto"/>
          <w:szCs w:val="21"/>
          <w:highlight w:val="none"/>
        </w:rPr>
      </w:pPr>
      <w:r>
        <w:rPr>
          <w:rFonts w:hint="eastAsia" w:ascii="宋体" w:hAnsi="宋体" w:cs="宋体"/>
          <w:color w:val="auto"/>
          <w:szCs w:val="21"/>
          <w:highlight w:val="none"/>
        </w:rPr>
        <w:t>注：按本格式和要求提供。</w:t>
      </w:r>
    </w:p>
    <w:p>
      <w:pPr>
        <w:autoSpaceDE w:val="0"/>
        <w:autoSpaceDN w:val="0"/>
        <w:jc w:val="center"/>
        <w:rPr>
          <w:rFonts w:ascii="宋体" w:hAnsi="宋体" w:cs="宋体"/>
          <w:b/>
          <w:color w:val="auto"/>
          <w:spacing w:val="6"/>
          <w:szCs w:val="21"/>
          <w:highlight w:val="none"/>
        </w:rPr>
      </w:pPr>
    </w:p>
    <w:p>
      <w:pPr>
        <w:autoSpaceDE w:val="0"/>
        <w:autoSpaceDN w:val="0"/>
        <w:jc w:val="center"/>
        <w:rPr>
          <w:rFonts w:ascii="宋体" w:hAnsi="宋体" w:cs="宋体"/>
          <w:b/>
          <w:color w:val="auto"/>
          <w:spacing w:val="6"/>
          <w:szCs w:val="21"/>
          <w:highlight w:val="none"/>
        </w:rPr>
      </w:pPr>
    </w:p>
    <w:p>
      <w:pPr>
        <w:autoSpaceDE w:val="0"/>
        <w:autoSpaceDN w:val="0"/>
        <w:jc w:val="center"/>
        <w:rPr>
          <w:rFonts w:ascii="宋体" w:hAnsi="宋体" w:cs="宋体"/>
          <w:b/>
          <w:color w:val="auto"/>
          <w:spacing w:val="6"/>
          <w:szCs w:val="21"/>
          <w:highlight w:val="none"/>
        </w:rPr>
      </w:pPr>
    </w:p>
    <w:p>
      <w:pPr>
        <w:autoSpaceDE w:val="0"/>
        <w:autoSpaceDN w:val="0"/>
        <w:jc w:val="center"/>
        <w:rPr>
          <w:rFonts w:ascii="宋体" w:hAnsi="宋体" w:cs="宋体"/>
          <w:b/>
          <w:color w:val="auto"/>
          <w:spacing w:val="6"/>
          <w:szCs w:val="21"/>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jc w:val="center"/>
        <w:outlineLvl w:val="2"/>
        <w:rPr>
          <w:b/>
          <w:bCs/>
          <w:color w:val="auto"/>
          <w:sz w:val="32"/>
          <w:szCs w:val="32"/>
          <w:highlight w:val="none"/>
        </w:rPr>
      </w:pPr>
      <w:bookmarkStart w:id="642" w:name="_Toc22286"/>
      <w:r>
        <w:rPr>
          <w:rFonts w:hint="eastAsia"/>
          <w:b/>
          <w:bCs/>
          <w:color w:val="auto"/>
          <w:sz w:val="32"/>
          <w:szCs w:val="32"/>
          <w:highlight w:val="none"/>
        </w:rPr>
        <w:t>附件4：分包意向协议</w:t>
      </w:r>
      <w:bookmarkEnd w:id="642"/>
    </w:p>
    <w:p>
      <w:pPr>
        <w:widowControl/>
        <w:spacing w:line="360" w:lineRule="auto"/>
        <w:ind w:firstLine="105" w:firstLineChars="50"/>
        <w:jc w:val="left"/>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b/>
          <w:color w:val="auto"/>
          <w:szCs w:val="21"/>
          <w:highlight w:val="none"/>
        </w:rPr>
        <w:t>中标后以分包方式履行合同的，提供分包意向协议；采购人不同意分包或者投标人中标后不以分包方式履行合同的，则不需要提供。</w:t>
      </w:r>
      <w:r>
        <w:rPr>
          <w:rFonts w:hint="eastAsia" w:ascii="宋体" w:hAnsi="宋体" w:cs="宋体"/>
          <w:color w:val="auto"/>
          <w:szCs w:val="21"/>
          <w:highlight w:val="none"/>
        </w:rPr>
        <w:t>）</w:t>
      </w:r>
    </w:p>
    <w:p>
      <w:pPr>
        <w:snapToGrid w:val="0"/>
        <w:spacing w:line="360" w:lineRule="auto"/>
        <w:ind w:firstLine="576"/>
        <w:rPr>
          <w:rFonts w:ascii="宋体" w:hAnsi="宋体" w:cs="宋体"/>
          <w:color w:val="auto"/>
          <w:kern w:val="0"/>
          <w:szCs w:val="21"/>
          <w:highlight w:val="none"/>
          <w:lang w:val="zh-CN"/>
        </w:rPr>
      </w:pPr>
      <w:r>
        <w:rPr>
          <w:rFonts w:hint="eastAsia" w:ascii="宋体" w:hAnsi="宋体" w:cs="宋体"/>
          <w:color w:val="auto"/>
          <w:kern w:val="0"/>
          <w:szCs w:val="21"/>
          <w:highlight w:val="none"/>
          <w:u w:val="single"/>
        </w:rPr>
        <w:t>（投标人名称）</w:t>
      </w:r>
      <w:r>
        <w:rPr>
          <w:rFonts w:hint="eastAsia" w:ascii="宋体" w:hAnsi="宋体" w:cs="宋体"/>
          <w:color w:val="auto"/>
          <w:kern w:val="0"/>
          <w:szCs w:val="21"/>
          <w:highlight w:val="none"/>
          <w:lang w:val="zh-CN"/>
        </w:rPr>
        <w:t>若成为</w:t>
      </w:r>
      <w:r>
        <w:rPr>
          <w:rFonts w:hint="eastAsia" w:ascii="宋体" w:hAnsi="宋体" w:cs="宋体"/>
          <w:color w:val="auto"/>
          <w:szCs w:val="21"/>
          <w:highlight w:val="none"/>
          <w:u w:val="single"/>
        </w:rPr>
        <w:t>（项目名称）</w:t>
      </w:r>
      <w:r>
        <w:rPr>
          <w:rFonts w:hint="eastAsia" w:ascii="宋体" w:hAnsi="宋体" w:cs="宋体"/>
          <w:color w:val="auto"/>
          <w:szCs w:val="21"/>
          <w:highlight w:val="none"/>
        </w:rPr>
        <w:t>【</w:t>
      </w:r>
      <w:r>
        <w:rPr>
          <w:rFonts w:hint="eastAsia" w:ascii="宋体" w:hAnsi="宋体" w:cs="宋体"/>
          <w:color w:val="auto"/>
          <w:szCs w:val="21"/>
          <w:highlight w:val="none"/>
          <w:u w:val="single"/>
        </w:rPr>
        <w:t>招标编号：（采购编号）</w:t>
      </w:r>
      <w:r>
        <w:rPr>
          <w:rFonts w:hint="eastAsia" w:ascii="宋体" w:hAnsi="宋体" w:cs="宋体"/>
          <w:color w:val="auto"/>
          <w:szCs w:val="21"/>
          <w:highlight w:val="none"/>
        </w:rPr>
        <w:t>】</w:t>
      </w:r>
      <w:r>
        <w:rPr>
          <w:rFonts w:hint="eastAsia" w:ascii="宋体" w:hAnsi="宋体" w:cs="宋体"/>
          <w:color w:val="auto"/>
          <w:kern w:val="0"/>
          <w:szCs w:val="21"/>
          <w:highlight w:val="none"/>
          <w:lang w:val="zh-CN"/>
        </w:rPr>
        <w:t>的中标供应商，将依法采取分包方式履行合同。</w:t>
      </w:r>
      <w:r>
        <w:rPr>
          <w:rFonts w:hint="eastAsia" w:ascii="宋体" w:hAnsi="宋体" w:cs="宋体"/>
          <w:color w:val="auto"/>
          <w:kern w:val="0"/>
          <w:szCs w:val="21"/>
          <w:highlight w:val="none"/>
          <w:u w:val="single"/>
        </w:rPr>
        <w:t>（投标人名称）</w:t>
      </w:r>
      <w:r>
        <w:rPr>
          <w:rFonts w:hint="eastAsia" w:ascii="宋体" w:hAnsi="宋体" w:cs="宋体"/>
          <w:color w:val="auto"/>
          <w:kern w:val="0"/>
          <w:szCs w:val="21"/>
          <w:highlight w:val="none"/>
        </w:rPr>
        <w:t>与</w:t>
      </w:r>
      <w:r>
        <w:rPr>
          <w:rFonts w:hint="eastAsia" w:ascii="宋体" w:hAnsi="宋体" w:cs="宋体"/>
          <w:color w:val="auto"/>
          <w:kern w:val="0"/>
          <w:szCs w:val="21"/>
          <w:highlight w:val="none"/>
          <w:u w:val="single"/>
        </w:rPr>
        <w:t>（所有分包供应商名称）</w:t>
      </w:r>
      <w:r>
        <w:rPr>
          <w:rFonts w:hint="eastAsia" w:ascii="宋体" w:hAnsi="宋体" w:cs="宋体"/>
          <w:color w:val="auto"/>
          <w:kern w:val="0"/>
          <w:szCs w:val="21"/>
          <w:highlight w:val="none"/>
        </w:rPr>
        <w:t>达成分包意向协议</w:t>
      </w:r>
      <w:r>
        <w:rPr>
          <w:rFonts w:hint="eastAsia" w:ascii="宋体" w:hAnsi="宋体" w:cs="宋体"/>
          <w:color w:val="auto"/>
          <w:kern w:val="0"/>
          <w:szCs w:val="21"/>
          <w:highlight w:val="none"/>
          <w:lang w:val="zh-CN"/>
        </w:rPr>
        <w:t xml:space="preserve">。 </w:t>
      </w:r>
    </w:p>
    <w:p>
      <w:pPr>
        <w:snapToGrid w:val="0"/>
        <w:spacing w:line="360" w:lineRule="auto"/>
        <w:ind w:firstLine="576"/>
        <w:outlineLvl w:val="1"/>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一、分包标的及数量</w:t>
      </w:r>
    </w:p>
    <w:p>
      <w:pPr>
        <w:snapToGrid w:val="0"/>
        <w:spacing w:line="360" w:lineRule="auto"/>
        <w:ind w:firstLine="576"/>
        <w:rPr>
          <w:rFonts w:ascii="宋体" w:hAnsi="宋体" w:cs="宋体"/>
          <w:color w:val="auto"/>
          <w:kern w:val="0"/>
          <w:szCs w:val="21"/>
          <w:highlight w:val="none"/>
          <w:lang w:val="zh-CN"/>
        </w:rPr>
      </w:pPr>
      <w:r>
        <w:rPr>
          <w:rFonts w:hint="eastAsia" w:ascii="宋体" w:hAnsi="宋体" w:cs="宋体"/>
          <w:color w:val="auto"/>
          <w:kern w:val="0"/>
          <w:szCs w:val="21"/>
          <w:highlight w:val="none"/>
          <w:u w:val="single"/>
        </w:rPr>
        <w:t>（投标人名称）</w:t>
      </w:r>
      <w:r>
        <w:rPr>
          <w:rFonts w:hint="eastAsia" w:ascii="宋体" w:hAnsi="宋体" w:cs="宋体"/>
          <w:color w:val="auto"/>
          <w:kern w:val="0"/>
          <w:szCs w:val="21"/>
          <w:highlight w:val="none"/>
          <w:lang w:val="zh-CN"/>
        </w:rPr>
        <w:t>将</w:t>
      </w:r>
      <w:r>
        <w:rPr>
          <w:rFonts w:hint="eastAsia" w:ascii="宋体" w:hAnsi="宋体" w:cs="宋体"/>
          <w:color w:val="auto"/>
          <w:szCs w:val="21"/>
          <w:highlight w:val="none"/>
          <w:u w:val="single"/>
        </w:rPr>
        <w:t xml:space="preserve"> </w:t>
      </w:r>
      <w:r>
        <w:rPr>
          <w:rFonts w:ascii="宋体" w:hAnsi="宋体" w:cs="宋体"/>
          <w:color w:val="auto"/>
          <w:kern w:val="0"/>
          <w:szCs w:val="21"/>
          <w:highlight w:val="none"/>
          <w:u w:val="single"/>
        </w:rPr>
        <w:t xml:space="preserve">  XX工作内容   </w:t>
      </w:r>
      <w:r>
        <w:rPr>
          <w:rFonts w:hint="eastAsia" w:ascii="宋体" w:hAnsi="宋体" w:cs="宋体"/>
          <w:color w:val="auto"/>
          <w:szCs w:val="21"/>
          <w:highlight w:val="none"/>
        </w:rPr>
        <w:t>分包给</w:t>
      </w:r>
      <w:r>
        <w:rPr>
          <w:rFonts w:hint="eastAsia" w:ascii="宋体" w:hAnsi="宋体" w:cs="宋体"/>
          <w:color w:val="auto"/>
          <w:kern w:val="0"/>
          <w:szCs w:val="21"/>
          <w:highlight w:val="none"/>
          <w:u w:val="single"/>
        </w:rPr>
        <w:t>（分包供应商1名称）</w:t>
      </w:r>
      <w:r>
        <w:rPr>
          <w:rFonts w:hint="eastAsia" w:ascii="宋体" w:hAnsi="宋体" w:cs="宋体"/>
          <w:color w:val="auto"/>
          <w:kern w:val="0"/>
          <w:szCs w:val="21"/>
          <w:highlight w:val="none"/>
          <w:lang w:val="zh-CN"/>
        </w:rPr>
        <w:t>，</w:t>
      </w:r>
      <w:r>
        <w:rPr>
          <w:rFonts w:hint="eastAsia" w:ascii="宋体" w:hAnsi="宋体" w:cs="宋体"/>
          <w:color w:val="auto"/>
          <w:kern w:val="0"/>
          <w:szCs w:val="21"/>
          <w:highlight w:val="none"/>
          <w:u w:val="single"/>
        </w:rPr>
        <w:t>（分包供应商1名称），</w:t>
      </w:r>
      <w:r>
        <w:rPr>
          <w:rFonts w:hint="eastAsia" w:ascii="宋体" w:hAnsi="宋体" w:cs="宋体"/>
          <w:color w:val="auto"/>
          <w:kern w:val="0"/>
          <w:szCs w:val="21"/>
          <w:highlight w:val="none"/>
          <w:lang w:val="zh-CN"/>
        </w:rPr>
        <w:t>具备承</w:t>
      </w:r>
      <w:r>
        <w:rPr>
          <w:rFonts w:hint="eastAsia" w:ascii="宋体" w:hAnsi="宋体" w:cs="宋体"/>
          <w:color w:val="auto"/>
          <w:kern w:val="0"/>
          <w:szCs w:val="21"/>
          <w:highlight w:val="none"/>
        </w:rPr>
        <w:t>担</w:t>
      </w:r>
      <w:r>
        <w:rPr>
          <w:rFonts w:hint="eastAsia" w:ascii="宋体" w:hAnsi="宋体" w:cs="宋体"/>
          <w:color w:val="auto"/>
          <w:kern w:val="0"/>
          <w:szCs w:val="21"/>
          <w:highlight w:val="none"/>
          <w:u w:val="single"/>
          <w:lang w:val="zh-CN"/>
        </w:rPr>
        <w:t>XX工作内容</w:t>
      </w:r>
      <w:r>
        <w:rPr>
          <w:rFonts w:hint="eastAsia" w:ascii="宋体" w:hAnsi="宋体" w:cs="宋体"/>
          <w:color w:val="auto"/>
          <w:kern w:val="0"/>
          <w:szCs w:val="21"/>
          <w:highlight w:val="none"/>
          <w:lang w:val="zh-CN"/>
        </w:rPr>
        <w:t>相应资质条件且不得再次分包；</w:t>
      </w:r>
    </w:p>
    <w:p>
      <w:pPr>
        <w:pStyle w:val="4"/>
        <w:ind w:left="664" w:leftChars="316" w:firstLine="200" w:firstLineChars="95"/>
        <w:rPr>
          <w:rFonts w:ascii="宋体" w:hAnsi="宋体" w:eastAsia="宋体" w:cs="宋体"/>
          <w:color w:val="auto"/>
          <w:kern w:val="0"/>
          <w:sz w:val="21"/>
          <w:szCs w:val="21"/>
          <w:highlight w:val="none"/>
        </w:rPr>
      </w:pPr>
      <w:bookmarkStart w:id="643" w:name="_Toc17735"/>
      <w:r>
        <w:rPr>
          <w:rFonts w:hint="eastAsia" w:ascii="宋体" w:hAnsi="宋体" w:eastAsia="宋体" w:cs="宋体"/>
          <w:color w:val="auto"/>
          <w:kern w:val="0"/>
          <w:sz w:val="21"/>
          <w:szCs w:val="21"/>
          <w:highlight w:val="none"/>
        </w:rPr>
        <w:t>……</w:t>
      </w:r>
      <w:bookmarkEnd w:id="643"/>
    </w:p>
    <w:p>
      <w:pPr>
        <w:snapToGrid w:val="0"/>
        <w:spacing w:line="360" w:lineRule="auto"/>
        <w:ind w:firstLine="576"/>
        <w:outlineLvl w:val="1"/>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二、分包供应商中小企业合同份额</w:t>
      </w:r>
    </w:p>
    <w:p>
      <w:pPr>
        <w:snapToGrid w:val="0"/>
        <w:spacing w:line="360" w:lineRule="auto"/>
        <w:ind w:firstLine="576"/>
        <w:rPr>
          <w:rFonts w:ascii="宋体" w:hAnsi="宋体" w:cs="宋体"/>
          <w:b/>
          <w:color w:val="auto"/>
          <w:kern w:val="0"/>
          <w:szCs w:val="21"/>
          <w:highlight w:val="none"/>
          <w:lang w:val="zh-CN"/>
        </w:rPr>
      </w:pPr>
      <w:r>
        <w:rPr>
          <w:rFonts w:ascii="宋体" w:hAnsi="宋体" w:cs="宋体"/>
          <w:color w:val="auto"/>
          <w:kern w:val="0"/>
          <w:szCs w:val="21"/>
          <w:highlight w:val="none"/>
        </w:rPr>
        <w:t>1、</w:t>
      </w:r>
      <w:r>
        <w:rPr>
          <w:rFonts w:hint="eastAsia" w:ascii="宋体" w:hAnsi="宋体" w:cs="宋体"/>
          <w:color w:val="auto"/>
          <w:kern w:val="0"/>
          <w:szCs w:val="21"/>
          <w:highlight w:val="none"/>
          <w:u w:val="single"/>
        </w:rPr>
        <w:t>（分包供应商X</w:t>
      </w:r>
      <w:r>
        <w:rPr>
          <w:rFonts w:ascii="宋体" w:hAnsi="宋体" w:cs="宋体"/>
          <w:color w:val="auto"/>
          <w:kern w:val="0"/>
          <w:szCs w:val="21"/>
          <w:highlight w:val="none"/>
          <w:u w:val="single"/>
        </w:rPr>
        <w:t>,</w:t>
      </w:r>
      <w:r>
        <w:rPr>
          <w:rFonts w:hint="eastAsia" w:ascii="宋体" w:hAnsi="宋体" w:cs="宋体"/>
          <w:color w:val="auto"/>
          <w:kern w:val="0"/>
          <w:szCs w:val="21"/>
          <w:highlight w:val="none"/>
          <w:u w:val="single"/>
        </w:rPr>
        <w:t>……）提供的货物全部由小微企业制造，</w:t>
      </w:r>
      <w:r>
        <w:rPr>
          <w:rFonts w:hint="eastAsia" w:ascii="宋体" w:hAnsi="宋体" w:cs="宋体"/>
          <w:color w:val="auto"/>
          <w:kern w:val="0"/>
          <w:szCs w:val="21"/>
          <w:highlight w:val="none"/>
        </w:rPr>
        <w:t>其合同份额占到合同总金额</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%以上</w:t>
      </w:r>
      <w:r>
        <w:rPr>
          <w:rFonts w:hint="eastAsia" w:ascii="宋体" w:hAnsi="宋体" w:cs="宋体"/>
          <w:color w:val="auto"/>
          <w:szCs w:val="21"/>
          <w:highlight w:val="none"/>
        </w:rPr>
        <w:t>。</w:t>
      </w:r>
      <w:r>
        <w:rPr>
          <w:rFonts w:hint="eastAsia" w:ascii="宋体" w:hAnsi="宋体" w:cs="宋体"/>
          <w:b/>
          <w:color w:val="auto"/>
          <w:kern w:val="0"/>
          <w:szCs w:val="21"/>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Cs w:val="21"/>
          <w:highlight w:val="none"/>
        </w:rPr>
        <w:t>拟享受以上价格扣除政策的，填写有关内容。</w:t>
      </w:r>
      <w:r>
        <w:rPr>
          <w:rFonts w:hint="eastAsia" w:ascii="宋体" w:hAnsi="宋体" w:cs="宋体"/>
          <w:b/>
          <w:color w:val="auto"/>
          <w:kern w:val="0"/>
          <w:szCs w:val="21"/>
          <w:highlight w:val="none"/>
          <w:lang w:val="zh-CN"/>
        </w:rPr>
        <w:t>）</w:t>
      </w:r>
    </w:p>
    <w:p>
      <w:pPr>
        <w:spacing w:line="360" w:lineRule="auto"/>
        <w:ind w:firstLine="420" w:firstLineChars="200"/>
        <w:rPr>
          <w:rFonts w:ascii="宋体" w:hAnsi="宋体" w:cs="宋体"/>
          <w:b/>
          <w:bCs/>
          <w:color w:val="auto"/>
          <w:kern w:val="0"/>
          <w:szCs w:val="21"/>
          <w:highlight w:val="none"/>
          <w:lang w:val="zh-CN"/>
        </w:rPr>
      </w:pPr>
      <w:r>
        <w:rPr>
          <w:rFonts w:hint="eastAsia" w:ascii="宋体" w:hAnsi="宋体" w:cs="宋体"/>
          <w:color w:val="auto"/>
          <w:szCs w:val="21"/>
          <w:highlight w:val="none"/>
        </w:rPr>
        <w:t>2、</w:t>
      </w:r>
      <w:bookmarkStart w:id="644" w:name="_Hlk101133173"/>
      <w:r>
        <w:rPr>
          <w:rFonts w:hint="eastAsia" w:ascii="宋体" w:hAnsi="宋体" w:cs="宋体"/>
          <w:color w:val="auto"/>
          <w:szCs w:val="21"/>
          <w:highlight w:val="none"/>
        </w:rPr>
        <w:t>中小企业合同金额达到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%，其中小微企业合同金额达到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s="宋体"/>
          <w:color w:val="auto"/>
          <w:kern w:val="0"/>
          <w:szCs w:val="21"/>
          <w:highlight w:val="none"/>
          <w:lang w:val="zh-CN"/>
        </w:rPr>
        <w:t>。</w:t>
      </w:r>
      <w:r>
        <w:rPr>
          <w:rFonts w:hint="eastAsia" w:ascii="宋体" w:hAnsi="宋体" w:cs="宋体"/>
          <w:b/>
          <w:bCs/>
          <w:color w:val="auto"/>
          <w:kern w:val="0"/>
          <w:szCs w:val="21"/>
          <w:highlight w:val="none"/>
          <w:lang w:val="zh-CN"/>
        </w:rPr>
        <w:t>（</w:t>
      </w:r>
      <w:r>
        <w:rPr>
          <w:rFonts w:hint="eastAsia" w:ascii="宋体" w:hAnsi="宋体" w:cs="宋体"/>
          <w:b/>
          <w:bCs/>
          <w:color w:val="auto"/>
          <w:szCs w:val="21"/>
          <w:highlight w:val="none"/>
        </w:rPr>
        <w:t>要求合同分包形式参加的项目或采购包，供应商按招标文件第一部分招标公告申请人的资格要求中规定的</w:t>
      </w:r>
      <w:r>
        <w:rPr>
          <w:rFonts w:hint="eastAsia" w:ascii="宋体" w:hAnsi="宋体" w:cs="宋体"/>
          <w:b/>
          <w:color w:val="auto"/>
          <w:kern w:val="0"/>
          <w:szCs w:val="21"/>
          <w:highlight w:val="none"/>
          <w:lang w:val="zh-CN"/>
        </w:rPr>
        <w:t>分包意向协议</w:t>
      </w:r>
      <w:r>
        <w:rPr>
          <w:rFonts w:hint="eastAsia" w:ascii="宋体" w:hAnsi="宋体" w:cs="宋体"/>
          <w:b/>
          <w:bCs/>
          <w:color w:val="auto"/>
          <w:szCs w:val="21"/>
          <w:highlight w:val="none"/>
        </w:rPr>
        <w:t>中中小企业、小微企业合同金额应当达到的比例要求填写。</w:t>
      </w:r>
      <w:r>
        <w:rPr>
          <w:rFonts w:hint="eastAsia" w:ascii="宋体" w:hAnsi="宋体" w:cs="宋体"/>
          <w:b/>
          <w:bCs/>
          <w:color w:val="auto"/>
          <w:kern w:val="0"/>
          <w:szCs w:val="21"/>
          <w:highlight w:val="none"/>
          <w:lang w:val="zh-CN"/>
        </w:rPr>
        <w:t>）</w:t>
      </w:r>
      <w:bookmarkEnd w:id="644"/>
    </w:p>
    <w:p>
      <w:pPr>
        <w:snapToGrid w:val="0"/>
        <w:spacing w:line="360" w:lineRule="auto"/>
        <w:ind w:firstLine="576"/>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三、分包工作履行期限、地点、方式</w:t>
      </w:r>
    </w:p>
    <w:p>
      <w:pPr>
        <w:snapToGrid w:val="0"/>
        <w:spacing w:line="360" w:lineRule="auto"/>
        <w:ind w:firstLine="576"/>
        <w:rPr>
          <w:rFonts w:ascii="宋体" w:hAnsi="宋体" w:cs="宋体"/>
          <w:color w:val="auto"/>
          <w:szCs w:val="21"/>
          <w:highlight w:val="none"/>
          <w:u w:val="single"/>
        </w:rPr>
      </w:pPr>
      <w:r>
        <w:rPr>
          <w:rFonts w:hint="eastAsia" w:ascii="宋体" w:hAnsi="宋体" w:cs="宋体"/>
          <w:color w:val="auto"/>
          <w:szCs w:val="21"/>
          <w:highlight w:val="none"/>
          <w:u w:val="single"/>
        </w:rPr>
        <w:t xml:space="preserve">                                                                                  </w:t>
      </w:r>
    </w:p>
    <w:p>
      <w:pPr>
        <w:snapToGrid w:val="0"/>
        <w:spacing w:line="360" w:lineRule="auto"/>
        <w:ind w:firstLine="576"/>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四、质量</w:t>
      </w:r>
    </w:p>
    <w:p>
      <w:pPr>
        <w:snapToGrid w:val="0"/>
        <w:spacing w:line="360" w:lineRule="auto"/>
        <w:ind w:firstLine="576"/>
        <w:rPr>
          <w:rFonts w:ascii="宋体" w:hAnsi="宋体" w:cs="宋体"/>
          <w:color w:val="auto"/>
          <w:kern w:val="0"/>
          <w:szCs w:val="21"/>
          <w:highlight w:val="none"/>
          <w:lang w:val="zh-CN"/>
        </w:rPr>
      </w:pPr>
      <w:r>
        <w:rPr>
          <w:rFonts w:hint="eastAsia" w:ascii="宋体" w:hAnsi="宋体" w:cs="宋体"/>
          <w:color w:val="auto"/>
          <w:szCs w:val="21"/>
          <w:highlight w:val="none"/>
          <w:u w:val="single"/>
        </w:rPr>
        <w:t xml:space="preserve">                                                                                       </w:t>
      </w:r>
    </w:p>
    <w:p>
      <w:pPr>
        <w:snapToGrid w:val="0"/>
        <w:spacing w:line="360" w:lineRule="auto"/>
        <w:ind w:firstLine="576"/>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五、价款或者报酬</w:t>
      </w:r>
    </w:p>
    <w:p>
      <w:pPr>
        <w:snapToGrid w:val="0"/>
        <w:spacing w:line="360" w:lineRule="auto"/>
        <w:ind w:left="573" w:leftChars="273"/>
        <w:rPr>
          <w:rFonts w:ascii="宋体" w:hAnsi="宋体" w:cs="宋体"/>
          <w:color w:val="auto"/>
          <w:kern w:val="0"/>
          <w:szCs w:val="21"/>
          <w:highlight w:val="none"/>
          <w:lang w:val="zh-CN"/>
        </w:rPr>
      </w:pPr>
      <w:r>
        <w:rPr>
          <w:rFonts w:hint="eastAsia" w:ascii="宋体" w:hAnsi="宋体" w:cs="宋体"/>
          <w:color w:val="auto"/>
          <w:szCs w:val="21"/>
          <w:highlight w:val="none"/>
          <w:u w:val="single"/>
        </w:rPr>
        <w:t xml:space="preserve">                                                                                     </w:t>
      </w:r>
    </w:p>
    <w:p>
      <w:pPr>
        <w:snapToGrid w:val="0"/>
        <w:spacing w:line="360" w:lineRule="auto"/>
        <w:ind w:left="573" w:leftChars="273"/>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六、违约责任</w:t>
      </w:r>
    </w:p>
    <w:p>
      <w:pPr>
        <w:snapToGrid w:val="0"/>
        <w:spacing w:line="360" w:lineRule="auto"/>
        <w:ind w:firstLine="576"/>
        <w:rPr>
          <w:rFonts w:ascii="宋体" w:hAnsi="宋体" w:cs="宋体"/>
          <w:color w:val="auto"/>
          <w:kern w:val="0"/>
          <w:szCs w:val="21"/>
          <w:highlight w:val="none"/>
          <w:lang w:val="zh-CN"/>
        </w:rPr>
      </w:pPr>
      <w:r>
        <w:rPr>
          <w:rFonts w:hint="eastAsia" w:ascii="宋体" w:hAnsi="宋体" w:cs="宋体"/>
          <w:color w:val="auto"/>
          <w:szCs w:val="21"/>
          <w:highlight w:val="none"/>
          <w:u w:val="single"/>
        </w:rPr>
        <w:t xml:space="preserve">                                                                                     </w:t>
      </w:r>
    </w:p>
    <w:p>
      <w:pPr>
        <w:snapToGrid w:val="0"/>
        <w:spacing w:line="360" w:lineRule="auto"/>
        <w:ind w:firstLine="576"/>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七、争议解决的办法</w:t>
      </w:r>
    </w:p>
    <w:p>
      <w:pPr>
        <w:snapToGrid w:val="0"/>
        <w:spacing w:line="360" w:lineRule="auto"/>
        <w:ind w:firstLine="576"/>
        <w:rPr>
          <w:rFonts w:ascii="宋体" w:hAnsi="宋体" w:cs="宋体"/>
          <w:color w:val="auto"/>
          <w:kern w:val="0"/>
          <w:szCs w:val="21"/>
          <w:highlight w:val="none"/>
          <w:lang w:val="zh-CN"/>
        </w:rPr>
      </w:pPr>
      <w:r>
        <w:rPr>
          <w:rFonts w:hint="eastAsia" w:ascii="宋体" w:hAnsi="宋体" w:cs="宋体"/>
          <w:color w:val="auto"/>
          <w:szCs w:val="21"/>
          <w:highlight w:val="none"/>
          <w:u w:val="single"/>
        </w:rPr>
        <w:t xml:space="preserve">                                                                                  </w:t>
      </w:r>
    </w:p>
    <w:p>
      <w:pPr>
        <w:snapToGrid w:val="0"/>
        <w:spacing w:line="360" w:lineRule="auto"/>
        <w:ind w:left="5128" w:leftChars="342" w:hanging="4410" w:hangingChars="2100"/>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 xml:space="preserve">                                          投标人名称(电子签</w:t>
      </w:r>
      <w:r>
        <w:rPr>
          <w:rFonts w:hint="eastAsia" w:ascii="宋体" w:hAnsi="宋体" w:cs="宋体"/>
          <w:color w:val="auto"/>
          <w:kern w:val="0"/>
          <w:szCs w:val="21"/>
          <w:highlight w:val="none"/>
        </w:rPr>
        <w:t>章</w:t>
      </w:r>
      <w:r>
        <w:rPr>
          <w:rFonts w:hint="eastAsia" w:ascii="宋体" w:hAnsi="宋体" w:cs="宋体"/>
          <w:color w:val="auto"/>
          <w:kern w:val="0"/>
          <w:szCs w:val="21"/>
          <w:highlight w:val="none"/>
          <w:lang w:val="zh-CN"/>
        </w:rPr>
        <w:t>)：</w:t>
      </w:r>
    </w:p>
    <w:p>
      <w:pPr>
        <w:snapToGrid w:val="0"/>
        <w:spacing w:line="360" w:lineRule="auto"/>
        <w:jc w:val="righ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分包供应商名称(电子签</w:t>
      </w:r>
      <w:r>
        <w:rPr>
          <w:rFonts w:hint="eastAsia" w:ascii="宋体" w:hAnsi="宋体" w:cs="宋体"/>
          <w:color w:val="auto"/>
          <w:kern w:val="0"/>
          <w:szCs w:val="21"/>
          <w:highlight w:val="none"/>
        </w:rPr>
        <w:t>章</w:t>
      </w:r>
      <w:r>
        <w:rPr>
          <w:rFonts w:hint="eastAsia" w:ascii="宋体" w:hAnsi="宋体" w:cs="宋体"/>
          <w:color w:val="auto"/>
          <w:kern w:val="0"/>
          <w:szCs w:val="21"/>
          <w:highlight w:val="none"/>
          <w:lang w:val="zh-CN"/>
        </w:rPr>
        <w:t>/公章)：</w:t>
      </w:r>
    </w:p>
    <w:p>
      <w:pPr>
        <w:snapToGrid w:val="0"/>
        <w:spacing w:line="360" w:lineRule="auto"/>
        <w:ind w:firstLine="5040" w:firstLineChars="2400"/>
        <w:outlineLvl w:val="2"/>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 xml:space="preserve">   日期：  年  月   日</w:t>
      </w:r>
    </w:p>
    <w:p>
      <w:pPr>
        <w:spacing w:line="360" w:lineRule="auto"/>
        <w:ind w:right="420"/>
        <w:rPr>
          <w:rFonts w:ascii="宋体" w:hAnsi="宋体" w:cs="宋体"/>
          <w:color w:val="auto"/>
          <w:szCs w:val="21"/>
          <w:highlight w:val="none"/>
        </w:rPr>
      </w:pPr>
      <w:r>
        <w:rPr>
          <w:rFonts w:hint="eastAsia" w:ascii="宋体" w:hAnsi="宋体" w:cs="宋体"/>
          <w:color w:val="auto"/>
          <w:szCs w:val="21"/>
          <w:highlight w:val="none"/>
        </w:rPr>
        <w:t>注：按本格式和要求提供。</w:t>
      </w:r>
    </w:p>
    <w:p>
      <w:pPr>
        <w:jc w:val="center"/>
        <w:rPr>
          <w:b/>
          <w:bCs/>
          <w:color w:val="auto"/>
          <w:sz w:val="32"/>
          <w:szCs w:val="32"/>
          <w:highlight w:val="none"/>
        </w:rPr>
      </w:pPr>
      <w:bookmarkStart w:id="645" w:name="_Toc3460"/>
      <w:r>
        <w:rPr>
          <w:rFonts w:hint="eastAsia"/>
          <w:b/>
          <w:bCs/>
          <w:color w:val="auto"/>
          <w:sz w:val="32"/>
          <w:szCs w:val="32"/>
          <w:highlight w:val="none"/>
        </w:rPr>
        <w:t>附件5：中小企业声明函</w:t>
      </w:r>
      <w:bookmarkEnd w:id="645"/>
    </w:p>
    <w:p>
      <w:pPr>
        <w:jc w:val="center"/>
        <w:rPr>
          <w:b/>
          <w:bCs/>
          <w:color w:val="auto"/>
          <w:sz w:val="32"/>
          <w:szCs w:val="32"/>
          <w:highlight w:val="none"/>
        </w:rPr>
      </w:pPr>
      <w:bookmarkStart w:id="646" w:name="_Toc28610"/>
      <w:r>
        <w:rPr>
          <w:rFonts w:hint="eastAsia"/>
          <w:b/>
          <w:bCs/>
          <w:color w:val="auto"/>
          <w:sz w:val="32"/>
          <w:szCs w:val="32"/>
          <w:highlight w:val="none"/>
        </w:rPr>
        <w:t>中小企业声明函（货物）</w:t>
      </w:r>
      <w:bookmarkEnd w:id="646"/>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本公司（联合体）郑重声明，根据《政府采购促进中小企业发展管理办法》（财库﹝2020﹞46 号）的规定，本公司（联合体）参加 </w:t>
      </w:r>
      <w:r>
        <w:rPr>
          <w:rFonts w:hint="eastAsia" w:ascii="宋体" w:hAnsi="宋体" w:cs="宋体"/>
          <w:color w:val="auto"/>
          <w:szCs w:val="21"/>
          <w:highlight w:val="none"/>
          <w:u w:val="single"/>
        </w:rPr>
        <w:t xml:space="preserve">（采购人） </w:t>
      </w:r>
      <w:r>
        <w:rPr>
          <w:rFonts w:hint="eastAsia" w:ascii="宋体" w:hAnsi="宋体" w:cs="宋体"/>
          <w:color w:val="auto"/>
          <w:szCs w:val="21"/>
          <w:highlight w:val="none"/>
        </w:rPr>
        <w:t xml:space="preserve">的 </w:t>
      </w:r>
      <w:r>
        <w:rPr>
          <w:rFonts w:hint="eastAsia" w:ascii="宋体" w:hAnsi="宋体" w:cs="宋体"/>
          <w:color w:val="auto"/>
          <w:szCs w:val="21"/>
          <w:highlight w:val="none"/>
          <w:u w:val="single"/>
        </w:rPr>
        <w:t>（项目名称）</w:t>
      </w:r>
      <w:r>
        <w:rPr>
          <w:rFonts w:hint="eastAsia" w:ascii="宋体" w:hAnsi="宋体" w:cs="宋体"/>
          <w:color w:val="auto"/>
          <w:szCs w:val="21"/>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 </w:t>
      </w:r>
      <w:r>
        <w:rPr>
          <w:rFonts w:hint="eastAsia" w:ascii="宋体" w:hAnsi="宋体" w:cs="宋体"/>
          <w:color w:val="auto"/>
          <w:szCs w:val="21"/>
          <w:highlight w:val="none"/>
          <w:u w:val="single"/>
        </w:rPr>
        <w:t>（标的名称）</w:t>
      </w:r>
      <w:r>
        <w:rPr>
          <w:rFonts w:hint="eastAsia" w:ascii="宋体" w:hAnsi="宋体" w:cs="宋体"/>
          <w:color w:val="auto"/>
          <w:szCs w:val="21"/>
          <w:highlight w:val="none"/>
        </w:rPr>
        <w:t xml:space="preserve"> ，属于 </w:t>
      </w:r>
      <w:r>
        <w:rPr>
          <w:rFonts w:hint="eastAsia" w:ascii="宋体" w:hAnsi="宋体" w:cs="宋体"/>
          <w:color w:val="auto"/>
          <w:szCs w:val="21"/>
          <w:highlight w:val="none"/>
          <w:u w:val="single"/>
        </w:rPr>
        <w:t>工业</w:t>
      </w:r>
      <w:r>
        <w:rPr>
          <w:rFonts w:hint="eastAsia" w:ascii="宋体" w:hAnsi="宋体" w:cs="宋体"/>
          <w:color w:val="auto"/>
          <w:szCs w:val="21"/>
          <w:highlight w:val="none"/>
        </w:rPr>
        <w:t>行业 ；制造商为</w:t>
      </w:r>
      <w:r>
        <w:rPr>
          <w:rFonts w:hint="eastAsia" w:ascii="宋体" w:hAnsi="宋体" w:cs="宋体"/>
          <w:color w:val="auto"/>
          <w:szCs w:val="21"/>
          <w:highlight w:val="none"/>
          <w:u w:val="single"/>
        </w:rPr>
        <w:t xml:space="preserve"> （企业名称）</w:t>
      </w:r>
      <w:r>
        <w:rPr>
          <w:rFonts w:hint="eastAsia" w:ascii="宋体" w:hAnsi="宋体" w:cs="宋体"/>
          <w:color w:val="auto"/>
          <w:szCs w:val="21"/>
          <w:highlight w:val="none"/>
        </w:rPr>
        <w:t xml:space="preserve"> ，从业人员</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人，营业收入为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万元，资产总额为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万元，属于</w:t>
      </w:r>
      <w:r>
        <w:rPr>
          <w:rFonts w:hint="eastAsia" w:ascii="宋体" w:hAnsi="宋体" w:cs="宋体"/>
          <w:color w:val="auto"/>
          <w:szCs w:val="21"/>
          <w:highlight w:val="none"/>
          <w:u w:val="single"/>
        </w:rPr>
        <w:t xml:space="preserve"> （中型企业、小型企业、微型企业）</w:t>
      </w:r>
      <w:r>
        <w:rPr>
          <w:rFonts w:hint="eastAsia" w:ascii="宋体" w:hAnsi="宋体" w:cs="宋体"/>
          <w:color w:val="auto"/>
          <w:szCs w:val="21"/>
          <w:highlight w:val="none"/>
        </w:rPr>
        <w:t xml:space="preserve"> ；</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 </w:t>
      </w:r>
      <w:r>
        <w:rPr>
          <w:rFonts w:hint="eastAsia" w:ascii="宋体" w:hAnsi="宋体" w:cs="宋体"/>
          <w:color w:val="auto"/>
          <w:szCs w:val="21"/>
          <w:highlight w:val="none"/>
          <w:u w:val="single"/>
        </w:rPr>
        <w:t>（标的名称）</w:t>
      </w:r>
      <w:r>
        <w:rPr>
          <w:rFonts w:hint="eastAsia" w:ascii="宋体" w:hAnsi="宋体" w:cs="宋体"/>
          <w:color w:val="auto"/>
          <w:szCs w:val="21"/>
          <w:highlight w:val="none"/>
        </w:rPr>
        <w:t xml:space="preserve"> ，属于 </w:t>
      </w:r>
      <w:r>
        <w:rPr>
          <w:rFonts w:hint="eastAsia" w:ascii="宋体" w:hAnsi="宋体" w:cs="宋体"/>
          <w:color w:val="auto"/>
          <w:szCs w:val="21"/>
          <w:highlight w:val="none"/>
          <w:u w:val="single"/>
        </w:rPr>
        <w:t>工业</w:t>
      </w:r>
      <w:r>
        <w:rPr>
          <w:rFonts w:hint="eastAsia" w:ascii="宋体" w:hAnsi="宋体" w:cs="宋体"/>
          <w:color w:val="auto"/>
          <w:szCs w:val="21"/>
          <w:highlight w:val="none"/>
        </w:rPr>
        <w:t>行业 ；制造商为</w:t>
      </w:r>
      <w:r>
        <w:rPr>
          <w:rFonts w:hint="eastAsia" w:ascii="宋体" w:hAnsi="宋体" w:cs="宋体"/>
          <w:color w:val="auto"/>
          <w:szCs w:val="21"/>
          <w:highlight w:val="none"/>
          <w:u w:val="single"/>
        </w:rPr>
        <w:t xml:space="preserve"> （企业名称）</w:t>
      </w:r>
      <w:r>
        <w:rPr>
          <w:rFonts w:hint="eastAsia" w:ascii="宋体" w:hAnsi="宋体" w:cs="宋体"/>
          <w:color w:val="auto"/>
          <w:szCs w:val="21"/>
          <w:highlight w:val="none"/>
        </w:rPr>
        <w:t xml:space="preserve"> ，从业人员</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人，营业收入为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万元，资产总额为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万元，属于</w:t>
      </w:r>
      <w:r>
        <w:rPr>
          <w:rFonts w:hint="eastAsia" w:ascii="宋体" w:hAnsi="宋体" w:cs="宋体"/>
          <w:color w:val="auto"/>
          <w:szCs w:val="21"/>
          <w:highlight w:val="none"/>
          <w:u w:val="single"/>
        </w:rPr>
        <w:t xml:space="preserve"> （中型企业、小型企业、微型企业）</w:t>
      </w:r>
      <w:r>
        <w:rPr>
          <w:rFonts w:hint="eastAsia" w:ascii="宋体" w:hAnsi="宋体" w:cs="宋体"/>
          <w:color w:val="auto"/>
          <w:szCs w:val="21"/>
          <w:highlight w:val="none"/>
        </w:rPr>
        <w:t xml:space="preserve"> ；</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以上企业，不属于大企业的分支机构，不存在控股股东为大企业的情形，也不存在与大企业的负责人为同一人的情形。</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本企业对上述声明内容的真实性负责。如有虚假，将依法承担相应责任。</w:t>
      </w:r>
    </w:p>
    <w:p>
      <w:pPr>
        <w:snapToGrid w:val="0"/>
        <w:spacing w:line="360" w:lineRule="auto"/>
        <w:ind w:firstLine="4515" w:firstLineChars="2150"/>
        <w:rPr>
          <w:rFonts w:ascii="宋体" w:hAnsi="宋体" w:cs="宋体"/>
          <w:color w:val="auto"/>
          <w:kern w:val="0"/>
          <w:szCs w:val="21"/>
          <w:highlight w:val="none"/>
        </w:rPr>
      </w:pPr>
      <w:r>
        <w:rPr>
          <w:rFonts w:hint="eastAsia" w:ascii="宋体" w:hAnsi="宋体" w:cs="宋体"/>
          <w:color w:val="auto"/>
          <w:kern w:val="0"/>
          <w:szCs w:val="21"/>
          <w:highlight w:val="none"/>
          <w:lang w:val="zh-CN"/>
        </w:rPr>
        <w:t>投标人名称(电子签名)：</w:t>
      </w:r>
    </w:p>
    <w:p>
      <w:pPr>
        <w:snapToGrid w:val="0"/>
        <w:spacing w:line="360" w:lineRule="auto"/>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 xml:space="preserve">                                           日期</w:t>
      </w:r>
      <w:r>
        <w:rPr>
          <w:rFonts w:hint="eastAsia" w:ascii="宋体" w:hAnsi="宋体" w:cs="宋体"/>
          <w:color w:val="auto"/>
          <w:kern w:val="0"/>
          <w:szCs w:val="21"/>
          <w:highlight w:val="none"/>
        </w:rPr>
        <w:t xml:space="preserve">：  年  </w:t>
      </w:r>
      <w:r>
        <w:rPr>
          <w:rFonts w:hint="eastAsia" w:ascii="宋体" w:hAnsi="宋体" w:cs="宋体"/>
          <w:color w:val="auto"/>
          <w:kern w:val="0"/>
          <w:szCs w:val="21"/>
          <w:highlight w:val="none"/>
          <w:lang w:val="zh-CN"/>
        </w:rPr>
        <w:t>月</w:t>
      </w:r>
      <w:r>
        <w:rPr>
          <w:rFonts w:hint="eastAsia" w:ascii="宋体" w:hAnsi="宋体" w:cs="宋体"/>
          <w:color w:val="auto"/>
          <w:kern w:val="0"/>
          <w:szCs w:val="21"/>
          <w:highlight w:val="none"/>
        </w:rPr>
        <w:t xml:space="preserve">   </w:t>
      </w:r>
      <w:r>
        <w:rPr>
          <w:rFonts w:hint="eastAsia" w:ascii="宋体" w:hAnsi="宋体" w:cs="宋体"/>
          <w:color w:val="auto"/>
          <w:kern w:val="0"/>
          <w:szCs w:val="21"/>
          <w:highlight w:val="none"/>
          <w:lang w:val="zh-CN"/>
        </w:rPr>
        <w:t>日</w:t>
      </w:r>
    </w:p>
    <w:p>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从业人员、营业收入、资产总额填报上一年度数据，无上一年度数据的新成立企业可不填报。</w:t>
      </w:r>
    </w:p>
    <w:p>
      <w:pPr>
        <w:spacing w:line="360" w:lineRule="auto"/>
        <w:ind w:right="420" w:firstLine="420" w:firstLineChars="200"/>
        <w:rPr>
          <w:rFonts w:ascii="宋体" w:hAnsi="宋体" w:cs="宋体"/>
          <w:color w:val="auto"/>
          <w:szCs w:val="21"/>
          <w:highlight w:val="none"/>
        </w:rPr>
      </w:pPr>
      <w:r>
        <w:rPr>
          <w:rFonts w:hint="eastAsia" w:ascii="宋体" w:hAnsi="宋体" w:cs="宋体"/>
          <w:color w:val="auto"/>
          <w:szCs w:val="21"/>
          <w:highlight w:val="none"/>
        </w:rPr>
        <w:t>注：</w:t>
      </w:r>
    </w:p>
    <w:p>
      <w:pPr>
        <w:spacing w:line="360" w:lineRule="auto"/>
        <w:ind w:right="420" w:firstLine="420" w:firstLineChars="200"/>
        <w:rPr>
          <w:rFonts w:ascii="宋体" w:hAnsi="宋体" w:cs="宋体"/>
          <w:color w:val="auto"/>
          <w:szCs w:val="21"/>
          <w:highlight w:val="none"/>
        </w:rPr>
      </w:pPr>
      <w:r>
        <w:rPr>
          <w:rFonts w:hint="eastAsia" w:ascii="宋体" w:hAnsi="宋体" w:cs="宋体"/>
          <w:color w:val="auto"/>
          <w:szCs w:val="21"/>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20" w:firstLineChars="200"/>
        <w:rPr>
          <w:rFonts w:ascii="宋体" w:hAnsi="宋体" w:cs="宋体"/>
          <w:color w:val="auto"/>
          <w:szCs w:val="21"/>
          <w:highlight w:val="none"/>
        </w:rPr>
      </w:pPr>
      <w:r>
        <w:rPr>
          <w:rFonts w:hint="eastAsia" w:ascii="宋体" w:hAnsi="宋体" w:cs="宋体"/>
          <w:color w:val="auto"/>
          <w:szCs w:val="21"/>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宋体" w:hAnsi="宋体" w:cs="宋体"/>
          <w:b/>
          <w:color w:val="auto"/>
          <w:szCs w:val="21"/>
          <w:highlight w:val="none"/>
        </w:rPr>
      </w:pPr>
    </w:p>
    <w:p>
      <w:pPr>
        <w:rPr>
          <w:rFonts w:ascii="宋体" w:hAnsi="宋体" w:cs="宋体"/>
          <w:b/>
          <w:color w:val="auto"/>
          <w:szCs w:val="21"/>
          <w:highlight w:val="none"/>
        </w:rPr>
      </w:pPr>
      <w:r>
        <w:rPr>
          <w:rFonts w:ascii="宋体" w:hAnsi="宋体" w:cs="宋体"/>
          <w:b/>
          <w:color w:val="auto"/>
          <w:szCs w:val="21"/>
          <w:highlight w:val="none"/>
        </w:rPr>
        <w:br w:type="page"/>
      </w:r>
    </w:p>
    <w:p>
      <w:pPr>
        <w:snapToGrid w:val="0"/>
        <w:spacing w:line="360" w:lineRule="auto"/>
        <w:jc w:val="center"/>
        <w:rPr>
          <w:rFonts w:ascii="宋体" w:hAnsi="宋体" w:cs="宋体"/>
          <w:b/>
          <w:bCs/>
          <w:color w:val="auto"/>
          <w:sz w:val="24"/>
          <w:highlight w:val="none"/>
        </w:rPr>
      </w:pPr>
      <w:r>
        <w:rPr>
          <w:rFonts w:hint="eastAsia" w:ascii="宋体" w:hAnsi="宋体" w:cs="宋体"/>
          <w:b/>
          <w:bCs/>
          <w:color w:val="auto"/>
          <w:sz w:val="24"/>
          <w:highlight w:val="none"/>
        </w:rPr>
        <w:t>《政府采购现场活动确认书》</w:t>
      </w:r>
    </w:p>
    <w:p>
      <w:pPr>
        <w:snapToGrid w:val="0"/>
        <w:spacing w:line="360" w:lineRule="auto"/>
        <w:rPr>
          <w:rFonts w:ascii="宋体" w:hAnsi="宋体" w:cs="宋体"/>
          <w:bCs/>
          <w:color w:val="auto"/>
          <w:sz w:val="22"/>
          <w:szCs w:val="22"/>
          <w:highlight w:val="none"/>
        </w:rPr>
      </w:pPr>
      <w:r>
        <w:rPr>
          <w:rFonts w:hint="eastAsia" w:ascii="宋体" w:hAnsi="宋体" w:cs="宋体"/>
          <w:color w:val="auto"/>
          <w:sz w:val="22"/>
          <w:szCs w:val="22"/>
          <w:highlight w:val="none"/>
        </w:rPr>
        <w:t>宁波中基国际招标有限公司：</w:t>
      </w:r>
    </w:p>
    <w:p>
      <w:pPr>
        <w:snapToGrid w:val="0"/>
        <w:spacing w:line="360" w:lineRule="auto"/>
        <w:ind w:firstLine="464" w:firstLineChars="200"/>
        <w:rPr>
          <w:rFonts w:ascii="宋体" w:hAnsi="宋体" w:cs="宋体"/>
          <w:color w:val="auto"/>
          <w:spacing w:val="6"/>
          <w:sz w:val="22"/>
          <w:szCs w:val="22"/>
          <w:highlight w:val="none"/>
        </w:rPr>
      </w:pPr>
      <w:r>
        <w:rPr>
          <w:rFonts w:hint="eastAsia" w:ascii="宋体" w:hAnsi="宋体" w:cs="宋体"/>
          <w:color w:val="auto"/>
          <w:spacing w:val="6"/>
          <w:sz w:val="22"/>
          <w:szCs w:val="22"/>
          <w:highlight w:val="none"/>
        </w:rPr>
        <w:t>本人</w:t>
      </w:r>
      <w:r>
        <w:rPr>
          <w:rFonts w:hint="eastAsia" w:ascii="宋体" w:hAnsi="宋体" w:cs="宋体"/>
          <w:color w:val="auto"/>
          <w:spacing w:val="6"/>
          <w:sz w:val="22"/>
          <w:szCs w:val="22"/>
          <w:highlight w:val="none"/>
          <w:u w:val="single"/>
        </w:rPr>
        <w:t xml:space="preserve">        </w:t>
      </w:r>
      <w:r>
        <w:rPr>
          <w:rFonts w:hint="eastAsia" w:ascii="宋体" w:hAnsi="宋体" w:cs="宋体"/>
          <w:color w:val="auto"/>
          <w:spacing w:val="6"/>
          <w:sz w:val="22"/>
          <w:szCs w:val="22"/>
          <w:highlight w:val="none"/>
        </w:rPr>
        <w:t>（授权代表姓名），经由</w:t>
      </w:r>
      <w:r>
        <w:rPr>
          <w:rFonts w:hint="eastAsia" w:ascii="宋体" w:hAnsi="宋体" w:cs="宋体"/>
          <w:color w:val="auto"/>
          <w:spacing w:val="6"/>
          <w:sz w:val="22"/>
          <w:szCs w:val="22"/>
          <w:highlight w:val="none"/>
          <w:u w:val="single"/>
        </w:rPr>
        <w:t xml:space="preserve">           </w:t>
      </w:r>
      <w:r>
        <w:rPr>
          <w:rFonts w:hint="eastAsia" w:ascii="宋体" w:hAnsi="宋体" w:cs="宋体"/>
          <w:color w:val="auto"/>
          <w:spacing w:val="6"/>
          <w:sz w:val="22"/>
          <w:szCs w:val="22"/>
          <w:highlight w:val="none"/>
        </w:rPr>
        <w:t>（单位）</w:t>
      </w:r>
      <w:r>
        <w:rPr>
          <w:rFonts w:hint="eastAsia" w:ascii="宋体" w:hAnsi="宋体" w:cs="宋体"/>
          <w:color w:val="auto"/>
          <w:spacing w:val="6"/>
          <w:sz w:val="22"/>
          <w:szCs w:val="22"/>
          <w:highlight w:val="none"/>
          <w:u w:val="single"/>
        </w:rPr>
        <w:t xml:space="preserve">         </w:t>
      </w:r>
      <w:r>
        <w:rPr>
          <w:rFonts w:hint="eastAsia" w:ascii="宋体" w:hAnsi="宋体" w:cs="宋体"/>
          <w:color w:val="auto"/>
          <w:spacing w:val="6"/>
          <w:sz w:val="22"/>
          <w:szCs w:val="22"/>
          <w:highlight w:val="none"/>
        </w:rPr>
        <w:t>（法定代表人姓名）合法授权参加</w:t>
      </w:r>
      <w:r>
        <w:rPr>
          <w:rFonts w:hint="eastAsia" w:ascii="宋体" w:hAnsi="宋体" w:cs="宋体"/>
          <w:color w:val="auto"/>
          <w:spacing w:val="6"/>
          <w:sz w:val="22"/>
          <w:szCs w:val="22"/>
          <w:highlight w:val="none"/>
          <w:u w:val="single"/>
        </w:rPr>
        <w:t xml:space="preserve">                 </w:t>
      </w:r>
      <w:r>
        <w:rPr>
          <w:rFonts w:hint="eastAsia" w:ascii="宋体" w:hAnsi="宋体" w:cs="宋体"/>
          <w:color w:val="auto"/>
          <w:spacing w:val="6"/>
          <w:sz w:val="22"/>
          <w:szCs w:val="22"/>
          <w:highlight w:val="none"/>
        </w:rPr>
        <w:t>（编号：</w:t>
      </w:r>
      <w:r>
        <w:rPr>
          <w:rFonts w:hint="eastAsia" w:ascii="宋体" w:hAnsi="宋体" w:cs="宋体"/>
          <w:color w:val="auto"/>
          <w:sz w:val="22"/>
          <w:szCs w:val="22"/>
          <w:highlight w:val="none"/>
          <w:u w:val="single"/>
        </w:rPr>
        <w:t xml:space="preserve">                  </w:t>
      </w:r>
      <w:r>
        <w:rPr>
          <w:rFonts w:hint="eastAsia" w:ascii="宋体" w:hAnsi="宋体" w:cs="宋体"/>
          <w:color w:val="auto"/>
          <w:spacing w:val="6"/>
          <w:sz w:val="22"/>
          <w:szCs w:val="22"/>
          <w:highlight w:val="none"/>
        </w:rPr>
        <w:t xml:space="preserve">）政府采购活动，经与本单位法人代表（负责人）联系确认，现就有关公平竞争事项郑重声明如下： </w:t>
      </w:r>
    </w:p>
    <w:p>
      <w:pPr>
        <w:widowControl/>
        <w:numPr>
          <w:ilvl w:val="0"/>
          <w:numId w:val="12"/>
        </w:numPr>
        <w:snapToGrid w:val="0"/>
        <w:spacing w:line="360" w:lineRule="auto"/>
        <w:ind w:firstLine="415" w:firstLineChars="189"/>
        <w:rPr>
          <w:rFonts w:ascii="宋体" w:hAnsi="宋体" w:cs="宋体"/>
          <w:color w:val="auto"/>
          <w:sz w:val="22"/>
          <w:szCs w:val="22"/>
          <w:highlight w:val="none"/>
        </w:rPr>
      </w:pPr>
      <w:r>
        <w:rPr>
          <w:rFonts w:hint="eastAsia" w:ascii="宋体" w:hAnsi="宋体" w:cs="宋体"/>
          <w:color w:val="auto"/>
          <w:sz w:val="22"/>
          <w:szCs w:val="22"/>
          <w:highlight w:val="none"/>
        </w:rPr>
        <w:t>本单位与采购人之间 □不存在利害关系 □存在下列利害关系</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w:t>
      </w:r>
    </w:p>
    <w:p>
      <w:pPr>
        <w:widowControl/>
        <w:snapToGrid w:val="0"/>
        <w:spacing w:line="360" w:lineRule="auto"/>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 xml:space="preserve">  A.投资关系    B.行政隶属关系    C.业务指导关系</w:t>
      </w:r>
    </w:p>
    <w:p>
      <w:pPr>
        <w:widowControl/>
        <w:snapToGrid w:val="0"/>
        <w:spacing w:line="360" w:lineRule="auto"/>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 xml:space="preserve">  D.其他可能影响采购公正的利害关系（如有，请如实说明） </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w:t>
      </w:r>
    </w:p>
    <w:p>
      <w:pPr>
        <w:widowControl/>
        <w:numPr>
          <w:ilvl w:val="0"/>
          <w:numId w:val="12"/>
        </w:numPr>
        <w:snapToGrid w:val="0"/>
        <w:spacing w:line="360" w:lineRule="auto"/>
        <w:ind w:firstLine="415" w:firstLineChars="189"/>
        <w:rPr>
          <w:rFonts w:ascii="宋体" w:hAnsi="宋体" w:cs="宋体"/>
          <w:color w:val="auto"/>
          <w:sz w:val="22"/>
          <w:szCs w:val="22"/>
          <w:highlight w:val="none"/>
        </w:rPr>
      </w:pPr>
      <w:r>
        <w:rPr>
          <w:rFonts w:hint="eastAsia" w:ascii="宋体" w:hAnsi="宋体" w:cs="宋体"/>
          <w:color w:val="auto"/>
          <w:sz w:val="22"/>
          <w:szCs w:val="22"/>
          <w:highlight w:val="none"/>
        </w:rPr>
        <w:t xml:space="preserve">现已清楚知道参加本项目采购活动的其他所有供应商名称，本单位 □与其他所有供应商之间均不存在利害关系 □与 </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（供应商名称）之间存在下列利害关系</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w:t>
      </w:r>
    </w:p>
    <w:p>
      <w:pPr>
        <w:snapToGrid w:val="0"/>
        <w:spacing w:line="360" w:lineRule="auto"/>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 xml:space="preserve">  A.法定代表人或负责人或实际控制人是同一人</w:t>
      </w:r>
    </w:p>
    <w:p>
      <w:pPr>
        <w:snapToGrid w:val="0"/>
        <w:spacing w:line="360" w:lineRule="auto"/>
        <w:ind w:firstLine="440" w:firstLineChars="200"/>
        <w:rPr>
          <w:rFonts w:ascii="宋体" w:hAnsi="宋体" w:cs="宋体"/>
          <w:color w:val="auto"/>
          <w:spacing w:val="6"/>
          <w:sz w:val="22"/>
          <w:szCs w:val="22"/>
          <w:highlight w:val="none"/>
        </w:rPr>
      </w:pPr>
      <w:r>
        <w:rPr>
          <w:rFonts w:hint="eastAsia" w:ascii="宋体" w:hAnsi="宋体" w:cs="宋体"/>
          <w:color w:val="auto"/>
          <w:sz w:val="22"/>
          <w:szCs w:val="22"/>
          <w:highlight w:val="none"/>
        </w:rPr>
        <w:t xml:space="preserve">  B.法定代表人或负责人或实际控制人是夫妻关系</w:t>
      </w:r>
    </w:p>
    <w:p>
      <w:pPr>
        <w:snapToGrid w:val="0"/>
        <w:spacing w:line="360" w:lineRule="auto"/>
        <w:ind w:firstLine="440" w:firstLineChars="200"/>
        <w:rPr>
          <w:rFonts w:ascii="宋体" w:hAnsi="宋体" w:cs="宋体"/>
          <w:color w:val="auto"/>
          <w:spacing w:val="6"/>
          <w:sz w:val="22"/>
          <w:szCs w:val="22"/>
          <w:highlight w:val="none"/>
        </w:rPr>
      </w:pPr>
      <w:r>
        <w:rPr>
          <w:rFonts w:hint="eastAsia" w:ascii="宋体" w:hAnsi="宋体" w:cs="宋体"/>
          <w:color w:val="auto"/>
          <w:sz w:val="22"/>
          <w:szCs w:val="22"/>
          <w:highlight w:val="none"/>
        </w:rPr>
        <w:t xml:space="preserve">  C.法定代表人或负责人或实际控制人是直系血亲关系</w:t>
      </w:r>
    </w:p>
    <w:p>
      <w:pPr>
        <w:snapToGrid w:val="0"/>
        <w:spacing w:line="360" w:lineRule="auto"/>
        <w:ind w:firstLine="440" w:firstLineChars="200"/>
        <w:rPr>
          <w:rFonts w:ascii="宋体" w:hAnsi="宋体" w:cs="宋体"/>
          <w:color w:val="auto"/>
          <w:spacing w:val="6"/>
          <w:sz w:val="22"/>
          <w:szCs w:val="22"/>
          <w:highlight w:val="none"/>
        </w:rPr>
      </w:pPr>
      <w:r>
        <w:rPr>
          <w:rFonts w:hint="eastAsia" w:ascii="宋体" w:hAnsi="宋体" w:cs="宋体"/>
          <w:color w:val="auto"/>
          <w:sz w:val="22"/>
          <w:szCs w:val="22"/>
          <w:highlight w:val="none"/>
        </w:rPr>
        <w:t xml:space="preserve">  D.法定代表人或负责人或实际控制人存在三代以内旁系血亲关系</w:t>
      </w:r>
    </w:p>
    <w:p>
      <w:pPr>
        <w:snapToGrid w:val="0"/>
        <w:spacing w:line="360" w:lineRule="auto"/>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 xml:space="preserve">  E.法定代表人或负责人或实际控制人存在近姻亲关系</w:t>
      </w:r>
    </w:p>
    <w:p>
      <w:pPr>
        <w:snapToGrid w:val="0"/>
        <w:spacing w:line="360" w:lineRule="auto"/>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 xml:space="preserve">  F.法定代表人或负责人或实际控制人存在股份控制或实际控制关系</w:t>
      </w:r>
    </w:p>
    <w:p>
      <w:pPr>
        <w:snapToGrid w:val="0"/>
        <w:spacing w:line="360" w:lineRule="auto"/>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 xml:space="preserve">  G.存在共同直接或间接投资设立子公司、联营企业和合营企业情况</w:t>
      </w:r>
    </w:p>
    <w:p>
      <w:pPr>
        <w:snapToGrid w:val="0"/>
        <w:spacing w:line="360" w:lineRule="auto"/>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 xml:space="preserve">  H.存在分级代理或代销关系、同一生产制造商关系、管理关系、重要业务（占主营业务收入50%以上）或重要财务往来关系（如融资）等其他实质性控制关系</w:t>
      </w:r>
    </w:p>
    <w:p>
      <w:pPr>
        <w:snapToGrid w:val="0"/>
        <w:spacing w:line="360" w:lineRule="auto"/>
        <w:ind w:firstLine="440" w:firstLineChars="200"/>
        <w:rPr>
          <w:rFonts w:ascii="宋体" w:hAnsi="宋体" w:cs="宋体"/>
          <w:color w:val="auto"/>
          <w:spacing w:val="6"/>
          <w:sz w:val="22"/>
          <w:szCs w:val="22"/>
          <w:highlight w:val="none"/>
        </w:rPr>
      </w:pPr>
      <w:r>
        <w:rPr>
          <w:rFonts w:hint="eastAsia" w:ascii="宋体" w:hAnsi="宋体" w:cs="宋体"/>
          <w:color w:val="auto"/>
          <w:sz w:val="22"/>
          <w:szCs w:val="22"/>
          <w:highlight w:val="none"/>
        </w:rPr>
        <w:t xml:space="preserve">  I.其他利害关系情况</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w:t>
      </w:r>
    </w:p>
    <w:p>
      <w:pPr>
        <w:widowControl/>
        <w:numPr>
          <w:ilvl w:val="0"/>
          <w:numId w:val="13"/>
        </w:numPr>
        <w:snapToGrid w:val="0"/>
        <w:spacing w:line="360" w:lineRule="auto"/>
        <w:ind w:firstLine="415" w:firstLineChars="189"/>
        <w:outlineLvl w:val="1"/>
        <w:rPr>
          <w:rFonts w:ascii="宋体" w:hAnsi="宋体" w:cs="宋体"/>
          <w:color w:val="auto"/>
          <w:sz w:val="22"/>
          <w:szCs w:val="22"/>
          <w:highlight w:val="none"/>
        </w:rPr>
      </w:pPr>
      <w:r>
        <w:rPr>
          <w:rFonts w:hint="eastAsia" w:ascii="宋体" w:hAnsi="宋体" w:cs="宋体"/>
          <w:color w:val="auto"/>
          <w:sz w:val="22"/>
          <w:szCs w:val="22"/>
          <w:highlight w:val="none"/>
        </w:rPr>
        <w:t>现已清楚知道并严格遵守政府采购法律法规和现场纪律。</w:t>
      </w:r>
    </w:p>
    <w:p>
      <w:pPr>
        <w:widowControl/>
        <w:numPr>
          <w:ilvl w:val="0"/>
          <w:numId w:val="13"/>
        </w:numPr>
        <w:snapToGrid w:val="0"/>
        <w:spacing w:line="360" w:lineRule="auto"/>
        <w:ind w:firstLine="415" w:firstLineChars="189"/>
        <w:rPr>
          <w:rFonts w:ascii="宋体" w:hAnsi="宋体" w:cs="宋体"/>
          <w:color w:val="auto"/>
          <w:sz w:val="22"/>
          <w:szCs w:val="22"/>
          <w:highlight w:val="none"/>
        </w:rPr>
      </w:pPr>
      <w:r>
        <w:rPr>
          <w:rFonts w:hint="eastAsia" w:ascii="宋体" w:hAnsi="宋体" w:cs="宋体"/>
          <w:color w:val="auto"/>
          <w:sz w:val="22"/>
          <w:szCs w:val="22"/>
          <w:highlight w:val="none"/>
        </w:rPr>
        <w:t>我发现</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供应商之间存在或可能存在上述第二条第</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项利害关系。</w:t>
      </w:r>
    </w:p>
    <w:p>
      <w:pPr>
        <w:pStyle w:val="607"/>
        <w:snapToGrid w:val="0"/>
        <w:spacing w:line="360" w:lineRule="auto"/>
        <w:ind w:firstLine="1430" w:firstLineChars="650"/>
        <w:jc w:val="right"/>
        <w:rPr>
          <w:rFonts w:hAnsi="宋体" w:cs="宋体"/>
          <w:color w:val="auto"/>
          <w:sz w:val="22"/>
          <w:szCs w:val="22"/>
          <w:highlight w:val="none"/>
        </w:rPr>
      </w:pPr>
      <w:r>
        <w:rPr>
          <w:rFonts w:hint="eastAsia" w:hAnsi="宋体" w:cs="宋体"/>
          <w:color w:val="auto"/>
          <w:sz w:val="22"/>
          <w:szCs w:val="22"/>
          <w:highlight w:val="none"/>
        </w:rPr>
        <w:t>（供应商代表签名）：</w:t>
      </w:r>
    </w:p>
    <w:p>
      <w:pPr>
        <w:spacing w:line="360" w:lineRule="auto"/>
        <w:ind w:firstLine="1381" w:firstLineChars="628"/>
        <w:jc w:val="right"/>
        <w:rPr>
          <w:rFonts w:ascii="宋体" w:hAnsi="宋体" w:cs="宋体"/>
          <w:color w:val="auto"/>
          <w:sz w:val="22"/>
          <w:szCs w:val="22"/>
          <w:highlight w:val="none"/>
        </w:rPr>
      </w:pPr>
      <w:r>
        <w:rPr>
          <w:rFonts w:hint="eastAsia" w:ascii="宋体" w:hAnsi="宋体" w:cs="宋体"/>
          <w:color w:val="auto"/>
          <w:sz w:val="22"/>
          <w:szCs w:val="22"/>
          <w:highlight w:val="none"/>
        </w:rPr>
        <w:t>年   月   日</w:t>
      </w:r>
    </w:p>
    <w:p>
      <w:pPr>
        <w:spacing w:line="360" w:lineRule="auto"/>
        <w:ind w:firstLine="431" w:firstLineChars="195"/>
        <w:rPr>
          <w:rFonts w:ascii="宋体" w:hAnsi="宋体" w:cs="宋体"/>
          <w:b/>
          <w:color w:val="auto"/>
          <w:sz w:val="22"/>
          <w:szCs w:val="22"/>
          <w:highlight w:val="none"/>
        </w:rPr>
      </w:pPr>
      <w:r>
        <w:rPr>
          <w:rFonts w:hint="eastAsia" w:ascii="宋体" w:hAnsi="宋体" w:cs="宋体"/>
          <w:b/>
          <w:color w:val="auto"/>
          <w:sz w:val="22"/>
          <w:szCs w:val="22"/>
          <w:highlight w:val="none"/>
        </w:rPr>
        <w:t>注：（1）供应商解密响应文件及获知其他供应商信息进行如实声明并盖章或授权代表签名后，以扫描件形式通过邮件方式发送至邮箱：1115194121@qq.com。</w:t>
      </w:r>
    </w:p>
    <w:p>
      <w:pPr>
        <w:spacing w:line="360" w:lineRule="auto"/>
        <w:ind w:firstLine="431" w:firstLineChars="195"/>
        <w:rPr>
          <w:rFonts w:ascii="宋体" w:hAnsi="宋体" w:cs="宋体"/>
          <w:b/>
          <w:color w:val="auto"/>
          <w:sz w:val="22"/>
          <w:szCs w:val="22"/>
          <w:highlight w:val="none"/>
        </w:rPr>
      </w:pPr>
      <w:r>
        <w:rPr>
          <w:rFonts w:hint="eastAsia" w:ascii="宋体" w:hAnsi="宋体" w:cs="宋体"/>
          <w:b/>
          <w:color w:val="auto"/>
          <w:sz w:val="22"/>
          <w:szCs w:val="22"/>
          <w:highlight w:val="none"/>
        </w:rPr>
        <w:t>（2）在电子响应文件解密后供应商可看到所参与标项的供应商名称，在确认与采购人和其他供应商不在存声明书中所列利害关系的情况下，请在一中的“□不存在利害关系”打钩，二中的“□与其他所有供应商之间均不存在利害关系”打钩，四中的2个下划线用斜杠“/”划掉。</w:t>
      </w:r>
    </w:p>
    <w:p>
      <w:pPr>
        <w:pStyle w:val="63"/>
        <w:outlineLvl w:val="2"/>
        <w:rPr>
          <w:rFonts w:hAnsi="宋体" w:cs="宋体"/>
          <w:bCs/>
          <w:color w:val="auto"/>
          <w:highlight w:val="none"/>
        </w:rPr>
      </w:pPr>
      <w:r>
        <w:rPr>
          <w:rFonts w:hint="eastAsia" w:hAnsi="宋体" w:cs="宋体"/>
          <w:b/>
          <w:color w:val="auto"/>
          <w:sz w:val="22"/>
          <w:szCs w:val="22"/>
          <w:highlight w:val="none"/>
        </w:rPr>
        <w:t>（3）此声明书非响应文件的组成内容，无需编入响应文件</w:t>
      </w:r>
    </w:p>
    <w:sectPr>
      <w:headerReference r:id="rId20" w:type="first"/>
      <w:footerReference r:id="rId23" w:type="first"/>
      <w:headerReference r:id="rId19" w:type="default"/>
      <w:footerReference r:id="rId21" w:type="default"/>
      <w:footerReference r:id="rId22" w:type="even"/>
      <w:pgSz w:w="11905" w:h="16838"/>
      <w:pgMar w:top="1440" w:right="1803" w:bottom="1440" w:left="1803" w:header="851" w:footer="992" w:gutter="0"/>
      <w:cols w:space="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Lucida Sans">
    <w:altName w:val="Lucida Sans Unicode"/>
    <w:panose1 w:val="020B0602030504020204"/>
    <w:charset w:val="00"/>
    <w:family w:val="swiss"/>
    <w:pitch w:val="default"/>
    <w:sig w:usb0="00000000" w:usb1="00000000" w:usb2="00000000" w:usb3="00000000" w:csb0="2000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MS Sans Serif">
    <w:altName w:val="Segoe Print"/>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0"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Segoe UI Symbol">
    <w:panose1 w:val="020B0502040204020203"/>
    <w:charset w:val="00"/>
    <w:family w:val="swiss"/>
    <w:pitch w:val="default"/>
    <w:sig w:usb0="800001E3" w:usb1="1200FFEF" w:usb2="00040000" w:usb3="04000000" w:csb0="00000001" w:csb1="40000000"/>
  </w:font>
  <w:font w:name="MS Gothic">
    <w:panose1 w:val="020B0609070205080204"/>
    <w:charset w:val="80"/>
    <w:family w:val="modern"/>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Segoe UI Semilight">
    <w:panose1 w:val="020B0402040204020203"/>
    <w:charset w:val="00"/>
    <w:family w:val="auto"/>
    <w:pitch w:val="default"/>
    <w:sig w:usb0="E4002EFF" w:usb1="C000E47F" w:usb2="00000009" w:usb3="00000000" w:csb0="200001F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251</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251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251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5"/>
      </w:rPr>
    </w:pPr>
    <w:r>
      <w:fldChar w:fldCharType="begin"/>
    </w:r>
    <w:r>
      <w:rPr>
        <w:rStyle w:val="75"/>
      </w:rPr>
      <w:instrText xml:space="preserve">PAGE  </w:instrText>
    </w:r>
    <w:r>
      <w:fldChar w:fldCharType="end"/>
    </w:r>
  </w:p>
  <w:p>
    <w:pPr>
      <w:pStyle w:val="40"/>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647" w:name="_Toc164085800"/>
    <w:bookmarkStart w:id="648" w:name="_Toc91899912"/>
    <w:bookmarkStart w:id="649" w:name="_Toc131845147"/>
    <w:bookmarkStart w:id="650" w:name="_Toc36110187"/>
    <w:r>
      <w:rPr>
        <w:rFonts w:hint="eastAsia" w:ascii="仿宋_GB2312" w:eastAsia="仿宋_GB2312"/>
        <w:kern w:val="0"/>
        <w:szCs w:val="21"/>
      </w:rPr>
      <w:t xml:space="preserve"> 页</w:t>
    </w:r>
    <w:bookmarkEnd w:id="647"/>
    <w:bookmarkEnd w:id="648"/>
    <w:bookmarkEnd w:id="649"/>
    <w:bookmarkEnd w:id="65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251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192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 AQAADwAAAGRycy9kb3ducmV2LnhtbE2PQUvDQBCF74L/YRmhN7tpKxJiNgVL06Ng48HjNjsm0d3Z sLtN4793FEEvwzze8OZ75XZ2VkwY4uBJwWqZgUBqvRmoU/DS1Lc5iJg0GW09oYJPjLCtrq9KXRh/ oWecjqkTHEKx0Ar6lMZCytj26HRc+hGJvTcfnE4sQydN0BcOd1aus+xeOj0Qf+j1iLse24/j2SnY 1U0TJozBvuKh3rw/Pd7hflZqcbPKHkAknNPfMXzjMzpUzHTyZzJRWAVcJP1M9tZ5zvL0u8iqlP/p qy9QSwMEFAAAAAgAh07iQIzXDnwqAgAAVQQAAA4AAABkcnMvZTJvRG9jLnhtbK1UzY7TMBC+I/EO lu80aRGrKmq6KlsVIVXsSgVxdh2nieQ/2W6T8gDwBpy4cOe5+hx8zk8XLRz2wMUZe8bfzPfNOIvb VklyEs7XRud0OkkpEZqbotaHnH76uHk1p8QHpgsmjRY5PQtPb5cvXywam4mZqYwshCMA0T5rbE6r EGyWJJ5XQjE/MVZoOEvjFAvYukNSONYAXclklqY3SWNcYZ3hwnucrnsnHRDdcwBNWdZcrA0/KqFD j+qEZAGUfFVbT5ddtWUpeLgvSy8CkTkF09CtSAJ7H9dkuWDZwTFb1XwogT2nhCecFKs1kl6h1iww cnT1X1Cq5s54U4YJNyrpiXSKgMU0faLNrmJWdFwgtbdX0f3/g+UfTg+O1AUmgRLNFBp++f7t8uPX 5edXMo3yNNZniNpZxIX2rWlj6HDucRhZt6VT8Qs+BH6Ie76KK9pAeLw0n83nKVwcvnEDnOTxunU+ vBNGkWjk1KF7najstPWhDx1DYjZtNrWUOGeZ1KTJ6c3rN2l34eoBuNTIEUn0xUYrtPt2YLA3xRnE nOknw1u+qZF8y3x4YA6jgILxWMI9llIaJDGDRUll3Jd/ncd4dAheShqMVk41XhIl8r1G5wAYRsON xn409FHdGcwquoFaOhMXXJCjWTqjPuMFrWIOuJjmyJTTMJp3oR9vvEAuVqsuCLNmWdjqneUROirm 7eoYIGCnaxSlV2LQCtPWdWZ4GXGc/9x3UY9/g+VvUEsDBAoAAAAAAIdO4kAAAAAAAAAAAAAAAAAG AAAAX3JlbHMvUEsDBBQAAAAIAIdO4kCKFGY80QAAAJQBAAALAAAAX3JlbHMvLnJlbHOlkMFqwzAM hu+DvYPRfXGawxijTi+j0GvpHsDYimMaW0Yy2fr28w6DZfS2o36h7xP//vCZFrUiS6RsYNf1oDA7 8jEHA++X49MLKKk2e7tQRgM3FDiMjw/7My62tiOZYxHVKFkMzLWWV63FzZisdFQwt81EnGxtIwdd rLvagHro+2fNvxkwbpjq5A3wyQ+gLrfSzH/YKTomoal2jpKmaYruHlUHtmWO7sg24Ru5RrMcsBrw LBoHalnXfgR9X7/7p97TRz7jutV+h4zrj1dvuhy/AFBLAwQUAAAACACHTuJAfublIPcAAADhAQAA EwAAAFtDb250ZW50X1R5cGVzXS54bWyVkUFOwzAQRfdI3MHyFiVOu0AIJemCtEtAqBxgZE8Si2Rs eUxob4+TthtEkVjaM/+/J7vcHMZBTBjYOqrkKi+kQNLOWOoq+b7fZQ9ScAQyMDjCSh6R5aa+vSn3 R48sUpq4kn2M/lEp1j2OwLnzSGnSujBCTMfQKQ/6AzpU66K4V9pRRIpZnDtkXTbYwucQxfaQrk8m AQeW4um0OLMqCd4PVkNMpmoi84OSnQl5Si473FvPd0lDql8J8+Q64Jx7SU8TrEHxCiE+w5g0lAms jPuigFP+d8lsOXLm2tZqzJvATYq94XSxutaOa9c4/d/y7ZK6dKvlg+pvUEsBAhQAFAAAAAgAh07i QH7m5SD3AAAA4QEAABMAAAAAAAAAAQAgAAAAkwQAAFtDb250ZW50X1R5cGVzXS54bWxQSwECFAAK AAAAAACHTuJAAAAAAAAAAAAAAAAABgAAAAAAAAAAABAAAAB1AwAAX3JlbHMvUEsBAhQAFAAAAAgA h07iQIoUZjzRAAAAlAEAAAsAAAAAAAAAAQAgAAAAmQMAAF9yZWxzLy5yZWxzUEsBAhQACgAAAAAA h07iQAAAAAAAAAAAAAAAAAQAAAAAAAAAAAAQAAAAAAAAAGRycy9QSwECFAAUAAAACACHTuJAs0lY 7tAAAAAFAQAADwAAAAAAAAABACAAAAAiAAAAZHJzL2Rvd25yZXYueG1sUEsBAhQAFAAAAAgAh07i QIzXDnwqAgAAVQQAAA4AAAAAAAAAAQAgAAAAHwEAAGRycy9lMm9Eb2MueG1sUEsFBgAAAAAGAAYA WQEAALsFAAAAAA== ">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192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192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 AQAADwAAAGRycy9kb3ducmV2LnhtbE2PQUvDQBCF74L/YRmhN7tpKxJiNgVL06Ng48HjNjsm0d3Z sLtN4793FEEvwzze8OZ75XZ2VkwY4uBJwWqZgUBqvRmoU/DS1Lc5iJg0GW09oYJPjLCtrq9KXRh/ oWecjqkTHEKx0Ar6lMZCytj26HRc+hGJvTcfnE4sQydN0BcOd1aus+xeOj0Qf+j1iLse24/j2SnY 1U0TJozBvuKh3rw/Pd7hflZqcbPKHkAknNPfMXzjMzpUzHTyZzJRWAVcJP1M9tZ5zvL0u8iqlP/p qy9QSwMEFAAAAAgAh07iQPUDPAEtAgAAVwQAAA4AAABkcnMvZTJvRG9jLnhtbK1UzY7TMBC+I/EO lu80aWFXVdV0VbYqQqrYlRbE2XWcJpL/ZLtNygPAG3Diwp3n6nPw2Wm6aOGwBy7O2DP+xt83M5nf dEqSg3C+Mbqg41FOidDclI3eFfTTx/WrKSU+MF0yabQo6FF4erN4+WLe2pmYmNrIUjgCEO1nrS1o HYKdZZnntVDMj4wVGs7KOMUCtm6XlY61QFcym+T5ddYaV1pnuPAep6veSc+I7jmApqoaLlaG75XQ oUd1QrIASr5urKeL9NqqEjzcVZUXgciCgmlIK5LA3sY1W8zZbOeYrRt+fgJ7zhOecFKs0Uh6gVqx wMjeNX9BqYY7400VRtyorCeSFAGLcf5Em4eaWZG4QGpvL6L7/wfLPxzuHWnKgl69oUQzhYqfvn87 /fh1+vmV4AwCtdbPEPdgERm6t6ZD2wznHoeRd1c5Fb9gROCHvMeLvKILhMdL08l0msPF4Rs2wM8e r1vnwzthFIlGQR3ql2Rlh40PfegQErNps26kTDWUmrQFvX59lacLFw/ApUaOSKJ/bLRCt+3OzLam PIKYM31veMvXDZJvmA/3zKEZ8GCMS7jDUkmDJOZsUVIb9+Vf5zEeNYKXkhbNVVCNWaJEvteoHQDD YLjB2A6G3qtbg24dYwwtTyYuuCAHs3JGfcYMLWMOuJjmyFTQMJi3oW9wzCAXy2UKQrdZFjb6wfII HcXzdrkPEDDpGkXplThrhX5LlTnPRmzoP/cp6vF/sPgNUEsDBAoAAAAAAIdO4kAAAAAAAAAAAAAA AAAGAAAAX3JlbHMvUEsDBBQAAAAIAIdO4kCKFGY80QAAAJQBAAALAAAAX3JlbHMvLnJlbHOlkMFq wzAMhu+DvYPRfXGawxijTi+j0GvpHsDYimMaW0Yy2fr28w6DZfS2o36h7xP//vCZFrUiS6RsYNf1 oDA78jEHA++X49MLKKk2e7tQRgM3FDiMjw/7My62tiOZYxHVKFkMzLWWV63FzZisdFQwt81EnGxt IwddrLvagHro+2fNvxkwbpjq5A3wyQ+gLrfSzH/YKTomoal2jpKmaYruHlUHtmWO7sg24Ru5RrMc sBrwLBoHalnXfgR9X7/7p97TRz7jutV+h4zrj1dvuhy/AFBLAwQUAAAACACHTuJAfublIPcAAADh AQAAEwAAAFtDb250ZW50X1R5cGVzXS54bWyVkUFOwzAQRfdI3MHyFiVOu0AIJemCtEtAqBxgZE8S i2RseUxob4+TthtEkVjaM/+/J7vcHMZBTBjYOqrkKi+kQNLOWOoq+b7fZQ9ScAQyMDjCSh6R5aa+ vSn3R48sUpq4kn2M/lEp1j2OwLnzSGnSujBCTMfQKQ/6AzpU66K4V9pRRIpZnDtkXTbYwucQxfaQ rk8mAQeW4um0OLMqCd4PVkNMpmoi84OSnQl5Si473FvPd0lDql8J8+Q64Jx7SU8TrEHxCiE+w5g0 lAmsjPuigFP+d8lsOXLm2tZqzJvATYq94XSxutaOa9c4/d/y7ZK6dKvlg+pvUEsBAhQAFAAAAAgA h07iQH7m5SD3AAAA4QEAABMAAAAAAAAAAQAgAAAAlgQAAFtDb250ZW50X1R5cGVzXS54bWxQSwEC FAAKAAAAAACHTuJAAAAAAAAAAAAAAAAABgAAAAAAAAAAABAAAAB4AwAAX3JlbHMvUEsBAhQAFAAA AAgAh07iQIoUZjzRAAAAlAEAAAsAAAAAAAAAAQAgAAAAnAMAAF9yZWxzLy5yZWxzUEsBAhQACgAA AAAAh07iQAAAAAAAAAAAAAAAAAQAAAAAAAAAAAAQAAAAAAAAAGRycy9QSwECFAAUAAAACACHTuJA s0lY7tAAAAAFAQAADwAAAAAAAAABACAAAAAiAAAAZHJzL2Rvd25yZXYueG1sUEsBAhQAFAAAAAgA h07iQPUDPAEtAgAAVwQAAA4AAAAAAAAAAQAgAAAAHwEAAGRycy9lMm9Eb2MueG1sUEsFBgAAAAAG AAYAWQEAAL4FAAAAAA== ">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192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pPr>
    <w:r>
      <w:fldChar w:fldCharType="begin"/>
    </w:r>
    <w:r>
      <w:instrText xml:space="preserve"> PAGE   \* MERGEFORMAT </w:instrText>
    </w:r>
    <w:r>
      <w:fldChar w:fldCharType="separate"/>
    </w:r>
    <w:r>
      <w:rPr>
        <w:lang w:val="zh-CN"/>
      </w:rPr>
      <w:t>232</w:t>
    </w:r>
    <w:r>
      <w:fldChar w:fldCharType="end"/>
    </w:r>
  </w:p>
  <w:p>
    <w:pPr>
      <w:pStyle w:val="4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236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241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241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4"/>
      </w:pBdr>
      <w:jc w:val="right"/>
    </w:pPr>
    <w:r>
      <w:rPr>
        <w:rFonts w:hint="eastAsia"/>
      </w:rPr>
      <w:t xml:space="preserve">            </w:t>
    </w:r>
    <w:r>
      <w:t>政府采购公开招标文件</w:t>
    </w:r>
  </w:p>
  <w:p>
    <w:pPr>
      <w:pStyle w:val="61"/>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r>
      <w:rPr>
        <w:rFonts w:hint="eastAsia"/>
      </w:rPr>
      <w:tab/>
    </w:r>
    <w:r>
      <w:rPr>
        <w:rFonts w:hint="eastAsia"/>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rPr>
        <w:rFonts w:ascii="仿宋_GB2312" w:eastAsia="仿宋_GB2312"/>
        <w:b/>
        <w:i/>
        <w:u w:val="single"/>
      </w:rPr>
    </w:pPr>
    <w:r>
      <w:rPr>
        <w:rFonts w:hint="eastAsia"/>
      </w:rPr>
      <w:t xml:space="preserve">                                </w:t>
    </w:r>
    <w:r>
      <w:t>政府采购公开招标文件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b/>
        <w:i/>
        <w:u w:val="single"/>
      </w:rPr>
    </w:pPr>
    <w:r>
      <w:rPr>
        <w:rFonts w:hint="eastAsia"/>
      </w:rPr>
      <w:t xml:space="preserve">                                   </w:t>
    </w:r>
    <w:r>
      <w:t xml:space="preserve">           </w:t>
    </w:r>
    <w:r>
      <w:rPr>
        <w:rFonts w:hint="eastAsia"/>
      </w:rPr>
      <w:t xml:space="preserve">             </w:t>
    </w:r>
    <w:r>
      <w:t xml:space="preserve"> 政府采购公开招标文件</w:t>
    </w:r>
  </w:p>
  <w:p>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pPr>
    <w:r>
      <w:rPr>
        <w:rFonts w:hint="eastAsia"/>
      </w:rPr>
      <w:t xml:space="preserve">                                                    </w:t>
    </w:r>
    <w:r>
      <w:t>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rPr>
        <w:rFonts w:ascii="仿宋_GB2312" w:eastAsia="仿宋_GB2312"/>
        <w:b/>
        <w:i/>
        <w:u w:val="single"/>
      </w:rPr>
    </w:pPr>
    <w:r>
      <w:rPr>
        <w:rFonts w:hint="eastAsia"/>
      </w:rPr>
      <w:t xml:space="preserve">                                  </w:t>
    </w:r>
    <w:r>
      <w:t>政府采购公开招标文件</w:t>
    </w:r>
  </w:p>
  <w:p>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pPr>
    <w:r>
      <w:rPr>
        <w:rFonts w:hint="eastAsia"/>
      </w:rPr>
      <w:t xml:space="preserve">                                                                                                        </w:t>
    </w:r>
    <w:r>
      <w:t>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rPr>
        <w:rFonts w:ascii="仿宋_GB2312" w:eastAsia="仿宋_GB2312"/>
        <w:b/>
        <w:i/>
        <w:iCs/>
        <w:u w:val="single"/>
      </w:rPr>
    </w:pPr>
    <w:r>
      <w:t>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rPr>
        <w:rFonts w:hint="eastAsia"/>
      </w:rPr>
      <w:t xml:space="preserve">                               </w:t>
    </w:r>
    <w:r>
      <w:t xml:space="preserve">                 </w:t>
    </w:r>
    <w:r>
      <w:rPr>
        <w:rFonts w:hint="eastAsia"/>
      </w:rPr>
      <w:t xml:space="preserve">             </w:t>
    </w:r>
    <w:r>
      <w:t>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79E46A"/>
    <w:multiLevelType w:val="singleLevel"/>
    <w:tmpl w:val="9179E46A"/>
    <w:lvl w:ilvl="0" w:tentative="0">
      <w:start w:val="4"/>
      <w:numFmt w:val="chineseCounting"/>
      <w:suff w:val="space"/>
      <w:lvlText w:val="第%1部分"/>
      <w:lvlJc w:val="left"/>
      <w:rPr>
        <w:rFonts w:hint="eastAsia"/>
      </w:rPr>
    </w:lvl>
  </w:abstractNum>
  <w:abstractNum w:abstractNumId="1">
    <w:nsid w:val="9503AAD4"/>
    <w:multiLevelType w:val="singleLevel"/>
    <w:tmpl w:val="9503AAD4"/>
    <w:lvl w:ilvl="0" w:tentative="0">
      <w:start w:val="1"/>
      <w:numFmt w:val="decimal"/>
      <w:suff w:val="nothing"/>
      <w:lvlText w:val="（%1）"/>
      <w:lvlJc w:val="left"/>
    </w:lvl>
  </w:abstractNum>
  <w:abstractNum w:abstractNumId="2">
    <w:nsid w:val="B5873D7D"/>
    <w:multiLevelType w:val="singleLevel"/>
    <w:tmpl w:val="B5873D7D"/>
    <w:lvl w:ilvl="0" w:tentative="0">
      <w:start w:val="2"/>
      <w:numFmt w:val="decimal"/>
      <w:lvlText w:val="%1."/>
      <w:lvlJc w:val="left"/>
      <w:pPr>
        <w:tabs>
          <w:tab w:val="left" w:pos="312"/>
        </w:tabs>
      </w:pPr>
    </w:lvl>
  </w:abstractNum>
  <w:abstractNum w:abstractNumId="3">
    <w:nsid w:val="D53BDF47"/>
    <w:multiLevelType w:val="singleLevel"/>
    <w:tmpl w:val="D53BDF47"/>
    <w:lvl w:ilvl="0" w:tentative="0">
      <w:start w:val="2"/>
      <w:numFmt w:val="chineseCounting"/>
      <w:suff w:val="nothing"/>
      <w:lvlText w:val="（%1）"/>
      <w:lvlJc w:val="left"/>
      <w:rPr>
        <w:rFonts w:hint="eastAsia"/>
      </w:rPr>
    </w:lvl>
  </w:abstractNum>
  <w:abstractNum w:abstractNumId="4">
    <w:nsid w:val="F5E80F08"/>
    <w:multiLevelType w:val="singleLevel"/>
    <w:tmpl w:val="F5E80F08"/>
    <w:lvl w:ilvl="0" w:tentative="0">
      <w:start w:val="23"/>
      <w:numFmt w:val="decimal"/>
      <w:suff w:val="space"/>
      <w:lvlText w:val="%1."/>
      <w:lvlJc w:val="left"/>
    </w:lvl>
  </w:abstractNum>
  <w:abstractNum w:abstractNumId="5">
    <w:nsid w:val="0B03959D"/>
    <w:multiLevelType w:val="singleLevel"/>
    <w:tmpl w:val="0B03959D"/>
    <w:lvl w:ilvl="0" w:tentative="0">
      <w:start w:val="5"/>
      <w:numFmt w:val="chineseCounting"/>
      <w:suff w:val="nothing"/>
      <w:lvlText w:val="%1、"/>
      <w:lvlJc w:val="left"/>
      <w:rPr>
        <w:rFonts w:hint="eastAsia"/>
      </w:rPr>
    </w:lvl>
  </w:abstractNum>
  <w:abstractNum w:abstractNumId="6">
    <w:nsid w:val="0D43D065"/>
    <w:multiLevelType w:val="singleLevel"/>
    <w:tmpl w:val="0D43D065"/>
    <w:lvl w:ilvl="0" w:tentative="0">
      <w:start w:val="1"/>
      <w:numFmt w:val="chineseCounting"/>
      <w:suff w:val="nothing"/>
      <w:lvlText w:val="%1、"/>
      <w:lvlJc w:val="left"/>
      <w:rPr>
        <w:rFonts w:hint="eastAsia"/>
      </w:rPr>
    </w:lvl>
  </w:abstractNum>
  <w:abstractNum w:abstractNumId="7">
    <w:nsid w:val="3B500D3E"/>
    <w:multiLevelType w:val="singleLevel"/>
    <w:tmpl w:val="3B500D3E"/>
    <w:lvl w:ilvl="0" w:tentative="0">
      <w:start w:val="1"/>
      <w:numFmt w:val="decimal"/>
      <w:suff w:val="nothing"/>
      <w:lvlText w:val="%1、"/>
      <w:lvlJc w:val="left"/>
    </w:lvl>
  </w:abstractNum>
  <w:abstractNum w:abstractNumId="8">
    <w:nsid w:val="4F4A481F"/>
    <w:multiLevelType w:val="singleLevel"/>
    <w:tmpl w:val="4F4A481F"/>
    <w:lvl w:ilvl="0" w:tentative="0">
      <w:start w:val="2"/>
      <w:numFmt w:val="decimal"/>
      <w:suff w:val="nothing"/>
      <w:lvlText w:val="（%1）"/>
      <w:lvlJc w:val="left"/>
    </w:lvl>
  </w:abstractNum>
  <w:abstractNum w:abstractNumId="9">
    <w:nsid w:val="54F403B5"/>
    <w:multiLevelType w:val="singleLevel"/>
    <w:tmpl w:val="54F403B5"/>
    <w:lvl w:ilvl="0" w:tentative="0">
      <w:start w:val="1"/>
      <w:numFmt w:val="chineseCounting"/>
      <w:suff w:val="nothing"/>
      <w:lvlText w:val="%1、"/>
      <w:lvlJc w:val="left"/>
    </w:lvl>
  </w:abstractNum>
  <w:abstractNum w:abstractNumId="10">
    <w:nsid w:val="557FD3DA"/>
    <w:multiLevelType w:val="singleLevel"/>
    <w:tmpl w:val="557FD3DA"/>
    <w:lvl w:ilvl="0" w:tentative="0">
      <w:start w:val="3"/>
      <w:numFmt w:val="chineseCounting"/>
      <w:suff w:val="nothing"/>
      <w:lvlText w:val="%1、"/>
      <w:lvlJc w:val="left"/>
    </w:lvl>
  </w:abstractNum>
  <w:abstractNum w:abstractNumId="11">
    <w:nsid w:val="7DA855F5"/>
    <w:multiLevelType w:val="singleLevel"/>
    <w:tmpl w:val="7DA855F5"/>
    <w:lvl w:ilvl="0" w:tentative="0">
      <w:start w:val="2"/>
      <w:numFmt w:val="decimal"/>
      <w:suff w:val="nothing"/>
      <w:lvlText w:val="%1、"/>
      <w:lvlJc w:val="left"/>
    </w:lvl>
  </w:abstractNum>
  <w:abstractNum w:abstractNumId="12">
    <w:nsid w:val="7E0C579C"/>
    <w:multiLevelType w:val="multilevel"/>
    <w:tmpl w:val="7E0C579C"/>
    <w:lvl w:ilvl="0" w:tentative="0">
      <w:start w:val="3"/>
      <w:numFmt w:val="japaneseCounting"/>
      <w:lvlText w:val="%1、"/>
      <w:lvlJc w:val="left"/>
      <w:pPr>
        <w:ind w:left="523" w:hanging="420"/>
      </w:pPr>
      <w:rPr>
        <w:rFonts w:hint="default"/>
        <w:b/>
      </w:rPr>
    </w:lvl>
    <w:lvl w:ilvl="1" w:tentative="0">
      <w:start w:val="1"/>
      <w:numFmt w:val="lowerLetter"/>
      <w:lvlText w:val="%2)"/>
      <w:lvlJc w:val="left"/>
      <w:pPr>
        <w:ind w:left="943" w:hanging="420"/>
      </w:pPr>
    </w:lvl>
    <w:lvl w:ilvl="2" w:tentative="0">
      <w:start w:val="1"/>
      <w:numFmt w:val="lowerRoman"/>
      <w:lvlText w:val="%3."/>
      <w:lvlJc w:val="right"/>
      <w:pPr>
        <w:ind w:left="1363" w:hanging="420"/>
      </w:pPr>
    </w:lvl>
    <w:lvl w:ilvl="3" w:tentative="0">
      <w:start w:val="1"/>
      <w:numFmt w:val="decimal"/>
      <w:lvlText w:val="%4."/>
      <w:lvlJc w:val="left"/>
      <w:pPr>
        <w:ind w:left="1783" w:hanging="420"/>
      </w:pPr>
    </w:lvl>
    <w:lvl w:ilvl="4" w:tentative="0">
      <w:start w:val="1"/>
      <w:numFmt w:val="lowerLetter"/>
      <w:lvlText w:val="%5)"/>
      <w:lvlJc w:val="left"/>
      <w:pPr>
        <w:ind w:left="2203" w:hanging="420"/>
      </w:pPr>
    </w:lvl>
    <w:lvl w:ilvl="5" w:tentative="0">
      <w:start w:val="1"/>
      <w:numFmt w:val="lowerRoman"/>
      <w:lvlText w:val="%6."/>
      <w:lvlJc w:val="right"/>
      <w:pPr>
        <w:ind w:left="2623" w:hanging="420"/>
      </w:pPr>
    </w:lvl>
    <w:lvl w:ilvl="6" w:tentative="0">
      <w:start w:val="1"/>
      <w:numFmt w:val="decimal"/>
      <w:lvlText w:val="%7."/>
      <w:lvlJc w:val="left"/>
      <w:pPr>
        <w:ind w:left="3043" w:hanging="420"/>
      </w:pPr>
    </w:lvl>
    <w:lvl w:ilvl="7" w:tentative="0">
      <w:start w:val="1"/>
      <w:numFmt w:val="lowerLetter"/>
      <w:lvlText w:val="%8)"/>
      <w:lvlJc w:val="left"/>
      <w:pPr>
        <w:ind w:left="3463" w:hanging="420"/>
      </w:pPr>
    </w:lvl>
    <w:lvl w:ilvl="8" w:tentative="0">
      <w:start w:val="1"/>
      <w:numFmt w:val="lowerRoman"/>
      <w:lvlText w:val="%9."/>
      <w:lvlJc w:val="right"/>
      <w:pPr>
        <w:ind w:left="3883" w:hanging="420"/>
      </w:pPr>
    </w:lvl>
  </w:abstractNum>
  <w:num w:numId="1">
    <w:abstractNumId w:val="1"/>
  </w:num>
  <w:num w:numId="2">
    <w:abstractNumId w:val="4"/>
  </w:num>
  <w:num w:numId="3">
    <w:abstractNumId w:val="2"/>
  </w:num>
  <w:num w:numId="4">
    <w:abstractNumId w:val="3"/>
  </w:num>
  <w:num w:numId="5">
    <w:abstractNumId w:val="0"/>
  </w:num>
  <w:num w:numId="6">
    <w:abstractNumId w:val="8"/>
  </w:num>
  <w:num w:numId="7">
    <w:abstractNumId w:val="11"/>
  </w:num>
  <w:num w:numId="8">
    <w:abstractNumId w:val="12"/>
  </w:num>
  <w:num w:numId="9">
    <w:abstractNumId w:val="5"/>
  </w:num>
  <w:num w:numId="10">
    <w:abstractNumId w:val="6"/>
  </w:num>
  <w:num w:numId="11">
    <w:abstractNumId w:val="7"/>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210"/>
  <w:drawingGridVerticalSpacing w:val="165"/>
  <w:displayVerticalDrawingGridEvery w:val="2"/>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I1YWQwMzdhODcxZTQ3NmQxZjc4MmViYmNiZmRhYjE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5826"/>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8C7"/>
    <w:rsid w:val="00024962"/>
    <w:rsid w:val="000249AA"/>
    <w:rsid w:val="00025350"/>
    <w:rsid w:val="000253E5"/>
    <w:rsid w:val="00025776"/>
    <w:rsid w:val="00026EAC"/>
    <w:rsid w:val="000270F2"/>
    <w:rsid w:val="00027540"/>
    <w:rsid w:val="000277D1"/>
    <w:rsid w:val="00030572"/>
    <w:rsid w:val="00030A97"/>
    <w:rsid w:val="00030CB3"/>
    <w:rsid w:val="0003206A"/>
    <w:rsid w:val="000326A7"/>
    <w:rsid w:val="00032EA0"/>
    <w:rsid w:val="0003314B"/>
    <w:rsid w:val="000331B0"/>
    <w:rsid w:val="0003353E"/>
    <w:rsid w:val="000336D4"/>
    <w:rsid w:val="00034FA7"/>
    <w:rsid w:val="0003533D"/>
    <w:rsid w:val="000357E4"/>
    <w:rsid w:val="00035ACA"/>
    <w:rsid w:val="00035FFB"/>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698"/>
    <w:rsid w:val="00056791"/>
    <w:rsid w:val="00056868"/>
    <w:rsid w:val="00056876"/>
    <w:rsid w:val="000568DF"/>
    <w:rsid w:val="000576D1"/>
    <w:rsid w:val="000578A3"/>
    <w:rsid w:val="00057D4C"/>
    <w:rsid w:val="00060C48"/>
    <w:rsid w:val="00061A3C"/>
    <w:rsid w:val="00061C48"/>
    <w:rsid w:val="000627C2"/>
    <w:rsid w:val="00064278"/>
    <w:rsid w:val="000646CA"/>
    <w:rsid w:val="00064AAF"/>
    <w:rsid w:val="000665C4"/>
    <w:rsid w:val="00067821"/>
    <w:rsid w:val="0006785E"/>
    <w:rsid w:val="00067C86"/>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551"/>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EF7"/>
    <w:rsid w:val="00092FE9"/>
    <w:rsid w:val="000936BF"/>
    <w:rsid w:val="0009382F"/>
    <w:rsid w:val="00093A30"/>
    <w:rsid w:val="00093E26"/>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3F0"/>
    <w:rsid w:val="000B268D"/>
    <w:rsid w:val="000B291B"/>
    <w:rsid w:val="000B41D6"/>
    <w:rsid w:val="000B456C"/>
    <w:rsid w:val="000B45B9"/>
    <w:rsid w:val="000B47CE"/>
    <w:rsid w:val="000B4B56"/>
    <w:rsid w:val="000B4C62"/>
    <w:rsid w:val="000B541D"/>
    <w:rsid w:val="000B54C1"/>
    <w:rsid w:val="000B5553"/>
    <w:rsid w:val="000B5F0C"/>
    <w:rsid w:val="000B5FE8"/>
    <w:rsid w:val="000B61DC"/>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059B"/>
    <w:rsid w:val="000D11E5"/>
    <w:rsid w:val="000D19E8"/>
    <w:rsid w:val="000D1FA1"/>
    <w:rsid w:val="000D2834"/>
    <w:rsid w:val="000D2CAC"/>
    <w:rsid w:val="000D34C8"/>
    <w:rsid w:val="000D34FD"/>
    <w:rsid w:val="000D3BE5"/>
    <w:rsid w:val="000D3C37"/>
    <w:rsid w:val="000D453A"/>
    <w:rsid w:val="000D4AFA"/>
    <w:rsid w:val="000D5EA6"/>
    <w:rsid w:val="000D5F00"/>
    <w:rsid w:val="000D6C36"/>
    <w:rsid w:val="000D6C9F"/>
    <w:rsid w:val="000D6E3B"/>
    <w:rsid w:val="000D6F30"/>
    <w:rsid w:val="000D74E4"/>
    <w:rsid w:val="000D7C9D"/>
    <w:rsid w:val="000D7CE0"/>
    <w:rsid w:val="000E2785"/>
    <w:rsid w:val="000E27BB"/>
    <w:rsid w:val="000E3153"/>
    <w:rsid w:val="000E31CF"/>
    <w:rsid w:val="000E3484"/>
    <w:rsid w:val="000E386F"/>
    <w:rsid w:val="000E4051"/>
    <w:rsid w:val="000E4139"/>
    <w:rsid w:val="000E4765"/>
    <w:rsid w:val="000E5B7E"/>
    <w:rsid w:val="000E5FF9"/>
    <w:rsid w:val="000E6AA6"/>
    <w:rsid w:val="000E6AE1"/>
    <w:rsid w:val="000E7142"/>
    <w:rsid w:val="000E7632"/>
    <w:rsid w:val="000E7737"/>
    <w:rsid w:val="000E7739"/>
    <w:rsid w:val="000E77EE"/>
    <w:rsid w:val="000F131E"/>
    <w:rsid w:val="000F1604"/>
    <w:rsid w:val="000F287A"/>
    <w:rsid w:val="000F2940"/>
    <w:rsid w:val="000F2AB3"/>
    <w:rsid w:val="000F3D08"/>
    <w:rsid w:val="000F4495"/>
    <w:rsid w:val="000F4A05"/>
    <w:rsid w:val="000F4AA8"/>
    <w:rsid w:val="000F4AEA"/>
    <w:rsid w:val="000F4E67"/>
    <w:rsid w:val="000F4E88"/>
    <w:rsid w:val="000F505B"/>
    <w:rsid w:val="000F5677"/>
    <w:rsid w:val="000F5DDB"/>
    <w:rsid w:val="000F6177"/>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8B6"/>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C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336"/>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83E"/>
    <w:rsid w:val="001718F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95E"/>
    <w:rsid w:val="00180A47"/>
    <w:rsid w:val="0018133C"/>
    <w:rsid w:val="001815A7"/>
    <w:rsid w:val="001827B7"/>
    <w:rsid w:val="001827EF"/>
    <w:rsid w:val="00182982"/>
    <w:rsid w:val="001829BC"/>
    <w:rsid w:val="00182D68"/>
    <w:rsid w:val="00183031"/>
    <w:rsid w:val="00183468"/>
    <w:rsid w:val="0018397E"/>
    <w:rsid w:val="00184466"/>
    <w:rsid w:val="00184DBF"/>
    <w:rsid w:val="001852A8"/>
    <w:rsid w:val="001856EF"/>
    <w:rsid w:val="00185C0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8D"/>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5AEA"/>
    <w:rsid w:val="001C6047"/>
    <w:rsid w:val="001C631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D5F3A"/>
    <w:rsid w:val="001E17E3"/>
    <w:rsid w:val="001E2052"/>
    <w:rsid w:val="001E2492"/>
    <w:rsid w:val="001E257C"/>
    <w:rsid w:val="001E286C"/>
    <w:rsid w:val="001E2F34"/>
    <w:rsid w:val="001E35EE"/>
    <w:rsid w:val="001E4B2C"/>
    <w:rsid w:val="001E507F"/>
    <w:rsid w:val="001E56C2"/>
    <w:rsid w:val="001E59FB"/>
    <w:rsid w:val="001E6E81"/>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5A55"/>
    <w:rsid w:val="00206698"/>
    <w:rsid w:val="00206736"/>
    <w:rsid w:val="00206C88"/>
    <w:rsid w:val="002074F9"/>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5B92"/>
    <w:rsid w:val="00227214"/>
    <w:rsid w:val="00227D3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8C5"/>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77E37"/>
    <w:rsid w:val="002802A5"/>
    <w:rsid w:val="00280CFB"/>
    <w:rsid w:val="00280D24"/>
    <w:rsid w:val="002815C4"/>
    <w:rsid w:val="00281BCB"/>
    <w:rsid w:val="00281C76"/>
    <w:rsid w:val="0028316D"/>
    <w:rsid w:val="00283296"/>
    <w:rsid w:val="002851A5"/>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9FE"/>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134"/>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987"/>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5ED8"/>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624"/>
    <w:rsid w:val="003519CD"/>
    <w:rsid w:val="00351A3A"/>
    <w:rsid w:val="00353623"/>
    <w:rsid w:val="0035455F"/>
    <w:rsid w:val="00355D75"/>
    <w:rsid w:val="00355D8F"/>
    <w:rsid w:val="00356A73"/>
    <w:rsid w:val="00356FF0"/>
    <w:rsid w:val="003577EF"/>
    <w:rsid w:val="00357A3A"/>
    <w:rsid w:val="00357A60"/>
    <w:rsid w:val="00360304"/>
    <w:rsid w:val="00360A78"/>
    <w:rsid w:val="00360EF9"/>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6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72E"/>
    <w:rsid w:val="003B0A3A"/>
    <w:rsid w:val="003B0A6B"/>
    <w:rsid w:val="003B0CCF"/>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285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81E"/>
    <w:rsid w:val="003D0EE2"/>
    <w:rsid w:val="003D0EF4"/>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0DB1"/>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3B7"/>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AD4"/>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0C13"/>
    <w:rsid w:val="0044105D"/>
    <w:rsid w:val="00441424"/>
    <w:rsid w:val="00442731"/>
    <w:rsid w:val="00442C12"/>
    <w:rsid w:val="00442C2F"/>
    <w:rsid w:val="004434DF"/>
    <w:rsid w:val="0044354B"/>
    <w:rsid w:val="0044493E"/>
    <w:rsid w:val="00444A1F"/>
    <w:rsid w:val="00444FC6"/>
    <w:rsid w:val="00445874"/>
    <w:rsid w:val="00445C38"/>
    <w:rsid w:val="0044686B"/>
    <w:rsid w:val="004475F7"/>
    <w:rsid w:val="0045057B"/>
    <w:rsid w:val="0045069B"/>
    <w:rsid w:val="00450873"/>
    <w:rsid w:val="00450B22"/>
    <w:rsid w:val="00451709"/>
    <w:rsid w:val="004518FA"/>
    <w:rsid w:val="00451A02"/>
    <w:rsid w:val="0045277C"/>
    <w:rsid w:val="0045328A"/>
    <w:rsid w:val="00453507"/>
    <w:rsid w:val="00453592"/>
    <w:rsid w:val="004543AB"/>
    <w:rsid w:val="004543D1"/>
    <w:rsid w:val="004545EC"/>
    <w:rsid w:val="00455967"/>
    <w:rsid w:val="00455F71"/>
    <w:rsid w:val="00456272"/>
    <w:rsid w:val="0045679C"/>
    <w:rsid w:val="004570EF"/>
    <w:rsid w:val="00457517"/>
    <w:rsid w:val="00457B48"/>
    <w:rsid w:val="00457CF7"/>
    <w:rsid w:val="00457D37"/>
    <w:rsid w:val="00457D7B"/>
    <w:rsid w:val="0046028A"/>
    <w:rsid w:val="00460E3A"/>
    <w:rsid w:val="00460E68"/>
    <w:rsid w:val="004614BC"/>
    <w:rsid w:val="004619A5"/>
    <w:rsid w:val="00461A4D"/>
    <w:rsid w:val="00461F80"/>
    <w:rsid w:val="0046238F"/>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2D6"/>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97F94"/>
    <w:rsid w:val="004A00C9"/>
    <w:rsid w:val="004A0232"/>
    <w:rsid w:val="004A03D0"/>
    <w:rsid w:val="004A1049"/>
    <w:rsid w:val="004A1AFA"/>
    <w:rsid w:val="004A1EA7"/>
    <w:rsid w:val="004A26F5"/>
    <w:rsid w:val="004A2EF8"/>
    <w:rsid w:val="004A3A21"/>
    <w:rsid w:val="004A407A"/>
    <w:rsid w:val="004A4E3B"/>
    <w:rsid w:val="004A608C"/>
    <w:rsid w:val="004A6110"/>
    <w:rsid w:val="004A61B8"/>
    <w:rsid w:val="004A6415"/>
    <w:rsid w:val="004A64F9"/>
    <w:rsid w:val="004A65F4"/>
    <w:rsid w:val="004A6B67"/>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A87"/>
    <w:rsid w:val="004B5C96"/>
    <w:rsid w:val="004B6124"/>
    <w:rsid w:val="004B6945"/>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D25"/>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DE7"/>
    <w:rsid w:val="004F1F9E"/>
    <w:rsid w:val="004F2B72"/>
    <w:rsid w:val="004F2CB6"/>
    <w:rsid w:val="004F2E6E"/>
    <w:rsid w:val="004F3015"/>
    <w:rsid w:val="004F313F"/>
    <w:rsid w:val="004F34E2"/>
    <w:rsid w:val="004F367F"/>
    <w:rsid w:val="004F3EEF"/>
    <w:rsid w:val="004F43A7"/>
    <w:rsid w:val="004F447B"/>
    <w:rsid w:val="004F497C"/>
    <w:rsid w:val="004F4EF3"/>
    <w:rsid w:val="004F4FAC"/>
    <w:rsid w:val="004F4FE8"/>
    <w:rsid w:val="004F501F"/>
    <w:rsid w:val="004F531B"/>
    <w:rsid w:val="004F560C"/>
    <w:rsid w:val="004F5DBB"/>
    <w:rsid w:val="004F60B4"/>
    <w:rsid w:val="004F61A3"/>
    <w:rsid w:val="004F6874"/>
    <w:rsid w:val="004F7922"/>
    <w:rsid w:val="004F7A1F"/>
    <w:rsid w:val="004F7B47"/>
    <w:rsid w:val="0050079C"/>
    <w:rsid w:val="0050106A"/>
    <w:rsid w:val="005010BC"/>
    <w:rsid w:val="00501848"/>
    <w:rsid w:val="00502211"/>
    <w:rsid w:val="00502B31"/>
    <w:rsid w:val="0050434C"/>
    <w:rsid w:val="0050537D"/>
    <w:rsid w:val="00505861"/>
    <w:rsid w:val="0050591C"/>
    <w:rsid w:val="005059BD"/>
    <w:rsid w:val="005060AE"/>
    <w:rsid w:val="00506964"/>
    <w:rsid w:val="0050790B"/>
    <w:rsid w:val="00507FDF"/>
    <w:rsid w:val="00510228"/>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6EB7"/>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9DD"/>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3FBB"/>
    <w:rsid w:val="00574E7B"/>
    <w:rsid w:val="00574F36"/>
    <w:rsid w:val="00576B5C"/>
    <w:rsid w:val="005770CC"/>
    <w:rsid w:val="005802F9"/>
    <w:rsid w:val="005806D5"/>
    <w:rsid w:val="00580DFC"/>
    <w:rsid w:val="0058134C"/>
    <w:rsid w:val="005815CD"/>
    <w:rsid w:val="005827A7"/>
    <w:rsid w:val="00583B76"/>
    <w:rsid w:val="00583D43"/>
    <w:rsid w:val="00584443"/>
    <w:rsid w:val="005846C3"/>
    <w:rsid w:val="00584F04"/>
    <w:rsid w:val="0058544C"/>
    <w:rsid w:val="00585623"/>
    <w:rsid w:val="005857F7"/>
    <w:rsid w:val="005865E9"/>
    <w:rsid w:val="005868FD"/>
    <w:rsid w:val="005875BF"/>
    <w:rsid w:val="0058769F"/>
    <w:rsid w:val="00587D7B"/>
    <w:rsid w:val="005904DB"/>
    <w:rsid w:val="005905ED"/>
    <w:rsid w:val="00590D11"/>
    <w:rsid w:val="00591BA6"/>
    <w:rsid w:val="00592825"/>
    <w:rsid w:val="00593746"/>
    <w:rsid w:val="00594437"/>
    <w:rsid w:val="00594B70"/>
    <w:rsid w:val="00594DCA"/>
    <w:rsid w:val="00596CFA"/>
    <w:rsid w:val="00596EC6"/>
    <w:rsid w:val="005975CE"/>
    <w:rsid w:val="005A0088"/>
    <w:rsid w:val="005A04F6"/>
    <w:rsid w:val="005A1039"/>
    <w:rsid w:val="005A14F0"/>
    <w:rsid w:val="005A1861"/>
    <w:rsid w:val="005A1A31"/>
    <w:rsid w:val="005A361D"/>
    <w:rsid w:val="005A36C2"/>
    <w:rsid w:val="005A3719"/>
    <w:rsid w:val="005A3DD7"/>
    <w:rsid w:val="005A40FA"/>
    <w:rsid w:val="005A4C20"/>
    <w:rsid w:val="005A4F48"/>
    <w:rsid w:val="005A54F1"/>
    <w:rsid w:val="005A57B8"/>
    <w:rsid w:val="005A5C41"/>
    <w:rsid w:val="005A5DDE"/>
    <w:rsid w:val="005A64A8"/>
    <w:rsid w:val="005A65C5"/>
    <w:rsid w:val="005A6875"/>
    <w:rsid w:val="005A7016"/>
    <w:rsid w:val="005A7384"/>
    <w:rsid w:val="005A7703"/>
    <w:rsid w:val="005A7986"/>
    <w:rsid w:val="005A7A32"/>
    <w:rsid w:val="005A7F85"/>
    <w:rsid w:val="005B00DD"/>
    <w:rsid w:val="005B01C0"/>
    <w:rsid w:val="005B03B1"/>
    <w:rsid w:val="005B07D5"/>
    <w:rsid w:val="005B1A8A"/>
    <w:rsid w:val="005B1AAB"/>
    <w:rsid w:val="005B2578"/>
    <w:rsid w:val="005B2930"/>
    <w:rsid w:val="005B2B87"/>
    <w:rsid w:val="005B2FAA"/>
    <w:rsid w:val="005B33C8"/>
    <w:rsid w:val="005B387B"/>
    <w:rsid w:val="005B3B01"/>
    <w:rsid w:val="005B4333"/>
    <w:rsid w:val="005B48BE"/>
    <w:rsid w:val="005B4CD7"/>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2E6B"/>
    <w:rsid w:val="005C3344"/>
    <w:rsid w:val="005C4E4D"/>
    <w:rsid w:val="005C58F2"/>
    <w:rsid w:val="005C5A97"/>
    <w:rsid w:val="005C5ABE"/>
    <w:rsid w:val="005C5F77"/>
    <w:rsid w:val="005C6AAB"/>
    <w:rsid w:val="005C6D5D"/>
    <w:rsid w:val="005C6FD0"/>
    <w:rsid w:val="005C7F10"/>
    <w:rsid w:val="005D01C3"/>
    <w:rsid w:val="005D05FF"/>
    <w:rsid w:val="005D0879"/>
    <w:rsid w:val="005D0FB4"/>
    <w:rsid w:val="005D1176"/>
    <w:rsid w:val="005D1747"/>
    <w:rsid w:val="005D266D"/>
    <w:rsid w:val="005D306D"/>
    <w:rsid w:val="005D3327"/>
    <w:rsid w:val="005D4854"/>
    <w:rsid w:val="005D56F9"/>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5A9"/>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07D6C"/>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3FE0"/>
    <w:rsid w:val="00625008"/>
    <w:rsid w:val="006250F6"/>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140"/>
    <w:rsid w:val="00636AC1"/>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0F56"/>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57E4F"/>
    <w:rsid w:val="006600BF"/>
    <w:rsid w:val="00660AF7"/>
    <w:rsid w:val="00660D3E"/>
    <w:rsid w:val="0066165E"/>
    <w:rsid w:val="00661691"/>
    <w:rsid w:val="00662D3D"/>
    <w:rsid w:val="00662F1F"/>
    <w:rsid w:val="00663D15"/>
    <w:rsid w:val="00665030"/>
    <w:rsid w:val="00665670"/>
    <w:rsid w:val="006659EA"/>
    <w:rsid w:val="006661E8"/>
    <w:rsid w:val="00666424"/>
    <w:rsid w:val="0066676C"/>
    <w:rsid w:val="0066727C"/>
    <w:rsid w:val="006673B9"/>
    <w:rsid w:val="0066781E"/>
    <w:rsid w:val="0066790C"/>
    <w:rsid w:val="00667FF0"/>
    <w:rsid w:val="00670C7C"/>
    <w:rsid w:val="00671480"/>
    <w:rsid w:val="006717E7"/>
    <w:rsid w:val="00671FD5"/>
    <w:rsid w:val="006720BC"/>
    <w:rsid w:val="00672906"/>
    <w:rsid w:val="00672C73"/>
    <w:rsid w:val="00673B64"/>
    <w:rsid w:val="006746F6"/>
    <w:rsid w:val="00674E95"/>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371"/>
    <w:rsid w:val="00683DAD"/>
    <w:rsid w:val="00683F81"/>
    <w:rsid w:val="00684592"/>
    <w:rsid w:val="00684963"/>
    <w:rsid w:val="00685033"/>
    <w:rsid w:val="0068517F"/>
    <w:rsid w:val="00685D65"/>
    <w:rsid w:val="00685FC8"/>
    <w:rsid w:val="00686E80"/>
    <w:rsid w:val="0068790B"/>
    <w:rsid w:val="00687AF2"/>
    <w:rsid w:val="00687CB4"/>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EEE"/>
    <w:rsid w:val="006A5F7E"/>
    <w:rsid w:val="006A6786"/>
    <w:rsid w:val="006A7C29"/>
    <w:rsid w:val="006B0580"/>
    <w:rsid w:val="006B09CC"/>
    <w:rsid w:val="006B0C76"/>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BDA"/>
    <w:rsid w:val="006C4D02"/>
    <w:rsid w:val="006C53A4"/>
    <w:rsid w:val="006C54DF"/>
    <w:rsid w:val="006C5D5D"/>
    <w:rsid w:val="006C627E"/>
    <w:rsid w:val="006C6303"/>
    <w:rsid w:val="006C6A51"/>
    <w:rsid w:val="006C6EBD"/>
    <w:rsid w:val="006C79D5"/>
    <w:rsid w:val="006C7E04"/>
    <w:rsid w:val="006C7F79"/>
    <w:rsid w:val="006D0004"/>
    <w:rsid w:val="006D015F"/>
    <w:rsid w:val="006D060E"/>
    <w:rsid w:val="006D0681"/>
    <w:rsid w:val="006D0A80"/>
    <w:rsid w:val="006D0AE8"/>
    <w:rsid w:val="006D135C"/>
    <w:rsid w:val="006D2696"/>
    <w:rsid w:val="006D2F72"/>
    <w:rsid w:val="006D43C1"/>
    <w:rsid w:val="006D5442"/>
    <w:rsid w:val="006D6E4E"/>
    <w:rsid w:val="006D7392"/>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CB7"/>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84F"/>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4FE2"/>
    <w:rsid w:val="007154D8"/>
    <w:rsid w:val="00715577"/>
    <w:rsid w:val="0071604D"/>
    <w:rsid w:val="007160F1"/>
    <w:rsid w:val="00716C67"/>
    <w:rsid w:val="007170AB"/>
    <w:rsid w:val="007172AD"/>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6944"/>
    <w:rsid w:val="0073707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2D9"/>
    <w:rsid w:val="00753938"/>
    <w:rsid w:val="00753A57"/>
    <w:rsid w:val="007543CE"/>
    <w:rsid w:val="0075497E"/>
    <w:rsid w:val="00754A29"/>
    <w:rsid w:val="00755B6F"/>
    <w:rsid w:val="00755BCF"/>
    <w:rsid w:val="00756C5F"/>
    <w:rsid w:val="00756D0A"/>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2BD2"/>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A84"/>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C83"/>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05C"/>
    <w:rsid w:val="007A436D"/>
    <w:rsid w:val="007A54F6"/>
    <w:rsid w:val="007A55FE"/>
    <w:rsid w:val="007A582C"/>
    <w:rsid w:val="007A5950"/>
    <w:rsid w:val="007A6D91"/>
    <w:rsid w:val="007A7618"/>
    <w:rsid w:val="007A7FD2"/>
    <w:rsid w:val="007B00C9"/>
    <w:rsid w:val="007B02C7"/>
    <w:rsid w:val="007B0306"/>
    <w:rsid w:val="007B06E3"/>
    <w:rsid w:val="007B08E4"/>
    <w:rsid w:val="007B0D86"/>
    <w:rsid w:val="007B28C3"/>
    <w:rsid w:val="007B3A8E"/>
    <w:rsid w:val="007B3C9B"/>
    <w:rsid w:val="007B4271"/>
    <w:rsid w:val="007B47D6"/>
    <w:rsid w:val="007B48FB"/>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B8F"/>
    <w:rsid w:val="007C2D47"/>
    <w:rsid w:val="007C3590"/>
    <w:rsid w:val="007C387A"/>
    <w:rsid w:val="007C3A0D"/>
    <w:rsid w:val="007C3E59"/>
    <w:rsid w:val="007C3EB0"/>
    <w:rsid w:val="007C43D6"/>
    <w:rsid w:val="007C47FF"/>
    <w:rsid w:val="007C60A8"/>
    <w:rsid w:val="007C660F"/>
    <w:rsid w:val="007C6626"/>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354A"/>
    <w:rsid w:val="007E41A4"/>
    <w:rsid w:val="007E43E3"/>
    <w:rsid w:val="007E54B8"/>
    <w:rsid w:val="007E5D12"/>
    <w:rsid w:val="007E6420"/>
    <w:rsid w:val="007E677F"/>
    <w:rsid w:val="007E6B25"/>
    <w:rsid w:val="007E6E06"/>
    <w:rsid w:val="007E6F4A"/>
    <w:rsid w:val="007E79CC"/>
    <w:rsid w:val="007F004B"/>
    <w:rsid w:val="007F1124"/>
    <w:rsid w:val="007F152D"/>
    <w:rsid w:val="007F20C4"/>
    <w:rsid w:val="007F20EE"/>
    <w:rsid w:val="007F23D8"/>
    <w:rsid w:val="007F307A"/>
    <w:rsid w:val="007F30C6"/>
    <w:rsid w:val="007F336F"/>
    <w:rsid w:val="007F38FD"/>
    <w:rsid w:val="007F3C18"/>
    <w:rsid w:val="007F4318"/>
    <w:rsid w:val="007F4709"/>
    <w:rsid w:val="007F4720"/>
    <w:rsid w:val="007F47DA"/>
    <w:rsid w:val="007F4E52"/>
    <w:rsid w:val="007F4F84"/>
    <w:rsid w:val="007F5382"/>
    <w:rsid w:val="007F55A4"/>
    <w:rsid w:val="007F5D28"/>
    <w:rsid w:val="007F6260"/>
    <w:rsid w:val="007F682B"/>
    <w:rsid w:val="007F77D1"/>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353"/>
    <w:rsid w:val="00817416"/>
    <w:rsid w:val="00817658"/>
    <w:rsid w:val="008206AE"/>
    <w:rsid w:val="00820C3E"/>
    <w:rsid w:val="00821271"/>
    <w:rsid w:val="00821306"/>
    <w:rsid w:val="008213D9"/>
    <w:rsid w:val="008216CE"/>
    <w:rsid w:val="008218AE"/>
    <w:rsid w:val="00821C0B"/>
    <w:rsid w:val="00821D85"/>
    <w:rsid w:val="00821E47"/>
    <w:rsid w:val="008220F6"/>
    <w:rsid w:val="00822456"/>
    <w:rsid w:val="00823819"/>
    <w:rsid w:val="00823C4B"/>
    <w:rsid w:val="0082427D"/>
    <w:rsid w:val="00825441"/>
    <w:rsid w:val="00826855"/>
    <w:rsid w:val="00826AB4"/>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6"/>
    <w:rsid w:val="008425CC"/>
    <w:rsid w:val="00842804"/>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194F"/>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289E"/>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2EBE"/>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7F"/>
    <w:rsid w:val="008C21D0"/>
    <w:rsid w:val="008C2DBC"/>
    <w:rsid w:val="008C3A4E"/>
    <w:rsid w:val="008C3EFD"/>
    <w:rsid w:val="008C5371"/>
    <w:rsid w:val="008C623D"/>
    <w:rsid w:val="008C65F4"/>
    <w:rsid w:val="008C6683"/>
    <w:rsid w:val="008C6E0C"/>
    <w:rsid w:val="008C7273"/>
    <w:rsid w:val="008C78F8"/>
    <w:rsid w:val="008C7FF7"/>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6D41"/>
    <w:rsid w:val="008E6EE3"/>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B38"/>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28B"/>
    <w:rsid w:val="0092077A"/>
    <w:rsid w:val="00920DC0"/>
    <w:rsid w:val="009219F3"/>
    <w:rsid w:val="009221CB"/>
    <w:rsid w:val="00922320"/>
    <w:rsid w:val="00923643"/>
    <w:rsid w:val="00923E1A"/>
    <w:rsid w:val="009245CC"/>
    <w:rsid w:val="0092490A"/>
    <w:rsid w:val="009249BC"/>
    <w:rsid w:val="00925A3E"/>
    <w:rsid w:val="009261DB"/>
    <w:rsid w:val="00926939"/>
    <w:rsid w:val="00926E1F"/>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785"/>
    <w:rsid w:val="00950805"/>
    <w:rsid w:val="009517E4"/>
    <w:rsid w:val="009518D4"/>
    <w:rsid w:val="009520BC"/>
    <w:rsid w:val="009521D2"/>
    <w:rsid w:val="00952403"/>
    <w:rsid w:val="00952581"/>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EC6"/>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0B5D"/>
    <w:rsid w:val="009810BE"/>
    <w:rsid w:val="009817BC"/>
    <w:rsid w:val="009819A7"/>
    <w:rsid w:val="00981D21"/>
    <w:rsid w:val="0098220A"/>
    <w:rsid w:val="00982E75"/>
    <w:rsid w:val="00983337"/>
    <w:rsid w:val="009836AA"/>
    <w:rsid w:val="009846BF"/>
    <w:rsid w:val="00984C2C"/>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0B32"/>
    <w:rsid w:val="009A113D"/>
    <w:rsid w:val="009A1ECA"/>
    <w:rsid w:val="009A2BE9"/>
    <w:rsid w:val="009A2BF3"/>
    <w:rsid w:val="009A3688"/>
    <w:rsid w:val="009A3713"/>
    <w:rsid w:val="009A3C3E"/>
    <w:rsid w:val="009A4153"/>
    <w:rsid w:val="009A49B7"/>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12B"/>
    <w:rsid w:val="009C574C"/>
    <w:rsid w:val="009C5753"/>
    <w:rsid w:val="009C5E42"/>
    <w:rsid w:val="009C620F"/>
    <w:rsid w:val="009C657D"/>
    <w:rsid w:val="009C724B"/>
    <w:rsid w:val="009C7266"/>
    <w:rsid w:val="009C748A"/>
    <w:rsid w:val="009C7B09"/>
    <w:rsid w:val="009D03B7"/>
    <w:rsid w:val="009D07AD"/>
    <w:rsid w:val="009D0824"/>
    <w:rsid w:val="009D1172"/>
    <w:rsid w:val="009D13CC"/>
    <w:rsid w:val="009D1654"/>
    <w:rsid w:val="009D1AAC"/>
    <w:rsid w:val="009D1BDB"/>
    <w:rsid w:val="009D298F"/>
    <w:rsid w:val="009D2F9C"/>
    <w:rsid w:val="009D4207"/>
    <w:rsid w:val="009D4C04"/>
    <w:rsid w:val="009D4E4A"/>
    <w:rsid w:val="009D5130"/>
    <w:rsid w:val="009D53D1"/>
    <w:rsid w:val="009D53FB"/>
    <w:rsid w:val="009D56A4"/>
    <w:rsid w:val="009D5887"/>
    <w:rsid w:val="009D6081"/>
    <w:rsid w:val="009D678C"/>
    <w:rsid w:val="009D6B9A"/>
    <w:rsid w:val="009D6D30"/>
    <w:rsid w:val="009D7523"/>
    <w:rsid w:val="009D76B5"/>
    <w:rsid w:val="009D7AF1"/>
    <w:rsid w:val="009D7BC7"/>
    <w:rsid w:val="009D7FAC"/>
    <w:rsid w:val="009E0109"/>
    <w:rsid w:val="009E0342"/>
    <w:rsid w:val="009E046C"/>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4F41"/>
    <w:rsid w:val="009F56C0"/>
    <w:rsid w:val="009F5C76"/>
    <w:rsid w:val="009F7468"/>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10C"/>
    <w:rsid w:val="00A254AB"/>
    <w:rsid w:val="00A259F2"/>
    <w:rsid w:val="00A266CC"/>
    <w:rsid w:val="00A26DB4"/>
    <w:rsid w:val="00A27425"/>
    <w:rsid w:val="00A2786B"/>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060"/>
    <w:rsid w:val="00A65EFB"/>
    <w:rsid w:val="00A66E28"/>
    <w:rsid w:val="00A67429"/>
    <w:rsid w:val="00A677E7"/>
    <w:rsid w:val="00A67CE9"/>
    <w:rsid w:val="00A67F6C"/>
    <w:rsid w:val="00A70590"/>
    <w:rsid w:val="00A7062E"/>
    <w:rsid w:val="00A70834"/>
    <w:rsid w:val="00A71542"/>
    <w:rsid w:val="00A7171F"/>
    <w:rsid w:val="00A71FA0"/>
    <w:rsid w:val="00A71FBD"/>
    <w:rsid w:val="00A72727"/>
    <w:rsid w:val="00A727D8"/>
    <w:rsid w:val="00A72C1A"/>
    <w:rsid w:val="00A732FB"/>
    <w:rsid w:val="00A7463E"/>
    <w:rsid w:val="00A75185"/>
    <w:rsid w:val="00A75889"/>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6D57"/>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26CB"/>
    <w:rsid w:val="00AB33FA"/>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453"/>
    <w:rsid w:val="00AD6A5B"/>
    <w:rsid w:val="00AD6B4F"/>
    <w:rsid w:val="00AD6D19"/>
    <w:rsid w:val="00AD7812"/>
    <w:rsid w:val="00AD7C42"/>
    <w:rsid w:val="00AD7CFA"/>
    <w:rsid w:val="00AE05B6"/>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EFC"/>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3437"/>
    <w:rsid w:val="00B241D5"/>
    <w:rsid w:val="00B24BE9"/>
    <w:rsid w:val="00B2547E"/>
    <w:rsid w:val="00B2551D"/>
    <w:rsid w:val="00B25F8C"/>
    <w:rsid w:val="00B260BE"/>
    <w:rsid w:val="00B26677"/>
    <w:rsid w:val="00B26A96"/>
    <w:rsid w:val="00B26C61"/>
    <w:rsid w:val="00B26F5E"/>
    <w:rsid w:val="00B274E3"/>
    <w:rsid w:val="00B2765C"/>
    <w:rsid w:val="00B27C4B"/>
    <w:rsid w:val="00B30563"/>
    <w:rsid w:val="00B3069E"/>
    <w:rsid w:val="00B30A76"/>
    <w:rsid w:val="00B31246"/>
    <w:rsid w:val="00B320A7"/>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039"/>
    <w:rsid w:val="00B51520"/>
    <w:rsid w:val="00B515C3"/>
    <w:rsid w:val="00B517C2"/>
    <w:rsid w:val="00B518CE"/>
    <w:rsid w:val="00B51F56"/>
    <w:rsid w:val="00B52134"/>
    <w:rsid w:val="00B52234"/>
    <w:rsid w:val="00B53623"/>
    <w:rsid w:val="00B53D1D"/>
    <w:rsid w:val="00B53E98"/>
    <w:rsid w:val="00B53F9B"/>
    <w:rsid w:val="00B54B19"/>
    <w:rsid w:val="00B54E2D"/>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0A35"/>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764"/>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1E50"/>
    <w:rsid w:val="00C332D4"/>
    <w:rsid w:val="00C33A66"/>
    <w:rsid w:val="00C33AB2"/>
    <w:rsid w:val="00C33E51"/>
    <w:rsid w:val="00C34C45"/>
    <w:rsid w:val="00C34C47"/>
    <w:rsid w:val="00C34FCE"/>
    <w:rsid w:val="00C35411"/>
    <w:rsid w:val="00C35EED"/>
    <w:rsid w:val="00C36B2C"/>
    <w:rsid w:val="00C3701A"/>
    <w:rsid w:val="00C3784D"/>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7D6"/>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009"/>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6F31"/>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1E8D"/>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3617"/>
    <w:rsid w:val="00CC4701"/>
    <w:rsid w:val="00CC56B4"/>
    <w:rsid w:val="00CC5F95"/>
    <w:rsid w:val="00CC642A"/>
    <w:rsid w:val="00CC6AC7"/>
    <w:rsid w:val="00CC733D"/>
    <w:rsid w:val="00CC7617"/>
    <w:rsid w:val="00CC7E0D"/>
    <w:rsid w:val="00CC7E97"/>
    <w:rsid w:val="00CD00EB"/>
    <w:rsid w:val="00CD1255"/>
    <w:rsid w:val="00CD1358"/>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7A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3DD"/>
    <w:rsid w:val="00D377D4"/>
    <w:rsid w:val="00D401A1"/>
    <w:rsid w:val="00D40217"/>
    <w:rsid w:val="00D40385"/>
    <w:rsid w:val="00D404CE"/>
    <w:rsid w:val="00D40E8F"/>
    <w:rsid w:val="00D412BF"/>
    <w:rsid w:val="00D417C6"/>
    <w:rsid w:val="00D417D0"/>
    <w:rsid w:val="00D42B0C"/>
    <w:rsid w:val="00D42D6E"/>
    <w:rsid w:val="00D43DEF"/>
    <w:rsid w:val="00D44259"/>
    <w:rsid w:val="00D443F6"/>
    <w:rsid w:val="00D45C61"/>
    <w:rsid w:val="00D45DDC"/>
    <w:rsid w:val="00D5064C"/>
    <w:rsid w:val="00D50C94"/>
    <w:rsid w:val="00D511E7"/>
    <w:rsid w:val="00D517ED"/>
    <w:rsid w:val="00D5251C"/>
    <w:rsid w:val="00D52F56"/>
    <w:rsid w:val="00D539DA"/>
    <w:rsid w:val="00D54A50"/>
    <w:rsid w:val="00D54FFD"/>
    <w:rsid w:val="00D5552C"/>
    <w:rsid w:val="00D5556D"/>
    <w:rsid w:val="00D55BEE"/>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3FA9"/>
    <w:rsid w:val="00D64F1C"/>
    <w:rsid w:val="00D6570C"/>
    <w:rsid w:val="00D659EA"/>
    <w:rsid w:val="00D65A89"/>
    <w:rsid w:val="00D65C45"/>
    <w:rsid w:val="00D65E85"/>
    <w:rsid w:val="00D6611C"/>
    <w:rsid w:val="00D671C7"/>
    <w:rsid w:val="00D675B0"/>
    <w:rsid w:val="00D675DE"/>
    <w:rsid w:val="00D678BB"/>
    <w:rsid w:val="00D67D81"/>
    <w:rsid w:val="00D70170"/>
    <w:rsid w:val="00D702E8"/>
    <w:rsid w:val="00D70552"/>
    <w:rsid w:val="00D70D42"/>
    <w:rsid w:val="00D71285"/>
    <w:rsid w:val="00D712F5"/>
    <w:rsid w:val="00D71ABC"/>
    <w:rsid w:val="00D71D50"/>
    <w:rsid w:val="00D721C5"/>
    <w:rsid w:val="00D72454"/>
    <w:rsid w:val="00D72691"/>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6935"/>
    <w:rsid w:val="00D774F4"/>
    <w:rsid w:val="00D77687"/>
    <w:rsid w:val="00D77AF6"/>
    <w:rsid w:val="00D804C5"/>
    <w:rsid w:val="00D815E6"/>
    <w:rsid w:val="00D81A28"/>
    <w:rsid w:val="00D81BDE"/>
    <w:rsid w:val="00D8201D"/>
    <w:rsid w:val="00D82B00"/>
    <w:rsid w:val="00D82B04"/>
    <w:rsid w:val="00D82BE4"/>
    <w:rsid w:val="00D82E05"/>
    <w:rsid w:val="00D83489"/>
    <w:rsid w:val="00D83C0D"/>
    <w:rsid w:val="00D83C80"/>
    <w:rsid w:val="00D83F5B"/>
    <w:rsid w:val="00D849A8"/>
    <w:rsid w:val="00D85FDE"/>
    <w:rsid w:val="00D8665E"/>
    <w:rsid w:val="00D869C1"/>
    <w:rsid w:val="00D86EC6"/>
    <w:rsid w:val="00D87418"/>
    <w:rsid w:val="00D87A39"/>
    <w:rsid w:val="00D87AB4"/>
    <w:rsid w:val="00D87CF8"/>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6FD5"/>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0E9"/>
    <w:rsid w:val="00DF3798"/>
    <w:rsid w:val="00DF4C81"/>
    <w:rsid w:val="00DF4FF1"/>
    <w:rsid w:val="00DF56A3"/>
    <w:rsid w:val="00DF5B33"/>
    <w:rsid w:val="00DF6FD2"/>
    <w:rsid w:val="00DF72EF"/>
    <w:rsid w:val="00DF743D"/>
    <w:rsid w:val="00DF7724"/>
    <w:rsid w:val="00DF7AFB"/>
    <w:rsid w:val="00DF7B7A"/>
    <w:rsid w:val="00E000D8"/>
    <w:rsid w:val="00E00C1E"/>
    <w:rsid w:val="00E00F5F"/>
    <w:rsid w:val="00E010E6"/>
    <w:rsid w:val="00E01377"/>
    <w:rsid w:val="00E014E7"/>
    <w:rsid w:val="00E017DE"/>
    <w:rsid w:val="00E0232F"/>
    <w:rsid w:val="00E026A9"/>
    <w:rsid w:val="00E0356F"/>
    <w:rsid w:val="00E03B42"/>
    <w:rsid w:val="00E03C10"/>
    <w:rsid w:val="00E040B0"/>
    <w:rsid w:val="00E0479F"/>
    <w:rsid w:val="00E04816"/>
    <w:rsid w:val="00E04982"/>
    <w:rsid w:val="00E04D6A"/>
    <w:rsid w:val="00E058DB"/>
    <w:rsid w:val="00E05950"/>
    <w:rsid w:val="00E05CD4"/>
    <w:rsid w:val="00E05DE8"/>
    <w:rsid w:val="00E06100"/>
    <w:rsid w:val="00E0614E"/>
    <w:rsid w:val="00E06B45"/>
    <w:rsid w:val="00E06E97"/>
    <w:rsid w:val="00E0768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BDE"/>
    <w:rsid w:val="00E26D2E"/>
    <w:rsid w:val="00E279B2"/>
    <w:rsid w:val="00E303C0"/>
    <w:rsid w:val="00E3055B"/>
    <w:rsid w:val="00E30D47"/>
    <w:rsid w:val="00E313F7"/>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0E4B"/>
    <w:rsid w:val="00E510CF"/>
    <w:rsid w:val="00E510D8"/>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19E"/>
    <w:rsid w:val="00E6185F"/>
    <w:rsid w:val="00E61D32"/>
    <w:rsid w:val="00E627F3"/>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4F9C"/>
    <w:rsid w:val="00E75667"/>
    <w:rsid w:val="00E756D3"/>
    <w:rsid w:val="00E75A5A"/>
    <w:rsid w:val="00E75D2C"/>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3F66"/>
    <w:rsid w:val="00E84212"/>
    <w:rsid w:val="00E84C04"/>
    <w:rsid w:val="00E84F72"/>
    <w:rsid w:val="00E856A2"/>
    <w:rsid w:val="00E8572B"/>
    <w:rsid w:val="00E8575B"/>
    <w:rsid w:val="00E85929"/>
    <w:rsid w:val="00E85AD2"/>
    <w:rsid w:val="00E86471"/>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5B3"/>
    <w:rsid w:val="00ED5981"/>
    <w:rsid w:val="00ED613A"/>
    <w:rsid w:val="00ED6514"/>
    <w:rsid w:val="00ED66B2"/>
    <w:rsid w:val="00ED71BA"/>
    <w:rsid w:val="00ED728F"/>
    <w:rsid w:val="00ED73A1"/>
    <w:rsid w:val="00ED7CA2"/>
    <w:rsid w:val="00EE04F9"/>
    <w:rsid w:val="00EE05E0"/>
    <w:rsid w:val="00EE0FF6"/>
    <w:rsid w:val="00EE13DA"/>
    <w:rsid w:val="00EE13EF"/>
    <w:rsid w:val="00EE1595"/>
    <w:rsid w:val="00EE1E71"/>
    <w:rsid w:val="00EE2087"/>
    <w:rsid w:val="00EE20C2"/>
    <w:rsid w:val="00EE2A9D"/>
    <w:rsid w:val="00EE3384"/>
    <w:rsid w:val="00EE499F"/>
    <w:rsid w:val="00EE56E2"/>
    <w:rsid w:val="00EE5FCD"/>
    <w:rsid w:val="00EE6296"/>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5FE"/>
    <w:rsid w:val="00F17C3E"/>
    <w:rsid w:val="00F20197"/>
    <w:rsid w:val="00F20369"/>
    <w:rsid w:val="00F20607"/>
    <w:rsid w:val="00F208BB"/>
    <w:rsid w:val="00F20C9E"/>
    <w:rsid w:val="00F20E2D"/>
    <w:rsid w:val="00F213D8"/>
    <w:rsid w:val="00F21A5D"/>
    <w:rsid w:val="00F21C13"/>
    <w:rsid w:val="00F22362"/>
    <w:rsid w:val="00F22796"/>
    <w:rsid w:val="00F2296A"/>
    <w:rsid w:val="00F22D87"/>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D1A"/>
    <w:rsid w:val="00F27E44"/>
    <w:rsid w:val="00F30313"/>
    <w:rsid w:val="00F303BC"/>
    <w:rsid w:val="00F30472"/>
    <w:rsid w:val="00F31052"/>
    <w:rsid w:val="00F318A1"/>
    <w:rsid w:val="00F31CF5"/>
    <w:rsid w:val="00F31DBE"/>
    <w:rsid w:val="00F3265C"/>
    <w:rsid w:val="00F32C4A"/>
    <w:rsid w:val="00F3306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07B2"/>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631"/>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8EE"/>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50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710"/>
    <w:rsid w:val="00FB0D60"/>
    <w:rsid w:val="00FB18FD"/>
    <w:rsid w:val="00FB2BF5"/>
    <w:rsid w:val="00FB2F8E"/>
    <w:rsid w:val="00FB30C3"/>
    <w:rsid w:val="00FB3328"/>
    <w:rsid w:val="00FB39B0"/>
    <w:rsid w:val="00FB5138"/>
    <w:rsid w:val="00FB547F"/>
    <w:rsid w:val="00FB5A71"/>
    <w:rsid w:val="00FB63F6"/>
    <w:rsid w:val="00FB7823"/>
    <w:rsid w:val="00FC05B2"/>
    <w:rsid w:val="00FC08B3"/>
    <w:rsid w:val="00FC09D7"/>
    <w:rsid w:val="00FC0ABE"/>
    <w:rsid w:val="00FC1269"/>
    <w:rsid w:val="00FC22D0"/>
    <w:rsid w:val="00FC25C2"/>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6EA"/>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B5C7E"/>
    <w:rsid w:val="011F6449"/>
    <w:rsid w:val="01236AFB"/>
    <w:rsid w:val="013174AD"/>
    <w:rsid w:val="019F7441"/>
    <w:rsid w:val="01B37585"/>
    <w:rsid w:val="01D55165"/>
    <w:rsid w:val="01DF6BF8"/>
    <w:rsid w:val="01EC2C57"/>
    <w:rsid w:val="025F0711"/>
    <w:rsid w:val="026B2E25"/>
    <w:rsid w:val="02824D4D"/>
    <w:rsid w:val="02DC4B10"/>
    <w:rsid w:val="02DD76CE"/>
    <w:rsid w:val="02F36323"/>
    <w:rsid w:val="02F5619C"/>
    <w:rsid w:val="03015719"/>
    <w:rsid w:val="0326446A"/>
    <w:rsid w:val="032D29B2"/>
    <w:rsid w:val="032D5555"/>
    <w:rsid w:val="036634D2"/>
    <w:rsid w:val="03DD35E4"/>
    <w:rsid w:val="03F77BB5"/>
    <w:rsid w:val="04076900"/>
    <w:rsid w:val="041A5A3B"/>
    <w:rsid w:val="042311BA"/>
    <w:rsid w:val="042B157A"/>
    <w:rsid w:val="045B2F8A"/>
    <w:rsid w:val="04655BC3"/>
    <w:rsid w:val="048F763B"/>
    <w:rsid w:val="049F330E"/>
    <w:rsid w:val="04AA775C"/>
    <w:rsid w:val="04AF1889"/>
    <w:rsid w:val="04F66F48"/>
    <w:rsid w:val="05251E14"/>
    <w:rsid w:val="05A16594"/>
    <w:rsid w:val="05A7762D"/>
    <w:rsid w:val="060E2E9D"/>
    <w:rsid w:val="060E5941"/>
    <w:rsid w:val="06110FAF"/>
    <w:rsid w:val="06493CA7"/>
    <w:rsid w:val="065A6178"/>
    <w:rsid w:val="066F1CF3"/>
    <w:rsid w:val="06930BB8"/>
    <w:rsid w:val="06C831BB"/>
    <w:rsid w:val="07245D42"/>
    <w:rsid w:val="07264C62"/>
    <w:rsid w:val="0779354C"/>
    <w:rsid w:val="07A40D63"/>
    <w:rsid w:val="07E37F3A"/>
    <w:rsid w:val="08061376"/>
    <w:rsid w:val="08452D77"/>
    <w:rsid w:val="086401F8"/>
    <w:rsid w:val="08751CAA"/>
    <w:rsid w:val="087E4C40"/>
    <w:rsid w:val="08A871D0"/>
    <w:rsid w:val="08C77EDE"/>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455845"/>
    <w:rsid w:val="0A462F8F"/>
    <w:rsid w:val="0A5B7E63"/>
    <w:rsid w:val="0AA374A5"/>
    <w:rsid w:val="0AAB7649"/>
    <w:rsid w:val="0ABC5606"/>
    <w:rsid w:val="0B30404E"/>
    <w:rsid w:val="0B4C6C14"/>
    <w:rsid w:val="0B547599"/>
    <w:rsid w:val="0B631A88"/>
    <w:rsid w:val="0B683D45"/>
    <w:rsid w:val="0B7F3F11"/>
    <w:rsid w:val="0B884417"/>
    <w:rsid w:val="0BEE69CD"/>
    <w:rsid w:val="0BF6188C"/>
    <w:rsid w:val="0BF73C91"/>
    <w:rsid w:val="0C170175"/>
    <w:rsid w:val="0C205502"/>
    <w:rsid w:val="0C571A41"/>
    <w:rsid w:val="0C5C1171"/>
    <w:rsid w:val="0C5E1CBC"/>
    <w:rsid w:val="0C615B50"/>
    <w:rsid w:val="0C654F6B"/>
    <w:rsid w:val="0C8445DA"/>
    <w:rsid w:val="0C87121B"/>
    <w:rsid w:val="0C9B273A"/>
    <w:rsid w:val="0CC007F7"/>
    <w:rsid w:val="0CC617AC"/>
    <w:rsid w:val="0CD01471"/>
    <w:rsid w:val="0CE618DF"/>
    <w:rsid w:val="0CFE707A"/>
    <w:rsid w:val="0D063BDA"/>
    <w:rsid w:val="0D08375F"/>
    <w:rsid w:val="0D184CFB"/>
    <w:rsid w:val="0D4A7419"/>
    <w:rsid w:val="0D50643D"/>
    <w:rsid w:val="0D827401"/>
    <w:rsid w:val="0D84094E"/>
    <w:rsid w:val="0D8A00E9"/>
    <w:rsid w:val="0D8D589E"/>
    <w:rsid w:val="0DA01C73"/>
    <w:rsid w:val="0DD63300"/>
    <w:rsid w:val="0DF50604"/>
    <w:rsid w:val="0DF702FE"/>
    <w:rsid w:val="0E060E51"/>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0FCE5613"/>
    <w:rsid w:val="1014226A"/>
    <w:rsid w:val="10305890"/>
    <w:rsid w:val="10646583"/>
    <w:rsid w:val="107D4B15"/>
    <w:rsid w:val="108A3C80"/>
    <w:rsid w:val="10C26171"/>
    <w:rsid w:val="10F33360"/>
    <w:rsid w:val="10FC16EA"/>
    <w:rsid w:val="110F1D40"/>
    <w:rsid w:val="11266F33"/>
    <w:rsid w:val="118963A1"/>
    <w:rsid w:val="11C6522A"/>
    <w:rsid w:val="11CD7554"/>
    <w:rsid w:val="11E104CC"/>
    <w:rsid w:val="11E20309"/>
    <w:rsid w:val="12255233"/>
    <w:rsid w:val="12530213"/>
    <w:rsid w:val="127723A9"/>
    <w:rsid w:val="12862074"/>
    <w:rsid w:val="12883966"/>
    <w:rsid w:val="129E45B4"/>
    <w:rsid w:val="12D81596"/>
    <w:rsid w:val="13072A44"/>
    <w:rsid w:val="135F4BE2"/>
    <w:rsid w:val="137C647B"/>
    <w:rsid w:val="139B1A0A"/>
    <w:rsid w:val="139D25C7"/>
    <w:rsid w:val="13BF3CE4"/>
    <w:rsid w:val="141008D8"/>
    <w:rsid w:val="14125FE6"/>
    <w:rsid w:val="146D271E"/>
    <w:rsid w:val="1487340B"/>
    <w:rsid w:val="14982588"/>
    <w:rsid w:val="149A5AD9"/>
    <w:rsid w:val="14A7619D"/>
    <w:rsid w:val="14EA0E8A"/>
    <w:rsid w:val="150536C3"/>
    <w:rsid w:val="150C1963"/>
    <w:rsid w:val="151447A0"/>
    <w:rsid w:val="154A6454"/>
    <w:rsid w:val="15762120"/>
    <w:rsid w:val="16A8729C"/>
    <w:rsid w:val="16B33777"/>
    <w:rsid w:val="16BC70A7"/>
    <w:rsid w:val="16C6339E"/>
    <w:rsid w:val="172F2D79"/>
    <w:rsid w:val="17557BEF"/>
    <w:rsid w:val="178426F3"/>
    <w:rsid w:val="17D1049D"/>
    <w:rsid w:val="17D349C1"/>
    <w:rsid w:val="18244F26"/>
    <w:rsid w:val="1830729E"/>
    <w:rsid w:val="1870062C"/>
    <w:rsid w:val="18817102"/>
    <w:rsid w:val="18830A15"/>
    <w:rsid w:val="18852B28"/>
    <w:rsid w:val="188B5321"/>
    <w:rsid w:val="190B55B3"/>
    <w:rsid w:val="19932372"/>
    <w:rsid w:val="19A20DD5"/>
    <w:rsid w:val="19AE03F1"/>
    <w:rsid w:val="1A06310B"/>
    <w:rsid w:val="1A071A03"/>
    <w:rsid w:val="1A1F16AE"/>
    <w:rsid w:val="1A3B5C77"/>
    <w:rsid w:val="1A984BAD"/>
    <w:rsid w:val="1AB8220E"/>
    <w:rsid w:val="1AE4166C"/>
    <w:rsid w:val="1AF06CFB"/>
    <w:rsid w:val="1AF11B8D"/>
    <w:rsid w:val="1B11359C"/>
    <w:rsid w:val="1B2A271F"/>
    <w:rsid w:val="1B530544"/>
    <w:rsid w:val="1B713184"/>
    <w:rsid w:val="1BA209CF"/>
    <w:rsid w:val="1BB4777D"/>
    <w:rsid w:val="1BD75AB8"/>
    <w:rsid w:val="1C0459C2"/>
    <w:rsid w:val="1C1B3B4A"/>
    <w:rsid w:val="1C88086E"/>
    <w:rsid w:val="1D266CE1"/>
    <w:rsid w:val="1D3963AF"/>
    <w:rsid w:val="1D4A664D"/>
    <w:rsid w:val="1D6A673C"/>
    <w:rsid w:val="1D9247AE"/>
    <w:rsid w:val="1DB567EC"/>
    <w:rsid w:val="1DF51A98"/>
    <w:rsid w:val="1E051CD9"/>
    <w:rsid w:val="1E3D060F"/>
    <w:rsid w:val="1E3F7D2E"/>
    <w:rsid w:val="1E4134E4"/>
    <w:rsid w:val="1E5062B3"/>
    <w:rsid w:val="1E523514"/>
    <w:rsid w:val="1E714A66"/>
    <w:rsid w:val="1E802593"/>
    <w:rsid w:val="1E8B6156"/>
    <w:rsid w:val="1EA703CC"/>
    <w:rsid w:val="1EB7330C"/>
    <w:rsid w:val="1F0A0FF3"/>
    <w:rsid w:val="1F5771FF"/>
    <w:rsid w:val="1F744118"/>
    <w:rsid w:val="1FB87851"/>
    <w:rsid w:val="1FD52574"/>
    <w:rsid w:val="1FE868A9"/>
    <w:rsid w:val="20034907"/>
    <w:rsid w:val="20173E4B"/>
    <w:rsid w:val="20422C6E"/>
    <w:rsid w:val="20486E22"/>
    <w:rsid w:val="204E48BC"/>
    <w:rsid w:val="205D1405"/>
    <w:rsid w:val="206D21E8"/>
    <w:rsid w:val="208921B3"/>
    <w:rsid w:val="20973DEB"/>
    <w:rsid w:val="20B26522"/>
    <w:rsid w:val="20B44310"/>
    <w:rsid w:val="211116EB"/>
    <w:rsid w:val="216133FC"/>
    <w:rsid w:val="21D56769"/>
    <w:rsid w:val="21E52EF3"/>
    <w:rsid w:val="21FB5D7B"/>
    <w:rsid w:val="22015E94"/>
    <w:rsid w:val="220B1C3D"/>
    <w:rsid w:val="221D1D20"/>
    <w:rsid w:val="22334A87"/>
    <w:rsid w:val="225B2CCF"/>
    <w:rsid w:val="22A50EDA"/>
    <w:rsid w:val="22BE6801"/>
    <w:rsid w:val="233500BF"/>
    <w:rsid w:val="23377FF7"/>
    <w:rsid w:val="236B425F"/>
    <w:rsid w:val="23836192"/>
    <w:rsid w:val="23901F29"/>
    <w:rsid w:val="239C0061"/>
    <w:rsid w:val="23B908A4"/>
    <w:rsid w:val="23E95BEF"/>
    <w:rsid w:val="23E96F21"/>
    <w:rsid w:val="23FD0064"/>
    <w:rsid w:val="245375B0"/>
    <w:rsid w:val="24642C0A"/>
    <w:rsid w:val="24970DA1"/>
    <w:rsid w:val="24A959F1"/>
    <w:rsid w:val="24B22173"/>
    <w:rsid w:val="24B95AD9"/>
    <w:rsid w:val="24BE24DA"/>
    <w:rsid w:val="24CF5825"/>
    <w:rsid w:val="24D663E6"/>
    <w:rsid w:val="24D77F2B"/>
    <w:rsid w:val="250749E2"/>
    <w:rsid w:val="256E68C3"/>
    <w:rsid w:val="2585779A"/>
    <w:rsid w:val="258B00E2"/>
    <w:rsid w:val="25A416A2"/>
    <w:rsid w:val="25A917A6"/>
    <w:rsid w:val="25BE27CC"/>
    <w:rsid w:val="25F74A5C"/>
    <w:rsid w:val="25F7710B"/>
    <w:rsid w:val="2628662C"/>
    <w:rsid w:val="262D45DE"/>
    <w:rsid w:val="26871DC8"/>
    <w:rsid w:val="26A53EF9"/>
    <w:rsid w:val="26A94201"/>
    <w:rsid w:val="26AC274F"/>
    <w:rsid w:val="26AE6CBB"/>
    <w:rsid w:val="27044A29"/>
    <w:rsid w:val="271D34C8"/>
    <w:rsid w:val="273F7692"/>
    <w:rsid w:val="276142BF"/>
    <w:rsid w:val="27783712"/>
    <w:rsid w:val="27907362"/>
    <w:rsid w:val="27C543F8"/>
    <w:rsid w:val="28333E1D"/>
    <w:rsid w:val="28454BD6"/>
    <w:rsid w:val="28455253"/>
    <w:rsid w:val="28551971"/>
    <w:rsid w:val="285B1C53"/>
    <w:rsid w:val="289F7086"/>
    <w:rsid w:val="28C32028"/>
    <w:rsid w:val="28CC490F"/>
    <w:rsid w:val="28DE40AA"/>
    <w:rsid w:val="28ED2341"/>
    <w:rsid w:val="29345E77"/>
    <w:rsid w:val="294C65AD"/>
    <w:rsid w:val="29806583"/>
    <w:rsid w:val="298B3C4C"/>
    <w:rsid w:val="29F26D24"/>
    <w:rsid w:val="2A15033F"/>
    <w:rsid w:val="2A1662C1"/>
    <w:rsid w:val="2A1C7367"/>
    <w:rsid w:val="2A2815FA"/>
    <w:rsid w:val="2A6D6092"/>
    <w:rsid w:val="2A7D76B4"/>
    <w:rsid w:val="2A823C72"/>
    <w:rsid w:val="2B09293F"/>
    <w:rsid w:val="2B437463"/>
    <w:rsid w:val="2B7807EE"/>
    <w:rsid w:val="2BA50BF7"/>
    <w:rsid w:val="2BBF00EC"/>
    <w:rsid w:val="2BC37CFD"/>
    <w:rsid w:val="2BD5237F"/>
    <w:rsid w:val="2BE536CE"/>
    <w:rsid w:val="2BE758D9"/>
    <w:rsid w:val="2BF346BB"/>
    <w:rsid w:val="2C09049E"/>
    <w:rsid w:val="2C0A653C"/>
    <w:rsid w:val="2C191F85"/>
    <w:rsid w:val="2CE82D6F"/>
    <w:rsid w:val="2D343236"/>
    <w:rsid w:val="2D575011"/>
    <w:rsid w:val="2D594220"/>
    <w:rsid w:val="2D7E5A35"/>
    <w:rsid w:val="2DD15014"/>
    <w:rsid w:val="2DF72DE4"/>
    <w:rsid w:val="2E0220AF"/>
    <w:rsid w:val="2E1D349F"/>
    <w:rsid w:val="2E4B082A"/>
    <w:rsid w:val="2E5D4E86"/>
    <w:rsid w:val="2E5D790B"/>
    <w:rsid w:val="2E9A3C18"/>
    <w:rsid w:val="2EBB0FEE"/>
    <w:rsid w:val="2EC63002"/>
    <w:rsid w:val="2F0A6B38"/>
    <w:rsid w:val="2F7572F8"/>
    <w:rsid w:val="2F946CCB"/>
    <w:rsid w:val="2F9E23BE"/>
    <w:rsid w:val="2FD25781"/>
    <w:rsid w:val="2FDC745C"/>
    <w:rsid w:val="2FFD7934"/>
    <w:rsid w:val="30733ACD"/>
    <w:rsid w:val="308C3862"/>
    <w:rsid w:val="309379D8"/>
    <w:rsid w:val="30A270F7"/>
    <w:rsid w:val="30DF1478"/>
    <w:rsid w:val="30E27861"/>
    <w:rsid w:val="30EC586F"/>
    <w:rsid w:val="319C6071"/>
    <w:rsid w:val="31AC537E"/>
    <w:rsid w:val="31D2634F"/>
    <w:rsid w:val="31E3679B"/>
    <w:rsid w:val="31E732FD"/>
    <w:rsid w:val="32174209"/>
    <w:rsid w:val="323A4E41"/>
    <w:rsid w:val="324B1ED4"/>
    <w:rsid w:val="32517576"/>
    <w:rsid w:val="32B23C2D"/>
    <w:rsid w:val="32BE5C2C"/>
    <w:rsid w:val="32CD7542"/>
    <w:rsid w:val="32FB6478"/>
    <w:rsid w:val="33263B3F"/>
    <w:rsid w:val="33410F21"/>
    <w:rsid w:val="336963EB"/>
    <w:rsid w:val="33816EEB"/>
    <w:rsid w:val="33BF67AD"/>
    <w:rsid w:val="33EB55CD"/>
    <w:rsid w:val="33EC4C02"/>
    <w:rsid w:val="340D2360"/>
    <w:rsid w:val="3410665D"/>
    <w:rsid w:val="34211214"/>
    <w:rsid w:val="342E63AB"/>
    <w:rsid w:val="34950E68"/>
    <w:rsid w:val="34986E94"/>
    <w:rsid w:val="34AF62C9"/>
    <w:rsid w:val="34CB4388"/>
    <w:rsid w:val="34FA6E12"/>
    <w:rsid w:val="354D7158"/>
    <w:rsid w:val="358D5588"/>
    <w:rsid w:val="35BD4385"/>
    <w:rsid w:val="363A3B40"/>
    <w:rsid w:val="365302AE"/>
    <w:rsid w:val="36607A0A"/>
    <w:rsid w:val="366E227C"/>
    <w:rsid w:val="366F2E0D"/>
    <w:rsid w:val="367B6A5C"/>
    <w:rsid w:val="36A74ADA"/>
    <w:rsid w:val="36AD60D5"/>
    <w:rsid w:val="36B224F9"/>
    <w:rsid w:val="36C11399"/>
    <w:rsid w:val="36EC0CC9"/>
    <w:rsid w:val="36F87C76"/>
    <w:rsid w:val="373F410B"/>
    <w:rsid w:val="37EE7094"/>
    <w:rsid w:val="38296C89"/>
    <w:rsid w:val="383002EB"/>
    <w:rsid w:val="38586797"/>
    <w:rsid w:val="3858786A"/>
    <w:rsid w:val="385D15DF"/>
    <w:rsid w:val="38BC0149"/>
    <w:rsid w:val="38D17360"/>
    <w:rsid w:val="38D87D1C"/>
    <w:rsid w:val="39484FA8"/>
    <w:rsid w:val="39636459"/>
    <w:rsid w:val="396B7F6C"/>
    <w:rsid w:val="39B417A9"/>
    <w:rsid w:val="39FC5695"/>
    <w:rsid w:val="3A006D8E"/>
    <w:rsid w:val="3A287454"/>
    <w:rsid w:val="3A3651E5"/>
    <w:rsid w:val="3A744481"/>
    <w:rsid w:val="3A8C7BEF"/>
    <w:rsid w:val="3A906246"/>
    <w:rsid w:val="3A9A3056"/>
    <w:rsid w:val="3ADA2DC9"/>
    <w:rsid w:val="3B2349B7"/>
    <w:rsid w:val="3B616CFF"/>
    <w:rsid w:val="3B6259F6"/>
    <w:rsid w:val="3B976654"/>
    <w:rsid w:val="3BC01EFC"/>
    <w:rsid w:val="3BCA786A"/>
    <w:rsid w:val="3BD31E2F"/>
    <w:rsid w:val="3BE42827"/>
    <w:rsid w:val="3BF15831"/>
    <w:rsid w:val="3C0F313B"/>
    <w:rsid w:val="3C105946"/>
    <w:rsid w:val="3C471448"/>
    <w:rsid w:val="3C5F759A"/>
    <w:rsid w:val="3C6C525A"/>
    <w:rsid w:val="3CCE23CB"/>
    <w:rsid w:val="3CD17D17"/>
    <w:rsid w:val="3D1476CB"/>
    <w:rsid w:val="3D204A49"/>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73CCD"/>
    <w:rsid w:val="3EAF4836"/>
    <w:rsid w:val="3EC33DFA"/>
    <w:rsid w:val="3F060E16"/>
    <w:rsid w:val="3F1D1096"/>
    <w:rsid w:val="3F2F0234"/>
    <w:rsid w:val="3F6363FE"/>
    <w:rsid w:val="3F756B8F"/>
    <w:rsid w:val="3F95482B"/>
    <w:rsid w:val="3FFD05B3"/>
    <w:rsid w:val="40045C0D"/>
    <w:rsid w:val="4019356B"/>
    <w:rsid w:val="40592157"/>
    <w:rsid w:val="406E1CAE"/>
    <w:rsid w:val="40A0133A"/>
    <w:rsid w:val="40C31A53"/>
    <w:rsid w:val="40FF545D"/>
    <w:rsid w:val="410067C8"/>
    <w:rsid w:val="418F0D2A"/>
    <w:rsid w:val="41D01505"/>
    <w:rsid w:val="42474939"/>
    <w:rsid w:val="424C3C57"/>
    <w:rsid w:val="42613FF3"/>
    <w:rsid w:val="42660D96"/>
    <w:rsid w:val="427D58B2"/>
    <w:rsid w:val="428667D2"/>
    <w:rsid w:val="42CD1CE0"/>
    <w:rsid w:val="42E1381E"/>
    <w:rsid w:val="42ED6459"/>
    <w:rsid w:val="42FE58DD"/>
    <w:rsid w:val="43174B3D"/>
    <w:rsid w:val="434B790E"/>
    <w:rsid w:val="4360274F"/>
    <w:rsid w:val="43977AB6"/>
    <w:rsid w:val="43A3342B"/>
    <w:rsid w:val="43C77C27"/>
    <w:rsid w:val="43DE09EE"/>
    <w:rsid w:val="44002FAD"/>
    <w:rsid w:val="449101DD"/>
    <w:rsid w:val="44DE1391"/>
    <w:rsid w:val="451B225C"/>
    <w:rsid w:val="45216160"/>
    <w:rsid w:val="452410C9"/>
    <w:rsid w:val="45317DFB"/>
    <w:rsid w:val="456D3CE4"/>
    <w:rsid w:val="4579042C"/>
    <w:rsid w:val="457F0571"/>
    <w:rsid w:val="45851176"/>
    <w:rsid w:val="45C63B94"/>
    <w:rsid w:val="460E7DA5"/>
    <w:rsid w:val="46422483"/>
    <w:rsid w:val="465054AF"/>
    <w:rsid w:val="4659254A"/>
    <w:rsid w:val="465B0637"/>
    <w:rsid w:val="465E3F0D"/>
    <w:rsid w:val="466A16E6"/>
    <w:rsid w:val="46762775"/>
    <w:rsid w:val="46893F2B"/>
    <w:rsid w:val="46C4686E"/>
    <w:rsid w:val="46F838C8"/>
    <w:rsid w:val="477B778F"/>
    <w:rsid w:val="478203EC"/>
    <w:rsid w:val="47B025FA"/>
    <w:rsid w:val="4809698F"/>
    <w:rsid w:val="4811697D"/>
    <w:rsid w:val="48172037"/>
    <w:rsid w:val="487A3E25"/>
    <w:rsid w:val="488B5503"/>
    <w:rsid w:val="48937E21"/>
    <w:rsid w:val="489A0361"/>
    <w:rsid w:val="48B545A9"/>
    <w:rsid w:val="48B94FF3"/>
    <w:rsid w:val="48E37AAB"/>
    <w:rsid w:val="48FD4B4C"/>
    <w:rsid w:val="490A68E0"/>
    <w:rsid w:val="491055FE"/>
    <w:rsid w:val="495F5B3E"/>
    <w:rsid w:val="496916B2"/>
    <w:rsid w:val="496F77D7"/>
    <w:rsid w:val="497654FD"/>
    <w:rsid w:val="49B00A5E"/>
    <w:rsid w:val="49B64211"/>
    <w:rsid w:val="49D62952"/>
    <w:rsid w:val="49F6167F"/>
    <w:rsid w:val="4A064FA0"/>
    <w:rsid w:val="4A16615C"/>
    <w:rsid w:val="4A4424D7"/>
    <w:rsid w:val="4A8810AE"/>
    <w:rsid w:val="4AB82D0F"/>
    <w:rsid w:val="4AEB7664"/>
    <w:rsid w:val="4AFD7C19"/>
    <w:rsid w:val="4B0567D1"/>
    <w:rsid w:val="4B236AAE"/>
    <w:rsid w:val="4B707271"/>
    <w:rsid w:val="4B9739F7"/>
    <w:rsid w:val="4BE85FBF"/>
    <w:rsid w:val="4BEE2503"/>
    <w:rsid w:val="4BFC25A9"/>
    <w:rsid w:val="4C245A30"/>
    <w:rsid w:val="4C2D0A42"/>
    <w:rsid w:val="4CB6685F"/>
    <w:rsid w:val="4CC367FE"/>
    <w:rsid w:val="4CDD3DAF"/>
    <w:rsid w:val="4CE75EFE"/>
    <w:rsid w:val="4D077F3C"/>
    <w:rsid w:val="4D123355"/>
    <w:rsid w:val="4D2A3B31"/>
    <w:rsid w:val="4D312C52"/>
    <w:rsid w:val="4D905305"/>
    <w:rsid w:val="4D964A72"/>
    <w:rsid w:val="4D9C1254"/>
    <w:rsid w:val="4DBE3EFF"/>
    <w:rsid w:val="4E793892"/>
    <w:rsid w:val="4E800872"/>
    <w:rsid w:val="4EC569ED"/>
    <w:rsid w:val="4ED50EA1"/>
    <w:rsid w:val="4EEC050C"/>
    <w:rsid w:val="4F104EC3"/>
    <w:rsid w:val="4F3C26D4"/>
    <w:rsid w:val="4F47354A"/>
    <w:rsid w:val="4F911C54"/>
    <w:rsid w:val="4FB70C06"/>
    <w:rsid w:val="4FE625E0"/>
    <w:rsid w:val="50125E3D"/>
    <w:rsid w:val="5021480F"/>
    <w:rsid w:val="50577962"/>
    <w:rsid w:val="50962ECB"/>
    <w:rsid w:val="50A42E38"/>
    <w:rsid w:val="50A4577F"/>
    <w:rsid w:val="50B73D1F"/>
    <w:rsid w:val="50BD5BC9"/>
    <w:rsid w:val="50C11EEE"/>
    <w:rsid w:val="50E97CFC"/>
    <w:rsid w:val="50FA4028"/>
    <w:rsid w:val="510D65B7"/>
    <w:rsid w:val="511157AB"/>
    <w:rsid w:val="5142540C"/>
    <w:rsid w:val="51574098"/>
    <w:rsid w:val="518832C8"/>
    <w:rsid w:val="519D3C50"/>
    <w:rsid w:val="51A0432A"/>
    <w:rsid w:val="51A86090"/>
    <w:rsid w:val="51B7396D"/>
    <w:rsid w:val="51C70EA9"/>
    <w:rsid w:val="520D3E62"/>
    <w:rsid w:val="521D3B03"/>
    <w:rsid w:val="521E449B"/>
    <w:rsid w:val="522E4CC3"/>
    <w:rsid w:val="5244713B"/>
    <w:rsid w:val="52615633"/>
    <w:rsid w:val="526F4DE4"/>
    <w:rsid w:val="52977FD4"/>
    <w:rsid w:val="52A25790"/>
    <w:rsid w:val="52A96B6F"/>
    <w:rsid w:val="52B45975"/>
    <w:rsid w:val="52D94AA4"/>
    <w:rsid w:val="52EA3A62"/>
    <w:rsid w:val="52F50BB8"/>
    <w:rsid w:val="53097272"/>
    <w:rsid w:val="531427E9"/>
    <w:rsid w:val="531D1A45"/>
    <w:rsid w:val="53544462"/>
    <w:rsid w:val="5397158E"/>
    <w:rsid w:val="54013861"/>
    <w:rsid w:val="54487265"/>
    <w:rsid w:val="544D6070"/>
    <w:rsid w:val="54605E1E"/>
    <w:rsid w:val="548E57CA"/>
    <w:rsid w:val="549B0539"/>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6B6D1E"/>
    <w:rsid w:val="57032A2C"/>
    <w:rsid w:val="570F5219"/>
    <w:rsid w:val="575D12B5"/>
    <w:rsid w:val="57610A87"/>
    <w:rsid w:val="57795BEE"/>
    <w:rsid w:val="577B1140"/>
    <w:rsid w:val="577B7F21"/>
    <w:rsid w:val="577F181B"/>
    <w:rsid w:val="57886C0D"/>
    <w:rsid w:val="57921984"/>
    <w:rsid w:val="579737F0"/>
    <w:rsid w:val="57AB7B30"/>
    <w:rsid w:val="57AF5251"/>
    <w:rsid w:val="57B26373"/>
    <w:rsid w:val="57B63F04"/>
    <w:rsid w:val="57CD20C2"/>
    <w:rsid w:val="57D675AB"/>
    <w:rsid w:val="57D73717"/>
    <w:rsid w:val="57D95FDD"/>
    <w:rsid w:val="57E1369E"/>
    <w:rsid w:val="581A6273"/>
    <w:rsid w:val="58917D2F"/>
    <w:rsid w:val="5894085C"/>
    <w:rsid w:val="58AE4F0C"/>
    <w:rsid w:val="58B85899"/>
    <w:rsid w:val="58E363A9"/>
    <w:rsid w:val="59166304"/>
    <w:rsid w:val="595E1678"/>
    <w:rsid w:val="596D5BD4"/>
    <w:rsid w:val="597E3DD8"/>
    <w:rsid w:val="59F80043"/>
    <w:rsid w:val="5A09252F"/>
    <w:rsid w:val="5A0B2778"/>
    <w:rsid w:val="5A187B4C"/>
    <w:rsid w:val="5A2A7C7B"/>
    <w:rsid w:val="5A3E2560"/>
    <w:rsid w:val="5A5D3B6E"/>
    <w:rsid w:val="5A637A76"/>
    <w:rsid w:val="5A6D33BA"/>
    <w:rsid w:val="5A792B1F"/>
    <w:rsid w:val="5A874767"/>
    <w:rsid w:val="5AA85BE2"/>
    <w:rsid w:val="5AAD6F28"/>
    <w:rsid w:val="5AD63A24"/>
    <w:rsid w:val="5B290894"/>
    <w:rsid w:val="5B2E1A1D"/>
    <w:rsid w:val="5B843A1C"/>
    <w:rsid w:val="5B873E3F"/>
    <w:rsid w:val="5BDF44D5"/>
    <w:rsid w:val="5C02690E"/>
    <w:rsid w:val="5C196DA7"/>
    <w:rsid w:val="5C2A048C"/>
    <w:rsid w:val="5C80234E"/>
    <w:rsid w:val="5C8A680C"/>
    <w:rsid w:val="5CDA3BBB"/>
    <w:rsid w:val="5D0C4701"/>
    <w:rsid w:val="5D0F0395"/>
    <w:rsid w:val="5D221076"/>
    <w:rsid w:val="5D397964"/>
    <w:rsid w:val="5D5A391C"/>
    <w:rsid w:val="5D5F10C0"/>
    <w:rsid w:val="5D795879"/>
    <w:rsid w:val="5D891B7B"/>
    <w:rsid w:val="5DAD38EE"/>
    <w:rsid w:val="5DB82D5E"/>
    <w:rsid w:val="5DB85AE5"/>
    <w:rsid w:val="5DEF3FEB"/>
    <w:rsid w:val="5DFE3EA4"/>
    <w:rsid w:val="5E006862"/>
    <w:rsid w:val="5E0207B9"/>
    <w:rsid w:val="5E1834A1"/>
    <w:rsid w:val="5E261785"/>
    <w:rsid w:val="5E4A7017"/>
    <w:rsid w:val="5E552BBA"/>
    <w:rsid w:val="5E611C10"/>
    <w:rsid w:val="5E7A0F3F"/>
    <w:rsid w:val="5EFC7377"/>
    <w:rsid w:val="5F06174D"/>
    <w:rsid w:val="5F1D65AC"/>
    <w:rsid w:val="5F3A3602"/>
    <w:rsid w:val="5F45733B"/>
    <w:rsid w:val="5F6277C6"/>
    <w:rsid w:val="5F6D0B1D"/>
    <w:rsid w:val="5F8D0B82"/>
    <w:rsid w:val="5FCC5339"/>
    <w:rsid w:val="5FE34A5B"/>
    <w:rsid w:val="5FF4730D"/>
    <w:rsid w:val="5FFE1E36"/>
    <w:rsid w:val="60232584"/>
    <w:rsid w:val="607330CE"/>
    <w:rsid w:val="60825176"/>
    <w:rsid w:val="609F2AC4"/>
    <w:rsid w:val="60E576E1"/>
    <w:rsid w:val="60FA2EE8"/>
    <w:rsid w:val="61054A27"/>
    <w:rsid w:val="610A52BC"/>
    <w:rsid w:val="611D2366"/>
    <w:rsid w:val="61421856"/>
    <w:rsid w:val="615227C4"/>
    <w:rsid w:val="61654E3F"/>
    <w:rsid w:val="6182292A"/>
    <w:rsid w:val="619F7F92"/>
    <w:rsid w:val="61E81EE3"/>
    <w:rsid w:val="61F94C26"/>
    <w:rsid w:val="62000E56"/>
    <w:rsid w:val="6223037D"/>
    <w:rsid w:val="624F3E49"/>
    <w:rsid w:val="62632286"/>
    <w:rsid w:val="627E4805"/>
    <w:rsid w:val="62885958"/>
    <w:rsid w:val="62F40B65"/>
    <w:rsid w:val="62FC2CFE"/>
    <w:rsid w:val="63024505"/>
    <w:rsid w:val="6307248E"/>
    <w:rsid w:val="631808D5"/>
    <w:rsid w:val="635337E3"/>
    <w:rsid w:val="635600A5"/>
    <w:rsid w:val="635B1DB5"/>
    <w:rsid w:val="63711FED"/>
    <w:rsid w:val="63880DDC"/>
    <w:rsid w:val="638D750D"/>
    <w:rsid w:val="63AC6CC0"/>
    <w:rsid w:val="63BC6393"/>
    <w:rsid w:val="64055776"/>
    <w:rsid w:val="64240056"/>
    <w:rsid w:val="643E143A"/>
    <w:rsid w:val="64491666"/>
    <w:rsid w:val="648B6EEF"/>
    <w:rsid w:val="64A063FE"/>
    <w:rsid w:val="64C158BF"/>
    <w:rsid w:val="64CE2EAA"/>
    <w:rsid w:val="653C3090"/>
    <w:rsid w:val="657F1D6E"/>
    <w:rsid w:val="65854376"/>
    <w:rsid w:val="658767BE"/>
    <w:rsid w:val="65892531"/>
    <w:rsid w:val="65975D1F"/>
    <w:rsid w:val="65C23955"/>
    <w:rsid w:val="66195831"/>
    <w:rsid w:val="661E3335"/>
    <w:rsid w:val="662E75B1"/>
    <w:rsid w:val="66342C2E"/>
    <w:rsid w:val="663E784C"/>
    <w:rsid w:val="668B6A45"/>
    <w:rsid w:val="671372D5"/>
    <w:rsid w:val="672901E4"/>
    <w:rsid w:val="672F3F24"/>
    <w:rsid w:val="673E055F"/>
    <w:rsid w:val="67472418"/>
    <w:rsid w:val="67551CE3"/>
    <w:rsid w:val="675A1D1E"/>
    <w:rsid w:val="677A27ED"/>
    <w:rsid w:val="67966EFB"/>
    <w:rsid w:val="67A22552"/>
    <w:rsid w:val="67B22DCC"/>
    <w:rsid w:val="67BE71AA"/>
    <w:rsid w:val="67D90273"/>
    <w:rsid w:val="67DE5875"/>
    <w:rsid w:val="67E55852"/>
    <w:rsid w:val="67EB1AB4"/>
    <w:rsid w:val="67FA1285"/>
    <w:rsid w:val="68196427"/>
    <w:rsid w:val="681F79CE"/>
    <w:rsid w:val="68551F4F"/>
    <w:rsid w:val="687C10C9"/>
    <w:rsid w:val="68840C16"/>
    <w:rsid w:val="68876EFB"/>
    <w:rsid w:val="68884654"/>
    <w:rsid w:val="689F444F"/>
    <w:rsid w:val="68B96DBB"/>
    <w:rsid w:val="68CA2805"/>
    <w:rsid w:val="68E937A3"/>
    <w:rsid w:val="693E15D3"/>
    <w:rsid w:val="69623E63"/>
    <w:rsid w:val="69627681"/>
    <w:rsid w:val="6977531D"/>
    <w:rsid w:val="69CC2BFF"/>
    <w:rsid w:val="69FD55B8"/>
    <w:rsid w:val="6A0B1C62"/>
    <w:rsid w:val="6A2406C8"/>
    <w:rsid w:val="6A6A0E9D"/>
    <w:rsid w:val="6A81158B"/>
    <w:rsid w:val="6ADE0BD1"/>
    <w:rsid w:val="6AE96859"/>
    <w:rsid w:val="6B147746"/>
    <w:rsid w:val="6B24787C"/>
    <w:rsid w:val="6B573233"/>
    <w:rsid w:val="6B5B6274"/>
    <w:rsid w:val="6B935D53"/>
    <w:rsid w:val="6C196F71"/>
    <w:rsid w:val="6C226FCB"/>
    <w:rsid w:val="6C31226F"/>
    <w:rsid w:val="6C552F0B"/>
    <w:rsid w:val="6C8C67B7"/>
    <w:rsid w:val="6C9D744C"/>
    <w:rsid w:val="6D167928"/>
    <w:rsid w:val="6D26299B"/>
    <w:rsid w:val="6D303A5A"/>
    <w:rsid w:val="6D4772EC"/>
    <w:rsid w:val="6D9078AF"/>
    <w:rsid w:val="6D9C4C0A"/>
    <w:rsid w:val="6DAA3FEF"/>
    <w:rsid w:val="6DC0172B"/>
    <w:rsid w:val="6DCB690C"/>
    <w:rsid w:val="6DD41A5B"/>
    <w:rsid w:val="6DF43C2E"/>
    <w:rsid w:val="6DF51CA3"/>
    <w:rsid w:val="6E8335BD"/>
    <w:rsid w:val="6E8E12EF"/>
    <w:rsid w:val="6E972115"/>
    <w:rsid w:val="6E972936"/>
    <w:rsid w:val="6ED446C5"/>
    <w:rsid w:val="6F2A7D94"/>
    <w:rsid w:val="6F5C388B"/>
    <w:rsid w:val="6F8331F1"/>
    <w:rsid w:val="6FAE1A09"/>
    <w:rsid w:val="6FC07A2A"/>
    <w:rsid w:val="6FC163F6"/>
    <w:rsid w:val="6FD75BF8"/>
    <w:rsid w:val="707723D0"/>
    <w:rsid w:val="70E9771C"/>
    <w:rsid w:val="70EF6296"/>
    <w:rsid w:val="70F5661B"/>
    <w:rsid w:val="71360107"/>
    <w:rsid w:val="713B688E"/>
    <w:rsid w:val="71A32E24"/>
    <w:rsid w:val="71C0067F"/>
    <w:rsid w:val="71D43752"/>
    <w:rsid w:val="71F1796A"/>
    <w:rsid w:val="72154626"/>
    <w:rsid w:val="72262B5D"/>
    <w:rsid w:val="72283FF7"/>
    <w:rsid w:val="722E7212"/>
    <w:rsid w:val="723A0474"/>
    <w:rsid w:val="725923E4"/>
    <w:rsid w:val="72864BF7"/>
    <w:rsid w:val="729023FC"/>
    <w:rsid w:val="72FF629D"/>
    <w:rsid w:val="73C0646E"/>
    <w:rsid w:val="742222F5"/>
    <w:rsid w:val="74476126"/>
    <w:rsid w:val="746B1C6A"/>
    <w:rsid w:val="74706664"/>
    <w:rsid w:val="747F3682"/>
    <w:rsid w:val="749C4185"/>
    <w:rsid w:val="74AF5AA0"/>
    <w:rsid w:val="75067759"/>
    <w:rsid w:val="752E6DCD"/>
    <w:rsid w:val="75481CC7"/>
    <w:rsid w:val="7551380D"/>
    <w:rsid w:val="75600BE5"/>
    <w:rsid w:val="7564475C"/>
    <w:rsid w:val="7583797F"/>
    <w:rsid w:val="75C17839"/>
    <w:rsid w:val="75D20F1D"/>
    <w:rsid w:val="75DA2C18"/>
    <w:rsid w:val="75F54412"/>
    <w:rsid w:val="761D08E0"/>
    <w:rsid w:val="765D347C"/>
    <w:rsid w:val="76826699"/>
    <w:rsid w:val="76BB629E"/>
    <w:rsid w:val="76C87133"/>
    <w:rsid w:val="76CD08D5"/>
    <w:rsid w:val="76DB4B92"/>
    <w:rsid w:val="77052AA4"/>
    <w:rsid w:val="77136511"/>
    <w:rsid w:val="77340A39"/>
    <w:rsid w:val="77351FD0"/>
    <w:rsid w:val="77472422"/>
    <w:rsid w:val="77611954"/>
    <w:rsid w:val="777F31F2"/>
    <w:rsid w:val="777F59E2"/>
    <w:rsid w:val="77D1700D"/>
    <w:rsid w:val="77EC04CC"/>
    <w:rsid w:val="78775729"/>
    <w:rsid w:val="78A42DB0"/>
    <w:rsid w:val="78A656AB"/>
    <w:rsid w:val="78B2245C"/>
    <w:rsid w:val="78E172CC"/>
    <w:rsid w:val="78EA1D1F"/>
    <w:rsid w:val="7904172F"/>
    <w:rsid w:val="790F3349"/>
    <w:rsid w:val="790F7E27"/>
    <w:rsid w:val="792A231A"/>
    <w:rsid w:val="79316829"/>
    <w:rsid w:val="797E66A9"/>
    <w:rsid w:val="798518A4"/>
    <w:rsid w:val="799D3CE8"/>
    <w:rsid w:val="79A97383"/>
    <w:rsid w:val="79E27E8B"/>
    <w:rsid w:val="79F850CE"/>
    <w:rsid w:val="79FD443C"/>
    <w:rsid w:val="7A1D1975"/>
    <w:rsid w:val="7A282137"/>
    <w:rsid w:val="7A3E5150"/>
    <w:rsid w:val="7A4670D6"/>
    <w:rsid w:val="7A534B63"/>
    <w:rsid w:val="7A615382"/>
    <w:rsid w:val="7A67303B"/>
    <w:rsid w:val="7A822729"/>
    <w:rsid w:val="7AAB1D04"/>
    <w:rsid w:val="7ABA4368"/>
    <w:rsid w:val="7AD05746"/>
    <w:rsid w:val="7AE66CA5"/>
    <w:rsid w:val="7B257FFD"/>
    <w:rsid w:val="7B343476"/>
    <w:rsid w:val="7B5A2978"/>
    <w:rsid w:val="7B5A7E4C"/>
    <w:rsid w:val="7B667AF9"/>
    <w:rsid w:val="7B7468F8"/>
    <w:rsid w:val="7B8836F1"/>
    <w:rsid w:val="7BAA7C14"/>
    <w:rsid w:val="7BEE0103"/>
    <w:rsid w:val="7C0A0FE4"/>
    <w:rsid w:val="7C254906"/>
    <w:rsid w:val="7C590818"/>
    <w:rsid w:val="7C7C10F6"/>
    <w:rsid w:val="7C853BEA"/>
    <w:rsid w:val="7C881368"/>
    <w:rsid w:val="7CD24A22"/>
    <w:rsid w:val="7CE27788"/>
    <w:rsid w:val="7D0C32F1"/>
    <w:rsid w:val="7D0F408D"/>
    <w:rsid w:val="7D491C6C"/>
    <w:rsid w:val="7D5429C0"/>
    <w:rsid w:val="7D6E6D43"/>
    <w:rsid w:val="7D9B6BA2"/>
    <w:rsid w:val="7DB57A34"/>
    <w:rsid w:val="7DC510DA"/>
    <w:rsid w:val="7DC6485A"/>
    <w:rsid w:val="7DCD6F3A"/>
    <w:rsid w:val="7DE60973"/>
    <w:rsid w:val="7DEF0916"/>
    <w:rsid w:val="7E1E5218"/>
    <w:rsid w:val="7E9A4E1F"/>
    <w:rsid w:val="7EA7723A"/>
    <w:rsid w:val="7EF56FBB"/>
    <w:rsid w:val="7F0768EB"/>
    <w:rsid w:val="7F143BEC"/>
    <w:rsid w:val="7F5114BE"/>
    <w:rsid w:val="7F715AF2"/>
    <w:rsid w:val="7F886E69"/>
    <w:rsid w:val="BB7FA927"/>
    <w:rsid w:val="F5FFD31F"/>
    <w:rsid w:val="FFCF17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iPriority="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4"/>
    <w:next w:val="1"/>
    <w:qFormat/>
    <w:uiPriority w:val="0"/>
    <w:pPr>
      <w:tabs>
        <w:tab w:val="left" w:pos="900"/>
        <w:tab w:val="clear" w:pos="432"/>
      </w:tabs>
      <w:spacing w:before="260" w:after="260" w:line="416" w:lineRule="auto"/>
      <w:ind w:left="900" w:hanging="720"/>
      <w:outlineLvl w:val="2"/>
    </w:pPr>
  </w:style>
  <w:style w:type="paragraph" w:styleId="6">
    <w:name w:val="heading 4"/>
    <w:basedOn w:val="5"/>
    <w:next w:val="1"/>
    <w:link w:val="327"/>
    <w:qFormat/>
    <w:uiPriority w:val="0"/>
    <w:pPr>
      <w:tabs>
        <w:tab w:val="left" w:pos="864"/>
        <w:tab w:val="clear" w:pos="900"/>
      </w:tabs>
      <w:spacing w:before="280" w:after="290" w:line="376" w:lineRule="auto"/>
      <w:ind w:left="864" w:hanging="864"/>
      <w:outlineLvl w:val="3"/>
    </w:pPr>
    <w:rPr>
      <w:rFonts w:ascii="Arial" w:hAnsi="Arial" w:eastAsia="黑体"/>
      <w:sz w:val="28"/>
      <w:szCs w:val="28"/>
    </w:rPr>
  </w:style>
  <w:style w:type="paragraph" w:styleId="7">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9"/>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4"/>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2">
    <w:name w:val="Default Paragraph Font"/>
    <w:semiHidden/>
    <w:unhideWhenUsed/>
    <w:qFormat/>
    <w:uiPriority w:val="1"/>
  </w:style>
  <w:style w:type="table" w:default="1" w:styleId="65">
    <w:name w:val="Normal Table"/>
    <w:semiHidden/>
    <w:unhideWhenUsed/>
    <w:qFormat/>
    <w:uiPriority w:val="99"/>
    <w:tblPr>
      <w:tblCellMar>
        <w:top w:w="0" w:type="dxa"/>
        <w:left w:w="108" w:type="dxa"/>
        <w:bottom w:w="0" w:type="dxa"/>
        <w:right w:w="108" w:type="dxa"/>
      </w:tblCellMar>
    </w:tblPr>
  </w:style>
  <w:style w:type="paragraph" w:styleId="2">
    <w:name w:val="List Paragraph"/>
    <w:basedOn w:val="1"/>
    <w:qFormat/>
    <w:uiPriority w:val="34"/>
    <w:pPr>
      <w:spacing w:line="360" w:lineRule="auto"/>
      <w:ind w:firstLine="200" w:firstLineChars="200"/>
    </w:pPr>
    <w:rPr>
      <w:rFonts w:eastAsia="楷体_GB2312" w:cs="Lucida Sans"/>
      <w:sz w:val="24"/>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7">
    <w:name w:val="caption"/>
    <w:basedOn w:val="1"/>
    <w:next w:val="1"/>
    <w:link w:val="230"/>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3"/>
    <w:qFormat/>
    <w:uiPriority w:val="0"/>
    <w:pPr>
      <w:shd w:val="clear" w:color="auto" w:fill="000080"/>
    </w:pPr>
  </w:style>
  <w:style w:type="paragraph" w:styleId="20">
    <w:name w:val="annotation text"/>
    <w:basedOn w:val="1"/>
    <w:link w:val="344"/>
    <w:qFormat/>
    <w:uiPriority w:val="99"/>
    <w:pPr>
      <w:jc w:val="left"/>
    </w:pPr>
  </w:style>
  <w:style w:type="paragraph" w:styleId="21">
    <w:name w:val="Salutation"/>
    <w:basedOn w:val="1"/>
    <w:next w:val="1"/>
    <w:link w:val="298"/>
    <w:qFormat/>
    <w:uiPriority w:val="0"/>
    <w:rPr>
      <w:rFonts w:ascii="仿宋_GB2312" w:eastAsia="仿宋_GB2312"/>
      <w:sz w:val="28"/>
      <w:szCs w:val="20"/>
    </w:rPr>
  </w:style>
  <w:style w:type="paragraph" w:styleId="22">
    <w:name w:val="Body Text 3"/>
    <w:basedOn w:val="1"/>
    <w:link w:val="330"/>
    <w:qFormat/>
    <w:uiPriority w:val="0"/>
    <w:pPr>
      <w:jc w:val="center"/>
    </w:pPr>
    <w:rPr>
      <w:szCs w:val="20"/>
    </w:rPr>
  </w:style>
  <w:style w:type="paragraph" w:styleId="23">
    <w:name w:val="List Bullet 3"/>
    <w:basedOn w:val="1"/>
    <w:unhideWhenUsed/>
    <w:qFormat/>
    <w:uiPriority w:val="0"/>
    <w:pPr>
      <w:snapToGrid w:val="0"/>
      <w:spacing w:line="360" w:lineRule="auto"/>
      <w:ind w:left="360" w:right="238" w:hanging="360"/>
      <w:contextualSpacing/>
    </w:pPr>
    <w:rPr>
      <w:sz w:val="24"/>
    </w:rPr>
  </w:style>
  <w:style w:type="paragraph" w:styleId="24">
    <w:name w:val="Body Text"/>
    <w:basedOn w:val="1"/>
    <w:next w:val="1"/>
    <w:link w:val="430"/>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next w:val="1"/>
    <w:link w:val="265"/>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1"/>
    <w:link w:val="127"/>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3"/>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90"/>
    <w:qFormat/>
    <w:uiPriority w:val="0"/>
    <w:rPr>
      <w:sz w:val="18"/>
      <w:szCs w:val="18"/>
    </w:rPr>
  </w:style>
  <w:style w:type="paragraph" w:styleId="40">
    <w:name w:val="footer"/>
    <w:basedOn w:val="1"/>
    <w:link w:val="383"/>
    <w:qFormat/>
    <w:uiPriority w:val="0"/>
    <w:pPr>
      <w:tabs>
        <w:tab w:val="center" w:pos="4153"/>
        <w:tab w:val="right" w:pos="8306"/>
      </w:tabs>
      <w:snapToGrid w:val="0"/>
      <w:jc w:val="left"/>
    </w:pPr>
    <w:rPr>
      <w:sz w:val="18"/>
      <w:szCs w:val="18"/>
    </w:rPr>
  </w:style>
  <w:style w:type="paragraph" w:styleId="41">
    <w:name w:val="envelope return"/>
    <w:basedOn w:val="1"/>
    <w:qFormat/>
    <w:uiPriority w:val="0"/>
    <w:pPr>
      <w:snapToGrid w:val="0"/>
    </w:pPr>
    <w:rPr>
      <w:rFonts w:ascii="Arial" w:hAnsi="Arial"/>
    </w:rPr>
  </w:style>
  <w:style w:type="paragraph" w:styleId="42">
    <w:name w:val="header"/>
    <w:basedOn w:val="1"/>
    <w:next w:val="43"/>
    <w:link w:val="392"/>
    <w:qFormat/>
    <w:uiPriority w:val="99"/>
    <w:pPr>
      <w:pBdr>
        <w:bottom w:val="single" w:color="auto" w:sz="6" w:space="1"/>
      </w:pBdr>
      <w:tabs>
        <w:tab w:val="center" w:pos="4153"/>
        <w:tab w:val="right" w:pos="8306"/>
      </w:tabs>
      <w:snapToGrid w:val="0"/>
      <w:jc w:val="center"/>
    </w:pPr>
    <w:rPr>
      <w:sz w:val="18"/>
      <w:szCs w:val="18"/>
    </w:rPr>
  </w:style>
  <w:style w:type="paragraph" w:customStyle="1" w:styleId="43">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styleId="44">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5"/>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16"/>
    <w:link w:val="310"/>
    <w:qFormat/>
    <w:uiPriority w:val="0"/>
    <w:pPr>
      <w:adjustRightInd/>
      <w:snapToGrid/>
      <w:spacing w:before="60" w:after="60" w:line="300" w:lineRule="exact"/>
      <w:ind w:firstLine="0"/>
    </w:pPr>
    <w:rPr>
      <w:rFonts w:ascii="Calibri"/>
      <w:snapToGrid/>
      <w:color w:val="0000FF"/>
      <w:kern w:val="0"/>
      <w:sz w:val="21"/>
    </w:rPr>
  </w:style>
  <w:style w:type="paragraph" w:styleId="53">
    <w:name w:val="toc 6"/>
    <w:basedOn w:val="1"/>
    <w:next w:val="1"/>
    <w:qFormat/>
    <w:uiPriority w:val="0"/>
    <w:pPr>
      <w:ind w:left="2100" w:leftChars="1000"/>
    </w:pPr>
  </w:style>
  <w:style w:type="paragraph" w:styleId="54">
    <w:name w:val="List 5"/>
    <w:basedOn w:val="1"/>
    <w:qFormat/>
    <w:uiPriority w:val="0"/>
    <w:pPr>
      <w:adjustRightInd/>
      <w:ind w:left="100" w:leftChars="800" w:hanging="200" w:hangingChars="200"/>
    </w:pPr>
  </w:style>
  <w:style w:type="paragraph" w:styleId="55">
    <w:name w:val="Body Text Indent 3"/>
    <w:basedOn w:val="1"/>
    <w:link w:val="375"/>
    <w:qFormat/>
    <w:uiPriority w:val="0"/>
    <w:pPr>
      <w:spacing w:line="360" w:lineRule="auto"/>
      <w:ind w:firstLine="420"/>
    </w:pPr>
    <w:rPr>
      <w:sz w:val="24"/>
      <w:szCs w:val="20"/>
    </w:rPr>
  </w:style>
  <w:style w:type="paragraph" w:styleId="56">
    <w:name w:val="toc 2"/>
    <w:basedOn w:val="1"/>
    <w:next w:val="1"/>
    <w:qFormat/>
    <w:uiPriority w:val="0"/>
    <w:pPr>
      <w:ind w:left="420" w:leftChars="200"/>
    </w:pPr>
  </w:style>
  <w:style w:type="paragraph" w:styleId="57">
    <w:name w:val="toc 9"/>
    <w:basedOn w:val="1"/>
    <w:next w:val="1"/>
    <w:qFormat/>
    <w:uiPriority w:val="0"/>
    <w:pPr>
      <w:ind w:left="3360" w:leftChars="1600"/>
    </w:pPr>
  </w:style>
  <w:style w:type="paragraph" w:styleId="58">
    <w:name w:val="Body Text 2"/>
    <w:basedOn w:val="1"/>
    <w:link w:val="302"/>
    <w:qFormat/>
    <w:uiPriority w:val="0"/>
    <w:pPr>
      <w:spacing w:after="120" w:line="480" w:lineRule="auto"/>
    </w:pPr>
  </w:style>
  <w:style w:type="paragraph" w:styleId="59">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kern w:val="0"/>
      <w:sz w:val="24"/>
    </w:rPr>
  </w:style>
  <w:style w:type="paragraph" w:styleId="61">
    <w:name w:val="Title"/>
    <w:basedOn w:val="1"/>
    <w:next w:val="1"/>
    <w:link w:val="286"/>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20"/>
    <w:next w:val="20"/>
    <w:link w:val="98"/>
    <w:qFormat/>
    <w:uiPriority w:val="0"/>
    <w:rPr>
      <w:b/>
      <w:bCs/>
    </w:rPr>
  </w:style>
  <w:style w:type="paragraph" w:styleId="63">
    <w:name w:val="Body Text First Indent"/>
    <w:basedOn w:val="24"/>
    <w:next w:val="1"/>
    <w:link w:val="321"/>
    <w:qFormat/>
    <w:uiPriority w:val="0"/>
    <w:pPr>
      <w:ind w:firstLine="420"/>
    </w:pPr>
    <w:rPr>
      <w:rFonts w:hAnsi="Calibri" w:cs="Times New Roman"/>
      <w:snapToGrid/>
      <w:szCs w:val="20"/>
    </w:rPr>
  </w:style>
  <w:style w:type="paragraph" w:styleId="64">
    <w:name w:val="Body Text First Indent 2"/>
    <w:basedOn w:val="25"/>
    <w:next w:val="1"/>
    <w:link w:val="123"/>
    <w:qFormat/>
    <w:uiPriority w:val="0"/>
    <w:pPr>
      <w:adjustRightInd/>
      <w:spacing w:after="120" w:line="240" w:lineRule="auto"/>
      <w:ind w:left="420" w:leftChars="200" w:firstLine="210"/>
    </w:pPr>
    <w:rPr>
      <w:sz w:val="21"/>
    </w:rPr>
  </w:style>
  <w:style w:type="table" w:styleId="66">
    <w:name w:val="Table Grid"/>
    <w:basedOn w:val="6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7">
    <w:name w:val="Table Theme"/>
    <w:basedOn w:val="6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8">
    <w:name w:val="Table Elegant"/>
    <w:basedOn w:val="65"/>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9">
    <w:name w:val="Table Grid 5"/>
    <w:basedOn w:val="65"/>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70">
    <w:name w:val="Table Grid 8"/>
    <w:basedOn w:val="65"/>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1">
    <w:name w:val="Table Professional"/>
    <w:basedOn w:val="65"/>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3">
    <w:name w:val="Strong"/>
    <w:qFormat/>
    <w:uiPriority w:val="22"/>
    <w:rPr>
      <w:b/>
      <w:bCs/>
    </w:rPr>
  </w:style>
  <w:style w:type="character" w:styleId="74">
    <w:name w:val="endnote reference"/>
    <w:qFormat/>
    <w:uiPriority w:val="0"/>
    <w:rPr>
      <w:vertAlign w:val="superscript"/>
    </w:rPr>
  </w:style>
  <w:style w:type="character" w:styleId="75">
    <w:name w:val="page number"/>
    <w:basedOn w:val="72"/>
    <w:qFormat/>
    <w:uiPriority w:val="0"/>
    <w:rPr>
      <w:rFonts w:ascii="Arial" w:hAnsi="Arial" w:eastAsia="黑体" w:cs="Arial"/>
      <w:snapToGrid w:val="0"/>
      <w:kern w:val="0"/>
      <w:szCs w:val="21"/>
    </w:rPr>
  </w:style>
  <w:style w:type="character" w:styleId="76">
    <w:name w:val="FollowedHyperlink"/>
    <w:qFormat/>
    <w:uiPriority w:val="99"/>
    <w:rPr>
      <w:rFonts w:ascii="Arial" w:hAnsi="Arial" w:eastAsia="黑体" w:cs="Arial"/>
      <w:snapToGrid w:val="0"/>
      <w:color w:val="000000"/>
      <w:kern w:val="0"/>
      <w:sz w:val="18"/>
      <w:szCs w:val="18"/>
      <w:u w:val="none"/>
    </w:rPr>
  </w:style>
  <w:style w:type="character" w:styleId="77">
    <w:name w:val="Emphasis"/>
    <w:qFormat/>
    <w:uiPriority w:val="20"/>
    <w:rPr>
      <w:color w:val="CC0033"/>
    </w:rPr>
  </w:style>
  <w:style w:type="character" w:styleId="78">
    <w:name w:val="line number"/>
    <w:basedOn w:val="72"/>
    <w:qFormat/>
    <w:uiPriority w:val="0"/>
    <w:rPr>
      <w:rFonts w:ascii="Arial" w:hAnsi="Arial" w:eastAsia="黑体" w:cs="Arial"/>
      <w:snapToGrid w:val="0"/>
      <w:kern w:val="0"/>
      <w:szCs w:val="21"/>
    </w:rPr>
  </w:style>
  <w:style w:type="character" w:styleId="79">
    <w:name w:val="Hyperlink"/>
    <w:qFormat/>
    <w:uiPriority w:val="99"/>
    <w:rPr>
      <w:rFonts w:ascii="Arial" w:hAnsi="Arial" w:eastAsia="黑体" w:cs="Arial"/>
      <w:snapToGrid w:val="0"/>
      <w:color w:val="000000"/>
      <w:kern w:val="0"/>
      <w:sz w:val="18"/>
      <w:szCs w:val="18"/>
      <w:u w:val="none"/>
    </w:rPr>
  </w:style>
  <w:style w:type="character" w:styleId="80">
    <w:name w:val="HTML Code"/>
    <w:qFormat/>
    <w:uiPriority w:val="0"/>
    <w:rPr>
      <w:rFonts w:ascii="黑体" w:hAnsi="Courier New" w:eastAsia="黑体" w:cs="楷体_GB2312"/>
      <w:sz w:val="20"/>
      <w:szCs w:val="20"/>
    </w:rPr>
  </w:style>
  <w:style w:type="character" w:styleId="81">
    <w:name w:val="annotation reference"/>
    <w:qFormat/>
    <w:uiPriority w:val="99"/>
    <w:rPr>
      <w:sz w:val="21"/>
      <w:szCs w:val="21"/>
    </w:rPr>
  </w:style>
  <w:style w:type="paragraph" w:customStyle="1" w:styleId="82">
    <w:name w:val="my正文"/>
    <w:basedOn w:val="1"/>
    <w:link w:val="193"/>
    <w:qFormat/>
    <w:uiPriority w:val="0"/>
    <w:pPr>
      <w:adjustRightInd/>
      <w:spacing w:line="360" w:lineRule="auto"/>
      <w:ind w:firstLine="480" w:firstLineChars="200"/>
    </w:pPr>
    <w:rPr>
      <w:rFonts w:ascii="Tahoma" w:hAnsi="Tahoma"/>
      <w:kern w:val="0"/>
      <w:sz w:val="24"/>
    </w:rPr>
  </w:style>
  <w:style w:type="paragraph" w:customStyle="1" w:styleId="83">
    <w:name w:val="正文1"/>
    <w:basedOn w:val="32"/>
    <w:next w:val="1"/>
    <w:qFormat/>
    <w:uiPriority w:val="0"/>
    <w:pPr>
      <w:ind w:left="0" w:leftChars="0" w:firstLine="480" w:firstLineChars="200"/>
    </w:pPr>
    <w:rPr>
      <w:rFonts w:ascii="仿宋_GB2312" w:hAnsi="Courier New" w:eastAsia="仿宋_GB2312"/>
      <w:kern w:val="28"/>
      <w:sz w:val="24"/>
    </w:rPr>
  </w:style>
  <w:style w:type="character" w:customStyle="1" w:styleId="84">
    <w:name w:val="表格非标题文字 Char"/>
    <w:link w:val="85"/>
    <w:qFormat/>
    <w:uiPriority w:val="0"/>
    <w:rPr>
      <w:rFonts w:ascii="Futura Bk" w:hAnsi="Futura Bk"/>
      <w:kern w:val="2"/>
      <w:sz w:val="18"/>
      <w:szCs w:val="21"/>
      <w:lang w:val="en-US" w:eastAsia="zh-CN" w:bidi="ar-SA"/>
    </w:rPr>
  </w:style>
  <w:style w:type="paragraph" w:customStyle="1" w:styleId="85">
    <w:name w:val="表格非标题文字"/>
    <w:link w:val="8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qFormat/>
    <w:locked/>
    <w:uiPriority w:val="0"/>
    <w:rPr>
      <w:rFonts w:ascii="宋体" w:hAnsi="宋体"/>
      <w:sz w:val="24"/>
    </w:rPr>
  </w:style>
  <w:style w:type="paragraph" w:customStyle="1" w:styleId="87">
    <w:name w:val="*正文"/>
    <w:basedOn w:val="1"/>
    <w:link w:val="86"/>
    <w:qFormat/>
    <w:uiPriority w:val="0"/>
    <w:pPr>
      <w:snapToGrid w:val="0"/>
      <w:spacing w:line="360" w:lineRule="auto"/>
      <w:ind w:firstLine="482"/>
      <w:jc w:val="left"/>
    </w:pPr>
    <w:rPr>
      <w:rFonts w:ascii="宋体" w:hAnsi="宋体"/>
      <w:kern w:val="0"/>
      <w:sz w:val="24"/>
      <w:szCs w:val="20"/>
    </w:rPr>
  </w:style>
  <w:style w:type="character" w:customStyle="1" w:styleId="88">
    <w:name w:val="Char Char71"/>
    <w:semiHidden/>
    <w:qFormat/>
    <w:uiPriority w:val="0"/>
    <w:rPr>
      <w:rFonts w:eastAsia="宋体"/>
      <w:kern w:val="2"/>
      <w:sz w:val="21"/>
      <w:szCs w:val="24"/>
      <w:lang w:val="en-US" w:eastAsia="zh-CN" w:bidi="ar-SA"/>
    </w:rPr>
  </w:style>
  <w:style w:type="character" w:customStyle="1" w:styleId="89">
    <w:name w:val="Char Char6"/>
    <w:qFormat/>
    <w:uiPriority w:val="0"/>
    <w:rPr>
      <w:rFonts w:eastAsia="宋体"/>
      <w:kern w:val="2"/>
      <w:sz w:val="21"/>
      <w:szCs w:val="24"/>
      <w:lang w:val="en-US" w:eastAsia="zh-CN" w:bidi="ar-SA"/>
    </w:rPr>
  </w:style>
  <w:style w:type="character" w:customStyle="1" w:styleId="90">
    <w:name w:val="正文缩进 Char"/>
    <w:qFormat/>
    <w:uiPriority w:val="0"/>
    <w:rPr>
      <w:rFonts w:eastAsia="宋体"/>
      <w:kern w:val="2"/>
      <w:sz w:val="21"/>
      <w:lang w:val="en-US" w:eastAsia="zh-CN"/>
    </w:rPr>
  </w:style>
  <w:style w:type="character" w:customStyle="1" w:styleId="91">
    <w:name w:val="正文首行缩进 Char1"/>
    <w:qFormat/>
    <w:uiPriority w:val="0"/>
    <w:rPr>
      <w:rFonts w:ascii="宋体" w:hAnsi="Times New Roman" w:eastAsia="宋体" w:cs="Times New Roman"/>
      <w:snapToGrid w:val="0"/>
      <w:kern w:val="2"/>
      <w:sz w:val="24"/>
      <w:szCs w:val="21"/>
      <w:lang w:val="zh-CN"/>
    </w:rPr>
  </w:style>
  <w:style w:type="character" w:customStyle="1" w:styleId="92">
    <w:name w:val="Char Char28"/>
    <w:qFormat/>
    <w:uiPriority w:val="6"/>
    <w:rPr>
      <w:rFonts w:ascii="仿宋_GB2312" w:hAnsi="仿宋_GB2312" w:eastAsia="仿宋_GB2312"/>
      <w:kern w:val="1"/>
      <w:sz w:val="28"/>
    </w:rPr>
  </w:style>
  <w:style w:type="character" w:customStyle="1" w:styleId="9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
    <w:qFormat/>
    <w:uiPriority w:val="6"/>
    <w:rPr>
      <w:rFonts w:ascii="Times New Roman" w:hAnsi="Times New Roman" w:eastAsia="黑体" w:cs="Times New Roman"/>
      <w:b/>
      <w:kern w:val="0"/>
      <w:sz w:val="24"/>
      <w:szCs w:val="24"/>
    </w:rPr>
  </w:style>
  <w:style w:type="character" w:customStyle="1" w:styleId="95">
    <w:name w:val="U_正文 Char"/>
    <w:link w:val="96"/>
    <w:qFormat/>
    <w:uiPriority w:val="0"/>
    <w:rPr>
      <w:sz w:val="24"/>
      <w:szCs w:val="24"/>
    </w:rPr>
  </w:style>
  <w:style w:type="paragraph" w:customStyle="1" w:styleId="96">
    <w:name w:val="U_正文"/>
    <w:basedOn w:val="1"/>
    <w:link w:val="95"/>
    <w:qFormat/>
    <w:uiPriority w:val="0"/>
    <w:pPr>
      <w:adjustRightInd/>
      <w:spacing w:beforeLines="20" w:afterLines="20" w:line="300" w:lineRule="auto"/>
      <w:ind w:firstLine="200" w:firstLineChars="200"/>
    </w:pPr>
    <w:rPr>
      <w:kern w:val="0"/>
      <w:sz w:val="24"/>
    </w:rPr>
  </w:style>
  <w:style w:type="character" w:customStyle="1" w:styleId="97">
    <w:name w:val="HTML 地址 Char1"/>
    <w:qFormat/>
    <w:uiPriority w:val="0"/>
    <w:rPr>
      <w:rFonts w:ascii="Times New Roman" w:hAnsi="Times New Roman" w:eastAsia="宋体" w:cs="Times New Roman"/>
      <w:i/>
      <w:iCs/>
      <w:szCs w:val="24"/>
    </w:rPr>
  </w:style>
  <w:style w:type="character" w:customStyle="1" w:styleId="98">
    <w:name w:val="批注主题 字符"/>
    <w:link w:val="62"/>
    <w:qFormat/>
    <w:uiPriority w:val="0"/>
    <w:rPr>
      <w:b/>
      <w:bCs/>
      <w:kern w:val="2"/>
      <w:sz w:val="21"/>
      <w:szCs w:val="24"/>
    </w:rPr>
  </w:style>
  <w:style w:type="character" w:customStyle="1" w:styleId="99">
    <w:name w:val="Char Char51"/>
    <w:qFormat/>
    <w:uiPriority w:val="0"/>
    <w:rPr>
      <w:rFonts w:ascii="宋体" w:hAnsi="Courier New" w:eastAsia="宋体"/>
      <w:kern w:val="2"/>
      <w:sz w:val="21"/>
      <w:lang w:val="en-US" w:eastAsia="zh-CN"/>
    </w:rPr>
  </w:style>
  <w:style w:type="character" w:customStyle="1" w:styleId="100">
    <w:name w:val="表正文 Char"/>
    <w:qFormat/>
    <w:uiPriority w:val="0"/>
    <w:rPr>
      <w:rFonts w:ascii="宋体" w:eastAsia="宋体"/>
      <w:snapToGrid w:val="0"/>
      <w:color w:val="000000"/>
      <w:kern w:val="28"/>
      <w:sz w:val="28"/>
      <w:lang w:val="en-US" w:eastAsia="zh-CN" w:bidi="ar-SA"/>
    </w:rPr>
  </w:style>
  <w:style w:type="character" w:customStyle="1" w:styleId="101">
    <w:name w:val="Char Char34"/>
    <w:qFormat/>
    <w:uiPriority w:val="6"/>
    <w:rPr>
      <w:b/>
      <w:kern w:val="1"/>
      <w:sz w:val="28"/>
      <w:szCs w:val="28"/>
    </w:rPr>
  </w:style>
  <w:style w:type="character" w:customStyle="1" w:styleId="102">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qFormat/>
    <w:uiPriority w:val="0"/>
    <w:rPr>
      <w:rFonts w:ascii="宋体" w:hAnsi="宋体" w:eastAsia="宋体"/>
      <w:kern w:val="2"/>
      <w:sz w:val="24"/>
      <w:lang w:bidi="ar-SA"/>
    </w:rPr>
  </w:style>
  <w:style w:type="paragraph" w:customStyle="1" w:styleId="104">
    <w:name w:val="哈哈正文"/>
    <w:basedOn w:val="1"/>
    <w:link w:val="103"/>
    <w:qFormat/>
    <w:uiPriority w:val="0"/>
    <w:pPr>
      <w:adjustRightInd/>
      <w:spacing w:line="360" w:lineRule="auto"/>
      <w:ind w:firstLine="200" w:firstLineChars="200"/>
    </w:pPr>
    <w:rPr>
      <w:rFonts w:ascii="宋体" w:hAnsi="宋体"/>
      <w:sz w:val="24"/>
      <w:szCs w:val="20"/>
    </w:rPr>
  </w:style>
  <w:style w:type="character" w:customStyle="1" w:styleId="105">
    <w:name w:val="未处理的提及1"/>
    <w:qFormat/>
    <w:uiPriority w:val="0"/>
    <w:rPr>
      <w:color w:val="808080"/>
      <w:shd w:val="clear" w:color="auto" w:fill="E6E6E6"/>
    </w:rPr>
  </w:style>
  <w:style w:type="character" w:customStyle="1" w:styleId="106">
    <w:name w:val="txt"/>
    <w:qFormat/>
    <w:uiPriority w:val="0"/>
    <w:rPr>
      <w:rFonts w:ascii="仿宋_GB2312" w:eastAsia="微软雅黑"/>
      <w:b/>
      <w:kern w:val="2"/>
      <w:sz w:val="32"/>
      <w:szCs w:val="32"/>
      <w:lang w:val="en-US" w:eastAsia="zh-CN" w:bidi="ar-SA"/>
    </w:rPr>
  </w:style>
  <w:style w:type="character" w:customStyle="1" w:styleId="107">
    <w:name w:val="二级标题 Char Char"/>
    <w:qFormat/>
    <w:uiPriority w:val="0"/>
    <w:rPr>
      <w:rFonts w:ascii="宋体" w:hAnsi="宋体" w:eastAsia="宋体"/>
      <w:b/>
      <w:snapToGrid w:val="0"/>
      <w:kern w:val="2"/>
      <w:sz w:val="24"/>
      <w:szCs w:val="24"/>
      <w:lang w:val="en-US" w:eastAsia="zh-CN" w:bidi="ar-SA"/>
    </w:rPr>
  </w:style>
  <w:style w:type="character" w:customStyle="1" w:styleId="108">
    <w:name w:val="Char Char32"/>
    <w:qFormat/>
    <w:uiPriority w:val="6"/>
    <w:rPr>
      <w:b/>
      <w:kern w:val="1"/>
      <w:sz w:val="24"/>
      <w:szCs w:val="24"/>
    </w:rPr>
  </w:style>
  <w:style w:type="character" w:customStyle="1" w:styleId="109">
    <w:name w:val="PI Char1"/>
    <w:qFormat/>
    <w:uiPriority w:val="0"/>
    <w:rPr>
      <w:rFonts w:ascii="宋体" w:hAnsi="宋体"/>
      <w:kern w:val="2"/>
      <w:sz w:val="24"/>
      <w:szCs w:val="24"/>
    </w:rPr>
  </w:style>
  <w:style w:type="character" w:customStyle="1" w:styleId="110">
    <w:name w:val="tw4winTerm"/>
    <w:qFormat/>
    <w:uiPriority w:val="0"/>
    <w:rPr>
      <w:color w:val="0000FF"/>
    </w:rPr>
  </w:style>
  <w:style w:type="character" w:customStyle="1" w:styleId="111">
    <w:name w:val="Footer Char"/>
    <w:qFormat/>
    <w:locked/>
    <w:uiPriority w:val="0"/>
    <w:rPr>
      <w:rFonts w:eastAsia="宋体"/>
      <w:kern w:val="2"/>
      <w:sz w:val="18"/>
      <w:lang w:val="en-US" w:eastAsia="zh-CN" w:bidi="ar-SA"/>
    </w:rPr>
  </w:style>
  <w:style w:type="character" w:customStyle="1" w:styleId="112">
    <w:name w:val="普通文字 Char Char1"/>
    <w:qFormat/>
    <w:uiPriority w:val="0"/>
    <w:rPr>
      <w:rFonts w:ascii="宋体" w:hAnsi="Courier New"/>
      <w:kern w:val="2"/>
      <w:sz w:val="21"/>
    </w:rPr>
  </w:style>
  <w:style w:type="character" w:customStyle="1" w:styleId="113">
    <w:name w:val="Char Char101"/>
    <w:qFormat/>
    <w:uiPriority w:val="6"/>
    <w:rPr>
      <w:rFonts w:ascii="宋体" w:hAnsi="宋体"/>
      <w:kern w:val="2"/>
      <w:sz w:val="21"/>
      <w:szCs w:val="24"/>
      <w:lang w:val="en-US" w:eastAsia="zh-CN"/>
    </w:rPr>
  </w:style>
  <w:style w:type="character" w:customStyle="1" w:styleId="114">
    <w:name w:val="标题 4 Char"/>
    <w:qFormat/>
    <w:uiPriority w:val="0"/>
    <w:rPr>
      <w:rFonts w:ascii="Arial" w:hAnsi="Arial" w:eastAsia="黑体"/>
      <w:b/>
      <w:kern w:val="2"/>
      <w:sz w:val="28"/>
    </w:rPr>
  </w:style>
  <w:style w:type="character" w:customStyle="1" w:styleId="115">
    <w:name w:val="链接"/>
    <w:qFormat/>
    <w:uiPriority w:val="0"/>
    <w:rPr>
      <w:color w:val="0000FF"/>
      <w:sz w:val="21"/>
      <w:szCs w:val="21"/>
      <w:u w:val="single"/>
    </w:rPr>
  </w:style>
  <w:style w:type="character" w:customStyle="1" w:styleId="116">
    <w:name w:val="h4 Char"/>
    <w:qFormat/>
    <w:uiPriority w:val="0"/>
    <w:rPr>
      <w:rFonts w:ascii="Arial" w:hAnsi="Arial" w:eastAsia="黑体"/>
      <w:b/>
      <w:bCs/>
      <w:kern w:val="2"/>
      <w:sz w:val="28"/>
      <w:szCs w:val="28"/>
      <w:lang w:val="zh-CN" w:eastAsia="zh-CN" w:bidi="ar-SA"/>
    </w:rPr>
  </w:style>
  <w:style w:type="character" w:customStyle="1" w:styleId="117">
    <w:name w:val="5正文 Char"/>
    <w:link w:val="118"/>
    <w:qFormat/>
    <w:uiPriority w:val="0"/>
    <w:rPr>
      <w:rFonts w:ascii="仿宋_GB2312" w:hAnsi="微软雅黑" w:eastAsia="仿宋_GB2312"/>
      <w:sz w:val="28"/>
      <w:szCs w:val="21"/>
    </w:rPr>
  </w:style>
  <w:style w:type="paragraph" w:customStyle="1" w:styleId="118">
    <w:name w:val="5正文"/>
    <w:basedOn w:val="1"/>
    <w:link w:val="117"/>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qFormat/>
    <w:uiPriority w:val="9"/>
    <w:rPr>
      <w:b/>
      <w:bCs/>
      <w:kern w:val="2"/>
      <w:sz w:val="32"/>
      <w:szCs w:val="32"/>
    </w:rPr>
  </w:style>
  <w:style w:type="character" w:customStyle="1" w:styleId="120">
    <w:name w:val="样式6 Char"/>
    <w:qFormat/>
    <w:uiPriority w:val="0"/>
    <w:rPr>
      <w:rFonts w:ascii="仿宋_GB2312" w:hAnsi="宋体" w:eastAsia="仿宋_GB2312"/>
      <w:b/>
      <w:bCs/>
      <w:kern w:val="2"/>
      <w:sz w:val="24"/>
      <w:szCs w:val="24"/>
      <w:lang w:val="en-US" w:eastAsia="zh-CN" w:bidi="ar-SA"/>
    </w:rPr>
  </w:style>
  <w:style w:type="character" w:customStyle="1" w:styleId="121">
    <w:name w:val="Char Char14"/>
    <w:qFormat/>
    <w:uiPriority w:val="6"/>
    <w:rPr>
      <w:rFonts w:ascii="黑体" w:hAnsi="黑体" w:eastAsia="黑体"/>
    </w:rPr>
  </w:style>
  <w:style w:type="character" w:customStyle="1" w:styleId="122">
    <w:name w:val="Heading 2 Hidden Char"/>
    <w:qFormat/>
    <w:uiPriority w:val="0"/>
    <w:rPr>
      <w:rFonts w:ascii="仿宋_GB2312" w:eastAsia="仿宋_GB2312"/>
      <w:b/>
      <w:bCs/>
      <w:kern w:val="2"/>
      <w:sz w:val="24"/>
      <w:szCs w:val="24"/>
      <w:lang w:val="zh-CN" w:eastAsia="zh-CN" w:bidi="ar-SA"/>
    </w:rPr>
  </w:style>
  <w:style w:type="character" w:customStyle="1" w:styleId="123">
    <w:name w:val="正文首行缩进 2 字符"/>
    <w:link w:val="64"/>
    <w:qFormat/>
    <w:uiPriority w:val="0"/>
    <w:rPr>
      <w:rFonts w:ascii="宋体" w:hAnsi="宋体"/>
      <w:kern w:val="2"/>
      <w:sz w:val="21"/>
      <w:szCs w:val="24"/>
    </w:rPr>
  </w:style>
  <w:style w:type="character" w:customStyle="1" w:styleId="124">
    <w:name w:val="font11"/>
    <w:basedOn w:val="72"/>
    <w:qFormat/>
    <w:uiPriority w:val="0"/>
    <w:rPr>
      <w:rFonts w:hint="default" w:ascii="Times New Roman" w:hAnsi="Times New Roman" w:cs="Times New Roman"/>
      <w:color w:val="000000"/>
      <w:sz w:val="22"/>
      <w:szCs w:val="22"/>
      <w:u w:val="none"/>
    </w:rPr>
  </w:style>
  <w:style w:type="character" w:customStyle="1" w:styleId="125">
    <w:name w:val="表正文 Char1"/>
    <w:qFormat/>
    <w:uiPriority w:val="0"/>
    <w:rPr>
      <w:rFonts w:ascii="宋体" w:eastAsia="宋体"/>
      <w:snapToGrid w:val="0"/>
      <w:color w:val="000000"/>
      <w:kern w:val="28"/>
      <w:sz w:val="28"/>
    </w:rPr>
  </w:style>
  <w:style w:type="character" w:customStyle="1" w:styleId="126">
    <w:name w:val="blue1"/>
    <w:basedOn w:val="72"/>
    <w:qFormat/>
    <w:uiPriority w:val="0"/>
    <w:rPr>
      <w:rFonts w:ascii="Arial" w:hAnsi="Arial" w:eastAsia="黑体" w:cs="Arial"/>
      <w:snapToGrid w:val="0"/>
      <w:kern w:val="0"/>
      <w:szCs w:val="21"/>
    </w:rPr>
  </w:style>
  <w:style w:type="character" w:customStyle="1" w:styleId="127">
    <w:name w:val="纯文本 字符1"/>
    <w:link w:val="33"/>
    <w:qFormat/>
    <w:uiPriority w:val="0"/>
    <w:rPr>
      <w:rFonts w:ascii="宋体" w:hAnsi="Courier New" w:eastAsia="宋体" w:cs="Arial"/>
      <w:snapToGrid w:val="0"/>
      <w:kern w:val="2"/>
      <w:sz w:val="21"/>
      <w:szCs w:val="21"/>
      <w:lang w:val="en-US" w:eastAsia="zh-CN" w:bidi="ar-SA"/>
    </w:rPr>
  </w:style>
  <w:style w:type="character" w:customStyle="1" w:styleId="128">
    <w:name w:val="标书1 Char"/>
    <w:qFormat/>
    <w:uiPriority w:val="0"/>
    <w:rPr>
      <w:rFonts w:eastAsia="宋体"/>
      <w:b/>
      <w:bCs/>
      <w:kern w:val="44"/>
      <w:sz w:val="44"/>
      <w:szCs w:val="44"/>
      <w:lang w:val="en-US" w:eastAsia="zh-CN" w:bidi="ar-SA"/>
    </w:rPr>
  </w:style>
  <w:style w:type="character" w:customStyle="1" w:styleId="129">
    <w:name w:val="样式5 Char"/>
    <w:qFormat/>
    <w:uiPriority w:val="0"/>
    <w:rPr>
      <w:rFonts w:ascii="仿宋_GB2312" w:hAnsi="仿宋" w:eastAsia="仿宋_GB2312"/>
      <w:kern w:val="2"/>
      <w:sz w:val="24"/>
      <w:szCs w:val="24"/>
    </w:rPr>
  </w:style>
  <w:style w:type="character" w:customStyle="1" w:styleId="130">
    <w:name w:val="样式4 Char"/>
    <w:qFormat/>
    <w:uiPriority w:val="0"/>
    <w:rPr>
      <w:rFonts w:ascii="仿宋_GB2312" w:hAnsi="仿宋" w:eastAsia="仿宋_GB2312"/>
      <w:b/>
      <w:kern w:val="2"/>
      <w:sz w:val="32"/>
      <w:szCs w:val="32"/>
      <w:lang w:bidi="ar-SA"/>
    </w:rPr>
  </w:style>
  <w:style w:type="character" w:customStyle="1" w:styleId="131">
    <w:name w:val="插图说明 Char"/>
    <w:qFormat/>
    <w:uiPriority w:val="0"/>
    <w:rPr>
      <w:rFonts w:eastAsia="黑体"/>
      <w:sz w:val="24"/>
      <w:lang w:val="en-US" w:eastAsia="zh-CN"/>
    </w:rPr>
  </w:style>
  <w:style w:type="character" w:customStyle="1" w:styleId="132">
    <w:name w:val="正文2 Char Char"/>
    <w:link w:val="133"/>
    <w:qFormat/>
    <w:uiPriority w:val="0"/>
    <w:rPr>
      <w:rFonts w:eastAsia="宋体"/>
      <w:kern w:val="2"/>
      <w:sz w:val="24"/>
      <w:lang w:val="en-US" w:eastAsia="zh-CN" w:bidi="ar-SA"/>
    </w:rPr>
  </w:style>
  <w:style w:type="paragraph" w:customStyle="1" w:styleId="133">
    <w:name w:val="正文2"/>
    <w:basedOn w:val="1"/>
    <w:link w:val="132"/>
    <w:qFormat/>
    <w:uiPriority w:val="0"/>
    <w:pPr>
      <w:spacing w:before="156" w:line="360" w:lineRule="auto"/>
      <w:ind w:firstLine="510" w:firstLineChars="200"/>
    </w:pPr>
    <w:rPr>
      <w:sz w:val="24"/>
      <w:szCs w:val="20"/>
    </w:rPr>
  </w:style>
  <w:style w:type="character" w:customStyle="1" w:styleId="134">
    <w:name w:val="Char Char24"/>
    <w:qFormat/>
    <w:uiPriority w:val="6"/>
    <w:rPr>
      <w:kern w:val="1"/>
      <w:sz w:val="21"/>
    </w:rPr>
  </w:style>
  <w:style w:type="character" w:customStyle="1" w:styleId="135">
    <w:name w:val="副标题 字符"/>
    <w:link w:val="49"/>
    <w:qFormat/>
    <w:uiPriority w:val="0"/>
    <w:rPr>
      <w:rFonts w:ascii="Arial" w:hAnsi="Arial" w:eastAsia="隶书"/>
      <w:b/>
      <w:bCs/>
      <w:kern w:val="28"/>
      <w:sz w:val="44"/>
      <w:szCs w:val="32"/>
      <w:lang w:val="en-US" w:eastAsia="zh-CN" w:bidi="ar-SA"/>
    </w:rPr>
  </w:style>
  <w:style w:type="character" w:customStyle="1" w:styleId="136">
    <w:name w:val="普通文字 Char1 Char"/>
    <w:qFormat/>
    <w:uiPriority w:val="0"/>
    <w:rPr>
      <w:rFonts w:ascii="宋体" w:hAnsi="Courier New" w:eastAsia="宋体"/>
      <w:kern w:val="2"/>
      <w:sz w:val="21"/>
      <w:szCs w:val="24"/>
      <w:lang w:val="en-US" w:eastAsia="zh-CN" w:bidi="ar-SA"/>
    </w:rPr>
  </w:style>
  <w:style w:type="character" w:customStyle="1" w:styleId="137">
    <w:name w:val="h3 Char1"/>
    <w:qFormat/>
    <w:uiPriority w:val="0"/>
    <w:rPr>
      <w:rFonts w:eastAsia="宋体"/>
      <w:b/>
      <w:bCs/>
      <w:kern w:val="2"/>
      <w:sz w:val="32"/>
      <w:szCs w:val="32"/>
      <w:lang w:bidi="ar-SA"/>
    </w:rPr>
  </w:style>
  <w:style w:type="character" w:customStyle="1" w:styleId="138">
    <w:name w:val="标题 Char1"/>
    <w:qFormat/>
    <w:uiPriority w:val="0"/>
    <w:rPr>
      <w:rFonts w:ascii="Cambria" w:hAnsi="Cambria" w:eastAsia="宋体" w:cs="Times New Roman"/>
      <w:b/>
      <w:bCs/>
      <w:sz w:val="32"/>
      <w:szCs w:val="32"/>
      <w:lang w:bidi="ar-SA"/>
    </w:rPr>
  </w:style>
  <w:style w:type="character" w:customStyle="1" w:styleId="139">
    <w:name w:val="gf正文1 Char"/>
    <w:qFormat/>
    <w:uiPriority w:val="0"/>
    <w:rPr>
      <w:rFonts w:ascii="宋体" w:hAnsi="宋体" w:eastAsia="宋体" w:cs="宋体"/>
      <w:kern w:val="2"/>
      <w:sz w:val="24"/>
      <w:szCs w:val="24"/>
      <w:lang w:val="en-US" w:eastAsia="zh-CN" w:bidi="ar-SA"/>
    </w:rPr>
  </w:style>
  <w:style w:type="character" w:customStyle="1" w:styleId="140">
    <w:name w:val="正文文本缩进 Char1"/>
    <w:qFormat/>
    <w:uiPriority w:val="0"/>
    <w:rPr>
      <w:rFonts w:ascii="Calibri" w:hAnsi="Calibri"/>
      <w:sz w:val="28"/>
    </w:rPr>
  </w:style>
  <w:style w:type="character" w:customStyle="1" w:styleId="141">
    <w:name w:val="No Spacing Char"/>
    <w:link w:val="142"/>
    <w:qFormat/>
    <w:uiPriority w:val="1"/>
    <w:rPr>
      <w:sz w:val="22"/>
      <w:szCs w:val="22"/>
      <w:lang w:val="en-US" w:eastAsia="zh-CN" w:bidi="ar-SA"/>
    </w:rPr>
  </w:style>
  <w:style w:type="paragraph" w:customStyle="1" w:styleId="142">
    <w:name w:val="无间隔1"/>
    <w:link w:val="141"/>
    <w:qFormat/>
    <w:uiPriority w:val="1"/>
    <w:rPr>
      <w:rFonts w:ascii="Times New Roman" w:hAnsi="Times New Roman" w:eastAsia="宋体" w:cs="Times New Roman"/>
      <w:sz w:val="22"/>
      <w:szCs w:val="22"/>
      <w:lang w:val="en-US" w:eastAsia="zh-CN" w:bidi="ar-SA"/>
    </w:rPr>
  </w:style>
  <w:style w:type="character" w:customStyle="1" w:styleId="143">
    <w:name w:val="样式7 Char"/>
    <w:qFormat/>
    <w:uiPriority w:val="0"/>
    <w:rPr>
      <w:rFonts w:ascii="仿宋_GB2312" w:hAnsi="仿宋" w:eastAsia="仿宋_GB2312"/>
      <w:b/>
      <w:kern w:val="2"/>
      <w:sz w:val="24"/>
      <w:szCs w:val="24"/>
    </w:rPr>
  </w:style>
  <w:style w:type="character" w:customStyle="1" w:styleId="144">
    <w:name w:val="font12gray1"/>
    <w:qFormat/>
    <w:uiPriority w:val="0"/>
    <w:rPr>
      <w:rFonts w:ascii="仿宋_GB2312" w:eastAsia="微软雅黑"/>
      <w:b/>
      <w:spacing w:val="300"/>
      <w:kern w:val="2"/>
      <w:sz w:val="18"/>
      <w:szCs w:val="18"/>
      <w:lang w:val="en-US" w:eastAsia="zh-CN" w:bidi="ar-SA"/>
    </w:rPr>
  </w:style>
  <w:style w:type="character" w:customStyle="1" w:styleId="145">
    <w:name w:val="Char Char7"/>
    <w:semiHidden/>
    <w:qFormat/>
    <w:uiPriority w:val="0"/>
    <w:rPr>
      <w:rFonts w:eastAsia="宋体"/>
      <w:kern w:val="2"/>
      <w:sz w:val="21"/>
      <w:szCs w:val="24"/>
      <w:lang w:val="en-US" w:eastAsia="zh-CN" w:bidi="ar-SA"/>
    </w:rPr>
  </w:style>
  <w:style w:type="character" w:customStyle="1" w:styleId="146">
    <w:name w:val="表名 Char"/>
    <w:qFormat/>
    <w:uiPriority w:val="0"/>
    <w:rPr>
      <w:rFonts w:eastAsia="宋体"/>
      <w:b/>
      <w:bCs/>
      <w:kern w:val="2"/>
      <w:sz w:val="24"/>
      <w:szCs w:val="24"/>
      <w:lang w:val="en-US" w:eastAsia="zh-CN" w:bidi="ar-SA"/>
    </w:rPr>
  </w:style>
  <w:style w:type="character" w:customStyle="1" w:styleId="147">
    <w:name w:val="Document Map Char"/>
    <w:qFormat/>
    <w:locked/>
    <w:uiPriority w:val="0"/>
    <w:rPr>
      <w:rFonts w:eastAsia="宋体"/>
      <w:kern w:val="2"/>
      <w:sz w:val="21"/>
      <w:szCs w:val="24"/>
      <w:lang w:val="en-US" w:eastAsia="zh-CN" w:bidi="ar-SA"/>
    </w:rPr>
  </w:style>
  <w:style w:type="character" w:customStyle="1" w:styleId="148">
    <w:name w:val="font41"/>
    <w:qFormat/>
    <w:uiPriority w:val="0"/>
    <w:rPr>
      <w:rFonts w:hint="eastAsia" w:ascii="仿宋_GB2312" w:eastAsia="仿宋_GB2312" w:cs="仿宋_GB2312"/>
      <w:color w:val="000000"/>
      <w:sz w:val="22"/>
      <w:szCs w:val="22"/>
      <w:u w:val="none"/>
    </w:rPr>
  </w:style>
  <w:style w:type="character" w:customStyle="1" w:styleId="149">
    <w:name w:val="标题 6 字符"/>
    <w:link w:val="8"/>
    <w:qFormat/>
    <w:uiPriority w:val="0"/>
    <w:rPr>
      <w:rFonts w:ascii="Arial" w:hAnsi="Arial" w:eastAsia="黑体"/>
      <w:b/>
      <w:bCs/>
      <w:kern w:val="2"/>
      <w:sz w:val="24"/>
      <w:szCs w:val="24"/>
    </w:rPr>
  </w:style>
  <w:style w:type="character" w:customStyle="1" w:styleId="150">
    <w:name w:val="纯文本 Char_0"/>
    <w:link w:val="151"/>
    <w:qFormat/>
    <w:uiPriority w:val="0"/>
    <w:rPr>
      <w:rFonts w:ascii="宋体" w:hAnsi="Courier New"/>
      <w:kern w:val="2"/>
      <w:sz w:val="21"/>
      <w:szCs w:val="21"/>
      <w:lang w:val="en-US" w:eastAsia="zh-CN"/>
    </w:rPr>
  </w:style>
  <w:style w:type="paragraph" w:customStyle="1" w:styleId="151">
    <w:name w:val="纯文本_0_0"/>
    <w:basedOn w:val="152"/>
    <w:link w:val="150"/>
    <w:qFormat/>
    <w:uiPriority w:val="0"/>
    <w:rPr>
      <w:rFonts w:ascii="宋体" w:hAnsi="Courier New"/>
      <w:szCs w:val="21"/>
    </w:rPr>
  </w:style>
  <w:style w:type="paragraph" w:customStyle="1" w:styleId="15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qFormat/>
    <w:locked/>
    <w:uiPriority w:val="0"/>
    <w:rPr>
      <w:rFonts w:eastAsia="宋体"/>
      <w:kern w:val="2"/>
      <w:sz w:val="18"/>
      <w:szCs w:val="18"/>
      <w:lang w:val="en-US" w:eastAsia="zh-CN" w:bidi="ar-SA"/>
    </w:rPr>
  </w:style>
  <w:style w:type="character" w:customStyle="1" w:styleId="154">
    <w:name w:val="正文 项目2 Char"/>
    <w:basedOn w:val="155"/>
    <w:qFormat/>
    <w:uiPriority w:val="0"/>
    <w:rPr>
      <w:rFonts w:ascii="仿宋_GB2312" w:hAnsi="仿宋_GB2312" w:eastAsia="仿宋_GB2312"/>
      <w:kern w:val="2"/>
      <w:sz w:val="24"/>
      <w:lang w:bidi="ar-SA"/>
    </w:rPr>
  </w:style>
  <w:style w:type="character" w:customStyle="1" w:styleId="155">
    <w:name w:val="正文 项目 Char"/>
    <w:qFormat/>
    <w:uiPriority w:val="0"/>
    <w:rPr>
      <w:rFonts w:ascii="仿宋_GB2312" w:hAnsi="仿宋_GB2312" w:eastAsia="仿宋_GB2312"/>
      <w:kern w:val="2"/>
      <w:sz w:val="24"/>
      <w:lang w:bidi="ar-SA"/>
    </w:rPr>
  </w:style>
  <w:style w:type="character" w:customStyle="1" w:styleId="156">
    <w:name w:val="h Char Char1"/>
    <w:qFormat/>
    <w:uiPriority w:val="0"/>
    <w:rPr>
      <w:rFonts w:eastAsia="宋体"/>
      <w:kern w:val="2"/>
      <w:sz w:val="18"/>
      <w:szCs w:val="18"/>
      <w:lang w:val="en-US" w:eastAsia="zh-CN" w:bidi="ar-SA"/>
    </w:rPr>
  </w:style>
  <w:style w:type="character" w:customStyle="1" w:styleId="157">
    <w:name w:val="Char Char27"/>
    <w:qFormat/>
    <w:uiPriority w:val="6"/>
    <w:rPr>
      <w:rFonts w:ascii="宋体" w:hAnsi="宋体" w:eastAsia="宋体"/>
      <w:color w:val="000000"/>
      <w:kern w:val="1"/>
      <w:sz w:val="28"/>
      <w:lang w:val="en-US" w:eastAsia="zh-CN" w:bidi="ar-SA"/>
    </w:rPr>
  </w:style>
  <w:style w:type="character" w:customStyle="1" w:styleId="158">
    <w:name w:val="px14"/>
    <w:qFormat/>
    <w:uiPriority w:val="0"/>
    <w:rPr>
      <w:rFonts w:ascii="仿宋_GB2312" w:eastAsia="微软雅黑" w:cs="Times New Roman"/>
      <w:b/>
      <w:kern w:val="2"/>
      <w:sz w:val="32"/>
      <w:szCs w:val="32"/>
      <w:lang w:val="en-US" w:eastAsia="zh-CN" w:bidi="ar-SA"/>
    </w:rPr>
  </w:style>
  <w:style w:type="character" w:customStyle="1" w:styleId="159">
    <w:name w:val="HTML 预设格式 Char1"/>
    <w:qFormat/>
    <w:uiPriority w:val="0"/>
    <w:rPr>
      <w:rFonts w:ascii="Courier New" w:hAnsi="Courier New" w:eastAsia="宋体" w:cs="Courier New"/>
      <w:sz w:val="20"/>
      <w:szCs w:val="20"/>
    </w:rPr>
  </w:style>
  <w:style w:type="character" w:customStyle="1" w:styleId="160">
    <w:name w:val="普通文字 Char1"/>
    <w:qFormat/>
    <w:uiPriority w:val="0"/>
    <w:rPr>
      <w:rFonts w:ascii="宋体" w:hAnsi="Courier New" w:eastAsia="宋体"/>
      <w:kern w:val="2"/>
      <w:sz w:val="21"/>
      <w:lang w:val="en-US" w:eastAsia="zh-CN"/>
    </w:rPr>
  </w:style>
  <w:style w:type="character" w:customStyle="1" w:styleId="161">
    <w:name w:val="hei16b1"/>
    <w:qFormat/>
    <w:uiPriority w:val="0"/>
    <w:rPr>
      <w:rFonts w:hint="default" w:ascii="Arial" w:hAnsi="Arial" w:cs="Arial"/>
      <w:b/>
      <w:bCs/>
      <w:color w:val="000000"/>
      <w:sz w:val="24"/>
      <w:szCs w:val="24"/>
    </w:rPr>
  </w:style>
  <w:style w:type="character" w:customStyle="1" w:styleId="162">
    <w:name w:val="正文（绿盟科技） Char"/>
    <w:link w:val="163"/>
    <w:qFormat/>
    <w:uiPriority w:val="0"/>
    <w:rPr>
      <w:rFonts w:ascii="Arial" w:hAnsi="Arial"/>
      <w:sz w:val="21"/>
      <w:szCs w:val="21"/>
    </w:rPr>
  </w:style>
  <w:style w:type="paragraph" w:customStyle="1" w:styleId="163">
    <w:name w:val="正文（绿盟科技）"/>
    <w:link w:val="162"/>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qFormat/>
    <w:uiPriority w:val="6"/>
    <w:rPr>
      <w:rFonts w:ascii="宋体" w:hAnsi="宋体"/>
      <w:i/>
      <w:sz w:val="24"/>
      <w:szCs w:val="24"/>
    </w:rPr>
  </w:style>
  <w:style w:type="character" w:customStyle="1" w:styleId="165">
    <w:name w:val="页脚 Char"/>
    <w:qFormat/>
    <w:uiPriority w:val="0"/>
    <w:rPr>
      <w:rFonts w:eastAsia="仿宋_GB2312"/>
      <w:kern w:val="2"/>
      <w:sz w:val="18"/>
      <w:lang w:val="en-US" w:eastAsia="zh-CN"/>
    </w:rPr>
  </w:style>
  <w:style w:type="character" w:customStyle="1" w:styleId="166">
    <w:name w:val="批注主题 Char"/>
    <w:qFormat/>
    <w:uiPriority w:val="0"/>
    <w:rPr>
      <w:rFonts w:eastAsia="宋体"/>
      <w:b/>
      <w:bCs/>
      <w:kern w:val="2"/>
      <w:sz w:val="21"/>
      <w:szCs w:val="24"/>
      <w:lang w:val="en-US" w:eastAsia="zh-CN" w:bidi="ar-SA"/>
    </w:rPr>
  </w:style>
  <w:style w:type="character" w:customStyle="1" w:styleId="167">
    <w:name w:val="Comment Text Char"/>
    <w:qFormat/>
    <w:locked/>
    <w:uiPriority w:val="0"/>
    <w:rPr>
      <w:rFonts w:ascii="宋体" w:hAnsi="宋体" w:eastAsia="宋体"/>
      <w:kern w:val="2"/>
      <w:sz w:val="24"/>
      <w:lang w:val="en-US" w:eastAsia="zh-CN" w:bidi="ar-SA"/>
    </w:rPr>
  </w:style>
  <w:style w:type="character" w:customStyle="1" w:styleId="168">
    <w:name w:val="标题 2 字符"/>
    <w:qFormat/>
    <w:uiPriority w:val="0"/>
    <w:rPr>
      <w:rFonts w:ascii="仿宋_GB2312" w:hAnsi="Times New Roman" w:eastAsia="仿宋_GB2312" w:cs="Times New Roman"/>
      <w:b/>
      <w:kern w:val="2"/>
      <w:sz w:val="24"/>
      <w:lang w:val="zh-CN"/>
    </w:rPr>
  </w:style>
  <w:style w:type="character" w:customStyle="1" w:styleId="169">
    <w:name w:val="Char Char72"/>
    <w:qFormat/>
    <w:uiPriority w:val="0"/>
    <w:rPr>
      <w:rFonts w:eastAsia="宋体"/>
      <w:kern w:val="2"/>
      <w:sz w:val="21"/>
      <w:szCs w:val="24"/>
      <w:lang w:val="en-US" w:eastAsia="zh-CN" w:bidi="ar-SA"/>
    </w:rPr>
  </w:style>
  <w:style w:type="character" w:customStyle="1" w:styleId="170">
    <w:name w:val="正文文本缩进 Char2"/>
    <w:qFormat/>
    <w:uiPriority w:val="0"/>
    <w:rPr>
      <w:rFonts w:ascii="Times New Roman" w:hAnsi="Times New Roman" w:eastAsia="宋体" w:cs="Times New Roman"/>
      <w:snapToGrid w:val="0"/>
      <w:kern w:val="0"/>
      <w:szCs w:val="24"/>
    </w:rPr>
  </w:style>
  <w:style w:type="character" w:customStyle="1" w:styleId="171">
    <w:name w:val="样式2 Char"/>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qFormat/>
    <w:uiPriority w:val="0"/>
    <w:rPr>
      <w:sz w:val="32"/>
    </w:rPr>
  </w:style>
  <w:style w:type="paragraph" w:customStyle="1" w:styleId="173">
    <w:name w:val="表格名称"/>
    <w:basedOn w:val="4"/>
    <w:link w:val="172"/>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qFormat/>
    <w:uiPriority w:val="0"/>
    <w:rPr>
      <w:rFonts w:eastAsia="宋体"/>
      <w:b/>
      <w:sz w:val="24"/>
      <w:lang w:val="en-GB" w:eastAsia="zh-CN" w:bidi="ar-SA"/>
    </w:rPr>
  </w:style>
  <w:style w:type="character" w:customStyle="1" w:styleId="175">
    <w:name w:val="c7 style3"/>
    <w:qFormat/>
    <w:uiPriority w:val="0"/>
  </w:style>
  <w:style w:type="character" w:customStyle="1" w:styleId="176">
    <w:name w:val="正文文本 3 Char1"/>
    <w:semiHidden/>
    <w:qFormat/>
    <w:uiPriority w:val="99"/>
    <w:rPr>
      <w:rFonts w:ascii="Times New Roman" w:hAnsi="Times New Roman" w:eastAsia="宋体" w:cs="Times New Roman"/>
      <w:sz w:val="16"/>
      <w:szCs w:val="16"/>
    </w:rPr>
  </w:style>
  <w:style w:type="character" w:customStyle="1" w:styleId="177">
    <w:name w:val="tw4winInternal"/>
    <w:qFormat/>
    <w:uiPriority w:val="0"/>
    <w:rPr>
      <w:rFonts w:ascii="Courier New" w:hAnsi="Courier New" w:cs="Courier New"/>
      <w:color w:val="FF0000"/>
      <w:lang w:val="en-US" w:eastAsia="zh-CN"/>
    </w:rPr>
  </w:style>
  <w:style w:type="character" w:customStyle="1" w:styleId="178">
    <w:name w:val="Char Char10"/>
    <w:semiHidden/>
    <w:qFormat/>
    <w:uiPriority w:val="0"/>
    <w:rPr>
      <w:rFonts w:ascii="宋体" w:hAnsi="宋体"/>
      <w:kern w:val="2"/>
      <w:sz w:val="21"/>
      <w:szCs w:val="24"/>
      <w:lang w:val="en-US" w:eastAsia="zh-CN"/>
    </w:rPr>
  </w:style>
  <w:style w:type="character" w:customStyle="1" w:styleId="179">
    <w:name w:val="shadow11"/>
    <w:qFormat/>
    <w:uiPriority w:val="0"/>
    <w:rPr>
      <w:color w:val="000000"/>
      <w:sz w:val="21"/>
    </w:rPr>
  </w:style>
  <w:style w:type="character" w:customStyle="1" w:styleId="180">
    <w:name w:val="正文非缩进 Char3"/>
    <w:qFormat/>
    <w:uiPriority w:val="0"/>
    <w:rPr>
      <w:rFonts w:ascii="宋体" w:eastAsia="宋体"/>
      <w:snapToGrid w:val="0"/>
      <w:color w:val="000000"/>
      <w:kern w:val="28"/>
      <w:sz w:val="28"/>
      <w:lang w:val="en-US" w:eastAsia="zh-CN" w:bidi="ar-SA"/>
    </w:rPr>
  </w:style>
  <w:style w:type="character" w:customStyle="1" w:styleId="181">
    <w:name w:val="Char Char"/>
    <w:qFormat/>
    <w:uiPriority w:val="0"/>
    <w:rPr>
      <w:rFonts w:ascii="宋体" w:hAnsi="Courier New" w:eastAsia="宋体"/>
      <w:kern w:val="2"/>
      <w:sz w:val="21"/>
      <w:lang w:val="en-US" w:eastAsia="zh-CN" w:bidi="ar-SA"/>
    </w:rPr>
  </w:style>
  <w:style w:type="character" w:customStyle="1" w:styleId="182">
    <w:name w:val="签名 Char1"/>
    <w:qFormat/>
    <w:uiPriority w:val="0"/>
    <w:rPr>
      <w:rFonts w:ascii="Times New Roman" w:hAnsi="Times New Roman" w:eastAsia="宋体" w:cs="Times New Roman"/>
      <w:szCs w:val="24"/>
    </w:rPr>
  </w:style>
  <w:style w:type="character" w:customStyle="1" w:styleId="183">
    <w:name w:val="日期 字符"/>
    <w:link w:val="36"/>
    <w:qFormat/>
    <w:uiPriority w:val="0"/>
    <w:rPr>
      <w:rFonts w:ascii="宋体"/>
      <w:kern w:val="2"/>
      <w:sz w:val="24"/>
      <w:szCs w:val="21"/>
      <w:lang w:val="zh-CN"/>
    </w:rPr>
  </w:style>
  <w:style w:type="character" w:customStyle="1" w:styleId="184">
    <w:name w:val="标题 9 字符"/>
    <w:link w:val="11"/>
    <w:qFormat/>
    <w:uiPriority w:val="0"/>
    <w:rPr>
      <w:rFonts w:ascii="Arial" w:hAnsi="Arial" w:eastAsia="黑体"/>
      <w:kern w:val="2"/>
      <w:sz w:val="21"/>
      <w:szCs w:val="21"/>
    </w:rPr>
  </w:style>
  <w:style w:type="character" w:customStyle="1" w:styleId="185">
    <w:name w:val="Char Char18"/>
    <w:qFormat/>
    <w:uiPriority w:val="6"/>
    <w:rPr>
      <w:rFonts w:ascii="宋体" w:hAnsi="宋体"/>
      <w:sz w:val="28"/>
    </w:rPr>
  </w:style>
  <w:style w:type="character" w:customStyle="1" w:styleId="186">
    <w:name w:val="批注文字 Char"/>
    <w:qFormat/>
    <w:uiPriority w:val="0"/>
    <w:rPr>
      <w:kern w:val="2"/>
      <w:sz w:val="21"/>
      <w:szCs w:val="24"/>
    </w:rPr>
  </w:style>
  <w:style w:type="character" w:customStyle="1" w:styleId="187">
    <w:name w:val="Char Char22"/>
    <w:qFormat/>
    <w:uiPriority w:val="6"/>
    <w:rPr>
      <w:rFonts w:ascii="宋体" w:hAnsi="宋体"/>
      <w:kern w:val="1"/>
      <w:sz w:val="24"/>
      <w:szCs w:val="24"/>
    </w:rPr>
  </w:style>
  <w:style w:type="character" w:customStyle="1" w:styleId="188">
    <w:name w:val="pt141"/>
    <w:qFormat/>
    <w:uiPriority w:val="0"/>
    <w:rPr>
      <w:color w:val="330066"/>
      <w:sz w:val="22"/>
      <w:szCs w:val="22"/>
    </w:rPr>
  </w:style>
  <w:style w:type="character" w:customStyle="1" w:styleId="189">
    <w:name w:val="正文文本缩进 2 Char1"/>
    <w:semiHidden/>
    <w:qFormat/>
    <w:uiPriority w:val="99"/>
    <w:rPr>
      <w:rFonts w:ascii="Times New Roman" w:hAnsi="Times New Roman" w:eastAsia="宋体" w:cs="Times New Roman"/>
      <w:szCs w:val="24"/>
    </w:rPr>
  </w:style>
  <w:style w:type="character" w:customStyle="1" w:styleId="190">
    <w:name w:val="批注框文本 字符1"/>
    <w:link w:val="39"/>
    <w:qFormat/>
    <w:uiPriority w:val="0"/>
    <w:rPr>
      <w:kern w:val="2"/>
      <w:sz w:val="18"/>
      <w:szCs w:val="18"/>
    </w:rPr>
  </w:style>
  <w:style w:type="character" w:customStyle="1" w:styleId="191">
    <w:name w:val="Char Char611"/>
    <w:qFormat/>
    <w:uiPriority w:val="0"/>
    <w:rPr>
      <w:rFonts w:eastAsia="宋体"/>
      <w:kern w:val="2"/>
      <w:sz w:val="21"/>
      <w:szCs w:val="24"/>
      <w:lang w:val="en-US" w:eastAsia="zh-CN" w:bidi="ar-SA"/>
    </w:rPr>
  </w:style>
  <w:style w:type="character" w:customStyle="1" w:styleId="192">
    <w:name w:val="highlight1"/>
    <w:qFormat/>
    <w:uiPriority w:val="0"/>
    <w:rPr>
      <w:rFonts w:ascii="仿宋_GB2312" w:eastAsia="微软雅黑"/>
      <w:b/>
      <w:kern w:val="2"/>
      <w:sz w:val="23"/>
      <w:szCs w:val="23"/>
      <w:lang w:val="en-US" w:eastAsia="zh-CN" w:bidi="ar-SA"/>
    </w:rPr>
  </w:style>
  <w:style w:type="character" w:customStyle="1" w:styleId="193">
    <w:name w:val="my正文 Char"/>
    <w:link w:val="82"/>
    <w:qFormat/>
    <w:locked/>
    <w:uiPriority w:val="0"/>
    <w:rPr>
      <w:rFonts w:ascii="Tahoma" w:hAnsi="Tahoma"/>
      <w:sz w:val="24"/>
      <w:szCs w:val="24"/>
    </w:rPr>
  </w:style>
  <w:style w:type="character" w:customStyle="1" w:styleId="194">
    <w:name w:val="正文缩进 字符2"/>
    <w:link w:val="16"/>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5"/>
    <w:qFormat/>
    <w:uiPriority w:val="99"/>
    <w:pPr>
      <w:keepLines w:val="0"/>
      <w:widowControl/>
      <w:tabs>
        <w:tab w:val="clear" w:pos="900"/>
      </w:tabs>
      <w:spacing w:before="240" w:after="240" w:line="360" w:lineRule="auto"/>
      <w:ind w:left="851" w:right="407" w:rightChars="194" w:hanging="851"/>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9"/>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semiHidden/>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2"/>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1"/>
    <w:qFormat/>
    <w:uiPriority w:val="0"/>
    <w:rPr>
      <w:rFonts w:ascii="仿宋_GB2312" w:hAnsi="仿宋" w:eastAsia="仿宋_GB2312" w:cs="仿宋_GB2312"/>
      <w:sz w:val="32"/>
      <w:szCs w:val="30"/>
      <w:lang w:val="zh-CN"/>
    </w:rPr>
  </w:style>
  <w:style w:type="character" w:customStyle="1" w:styleId="220">
    <w:name w:val="HTML 地址 字符"/>
    <w:link w:val="30"/>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left" w:pos="851"/>
        <w:tab w:val="clear" w:pos="864"/>
      </w:tabs>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
    <w:qFormat/>
    <w:locked/>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7"/>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236"/>
    <w:qFormat/>
    <w:uiPriority w:val="0"/>
    <w:rPr>
      <w:rFonts w:ascii="仿宋_GB2312" w:eastAsia="仿宋_GB2312" w:cs="仿宋_GB2312"/>
      <w:color w:val="000000"/>
      <w:sz w:val="24"/>
      <w:szCs w:val="24"/>
      <w:lang w:val="en-US" w:eastAsia="zh-CN" w:bidi="ar-SA"/>
    </w:rPr>
  </w:style>
  <w:style w:type="paragraph" w:customStyle="1" w:styleId="236">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semiHidden/>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locked/>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
    <w:link w:val="257"/>
    <w:qFormat/>
    <w:uiPriority w:val="0"/>
    <w:pPr>
      <w:widowControl/>
      <w:adjustRightInd/>
      <w:spacing w:after="200" w:line="360" w:lineRule="auto"/>
      <w:ind w:left="720" w:firstLine="200" w:firstLineChars="200"/>
      <w:jc w:val="left"/>
    </w:pPr>
    <w:rPr>
      <w:kern w:val="0"/>
      <w:sz w:val="24"/>
      <w:szCs w:val="20"/>
      <w:lang w:eastAsia="en-US"/>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34"/>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5"/>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semiHidden/>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
    <w:qFormat/>
    <w:locked/>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61"/>
    <w:qFormat/>
    <w:uiPriority w:val="10"/>
    <w:rPr>
      <w:b/>
      <w:sz w:val="24"/>
      <w:lang w:val="en-GB"/>
    </w:rPr>
  </w:style>
  <w:style w:type="character" w:customStyle="1" w:styleId="287">
    <w:name w:val="font81"/>
    <w:basedOn w:val="72"/>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7"/>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1"/>
    <w:qFormat/>
    <w:uiPriority w:val="0"/>
    <w:rPr>
      <w:rFonts w:ascii="仿宋_GB2312" w:eastAsia="仿宋_GB2312"/>
      <w:kern w:val="2"/>
      <w:sz w:val="28"/>
    </w:rPr>
  </w:style>
  <w:style w:type="character" w:customStyle="1" w:styleId="299">
    <w:name w:val="文本正文 Char Char"/>
    <w:qFormat/>
    <w:locked/>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9"/>
    <w:qFormat/>
    <w:uiPriority w:val="0"/>
    <w:rPr>
      <w:rFonts w:ascii="黑体" w:hAnsi="Courier New" w:eastAsia="黑体"/>
    </w:rPr>
  </w:style>
  <w:style w:type="character" w:customStyle="1" w:styleId="302">
    <w:name w:val="正文文本 2 字符1"/>
    <w:link w:val="58"/>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6"/>
    <w:link w:val="413"/>
    <w:qFormat/>
    <w:uiPriority w:val="0"/>
    <w:pPr>
      <w:tabs>
        <w:tab w:val="left" w:pos="2356"/>
        <w:tab w:val="clear" w:pos="864"/>
      </w:tabs>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9"/>
    <w:qFormat/>
    <w:uiPriority w:val="0"/>
    <w:rPr>
      <w:b/>
      <w:bCs/>
      <w:kern w:val="2"/>
      <w:sz w:val="24"/>
      <w:szCs w:val="24"/>
    </w:rPr>
  </w:style>
  <w:style w:type="character" w:customStyle="1" w:styleId="308">
    <w:name w:val="正文文本缩进 2 字符"/>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2"/>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字符"/>
    <w:link w:val="63"/>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6"/>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2"/>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20"/>
    <w:qFormat/>
    <w:uiPriority w:val="0"/>
    <w:rPr>
      <w:kern w:val="2"/>
      <w:sz w:val="21"/>
      <w:szCs w:val="24"/>
    </w:rPr>
  </w:style>
  <w:style w:type="character" w:customStyle="1" w:styleId="345">
    <w:name w:val="签名 字符"/>
    <w:link w:val="44"/>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semiHidden/>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10"/>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5"/>
    <w:qFormat/>
    <w:uiPriority w:val="0"/>
    <w:rPr>
      <w:kern w:val="2"/>
      <w:sz w:val="24"/>
    </w:rPr>
  </w:style>
  <w:style w:type="character" w:customStyle="1" w:styleId="376">
    <w:name w:val="日期 Char1"/>
    <w:semiHidden/>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40"/>
    <w:qFormat/>
    <w:locked/>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2"/>
    <w:qFormat/>
    <w:uiPriority w:val="99"/>
    <w:rPr>
      <w:rFonts w:ascii="Times New Roman" w:hAnsi="Times New Roman" w:eastAsia="宋体"/>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2"/>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0"/>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6"/>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4"/>
    <w:qFormat/>
    <w:uiPriority w:val="0"/>
    <w:rPr>
      <w:rFonts w:ascii="宋体" w:hAnsi="Arial" w:eastAsia="宋体" w:cs="Arial"/>
      <w:snapToGrid w:val="0"/>
      <w:kern w:val="2"/>
      <w:sz w:val="24"/>
      <w:szCs w:val="21"/>
      <w:lang w:val="zh-CN" w:eastAsia="zh-CN" w:bidi="ar-SA"/>
    </w:rPr>
  </w:style>
  <w:style w:type="character" w:customStyle="1" w:styleId="431">
    <w:name w:val="gray6"/>
    <w:basedOn w:val="72"/>
    <w:qFormat/>
    <w:uiPriority w:val="0"/>
    <w:rPr>
      <w:rFonts w:ascii="Arial" w:hAnsi="Arial" w:eastAsia="黑体" w:cs="Arial"/>
      <w:snapToGrid w:val="0"/>
      <w:kern w:val="0"/>
      <w:szCs w:val="21"/>
    </w:rPr>
  </w:style>
  <w:style w:type="character" w:customStyle="1" w:styleId="432">
    <w:name w:val="hui"/>
    <w:basedOn w:val="72"/>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33"/>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3">
    <w:name w:val="No Spacing"/>
    <w:basedOn w:val="1"/>
    <w:link w:val="931"/>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5"/>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7"/>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3"/>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5"/>
    <w:qFormat/>
    <w:uiPriority w:val="0"/>
    <w:pPr>
      <w:tabs>
        <w:tab w:val="left" w:pos="1680"/>
      </w:tabs>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6"/>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qFormat/>
    <w:uiPriority w:val="0"/>
    <w:pPr>
      <w:widowControl/>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236"/>
    <w:next w:val="236"/>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236"/>
    <w:next w:val="236"/>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8"/>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5"/>
    <w:qFormat/>
    <w:uiPriority w:val="0"/>
    <w:pPr>
      <w:spacing w:before="200" w:after="200" w:line="560" w:lineRule="exac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beforeLines="0" w:after="0" w:afterLines="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qFormat/>
    <w:uiPriority w:val="0"/>
    <w:pPr>
      <w:tabs>
        <w:tab w:val="left" w:pos="2100"/>
      </w:tabs>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5"/>
    <w:qFormat/>
    <w:uiPriority w:val="0"/>
    <w:pPr>
      <w:keepLines w:val="0"/>
      <w:spacing w:before="0" w:after="0" w:line="240" w:lineRule="auto"/>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1"/>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1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5"/>
    <w:next w:val="55"/>
    <w:qFormat/>
    <w:uiPriority w:val="0"/>
    <w:pPr>
      <w:tabs>
        <w:tab w:val="clear" w:pos="900"/>
      </w:tabs>
      <w:spacing w:after="0" w:line="360" w:lineRule="auto"/>
    </w:pPr>
    <w:rPr>
      <w:rFonts w:asci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40"/>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5"/>
    <w:next w:val="640"/>
    <w:qFormat/>
    <w:uiPriority w:val="0"/>
    <w:pPr>
      <w:tabs>
        <w:tab w:val="left" w:pos="2940"/>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4"/>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43"/>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qFormat/>
    <w:uiPriority w:val="0"/>
    <w:pPr>
      <w:snapToGrid w:val="0"/>
      <w:ind w:left="0" w:firstLine="0"/>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9"/>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2"/>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8"/>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qFormat/>
    <w:uiPriority w:val="0"/>
    <w:pPr>
      <w:keepLines w:val="0"/>
      <w:widowControl/>
      <w:snapToGrid w:val="0"/>
      <w:spacing w:before="120" w:after="60" w:line="300" w:lineRule="auto"/>
    </w:pPr>
    <w:rPr>
      <w:rFonts w:ascii="Arial Narrow" w:hAnsi="Arial Narrow"/>
      <w:b w:val="0"/>
      <w:bCs w:val="0"/>
      <w:color w:val="000000"/>
      <w:kern w:val="0"/>
      <w:sz w:val="28"/>
    </w:rPr>
  </w:style>
  <w:style w:type="paragraph" w:customStyle="1" w:styleId="889">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9"/>
    <w:qFormat/>
    <w:uiPriority w:val="0"/>
    <w:rPr>
      <w:b w:val="0"/>
      <w:sz w:val="20"/>
    </w:rPr>
  </w:style>
  <w:style w:type="paragraph" w:customStyle="1" w:styleId="892">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3"/>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2"/>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locked/>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字符"/>
    <w:link w:val="38"/>
    <w:qFormat/>
    <w:uiPriority w:val="0"/>
    <w:rPr>
      <w:kern w:val="2"/>
      <w:sz w:val="21"/>
      <w:szCs w:val="24"/>
      <w:lang w:val="zh-CN"/>
    </w:rPr>
  </w:style>
  <w:style w:type="character" w:customStyle="1" w:styleId="931">
    <w:name w:val="无间隔 字符"/>
    <w:link w:val="483"/>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1"/>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2"/>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3">
    <w:name w:val="WPSOffice手动目录 1"/>
    <w:qFormat/>
    <w:uiPriority w:val="0"/>
    <w:rPr>
      <w:rFonts w:ascii="Times New Roman" w:hAnsi="Times New Roman" w:eastAsia="宋体" w:cs="Times New Roman"/>
      <w:lang w:val="en-US" w:eastAsia="zh-CN" w:bidi="ar-SA"/>
    </w:rPr>
  </w:style>
  <w:style w:type="paragraph" w:customStyle="1" w:styleId="964">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965">
    <w:name w:val="DAS正文"/>
    <w:basedOn w:val="1"/>
    <w:qFormat/>
    <w:uiPriority w:val="0"/>
    <w:pPr>
      <w:tabs>
        <w:tab w:val="left" w:pos="1200"/>
      </w:tabs>
      <w:spacing w:line="360" w:lineRule="exact"/>
      <w:ind w:left="-17" w:leftChars="-8" w:right="181" w:firstLine="632" w:firstLineChars="300"/>
    </w:pPr>
    <w:rPr>
      <w:rFonts w:ascii="Verdana" w:hAnsi="Verdana"/>
      <w:b/>
      <w:bCs/>
      <w:szCs w:val="21"/>
    </w:rPr>
  </w:style>
  <w:style w:type="character" w:customStyle="1" w:styleId="966">
    <w:name w:val="未处理的提及2"/>
    <w:basedOn w:val="72"/>
    <w:semiHidden/>
    <w:unhideWhenUsed/>
    <w:qFormat/>
    <w:uiPriority w:val="99"/>
    <w:rPr>
      <w:color w:val="605E5C"/>
      <w:shd w:val="clear" w:color="auto" w:fill="E1DFDD"/>
    </w:rPr>
  </w:style>
  <w:style w:type="paragraph" w:customStyle="1" w:styleId="967">
    <w:name w:val="hc正文1.5"/>
    <w:basedOn w:val="1"/>
    <w:qFormat/>
    <w:uiPriority w:val="0"/>
    <w:pPr>
      <w:tabs>
        <w:tab w:val="left" w:pos="3265"/>
      </w:tabs>
      <w:adjustRightInd/>
      <w:spacing w:beforeLines="20" w:afterLines="20" w:line="460" w:lineRule="exact"/>
      <w:ind w:firstLine="480" w:firstLineChars="200"/>
    </w:pPr>
    <w:rPr>
      <w:rFonts w:ascii="宋体" w:hAnsi="宋体" w:cs="仿宋_GB2312"/>
    </w:rPr>
  </w:style>
  <w:style w:type="paragraph" w:customStyle="1" w:styleId="968">
    <w:name w:val="正文空格"/>
    <w:basedOn w:val="1"/>
    <w:next w:val="1"/>
    <w:qFormat/>
    <w:uiPriority w:val="0"/>
    <w:pPr>
      <w:adjustRightInd/>
      <w:spacing w:line="400" w:lineRule="exact"/>
      <w:ind w:firstLine="200" w:firstLineChars="200"/>
    </w:pPr>
    <w:rPr>
      <w:szCs w:val="22"/>
    </w:rPr>
  </w:style>
  <w:style w:type="paragraph" w:customStyle="1" w:styleId="969">
    <w:name w:val="MY正文"/>
    <w:basedOn w:val="1"/>
    <w:qFormat/>
    <w:uiPriority w:val="0"/>
    <w:pPr>
      <w:spacing w:line="360" w:lineRule="auto"/>
      <w:ind w:firstLine="560" w:firstLineChars="200"/>
    </w:pPr>
    <w:rPr>
      <w:rFonts w:eastAsia="仿宋"/>
      <w:szCs w:val="28"/>
    </w:rPr>
  </w:style>
  <w:style w:type="paragraph" w:customStyle="1" w:styleId="970">
    <w:name w:val="Heading #4|1"/>
    <w:basedOn w:val="1"/>
    <w:qFormat/>
    <w:uiPriority w:val="0"/>
    <w:pPr>
      <w:spacing w:after="370" w:line="456" w:lineRule="auto"/>
      <w:ind w:firstLine="560"/>
      <w:outlineLvl w:val="3"/>
    </w:pPr>
    <w:rPr>
      <w:rFonts w:ascii="宋体" w:hAnsi="宋体" w:cs="宋体"/>
      <w:b/>
      <w:bCs/>
      <w:sz w:val="28"/>
      <w:szCs w:val="28"/>
      <w:lang w:val="zh-TW" w:eastAsia="zh-TW" w:bidi="zh-TW"/>
    </w:rPr>
  </w:style>
  <w:style w:type="paragraph" w:customStyle="1" w:styleId="971">
    <w:name w:val="正文-正文"/>
    <w:basedOn w:val="1"/>
    <w:qFormat/>
    <w:uiPriority w:val="0"/>
    <w:pPr>
      <w:spacing w:line="360" w:lineRule="auto"/>
      <w:ind w:firstLine="200" w:firstLineChars="200"/>
    </w:pPr>
    <w:rPr>
      <w:rFonts w:eastAsia="仿宋_GB2312"/>
      <w:sz w:val="28"/>
    </w:r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footer5.xml" Type="http://schemas.openxmlformats.org/officeDocument/2006/relationships/footer"/><Relationship Id="rId11" Target="header4.xml" Type="http://schemas.openxmlformats.org/officeDocument/2006/relationships/header"/><Relationship Id="rId12" Target="header5.xml" Type="http://schemas.openxmlformats.org/officeDocument/2006/relationships/header"/><Relationship Id="rId13" Target="footer6.xml" Type="http://schemas.openxmlformats.org/officeDocument/2006/relationships/footer"/><Relationship Id="rId14" Target="footer7.xml" Type="http://schemas.openxmlformats.org/officeDocument/2006/relationships/footer"/><Relationship Id="rId15" Target="header6.xml" Type="http://schemas.openxmlformats.org/officeDocument/2006/relationships/header"/><Relationship Id="rId16" Target="header7.xml" Type="http://schemas.openxmlformats.org/officeDocument/2006/relationships/header"/><Relationship Id="rId17" Target="footer8.xml" Type="http://schemas.openxmlformats.org/officeDocument/2006/relationships/footer"/><Relationship Id="rId18" Target="footer9.xml" Type="http://schemas.openxmlformats.org/officeDocument/2006/relationships/footer"/><Relationship Id="rId19" Target="header8.xml" Type="http://schemas.openxmlformats.org/officeDocument/2006/relationships/header"/><Relationship Id="rId2" Target="settings.xml" Type="http://schemas.openxmlformats.org/officeDocument/2006/relationships/settings"/><Relationship Id="rId20" Target="header9.xml" Type="http://schemas.openxmlformats.org/officeDocument/2006/relationships/header"/><Relationship Id="rId21" Target="footer10.xml" Type="http://schemas.openxmlformats.org/officeDocument/2006/relationships/footer"/><Relationship Id="rId22" Target="footer11.xml" Type="http://schemas.openxmlformats.org/officeDocument/2006/relationships/footer"/><Relationship Id="rId23" Target="footer12.xml" Type="http://schemas.openxmlformats.org/officeDocument/2006/relationships/footer"/><Relationship Id="rId24" Target="theme/theme1.xml" Type="http://schemas.openxmlformats.org/officeDocument/2006/relationships/theme"/><Relationship Id="rId25" Target="ink/ink1.xml" Type="http://schemas.openxmlformats.org/officeDocument/2006/relationships/customXml"/><Relationship Id="rId26" Target="media/image1.png" Type="http://schemas.openxmlformats.org/officeDocument/2006/relationships/image"/><Relationship Id="rId27" Target="media/image2.png" Type="http://schemas.openxmlformats.org/officeDocument/2006/relationships/image"/><Relationship Id="rId28" Target="media/image3.jpeg" Type="http://schemas.openxmlformats.org/officeDocument/2006/relationships/image"/><Relationship Id="rId29" Target="media/image4.jpeg" Type="http://schemas.openxmlformats.org/officeDocument/2006/relationships/image"/><Relationship Id="rId3" Target="header1.xml" Type="http://schemas.openxmlformats.org/officeDocument/2006/relationships/header"/><Relationship Id="rId30" Target="media/image5.emf" Type="http://schemas.openxmlformats.org/officeDocument/2006/relationships/image"/><Relationship Id="rId31" Target="media/image6.jpeg" Type="http://schemas.openxmlformats.org/officeDocument/2006/relationships/image"/><Relationship Id="rId32" Target="media/image7.png" Type="http://schemas.openxmlformats.org/officeDocument/2006/relationships/image"/><Relationship Id="rId33" Target="media/image8.png" Type="http://schemas.openxmlformats.org/officeDocument/2006/relationships/image"/><Relationship Id="rId34" Target="media/image9.emf" Type="http://schemas.openxmlformats.org/officeDocument/2006/relationships/image"/><Relationship Id="rId35" Target="media/image10.png" Type="http://schemas.openxmlformats.org/officeDocument/2006/relationships/image"/><Relationship Id="rId36" Target="media/image11.emf" Type="http://schemas.openxmlformats.org/officeDocument/2006/relationships/image"/><Relationship Id="rId37" Target="media/image12.emf" Type="http://schemas.openxmlformats.org/officeDocument/2006/relationships/image"/><Relationship Id="rId38" Target="media/image13.emf" Type="http://schemas.openxmlformats.org/officeDocument/2006/relationships/image"/><Relationship Id="rId39" Target="media/image14.emf" Type="http://schemas.openxmlformats.org/officeDocument/2006/relationships/image"/><Relationship Id="rId4" Target="header2.xml" Type="http://schemas.openxmlformats.org/officeDocument/2006/relationships/header"/><Relationship Id="rId40" Target="media/image15.emf" Type="http://schemas.openxmlformats.org/officeDocument/2006/relationships/image"/><Relationship Id="rId41" Target="media/image16.emf" Type="http://schemas.openxmlformats.org/officeDocument/2006/relationships/image"/><Relationship Id="rId42" Target="media/image17.emf" Type="http://schemas.openxmlformats.org/officeDocument/2006/relationships/image"/><Relationship Id="rId43" Target="media/image18.emf" Type="http://schemas.openxmlformats.org/officeDocument/2006/relationships/image"/><Relationship Id="rId44" Target="media/image19.png" Type="http://schemas.openxmlformats.org/officeDocument/2006/relationships/image"/><Relationship Id="rId45" Target="media/image20.jpeg" Type="http://schemas.openxmlformats.org/officeDocument/2006/relationships/image"/><Relationship Id="rId46" Target="media/image21.png" Type="http://schemas.openxmlformats.org/officeDocument/2006/relationships/image"/><Relationship Id="rId47" Target="../customXml/item1.xml" Type="http://schemas.openxmlformats.org/officeDocument/2006/relationships/customXml"/><Relationship Id="rId48" Target="numbering.xml" Type="http://schemas.openxmlformats.org/officeDocument/2006/relationships/numbering"/><Relationship Id="rId49" Target="fontTable.xml" Type="http://schemas.openxmlformats.org/officeDocument/2006/relationships/fontTable"/><Relationship Id="rId5" Target="footer1.xml" Type="http://schemas.openxmlformats.org/officeDocument/2006/relationships/footer"/><Relationship Id="rId6" Target="footer2.xml" Type="http://schemas.openxmlformats.org/officeDocument/2006/relationships/footer"/><Relationship Id="rId7" Target="footer3.xml" Type="http://schemas.openxmlformats.org/officeDocument/2006/relationships/footer"/><Relationship Id="rId8" Target="footer4.xml" Type="http://schemas.openxmlformats.org/officeDocument/2006/relationships/footer"/><Relationship Id="rId9" Target="header3.xml" Type="http://schemas.openxmlformats.org/officeDocument/2006/relationships/header"/></Relationships>
</file>

<file path=word/ink/ink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3-05-23T14:39:02"/>
    </inkml:context>
    <inkml:brush xml:id="br0">
      <inkml:brushProperty name="width" value="0.05292" units="cm"/>
      <inkml:brushProperty name="height" value="0.05292" units="cm"/>
      <inkml:brushProperty name="color" value="#f80600"/>
    </inkml:brush>
  </inkml:definitions>
  <inkml:trace contextRef="#ctx0" brushRef="#br0">22548 9312,'21'0,"-21"0</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224</Pages>
  <Words>112066</Words>
  <Characters>122543</Characters>
  <Lines>1081</Lines>
  <Paragraphs>304</Paragraphs>
  <TotalTime>87</TotalTime>
  <ScaleCrop>false</ScaleCrop>
  <LinksUpToDate>false</LinksUpToDate>
  <CharactersWithSpaces>125874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2023-03-27T07:50:00Z</dcterms:created>
  <dc:creator>玥</dc:creator>
  <cp:lastModifiedBy>S&amp;W</cp:lastModifiedBy>
  <cp:lastPrinted>2023-06-21T00:56:00Z</cp:lastPrinted>
  <dcterms:modified xsi:type="dcterms:W3CDTF">2023-06-21T06:22:10Z</dcterms:modified>
  <cp:revision>196</cp:revision>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7BDDC6AE79E94D95A18E625E1A2427FF_13</vt:lpwstr>
  </property>
</Properties>
</file>