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r>
        <w:rPr>
          <w:rFonts w:hint="eastAsia" w:cs="宋体"/>
          <w:color w:val="auto"/>
        </w:rPr>
        <w:drawing>
          <wp:inline distT="0" distB="0" distL="114300" distR="114300">
            <wp:extent cx="1898015" cy="619760"/>
            <wp:effectExtent l="0" t="0" r="6985" b="8890"/>
            <wp:docPr id="2" name="图片 2" descr="嘉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嘉源LOGO"/>
                    <pic:cNvPicPr>
                      <a:picLocks noChangeAspect="1"/>
                    </pic:cNvPicPr>
                  </pic:nvPicPr>
                  <pic:blipFill>
                    <a:blip r:embed="rId17"/>
                    <a:stretch>
                      <a:fillRect/>
                    </a:stretch>
                  </pic:blipFill>
                  <pic:spPr>
                    <a:xfrm>
                      <a:off x="0" y="0"/>
                      <a:ext cx="1898015" cy="619760"/>
                    </a:xfrm>
                    <a:prstGeom prst="rect">
                      <a:avLst/>
                    </a:prstGeom>
                    <a:noFill/>
                    <a:ln>
                      <a:noFill/>
                    </a:ln>
                  </pic:spPr>
                </pic:pic>
              </a:graphicData>
            </a:graphic>
          </wp:inline>
        </w:drawing>
      </w:r>
    </w:p>
    <w:p>
      <w:pPr>
        <w:spacing w:after="120" w:line="800" w:lineRule="exact"/>
        <w:jc w:val="center"/>
        <w:rPr>
          <w:rFonts w:ascii="宋体" w:hAnsi="宋体"/>
          <w:b/>
          <w:color w:val="000000"/>
          <w:sz w:val="32"/>
          <w:szCs w:val="32"/>
        </w:rPr>
      </w:pPr>
      <w:r>
        <w:rPr>
          <w:rFonts w:hint="eastAsia" w:ascii="宋体" w:hAnsi="宋体"/>
          <w:b/>
          <w:sz w:val="36"/>
          <w:szCs w:val="36"/>
        </w:rPr>
        <w:t>鄞州区2023-2024年度政府投资项目概算协审服务封闭式框架协议采购项目</w:t>
      </w:r>
    </w:p>
    <w:p>
      <w:pPr>
        <w:spacing w:line="600" w:lineRule="exact"/>
        <w:jc w:val="center"/>
        <w:rPr>
          <w:rFonts w:ascii="宋体" w:hAnsi="宋体"/>
          <w:b/>
          <w:color w:val="000000"/>
          <w:sz w:val="32"/>
          <w:szCs w:val="32"/>
        </w:rPr>
      </w:pPr>
    </w:p>
    <w:p>
      <w:pPr>
        <w:spacing w:after="120" w:line="800" w:lineRule="exact"/>
        <w:rPr>
          <w:rFonts w:ascii="宋体" w:hAnsi="宋体"/>
          <w:b/>
          <w:color w:val="000000"/>
          <w:sz w:val="48"/>
          <w:szCs w:val="48"/>
        </w:rPr>
      </w:pPr>
    </w:p>
    <w:p>
      <w:pPr>
        <w:spacing w:after="120" w:line="800" w:lineRule="exact"/>
        <w:jc w:val="center"/>
        <w:rPr>
          <w:rFonts w:ascii="宋体" w:hAnsi="宋体"/>
          <w:b/>
          <w:color w:val="000000"/>
          <w:sz w:val="72"/>
          <w:szCs w:val="72"/>
        </w:rPr>
      </w:pPr>
      <w:r>
        <w:rPr>
          <w:rFonts w:hint="eastAsia" w:ascii="宋体" w:hAnsi="宋体"/>
          <w:b/>
          <w:color w:val="000000"/>
          <w:sz w:val="72"/>
          <w:szCs w:val="72"/>
        </w:rPr>
        <w:t>公开招标文件</w:t>
      </w:r>
    </w:p>
    <w:p>
      <w:pPr>
        <w:rPr>
          <w:rFonts w:ascii="黑体" w:eastAsia="黑体"/>
          <w:b/>
          <w:color w:val="000000"/>
          <w:sz w:val="36"/>
          <w:szCs w:val="36"/>
        </w:rPr>
      </w:pPr>
    </w:p>
    <w:p>
      <w:pPr>
        <w:rPr>
          <w:rFonts w:ascii="黑体" w:eastAsia="黑体"/>
          <w:b/>
          <w:color w:val="000000"/>
          <w:sz w:val="36"/>
          <w:szCs w:val="36"/>
        </w:rPr>
      </w:pPr>
    </w:p>
    <w:p>
      <w:pPr>
        <w:spacing w:line="600" w:lineRule="exact"/>
        <w:rPr>
          <w:rFonts w:ascii="黑体" w:eastAsia="黑体"/>
          <w:b/>
          <w:color w:val="000000"/>
          <w:sz w:val="28"/>
          <w:szCs w:val="28"/>
        </w:rPr>
      </w:pPr>
    </w:p>
    <w:p>
      <w:pPr>
        <w:spacing w:line="600" w:lineRule="exact"/>
        <w:rPr>
          <w:rFonts w:ascii="黑体" w:eastAsia="黑体"/>
          <w:b/>
          <w:color w:val="000000"/>
          <w:sz w:val="28"/>
          <w:szCs w:val="28"/>
        </w:rPr>
      </w:pPr>
    </w:p>
    <w:p>
      <w:pPr>
        <w:spacing w:line="600" w:lineRule="exact"/>
        <w:rPr>
          <w:rFonts w:ascii="黑体" w:eastAsia="黑体"/>
          <w:b/>
          <w:color w:val="000000"/>
          <w:sz w:val="28"/>
          <w:szCs w:val="28"/>
        </w:rPr>
      </w:pPr>
    </w:p>
    <w:p>
      <w:pPr>
        <w:spacing w:line="600" w:lineRule="exact"/>
        <w:rPr>
          <w:rFonts w:ascii="黑体" w:eastAsia="黑体"/>
          <w:b/>
          <w:color w:val="000000"/>
          <w:sz w:val="28"/>
          <w:szCs w:val="28"/>
        </w:rPr>
      </w:pPr>
    </w:p>
    <w:p>
      <w:pPr>
        <w:spacing w:line="600" w:lineRule="exact"/>
        <w:ind w:left="1599" w:leftChars="532" w:hanging="482" w:hangingChars="150"/>
        <w:rPr>
          <w:rFonts w:ascii="宋体" w:hAnsi="宋体"/>
          <w:b/>
          <w:color w:val="000000"/>
          <w:sz w:val="32"/>
          <w:szCs w:val="32"/>
        </w:rPr>
      </w:pPr>
      <w:r>
        <w:rPr>
          <w:rFonts w:hint="eastAsia" w:ascii="宋体" w:hAnsi="宋体"/>
          <w:b/>
          <w:color w:val="000000"/>
          <w:sz w:val="32"/>
          <w:szCs w:val="32"/>
        </w:rPr>
        <w:t>招</w:t>
      </w:r>
      <w:r>
        <w:rPr>
          <w:rFonts w:ascii="宋体" w:hAnsi="宋体"/>
          <w:b/>
          <w:color w:val="000000"/>
          <w:sz w:val="32"/>
          <w:szCs w:val="32"/>
        </w:rPr>
        <w:t xml:space="preserve"> </w:t>
      </w:r>
      <w:r>
        <w:rPr>
          <w:rFonts w:hint="eastAsia" w:ascii="宋体" w:hAnsi="宋体"/>
          <w:b/>
          <w:color w:val="000000"/>
          <w:sz w:val="32"/>
          <w:szCs w:val="32"/>
        </w:rPr>
        <w:t>标</w:t>
      </w:r>
      <w:r>
        <w:rPr>
          <w:rFonts w:ascii="宋体" w:hAnsi="宋体"/>
          <w:b/>
          <w:color w:val="000000"/>
          <w:sz w:val="32"/>
          <w:szCs w:val="32"/>
        </w:rPr>
        <w:t xml:space="preserve"> </w:t>
      </w:r>
      <w:r>
        <w:rPr>
          <w:rFonts w:hint="eastAsia" w:ascii="宋体" w:hAnsi="宋体"/>
          <w:b/>
          <w:color w:val="000000"/>
          <w:sz w:val="32"/>
          <w:szCs w:val="32"/>
        </w:rPr>
        <w:t>人：</w:t>
      </w:r>
      <w:bookmarkStart w:id="0" w:name="_Hlk117686378"/>
      <w:r>
        <w:rPr>
          <w:rFonts w:hint="eastAsia" w:ascii="宋体" w:hAnsi="宋体"/>
          <w:b/>
          <w:color w:val="000000"/>
          <w:sz w:val="32"/>
          <w:szCs w:val="32"/>
        </w:rPr>
        <w:t>宁波市鄞州区发展和改革局</w:t>
      </w:r>
      <w:bookmarkEnd w:id="0"/>
    </w:p>
    <w:p>
      <w:pPr>
        <w:pStyle w:val="22"/>
        <w:ind w:firstLine="240"/>
      </w:pPr>
    </w:p>
    <w:p>
      <w:pPr>
        <w:spacing w:line="600" w:lineRule="exact"/>
        <w:ind w:firstLine="1124" w:firstLineChars="350"/>
        <w:rPr>
          <w:rFonts w:ascii="宋体" w:hAnsi="宋体"/>
          <w:b/>
          <w:color w:val="000000"/>
          <w:sz w:val="32"/>
          <w:szCs w:val="32"/>
        </w:rPr>
      </w:pPr>
      <w:r>
        <w:rPr>
          <w:rFonts w:hint="eastAsia" w:ascii="宋体" w:hAnsi="宋体"/>
          <w:b/>
          <w:color w:val="000000"/>
          <w:sz w:val="32"/>
          <w:szCs w:val="32"/>
        </w:rPr>
        <w:t>代理机构：浙江嘉源工程项目管理有限公司</w:t>
      </w:r>
    </w:p>
    <w:p>
      <w:pPr>
        <w:pStyle w:val="22"/>
        <w:ind w:firstLine="240"/>
      </w:pPr>
    </w:p>
    <w:p>
      <w:pPr>
        <w:spacing w:line="600" w:lineRule="exact"/>
        <w:ind w:firstLine="1124" w:firstLineChars="350"/>
        <w:rPr>
          <w:rFonts w:ascii="宋体" w:hAnsi="宋体"/>
          <w:b/>
          <w:color w:val="000000"/>
          <w:sz w:val="32"/>
          <w:szCs w:val="32"/>
        </w:rPr>
      </w:pPr>
    </w:p>
    <w:p>
      <w:pPr>
        <w:spacing w:line="600" w:lineRule="exact"/>
        <w:ind w:firstLine="1124" w:firstLineChars="350"/>
        <w:jc w:val="center"/>
        <w:rPr>
          <w:rFonts w:ascii="宋体" w:hAnsi="宋体"/>
          <w:b/>
          <w:color w:val="000000"/>
          <w:sz w:val="32"/>
          <w:szCs w:val="32"/>
        </w:rPr>
      </w:pPr>
    </w:p>
    <w:p>
      <w:pPr>
        <w:spacing w:line="600" w:lineRule="exact"/>
        <w:jc w:val="center"/>
        <w:rPr>
          <w:rFonts w:ascii="宋体"/>
          <w:b/>
          <w:color w:val="000000"/>
          <w:sz w:val="28"/>
          <w:szCs w:val="28"/>
        </w:rPr>
      </w:pPr>
      <w:r>
        <w:rPr>
          <w:rFonts w:ascii="宋体" w:hAnsi="宋体"/>
          <w:b/>
          <w:color w:val="000000"/>
          <w:sz w:val="32"/>
          <w:szCs w:val="32"/>
        </w:rPr>
        <w:t>2023年02</w:t>
      </w:r>
      <w:r>
        <w:rPr>
          <w:rFonts w:hint="eastAsia" w:ascii="宋体" w:hAnsi="宋体"/>
          <w:b/>
          <w:color w:val="000000"/>
          <w:sz w:val="32"/>
          <w:szCs w:val="32"/>
        </w:rPr>
        <w:t>月</w:t>
      </w:r>
    </w:p>
    <w:p>
      <w:pPr>
        <w:spacing w:line="400" w:lineRule="exact"/>
        <w:jc w:val="center"/>
        <w:rPr>
          <w:rFonts w:ascii="宋体"/>
          <w:b/>
          <w:color w:val="000000"/>
          <w:sz w:val="28"/>
          <w:szCs w:val="28"/>
        </w:rPr>
        <w:sectPr>
          <w:headerReference r:id="rId3" w:type="default"/>
          <w:footerReference r:id="rId4" w:type="default"/>
          <w:footerReference r:id="rId5" w:type="even"/>
          <w:pgSz w:w="11907" w:h="16840"/>
          <w:pgMar w:top="1440" w:right="927" w:bottom="1440" w:left="1339" w:header="720" w:footer="720" w:gutter="0"/>
          <w:pgNumType w:start="1"/>
          <w:cols w:space="720" w:num="1"/>
          <w:docGrid w:type="lines" w:linePitch="285" w:charSpace="0"/>
        </w:sectPr>
      </w:pPr>
    </w:p>
    <w:p>
      <w:pPr>
        <w:spacing w:line="480" w:lineRule="auto"/>
        <w:jc w:val="center"/>
        <w:rPr>
          <w:rFonts w:eastAsia="黑体"/>
          <w:b/>
          <w:color w:val="000000"/>
          <w:sz w:val="52"/>
          <w:szCs w:val="52"/>
        </w:rPr>
      </w:pPr>
    </w:p>
    <w:p>
      <w:pPr>
        <w:tabs>
          <w:tab w:val="center" w:pos="4365"/>
        </w:tabs>
        <w:spacing w:line="480" w:lineRule="auto"/>
        <w:jc w:val="left"/>
        <w:rPr>
          <w:rFonts w:eastAsia="黑体"/>
          <w:b/>
          <w:color w:val="000000"/>
          <w:sz w:val="52"/>
          <w:szCs w:val="52"/>
        </w:rPr>
      </w:pPr>
      <w:r>
        <w:rPr>
          <w:rFonts w:eastAsia="黑体"/>
          <w:b/>
          <w:color w:val="000000"/>
          <w:sz w:val="52"/>
          <w:szCs w:val="52"/>
        </w:rPr>
        <w:tab/>
      </w:r>
      <w:r>
        <w:rPr>
          <w:rFonts w:hint="eastAsia" w:eastAsia="黑体"/>
          <w:b/>
          <w:color w:val="000000"/>
          <w:sz w:val="52"/>
          <w:szCs w:val="52"/>
        </w:rPr>
        <w:t>目</w:t>
      </w:r>
      <w:r>
        <w:rPr>
          <w:rFonts w:eastAsia="黑体"/>
          <w:b/>
          <w:color w:val="000000"/>
          <w:sz w:val="52"/>
          <w:szCs w:val="52"/>
        </w:rPr>
        <w:t xml:space="preserve">    </w:t>
      </w:r>
      <w:r>
        <w:rPr>
          <w:rFonts w:hint="eastAsia" w:eastAsia="黑体"/>
          <w:b/>
          <w:color w:val="000000"/>
          <w:sz w:val="52"/>
          <w:szCs w:val="52"/>
        </w:rPr>
        <w:t>录</w:t>
      </w:r>
    </w:p>
    <w:p>
      <w:pPr>
        <w:pStyle w:val="16"/>
        <w:rPr>
          <w:rFonts w:ascii="等线" w:hAnsi="等线" w:eastAsia="等线"/>
          <w:color w:val="auto"/>
          <w:sz w:val="21"/>
          <w:szCs w:val="22"/>
        </w:rPr>
      </w:pPr>
      <w:r>
        <w:rPr>
          <w:color w:val="FF0000"/>
          <w:sz w:val="28"/>
          <w:szCs w:val="28"/>
        </w:rPr>
        <w:fldChar w:fldCharType="begin"/>
      </w:r>
      <w:r>
        <w:rPr>
          <w:color w:val="FF0000"/>
          <w:sz w:val="28"/>
          <w:szCs w:val="28"/>
        </w:rPr>
        <w:instrText xml:space="preserve"> TOC \o "1-3" \h \z \u </w:instrText>
      </w:r>
      <w:r>
        <w:rPr>
          <w:color w:val="FF0000"/>
          <w:sz w:val="28"/>
          <w:szCs w:val="28"/>
        </w:rPr>
        <w:fldChar w:fldCharType="separate"/>
      </w:r>
      <w:r>
        <w:fldChar w:fldCharType="begin"/>
      </w:r>
      <w:r>
        <w:instrText xml:space="preserve"> HYPERLINK \l "_Toc98402390" </w:instrText>
      </w:r>
      <w:r>
        <w:fldChar w:fldCharType="separate"/>
      </w:r>
      <w:r>
        <w:rPr>
          <w:rStyle w:val="29"/>
          <w:rFonts w:eastAsia="黑体"/>
          <w:b/>
        </w:rPr>
        <w:t>第一章  招标公告</w:t>
      </w:r>
      <w:r>
        <w:rPr>
          <w:rStyle w:val="29"/>
          <w:rFonts w:eastAsia="黑体"/>
          <w:b/>
        </w:rPr>
        <w:fldChar w:fldCharType="end"/>
      </w:r>
    </w:p>
    <w:p>
      <w:pPr>
        <w:pStyle w:val="16"/>
        <w:rPr>
          <w:rFonts w:ascii="等线" w:hAnsi="等线" w:eastAsia="等线"/>
          <w:color w:val="auto"/>
          <w:sz w:val="21"/>
          <w:szCs w:val="22"/>
        </w:rPr>
      </w:pPr>
      <w:r>
        <w:fldChar w:fldCharType="begin"/>
      </w:r>
      <w:r>
        <w:instrText xml:space="preserve"> HYPERLINK \l "_Toc98402391" </w:instrText>
      </w:r>
      <w:r>
        <w:fldChar w:fldCharType="separate"/>
      </w:r>
      <w:r>
        <w:rPr>
          <w:rStyle w:val="29"/>
          <w:rFonts w:eastAsia="黑体"/>
          <w:b/>
        </w:rPr>
        <w:t xml:space="preserve">第二章  </w:t>
      </w:r>
      <w:r>
        <w:rPr>
          <w:rStyle w:val="29"/>
          <w:rFonts w:hint="eastAsia" w:eastAsia="黑体"/>
          <w:b/>
        </w:rPr>
        <w:t>采购需求</w:t>
      </w:r>
      <w:r>
        <w:rPr>
          <w:rStyle w:val="29"/>
          <w:rFonts w:hint="eastAsia" w:eastAsia="黑体"/>
          <w:b/>
        </w:rPr>
        <w:fldChar w:fldCharType="end"/>
      </w:r>
    </w:p>
    <w:p>
      <w:pPr>
        <w:pStyle w:val="16"/>
        <w:rPr>
          <w:rFonts w:ascii="等线" w:hAnsi="等线" w:eastAsia="等线"/>
          <w:color w:val="auto"/>
          <w:sz w:val="21"/>
          <w:szCs w:val="22"/>
        </w:rPr>
      </w:pPr>
      <w:r>
        <w:fldChar w:fldCharType="begin"/>
      </w:r>
      <w:r>
        <w:instrText xml:space="preserve"> HYPERLINK \l "_Toc98402392" </w:instrText>
      </w:r>
      <w:r>
        <w:fldChar w:fldCharType="separate"/>
      </w:r>
      <w:r>
        <w:rPr>
          <w:rStyle w:val="29"/>
          <w:rFonts w:eastAsia="黑体"/>
          <w:b/>
        </w:rPr>
        <w:t xml:space="preserve">第三章  </w:t>
      </w:r>
      <w:r>
        <w:rPr>
          <w:rStyle w:val="29"/>
          <w:rFonts w:hint="eastAsia" w:eastAsia="黑体"/>
          <w:b/>
        </w:rPr>
        <w:t>投标人须知</w:t>
      </w:r>
      <w:r>
        <w:rPr>
          <w:rStyle w:val="29"/>
          <w:rFonts w:hint="eastAsia" w:eastAsia="黑体"/>
          <w:b/>
        </w:rPr>
        <w:fldChar w:fldCharType="end"/>
      </w:r>
    </w:p>
    <w:p>
      <w:pPr>
        <w:pStyle w:val="16"/>
        <w:rPr>
          <w:rFonts w:ascii="等线" w:hAnsi="等线" w:eastAsia="等线"/>
          <w:color w:val="auto"/>
          <w:sz w:val="21"/>
          <w:szCs w:val="22"/>
        </w:rPr>
      </w:pPr>
      <w:r>
        <w:fldChar w:fldCharType="begin"/>
      </w:r>
      <w:r>
        <w:instrText xml:space="preserve"> HYPERLINK \l "_Toc98402393" </w:instrText>
      </w:r>
      <w:r>
        <w:fldChar w:fldCharType="separate"/>
      </w:r>
      <w:r>
        <w:rPr>
          <w:rStyle w:val="29"/>
          <w:rFonts w:eastAsia="黑体"/>
          <w:b/>
        </w:rPr>
        <w:t>第四章  评分办法及标准</w:t>
      </w:r>
      <w:r>
        <w:rPr>
          <w:rStyle w:val="29"/>
          <w:rFonts w:eastAsia="黑体"/>
          <w:b/>
        </w:rPr>
        <w:fldChar w:fldCharType="end"/>
      </w:r>
    </w:p>
    <w:p>
      <w:pPr>
        <w:pStyle w:val="16"/>
        <w:rPr>
          <w:rFonts w:ascii="等线" w:hAnsi="等线" w:eastAsia="等线"/>
          <w:color w:val="auto"/>
          <w:sz w:val="21"/>
          <w:szCs w:val="22"/>
        </w:rPr>
      </w:pPr>
      <w:r>
        <w:fldChar w:fldCharType="begin"/>
      </w:r>
      <w:r>
        <w:instrText xml:space="preserve"> HYPERLINK \l "_Toc98402394" </w:instrText>
      </w:r>
      <w:r>
        <w:fldChar w:fldCharType="separate"/>
      </w:r>
      <w:r>
        <w:rPr>
          <w:rStyle w:val="29"/>
          <w:rFonts w:eastAsia="黑体"/>
          <w:b/>
        </w:rPr>
        <w:t>第五章  合同样本</w:t>
      </w:r>
      <w:r>
        <w:rPr>
          <w:rStyle w:val="29"/>
          <w:rFonts w:eastAsia="黑体"/>
          <w:b/>
        </w:rPr>
        <w:fldChar w:fldCharType="end"/>
      </w:r>
    </w:p>
    <w:p>
      <w:pPr>
        <w:pStyle w:val="16"/>
        <w:rPr>
          <w:rFonts w:ascii="等线" w:hAnsi="等线" w:eastAsia="等线"/>
          <w:color w:val="auto"/>
          <w:sz w:val="21"/>
          <w:szCs w:val="22"/>
        </w:rPr>
      </w:pPr>
      <w:r>
        <w:fldChar w:fldCharType="begin"/>
      </w:r>
      <w:r>
        <w:instrText xml:space="preserve"> HYPERLINK \l "_Toc98402395" </w:instrText>
      </w:r>
      <w:r>
        <w:fldChar w:fldCharType="separate"/>
      </w:r>
      <w:r>
        <w:rPr>
          <w:rStyle w:val="29"/>
          <w:rFonts w:eastAsia="黑体"/>
          <w:b/>
        </w:rPr>
        <w:t xml:space="preserve">第六章  </w:t>
      </w:r>
      <w:r>
        <w:rPr>
          <w:rStyle w:val="29"/>
          <w:rFonts w:eastAsia="黑体"/>
          <w:b/>
        </w:rPr>
        <w:fldChar w:fldCharType="end"/>
      </w:r>
      <w:r>
        <w:fldChar w:fldCharType="begin"/>
      </w:r>
      <w:r>
        <w:instrText xml:space="preserve"> HYPERLINK \l "_Toc98402396" </w:instrText>
      </w:r>
      <w:r>
        <w:fldChar w:fldCharType="separate"/>
      </w:r>
      <w:r>
        <w:rPr>
          <w:rStyle w:val="29"/>
          <w:rFonts w:eastAsia="黑体"/>
          <w:b/>
        </w:rPr>
        <w:t>附件</w:t>
      </w:r>
      <w:r>
        <w:rPr>
          <w:rStyle w:val="29"/>
          <w:rFonts w:eastAsia="黑体"/>
          <w:b/>
        </w:rPr>
        <w:fldChar w:fldCharType="end"/>
      </w:r>
    </w:p>
    <w:p>
      <w:pPr>
        <w:spacing w:line="800" w:lineRule="exact"/>
        <w:jc w:val="center"/>
        <w:rPr>
          <w:rFonts w:eastAsia="黑体"/>
          <w:b/>
          <w:color w:val="000000"/>
          <w:sz w:val="32"/>
        </w:rPr>
      </w:pPr>
      <w:r>
        <w:rPr>
          <w:color w:val="FF0000"/>
          <w:sz w:val="28"/>
          <w:szCs w:val="28"/>
        </w:rPr>
        <w:fldChar w:fldCharType="end"/>
      </w:r>
    </w:p>
    <w:p>
      <w:pPr>
        <w:spacing w:line="400" w:lineRule="exact"/>
        <w:jc w:val="center"/>
        <w:rPr>
          <w:rFonts w:eastAsia="黑体"/>
          <w:b/>
          <w:color w:val="000000"/>
          <w:sz w:val="32"/>
        </w:rPr>
        <w:sectPr>
          <w:headerReference r:id="rId6" w:type="default"/>
          <w:type w:val="nextColumn"/>
          <w:pgSz w:w="11907" w:h="16840"/>
          <w:pgMar w:top="854" w:right="1588" w:bottom="854" w:left="1588" w:header="569" w:footer="700" w:gutter="0"/>
          <w:cols w:space="720" w:num="1"/>
          <w:docGrid w:linePitch="285" w:charSpace="0"/>
        </w:sectPr>
      </w:pPr>
    </w:p>
    <w:p>
      <w:pPr>
        <w:spacing w:line="420" w:lineRule="exact"/>
        <w:jc w:val="center"/>
        <w:outlineLvl w:val="0"/>
        <w:rPr>
          <w:rFonts w:eastAsia="黑体"/>
          <w:b/>
          <w:color w:val="000000"/>
          <w:sz w:val="32"/>
        </w:rPr>
      </w:pPr>
      <w:bookmarkStart w:id="1" w:name="_Toc98402390"/>
      <w:r>
        <w:rPr>
          <w:rFonts w:hint="eastAsia" w:eastAsia="黑体"/>
          <w:b/>
          <w:color w:val="000000"/>
          <w:sz w:val="32"/>
        </w:rPr>
        <w:t>第一章</w:t>
      </w:r>
      <w:r>
        <w:rPr>
          <w:rFonts w:eastAsia="黑体"/>
          <w:b/>
          <w:color w:val="000000"/>
          <w:sz w:val="32"/>
        </w:rPr>
        <w:t xml:space="preserve">  </w:t>
      </w:r>
      <w:r>
        <w:rPr>
          <w:rFonts w:hint="eastAsia" w:eastAsia="黑体"/>
          <w:b/>
          <w:color w:val="000000"/>
          <w:sz w:val="32"/>
        </w:rPr>
        <w:t>招标公告</w:t>
      </w:r>
      <w:bookmarkEnd w:id="1"/>
    </w:p>
    <w:p>
      <w:pPr>
        <w:pStyle w:val="8"/>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auto"/>
              <w:rPr>
                <w:rFonts w:ascii="宋体" w:hAnsi="宋体" w:cs="宋体"/>
                <w:sz w:val="18"/>
                <w:szCs w:val="21"/>
              </w:rPr>
            </w:pPr>
            <w:r>
              <w:rPr>
                <w:rFonts w:hint="eastAsia" w:ascii="宋体" w:hAnsi="宋体" w:cs="宋体"/>
                <w:szCs w:val="21"/>
              </w:rPr>
              <w:t>项目概况：</w:t>
            </w:r>
          </w:p>
          <w:p>
            <w:pPr>
              <w:spacing w:line="360" w:lineRule="auto"/>
              <w:ind w:firstLine="420" w:firstLineChars="200"/>
              <w:rPr>
                <w:rFonts w:ascii="宋体" w:hAnsi="宋体" w:cs="宋体"/>
                <w:sz w:val="18"/>
                <w:szCs w:val="21"/>
              </w:rPr>
            </w:pPr>
            <w:r>
              <w:rPr>
                <w:rFonts w:hint="eastAsia" w:ascii="宋体" w:hAnsi="宋体"/>
                <w:color w:val="000000"/>
              </w:rPr>
              <w:t>宁波市鄞州区发展和改革局鄞州区2023-2024年度政府投资项目概算协审服务封闭式框架协议采购项目</w:t>
            </w:r>
            <w:r>
              <w:rPr>
                <w:rFonts w:hint="eastAsia" w:ascii="宋体" w:hAnsi="宋体" w:cs="宋体"/>
                <w:szCs w:val="21"/>
              </w:rPr>
              <w:t>的潜</w:t>
            </w:r>
            <w:r>
              <w:rPr>
                <w:rFonts w:hint="eastAsia" w:ascii="Arial" w:hAnsi="Arial" w:cs="Arial"/>
                <w:szCs w:val="21"/>
              </w:rPr>
              <w:t>在投标人应在</w:t>
            </w:r>
            <w:r>
              <w:rPr>
                <w:rFonts w:hint="eastAsia" w:ascii="宋体" w:hAnsi="宋体"/>
              </w:rPr>
              <w:t>政府采购云平台（www.zcygov.cn）获取（下载）招标文件</w:t>
            </w:r>
            <w:r>
              <w:rPr>
                <w:rFonts w:hint="eastAsia" w:ascii="宋体" w:hAnsi="宋体" w:cs="宋体"/>
                <w:szCs w:val="21"/>
              </w:rPr>
              <w:t>，并于</w:t>
            </w:r>
            <w:r>
              <w:rPr>
                <w:rFonts w:hint="eastAsia" w:ascii="宋体" w:hAnsi="宋体" w:cs="宋体"/>
                <w:szCs w:val="21"/>
                <w:u w:val="single"/>
              </w:rPr>
              <w:t>202</w:t>
            </w:r>
            <w:r>
              <w:rPr>
                <w:rFonts w:ascii="宋体" w:hAnsi="宋体" w:cs="宋体"/>
                <w:szCs w:val="21"/>
                <w:u w:val="single"/>
              </w:rPr>
              <w:t>3</w:t>
            </w:r>
            <w:r>
              <w:rPr>
                <w:rFonts w:hint="eastAsia" w:ascii="宋体" w:hAnsi="宋体" w:cs="宋体"/>
                <w:bCs/>
                <w:szCs w:val="21"/>
                <w:u w:val="single"/>
              </w:rPr>
              <w:t>年</w:t>
            </w:r>
            <w:r>
              <w:rPr>
                <w:rFonts w:ascii="宋体" w:hAnsi="宋体" w:cs="宋体"/>
                <w:bCs/>
                <w:szCs w:val="21"/>
                <w:u w:val="single"/>
              </w:rPr>
              <w:t>03</w:t>
            </w:r>
            <w:r>
              <w:rPr>
                <w:rFonts w:hint="eastAsia" w:ascii="宋体" w:hAnsi="宋体" w:cs="宋体"/>
                <w:bCs/>
                <w:szCs w:val="21"/>
                <w:u w:val="single"/>
              </w:rPr>
              <w:t>月</w:t>
            </w:r>
            <w:r>
              <w:rPr>
                <w:rFonts w:ascii="宋体" w:hAnsi="宋体" w:cs="宋体"/>
                <w:bCs/>
                <w:szCs w:val="21"/>
                <w:u w:val="single"/>
              </w:rPr>
              <w:t>15</w:t>
            </w:r>
            <w:r>
              <w:rPr>
                <w:rFonts w:hint="eastAsia" w:ascii="宋体" w:hAnsi="宋体" w:cs="宋体"/>
                <w:bCs/>
                <w:szCs w:val="21"/>
                <w:u w:val="single"/>
              </w:rPr>
              <w:t>日0</w:t>
            </w:r>
            <w:r>
              <w:rPr>
                <w:rFonts w:ascii="宋体" w:hAnsi="宋体" w:cs="宋体"/>
                <w:bCs/>
                <w:szCs w:val="21"/>
                <w:u w:val="single"/>
              </w:rPr>
              <w:t>9</w:t>
            </w:r>
            <w:r>
              <w:rPr>
                <w:rFonts w:hint="eastAsia" w:ascii="宋体" w:hAnsi="宋体" w:cs="宋体"/>
                <w:bCs/>
                <w:szCs w:val="21"/>
                <w:u w:val="single"/>
              </w:rPr>
              <w:t>点</w:t>
            </w:r>
            <w:r>
              <w:rPr>
                <w:rFonts w:ascii="宋体" w:hAnsi="宋体" w:cs="宋体"/>
                <w:bCs/>
                <w:szCs w:val="21"/>
                <w:u w:val="single"/>
              </w:rPr>
              <w:t>30</w:t>
            </w:r>
            <w:r>
              <w:rPr>
                <w:rFonts w:hint="eastAsia" w:ascii="宋体" w:hAnsi="宋体" w:cs="宋体"/>
                <w:bCs/>
                <w:szCs w:val="21"/>
                <w:u w:val="single"/>
              </w:rPr>
              <w:t>分（</w:t>
            </w:r>
            <w:r>
              <w:rPr>
                <w:rFonts w:hint="eastAsia" w:ascii="宋体" w:hAnsi="宋体" w:cs="宋体"/>
                <w:bCs/>
                <w:szCs w:val="21"/>
              </w:rPr>
              <w:t>北京时间）前递交（上传）投标文件</w:t>
            </w:r>
            <w:r>
              <w:rPr>
                <w:rFonts w:hint="eastAsia" w:ascii="宋体" w:hAnsi="宋体" w:cs="宋体"/>
                <w:szCs w:val="21"/>
              </w:rPr>
              <w:t>。</w:t>
            </w:r>
          </w:p>
        </w:tc>
      </w:tr>
    </w:tbl>
    <w:p>
      <w:pPr>
        <w:pStyle w:val="20"/>
        <w:spacing w:before="0" w:beforeAutospacing="0" w:after="0" w:afterAutospacing="0" w:line="360" w:lineRule="auto"/>
        <w:jc w:val="both"/>
        <w:rPr>
          <w:rStyle w:val="27"/>
          <w:sz w:val="21"/>
          <w:szCs w:val="21"/>
        </w:rPr>
      </w:pPr>
      <w:r>
        <w:rPr>
          <w:rFonts w:hint="eastAsia"/>
          <w:b/>
          <w:color w:val="000000"/>
        </w:rPr>
        <w:t>一、</w:t>
      </w:r>
      <w:r>
        <w:rPr>
          <w:rStyle w:val="27"/>
          <w:rFonts w:hint="eastAsia"/>
          <w:sz w:val="21"/>
          <w:szCs w:val="21"/>
        </w:rPr>
        <w:t>项目基本情况</w:t>
      </w:r>
    </w:p>
    <w:p>
      <w:pPr>
        <w:pStyle w:val="20"/>
        <w:spacing w:before="0" w:beforeAutospacing="0" w:after="0" w:afterAutospacing="0" w:line="360" w:lineRule="auto"/>
        <w:ind w:firstLine="424" w:firstLineChars="202"/>
        <w:rPr>
          <w:sz w:val="21"/>
          <w:szCs w:val="21"/>
        </w:rPr>
      </w:pPr>
      <w:r>
        <w:rPr>
          <w:rFonts w:hint="eastAsia"/>
          <w:sz w:val="21"/>
          <w:szCs w:val="21"/>
        </w:rPr>
        <w:t>项目编号：</w:t>
      </w:r>
      <w:bookmarkStart w:id="2" w:name="_Hlk117686361"/>
      <w:r>
        <w:rPr>
          <w:rFonts w:hint="eastAsia"/>
          <w:sz w:val="21"/>
          <w:szCs w:val="21"/>
        </w:rPr>
        <w:t>JY【2022】CG-</w:t>
      </w:r>
      <w:bookmarkEnd w:id="2"/>
      <w:r>
        <w:rPr>
          <w:sz w:val="21"/>
          <w:szCs w:val="21"/>
        </w:rPr>
        <w:t>0604</w:t>
      </w:r>
    </w:p>
    <w:p>
      <w:pPr>
        <w:pStyle w:val="20"/>
        <w:spacing w:before="0" w:beforeAutospacing="0" w:after="0" w:afterAutospacing="0" w:line="360" w:lineRule="auto"/>
        <w:ind w:firstLine="424" w:firstLineChars="202"/>
        <w:rPr>
          <w:sz w:val="21"/>
          <w:szCs w:val="21"/>
        </w:rPr>
      </w:pPr>
      <w:r>
        <w:rPr>
          <w:rFonts w:hint="eastAsia"/>
          <w:sz w:val="21"/>
          <w:szCs w:val="21"/>
        </w:rPr>
        <w:t>项目名称：鄞州区2023-2024年度政府投资项目概算协审服务封闭式框架协议采购项目</w:t>
      </w:r>
    </w:p>
    <w:p>
      <w:pPr>
        <w:pStyle w:val="20"/>
        <w:spacing w:before="0" w:beforeAutospacing="0" w:after="0" w:afterAutospacing="0" w:line="360" w:lineRule="auto"/>
        <w:ind w:firstLine="424" w:firstLineChars="202"/>
        <w:rPr>
          <w:sz w:val="21"/>
          <w:szCs w:val="21"/>
        </w:rPr>
      </w:pPr>
      <w:r>
        <w:rPr>
          <w:rFonts w:hint="eastAsia"/>
          <w:sz w:val="21"/>
          <w:szCs w:val="21"/>
        </w:rPr>
        <w:t>预算金额（元）：</w:t>
      </w:r>
      <w:r>
        <w:rPr>
          <w:sz w:val="21"/>
          <w:szCs w:val="21"/>
        </w:rPr>
        <w:t>8000000</w:t>
      </w:r>
      <w:r>
        <w:rPr>
          <w:rFonts w:hint="eastAsia"/>
          <w:sz w:val="21"/>
          <w:szCs w:val="21"/>
        </w:rPr>
        <w:t>.</w:t>
      </w:r>
      <w:r>
        <w:rPr>
          <w:sz w:val="21"/>
          <w:szCs w:val="21"/>
        </w:rPr>
        <w:t>00</w:t>
      </w:r>
      <w:r>
        <w:rPr>
          <w:rFonts w:hint="eastAsia"/>
          <w:sz w:val="21"/>
          <w:szCs w:val="21"/>
        </w:rPr>
        <w:t>/年</w:t>
      </w:r>
    </w:p>
    <w:p>
      <w:pPr>
        <w:pStyle w:val="20"/>
        <w:spacing w:before="0" w:beforeAutospacing="0" w:after="0" w:afterAutospacing="0" w:line="360" w:lineRule="auto"/>
        <w:ind w:firstLine="424" w:firstLineChars="202"/>
        <w:rPr>
          <w:rFonts w:hint="eastAsia" w:eastAsia="宋体"/>
          <w:sz w:val="21"/>
          <w:szCs w:val="21"/>
          <w:lang w:eastAsia="zh-CN"/>
        </w:rPr>
      </w:pPr>
      <w:r>
        <w:rPr>
          <w:rFonts w:hint="eastAsia"/>
          <w:sz w:val="21"/>
          <w:szCs w:val="21"/>
        </w:rPr>
        <w:t>最高限价（元）：</w:t>
      </w:r>
      <w:r>
        <w:rPr>
          <w:rFonts w:hint="eastAsia"/>
          <w:sz w:val="21"/>
          <w:szCs w:val="21"/>
          <w:lang w:val="en-US" w:eastAsia="zh-CN"/>
        </w:rPr>
        <w:t>/</w:t>
      </w:r>
      <w:bookmarkStart w:id="40" w:name="_GoBack"/>
      <w:bookmarkEnd w:id="40"/>
    </w:p>
    <w:p>
      <w:pPr>
        <w:pStyle w:val="20"/>
        <w:spacing w:before="0" w:beforeAutospacing="0" w:after="0" w:afterAutospacing="0" w:line="360" w:lineRule="auto"/>
        <w:ind w:firstLine="424" w:firstLineChars="202"/>
        <w:rPr>
          <w:sz w:val="21"/>
          <w:szCs w:val="21"/>
        </w:rPr>
      </w:pPr>
      <w:r>
        <w:rPr>
          <w:rFonts w:hint="eastAsia"/>
          <w:sz w:val="21"/>
          <w:szCs w:val="21"/>
        </w:rPr>
        <w:t>采购需求：</w:t>
      </w:r>
    </w:p>
    <w:p>
      <w:pPr>
        <w:pStyle w:val="20"/>
        <w:spacing w:before="0" w:beforeAutospacing="0" w:after="0" w:afterAutospacing="0" w:line="360" w:lineRule="auto"/>
        <w:ind w:firstLine="424" w:firstLineChars="202"/>
        <w:rPr>
          <w:sz w:val="21"/>
          <w:szCs w:val="21"/>
        </w:rPr>
      </w:pPr>
      <w:r>
        <w:rPr>
          <w:sz w:val="21"/>
          <w:szCs w:val="21"/>
        </w:rPr>
        <w:t>标项一：</w:t>
      </w:r>
    </w:p>
    <w:p>
      <w:pPr>
        <w:pStyle w:val="20"/>
        <w:spacing w:before="0" w:beforeAutospacing="0" w:after="0" w:afterAutospacing="0" w:line="360" w:lineRule="auto"/>
        <w:ind w:firstLine="424" w:firstLineChars="202"/>
        <w:rPr>
          <w:sz w:val="21"/>
          <w:szCs w:val="21"/>
        </w:rPr>
      </w:pPr>
      <w:r>
        <w:rPr>
          <w:sz w:val="21"/>
          <w:szCs w:val="21"/>
        </w:rPr>
        <w:t>标项名称：</w:t>
      </w:r>
      <w:r>
        <w:rPr>
          <w:rFonts w:hint="eastAsia"/>
          <w:sz w:val="21"/>
          <w:szCs w:val="21"/>
        </w:rPr>
        <w:t>鄞州区2023-2024年度政府投资项目概算协审服务封闭式框架协议采购</w:t>
      </w:r>
    </w:p>
    <w:p>
      <w:pPr>
        <w:pStyle w:val="20"/>
        <w:spacing w:before="0" w:beforeAutospacing="0" w:after="0" w:afterAutospacing="0" w:line="360" w:lineRule="auto"/>
        <w:ind w:firstLine="424" w:firstLineChars="202"/>
        <w:rPr>
          <w:sz w:val="21"/>
          <w:szCs w:val="21"/>
        </w:rPr>
      </w:pPr>
      <w:r>
        <w:rPr>
          <w:sz w:val="21"/>
          <w:szCs w:val="21"/>
        </w:rPr>
        <w:t>预算金额（元）: 8000000.00</w:t>
      </w:r>
      <w:r>
        <w:rPr>
          <w:rFonts w:hint="eastAsia"/>
          <w:sz w:val="21"/>
          <w:szCs w:val="21"/>
        </w:rPr>
        <w:t>/年</w:t>
      </w:r>
    </w:p>
    <w:p>
      <w:pPr>
        <w:pStyle w:val="20"/>
        <w:spacing w:before="0" w:beforeAutospacing="0" w:after="0" w:afterAutospacing="0" w:line="360" w:lineRule="auto"/>
        <w:ind w:firstLine="424" w:firstLineChars="202"/>
        <w:rPr>
          <w:sz w:val="21"/>
          <w:szCs w:val="21"/>
        </w:rPr>
      </w:pPr>
      <w:r>
        <w:rPr>
          <w:sz w:val="21"/>
          <w:szCs w:val="21"/>
        </w:rPr>
        <w:t>简要规格描述或项目基本概况介绍、用途：</w:t>
      </w:r>
      <w:bookmarkStart w:id="3" w:name="_Hlk117686560"/>
      <w:r>
        <w:rPr>
          <w:rFonts w:hint="eastAsia"/>
          <w:sz w:val="21"/>
          <w:szCs w:val="21"/>
        </w:rPr>
        <w:t>协助鄞州区政府投资项目评审中心完成列入本次招标服务年度计划的的政府投资项目概算审核工作；</w:t>
      </w:r>
      <w:bookmarkEnd w:id="3"/>
      <w:r>
        <w:rPr>
          <w:rFonts w:hint="eastAsia"/>
          <w:sz w:val="21"/>
          <w:szCs w:val="21"/>
        </w:rPr>
        <w:t>具体详见采购需求。</w:t>
      </w:r>
    </w:p>
    <w:p>
      <w:pPr>
        <w:pStyle w:val="20"/>
        <w:spacing w:before="0" w:beforeAutospacing="0" w:after="0" w:afterAutospacing="0" w:line="360" w:lineRule="auto"/>
        <w:ind w:firstLine="424" w:firstLineChars="202"/>
        <w:rPr>
          <w:sz w:val="21"/>
          <w:szCs w:val="21"/>
        </w:rPr>
      </w:pPr>
      <w:r>
        <w:rPr>
          <w:rFonts w:hint="eastAsia"/>
          <w:sz w:val="21"/>
          <w:szCs w:val="21"/>
        </w:rPr>
        <w:t>备注：（1）本项目中标</w:t>
      </w:r>
      <w:r>
        <w:rPr>
          <w:sz w:val="21"/>
          <w:szCs w:val="21"/>
          <w:u w:val="single"/>
        </w:rPr>
        <w:t>30</w:t>
      </w:r>
      <w:r>
        <w:rPr>
          <w:rFonts w:hint="eastAsia"/>
          <w:sz w:val="21"/>
          <w:szCs w:val="21"/>
        </w:rPr>
        <w:t>家单位。（2）投标最高限价为浙江省物价局《关于进一步完善工程造价咨询服务收费的通知》(浙价服〔2009〕84号)的文件规定设计概算编制或审核基准收费标准的75%。</w:t>
      </w:r>
    </w:p>
    <w:p>
      <w:pPr>
        <w:pStyle w:val="20"/>
        <w:spacing w:before="0" w:beforeAutospacing="0" w:after="0" w:afterAutospacing="0" w:line="360" w:lineRule="auto"/>
        <w:ind w:firstLine="424" w:firstLineChars="202"/>
        <w:rPr>
          <w:sz w:val="21"/>
          <w:szCs w:val="21"/>
        </w:rPr>
      </w:pPr>
      <w:r>
        <w:rPr>
          <w:rFonts w:hint="eastAsia"/>
          <w:sz w:val="21"/>
          <w:szCs w:val="21"/>
        </w:rPr>
        <w:t>合同履约期限：服务总期限2年（合同签订之日~2024年12月31日），合同一年一签。第一年：自合同签订之日至2</w:t>
      </w:r>
      <w:r>
        <w:rPr>
          <w:sz w:val="21"/>
          <w:szCs w:val="21"/>
        </w:rPr>
        <w:t>023</w:t>
      </w:r>
      <w:r>
        <w:rPr>
          <w:rFonts w:hint="eastAsia"/>
          <w:sz w:val="21"/>
          <w:szCs w:val="21"/>
        </w:rPr>
        <w:t>年1</w:t>
      </w:r>
      <w:r>
        <w:rPr>
          <w:sz w:val="21"/>
          <w:szCs w:val="21"/>
        </w:rPr>
        <w:t>2</w:t>
      </w:r>
      <w:r>
        <w:rPr>
          <w:rFonts w:hint="eastAsia"/>
          <w:sz w:val="21"/>
          <w:szCs w:val="21"/>
        </w:rPr>
        <w:t>月3</w:t>
      </w:r>
      <w:r>
        <w:rPr>
          <w:sz w:val="21"/>
          <w:szCs w:val="21"/>
        </w:rPr>
        <w:t>1</w:t>
      </w:r>
      <w:r>
        <w:rPr>
          <w:rFonts w:hint="eastAsia"/>
          <w:sz w:val="21"/>
          <w:szCs w:val="21"/>
        </w:rPr>
        <w:t>日，第二年采购人根据单位在上一年度的合同履约情况、考评情况(具体考评由宁波市鄞州区发展和改革局行政审批科负责）及财政资金审批情况决定是否续签。</w:t>
      </w:r>
    </w:p>
    <w:p>
      <w:pPr>
        <w:pStyle w:val="20"/>
        <w:spacing w:before="0" w:beforeAutospacing="0" w:after="0" w:afterAutospacing="0" w:line="360" w:lineRule="auto"/>
        <w:ind w:firstLine="424" w:firstLineChars="202"/>
        <w:rPr>
          <w:sz w:val="21"/>
          <w:szCs w:val="21"/>
        </w:rPr>
      </w:pPr>
      <w:r>
        <w:rPr>
          <w:rFonts w:hint="eastAsia"/>
          <w:sz w:val="21"/>
          <w:szCs w:val="21"/>
        </w:rPr>
        <w:t>本项目（不）接受联合体投标。</w:t>
      </w:r>
    </w:p>
    <w:p>
      <w:pPr>
        <w:spacing w:line="360" w:lineRule="auto"/>
        <w:rPr>
          <w:rFonts w:ascii="宋体"/>
          <w:b/>
          <w:szCs w:val="21"/>
        </w:rPr>
      </w:pPr>
      <w:r>
        <w:rPr>
          <w:rFonts w:hint="eastAsia" w:ascii="宋体" w:hAnsi="宋体"/>
          <w:b/>
          <w:szCs w:val="21"/>
        </w:rPr>
        <w:t>二、申请人的资格要求：</w:t>
      </w:r>
    </w:p>
    <w:p>
      <w:pPr>
        <w:widowControl/>
        <w:spacing w:line="360" w:lineRule="auto"/>
        <w:ind w:firstLine="420" w:firstLineChars="200"/>
        <w:jc w:val="left"/>
        <w:rPr>
          <w:rFonts w:ascii="宋体" w:hAnsi="宋体" w:cs="宋体"/>
          <w:sz w:val="22"/>
          <w:szCs w:val="22"/>
        </w:rPr>
      </w:pPr>
      <w:r>
        <w:rPr>
          <w:rFonts w:hint="eastAsia" w:ascii="宋体" w:hAnsi="宋体" w:cs="宋体"/>
          <w:szCs w:val="21"/>
        </w:rPr>
        <w:t>1、</w:t>
      </w:r>
      <w:r>
        <w:rPr>
          <w:rFonts w:hint="eastAsia" w:ascii="宋体" w:hAnsi="宋体" w:cs="宋体"/>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jc w:val="left"/>
        <w:rPr>
          <w:rFonts w:ascii="宋体" w:hAnsi="宋体" w:cs="宋体"/>
          <w:szCs w:val="21"/>
        </w:rPr>
      </w:pPr>
      <w:r>
        <w:rPr>
          <w:rFonts w:hint="eastAsia" w:ascii="宋体" w:hAnsi="宋体" w:cs="宋体"/>
          <w:szCs w:val="21"/>
        </w:rPr>
        <w:t>2.落实政府采购政策需满足的资格要求：无。</w:t>
      </w:r>
    </w:p>
    <w:p>
      <w:pPr>
        <w:widowControl/>
        <w:spacing w:line="360" w:lineRule="auto"/>
        <w:ind w:firstLine="420" w:firstLineChars="200"/>
        <w:jc w:val="left"/>
        <w:rPr>
          <w:rFonts w:ascii="宋体" w:hAnsi="宋体" w:cs="宋体"/>
          <w:szCs w:val="21"/>
        </w:rPr>
      </w:pPr>
      <w:r>
        <w:rPr>
          <w:rFonts w:hint="eastAsia" w:ascii="宋体" w:hAnsi="宋体" w:cs="宋体"/>
          <w:szCs w:val="21"/>
        </w:rPr>
        <w:t>3.本项目的特定资格要求：投标人须为工程造价咨询企业（以企业营业执照经营范围为准）。</w:t>
      </w:r>
    </w:p>
    <w:p>
      <w:pPr>
        <w:widowControl/>
        <w:spacing w:line="360" w:lineRule="auto"/>
        <w:ind w:firstLine="422" w:firstLineChars="200"/>
        <w:jc w:val="left"/>
        <w:rPr>
          <w:b/>
          <w:szCs w:val="21"/>
        </w:rPr>
      </w:pPr>
      <w:r>
        <w:rPr>
          <w:rFonts w:hint="eastAsia" w:ascii="宋体" w:hAnsi="宋体"/>
          <w:b/>
          <w:szCs w:val="21"/>
        </w:rPr>
        <w:t>三、获取招标文件 </w:t>
      </w:r>
    </w:p>
    <w:p>
      <w:pPr>
        <w:pStyle w:val="20"/>
        <w:spacing w:before="0" w:beforeAutospacing="0" w:after="0" w:afterAutospacing="0" w:line="360" w:lineRule="auto"/>
        <w:ind w:firstLine="424" w:firstLineChars="202"/>
        <w:rPr>
          <w:rFonts w:ascii="Times New Roman" w:hAnsi="Times New Roman" w:cs="Times New Roman"/>
          <w:kern w:val="2"/>
          <w:sz w:val="21"/>
          <w:szCs w:val="21"/>
        </w:rPr>
      </w:pPr>
      <w:r>
        <w:rPr>
          <w:rFonts w:hint="eastAsia"/>
          <w:sz w:val="21"/>
          <w:szCs w:val="21"/>
        </w:rPr>
        <w:t>时间</w:t>
      </w:r>
      <w:r>
        <w:rPr>
          <w:rFonts w:hint="eastAsia" w:ascii="Times New Roman" w:hAnsi="Times New Roman" w:cs="Times New Roman"/>
          <w:kern w:val="2"/>
          <w:sz w:val="21"/>
          <w:szCs w:val="21"/>
        </w:rPr>
        <w:t>：202</w:t>
      </w:r>
      <w:r>
        <w:rPr>
          <w:rFonts w:ascii="Times New Roman" w:hAnsi="Times New Roman" w:cs="Times New Roman"/>
          <w:kern w:val="2"/>
          <w:sz w:val="21"/>
          <w:szCs w:val="21"/>
        </w:rPr>
        <w:t>3</w:t>
      </w:r>
      <w:r>
        <w:rPr>
          <w:rFonts w:hint="eastAsia" w:ascii="Times New Roman" w:hAnsi="Times New Roman" w:cs="Times New Roman"/>
          <w:kern w:val="2"/>
          <w:sz w:val="21"/>
          <w:szCs w:val="21"/>
        </w:rPr>
        <w:t>年</w:t>
      </w:r>
      <w:r>
        <w:rPr>
          <w:rFonts w:ascii="Times New Roman" w:hAnsi="Times New Roman" w:cs="Times New Roman"/>
          <w:kern w:val="2"/>
          <w:sz w:val="21"/>
          <w:szCs w:val="21"/>
        </w:rPr>
        <w:t>02</w:t>
      </w:r>
      <w:r>
        <w:rPr>
          <w:rFonts w:hint="eastAsia" w:ascii="Times New Roman" w:hAnsi="Times New Roman" w:cs="Times New Roman"/>
          <w:kern w:val="2"/>
          <w:sz w:val="21"/>
          <w:szCs w:val="21"/>
        </w:rPr>
        <w:t>月</w:t>
      </w:r>
      <w:r>
        <w:rPr>
          <w:rFonts w:ascii="Times New Roman" w:hAnsi="Times New Roman" w:cs="Times New Roman"/>
          <w:kern w:val="2"/>
          <w:sz w:val="21"/>
          <w:szCs w:val="21"/>
        </w:rPr>
        <w:t>21</w:t>
      </w:r>
      <w:r>
        <w:rPr>
          <w:rFonts w:hint="eastAsia" w:ascii="Times New Roman" w:hAnsi="Times New Roman" w:cs="Times New Roman"/>
          <w:kern w:val="2"/>
          <w:sz w:val="21"/>
          <w:szCs w:val="21"/>
        </w:rPr>
        <w:t>至202</w:t>
      </w:r>
      <w:r>
        <w:rPr>
          <w:rFonts w:ascii="Times New Roman" w:hAnsi="Times New Roman" w:cs="Times New Roman"/>
          <w:kern w:val="2"/>
          <w:sz w:val="21"/>
          <w:szCs w:val="21"/>
        </w:rPr>
        <w:t>3</w:t>
      </w:r>
      <w:r>
        <w:rPr>
          <w:rFonts w:hint="eastAsia" w:ascii="Times New Roman" w:hAnsi="Times New Roman" w:cs="Times New Roman"/>
          <w:kern w:val="2"/>
          <w:sz w:val="21"/>
          <w:szCs w:val="21"/>
        </w:rPr>
        <w:t>年</w:t>
      </w:r>
      <w:r>
        <w:rPr>
          <w:rFonts w:ascii="Times New Roman" w:hAnsi="Times New Roman" w:cs="Times New Roman"/>
          <w:kern w:val="2"/>
          <w:sz w:val="21"/>
          <w:szCs w:val="21"/>
        </w:rPr>
        <w:t>03</w:t>
      </w:r>
      <w:r>
        <w:rPr>
          <w:rFonts w:hint="eastAsia" w:ascii="Times New Roman" w:hAnsi="Times New Roman" w:cs="Times New Roman"/>
          <w:kern w:val="2"/>
          <w:sz w:val="21"/>
          <w:szCs w:val="21"/>
        </w:rPr>
        <w:t>月</w:t>
      </w:r>
      <w:r>
        <w:rPr>
          <w:rFonts w:ascii="Times New Roman" w:hAnsi="Times New Roman" w:cs="Times New Roman"/>
          <w:kern w:val="2"/>
          <w:sz w:val="21"/>
          <w:szCs w:val="21"/>
        </w:rPr>
        <w:t>03</w:t>
      </w:r>
      <w:r>
        <w:rPr>
          <w:rFonts w:hint="eastAsia" w:ascii="Times New Roman" w:hAnsi="Times New Roman" w:cs="Times New Roman"/>
          <w:kern w:val="2"/>
          <w:sz w:val="21"/>
          <w:szCs w:val="21"/>
        </w:rPr>
        <w:t>日，每天上午00:00至12:00，下午12:00至23:59（北京时间，线上获取法定节假日均可，线下获取文件法定节假日除外）</w:t>
      </w:r>
    </w:p>
    <w:p>
      <w:pPr>
        <w:pStyle w:val="20"/>
        <w:spacing w:before="0" w:beforeAutospacing="0" w:after="0" w:afterAutospacing="0" w:line="360" w:lineRule="auto"/>
        <w:ind w:firstLine="424" w:firstLineChars="202"/>
        <w:rPr>
          <w:rFonts w:ascii="Times New Roman" w:hAnsi="Times New Roman" w:cs="Times New Roman"/>
          <w:kern w:val="2"/>
          <w:sz w:val="21"/>
          <w:szCs w:val="21"/>
        </w:rPr>
      </w:pPr>
      <w:r>
        <w:rPr>
          <w:rFonts w:hint="eastAsia" w:ascii="Times New Roman" w:hAnsi="Times New Roman" w:cs="Times New Roman"/>
          <w:kern w:val="2"/>
          <w:sz w:val="21"/>
          <w:szCs w:val="21"/>
        </w:rPr>
        <w:t>地点（网址）：政府采购云平台（www.zcygov.cn）</w:t>
      </w:r>
    </w:p>
    <w:p>
      <w:pPr>
        <w:spacing w:line="360" w:lineRule="auto"/>
        <w:ind w:firstLine="420" w:firstLineChars="200"/>
        <w:rPr>
          <w:rFonts w:ascii="宋体" w:hAnsi="宋体" w:cs="宋体"/>
        </w:rPr>
      </w:pPr>
      <w:r>
        <w:rPr>
          <w:rFonts w:hint="eastAsia" w:ascii="宋体" w:hAnsi="宋体" w:cs="宋体"/>
        </w:rPr>
        <w:t xml:space="preserve">方式：本项目招标文件实行“政府采购云平台”在线获取，不提供招标文件纸质版。供应商获取招标文件前应先完成“政府采购云平台”的账号注册； 潜在供应商登录政府采购云平台，在线申请获取招标文件（进入“项目采购”应用，在获取招标文件菜单中选择项目，申请获取招标文件；仅需浏览招标文件的供应商可点击“游客，浏览招标文件”直接下载招标文件浏览）；采购公告所附采购文件仅供阅览使用，供应商只有在“政府采购云平台”完成获取采购文件申请并下载了采购文件后才被视为合法获取了采购文件，否则其响应将被拒绝。 </w:t>
      </w:r>
    </w:p>
    <w:p>
      <w:pPr>
        <w:spacing w:line="360" w:lineRule="auto"/>
        <w:ind w:firstLine="420" w:firstLineChars="200"/>
        <w:rPr>
          <w:rFonts w:ascii="宋体" w:hAnsi="宋体" w:cs="宋体"/>
        </w:rPr>
      </w:pPr>
      <w:r>
        <w:rPr>
          <w:rFonts w:hint="eastAsia" w:ascii="宋体" w:hAnsi="宋体" w:cs="宋体"/>
        </w:rPr>
        <w:t xml:space="preserve">注：请投标人按上述要求获取招标文件，如未在“政采云”系统内完成相关流程，引起的投标无效责任自负。 </w:t>
      </w:r>
    </w:p>
    <w:p>
      <w:pPr>
        <w:spacing w:line="360" w:lineRule="auto"/>
        <w:ind w:firstLine="420" w:firstLineChars="200"/>
        <w:rPr>
          <w:szCs w:val="21"/>
        </w:rPr>
      </w:pPr>
      <w:r>
        <w:rPr>
          <w:rFonts w:hint="eastAsia"/>
          <w:szCs w:val="21"/>
        </w:rPr>
        <w:t>售价（元）：0</w:t>
      </w:r>
    </w:p>
    <w:p>
      <w:pPr>
        <w:spacing w:line="360" w:lineRule="auto"/>
        <w:rPr>
          <w:rFonts w:ascii="宋体" w:hAnsi="宋体" w:cs="宋体"/>
          <w:b/>
          <w:bCs/>
        </w:rPr>
      </w:pPr>
      <w:r>
        <w:rPr>
          <w:rFonts w:hint="eastAsia" w:ascii="宋体" w:hAnsi="宋体" w:cs="宋体"/>
          <w:b/>
          <w:bCs/>
        </w:rPr>
        <w:t>四、提交投标文件截止时间、开标时间和地点</w:t>
      </w:r>
    </w:p>
    <w:p>
      <w:pPr>
        <w:spacing w:line="360" w:lineRule="auto"/>
        <w:ind w:firstLine="412" w:firstLineChars="200"/>
        <w:rPr>
          <w:rFonts w:ascii="宋体" w:hAnsi="宋体" w:cs="宋体"/>
          <w:spacing w:val="-2"/>
        </w:rPr>
      </w:pPr>
      <w:r>
        <w:rPr>
          <w:rFonts w:hint="eastAsia" w:ascii="宋体" w:hAnsi="宋体" w:cs="宋体"/>
          <w:spacing w:val="-2"/>
        </w:rPr>
        <w:t>提交投标文件截止时间：202</w:t>
      </w:r>
      <w:r>
        <w:rPr>
          <w:rFonts w:ascii="宋体" w:hAnsi="宋体" w:cs="宋体"/>
          <w:spacing w:val="-2"/>
        </w:rPr>
        <w:t>3</w:t>
      </w:r>
      <w:r>
        <w:rPr>
          <w:rFonts w:hint="eastAsia" w:ascii="宋体" w:hAnsi="宋体" w:cs="宋体"/>
          <w:spacing w:val="-2"/>
        </w:rPr>
        <w:t>年</w:t>
      </w:r>
      <w:r>
        <w:rPr>
          <w:rFonts w:ascii="宋体" w:hAnsi="宋体" w:cs="宋体"/>
          <w:spacing w:val="-2"/>
        </w:rPr>
        <w:t>03</w:t>
      </w:r>
      <w:r>
        <w:rPr>
          <w:rFonts w:hint="eastAsia" w:ascii="宋体" w:hAnsi="宋体" w:cs="宋体"/>
          <w:spacing w:val="-2"/>
        </w:rPr>
        <w:t>月1</w:t>
      </w:r>
      <w:r>
        <w:rPr>
          <w:rFonts w:ascii="宋体" w:hAnsi="宋体" w:cs="宋体"/>
          <w:spacing w:val="-2"/>
        </w:rPr>
        <w:t>5</w:t>
      </w:r>
      <w:r>
        <w:rPr>
          <w:rFonts w:hint="eastAsia" w:ascii="宋体" w:hAnsi="宋体" w:cs="宋体"/>
          <w:spacing w:val="-2"/>
        </w:rPr>
        <w:t>日</w:t>
      </w:r>
      <w:r>
        <w:rPr>
          <w:rFonts w:ascii="宋体" w:hAnsi="宋体" w:cs="宋体"/>
          <w:spacing w:val="-2"/>
        </w:rPr>
        <w:t>09</w:t>
      </w:r>
      <w:r>
        <w:rPr>
          <w:rFonts w:hint="eastAsia" w:ascii="宋体" w:hAnsi="宋体" w:cs="宋体"/>
          <w:spacing w:val="-2"/>
        </w:rPr>
        <w:t>:</w:t>
      </w:r>
      <w:r>
        <w:rPr>
          <w:rFonts w:ascii="宋体" w:hAnsi="宋体" w:cs="宋体"/>
          <w:spacing w:val="-2"/>
        </w:rPr>
        <w:t>3</w:t>
      </w:r>
      <w:r>
        <w:rPr>
          <w:rFonts w:hint="eastAsia" w:ascii="宋体" w:hAnsi="宋体" w:cs="宋体"/>
          <w:spacing w:val="-2"/>
        </w:rPr>
        <w:t>0（北京时间）</w:t>
      </w:r>
    </w:p>
    <w:p>
      <w:pPr>
        <w:pStyle w:val="20"/>
        <w:spacing w:before="0" w:beforeAutospacing="0" w:after="0" w:afterAutospacing="0" w:line="360" w:lineRule="auto"/>
        <w:ind w:firstLine="412" w:firstLineChars="200"/>
        <w:rPr>
          <w:sz w:val="21"/>
          <w:szCs w:val="21"/>
        </w:rPr>
      </w:pPr>
      <w:r>
        <w:rPr>
          <w:rFonts w:hint="eastAsia"/>
          <w:spacing w:val="-2"/>
          <w:kern w:val="2"/>
          <w:sz w:val="21"/>
        </w:rPr>
        <w:t>投标地点（网址）：政府采购云平台</w:t>
      </w:r>
      <w:r>
        <w:rPr>
          <w:spacing w:val="-2"/>
          <w:kern w:val="2"/>
          <w:sz w:val="21"/>
        </w:rPr>
        <w:t>www.zcygov.cn</w:t>
      </w:r>
      <w:r>
        <w:rPr>
          <w:rFonts w:hint="eastAsia"/>
          <w:spacing w:val="-2"/>
          <w:kern w:val="2"/>
          <w:sz w:val="21"/>
        </w:rPr>
        <w:t>；宁波市鄞州区公共资源交易中心（鄞州区蕙江路567号，鄞州区妇儿医院对面，鄞州区行政服务中心5楼，具体开标厅号见大厅大屏幕）开标室</w:t>
      </w:r>
    </w:p>
    <w:p>
      <w:pPr>
        <w:spacing w:line="360" w:lineRule="auto"/>
        <w:ind w:firstLine="412" w:firstLineChars="200"/>
        <w:rPr>
          <w:rFonts w:ascii="宋体" w:hAnsi="宋体" w:cs="宋体"/>
          <w:spacing w:val="-2"/>
        </w:rPr>
      </w:pPr>
      <w:r>
        <w:rPr>
          <w:rFonts w:hint="eastAsia" w:ascii="宋体" w:hAnsi="宋体" w:cs="宋体"/>
          <w:spacing w:val="-2"/>
        </w:rPr>
        <w:t>开标时间：202</w:t>
      </w:r>
      <w:r>
        <w:rPr>
          <w:rFonts w:ascii="宋体" w:hAnsi="宋体" w:cs="宋体"/>
          <w:spacing w:val="-2"/>
        </w:rPr>
        <w:t>3</w:t>
      </w:r>
      <w:r>
        <w:rPr>
          <w:rFonts w:hint="eastAsia" w:ascii="宋体" w:hAnsi="宋体" w:cs="宋体"/>
          <w:spacing w:val="-2"/>
        </w:rPr>
        <w:t>年</w:t>
      </w:r>
      <w:r>
        <w:rPr>
          <w:rFonts w:ascii="宋体" w:hAnsi="宋体" w:cs="宋体"/>
          <w:spacing w:val="-2"/>
        </w:rPr>
        <w:t>03</w:t>
      </w:r>
      <w:r>
        <w:rPr>
          <w:rFonts w:hint="eastAsia" w:ascii="宋体" w:hAnsi="宋体" w:cs="宋体"/>
          <w:spacing w:val="-2"/>
        </w:rPr>
        <w:t>月</w:t>
      </w:r>
      <w:r>
        <w:rPr>
          <w:rFonts w:ascii="宋体" w:hAnsi="宋体" w:cs="宋体"/>
          <w:spacing w:val="-2"/>
        </w:rPr>
        <w:t>15</w:t>
      </w:r>
      <w:r>
        <w:rPr>
          <w:rFonts w:hint="eastAsia" w:ascii="宋体" w:hAnsi="宋体" w:cs="宋体"/>
          <w:spacing w:val="-2"/>
        </w:rPr>
        <w:t>日</w:t>
      </w:r>
      <w:r>
        <w:rPr>
          <w:rFonts w:ascii="宋体" w:hAnsi="宋体" w:cs="宋体"/>
          <w:spacing w:val="-2"/>
        </w:rPr>
        <w:t>09</w:t>
      </w:r>
      <w:r>
        <w:rPr>
          <w:rFonts w:hint="eastAsia" w:ascii="宋体" w:hAnsi="宋体" w:cs="宋体"/>
          <w:spacing w:val="-2"/>
        </w:rPr>
        <w:t>:</w:t>
      </w:r>
      <w:r>
        <w:rPr>
          <w:rFonts w:ascii="宋体" w:hAnsi="宋体" w:cs="宋体"/>
          <w:spacing w:val="-2"/>
        </w:rPr>
        <w:t>3</w:t>
      </w:r>
      <w:r>
        <w:rPr>
          <w:rFonts w:hint="eastAsia" w:ascii="宋体" w:hAnsi="宋体" w:cs="宋体"/>
          <w:spacing w:val="-2"/>
        </w:rPr>
        <w:t>0（北京时间） </w:t>
      </w:r>
    </w:p>
    <w:p>
      <w:pPr>
        <w:spacing w:line="360" w:lineRule="auto"/>
        <w:ind w:firstLine="412" w:firstLineChars="200"/>
        <w:rPr>
          <w:rFonts w:ascii="宋体" w:hAnsi="宋体" w:cs="宋体"/>
        </w:rPr>
      </w:pPr>
      <w:r>
        <w:rPr>
          <w:rFonts w:hint="eastAsia" w:ascii="宋体" w:hAnsi="宋体" w:cs="宋体"/>
          <w:spacing w:val="-2"/>
        </w:rPr>
        <w:t>开标地点：</w:t>
      </w:r>
      <w:bookmarkStart w:id="4" w:name="_Hlk117686900"/>
      <w:r>
        <w:rPr>
          <w:rFonts w:hint="eastAsia" w:ascii="宋体" w:hAnsi="宋体"/>
          <w:szCs w:val="21"/>
        </w:rPr>
        <w:t>本项目通过“政府采购云平台（www.zcygov.cn）”实行在线开标</w:t>
      </w:r>
      <w:bookmarkEnd w:id="4"/>
      <w:r>
        <w:rPr>
          <w:rFonts w:hint="eastAsia" w:ascii="宋体" w:hAnsi="宋体"/>
          <w:szCs w:val="21"/>
        </w:rPr>
        <w:t>。</w:t>
      </w:r>
    </w:p>
    <w:p>
      <w:pPr>
        <w:spacing w:line="360" w:lineRule="auto"/>
        <w:rPr>
          <w:rFonts w:ascii="宋体" w:hAnsi="宋体" w:cs="宋体"/>
          <w:b/>
          <w:bCs/>
        </w:rPr>
      </w:pPr>
      <w:r>
        <w:rPr>
          <w:rFonts w:hint="eastAsia" w:ascii="宋体" w:hAnsi="宋体" w:cs="宋体"/>
          <w:b/>
          <w:bCs/>
        </w:rPr>
        <w:t>五、公告期限</w:t>
      </w:r>
    </w:p>
    <w:p>
      <w:pPr>
        <w:spacing w:line="360" w:lineRule="auto"/>
        <w:ind w:firstLine="420" w:firstLineChars="200"/>
        <w:rPr>
          <w:rFonts w:ascii="宋体" w:hAnsi="宋体" w:cs="宋体"/>
        </w:rPr>
      </w:pPr>
      <w:r>
        <w:rPr>
          <w:rFonts w:hint="eastAsia" w:ascii="宋体" w:hAnsi="宋体" w:cs="宋体"/>
        </w:rPr>
        <w:t>自本公告发布之日起5个工作日。</w:t>
      </w:r>
    </w:p>
    <w:p>
      <w:pPr>
        <w:spacing w:line="360" w:lineRule="auto"/>
        <w:rPr>
          <w:rFonts w:ascii="宋体" w:hAnsi="宋体" w:cs="宋体"/>
          <w:b/>
          <w:bCs/>
        </w:rPr>
      </w:pPr>
      <w:r>
        <w:rPr>
          <w:rFonts w:hint="eastAsia" w:ascii="宋体" w:hAnsi="宋体" w:cs="宋体"/>
          <w:b/>
          <w:bCs/>
        </w:rPr>
        <w:t>六、其他补充事宜</w:t>
      </w:r>
    </w:p>
    <w:p>
      <w:pPr>
        <w:spacing w:line="360" w:lineRule="auto"/>
        <w:ind w:firstLine="420" w:firstLineChars="200"/>
        <w:rPr>
          <w:rFonts w:ascii="宋体" w:hAnsi="宋体" w:cs="宋体"/>
        </w:rPr>
      </w:pPr>
      <w:bookmarkStart w:id="5" w:name="_Hlk117687951"/>
      <w:r>
        <w:rPr>
          <w:rFonts w:hint="eastAsia" w:ascii="宋体" w:hAnsi="宋体" w:cs="宋体"/>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rPr>
      </w:pPr>
      <w:r>
        <w:rPr>
          <w:rFonts w:hint="eastAsia" w:ascii="宋体" w:hAnsi="宋体" w:cs="宋体"/>
        </w:rPr>
        <w:t>2.其他事项：</w:t>
      </w:r>
    </w:p>
    <w:p>
      <w:pPr>
        <w:spacing w:line="360" w:lineRule="auto"/>
        <w:ind w:firstLine="420" w:firstLineChars="200"/>
        <w:rPr>
          <w:rFonts w:ascii="宋体" w:hAnsi="宋体" w:cs="宋体"/>
        </w:rPr>
      </w:pPr>
      <w:r>
        <w:rPr>
          <w:rFonts w:hint="eastAsia" w:ascii="宋体" w:hAnsi="宋体" w:cs="宋体"/>
        </w:rPr>
        <w:t>2.1参加本项目的投标人应于投标文件提交截止时间前到“浙江政府采购网（zfcg.czt.zj.gov.cn）上进行投标人注册申请，并通过财政部门的终审后登记加入到“浙江省政府采购投标人库”。中标人必须注册并登记加入“浙江省政府采购投标人库”。具体要求及注册申请流程详见《浙江省政府采购投标人注册及诚信管理暂行办法》（浙财采监字{2009}28号）和浙江政府采购网“网上办事指南”的“投标人注册申请”。</w:t>
      </w:r>
    </w:p>
    <w:p>
      <w:pPr>
        <w:spacing w:line="360" w:lineRule="auto"/>
        <w:ind w:firstLine="420" w:firstLineChars="200"/>
        <w:rPr>
          <w:rFonts w:ascii="宋体" w:hAnsi="宋体" w:cs="宋体"/>
        </w:rPr>
      </w:pPr>
      <w:r>
        <w:rPr>
          <w:rFonts w:hint="eastAsia" w:ascii="宋体" w:hAnsi="宋体" w:cs="宋体"/>
        </w:rPr>
        <w:t>投标人应在开标前成为浙江省政府采购网正式注册入库投标人，并完成CA数字证书办理。因未注册入库、未办理 CA 数字证书等原因造成无法投标或投标失败等后果由投标人自行承担。（具体操作详见投标人CA 申领操作指南https://help.zcygov.cn/web/site_2/2018/11-29/2452.html）。</w:t>
      </w:r>
    </w:p>
    <w:p>
      <w:pPr>
        <w:spacing w:line="360" w:lineRule="auto"/>
        <w:ind w:firstLine="420" w:firstLineChars="200"/>
        <w:rPr>
          <w:rFonts w:ascii="宋体" w:hAnsi="宋体" w:cs="宋体"/>
        </w:rPr>
      </w:pPr>
      <w:r>
        <w:rPr>
          <w:rFonts w:hint="eastAsia" w:ascii="宋体" w:hAnsi="宋体" w:cs="宋体"/>
        </w:rPr>
        <w:t>2.2特别提醒事项：</w:t>
      </w:r>
    </w:p>
    <w:p>
      <w:pPr>
        <w:spacing w:line="360" w:lineRule="auto"/>
        <w:ind w:firstLine="420" w:firstLineChars="200"/>
        <w:rPr>
          <w:rFonts w:ascii="宋体" w:hAnsi="宋体" w:cs="宋体"/>
        </w:rPr>
      </w:pPr>
      <w:r>
        <w:rPr>
          <w:rFonts w:hint="eastAsia" w:ascii="宋体" w:hAnsi="宋体" w:cs="宋体"/>
        </w:rPr>
        <w:t>（1）投标人应于提交投标文件截止时间前将电子加密投标文件上传到政府采购云平台www.zcygov.cn，未上传电子加密投标文件，视为投标人放弃投标。</w:t>
      </w:r>
    </w:p>
    <w:p>
      <w:pPr>
        <w:spacing w:line="360" w:lineRule="auto"/>
        <w:ind w:firstLine="420" w:firstLineChars="200"/>
        <w:rPr>
          <w:rFonts w:ascii="宋体" w:hAnsi="宋体" w:cs="宋体"/>
        </w:rPr>
      </w:pPr>
      <w:r>
        <w:rPr>
          <w:rFonts w:hint="eastAsia" w:ascii="宋体" w:hAnsi="宋体" w:cs="宋体"/>
        </w:rPr>
        <w:t>（2）投标人在“政府采购云平台”完成“电子加密投标文件”的上传递交之外，还可以（邮寄形式或派人现场递交，以采购代理机构联系人签收时间为准）在投标截止时间前提交以U盘存储的数据电文形式的备份投标文件 1 份，备份投标文件须按政府采购云平台要求制作、存储，备份投标文件的密封详见投标人须知中相应内容，投标人未按规定响应，造成备份投标文件被拒收、无法读取数据，视为投标文件撤回，后果由其自行负责。</w:t>
      </w:r>
    </w:p>
    <w:p>
      <w:pPr>
        <w:spacing w:line="360" w:lineRule="auto"/>
        <w:ind w:firstLine="420" w:firstLineChars="200"/>
        <w:rPr>
          <w:rFonts w:ascii="宋体" w:hAnsi="宋体" w:cs="宋体"/>
        </w:rPr>
      </w:pPr>
      <w:r>
        <w:rPr>
          <w:rFonts w:hint="eastAsia" w:ascii="宋体" w:hAnsi="宋体" w:cs="宋体"/>
        </w:rPr>
        <w:t>（3）电子招投标有关事项说明：</w:t>
      </w:r>
    </w:p>
    <w:p>
      <w:pPr>
        <w:spacing w:line="360" w:lineRule="auto"/>
        <w:ind w:firstLine="420" w:firstLineChars="200"/>
        <w:rPr>
          <w:rFonts w:ascii="宋体" w:hAnsi="宋体" w:cs="宋体"/>
        </w:rPr>
      </w:pPr>
      <w:r>
        <w:rPr>
          <w:rFonts w:hint="eastAsia" w:ascii="宋体" w:hAnsi="宋体" w:cs="宋体"/>
        </w:rPr>
        <w:t>①本项目通过“浙江政府采购网（http://zfcg.czt.zj.gov.cn）”实行电子投标，投标人须安装客户端软件，并按照采购文件和电子交易平台的要求制作投标文件。</w:t>
      </w:r>
    </w:p>
    <w:p>
      <w:pPr>
        <w:spacing w:line="360" w:lineRule="auto"/>
        <w:ind w:firstLine="420" w:firstLineChars="200"/>
        <w:rPr>
          <w:rFonts w:ascii="宋体" w:hAnsi="宋体" w:cs="宋体"/>
        </w:rPr>
      </w:pPr>
      <w:r>
        <w:rPr>
          <w:rFonts w:hint="eastAsia" w:ascii="宋体" w:hAnsi="宋体" w:cs="宋体"/>
        </w:rPr>
        <w:t>客户端软件下载方式：投标人可通过“浙江政府采购网-下载专区-电子交易客户端”进行下载。</w:t>
      </w:r>
    </w:p>
    <w:p>
      <w:pPr>
        <w:spacing w:line="360" w:lineRule="auto"/>
        <w:ind w:firstLine="420" w:firstLineChars="200"/>
        <w:rPr>
          <w:rFonts w:ascii="宋体" w:hAnsi="宋体" w:cs="宋体"/>
        </w:rPr>
      </w:pPr>
      <w:r>
        <w:rPr>
          <w:rFonts w:hint="eastAsia" w:ascii="宋体" w:hAnsi="宋体" w:cs="宋体"/>
        </w:rPr>
        <w:t>②投标人须申领CA，CA申领及相关操作可参考“浙江政府采购网-下载专区-电子交易客户端-CA驱动和申领流程”。投标人在进行上述操作时，如遇技术问题可致电400-881-7190进行咨询。</w:t>
      </w:r>
    </w:p>
    <w:p>
      <w:pPr>
        <w:spacing w:line="360" w:lineRule="auto"/>
        <w:ind w:firstLine="420" w:firstLineChars="200"/>
        <w:rPr>
          <w:rFonts w:ascii="宋体" w:hAnsi="宋体" w:cs="宋体"/>
        </w:rPr>
      </w:pPr>
      <w:r>
        <w:rPr>
          <w:rFonts w:hint="eastAsia" w:ascii="宋体" w:hAnsi="宋体" w:cs="宋体"/>
        </w:rPr>
        <w:t>（4）特别提醒事项：</w:t>
      </w:r>
    </w:p>
    <w:p>
      <w:pPr>
        <w:spacing w:line="360" w:lineRule="auto"/>
        <w:ind w:firstLine="420" w:firstLineChars="200"/>
        <w:rPr>
          <w:rFonts w:ascii="宋体" w:hAnsi="宋体" w:cs="宋体"/>
        </w:rPr>
      </w:pPr>
      <w:r>
        <w:rPr>
          <w:rFonts w:hint="eastAsia" w:ascii="宋体" w:hAnsi="宋体" w:cs="宋体"/>
        </w:rPr>
        <w:t>①采用邮寄方式提交备份电子投标文件，需按以下要求递交：</w:t>
      </w:r>
    </w:p>
    <w:p>
      <w:pPr>
        <w:spacing w:line="360" w:lineRule="auto"/>
        <w:ind w:firstLine="420" w:firstLineChars="200"/>
        <w:rPr>
          <w:rFonts w:ascii="宋体" w:hAnsi="宋体" w:cs="宋体"/>
        </w:rPr>
      </w:pPr>
      <w:r>
        <w:rPr>
          <w:rFonts w:hint="eastAsia" w:ascii="宋体" w:hAnsi="宋体" w:cs="宋体"/>
        </w:rPr>
        <w:t>投标人须在202</w:t>
      </w:r>
      <w:r>
        <w:rPr>
          <w:rFonts w:ascii="宋体" w:hAnsi="宋体" w:cs="宋体"/>
        </w:rPr>
        <w:t>3</w:t>
      </w:r>
      <w:r>
        <w:rPr>
          <w:rFonts w:hint="eastAsia" w:ascii="宋体" w:hAnsi="宋体" w:cs="宋体"/>
        </w:rPr>
        <w:t>年</w:t>
      </w:r>
      <w:r>
        <w:rPr>
          <w:rFonts w:ascii="宋体" w:hAnsi="宋体" w:cs="宋体"/>
        </w:rPr>
        <w:t>03</w:t>
      </w:r>
      <w:r>
        <w:rPr>
          <w:rFonts w:hint="eastAsia" w:ascii="宋体" w:hAnsi="宋体" w:cs="宋体"/>
        </w:rPr>
        <w:t>月</w:t>
      </w:r>
      <w:r>
        <w:rPr>
          <w:rFonts w:ascii="宋体" w:hAnsi="宋体" w:cs="宋体"/>
        </w:rPr>
        <w:t>14</w:t>
      </w:r>
      <w:r>
        <w:rPr>
          <w:rFonts w:hint="eastAsia" w:ascii="宋体" w:hAnsi="宋体" w:cs="宋体"/>
        </w:rPr>
        <w:t>日</w:t>
      </w:r>
      <w:r>
        <w:rPr>
          <w:rFonts w:ascii="宋体" w:hAnsi="宋体" w:cs="宋体"/>
        </w:rPr>
        <w:t>17</w:t>
      </w:r>
      <w:r>
        <w:rPr>
          <w:rFonts w:hint="eastAsia" w:ascii="宋体" w:hAnsi="宋体" w:cs="宋体"/>
        </w:rPr>
        <w:t>:00前将备份投标文件邮寄至规定地点，由采购代理机构工作人员进行签收。各投标人自行考虑邮寄在途时间，邮寄过程中无论何种因素导致备份投标文件未按时递交的后果，均由投标人自行负责。备份投标文件递交时间以采购代理实际收到投标文件的时间为准。邮寄到付或者迟到的备份投标文件将被拒收。请各投标人确保密封包装在邮寄过程密封包装完好，并在邮寄包裹上注明项目名称，因邮寄过程的密封破损造成不符合开标要求的，本采购代理机构及采购人概不负责。</w:t>
      </w:r>
    </w:p>
    <w:p>
      <w:pPr>
        <w:spacing w:line="360" w:lineRule="auto"/>
        <w:ind w:firstLine="420" w:firstLineChars="200"/>
        <w:rPr>
          <w:rFonts w:ascii="宋体" w:hAnsi="宋体" w:cs="宋体"/>
        </w:rPr>
      </w:pPr>
      <w:r>
        <w:rPr>
          <w:rFonts w:hint="eastAsia" w:ascii="宋体" w:hAnsi="宋体" w:cs="宋体"/>
        </w:rPr>
        <w:t>备份电子投标文件邮寄地址为：浙江嘉源工程项目管理有限公司（宁波市镇海区中官西路777号科创大厦16楼招标代理部）</w:t>
      </w:r>
    </w:p>
    <w:p>
      <w:pPr>
        <w:spacing w:line="360" w:lineRule="auto"/>
        <w:ind w:firstLine="420" w:firstLineChars="200"/>
        <w:rPr>
          <w:rFonts w:ascii="宋体" w:hAnsi="宋体" w:cs="宋体"/>
        </w:rPr>
      </w:pPr>
      <w:r>
        <w:rPr>
          <w:rFonts w:hint="eastAsia" w:ascii="宋体" w:hAnsi="宋体" w:cs="宋体"/>
        </w:rPr>
        <w:t>收件人：戎健，联系方式：0574－56151951</w:t>
      </w:r>
    </w:p>
    <w:p>
      <w:pPr>
        <w:spacing w:line="360" w:lineRule="auto"/>
        <w:ind w:firstLine="420" w:firstLineChars="200"/>
        <w:rPr>
          <w:rFonts w:ascii="宋体" w:hAnsi="宋体" w:cs="宋体"/>
        </w:rPr>
      </w:pPr>
      <w:r>
        <w:rPr>
          <w:rFonts w:hint="eastAsia" w:ascii="宋体" w:hAnsi="宋体" w:cs="宋体"/>
        </w:rPr>
        <w:t>②采用现场递交方式递交备份电子投标文件，递交地点为宁波市鄞州区公共资源交易中心（鄞州区蕙江路567号，鄞州区妇儿医院对面，鄞州区行政服务中心5楼，具体开标厅号见大厅大屏幕）开标室。</w:t>
      </w:r>
      <w:bookmarkEnd w:id="5"/>
    </w:p>
    <w:p>
      <w:pPr>
        <w:spacing w:line="360" w:lineRule="auto"/>
        <w:rPr>
          <w:rFonts w:ascii="宋体" w:hAnsi="宋体" w:cs="宋体"/>
          <w:szCs w:val="21"/>
        </w:rPr>
      </w:pPr>
      <w:r>
        <w:rPr>
          <w:rStyle w:val="27"/>
          <w:rFonts w:hint="eastAsia" w:ascii="宋体" w:hAnsi="宋体" w:cs="宋体"/>
          <w:szCs w:val="21"/>
        </w:rPr>
        <w:t>七、对本次采购提出询问、质疑、投诉，请按以下方式联系</w:t>
      </w:r>
    </w:p>
    <w:p>
      <w:pPr>
        <w:spacing w:line="360" w:lineRule="auto"/>
        <w:ind w:firstLine="630" w:firstLineChars="300"/>
        <w:rPr>
          <w:rFonts w:ascii="宋体" w:hAnsi="宋体" w:cs="宋体"/>
          <w:szCs w:val="21"/>
        </w:rPr>
      </w:pPr>
      <w:r>
        <w:rPr>
          <w:rFonts w:hint="eastAsia" w:ascii="宋体" w:hAnsi="宋体" w:cs="宋体"/>
          <w:szCs w:val="21"/>
        </w:rPr>
        <w:t>1.采购人信息</w:t>
      </w:r>
    </w:p>
    <w:p>
      <w:pPr>
        <w:spacing w:line="360" w:lineRule="auto"/>
        <w:ind w:firstLine="630" w:firstLineChars="300"/>
        <w:rPr>
          <w:rFonts w:ascii="宋体" w:hAnsi="宋体" w:cs="宋体"/>
          <w:szCs w:val="21"/>
        </w:rPr>
      </w:pPr>
      <w:r>
        <w:rPr>
          <w:rFonts w:hint="eastAsia" w:ascii="宋体" w:hAnsi="宋体" w:cs="宋体"/>
          <w:szCs w:val="21"/>
        </w:rPr>
        <w:t>名    称：</w:t>
      </w:r>
      <w:bookmarkStart w:id="6" w:name="_Hlk117688127"/>
      <w:r>
        <w:rPr>
          <w:rFonts w:hint="eastAsia" w:ascii="宋体" w:hAnsi="宋体"/>
          <w:color w:val="000000"/>
          <w:szCs w:val="21"/>
        </w:rPr>
        <w:t>宁波市鄞州区发展和改革局</w:t>
      </w:r>
      <w:bookmarkEnd w:id="6"/>
    </w:p>
    <w:p>
      <w:pPr>
        <w:spacing w:line="360" w:lineRule="auto"/>
        <w:ind w:firstLine="630" w:firstLineChars="300"/>
        <w:rPr>
          <w:rFonts w:ascii="宋体" w:hAnsi="宋体" w:cs="宋体"/>
          <w:szCs w:val="21"/>
        </w:rPr>
      </w:pPr>
      <w:r>
        <w:rPr>
          <w:rFonts w:hint="eastAsia" w:ascii="宋体" w:hAnsi="宋体" w:cs="宋体"/>
          <w:szCs w:val="21"/>
        </w:rPr>
        <w:t>地    址：浙江省宁波市惠风东路568号</w:t>
      </w:r>
    </w:p>
    <w:p>
      <w:pPr>
        <w:spacing w:line="360" w:lineRule="auto"/>
        <w:ind w:firstLine="630" w:firstLineChars="300"/>
        <w:rPr>
          <w:rFonts w:ascii="宋体" w:hAnsi="宋体" w:cs="宋体"/>
          <w:szCs w:val="21"/>
        </w:rPr>
      </w:pPr>
      <w:bookmarkStart w:id="7" w:name="_Toc28359086"/>
      <w:bookmarkStart w:id="8" w:name="_Toc28359009"/>
      <w:r>
        <w:rPr>
          <w:rFonts w:hint="eastAsia" w:ascii="宋体" w:hAnsi="宋体" w:cs="宋体"/>
          <w:szCs w:val="21"/>
        </w:rPr>
        <w:t>传    真：/</w:t>
      </w:r>
    </w:p>
    <w:p>
      <w:pPr>
        <w:spacing w:line="360" w:lineRule="auto"/>
        <w:ind w:firstLine="630" w:firstLineChars="300"/>
        <w:rPr>
          <w:rFonts w:ascii="宋体" w:hAnsi="宋体" w:cs="宋体"/>
          <w:szCs w:val="21"/>
        </w:rPr>
      </w:pPr>
      <w:r>
        <w:rPr>
          <w:rFonts w:hint="eastAsia" w:ascii="宋体" w:hAnsi="宋体" w:cs="宋体"/>
          <w:szCs w:val="21"/>
        </w:rPr>
        <w:t>项目联系人（询问）：</w:t>
      </w:r>
      <w:bookmarkStart w:id="9" w:name="_Hlk117688143"/>
      <w:r>
        <w:rPr>
          <w:rFonts w:hint="eastAsia" w:ascii="宋体" w:hAnsi="宋体" w:cs="宋体"/>
          <w:szCs w:val="21"/>
        </w:rPr>
        <w:t>程老师</w:t>
      </w:r>
      <w:bookmarkEnd w:id="9"/>
    </w:p>
    <w:p>
      <w:pPr>
        <w:spacing w:line="360" w:lineRule="auto"/>
        <w:ind w:firstLine="630" w:firstLineChars="300"/>
        <w:rPr>
          <w:rFonts w:ascii="宋体" w:hAnsi="宋体" w:cs="宋体"/>
          <w:szCs w:val="21"/>
        </w:rPr>
      </w:pPr>
      <w:r>
        <w:rPr>
          <w:rFonts w:hint="eastAsia" w:ascii="宋体" w:hAnsi="宋体" w:cs="宋体"/>
          <w:szCs w:val="21"/>
        </w:rPr>
        <w:t>项目联系方式（询问）：</w:t>
      </w:r>
      <w:bookmarkStart w:id="10" w:name="_Hlk117688150"/>
      <w:r>
        <w:rPr>
          <w:szCs w:val="21"/>
        </w:rPr>
        <w:t>0574-88220183</w:t>
      </w:r>
      <w:bookmarkEnd w:id="10"/>
    </w:p>
    <w:p>
      <w:pPr>
        <w:spacing w:line="360" w:lineRule="auto"/>
        <w:ind w:firstLine="630" w:firstLineChars="300"/>
        <w:rPr>
          <w:rFonts w:ascii="宋体" w:hAnsi="宋体" w:cs="宋体"/>
          <w:kern w:val="0"/>
          <w:szCs w:val="21"/>
        </w:rPr>
      </w:pPr>
      <w:r>
        <w:rPr>
          <w:rFonts w:hint="eastAsia" w:ascii="宋体" w:hAnsi="宋体" w:cs="宋体"/>
          <w:kern w:val="0"/>
          <w:szCs w:val="21"/>
        </w:rPr>
        <w:t>质疑联系人：洪云霞</w:t>
      </w:r>
    </w:p>
    <w:p>
      <w:pPr>
        <w:spacing w:line="360" w:lineRule="auto"/>
        <w:ind w:firstLine="630" w:firstLineChars="300"/>
        <w:rPr>
          <w:rFonts w:ascii="宋体" w:hAnsi="宋体" w:cs="宋体"/>
          <w:kern w:val="0"/>
          <w:szCs w:val="21"/>
        </w:rPr>
      </w:pPr>
      <w:r>
        <w:rPr>
          <w:rFonts w:hint="eastAsia" w:ascii="宋体" w:hAnsi="宋体" w:cs="宋体"/>
          <w:kern w:val="0"/>
          <w:szCs w:val="21"/>
        </w:rPr>
        <w:t>质疑联系方式：</w:t>
      </w:r>
      <w:bookmarkEnd w:id="7"/>
      <w:bookmarkEnd w:id="8"/>
      <w:r>
        <w:rPr>
          <w:rFonts w:ascii="宋体" w:hAnsi="宋体" w:cs="宋体"/>
          <w:kern w:val="0"/>
          <w:szCs w:val="21"/>
        </w:rPr>
        <w:t>0574-89187416</w:t>
      </w:r>
    </w:p>
    <w:p>
      <w:pPr>
        <w:spacing w:line="360" w:lineRule="auto"/>
        <w:ind w:firstLine="630" w:firstLineChars="300"/>
        <w:rPr>
          <w:rFonts w:ascii="宋体" w:hAnsi="宋体"/>
          <w:szCs w:val="21"/>
        </w:rPr>
      </w:pPr>
      <w:r>
        <w:rPr>
          <w:rFonts w:hint="eastAsia" w:ascii="宋体" w:hAnsi="宋体"/>
          <w:szCs w:val="21"/>
        </w:rPr>
        <w:t>2.采购代理机构信息</w:t>
      </w:r>
    </w:p>
    <w:p>
      <w:pPr>
        <w:spacing w:line="360" w:lineRule="auto"/>
        <w:ind w:firstLine="630" w:firstLineChars="300"/>
        <w:rPr>
          <w:rFonts w:ascii="宋体" w:hAnsi="宋体"/>
          <w:szCs w:val="21"/>
        </w:rPr>
      </w:pPr>
      <w:r>
        <w:rPr>
          <w:rFonts w:hint="eastAsia" w:ascii="宋体" w:hAnsi="宋体"/>
          <w:szCs w:val="21"/>
        </w:rPr>
        <w:t>采购代理机构名称：浙江嘉源工程项目管理有限公司</w:t>
      </w:r>
    </w:p>
    <w:p>
      <w:pPr>
        <w:spacing w:line="360" w:lineRule="auto"/>
        <w:ind w:firstLine="630" w:firstLineChars="300"/>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址：宁波市镇海区中官西路777号科创大厦16楼招标代理部</w:t>
      </w:r>
    </w:p>
    <w:p>
      <w:pPr>
        <w:spacing w:line="360" w:lineRule="auto"/>
        <w:ind w:firstLine="630" w:firstLineChars="300"/>
      </w:pPr>
      <w:r>
        <w:rPr>
          <w:rFonts w:hint="eastAsia" w:ascii="宋体" w:hAnsi="宋体" w:cs="宋体"/>
        </w:rPr>
        <w:t>项目联系人（询问）</w:t>
      </w:r>
      <w:r>
        <w:rPr>
          <w:rFonts w:hint="eastAsia" w:ascii="宋体" w:hAnsi="宋体"/>
          <w:szCs w:val="21"/>
        </w:rPr>
        <w:t>：戎健、徐驰、赖景刚</w:t>
      </w:r>
    </w:p>
    <w:p>
      <w:pPr>
        <w:spacing w:line="360" w:lineRule="auto"/>
        <w:ind w:firstLine="630" w:firstLineChars="300"/>
        <w:rPr>
          <w:rFonts w:ascii="宋体" w:hAnsi="宋体" w:cs="宋体"/>
        </w:rPr>
      </w:pPr>
      <w:r>
        <w:rPr>
          <w:rFonts w:hint="eastAsia" w:ascii="宋体" w:hAnsi="宋体" w:cs="宋体"/>
        </w:rPr>
        <w:t>项目联系方式（询问）</w:t>
      </w:r>
      <w:r>
        <w:rPr>
          <w:rFonts w:hint="eastAsia" w:ascii="宋体" w:hAnsi="宋体"/>
          <w:szCs w:val="21"/>
        </w:rPr>
        <w:t>：</w:t>
      </w:r>
      <w:r>
        <w:rPr>
          <w:rFonts w:hint="eastAsia" w:ascii="宋体" w:hAnsi="宋体" w:cs="宋体"/>
        </w:rPr>
        <w:t>0574－561519</w:t>
      </w:r>
      <w:r>
        <w:rPr>
          <w:rFonts w:ascii="宋体" w:hAnsi="宋体" w:cs="宋体"/>
        </w:rPr>
        <w:t>51</w:t>
      </w:r>
    </w:p>
    <w:p>
      <w:pPr>
        <w:spacing w:line="360" w:lineRule="auto"/>
        <w:ind w:firstLine="630" w:firstLineChars="300"/>
        <w:rPr>
          <w:rFonts w:cs="宋体"/>
        </w:rPr>
      </w:pPr>
      <w:r>
        <w:rPr>
          <w:rFonts w:hint="eastAsia" w:cs="宋体"/>
        </w:rPr>
        <w:t>质疑联系人：</w:t>
      </w:r>
      <w:r>
        <w:rPr>
          <w:rFonts w:hint="eastAsia" w:ascii="宋体" w:hAnsi="宋体"/>
          <w:szCs w:val="21"/>
        </w:rPr>
        <w:t>余小峰</w:t>
      </w:r>
    </w:p>
    <w:p>
      <w:pPr>
        <w:spacing w:line="360" w:lineRule="auto"/>
        <w:ind w:firstLine="630" w:firstLineChars="300"/>
      </w:pPr>
      <w:r>
        <w:rPr>
          <w:rFonts w:hint="eastAsia"/>
        </w:rPr>
        <w:t>质疑联系方式：</w:t>
      </w:r>
      <w:bookmarkStart w:id="11" w:name="_Hlk117605118"/>
      <w:r>
        <w:rPr>
          <w:rFonts w:hint="eastAsia" w:ascii="宋体" w:hAnsi="宋体" w:cs="宋体"/>
        </w:rPr>
        <w:t>0574－561519</w:t>
      </w:r>
      <w:bookmarkEnd w:id="11"/>
      <w:r>
        <w:rPr>
          <w:rFonts w:ascii="宋体" w:hAnsi="宋体" w:cs="宋体"/>
        </w:rPr>
        <w:t>59</w:t>
      </w:r>
    </w:p>
    <w:p>
      <w:pPr>
        <w:spacing w:line="360" w:lineRule="auto"/>
        <w:ind w:firstLine="630" w:firstLineChars="300"/>
        <w:rPr>
          <w:rFonts w:ascii="宋体" w:hAnsi="宋体"/>
          <w:szCs w:val="21"/>
        </w:rPr>
      </w:pPr>
      <w:r>
        <w:rPr>
          <w:rFonts w:hint="eastAsia" w:ascii="宋体" w:hAnsi="宋体"/>
          <w:szCs w:val="21"/>
        </w:rPr>
        <w:t>3.同级政府采购监督管理部门</w:t>
      </w:r>
    </w:p>
    <w:p>
      <w:pPr>
        <w:spacing w:line="360" w:lineRule="auto"/>
        <w:ind w:firstLine="630" w:firstLineChars="300"/>
        <w:rPr>
          <w:rFonts w:ascii="宋体" w:hAnsi="宋体"/>
          <w:szCs w:val="21"/>
        </w:rPr>
      </w:pPr>
      <w:r>
        <w:rPr>
          <w:rFonts w:hint="eastAsia" w:ascii="宋体" w:hAnsi="宋体"/>
          <w:szCs w:val="21"/>
        </w:rPr>
        <w:t>名    称：</w:t>
      </w:r>
      <w:bookmarkStart w:id="12" w:name="_Hlk117688358"/>
      <w:r>
        <w:rPr>
          <w:rFonts w:hint="eastAsia" w:ascii="宋体" w:hAnsi="宋体"/>
          <w:szCs w:val="21"/>
        </w:rPr>
        <w:t>宁波市鄞州区财政局</w:t>
      </w:r>
      <w:bookmarkEnd w:id="12"/>
    </w:p>
    <w:p>
      <w:pPr>
        <w:spacing w:line="360" w:lineRule="auto"/>
        <w:ind w:firstLine="630" w:firstLineChars="300"/>
        <w:rPr>
          <w:rFonts w:ascii="宋体" w:hAnsi="宋体"/>
          <w:szCs w:val="21"/>
        </w:rPr>
      </w:pPr>
      <w:r>
        <w:rPr>
          <w:rFonts w:hint="eastAsia" w:ascii="宋体" w:hAnsi="宋体"/>
          <w:szCs w:val="21"/>
        </w:rPr>
        <w:t>地    址：</w:t>
      </w:r>
      <w:bookmarkStart w:id="13" w:name="_Hlk117688367"/>
      <w:r>
        <w:rPr>
          <w:rFonts w:hint="eastAsia" w:ascii="宋体" w:hAnsi="宋体"/>
          <w:szCs w:val="21"/>
        </w:rPr>
        <w:t>浙江省宁波市鄞州区前河南路16号</w:t>
      </w:r>
      <w:bookmarkEnd w:id="13"/>
    </w:p>
    <w:p>
      <w:pPr>
        <w:spacing w:line="360" w:lineRule="auto"/>
        <w:ind w:firstLine="630" w:firstLineChars="300"/>
        <w:rPr>
          <w:rFonts w:ascii="宋体" w:hAnsi="宋体"/>
          <w:szCs w:val="21"/>
        </w:rPr>
      </w:pPr>
      <w:r>
        <w:rPr>
          <w:rFonts w:hint="eastAsia" w:ascii="宋体" w:hAnsi="宋体"/>
          <w:szCs w:val="21"/>
        </w:rPr>
        <w:t xml:space="preserve">传    真：/             </w:t>
      </w:r>
    </w:p>
    <w:p>
      <w:pPr>
        <w:spacing w:line="360" w:lineRule="auto"/>
        <w:ind w:firstLine="630" w:firstLineChars="300"/>
        <w:rPr>
          <w:rFonts w:ascii="宋体" w:hAnsi="宋体"/>
          <w:szCs w:val="21"/>
        </w:rPr>
      </w:pPr>
      <w:r>
        <w:rPr>
          <w:rFonts w:hint="eastAsia" w:ascii="宋体" w:hAnsi="宋体"/>
          <w:szCs w:val="21"/>
        </w:rPr>
        <w:t>联系人 ：</w:t>
      </w:r>
      <w:bookmarkStart w:id="14" w:name="_Hlk117688375"/>
      <w:r>
        <w:rPr>
          <w:rFonts w:hint="eastAsia" w:ascii="宋体" w:hAnsi="宋体"/>
          <w:szCs w:val="21"/>
        </w:rPr>
        <w:t>郑燕蓉</w:t>
      </w:r>
      <w:bookmarkEnd w:id="14"/>
    </w:p>
    <w:p>
      <w:pPr>
        <w:spacing w:line="360" w:lineRule="auto"/>
        <w:ind w:firstLine="630" w:firstLineChars="300"/>
        <w:rPr>
          <w:rFonts w:ascii="宋体" w:hAnsi="宋体"/>
          <w:szCs w:val="21"/>
        </w:rPr>
      </w:pPr>
      <w:r>
        <w:rPr>
          <w:rFonts w:hint="eastAsia" w:ascii="宋体" w:hAnsi="宋体"/>
          <w:szCs w:val="21"/>
        </w:rPr>
        <w:t>投诉电话：</w:t>
      </w:r>
      <w:bookmarkStart w:id="15" w:name="_Hlk117688385"/>
      <w:r>
        <w:rPr>
          <w:rFonts w:ascii="宋体" w:hAnsi="宋体"/>
          <w:szCs w:val="21"/>
        </w:rPr>
        <w:t>0574-89295894</w:t>
      </w:r>
      <w:bookmarkEnd w:id="15"/>
    </w:p>
    <w:p>
      <w:pPr>
        <w:pStyle w:val="20"/>
        <w:wordWrap w:val="0"/>
        <w:spacing w:before="75" w:beforeAutospacing="0" w:after="75" w:afterAutospacing="0"/>
        <w:rPr>
          <w:sz w:val="21"/>
          <w:szCs w:val="21"/>
        </w:rPr>
      </w:pPr>
    </w:p>
    <w:p>
      <w:pPr>
        <w:spacing w:line="360" w:lineRule="auto"/>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ascii="宋体" w:hAnsi="宋体" w:cs="宋体"/>
          <w:szCs w:val="21"/>
        </w:rPr>
      </w:pPr>
      <w:r>
        <w:rPr>
          <w:rFonts w:hint="eastAsia" w:ascii="宋体" w:hAnsi="宋体" w:cs="宋体"/>
          <w:szCs w:val="21"/>
        </w:rPr>
        <w:t>CA问题联系电话（人工）：汇信CA 400-888-4636；天谷CA 400-087-8198。</w:t>
      </w:r>
    </w:p>
    <w:p>
      <w:pPr>
        <w:spacing w:line="460" w:lineRule="exact"/>
        <w:ind w:left="422" w:hanging="422" w:hangingChars="200"/>
        <w:rPr>
          <w:rFonts w:ascii="宋体" w:hAnsi="宋体"/>
          <w:b/>
          <w:color w:val="000000"/>
          <w:szCs w:val="21"/>
        </w:rPr>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sectPr>
          <w:footerReference r:id="rId7" w:type="default"/>
          <w:pgSz w:w="11907" w:h="16840"/>
          <w:pgMar w:top="1139" w:right="1588" w:bottom="1423" w:left="1588" w:header="285" w:footer="701" w:gutter="0"/>
          <w:cols w:space="720" w:num="1"/>
          <w:docGrid w:linePitch="285" w:charSpace="0"/>
        </w:sectPr>
      </w:pPr>
    </w:p>
    <w:p>
      <w:pPr>
        <w:spacing w:line="420" w:lineRule="exact"/>
        <w:jc w:val="center"/>
        <w:outlineLvl w:val="0"/>
        <w:rPr>
          <w:rFonts w:eastAsia="黑体"/>
          <w:b/>
          <w:color w:val="000000"/>
          <w:sz w:val="32"/>
        </w:rPr>
      </w:pPr>
      <w:r>
        <w:rPr>
          <w:rFonts w:hint="eastAsia" w:eastAsia="黑体"/>
          <w:b/>
          <w:color w:val="000000"/>
          <w:sz w:val="32"/>
        </w:rPr>
        <w:t>第二章 采购需求</w:t>
      </w:r>
    </w:p>
    <w:p>
      <w:pPr>
        <w:spacing w:line="480" w:lineRule="exact"/>
        <w:jc w:val="center"/>
        <w:outlineLvl w:val="1"/>
        <w:rPr>
          <w:rFonts w:ascii="宋体" w:hAnsi="宋体"/>
          <w:b/>
          <w:bCs/>
          <w:sz w:val="28"/>
          <w:szCs w:val="28"/>
        </w:rPr>
      </w:pPr>
      <w:bookmarkStart w:id="16" w:name="_Toc460857893"/>
      <w:bookmarkStart w:id="17" w:name="_Toc101349957"/>
      <w:bookmarkStart w:id="18" w:name="_Toc460416586"/>
      <w:bookmarkStart w:id="19" w:name="_Toc317685546"/>
      <w:bookmarkStart w:id="20" w:name="_Toc304292160"/>
      <w:bookmarkStart w:id="21" w:name="_Toc460857892"/>
      <w:bookmarkStart w:id="22" w:name="_Toc460416331"/>
      <w:bookmarkStart w:id="23" w:name="_Toc460416635"/>
      <w:bookmarkStart w:id="24" w:name="_Toc460857894"/>
      <w:bookmarkStart w:id="25" w:name="_Toc101349958"/>
      <w:r>
        <w:rPr>
          <w:rFonts w:hint="eastAsia" w:ascii="宋体" w:hAnsi="宋体"/>
          <w:b/>
          <w:bCs/>
          <w:sz w:val="28"/>
          <w:szCs w:val="28"/>
        </w:rPr>
        <w:t>一</w:t>
      </w:r>
      <w:r>
        <w:rPr>
          <w:rFonts w:ascii="宋体" w:hAnsi="宋体"/>
          <w:b/>
          <w:bCs/>
          <w:sz w:val="28"/>
          <w:szCs w:val="28"/>
        </w:rPr>
        <w:t>、商务</w:t>
      </w:r>
      <w:r>
        <w:rPr>
          <w:rFonts w:hint="eastAsia" w:ascii="宋体" w:hAnsi="宋体"/>
          <w:b/>
          <w:bCs/>
          <w:sz w:val="28"/>
          <w:szCs w:val="28"/>
        </w:rPr>
        <w:t>需</w:t>
      </w:r>
      <w:r>
        <w:rPr>
          <w:rFonts w:ascii="宋体" w:hAnsi="宋体"/>
          <w:b/>
          <w:bCs/>
          <w:sz w:val="28"/>
          <w:szCs w:val="28"/>
        </w:rPr>
        <w:t>求</w:t>
      </w:r>
      <w:bookmarkEnd w:id="16"/>
      <w:bookmarkEnd w:id="17"/>
    </w:p>
    <w:bookmarkEnd w:id="18"/>
    <w:bookmarkEnd w:id="19"/>
    <w:bookmarkEnd w:id="20"/>
    <w:bookmarkEnd w:id="21"/>
    <w:bookmarkEnd w:id="22"/>
    <w:bookmarkEnd w:id="23"/>
    <w:tbl>
      <w:tblPr>
        <w:tblStyle w:val="2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62"/>
        <w:gridCol w:w="6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1962" w:type="dxa"/>
            <w:vAlign w:val="center"/>
          </w:tcPr>
          <w:p>
            <w:pPr>
              <w:spacing w:line="400" w:lineRule="exact"/>
              <w:jc w:val="center"/>
              <w:rPr>
                <w:rFonts w:ascii="宋体" w:hAnsi="宋体"/>
                <w:szCs w:val="21"/>
              </w:rPr>
            </w:pPr>
            <w:r>
              <w:rPr>
                <w:rFonts w:hint="eastAsia" w:ascii="Arial" w:hAnsi="Arial"/>
                <w:bCs/>
                <w:szCs w:val="21"/>
              </w:rPr>
              <w:t>采购标的和数量</w:t>
            </w:r>
          </w:p>
        </w:tc>
        <w:tc>
          <w:tcPr>
            <w:tcW w:w="6566" w:type="dxa"/>
            <w:vAlign w:val="center"/>
          </w:tcPr>
          <w:p>
            <w:pPr>
              <w:spacing w:line="400" w:lineRule="exact"/>
              <w:rPr>
                <w:rFonts w:ascii="宋体" w:hAnsi="宋体"/>
                <w:szCs w:val="21"/>
              </w:rPr>
            </w:pPr>
            <w:r>
              <w:rPr>
                <w:rFonts w:hint="eastAsia" w:ascii="Calibri" w:hAnsi="Calibri"/>
                <w:szCs w:val="21"/>
              </w:rPr>
              <w:t>鄞州区2023-2024年度政府投资项目概算协审服务封闭式框架协议采购</w:t>
            </w:r>
            <w:r>
              <w:rPr>
                <w:rFonts w:ascii="Calibri" w:hAnsi="Calibri"/>
                <w:szCs w:val="21"/>
              </w:rPr>
              <w:tab/>
            </w:r>
            <w:r>
              <w:rPr>
                <w:rFonts w:hint="eastAsia" w:ascii="Calibri" w:hAnsi="Calibri"/>
                <w:szCs w:val="21"/>
              </w:rPr>
              <w:t>1项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8" w:hRule="atLeast"/>
        </w:trPr>
        <w:tc>
          <w:tcPr>
            <w:tcW w:w="1962" w:type="dxa"/>
            <w:vAlign w:val="center"/>
          </w:tcPr>
          <w:p>
            <w:pPr>
              <w:spacing w:line="400" w:lineRule="exact"/>
              <w:jc w:val="center"/>
              <w:rPr>
                <w:rFonts w:ascii="宋体" w:hAnsi="宋体"/>
                <w:szCs w:val="21"/>
              </w:rPr>
            </w:pPr>
            <w:r>
              <w:rPr>
                <w:rFonts w:hint="eastAsia"/>
              </w:rPr>
              <w:t>完成期限</w:t>
            </w:r>
            <w:r>
              <w:rPr>
                <w:rFonts w:hint="eastAsia" w:ascii="宋体" w:hAnsi="宋体"/>
                <w:szCs w:val="21"/>
              </w:rPr>
              <w:t>及地点</w:t>
            </w:r>
          </w:p>
        </w:tc>
        <w:tc>
          <w:tcPr>
            <w:tcW w:w="6566" w:type="dxa"/>
            <w:vAlign w:val="center"/>
          </w:tcPr>
          <w:p>
            <w:pPr>
              <w:spacing w:line="400" w:lineRule="exact"/>
              <w:rPr>
                <w:rFonts w:ascii="宋体" w:hAnsi="宋体"/>
                <w:szCs w:val="21"/>
              </w:rPr>
            </w:pPr>
            <w:r>
              <w:rPr>
                <w:rFonts w:hint="eastAsia" w:ascii="宋体" w:hAnsi="宋体"/>
                <w:szCs w:val="21"/>
              </w:rPr>
              <w:t>合同履约期限：服务总期限2年</w:t>
            </w:r>
            <w:r>
              <w:rPr>
                <w:rFonts w:hint="eastAsia"/>
                <w:szCs w:val="21"/>
              </w:rPr>
              <w:t>（合同签订之日~2024年12月31日）</w:t>
            </w:r>
            <w:r>
              <w:rPr>
                <w:rFonts w:hint="eastAsia" w:ascii="宋体" w:hAnsi="宋体"/>
                <w:szCs w:val="21"/>
              </w:rPr>
              <w:t>，合同一年一签。第一年：</w:t>
            </w:r>
            <w:r>
              <w:rPr>
                <w:rFonts w:hint="eastAsia"/>
                <w:szCs w:val="21"/>
              </w:rPr>
              <w:t>自合同签订之日至2</w:t>
            </w:r>
            <w:r>
              <w:rPr>
                <w:szCs w:val="21"/>
              </w:rPr>
              <w:t>023</w:t>
            </w:r>
            <w:r>
              <w:rPr>
                <w:rFonts w:hint="eastAsia"/>
                <w:szCs w:val="21"/>
              </w:rPr>
              <w:t>年1</w:t>
            </w:r>
            <w:r>
              <w:rPr>
                <w:szCs w:val="21"/>
              </w:rPr>
              <w:t>2</w:t>
            </w:r>
            <w:r>
              <w:rPr>
                <w:rFonts w:hint="eastAsia"/>
                <w:szCs w:val="21"/>
              </w:rPr>
              <w:t>月3</w:t>
            </w:r>
            <w:r>
              <w:rPr>
                <w:szCs w:val="21"/>
              </w:rPr>
              <w:t>1</w:t>
            </w:r>
            <w:r>
              <w:rPr>
                <w:rFonts w:hint="eastAsia"/>
                <w:szCs w:val="21"/>
              </w:rPr>
              <w:t>日</w:t>
            </w:r>
            <w:r>
              <w:rPr>
                <w:rFonts w:hint="eastAsia" w:ascii="宋体" w:hAnsi="宋体"/>
                <w:szCs w:val="21"/>
              </w:rPr>
              <w:t>；第二年采购人根据单位在上一年度的合同履约情况、考评情况(具体考评由宁波市鄞州区发展和改革局行政审批科负责）及财政资金审批情况决定是否续签。</w:t>
            </w:r>
          </w:p>
          <w:p>
            <w:pPr>
              <w:spacing w:line="400" w:lineRule="exact"/>
              <w:rPr>
                <w:rFonts w:ascii="宋体" w:hAnsi="宋体"/>
                <w:szCs w:val="21"/>
              </w:rPr>
            </w:pPr>
            <w:r>
              <w:rPr>
                <w:rFonts w:hint="eastAsia" w:ascii="宋体" w:hAnsi="宋体"/>
                <w:szCs w:val="21"/>
              </w:rPr>
              <w:t>服务地点：业主指定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962" w:type="dxa"/>
            <w:vAlign w:val="center"/>
          </w:tcPr>
          <w:p>
            <w:pPr>
              <w:spacing w:line="400" w:lineRule="exact"/>
              <w:jc w:val="center"/>
              <w:rPr>
                <w:rFonts w:ascii="宋体" w:hAnsi="宋体"/>
                <w:szCs w:val="21"/>
              </w:rPr>
            </w:pPr>
            <w:r>
              <w:rPr>
                <w:rFonts w:hint="eastAsia" w:ascii="宋体" w:hAnsi="宋体"/>
                <w:szCs w:val="21"/>
              </w:rPr>
              <w:t>项目内容</w:t>
            </w:r>
          </w:p>
        </w:tc>
        <w:tc>
          <w:tcPr>
            <w:tcW w:w="6566" w:type="dxa"/>
            <w:vAlign w:val="center"/>
          </w:tcPr>
          <w:p>
            <w:pPr>
              <w:spacing w:line="400" w:lineRule="exact"/>
              <w:rPr>
                <w:rFonts w:ascii="宋体" w:hAnsi="宋体"/>
                <w:szCs w:val="21"/>
              </w:rPr>
            </w:pPr>
            <w:r>
              <w:rPr>
                <w:rFonts w:hint="eastAsia" w:ascii="宋体" w:hAnsi="宋体"/>
                <w:szCs w:val="21"/>
              </w:rPr>
              <w:t>协助鄞州区发展和改革局完成列入本次招标服务年度计划的的政府投资项目概算审核工作；具体详见项目需求。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962" w:type="dxa"/>
            <w:vAlign w:val="center"/>
          </w:tcPr>
          <w:p>
            <w:pPr>
              <w:spacing w:line="400" w:lineRule="exact"/>
              <w:jc w:val="center"/>
              <w:rPr>
                <w:rFonts w:ascii="宋体" w:hAnsi="宋体"/>
                <w:szCs w:val="21"/>
                <w:highlight w:val="yellow"/>
              </w:rPr>
            </w:pPr>
            <w:r>
              <w:rPr>
                <w:rFonts w:hint="eastAsia" w:ascii="宋体" w:hAnsi="宋体"/>
                <w:szCs w:val="21"/>
              </w:rPr>
              <w:t>付款方式</w:t>
            </w:r>
          </w:p>
        </w:tc>
        <w:tc>
          <w:tcPr>
            <w:tcW w:w="6566" w:type="dxa"/>
            <w:vAlign w:val="center"/>
          </w:tcPr>
          <w:p>
            <w:pPr>
              <w:spacing w:line="400" w:lineRule="exact"/>
              <w:rPr>
                <w:highlight w:val="yellow"/>
              </w:rPr>
            </w:pPr>
            <w:r>
              <w:rPr>
                <w:rFonts w:hint="eastAsia" w:ascii="宋体" w:hAnsi="宋体"/>
                <w:szCs w:val="21"/>
              </w:rPr>
              <w:t>协审服务费用按单个项目造价咨询合同进行支付，在咨询单位提交正式《工程造价咨询报告书》后，经委托人确认无误后，委托人根据协议书及合同、其他情况，在收到咨询单位提交的正规税务发票后30天内办理结清手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962" w:type="dxa"/>
            <w:vAlign w:val="center"/>
          </w:tcPr>
          <w:p>
            <w:pPr>
              <w:spacing w:line="400" w:lineRule="exact"/>
              <w:jc w:val="center"/>
              <w:rPr>
                <w:rFonts w:ascii="宋体" w:hAnsi="宋体"/>
                <w:szCs w:val="21"/>
              </w:rPr>
            </w:pPr>
            <w:r>
              <w:rPr>
                <w:rFonts w:hint="eastAsia" w:ascii="宋体" w:hAnsi="宋体"/>
                <w:szCs w:val="21"/>
              </w:rPr>
              <w:t>签订合同时间</w:t>
            </w:r>
          </w:p>
        </w:tc>
        <w:tc>
          <w:tcPr>
            <w:tcW w:w="6566" w:type="dxa"/>
            <w:vAlign w:val="center"/>
          </w:tcPr>
          <w:p>
            <w:pPr>
              <w:spacing w:line="400" w:lineRule="exact"/>
              <w:rPr>
                <w:rFonts w:ascii="宋体" w:hAnsi="宋体"/>
                <w:szCs w:val="21"/>
              </w:rPr>
            </w:pPr>
            <w:r>
              <w:rPr>
                <w:rFonts w:hint="eastAsia" w:ascii="宋体" w:hAnsi="宋体"/>
                <w:szCs w:val="21"/>
              </w:rPr>
              <w:t>中标通知书发出后30日内。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pPr>
              <w:spacing w:line="400" w:lineRule="exact"/>
              <w:jc w:val="center"/>
              <w:rPr>
                <w:rFonts w:ascii="宋体" w:hAnsi="宋体"/>
                <w:szCs w:val="21"/>
              </w:rPr>
            </w:pPr>
            <w:r>
              <w:rPr>
                <w:color w:val="000000"/>
                <w:szCs w:val="21"/>
              </w:rPr>
              <w:t>履约保证金</w:t>
            </w:r>
          </w:p>
        </w:tc>
        <w:tc>
          <w:tcPr>
            <w:tcW w:w="6566" w:type="dxa"/>
            <w:vAlign w:val="center"/>
          </w:tcPr>
          <w:p>
            <w:pPr>
              <w:spacing w:line="400" w:lineRule="exact"/>
              <w:rPr>
                <w:rFonts w:ascii="Arial" w:hAnsi="Arial"/>
                <w:bCs/>
                <w:szCs w:val="21"/>
              </w:rPr>
            </w:pPr>
            <w:r>
              <w:rPr>
                <w:rFonts w:hint="eastAsia" w:ascii="Arial" w:hAnsi="Arial"/>
                <w:bCs/>
                <w:szCs w:val="21"/>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pPr>
              <w:spacing w:line="400" w:lineRule="exact"/>
              <w:jc w:val="center"/>
              <w:rPr>
                <w:rFonts w:ascii="宋体" w:hAnsi="宋体"/>
                <w:szCs w:val="21"/>
              </w:rPr>
            </w:pPr>
            <w:r>
              <w:rPr>
                <w:rFonts w:hint="eastAsia" w:ascii="宋体" w:hAnsi="宋体"/>
                <w:szCs w:val="21"/>
              </w:rPr>
              <w:t>投标文件有效期</w:t>
            </w:r>
          </w:p>
        </w:tc>
        <w:tc>
          <w:tcPr>
            <w:tcW w:w="6566" w:type="dxa"/>
            <w:vAlign w:val="center"/>
          </w:tcPr>
          <w:p>
            <w:pPr>
              <w:spacing w:line="400" w:lineRule="exact"/>
              <w:rPr>
                <w:rFonts w:ascii="宋体" w:hAnsi="宋体"/>
                <w:szCs w:val="21"/>
              </w:rPr>
            </w:pPr>
            <w:r>
              <w:rPr>
                <w:rFonts w:hint="eastAsia" w:ascii="宋体" w:hAnsi="宋体"/>
                <w:szCs w:val="21"/>
              </w:rPr>
              <w:t>90天</w:t>
            </w:r>
          </w:p>
        </w:tc>
      </w:tr>
    </w:tbl>
    <w:p/>
    <w:p>
      <w:pPr>
        <w:pStyle w:val="8"/>
      </w:pPr>
      <w:r>
        <w:br w:type="page"/>
      </w:r>
    </w:p>
    <w:p>
      <w:pPr>
        <w:spacing w:line="480" w:lineRule="exact"/>
        <w:jc w:val="center"/>
        <w:outlineLvl w:val="1"/>
        <w:rPr>
          <w:rFonts w:ascii="Arial" w:hAnsi="Arial" w:cs="Arial"/>
          <w:b/>
          <w:bCs/>
          <w:sz w:val="28"/>
          <w:szCs w:val="28"/>
        </w:rPr>
      </w:pPr>
      <w:r>
        <w:rPr>
          <w:rFonts w:hint="eastAsia" w:ascii="宋体" w:hAnsi="宋体"/>
          <w:b/>
          <w:bCs/>
          <w:sz w:val="28"/>
          <w:szCs w:val="28"/>
        </w:rPr>
        <w:t>二</w:t>
      </w:r>
      <w:r>
        <w:rPr>
          <w:rFonts w:ascii="宋体" w:hAnsi="宋体"/>
          <w:b/>
          <w:bCs/>
          <w:sz w:val="28"/>
          <w:szCs w:val="28"/>
        </w:rPr>
        <w:t>、</w:t>
      </w:r>
      <w:r>
        <w:rPr>
          <w:rFonts w:hint="eastAsia" w:ascii="宋体" w:hAnsi="宋体"/>
          <w:b/>
          <w:bCs/>
          <w:sz w:val="28"/>
          <w:szCs w:val="28"/>
        </w:rPr>
        <w:t>项目</w:t>
      </w:r>
      <w:r>
        <w:rPr>
          <w:rFonts w:ascii="宋体" w:hAnsi="宋体"/>
          <w:b/>
          <w:bCs/>
          <w:sz w:val="28"/>
          <w:szCs w:val="28"/>
        </w:rPr>
        <w:t>需求</w:t>
      </w:r>
      <w:bookmarkEnd w:id="24"/>
      <w:bookmarkEnd w:id="25"/>
    </w:p>
    <w:p>
      <w:pPr>
        <w:adjustRightInd w:val="0"/>
        <w:snapToGrid w:val="0"/>
        <w:spacing w:line="360" w:lineRule="auto"/>
        <w:rPr>
          <w:rFonts w:ascii="宋体" w:hAnsi="宋体"/>
          <w:color w:val="000000"/>
          <w:szCs w:val="21"/>
        </w:rPr>
      </w:pPr>
      <w:bookmarkStart w:id="26" w:name="_Hlk513203723"/>
      <w:r>
        <w:rPr>
          <w:rFonts w:hint="eastAsia" w:ascii="宋体" w:hAnsi="宋体"/>
          <w:b/>
          <w:color w:val="000000"/>
          <w:szCs w:val="21"/>
        </w:rPr>
        <w:t>一、基本要求：</w:t>
      </w:r>
    </w:p>
    <w:p>
      <w:pPr>
        <w:adjustRightInd w:val="0"/>
        <w:snapToGrid w:val="0"/>
        <w:spacing w:line="360" w:lineRule="auto"/>
        <w:ind w:firstLine="211" w:firstLineChars="100"/>
        <w:rPr>
          <w:rFonts w:ascii="宋体" w:hAnsi="宋体"/>
          <w:b/>
          <w:color w:val="000000"/>
          <w:szCs w:val="21"/>
        </w:rPr>
      </w:pPr>
      <w:r>
        <w:rPr>
          <w:rFonts w:hint="eastAsia" w:ascii="宋体" w:hAnsi="宋体"/>
          <w:b/>
          <w:color w:val="000000"/>
          <w:szCs w:val="21"/>
        </w:rPr>
        <w:t>1、概算审核的基本规范要求及技术要求：</w:t>
      </w:r>
    </w:p>
    <w:p>
      <w:pPr>
        <w:autoSpaceDE w:val="0"/>
        <w:autoSpaceDN w:val="0"/>
        <w:adjustRightInd w:val="0"/>
        <w:snapToGrid w:val="0"/>
        <w:spacing w:line="360" w:lineRule="auto"/>
        <w:ind w:firstLine="420" w:firstLineChars="200"/>
        <w:jc w:val="left"/>
        <w:rPr>
          <w:rFonts w:ascii="宋体" w:hAnsi="宋体"/>
          <w:kern w:val="0"/>
          <w:szCs w:val="21"/>
          <w:shd w:val="clear" w:color="auto" w:fill="FFFFFF"/>
        </w:rPr>
      </w:pPr>
      <w:r>
        <w:rPr>
          <w:rFonts w:hint="eastAsia" w:ascii="宋体" w:hAnsi="宋体"/>
          <w:szCs w:val="21"/>
        </w:rPr>
        <w:t>概算审核的基本规范要求：</w:t>
      </w:r>
      <w:r>
        <w:rPr>
          <w:rFonts w:hint="eastAsia" w:ascii="宋体" w:hAnsi="宋体"/>
          <w:kern w:val="0"/>
          <w:szCs w:val="21"/>
          <w:shd w:val="clear" w:color="auto" w:fill="FFFFFF"/>
        </w:rPr>
        <w:t>投标人应严格</w:t>
      </w:r>
      <w:r>
        <w:rPr>
          <w:rFonts w:ascii="宋体" w:hAnsi="宋体"/>
          <w:kern w:val="0"/>
          <w:szCs w:val="21"/>
          <w:shd w:val="clear" w:color="auto" w:fill="FFFFFF"/>
        </w:rPr>
        <w:t>遵循客观、公正、诚信的原则，按</w:t>
      </w:r>
      <w:r>
        <w:rPr>
          <w:rFonts w:hint="eastAsia" w:ascii="宋体" w:hAnsi="宋体"/>
          <w:szCs w:val="21"/>
        </w:rPr>
        <w:t>国家现行规范、标准、及</w:t>
      </w:r>
      <w:r>
        <w:rPr>
          <w:rFonts w:hint="eastAsia" w:ascii="宋体" w:hAnsi="宋体"/>
          <w:kern w:val="0"/>
          <w:szCs w:val="21"/>
          <w:shd w:val="clear" w:color="auto" w:fill="FFFFFF"/>
        </w:rPr>
        <w:t>采购人的基本</w:t>
      </w:r>
      <w:r>
        <w:rPr>
          <w:rFonts w:ascii="宋体" w:hAnsi="宋体"/>
          <w:kern w:val="0"/>
          <w:szCs w:val="21"/>
          <w:shd w:val="clear" w:color="auto" w:fill="FFFFFF"/>
        </w:rPr>
        <w:t>要求对</w:t>
      </w:r>
      <w:r>
        <w:rPr>
          <w:rFonts w:hint="eastAsia" w:ascii="宋体" w:hAnsi="宋体"/>
          <w:szCs w:val="21"/>
        </w:rPr>
        <w:t>列入本次招标服务年度计划的政府投资项目</w:t>
      </w:r>
      <w:r>
        <w:rPr>
          <w:rFonts w:ascii="宋体" w:hAnsi="宋体"/>
          <w:kern w:val="0"/>
          <w:szCs w:val="21"/>
          <w:shd w:val="clear" w:color="auto" w:fill="FFFFFF"/>
        </w:rPr>
        <w:t>概算进行审核</w:t>
      </w:r>
      <w:r>
        <w:rPr>
          <w:rFonts w:hint="eastAsia" w:ascii="宋体" w:hAnsi="宋体"/>
          <w:kern w:val="0"/>
          <w:szCs w:val="21"/>
          <w:shd w:val="clear" w:color="auto" w:fill="FFFFFF"/>
        </w:rPr>
        <w:t>。具体内容，按照中标人的投标文件并结合招标文件要求在合同条款中明确。</w:t>
      </w:r>
    </w:p>
    <w:p>
      <w:pPr>
        <w:autoSpaceDE w:val="0"/>
        <w:autoSpaceDN w:val="0"/>
        <w:adjustRightInd w:val="0"/>
        <w:snapToGrid w:val="0"/>
        <w:spacing w:line="360" w:lineRule="auto"/>
        <w:ind w:firstLine="211" w:firstLineChars="100"/>
        <w:jc w:val="left"/>
        <w:rPr>
          <w:rFonts w:ascii="宋体" w:hAnsi="宋体"/>
          <w:kern w:val="0"/>
          <w:szCs w:val="21"/>
          <w:shd w:val="clear" w:color="auto" w:fill="FFFFFF"/>
        </w:rPr>
      </w:pPr>
      <w:r>
        <w:rPr>
          <w:rFonts w:ascii="宋体" w:hAnsi="宋体"/>
          <w:b/>
          <w:szCs w:val="21"/>
        </w:rPr>
        <w:t>2</w:t>
      </w:r>
      <w:r>
        <w:rPr>
          <w:rFonts w:hint="eastAsia" w:ascii="宋体" w:hAnsi="宋体"/>
          <w:b/>
          <w:szCs w:val="21"/>
        </w:rPr>
        <w:t>、概算审核专业及人员配备要求</w:t>
      </w:r>
    </w:p>
    <w:p>
      <w:pPr>
        <w:adjustRightInd w:val="0"/>
        <w:snapToGrid w:val="0"/>
        <w:spacing w:line="360" w:lineRule="auto"/>
        <w:ind w:firstLine="525" w:firstLineChars="250"/>
        <w:rPr>
          <w:rFonts w:ascii="宋体" w:hAnsi="宋体"/>
          <w:szCs w:val="21"/>
        </w:rPr>
      </w:pPr>
      <w:r>
        <w:rPr>
          <w:rFonts w:hint="eastAsia" w:ascii="宋体" w:hAnsi="宋体"/>
          <w:szCs w:val="21"/>
        </w:rPr>
        <w:t>★</w:t>
      </w:r>
      <w:r>
        <w:rPr>
          <w:rFonts w:hint="eastAsia" w:ascii="宋体" w:hAnsi="宋体"/>
          <w:b/>
          <w:szCs w:val="21"/>
        </w:rPr>
        <w:t>2</w:t>
      </w:r>
      <w:r>
        <w:rPr>
          <w:rFonts w:ascii="宋体" w:hAnsi="宋体"/>
          <w:b/>
          <w:szCs w:val="21"/>
        </w:rPr>
        <w:t>.1</w:t>
      </w:r>
      <w:r>
        <w:rPr>
          <w:rFonts w:hint="eastAsia" w:ascii="宋体" w:hAnsi="宋体"/>
          <w:b/>
          <w:szCs w:val="21"/>
        </w:rPr>
        <w:t xml:space="preserve"> </w:t>
      </w:r>
      <w:r>
        <w:rPr>
          <w:rFonts w:hint="eastAsia" w:ascii="宋体" w:hAnsi="宋体"/>
          <w:szCs w:val="21"/>
        </w:rPr>
        <w:t>本项目拟配备的人员要求：</w:t>
      </w:r>
    </w:p>
    <w:tbl>
      <w:tblPr>
        <w:tblStyle w:val="25"/>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1117"/>
        <w:gridCol w:w="1788"/>
        <w:gridCol w:w="4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序号</w:t>
            </w:r>
          </w:p>
        </w:tc>
        <w:tc>
          <w:tcPr>
            <w:tcW w:w="1275" w:type="dxa"/>
            <w:vAlign w:val="center"/>
          </w:tcPr>
          <w:p>
            <w:pPr>
              <w:pStyle w:val="8"/>
              <w:adjustRightInd w:val="0"/>
              <w:spacing w:line="240" w:lineRule="auto"/>
              <w:ind w:firstLine="210" w:firstLineChars="100"/>
              <w:jc w:val="left"/>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团队</w:t>
            </w:r>
          </w:p>
          <w:p>
            <w:pPr>
              <w:pStyle w:val="8"/>
              <w:adjustRightInd w:val="0"/>
              <w:spacing w:line="240" w:lineRule="auto"/>
              <w:ind w:firstLine="210" w:firstLineChars="100"/>
              <w:jc w:val="left"/>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名称</w:t>
            </w:r>
          </w:p>
        </w:tc>
        <w:tc>
          <w:tcPr>
            <w:tcW w:w="1117"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拟派项目负责人数量</w:t>
            </w:r>
          </w:p>
        </w:tc>
        <w:tc>
          <w:tcPr>
            <w:tcW w:w="1788"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拟派专业审核人员数量</w:t>
            </w:r>
          </w:p>
        </w:tc>
        <w:tc>
          <w:tcPr>
            <w:tcW w:w="4085"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人员资格基本要求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1</w:t>
            </w:r>
          </w:p>
        </w:tc>
        <w:tc>
          <w:tcPr>
            <w:tcW w:w="1275"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房建类服务团队</w:t>
            </w:r>
          </w:p>
        </w:tc>
        <w:tc>
          <w:tcPr>
            <w:tcW w:w="1117"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1</w:t>
            </w:r>
          </w:p>
        </w:tc>
        <w:tc>
          <w:tcPr>
            <w:tcW w:w="1788"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土建（</w:t>
            </w:r>
            <w:r>
              <w:rPr>
                <w:rFonts w:ascii="宋体" w:hAnsi="宋体"/>
                <w:i w:val="0"/>
                <w:sz w:val="21"/>
                <w:szCs w:val="21"/>
                <w:shd w:val="clear" w:color="auto" w:fill="FFFFFF"/>
              </w:rPr>
              <w:t>2</w:t>
            </w:r>
            <w:r>
              <w:rPr>
                <w:rFonts w:hint="eastAsia" w:ascii="宋体" w:hAnsi="宋体"/>
                <w:i w:val="0"/>
                <w:sz w:val="21"/>
                <w:szCs w:val="21"/>
                <w:shd w:val="clear" w:color="auto" w:fill="FFFFFF"/>
              </w:rPr>
              <w:t>人）</w:t>
            </w:r>
          </w:p>
          <w:p>
            <w:pPr>
              <w:adjustRightInd w:val="0"/>
              <w:spacing w:line="240" w:lineRule="auto"/>
              <w:jc w:val="center"/>
              <w:textAlignment w:val="baseline"/>
              <w:rPr>
                <w:rFonts w:ascii="宋体" w:hAnsi="宋体"/>
                <w:kern w:val="0"/>
                <w:szCs w:val="21"/>
                <w:shd w:val="clear" w:color="auto" w:fill="FFFFFF"/>
              </w:rPr>
            </w:pPr>
            <w:r>
              <w:rPr>
                <w:rFonts w:hint="eastAsia" w:ascii="宋体" w:hAnsi="宋体"/>
                <w:kern w:val="0"/>
                <w:szCs w:val="21"/>
                <w:shd w:val="clear" w:color="auto" w:fill="FFFFFF"/>
              </w:rPr>
              <w:t>安装（1人）</w:t>
            </w:r>
          </w:p>
        </w:tc>
        <w:tc>
          <w:tcPr>
            <w:tcW w:w="4085" w:type="dxa"/>
          </w:tcPr>
          <w:p>
            <w:pPr>
              <w:pStyle w:val="8"/>
              <w:adjustRightInd w:val="0"/>
              <w:spacing w:line="240" w:lineRule="auto"/>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项目负责人应具有一级注册造价师（土木建筑），专业审核人员应具有相应专业（土木建筑、安装）的二级及以上注册造价师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2</w:t>
            </w:r>
          </w:p>
        </w:tc>
        <w:tc>
          <w:tcPr>
            <w:tcW w:w="1275"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市政绿化类服务团队</w:t>
            </w:r>
          </w:p>
        </w:tc>
        <w:tc>
          <w:tcPr>
            <w:tcW w:w="1117"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1</w:t>
            </w:r>
          </w:p>
        </w:tc>
        <w:tc>
          <w:tcPr>
            <w:tcW w:w="1788"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市政（2人）</w:t>
            </w:r>
          </w:p>
          <w:p>
            <w:pPr>
              <w:adjustRightInd w:val="0"/>
              <w:spacing w:line="240" w:lineRule="auto"/>
              <w:jc w:val="center"/>
              <w:textAlignment w:val="baseline"/>
              <w:rPr>
                <w:rFonts w:ascii="宋体" w:hAnsi="宋体"/>
                <w:kern w:val="0"/>
                <w:szCs w:val="21"/>
                <w:shd w:val="clear" w:color="auto" w:fill="FFFFFF"/>
              </w:rPr>
            </w:pPr>
            <w:r>
              <w:rPr>
                <w:rFonts w:hint="eastAsia" w:ascii="宋体" w:hAnsi="宋体"/>
                <w:kern w:val="0"/>
                <w:szCs w:val="21"/>
                <w:shd w:val="clear" w:color="auto" w:fill="FFFFFF"/>
              </w:rPr>
              <w:t>绿化（2人）</w:t>
            </w:r>
          </w:p>
        </w:tc>
        <w:tc>
          <w:tcPr>
            <w:tcW w:w="4085" w:type="dxa"/>
          </w:tcPr>
          <w:p>
            <w:pPr>
              <w:pStyle w:val="8"/>
              <w:adjustRightInd w:val="0"/>
              <w:spacing w:line="240" w:lineRule="auto"/>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项目负责人应具有一级注册造价师，专业审核人员应具有二级及以上注册造价师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3</w:t>
            </w:r>
          </w:p>
        </w:tc>
        <w:tc>
          <w:tcPr>
            <w:tcW w:w="1275"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水利类服务团队</w:t>
            </w:r>
          </w:p>
        </w:tc>
        <w:tc>
          <w:tcPr>
            <w:tcW w:w="1117"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1</w:t>
            </w:r>
          </w:p>
        </w:tc>
        <w:tc>
          <w:tcPr>
            <w:tcW w:w="1788" w:type="dxa"/>
            <w:vAlign w:val="center"/>
          </w:tcPr>
          <w:p>
            <w:pPr>
              <w:adjustRightInd w:val="0"/>
              <w:spacing w:line="240" w:lineRule="auto"/>
              <w:jc w:val="center"/>
              <w:textAlignment w:val="baseline"/>
              <w:rPr>
                <w:rFonts w:ascii="宋体" w:hAnsi="宋体"/>
                <w:kern w:val="0"/>
                <w:szCs w:val="21"/>
                <w:shd w:val="clear" w:color="auto" w:fill="FFFFFF"/>
              </w:rPr>
            </w:pPr>
            <w:r>
              <w:rPr>
                <w:rFonts w:hint="eastAsia" w:ascii="宋体" w:hAnsi="宋体"/>
                <w:kern w:val="0"/>
                <w:szCs w:val="21"/>
                <w:shd w:val="clear" w:color="auto" w:fill="FFFFFF"/>
              </w:rPr>
              <w:t>水利（2人）</w:t>
            </w:r>
          </w:p>
        </w:tc>
        <w:tc>
          <w:tcPr>
            <w:tcW w:w="4085" w:type="dxa"/>
            <w:vAlign w:val="center"/>
          </w:tcPr>
          <w:p>
            <w:pPr>
              <w:pStyle w:val="8"/>
              <w:adjustRightInd w:val="0"/>
              <w:spacing w:line="240" w:lineRule="auto"/>
              <w:jc w:val="left"/>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项目负责人应具有一级注册造价工程师（水利），专业审核人员应具有水利专业的二级及以上注册造价师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4</w:t>
            </w:r>
          </w:p>
        </w:tc>
        <w:tc>
          <w:tcPr>
            <w:tcW w:w="1275"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公路类服务团队</w:t>
            </w:r>
          </w:p>
        </w:tc>
        <w:tc>
          <w:tcPr>
            <w:tcW w:w="1117"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1</w:t>
            </w:r>
          </w:p>
        </w:tc>
        <w:tc>
          <w:tcPr>
            <w:tcW w:w="1788" w:type="dxa"/>
            <w:vAlign w:val="center"/>
          </w:tcPr>
          <w:p>
            <w:pPr>
              <w:pStyle w:val="8"/>
              <w:adjustRightInd w:val="0"/>
              <w:spacing w:line="240" w:lineRule="auto"/>
              <w:jc w:val="center"/>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公路（2人）</w:t>
            </w:r>
          </w:p>
        </w:tc>
        <w:tc>
          <w:tcPr>
            <w:tcW w:w="4085" w:type="dxa"/>
          </w:tcPr>
          <w:p>
            <w:pPr>
              <w:pStyle w:val="8"/>
              <w:adjustRightInd w:val="0"/>
              <w:spacing w:line="240" w:lineRule="auto"/>
              <w:textAlignment w:val="baseline"/>
              <w:rPr>
                <w:rFonts w:ascii="宋体" w:hAnsi="宋体"/>
                <w:i w:val="0"/>
                <w:sz w:val="21"/>
                <w:szCs w:val="21"/>
                <w:shd w:val="clear" w:color="auto" w:fill="FFFFFF"/>
              </w:rPr>
            </w:pPr>
            <w:r>
              <w:rPr>
                <w:rFonts w:hint="eastAsia" w:ascii="宋体" w:hAnsi="宋体"/>
                <w:i w:val="0"/>
                <w:sz w:val="21"/>
                <w:szCs w:val="21"/>
                <w:shd w:val="clear" w:color="auto" w:fill="FFFFFF"/>
              </w:rPr>
              <w:t>项目负责人应具有一级注册造价工程师（交通）或公路甲级造价人员，专业审核人员应具有公路或交通专业的二级及以上注册造价师</w:t>
            </w:r>
          </w:p>
        </w:tc>
      </w:tr>
    </w:tbl>
    <w:p>
      <w:pPr>
        <w:adjustRightInd w:val="0"/>
        <w:snapToGrid w:val="0"/>
        <w:spacing w:line="360" w:lineRule="auto"/>
        <w:ind w:firstLine="422" w:firstLineChars="200"/>
        <w:rPr>
          <w:rFonts w:ascii="宋体" w:hAnsi="宋体"/>
          <w:b/>
          <w:szCs w:val="21"/>
        </w:rPr>
      </w:pPr>
      <w:r>
        <w:rPr>
          <w:rFonts w:hint="eastAsia" w:ascii="宋体" w:hAnsi="宋体"/>
          <w:b/>
          <w:szCs w:val="21"/>
        </w:rPr>
        <w:t>注、供应商拟派的至少其中一个团队人员数量、资格必须满足该团队全部要求（即4个团队中必须有1个满足全部要求）。否则作废标处理</w:t>
      </w:r>
    </w:p>
    <w:p>
      <w:pPr>
        <w:adjustRightInd w:val="0"/>
        <w:snapToGrid w:val="0"/>
        <w:spacing w:line="360" w:lineRule="auto"/>
        <w:ind w:firstLine="422" w:firstLineChars="200"/>
        <w:rPr>
          <w:rFonts w:ascii="宋体" w:hAnsi="宋体"/>
          <w:b/>
          <w:szCs w:val="21"/>
        </w:rPr>
      </w:pPr>
      <w:r>
        <w:rPr>
          <w:rFonts w:hint="eastAsia" w:ascii="宋体" w:hAnsi="宋体"/>
          <w:b/>
          <w:szCs w:val="21"/>
        </w:rPr>
        <w:t>项目负责人允许兼任，但最多只能兼任1次，不得兼任专业审核人员；专业审核人员相互间不得兼任。</w:t>
      </w:r>
    </w:p>
    <w:p>
      <w:pPr>
        <w:adjustRightInd w:val="0"/>
        <w:snapToGrid w:val="0"/>
        <w:spacing w:line="360" w:lineRule="auto"/>
        <w:ind w:firstLine="422" w:firstLineChars="200"/>
        <w:rPr>
          <w:rFonts w:ascii="宋体" w:hAnsi="宋体"/>
          <w:szCs w:val="21"/>
        </w:rPr>
      </w:pPr>
      <w:r>
        <w:rPr>
          <w:rFonts w:hint="eastAsia" w:ascii="宋体" w:hAnsi="宋体"/>
          <w:b/>
          <w:szCs w:val="21"/>
        </w:rPr>
        <w:t>2</w:t>
      </w:r>
      <w:r>
        <w:rPr>
          <w:rFonts w:ascii="宋体" w:hAnsi="宋体"/>
          <w:b/>
          <w:szCs w:val="21"/>
        </w:rPr>
        <w:t>.</w:t>
      </w:r>
      <w:r>
        <w:rPr>
          <w:rFonts w:hint="eastAsia" w:ascii="宋体" w:hAnsi="宋体"/>
          <w:b/>
          <w:szCs w:val="21"/>
        </w:rPr>
        <w:t xml:space="preserve">2 </w:t>
      </w:r>
      <w:r>
        <w:rPr>
          <w:rFonts w:hint="eastAsia" w:ascii="宋体" w:hAnsi="宋体"/>
          <w:szCs w:val="21"/>
        </w:rPr>
        <w:t>上述人员均须为投标人的正式在职员工，投标文件中提供投标人为上述人员缴纳的自202</w:t>
      </w:r>
      <w:r>
        <w:rPr>
          <w:rFonts w:ascii="宋体" w:hAnsi="宋体"/>
          <w:szCs w:val="21"/>
        </w:rPr>
        <w:t>2</w:t>
      </w:r>
      <w:r>
        <w:rPr>
          <w:rFonts w:hint="eastAsia" w:ascii="宋体" w:hAnsi="宋体"/>
          <w:szCs w:val="21"/>
        </w:rPr>
        <w:t>年1</w:t>
      </w:r>
      <w:r>
        <w:rPr>
          <w:rFonts w:ascii="宋体" w:hAnsi="宋体"/>
          <w:szCs w:val="21"/>
        </w:rPr>
        <w:t>1</w:t>
      </w:r>
      <w:r>
        <w:rPr>
          <w:rFonts w:hint="eastAsia" w:ascii="宋体" w:hAnsi="宋体"/>
          <w:szCs w:val="21"/>
        </w:rPr>
        <w:t>月至2</w:t>
      </w:r>
      <w:r>
        <w:rPr>
          <w:rFonts w:ascii="宋体" w:hAnsi="宋体"/>
          <w:szCs w:val="21"/>
        </w:rPr>
        <w:t>023</w:t>
      </w:r>
      <w:r>
        <w:rPr>
          <w:rFonts w:hint="eastAsia" w:ascii="宋体" w:hAnsi="宋体"/>
          <w:szCs w:val="21"/>
        </w:rPr>
        <w:t>年1月任一个月的有效社保证明复印件。</w:t>
      </w:r>
    </w:p>
    <w:p>
      <w:pPr>
        <w:adjustRightInd w:val="0"/>
        <w:snapToGrid w:val="0"/>
        <w:spacing w:line="360" w:lineRule="auto"/>
        <w:ind w:firstLine="422" w:firstLineChars="200"/>
        <w:rPr>
          <w:rFonts w:ascii="宋体" w:hAnsi="宋体"/>
          <w:szCs w:val="21"/>
        </w:rPr>
      </w:pPr>
      <w:r>
        <w:rPr>
          <w:rFonts w:hint="eastAsia" w:ascii="宋体" w:hAnsi="宋体"/>
          <w:b/>
          <w:szCs w:val="21"/>
        </w:rPr>
        <w:t>2</w:t>
      </w:r>
      <w:r>
        <w:rPr>
          <w:rFonts w:ascii="宋体" w:hAnsi="宋体"/>
          <w:b/>
          <w:szCs w:val="21"/>
        </w:rPr>
        <w:t>.</w:t>
      </w:r>
      <w:r>
        <w:rPr>
          <w:rFonts w:hint="eastAsia" w:ascii="宋体" w:hAnsi="宋体"/>
          <w:b/>
          <w:szCs w:val="21"/>
        </w:rPr>
        <w:t xml:space="preserve">3 </w:t>
      </w:r>
      <w:r>
        <w:rPr>
          <w:rFonts w:hint="eastAsia" w:ascii="宋体" w:hAnsi="宋体" w:cs="Arial Unicode MS"/>
          <w:szCs w:val="21"/>
        </w:rPr>
        <w:t>项目审核人员必须与投标时提供的人员配备相一致，</w:t>
      </w:r>
      <w:r>
        <w:rPr>
          <w:rFonts w:hint="eastAsia" w:ascii="宋体" w:hAnsi="宋体"/>
          <w:szCs w:val="21"/>
        </w:rPr>
        <w:t>如出现工程造价人员离职的情况，咨询人须在其离职后半个月内进行补充，人员要求不得低于投标配备情况，且需经委托人批准同意，否则按不符合投标文件要求，停止委托审核业务。合同履行过程中，因项目实际需要需另行增派人员的，中标人必须无条件服从采购人的要求，增派人员名单在投入之前必须报采购人处备案，征得采购人同意后方可实施。</w:t>
      </w:r>
    </w:p>
    <w:p>
      <w:pPr>
        <w:adjustRightInd w:val="0"/>
        <w:snapToGrid w:val="0"/>
        <w:spacing w:line="360" w:lineRule="auto"/>
        <w:ind w:firstLine="420" w:firstLineChars="200"/>
        <w:rPr>
          <w:rFonts w:ascii="宋体" w:hAnsi="宋体"/>
          <w:color w:val="000000"/>
          <w:szCs w:val="21"/>
          <w:highlight w:val="yellow"/>
        </w:rPr>
      </w:pPr>
      <w:r>
        <w:rPr>
          <w:rFonts w:hint="eastAsia" w:ascii="宋体" w:hAnsi="宋体"/>
          <w:szCs w:val="21"/>
        </w:rPr>
        <w:t>2.4 投标人须指定其中一个团队项目负责人为中标单位的项目联络员，项目联</w:t>
      </w:r>
      <w:r>
        <w:rPr>
          <w:rFonts w:hint="eastAsia" w:ascii="宋体" w:hAnsi="宋体"/>
          <w:color w:val="000000"/>
          <w:szCs w:val="21"/>
        </w:rPr>
        <w:t>络员在协议有效期内须接受采购人的统一管理，不能胜任采购人对本项目相关工作要求的（采购人将书面告知供应商对该联络员的评价意见），采购人有权在项目组人员（含项目负责人）中重新指定项目联络员。</w:t>
      </w:r>
    </w:p>
    <w:p>
      <w:pPr>
        <w:adjustRightInd w:val="0"/>
        <w:snapToGrid w:val="0"/>
        <w:spacing w:line="360" w:lineRule="auto"/>
        <w:ind w:firstLine="211" w:firstLineChars="100"/>
        <w:rPr>
          <w:rFonts w:ascii="宋体" w:hAnsi="宋体"/>
          <w:b/>
          <w:color w:val="000000"/>
          <w:szCs w:val="21"/>
        </w:rPr>
      </w:pPr>
      <w:r>
        <w:rPr>
          <w:rFonts w:hint="eastAsia" w:ascii="宋体" w:hAnsi="宋体"/>
          <w:b/>
          <w:color w:val="000000"/>
          <w:szCs w:val="21"/>
        </w:rPr>
        <w:t>★</w:t>
      </w:r>
      <w:r>
        <w:rPr>
          <w:rFonts w:ascii="宋体" w:hAnsi="宋体"/>
          <w:b/>
          <w:color w:val="000000"/>
          <w:szCs w:val="21"/>
        </w:rPr>
        <w:t>3</w:t>
      </w:r>
      <w:r>
        <w:rPr>
          <w:rFonts w:hint="eastAsia" w:ascii="宋体" w:hAnsi="宋体"/>
          <w:b/>
          <w:color w:val="000000"/>
          <w:szCs w:val="21"/>
        </w:rPr>
        <w:t>、审核时限：</w:t>
      </w:r>
    </w:p>
    <w:p>
      <w:pPr>
        <w:adjustRightInd w:val="0"/>
        <w:snapToGrid w:val="0"/>
        <w:spacing w:line="360" w:lineRule="auto"/>
        <w:ind w:firstLine="525" w:firstLineChars="250"/>
        <w:rPr>
          <w:rFonts w:ascii="宋体" w:hAnsi="宋体"/>
          <w:szCs w:val="21"/>
        </w:rPr>
      </w:pPr>
      <w:r>
        <w:rPr>
          <w:rFonts w:hint="eastAsia" w:ascii="宋体" w:hAnsi="宋体"/>
          <w:szCs w:val="21"/>
        </w:rPr>
        <w:t>协审单位自收到审核资料之日起，一般按如下规定办理：500万元以内（含500万元）的工程项目不超过5个工作日；500万元至3000万元（含3000万元）的工程项目不超过10个工作日；3000万元以上的工程项目不超过15个工作日（具体项目协审时限按补充协议约定时限执行），按照宁波市鄞州区发展和改革局对质量和时间的要求，提出完整的书面审核报告；特殊项目以宁波市鄞州区发展和改革局的要求办理。因协审单位的原因造成逾期的，自逾期之日起，每超出一天，扣减本项目协审服务费的5%，扣完为止。确有特殊原因不能完成的需向宁波市鄞州区发展和改革局提供书面情况说明，经宁波市鄞州区发展和改革局同意后可适当延长审核期限。</w:t>
      </w:r>
    </w:p>
    <w:p>
      <w:pPr>
        <w:adjustRightInd w:val="0"/>
        <w:snapToGrid w:val="0"/>
        <w:spacing w:line="360" w:lineRule="auto"/>
        <w:ind w:firstLine="422" w:firstLineChars="200"/>
        <w:rPr>
          <w:rFonts w:ascii="宋体" w:hAnsi="宋体"/>
          <w:b/>
          <w:szCs w:val="21"/>
        </w:rPr>
      </w:pPr>
      <w:r>
        <w:rPr>
          <w:rFonts w:hint="eastAsia" w:ascii="宋体" w:hAnsi="宋体"/>
          <w:b/>
          <w:szCs w:val="21"/>
        </w:rPr>
        <w:t>4、审核质量：</w:t>
      </w:r>
    </w:p>
    <w:p>
      <w:pPr>
        <w:adjustRightInd w:val="0"/>
        <w:snapToGrid w:val="0"/>
        <w:spacing w:line="360" w:lineRule="auto"/>
        <w:ind w:firstLine="525" w:firstLineChars="250"/>
        <w:rPr>
          <w:rFonts w:ascii="宋体" w:hAnsi="宋体" w:cs="Arial Unicode MS"/>
          <w:szCs w:val="21"/>
        </w:rPr>
      </w:pPr>
      <w:r>
        <w:rPr>
          <w:rFonts w:hint="eastAsia" w:ascii="宋体" w:hAnsi="宋体" w:cs="Arial Unicode MS"/>
          <w:szCs w:val="21"/>
        </w:rPr>
        <w:t>咨询人在审核所需的相关资料，由委托人负责提供。未经委托人同意，咨询人不得私自接受建设、施工单位提供的资料。对建设单位的不当行为，咨询人应建议建设单位纠正，并向委托人报告。咨询人应独立、客观、公正地开展工作，严格遵守国家及省、市的有关法律、法规及执业规范要求，并对审核报告的真实性、完整性、准确性负责。咨询人应确保项目审核工作质量，按约定时间完成审核工作。项目审核完成后，由咨询人向委托人提交项目要求的审核报告份数。</w:t>
      </w:r>
    </w:p>
    <w:p>
      <w:pPr>
        <w:adjustRightInd w:val="0"/>
        <w:snapToGrid w:val="0"/>
        <w:spacing w:line="360" w:lineRule="auto"/>
        <w:ind w:firstLine="525" w:firstLineChars="250"/>
        <w:rPr>
          <w:rFonts w:ascii="宋体" w:hAnsi="宋体" w:cs="Arial Unicode MS"/>
          <w:b/>
          <w:szCs w:val="21"/>
        </w:rPr>
      </w:pPr>
      <w:r>
        <w:rPr>
          <w:rFonts w:hint="eastAsia" w:ascii="宋体" w:hAnsi="宋体" w:cs="Arial Unicode MS"/>
          <w:szCs w:val="21"/>
        </w:rPr>
        <w:t>咨询人出具的审核报告只能提供给委托人，不得自行提供给其他单位或个人。</w:t>
      </w:r>
      <w:r>
        <w:rPr>
          <w:rFonts w:hint="eastAsia" w:ascii="宋体" w:hAnsi="宋体" w:cs="Arial Unicode MS"/>
          <w:b/>
          <w:szCs w:val="21"/>
        </w:rPr>
        <w:t>咨询人擅自对外提供审核报告的，委托人自发现之日起一年内暂停委托审核业务；咨询人提供虚假审核报告的，自发现之日起合同期内暂停委托审核业务。</w:t>
      </w:r>
    </w:p>
    <w:p>
      <w:pPr>
        <w:adjustRightInd w:val="0"/>
        <w:snapToGrid w:val="0"/>
        <w:spacing w:line="360" w:lineRule="auto"/>
        <w:ind w:firstLine="409" w:firstLineChars="195"/>
        <w:rPr>
          <w:rFonts w:ascii="宋体" w:hAnsi="宋体"/>
          <w:szCs w:val="21"/>
        </w:rPr>
      </w:pPr>
      <w:r>
        <w:rPr>
          <w:rFonts w:hint="eastAsia" w:ascii="宋体" w:hAnsi="宋体"/>
          <w:szCs w:val="21"/>
        </w:rPr>
        <w:t>在项目审核过程中，咨询人应积极配合采购人工作。遇采购人因工作需要要求咨询人项目审核人员到现场进行工作沟通配合、项目委托的，项目审核人员须在3小时内到达采购人约定的地点，若咨询人达不到以上约定的，委托人有权单方面停止委托审核业务。</w:t>
      </w:r>
    </w:p>
    <w:p>
      <w:pPr>
        <w:adjustRightInd w:val="0"/>
        <w:snapToGrid w:val="0"/>
        <w:spacing w:line="360" w:lineRule="auto"/>
        <w:ind w:firstLine="211" w:firstLineChars="100"/>
        <w:rPr>
          <w:rFonts w:ascii="宋体" w:hAnsi="宋体"/>
          <w:b/>
          <w:szCs w:val="21"/>
        </w:rPr>
      </w:pPr>
      <w:r>
        <w:rPr>
          <w:rFonts w:hint="eastAsia" w:ascii="宋体" w:hAnsi="宋体"/>
          <w:b/>
          <w:szCs w:val="21"/>
        </w:rPr>
        <w:t>★5、委托审核付费标准：</w:t>
      </w:r>
    </w:p>
    <w:p>
      <w:pPr>
        <w:adjustRightInd w:val="0"/>
        <w:snapToGrid w:val="0"/>
        <w:spacing w:line="360" w:lineRule="auto"/>
        <w:ind w:firstLine="421"/>
        <w:rPr>
          <w:rFonts w:ascii="宋体" w:hAnsi="宋体"/>
          <w:b/>
          <w:bCs/>
          <w:strike/>
          <w:szCs w:val="21"/>
        </w:rPr>
      </w:pPr>
      <w:r>
        <w:rPr>
          <w:rFonts w:hint="eastAsia" w:ascii="宋体" w:hAnsi="宋体"/>
          <w:b/>
          <w:szCs w:val="21"/>
        </w:rPr>
        <w:t>按</w:t>
      </w:r>
      <w:r>
        <w:rPr>
          <w:rFonts w:hint="eastAsia" w:ascii="宋体" w:hAnsi="宋体" w:cs="宋体"/>
          <w:b/>
          <w:kern w:val="0"/>
          <w:szCs w:val="21"/>
        </w:rPr>
        <w:t>浙江省物价局《关于进一步完善工程造价咨询服务收费的通知》</w:t>
      </w:r>
      <w:r>
        <w:rPr>
          <w:rFonts w:hint="eastAsia" w:ascii="宋体" w:hAnsi="宋体"/>
          <w:b/>
          <w:szCs w:val="21"/>
        </w:rPr>
        <w:t>(</w:t>
      </w:r>
      <w:r>
        <w:rPr>
          <w:rFonts w:hint="eastAsia" w:ascii="宋体" w:hAnsi="宋体" w:cs="宋体"/>
          <w:b/>
          <w:kern w:val="0"/>
          <w:szCs w:val="21"/>
        </w:rPr>
        <w:t>浙价服〔2009〕84号</w:t>
      </w:r>
      <w:r>
        <w:rPr>
          <w:rFonts w:hint="eastAsia" w:ascii="宋体" w:hAnsi="宋体"/>
          <w:b/>
          <w:szCs w:val="21"/>
        </w:rPr>
        <w:t>)的文件规定</w:t>
      </w:r>
      <w:r>
        <w:rPr>
          <w:rFonts w:hint="eastAsia" w:ascii="宋体" w:hAnsi="宋体"/>
          <w:b/>
          <w:bCs/>
          <w:szCs w:val="21"/>
        </w:rPr>
        <w:t>，执行设计概算编制或审核标准，在基准收费标准打七五折的基础上自报折扣系数，单个报告收费不足2000元的按2000元计算，计费基数为扣除建设期贷款利息、土地费、政策处理费等费用后的送审总概算费用。</w:t>
      </w:r>
    </w:p>
    <w:p>
      <w:pPr>
        <w:adjustRightInd w:val="0"/>
        <w:snapToGrid w:val="0"/>
        <w:spacing w:line="360" w:lineRule="auto"/>
        <w:ind w:firstLine="421"/>
        <w:rPr>
          <w:rFonts w:ascii="宋体" w:hAnsi="宋体"/>
          <w:b/>
          <w:bCs/>
          <w:szCs w:val="21"/>
        </w:rPr>
      </w:pPr>
      <w:r>
        <w:rPr>
          <w:rFonts w:hint="eastAsia" w:ascii="宋体" w:hAnsi="宋体"/>
          <w:b/>
          <w:bCs/>
          <w:szCs w:val="21"/>
        </w:rPr>
        <w:t>单个报告收费超过30万元的，最多按29.8万元支付；如因价格过低导致无中标人愿意进行评审，则另行公开招标采购。</w:t>
      </w:r>
      <w:r>
        <w:rPr>
          <w:rFonts w:hint="eastAsia" w:ascii="宋体" w:hAnsi="宋体"/>
          <w:szCs w:val="21"/>
        </w:rPr>
        <w:t>采购人委托总合同金额到达年度上限额800万元后，超出部分将于次年度支付。</w:t>
      </w:r>
    </w:p>
    <w:p>
      <w:pPr>
        <w:adjustRightInd w:val="0"/>
        <w:snapToGrid w:val="0"/>
        <w:spacing w:line="360" w:lineRule="auto"/>
        <w:ind w:firstLine="334" w:firstLineChars="150"/>
        <w:rPr>
          <w:rFonts w:ascii="宋体" w:hAnsi="宋体"/>
          <w:color w:val="000000"/>
          <w:szCs w:val="21"/>
        </w:rPr>
      </w:pPr>
      <w:r>
        <w:rPr>
          <w:rFonts w:hint="eastAsia" w:ascii="宋体" w:hAnsi="宋体" w:cs="宋体"/>
          <w:b/>
          <w:spacing w:val="6"/>
          <w:kern w:val="0"/>
          <w:szCs w:val="21"/>
        </w:rPr>
        <w:t>6、</w:t>
      </w:r>
      <w:r>
        <w:rPr>
          <w:rFonts w:hint="eastAsia" w:ascii="宋体" w:hAnsi="宋体"/>
          <w:szCs w:val="21"/>
        </w:rPr>
        <w:t>已完成的概算审核项目如</w:t>
      </w:r>
      <w:r>
        <w:rPr>
          <w:rFonts w:ascii="宋体" w:hAnsi="宋体"/>
          <w:szCs w:val="21"/>
        </w:rPr>
        <w:t>后续</w:t>
      </w:r>
      <w:r>
        <w:rPr>
          <w:rFonts w:hint="eastAsia" w:ascii="宋体" w:hAnsi="宋体"/>
          <w:szCs w:val="21"/>
        </w:rPr>
        <w:t>因</w:t>
      </w:r>
      <w:r>
        <w:rPr>
          <w:rFonts w:ascii="宋体" w:hAnsi="宋体"/>
          <w:szCs w:val="21"/>
        </w:rPr>
        <w:t>非协审单位</w:t>
      </w:r>
      <w:r>
        <w:rPr>
          <w:rFonts w:hint="eastAsia" w:ascii="宋体" w:hAnsi="宋体"/>
          <w:szCs w:val="21"/>
        </w:rPr>
        <w:t>原因需要调整概算的，仍</w:t>
      </w:r>
      <w:r>
        <w:rPr>
          <w:rFonts w:ascii="宋体" w:hAnsi="宋体"/>
          <w:szCs w:val="21"/>
        </w:rPr>
        <w:t>由原协审单位</w:t>
      </w:r>
      <w:r>
        <w:rPr>
          <w:rFonts w:hint="eastAsia" w:ascii="宋体" w:hAnsi="宋体"/>
          <w:szCs w:val="21"/>
        </w:rPr>
        <w:t>负责</w:t>
      </w:r>
      <w:r>
        <w:rPr>
          <w:rFonts w:ascii="宋体" w:hAnsi="宋体"/>
          <w:szCs w:val="21"/>
        </w:rPr>
        <w:t>概算调整工作</w:t>
      </w:r>
      <w:r>
        <w:rPr>
          <w:rFonts w:hint="eastAsia" w:ascii="宋体" w:hAnsi="宋体"/>
          <w:szCs w:val="21"/>
        </w:rPr>
        <w:t>。调整概算</w:t>
      </w:r>
      <w:r>
        <w:rPr>
          <w:rFonts w:ascii="宋体" w:hAnsi="宋体"/>
          <w:szCs w:val="21"/>
        </w:rPr>
        <w:t>协审</w:t>
      </w:r>
      <w:r>
        <w:rPr>
          <w:rFonts w:hint="eastAsia" w:ascii="宋体" w:hAnsi="宋体"/>
          <w:szCs w:val="21"/>
        </w:rPr>
        <w:t>服务费计取原则：以上报</w:t>
      </w:r>
      <w:r>
        <w:rPr>
          <w:rFonts w:ascii="宋体" w:hAnsi="宋体"/>
          <w:szCs w:val="21"/>
        </w:rPr>
        <w:t>的</w:t>
      </w:r>
      <w:r>
        <w:rPr>
          <w:rFonts w:hint="eastAsia" w:ascii="宋体" w:hAnsi="宋体"/>
          <w:szCs w:val="21"/>
        </w:rPr>
        <w:t>调整概算</w:t>
      </w:r>
      <w:r>
        <w:rPr>
          <w:rFonts w:ascii="宋体" w:hAnsi="宋体"/>
          <w:szCs w:val="21"/>
        </w:rPr>
        <w:t>工程费用与原批复的概算工程费用</w:t>
      </w:r>
      <w:r>
        <w:rPr>
          <w:rFonts w:hint="eastAsia" w:ascii="宋体" w:hAnsi="宋体"/>
          <w:szCs w:val="21"/>
        </w:rPr>
        <w:t>之差</w:t>
      </w:r>
      <w:r>
        <w:rPr>
          <w:rFonts w:ascii="宋体" w:hAnsi="宋体"/>
          <w:szCs w:val="21"/>
        </w:rPr>
        <w:t>的</w:t>
      </w:r>
      <w:r>
        <w:rPr>
          <w:rFonts w:hint="eastAsia" w:ascii="宋体" w:hAnsi="宋体"/>
          <w:szCs w:val="21"/>
        </w:rPr>
        <w:t>绝对值为计费基数</w:t>
      </w:r>
      <w:r>
        <w:rPr>
          <w:rFonts w:ascii="宋体" w:hAnsi="宋体"/>
          <w:szCs w:val="21"/>
        </w:rPr>
        <w:t>，</w:t>
      </w:r>
      <w:r>
        <w:rPr>
          <w:rFonts w:hint="eastAsia" w:ascii="宋体" w:hAnsi="宋体"/>
          <w:szCs w:val="21"/>
        </w:rPr>
        <w:t>根据</w:t>
      </w:r>
      <w:r>
        <w:rPr>
          <w:rFonts w:hint="eastAsia" w:ascii="宋体" w:hAnsi="宋体"/>
          <w:b/>
          <w:szCs w:val="21"/>
        </w:rPr>
        <w:t>概算审核付费标准</w:t>
      </w:r>
      <w:r>
        <w:rPr>
          <w:rFonts w:hint="eastAsia" w:ascii="宋体" w:hAnsi="宋体"/>
          <w:bCs/>
          <w:szCs w:val="21"/>
        </w:rPr>
        <w:t>并</w:t>
      </w:r>
      <w:r>
        <w:rPr>
          <w:rFonts w:hint="eastAsia" w:ascii="宋体" w:hAnsi="宋体"/>
          <w:szCs w:val="21"/>
        </w:rPr>
        <w:t>结合折扣系数计算后</w:t>
      </w:r>
      <w:r>
        <w:rPr>
          <w:rFonts w:ascii="宋体" w:hAnsi="宋体"/>
          <w:color w:val="000000"/>
          <w:szCs w:val="21"/>
        </w:rPr>
        <w:t>由采购人另行</w:t>
      </w:r>
      <w:r>
        <w:rPr>
          <w:rFonts w:hint="eastAsia" w:ascii="宋体" w:hAnsi="宋体"/>
          <w:color w:val="000000"/>
          <w:szCs w:val="21"/>
        </w:rPr>
        <w:t>支付。</w:t>
      </w:r>
    </w:p>
    <w:p>
      <w:pPr>
        <w:adjustRightInd w:val="0"/>
        <w:snapToGrid w:val="0"/>
        <w:spacing w:line="360" w:lineRule="auto"/>
        <w:ind w:firstLine="420" w:firstLineChars="200"/>
        <w:rPr>
          <w:rFonts w:ascii="宋体" w:hAnsi="宋体" w:cs="Arial Unicode MS"/>
          <w:szCs w:val="21"/>
        </w:rPr>
      </w:pPr>
      <w:r>
        <w:rPr>
          <w:rFonts w:hint="eastAsia" w:ascii="宋体" w:hAnsi="宋体" w:cs="Arial Unicode MS"/>
          <w:szCs w:val="21"/>
        </w:rPr>
        <w:t>咨询人应安排投标文件中的审核组成员实施项目审核，在接到委托人委托书后，应在2个工作日内完整填报并递交回执单。回执单中审核组各专业成员必须实际到位。</w:t>
      </w:r>
    </w:p>
    <w:p>
      <w:pPr>
        <w:adjustRightInd w:val="0"/>
        <w:snapToGrid w:val="0"/>
        <w:spacing w:line="360" w:lineRule="auto"/>
        <w:ind w:firstLine="422" w:firstLineChars="200"/>
        <w:rPr>
          <w:rFonts w:ascii="宋体" w:hAnsi="宋体"/>
          <w:b/>
          <w:szCs w:val="21"/>
        </w:rPr>
      </w:pPr>
      <w:r>
        <w:rPr>
          <w:rFonts w:hint="eastAsia" w:ascii="宋体" w:hAnsi="宋体"/>
          <w:b/>
          <w:szCs w:val="21"/>
        </w:rPr>
        <w:t>7、委托原则</w:t>
      </w:r>
    </w:p>
    <w:p>
      <w:pPr>
        <w:adjustRightInd w:val="0"/>
        <w:snapToGrid w:val="0"/>
        <w:spacing w:line="360" w:lineRule="auto"/>
        <w:ind w:firstLine="420" w:firstLineChars="200"/>
        <w:rPr>
          <w:rFonts w:ascii="宋体" w:hAnsi="宋体" w:cs="Arial Unicode MS"/>
          <w:szCs w:val="21"/>
        </w:rPr>
      </w:pPr>
      <w:r>
        <w:rPr>
          <w:rFonts w:hint="eastAsia" w:ascii="宋体" w:hAnsi="宋体" w:cs="Arial Unicode MS"/>
          <w:szCs w:val="21"/>
        </w:rPr>
        <w:t>7.1、遵循“排名优先，滚动分配，过程回避，专业特长，统筹安排”原则。</w:t>
      </w:r>
    </w:p>
    <w:p>
      <w:pPr>
        <w:adjustRightInd w:val="0"/>
        <w:snapToGrid w:val="0"/>
        <w:spacing w:line="360" w:lineRule="auto"/>
        <w:ind w:firstLine="420" w:firstLineChars="200"/>
        <w:rPr>
          <w:rFonts w:ascii="宋体" w:hAnsi="宋体" w:cs="Arial Unicode MS"/>
          <w:szCs w:val="21"/>
        </w:rPr>
      </w:pPr>
      <w:r>
        <w:rPr>
          <w:rFonts w:hint="eastAsia" w:ascii="宋体" w:hAnsi="宋体" w:cs="Arial Unicode MS"/>
          <w:szCs w:val="21"/>
        </w:rPr>
        <w:t>按评标综合得分从高到低进行排序，中标排名前</w:t>
      </w:r>
      <w:r>
        <w:rPr>
          <w:rFonts w:ascii="宋体" w:hAnsi="宋体" w:cs="Arial Unicode MS"/>
          <w:szCs w:val="21"/>
        </w:rPr>
        <w:t>30</w:t>
      </w:r>
      <w:r>
        <w:rPr>
          <w:rFonts w:hint="eastAsia" w:ascii="宋体" w:hAnsi="宋体" w:cs="Arial Unicode MS"/>
          <w:szCs w:val="21"/>
        </w:rPr>
        <w:t>名单位可以承接鄞州区发展和改革局委托的所有概算评审业务。</w:t>
      </w:r>
    </w:p>
    <w:p>
      <w:pPr>
        <w:adjustRightInd w:val="0"/>
        <w:snapToGrid w:val="0"/>
        <w:spacing w:line="360" w:lineRule="auto"/>
        <w:ind w:firstLine="420" w:firstLineChars="200"/>
        <w:rPr>
          <w:rFonts w:ascii="宋体" w:hAnsi="宋体" w:cs="Arial Unicode MS"/>
          <w:szCs w:val="21"/>
        </w:rPr>
      </w:pPr>
      <w:r>
        <w:rPr>
          <w:rFonts w:hint="eastAsia" w:ascii="宋体" w:hAnsi="宋体" w:cs="Arial Unicode MS"/>
          <w:szCs w:val="21"/>
        </w:rPr>
        <w:t>7.2、按照协审单位中标排名顺序轮转、滚动分配项目，得分相同的中标供应商进行抽签确定项目分配顺序。第1年度按中标排名先后顺序进行项目委托；以后年度可根据协审服务单位的履约、考核情况进行年度排名，按排名先后顺序进行项目委托。中标人接到项目分配通知后，与采购人签订单个项目造价咨询合同。</w:t>
      </w:r>
    </w:p>
    <w:p>
      <w:pPr>
        <w:adjustRightInd w:val="0"/>
        <w:snapToGrid w:val="0"/>
        <w:spacing w:line="360" w:lineRule="auto"/>
        <w:ind w:firstLine="420" w:firstLineChars="200"/>
        <w:rPr>
          <w:rFonts w:ascii="宋体" w:hAnsi="宋体"/>
          <w:szCs w:val="21"/>
          <w:highlight w:val="yellow"/>
        </w:rPr>
      </w:pPr>
      <w:r>
        <w:rPr>
          <w:rFonts w:hint="eastAsia" w:ascii="宋体" w:hAnsi="宋体" w:cs="宋体"/>
        </w:rPr>
        <w:t>若协审服务单位所轮项目无相关团队（专业分为：房建、市政绿化、交通、水利）的，则委托给排位次之的协审服务单位，以此类推。</w:t>
      </w:r>
    </w:p>
    <w:p>
      <w:pPr>
        <w:adjustRightInd w:val="0"/>
        <w:snapToGrid w:val="0"/>
        <w:spacing w:line="360" w:lineRule="auto"/>
        <w:ind w:firstLine="422" w:firstLineChars="200"/>
        <w:rPr>
          <w:rFonts w:ascii="宋体" w:hAnsi="宋体"/>
          <w:szCs w:val="21"/>
        </w:rPr>
      </w:pPr>
      <w:r>
        <w:rPr>
          <w:rFonts w:hint="eastAsia" w:ascii="宋体" w:hAnsi="宋体"/>
          <w:b/>
          <w:bCs/>
          <w:szCs w:val="21"/>
        </w:rPr>
        <w:t>7.3、</w:t>
      </w:r>
      <w:r>
        <w:rPr>
          <w:rFonts w:hint="eastAsia" w:ascii="宋体" w:hAnsi="宋体"/>
          <w:szCs w:val="21"/>
        </w:rPr>
        <w:t>采购人按季度对所有中标单位完成的审核项目进行考核汇总，根据承接业务量，采购人在下季度项目分配时进行调剂。</w:t>
      </w:r>
    </w:p>
    <w:p>
      <w:pPr>
        <w:adjustRightInd w:val="0"/>
        <w:snapToGrid w:val="0"/>
        <w:spacing w:line="360" w:lineRule="auto"/>
        <w:ind w:firstLine="422" w:firstLineChars="200"/>
        <w:rPr>
          <w:rFonts w:ascii="宋体" w:hAnsi="宋体"/>
          <w:color w:val="000000"/>
          <w:szCs w:val="21"/>
        </w:rPr>
      </w:pPr>
      <w:r>
        <w:rPr>
          <w:rFonts w:hint="eastAsia" w:ascii="宋体" w:hAnsi="宋体"/>
          <w:b/>
          <w:bCs/>
          <w:color w:val="000000"/>
          <w:szCs w:val="21"/>
        </w:rPr>
        <w:t>7.4、</w:t>
      </w:r>
      <w:r>
        <w:rPr>
          <w:rFonts w:hint="eastAsia" w:ascii="宋体" w:hAnsi="宋体"/>
          <w:color w:val="000000"/>
          <w:szCs w:val="21"/>
        </w:rPr>
        <w:t>采购人</w:t>
      </w:r>
      <w:r>
        <w:rPr>
          <w:rFonts w:ascii="宋体" w:hAnsi="宋体"/>
          <w:color w:val="000000"/>
          <w:szCs w:val="21"/>
        </w:rPr>
        <w:t>监督合同的执行</w:t>
      </w:r>
      <w:r>
        <w:rPr>
          <w:rFonts w:hint="eastAsia" w:ascii="宋体" w:hAnsi="宋体"/>
          <w:color w:val="000000"/>
          <w:szCs w:val="21"/>
        </w:rPr>
        <w:t>、</w:t>
      </w:r>
      <w:r>
        <w:rPr>
          <w:rFonts w:ascii="宋体" w:hAnsi="宋体"/>
          <w:color w:val="000000"/>
          <w:szCs w:val="21"/>
        </w:rPr>
        <w:t>协调和处理</w:t>
      </w:r>
      <w:r>
        <w:rPr>
          <w:rFonts w:hint="eastAsia" w:ascii="宋体" w:hAnsi="宋体"/>
          <w:color w:val="000000"/>
          <w:szCs w:val="21"/>
        </w:rPr>
        <w:t>履约过程中的问题。审核实行回避制度。中标人若曾参与受委托审核项目相关造价咨询业务的，应在接受采购人委托前如实说明，不再参与该项目审核工作。对中标人滥用职权、徇私舞弊、玩忽职守应按情节轻重给予取消进入政府采购市场资格；情节严重，造成国家重大损失的，移送司法机关追究刑事责任。</w:t>
      </w:r>
    </w:p>
    <w:p>
      <w:pPr>
        <w:adjustRightInd w:val="0"/>
        <w:snapToGrid w:val="0"/>
        <w:spacing w:line="360" w:lineRule="auto"/>
        <w:ind w:firstLine="422" w:firstLineChars="200"/>
        <w:rPr>
          <w:rFonts w:ascii="宋体" w:hAnsi="宋体"/>
          <w:color w:val="000000"/>
          <w:szCs w:val="21"/>
        </w:rPr>
      </w:pPr>
      <w:r>
        <w:rPr>
          <w:rFonts w:hint="eastAsia" w:ascii="宋体" w:hAnsi="宋体"/>
          <w:b/>
          <w:bCs/>
          <w:color w:val="000000"/>
          <w:szCs w:val="21"/>
        </w:rPr>
        <w:t>7.5、</w:t>
      </w:r>
      <w:r>
        <w:rPr>
          <w:rFonts w:hint="eastAsia" w:ascii="宋体" w:hAnsi="宋体"/>
          <w:color w:val="000000"/>
          <w:szCs w:val="21"/>
        </w:rPr>
        <w:t>协审单位或其派遣的协审人员有下列情形之一的，由采购人协同有关监督部门调查处理，情节严重的将取消协审单位的服务资格，被取消资格的协审单位及其人员三年内不得在采购人业务范围内从事类似审核工作，造成经济损失的，应承担相应赔偿责任：</w:t>
      </w:r>
    </w:p>
    <w:p>
      <w:pPr>
        <w:adjustRightInd w:val="0"/>
        <w:snapToGrid w:val="0"/>
        <w:spacing w:line="360" w:lineRule="auto"/>
        <w:ind w:firstLine="422" w:firstLineChars="200"/>
        <w:rPr>
          <w:rFonts w:ascii="宋体" w:hAnsi="宋体"/>
          <w:color w:val="000000"/>
          <w:szCs w:val="21"/>
        </w:rPr>
      </w:pPr>
      <w:r>
        <w:rPr>
          <w:rFonts w:hint="eastAsia" w:ascii="宋体" w:hAnsi="宋体"/>
          <w:b/>
          <w:color w:val="000000"/>
          <w:szCs w:val="21"/>
        </w:rPr>
        <w:t>7.5.1</w:t>
      </w:r>
      <w:r>
        <w:rPr>
          <w:rFonts w:hint="eastAsia" w:ascii="宋体" w:hAnsi="宋体"/>
          <w:color w:val="000000"/>
          <w:szCs w:val="21"/>
        </w:rPr>
        <w:t>将受聘的审核业务委托或转让给其他单位的；或者在接受采购人审核任务后，不主动履行回避义务，接受被审核单位或相关单位委托，承担与审核任务相关的有关业务。</w:t>
      </w:r>
    </w:p>
    <w:p>
      <w:pPr>
        <w:adjustRightInd w:val="0"/>
        <w:snapToGrid w:val="0"/>
        <w:spacing w:line="360" w:lineRule="auto"/>
        <w:ind w:firstLine="422" w:firstLineChars="200"/>
        <w:rPr>
          <w:rFonts w:ascii="宋体" w:hAnsi="宋体"/>
          <w:color w:val="000000"/>
          <w:szCs w:val="21"/>
        </w:rPr>
      </w:pPr>
      <w:r>
        <w:rPr>
          <w:rFonts w:hint="eastAsia" w:ascii="宋体" w:hAnsi="宋体"/>
          <w:b/>
          <w:bCs/>
          <w:color w:val="000000"/>
          <w:szCs w:val="21"/>
        </w:rPr>
        <w:t>7.5.2</w:t>
      </w:r>
      <w:r>
        <w:rPr>
          <w:rFonts w:hint="eastAsia" w:ascii="宋体" w:hAnsi="宋体"/>
          <w:color w:val="000000"/>
          <w:szCs w:val="21"/>
        </w:rPr>
        <w:t>未按照规定的审核程序和要求开展工作，导致审核结果产生负面影响。</w:t>
      </w:r>
    </w:p>
    <w:p>
      <w:pPr>
        <w:adjustRightInd w:val="0"/>
        <w:snapToGrid w:val="0"/>
        <w:spacing w:line="360" w:lineRule="auto"/>
        <w:ind w:firstLine="422" w:firstLineChars="200"/>
        <w:rPr>
          <w:rFonts w:ascii="宋体" w:hAnsi="宋体"/>
          <w:color w:val="000000"/>
          <w:szCs w:val="21"/>
        </w:rPr>
      </w:pPr>
      <w:r>
        <w:rPr>
          <w:rFonts w:hint="eastAsia" w:ascii="宋体" w:hAnsi="宋体"/>
          <w:b/>
          <w:bCs/>
          <w:color w:val="000000"/>
          <w:szCs w:val="21"/>
        </w:rPr>
        <w:t>7.5.3</w:t>
      </w:r>
      <w:r>
        <w:rPr>
          <w:rFonts w:hint="eastAsia" w:ascii="宋体" w:hAnsi="宋体"/>
          <w:color w:val="000000"/>
          <w:szCs w:val="21"/>
        </w:rPr>
        <w:t>提交虚假审核结论材料或相关文书、资料的。</w:t>
      </w:r>
    </w:p>
    <w:p>
      <w:pPr>
        <w:adjustRightInd w:val="0"/>
        <w:snapToGrid w:val="0"/>
        <w:spacing w:line="360" w:lineRule="auto"/>
        <w:ind w:firstLine="422" w:firstLineChars="200"/>
        <w:rPr>
          <w:rFonts w:ascii="宋体" w:hAnsi="宋体"/>
          <w:color w:val="000000"/>
          <w:szCs w:val="21"/>
        </w:rPr>
      </w:pPr>
      <w:r>
        <w:rPr>
          <w:rFonts w:hint="eastAsia" w:ascii="宋体" w:hAnsi="宋体"/>
          <w:b/>
          <w:bCs/>
          <w:color w:val="000000"/>
          <w:szCs w:val="21"/>
        </w:rPr>
        <w:t>7.5.4</w:t>
      </w:r>
      <w:r>
        <w:rPr>
          <w:rFonts w:hint="eastAsia" w:ascii="宋体" w:hAnsi="宋体"/>
          <w:color w:val="000000"/>
          <w:szCs w:val="21"/>
        </w:rPr>
        <w:t>违反廉政规定的，收受、索取贿赂的。</w:t>
      </w:r>
    </w:p>
    <w:p>
      <w:pPr>
        <w:adjustRightInd w:val="0"/>
        <w:snapToGrid w:val="0"/>
        <w:spacing w:line="360" w:lineRule="auto"/>
        <w:ind w:firstLine="422" w:firstLineChars="200"/>
        <w:rPr>
          <w:rFonts w:ascii="宋体" w:hAnsi="宋体"/>
          <w:color w:val="000000"/>
          <w:szCs w:val="21"/>
        </w:rPr>
      </w:pPr>
      <w:r>
        <w:rPr>
          <w:rFonts w:hint="eastAsia" w:ascii="宋体" w:hAnsi="宋体"/>
          <w:b/>
          <w:bCs/>
          <w:color w:val="000000"/>
          <w:szCs w:val="21"/>
        </w:rPr>
        <w:t>7.5.5</w:t>
      </w:r>
      <w:r>
        <w:rPr>
          <w:rFonts w:hint="eastAsia" w:ascii="宋体" w:hAnsi="宋体"/>
          <w:color w:val="000000"/>
          <w:szCs w:val="21"/>
        </w:rPr>
        <w:t>泄露审核工作中知悉的国家秘密、商业秘密及工作秘密的。</w:t>
      </w:r>
    </w:p>
    <w:p>
      <w:pPr>
        <w:adjustRightInd w:val="0"/>
        <w:snapToGrid w:val="0"/>
        <w:spacing w:line="360" w:lineRule="auto"/>
        <w:ind w:firstLine="422" w:firstLineChars="200"/>
        <w:rPr>
          <w:rFonts w:ascii="宋体" w:hAnsi="宋体"/>
          <w:color w:val="000000"/>
          <w:szCs w:val="21"/>
        </w:rPr>
      </w:pPr>
      <w:r>
        <w:rPr>
          <w:rFonts w:hint="eastAsia" w:ascii="宋体" w:hAnsi="宋体"/>
          <w:b/>
          <w:bCs/>
          <w:color w:val="000000"/>
          <w:szCs w:val="21"/>
        </w:rPr>
        <w:t>7.5.6</w:t>
      </w:r>
      <w:r>
        <w:rPr>
          <w:rFonts w:hint="eastAsia" w:ascii="宋体" w:hAnsi="宋体"/>
          <w:color w:val="000000"/>
          <w:szCs w:val="21"/>
        </w:rPr>
        <w:t>未按规定要求完成审核工作任务的，或未通过采购人的监督评价的。</w:t>
      </w:r>
    </w:p>
    <w:p>
      <w:pPr>
        <w:adjustRightInd w:val="0"/>
        <w:snapToGrid w:val="0"/>
        <w:spacing w:line="360" w:lineRule="auto"/>
        <w:ind w:firstLine="422" w:firstLineChars="200"/>
        <w:rPr>
          <w:rFonts w:ascii="宋体" w:hAnsi="宋体"/>
          <w:color w:val="000000"/>
          <w:szCs w:val="21"/>
        </w:rPr>
      </w:pPr>
      <w:r>
        <w:rPr>
          <w:rFonts w:hint="eastAsia" w:ascii="宋体" w:hAnsi="宋体"/>
          <w:b/>
          <w:bCs/>
          <w:color w:val="000000"/>
          <w:szCs w:val="21"/>
        </w:rPr>
        <w:t>7.5.7</w:t>
      </w:r>
      <w:r>
        <w:rPr>
          <w:rFonts w:hint="eastAsia" w:ascii="宋体" w:hAnsi="宋体"/>
          <w:color w:val="000000"/>
          <w:szCs w:val="21"/>
        </w:rPr>
        <w:t>无正当理由拒绝采购人分派的项目或承接后不履约，且未及时提交书面说明的。</w:t>
      </w:r>
    </w:p>
    <w:p>
      <w:pPr>
        <w:adjustRightInd w:val="0"/>
        <w:snapToGrid w:val="0"/>
        <w:spacing w:line="360" w:lineRule="auto"/>
        <w:ind w:firstLine="422" w:firstLineChars="200"/>
        <w:rPr>
          <w:rFonts w:ascii="宋体" w:hAnsi="宋体"/>
          <w:color w:val="000000"/>
          <w:szCs w:val="21"/>
        </w:rPr>
      </w:pPr>
      <w:r>
        <w:rPr>
          <w:rFonts w:hint="eastAsia" w:ascii="宋体" w:hAnsi="宋体"/>
          <w:b/>
          <w:bCs/>
          <w:color w:val="000000"/>
          <w:szCs w:val="21"/>
        </w:rPr>
        <w:t>7.5.8</w:t>
      </w:r>
      <w:r>
        <w:rPr>
          <w:rFonts w:hint="eastAsia" w:ascii="宋体" w:hAnsi="宋体"/>
          <w:color w:val="000000"/>
          <w:szCs w:val="21"/>
        </w:rPr>
        <w:t>协审单位的组织机构、财务能力、信誉情况等各项资格条件发生变化，已不具备协审条件的。</w:t>
      </w:r>
    </w:p>
    <w:p>
      <w:pPr>
        <w:adjustRightInd w:val="0"/>
        <w:snapToGrid w:val="0"/>
        <w:spacing w:line="360" w:lineRule="auto"/>
        <w:ind w:firstLine="422" w:firstLineChars="200"/>
        <w:rPr>
          <w:rFonts w:ascii="宋体" w:hAnsi="宋体"/>
          <w:color w:val="000000"/>
          <w:szCs w:val="21"/>
        </w:rPr>
      </w:pPr>
      <w:r>
        <w:rPr>
          <w:rFonts w:hint="eastAsia" w:ascii="宋体" w:hAnsi="宋体"/>
          <w:b/>
          <w:bCs/>
          <w:color w:val="000000"/>
          <w:szCs w:val="21"/>
        </w:rPr>
        <w:t>7.5.9</w:t>
      </w:r>
      <w:r>
        <w:rPr>
          <w:rFonts w:hint="eastAsia" w:ascii="宋体" w:hAnsi="宋体"/>
          <w:color w:val="000000"/>
          <w:szCs w:val="21"/>
        </w:rPr>
        <w:t>其他违反法律、法规规定情形的。</w:t>
      </w:r>
    </w:p>
    <w:p>
      <w:pPr>
        <w:pStyle w:val="35"/>
        <w:rPr>
          <w:rFonts w:ascii="宋体" w:hAnsi="宋体" w:cs="宋体"/>
        </w:rPr>
      </w:pPr>
    </w:p>
    <w:p>
      <w:pPr>
        <w:tabs>
          <w:tab w:val="center" w:pos="4447"/>
        </w:tabs>
        <w:adjustRightInd w:val="0"/>
        <w:snapToGrid w:val="0"/>
        <w:spacing w:line="360" w:lineRule="auto"/>
        <w:rPr>
          <w:rFonts w:ascii="宋体" w:hAnsi="宋体"/>
          <w:b/>
          <w:szCs w:val="21"/>
        </w:rPr>
      </w:pPr>
      <w:r>
        <w:rPr>
          <w:rFonts w:hint="eastAsia" w:ascii="宋体" w:hAnsi="宋体"/>
          <w:b/>
          <w:color w:val="000000"/>
          <w:szCs w:val="21"/>
        </w:rPr>
        <w:t>二、项目协议书的签订</w:t>
      </w:r>
    </w:p>
    <w:p>
      <w:pPr>
        <w:adjustRightInd w:val="0"/>
        <w:snapToGrid w:val="0"/>
        <w:spacing w:line="360" w:lineRule="auto"/>
        <w:ind w:firstLine="420" w:firstLineChars="200"/>
        <w:rPr>
          <w:rFonts w:ascii="宋体" w:hAnsi="宋体"/>
          <w:color w:val="000000"/>
          <w:szCs w:val="21"/>
        </w:rPr>
      </w:pPr>
      <w:bookmarkStart w:id="27" w:name="_Hlk120806445"/>
      <w:r>
        <w:rPr>
          <w:rFonts w:hint="eastAsia" w:ascii="宋体" w:hAnsi="宋体"/>
          <w:szCs w:val="21"/>
        </w:rPr>
        <w:t>《中标通知书》作为签订协议的重要依据，中标单位根据中标通知书与宁波市鄞州区发展和改革局签订《鄞州区2023-2024年度政府投资项目概算协审服务封闭式框架协议采购项目协议书》，以此确认投标人的协审资格。中标单位应在所承诺的审核期限内完成概算协审。中标单位应本着“客观、公正、合理、科学”的原则，遵守国家法律法规和有关文件规定，正确执行计价依据，正确履行审核职责，同时承担相应的法律责任。</w:t>
      </w:r>
    </w:p>
    <w:bookmarkEnd w:id="27"/>
    <w:p>
      <w:pPr>
        <w:adjustRightInd w:val="0"/>
        <w:snapToGrid w:val="0"/>
        <w:spacing w:line="360" w:lineRule="auto"/>
        <w:rPr>
          <w:rFonts w:ascii="宋体" w:hAnsi="宋体"/>
          <w:b/>
          <w:color w:val="000000"/>
          <w:szCs w:val="21"/>
        </w:rPr>
      </w:pPr>
      <w:r>
        <w:rPr>
          <w:rFonts w:hint="eastAsia" w:ascii="宋体" w:hAnsi="宋体"/>
          <w:b/>
          <w:color w:val="000000"/>
          <w:szCs w:val="21"/>
        </w:rPr>
        <w:t>三、审核费用支付方式</w:t>
      </w:r>
    </w:p>
    <w:bookmarkEnd w:id="26"/>
    <w:p>
      <w:pPr>
        <w:adjustRightInd w:val="0"/>
        <w:snapToGrid w:val="0"/>
        <w:spacing w:line="360" w:lineRule="auto"/>
        <w:ind w:firstLine="420" w:firstLineChars="200"/>
        <w:rPr>
          <w:rFonts w:ascii="宋体" w:hAnsi="宋体"/>
          <w:color w:val="000000"/>
          <w:szCs w:val="21"/>
        </w:rPr>
      </w:pPr>
      <w:bookmarkStart w:id="28" w:name="_Hlk120806846"/>
      <w:r>
        <w:rPr>
          <w:rFonts w:hint="eastAsia" w:ascii="宋体" w:hAnsi="宋体"/>
          <w:color w:val="000000"/>
          <w:szCs w:val="21"/>
        </w:rPr>
        <w:t>协审服务费用按单个项目造价咨询合同进行支付，在咨询单位提交正式《工程造价咨询报告书》后，经委托人确认无误后，委托人根据协议书及合同、其他情况，在收到咨询单位提交的正规税务发票后30天内办理结清手续。</w:t>
      </w:r>
      <w:bookmarkEnd w:id="28"/>
    </w:p>
    <w:p>
      <w:pPr>
        <w:pStyle w:val="11"/>
        <w:sectPr>
          <w:headerReference r:id="rId8" w:type="default"/>
          <w:footerReference r:id="rId9" w:type="default"/>
          <w:pgSz w:w="11907" w:h="16840"/>
          <w:pgMar w:top="1440" w:right="1797" w:bottom="1440" w:left="1797" w:header="851" w:footer="851" w:gutter="0"/>
          <w:cols w:space="720" w:num="1"/>
          <w:docGrid w:type="lines" w:linePitch="312" w:charSpace="0"/>
        </w:sectPr>
      </w:pPr>
    </w:p>
    <w:p>
      <w:pPr>
        <w:pStyle w:val="8"/>
        <w:spacing w:before="88" w:line="480" w:lineRule="exact"/>
        <w:ind w:right="623" w:firstLine="419"/>
        <w:rPr>
          <w:rFonts w:ascii="Arial" w:hAnsi="Arial" w:cs="Arial"/>
          <w:i w:val="0"/>
          <w:color w:val="FF0000"/>
          <w:kern w:val="2"/>
          <w:sz w:val="22"/>
          <w:szCs w:val="22"/>
        </w:rPr>
      </w:pPr>
    </w:p>
    <w:p>
      <w:pPr>
        <w:numPr>
          <w:ilvl w:val="0"/>
          <w:numId w:val="3"/>
        </w:numPr>
        <w:spacing w:line="400" w:lineRule="exact"/>
        <w:jc w:val="center"/>
        <w:outlineLvl w:val="0"/>
        <w:rPr>
          <w:rFonts w:eastAsia="黑体"/>
          <w:b/>
          <w:color w:val="000000"/>
          <w:sz w:val="32"/>
        </w:rPr>
      </w:pPr>
      <w:bookmarkStart w:id="29" w:name="_Toc98402391"/>
      <w:r>
        <w:rPr>
          <w:rFonts w:eastAsia="黑体"/>
          <w:b/>
          <w:color w:val="000000"/>
          <w:sz w:val="32"/>
        </w:rPr>
        <w:t xml:space="preserve"> </w:t>
      </w:r>
      <w:r>
        <w:rPr>
          <w:rFonts w:hint="eastAsia" w:eastAsia="黑体"/>
          <w:b/>
          <w:color w:val="000000"/>
          <w:sz w:val="32"/>
        </w:rPr>
        <w:t>投标人须知</w:t>
      </w:r>
      <w:bookmarkEnd w:id="29"/>
    </w:p>
    <w:p>
      <w:pPr>
        <w:pStyle w:val="23"/>
        <w:ind w:left="840" w:leftChars="400" w:firstLine="0" w:firstLineChars="0"/>
      </w:pPr>
    </w:p>
    <w:p>
      <w:pPr>
        <w:spacing w:line="360" w:lineRule="auto"/>
        <w:jc w:val="center"/>
        <w:outlineLvl w:val="1"/>
        <w:rPr>
          <w:rFonts w:ascii="宋体" w:hAnsi="宋体"/>
          <w:b/>
          <w:sz w:val="24"/>
        </w:rPr>
      </w:pPr>
      <w:r>
        <w:rPr>
          <w:rFonts w:hint="eastAsia" w:ascii="宋体" w:hAnsi="宋体"/>
          <w:b/>
          <w:sz w:val="24"/>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7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序号</w:t>
            </w:r>
          </w:p>
        </w:tc>
        <w:tc>
          <w:tcPr>
            <w:tcW w:w="78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1</w:t>
            </w:r>
          </w:p>
        </w:tc>
        <w:tc>
          <w:tcPr>
            <w:tcW w:w="78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left"/>
              <w:rPr>
                <w:rFonts w:ascii="宋体" w:hAnsi="宋体"/>
                <w:szCs w:val="21"/>
              </w:rPr>
            </w:pPr>
            <w:r>
              <w:rPr>
                <w:rFonts w:hint="eastAsia" w:ascii="宋体" w:hAnsi="宋体"/>
                <w:szCs w:val="21"/>
              </w:rPr>
              <w:t>采购人：</w:t>
            </w:r>
            <w:r>
              <w:rPr>
                <w:rFonts w:hint="eastAsia"/>
                <w:szCs w:val="21"/>
              </w:rPr>
              <w:t>宁波市鄞州区发展和改革局</w:t>
            </w:r>
          </w:p>
          <w:p>
            <w:pPr>
              <w:snapToGrid w:val="0"/>
              <w:spacing w:before="120" w:beforeLines="50" w:after="120" w:afterLines="50"/>
              <w:jc w:val="left"/>
              <w:rPr>
                <w:rFonts w:ascii="宋体" w:hAnsi="宋体"/>
                <w:szCs w:val="21"/>
              </w:rPr>
            </w:pPr>
            <w:r>
              <w:rPr>
                <w:rFonts w:hint="eastAsia" w:ascii="宋体" w:hAnsi="宋体"/>
                <w:szCs w:val="21"/>
              </w:rPr>
              <w:t>地址：浙江省宁波市惠风东路568号</w:t>
            </w:r>
          </w:p>
          <w:p>
            <w:pPr>
              <w:snapToGrid w:val="0"/>
              <w:spacing w:before="120" w:beforeLines="50" w:after="120" w:afterLines="50"/>
              <w:jc w:val="left"/>
              <w:rPr>
                <w:rFonts w:ascii="宋体" w:hAnsi="宋体"/>
                <w:szCs w:val="21"/>
              </w:rPr>
            </w:pPr>
            <w:r>
              <w:rPr>
                <w:rFonts w:hint="eastAsia" w:ascii="宋体" w:hAnsi="宋体"/>
                <w:szCs w:val="21"/>
              </w:rPr>
              <w:t>联系人：程老师</w:t>
            </w:r>
          </w:p>
          <w:p>
            <w:pPr>
              <w:pStyle w:val="20"/>
              <w:spacing w:before="120" w:beforeLines="50" w:beforeAutospacing="0" w:after="120" w:afterLines="50" w:afterAutospacing="0"/>
              <w:rPr>
                <w:rFonts w:cs="Times New Roman"/>
                <w:kern w:val="2"/>
                <w:sz w:val="21"/>
                <w:szCs w:val="21"/>
              </w:rPr>
            </w:pPr>
            <w:r>
              <w:rPr>
                <w:rFonts w:hint="eastAsia" w:cs="Times New Roman"/>
                <w:kern w:val="2"/>
                <w:sz w:val="21"/>
                <w:szCs w:val="21"/>
              </w:rPr>
              <w:t>联系电话：</w:t>
            </w:r>
            <w:r>
              <w:rPr>
                <w:rFonts w:cs="Times New Roman"/>
                <w:kern w:val="2"/>
                <w:sz w:val="21"/>
                <w:szCs w:val="21"/>
              </w:rPr>
              <w:t>0574-88220183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center"/>
              <w:rPr>
                <w:rFonts w:ascii="宋体" w:hAnsi="宋体"/>
                <w:szCs w:val="21"/>
              </w:rPr>
            </w:pPr>
            <w:r>
              <w:rPr>
                <w:rFonts w:hint="eastAsia" w:ascii="宋体" w:hAnsi="宋体"/>
                <w:szCs w:val="21"/>
              </w:rPr>
              <w:t>2</w:t>
            </w:r>
          </w:p>
        </w:tc>
        <w:tc>
          <w:tcPr>
            <w:tcW w:w="78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left"/>
              <w:rPr>
                <w:rFonts w:ascii="宋体" w:hAnsi="宋体"/>
                <w:szCs w:val="21"/>
              </w:rPr>
            </w:pPr>
            <w:r>
              <w:rPr>
                <w:rFonts w:hint="eastAsia" w:ascii="宋体" w:hAnsi="宋体"/>
                <w:szCs w:val="21"/>
              </w:rPr>
              <w:t>采购代理机构：浙江嘉源工程项目管理有限公司</w:t>
            </w:r>
          </w:p>
          <w:p>
            <w:pPr>
              <w:snapToGrid w:val="0"/>
              <w:spacing w:before="120" w:beforeLines="50" w:after="120" w:afterLines="50"/>
              <w:jc w:val="left"/>
              <w:rPr>
                <w:rFonts w:ascii="宋体" w:hAnsi="宋体"/>
                <w:szCs w:val="21"/>
              </w:rPr>
            </w:pPr>
            <w:r>
              <w:rPr>
                <w:rFonts w:hint="eastAsia" w:ascii="宋体" w:hAnsi="宋体"/>
                <w:szCs w:val="21"/>
              </w:rPr>
              <w:t>地址：宁波市镇海区中官西路777号科创大厦16楼招标代理部</w:t>
            </w:r>
          </w:p>
          <w:p>
            <w:pPr>
              <w:snapToGrid w:val="0"/>
              <w:spacing w:before="120" w:beforeLines="50" w:after="120" w:afterLines="50"/>
              <w:jc w:val="left"/>
              <w:rPr>
                <w:rFonts w:ascii="宋体" w:hAnsi="宋体"/>
                <w:szCs w:val="21"/>
              </w:rPr>
            </w:pPr>
            <w:r>
              <w:rPr>
                <w:rFonts w:hint="eastAsia" w:ascii="宋体" w:hAnsi="宋体"/>
                <w:szCs w:val="21"/>
              </w:rPr>
              <w:t>联系人：戎健、徐驰、赖景刚</w:t>
            </w:r>
          </w:p>
          <w:p>
            <w:pPr>
              <w:snapToGrid w:val="0"/>
              <w:spacing w:before="120" w:beforeLines="50" w:after="120" w:afterLines="50"/>
              <w:jc w:val="left"/>
              <w:rPr>
                <w:rFonts w:ascii="宋体" w:hAnsi="宋体"/>
                <w:szCs w:val="21"/>
              </w:rPr>
            </w:pPr>
            <w:r>
              <w:rPr>
                <w:rFonts w:hint="eastAsia" w:ascii="宋体" w:hAnsi="宋体"/>
                <w:szCs w:val="21"/>
              </w:rPr>
              <w:t>联系电话：0574-56151951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★3</w:t>
            </w:r>
          </w:p>
        </w:tc>
        <w:tc>
          <w:tcPr>
            <w:tcW w:w="78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left"/>
              <w:rPr>
                <w:strike/>
              </w:rPr>
            </w:pPr>
            <w:r>
              <w:rPr>
                <w:rFonts w:hint="eastAsia" w:ascii="宋体" w:hAnsi="宋体"/>
                <w:szCs w:val="21"/>
              </w:rPr>
              <w:t>本项目采购总预算：人民币</w:t>
            </w:r>
            <w:r>
              <w:rPr>
                <w:rFonts w:ascii="宋体" w:hAnsi="宋体"/>
                <w:szCs w:val="21"/>
              </w:rPr>
              <w:t>8000000</w:t>
            </w:r>
            <w:r>
              <w:rPr>
                <w:rFonts w:hint="eastAsia" w:ascii="宋体" w:hAnsi="宋体"/>
                <w:szCs w:val="21"/>
              </w:rPr>
              <w:t>.00元/年。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4</w:t>
            </w:r>
          </w:p>
        </w:tc>
        <w:tc>
          <w:tcPr>
            <w:tcW w:w="78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left"/>
              <w:rPr>
                <w:rFonts w:ascii="宋体" w:hAnsi="宋体"/>
                <w:szCs w:val="21"/>
              </w:rPr>
            </w:pPr>
            <w:r>
              <w:rPr>
                <w:rFonts w:hint="eastAsia" w:ascii="宋体" w:hAnsi="宋体"/>
                <w:szCs w:val="21"/>
              </w:rPr>
              <w:t>投标报价：</w:t>
            </w:r>
          </w:p>
          <w:p>
            <w:pPr>
              <w:snapToGrid w:val="0"/>
              <w:spacing w:before="120" w:beforeLines="50" w:after="120" w:afterLines="50"/>
              <w:ind w:left="246" w:hanging="245" w:hangingChars="117"/>
              <w:jc w:val="left"/>
              <w:rPr>
                <w:rFonts w:ascii="宋体" w:hAnsi="宋体"/>
                <w:szCs w:val="21"/>
              </w:rPr>
            </w:pPr>
            <w:r>
              <w:rPr>
                <w:rFonts w:hint="eastAsia" w:ascii="宋体" w:hAnsi="宋体"/>
                <w:szCs w:val="21"/>
              </w:rPr>
              <w:t>1）本项目投标应采用折扣系数报价形式，由各供应商根据第二章招标需求（四）委托协审计费标准的最高计费标准报折扣系数（折扣系数保留百分号后两位小数）</w:t>
            </w:r>
          </w:p>
          <w:p>
            <w:pPr>
              <w:snapToGrid w:val="0"/>
              <w:spacing w:before="120" w:beforeLines="50" w:after="120" w:afterLines="50"/>
              <w:ind w:left="246" w:hanging="245" w:hangingChars="117"/>
              <w:jc w:val="left"/>
              <w:rPr>
                <w:rFonts w:ascii="宋体" w:hAnsi="宋体"/>
                <w:szCs w:val="21"/>
              </w:rPr>
            </w:pPr>
            <w:r>
              <w:rPr>
                <w:rFonts w:hint="eastAsia" w:ascii="宋体" w:hAnsi="宋体"/>
                <w:szCs w:val="21"/>
              </w:rPr>
              <w:t>2）结算金额=按最高计费标准计算的收费金额×75%×投标折扣系数</w:t>
            </w:r>
          </w:p>
          <w:p>
            <w:pPr>
              <w:snapToGrid w:val="0"/>
              <w:spacing w:before="120" w:beforeLines="50" w:after="120" w:afterLines="50"/>
              <w:ind w:left="246" w:hanging="245" w:hangingChars="117"/>
              <w:jc w:val="left"/>
            </w:pPr>
            <w:r>
              <w:rPr>
                <w:rFonts w:hint="eastAsia" w:ascii="宋体" w:hAnsi="宋体"/>
                <w:szCs w:val="21"/>
              </w:rPr>
              <w:t>3）最高限价（折扣系数）</w:t>
            </w:r>
            <w:r>
              <w:rPr>
                <w:rFonts w:ascii="宋体" w:hAnsi="宋体"/>
                <w:szCs w:val="21"/>
              </w:rPr>
              <w:t>75</w:t>
            </w:r>
            <w:r>
              <w:rPr>
                <w:rFonts w:hint="eastAsia" w:ascii="宋体" w:hAnsi="宋体"/>
                <w:szCs w:val="21"/>
              </w:rPr>
              <w:t>%，超出最高限价的投标将作为无效标处理。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★5</w:t>
            </w:r>
          </w:p>
        </w:tc>
        <w:tc>
          <w:tcPr>
            <w:tcW w:w="78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left"/>
              <w:rPr>
                <w:rFonts w:ascii="宋体" w:hAnsi="宋体"/>
                <w:szCs w:val="21"/>
              </w:rPr>
            </w:pPr>
            <w:r>
              <w:rPr>
                <w:rFonts w:hint="eastAsia" w:ascii="宋体" w:hAnsi="宋体"/>
                <w:szCs w:val="21"/>
              </w:rPr>
              <w:t>投标有效期：90天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6</w:t>
            </w:r>
          </w:p>
        </w:tc>
        <w:tc>
          <w:tcPr>
            <w:tcW w:w="78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jc w:val="left"/>
              <w:rPr>
                <w:rFonts w:ascii="宋体" w:hAnsi="宋体"/>
                <w:szCs w:val="21"/>
              </w:rPr>
            </w:pPr>
            <w:r>
              <w:rPr>
                <w:rFonts w:hint="eastAsia" w:ascii="宋体" w:hAnsi="宋体"/>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7</w:t>
            </w:r>
          </w:p>
        </w:tc>
        <w:tc>
          <w:tcPr>
            <w:tcW w:w="788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76" w:lineRule="auto"/>
              <w:jc w:val="left"/>
              <w:rPr>
                <w:szCs w:val="24"/>
              </w:rPr>
            </w:pPr>
            <w:r>
              <w:rPr>
                <w:rFonts w:hint="eastAsia"/>
                <w:szCs w:val="24"/>
              </w:rPr>
              <w:t>投标文件组成：由资格审查文件、商务技术文件和报价文件三部分组成。</w:t>
            </w:r>
          </w:p>
          <w:p>
            <w:pPr>
              <w:spacing w:before="120" w:beforeLines="50" w:after="120" w:afterLines="50" w:line="360" w:lineRule="auto"/>
              <w:jc w:val="left"/>
              <w:rPr>
                <w:rFonts w:ascii="宋体" w:hAnsi="宋体"/>
                <w:b/>
                <w:bCs/>
                <w:szCs w:val="21"/>
              </w:rPr>
            </w:pPr>
            <w:r>
              <w:rPr>
                <w:rFonts w:hint="eastAsia" w:ascii="宋体" w:hAnsi="宋体"/>
                <w:b/>
                <w:bCs/>
                <w:szCs w:val="21"/>
              </w:rPr>
              <w:t>资格审查文件组成：</w:t>
            </w:r>
          </w:p>
          <w:p>
            <w:pPr>
              <w:spacing w:before="120" w:beforeLines="50" w:after="120" w:afterLines="50" w:line="276" w:lineRule="auto"/>
              <w:jc w:val="left"/>
              <w:rPr>
                <w:szCs w:val="24"/>
              </w:rPr>
            </w:pPr>
            <w:r>
              <w:rPr>
                <w:rFonts w:hint="eastAsia"/>
                <w:szCs w:val="24"/>
              </w:rPr>
              <w:t>（1）有效的企业法人营业执照（或事业法人登记证）、其他组织（个体工商户）的营业执照或者民办非企业单位登记证书复印件（复印件加盖公章）；</w:t>
            </w:r>
          </w:p>
          <w:p>
            <w:pPr>
              <w:spacing w:before="120" w:beforeLines="50" w:after="120" w:afterLines="50" w:line="276" w:lineRule="auto"/>
              <w:jc w:val="left"/>
              <w:rPr>
                <w:szCs w:val="24"/>
              </w:rPr>
            </w:pPr>
            <w:r>
              <w:rPr>
                <w:rFonts w:hint="eastAsia"/>
                <w:szCs w:val="24"/>
              </w:rPr>
              <w:t>（2）投标人资格声明函（格式见附件)；</w:t>
            </w:r>
          </w:p>
          <w:p>
            <w:pPr>
              <w:spacing w:before="120" w:beforeLines="50" w:after="120" w:afterLines="50" w:line="276" w:lineRule="auto"/>
              <w:jc w:val="left"/>
              <w:rPr>
                <w:szCs w:val="24"/>
              </w:rPr>
            </w:pPr>
            <w:r>
              <w:rPr>
                <w:rFonts w:hint="eastAsia"/>
                <w:szCs w:val="24"/>
              </w:rPr>
              <w:t>（3）投标人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p>
            <w:pPr>
              <w:spacing w:before="120" w:beforeLines="50" w:after="120" w:afterLines="50" w:line="276" w:lineRule="auto"/>
              <w:jc w:val="left"/>
              <w:rPr>
                <w:color w:val="0000FF"/>
                <w:szCs w:val="24"/>
              </w:rPr>
            </w:pPr>
            <w:r>
              <w:rPr>
                <w:rFonts w:hint="eastAsia"/>
                <w:szCs w:val="24"/>
              </w:rPr>
              <w:t>（4）特定资格要求：投标人须为工程造价咨询企业（以企业营业执照经营范围为准）。</w:t>
            </w:r>
          </w:p>
          <w:p>
            <w:pPr>
              <w:spacing w:before="120" w:beforeLines="50" w:after="120" w:afterLines="50" w:line="360" w:lineRule="auto"/>
              <w:jc w:val="left"/>
              <w:rPr>
                <w:rFonts w:ascii="宋体" w:hAnsi="宋体"/>
                <w:szCs w:val="21"/>
              </w:rPr>
            </w:pPr>
            <w:r>
              <w:rPr>
                <w:rFonts w:hint="eastAsia" w:ascii="宋体" w:hAnsi="宋体"/>
                <w:b/>
                <w:bCs/>
                <w:szCs w:val="21"/>
              </w:rPr>
              <w:t>商务技术文件：</w:t>
            </w:r>
          </w:p>
          <w:p>
            <w:pPr>
              <w:spacing w:before="120" w:beforeLines="50" w:after="120" w:afterLines="50" w:line="276" w:lineRule="auto"/>
              <w:jc w:val="left"/>
              <w:rPr>
                <w:szCs w:val="24"/>
              </w:rPr>
            </w:pPr>
            <w:r>
              <w:rPr>
                <w:rFonts w:hint="eastAsia"/>
                <w:szCs w:val="24"/>
              </w:rPr>
              <w:t>（</w:t>
            </w:r>
            <w:r>
              <w:rPr>
                <w:szCs w:val="24"/>
              </w:rPr>
              <w:t>1</w:t>
            </w:r>
            <w:r>
              <w:rPr>
                <w:rFonts w:hint="eastAsia"/>
                <w:szCs w:val="24"/>
              </w:rPr>
              <w:t>）法定代表人授权委托书或法定代表人身份证明（格式见附件）；</w:t>
            </w:r>
          </w:p>
          <w:p>
            <w:pPr>
              <w:spacing w:before="120" w:beforeLines="50" w:after="120" w:afterLines="50" w:line="276" w:lineRule="auto"/>
              <w:jc w:val="left"/>
              <w:rPr>
                <w:szCs w:val="24"/>
              </w:rPr>
            </w:pPr>
            <w:r>
              <w:rPr>
                <w:rFonts w:hint="eastAsia"/>
                <w:szCs w:val="24"/>
              </w:rPr>
              <w:t>（2）评分索引表（格式见附件）</w:t>
            </w:r>
          </w:p>
          <w:p>
            <w:pPr>
              <w:spacing w:before="120" w:beforeLines="50" w:after="120" w:afterLines="50" w:line="276" w:lineRule="auto"/>
              <w:jc w:val="left"/>
              <w:rPr>
                <w:szCs w:val="24"/>
              </w:rPr>
            </w:pPr>
            <w:r>
              <w:rPr>
                <w:rFonts w:hint="eastAsia"/>
                <w:szCs w:val="24"/>
              </w:rPr>
              <w:t>（</w:t>
            </w:r>
            <w:r>
              <w:rPr>
                <w:szCs w:val="24"/>
              </w:rPr>
              <w:t>3</w:t>
            </w:r>
            <w:r>
              <w:rPr>
                <w:rFonts w:hint="eastAsia"/>
                <w:szCs w:val="24"/>
              </w:rPr>
              <w:t>）投标人基本情况表（格式见附件）；</w:t>
            </w:r>
          </w:p>
          <w:p>
            <w:pPr>
              <w:spacing w:before="120" w:beforeLines="50" w:after="120" w:afterLines="50" w:line="276" w:lineRule="auto"/>
              <w:jc w:val="left"/>
              <w:rPr>
                <w:szCs w:val="24"/>
              </w:rPr>
            </w:pPr>
            <w:r>
              <w:rPr>
                <w:rFonts w:hint="eastAsia"/>
                <w:szCs w:val="24"/>
              </w:rPr>
              <w:t>（</w:t>
            </w:r>
            <w:r>
              <w:rPr>
                <w:szCs w:val="24"/>
              </w:rPr>
              <w:t>4</w:t>
            </w:r>
            <w:r>
              <w:rPr>
                <w:rFonts w:hint="eastAsia"/>
                <w:szCs w:val="24"/>
              </w:rPr>
              <w:t>）技术条款响应表（格式见附件）；</w:t>
            </w:r>
          </w:p>
          <w:p>
            <w:pPr>
              <w:spacing w:before="120" w:beforeLines="50" w:after="120" w:afterLines="50" w:line="276" w:lineRule="auto"/>
              <w:jc w:val="left"/>
              <w:rPr>
                <w:szCs w:val="24"/>
              </w:rPr>
            </w:pPr>
            <w:r>
              <w:rPr>
                <w:rFonts w:hint="eastAsia"/>
                <w:szCs w:val="24"/>
              </w:rPr>
              <w:t>（</w:t>
            </w:r>
            <w:r>
              <w:rPr>
                <w:szCs w:val="24"/>
              </w:rPr>
              <w:t>5</w:t>
            </w:r>
            <w:r>
              <w:rPr>
                <w:rFonts w:hint="eastAsia"/>
                <w:szCs w:val="24"/>
              </w:rPr>
              <w:t>）商务条款响应表（格式见附件）；</w:t>
            </w:r>
          </w:p>
          <w:p>
            <w:pPr>
              <w:spacing w:before="120" w:beforeLines="50" w:after="120" w:afterLines="50" w:line="276" w:lineRule="auto"/>
              <w:jc w:val="left"/>
              <w:rPr>
                <w:szCs w:val="24"/>
              </w:rPr>
            </w:pPr>
            <w:r>
              <w:rPr>
                <w:rFonts w:hint="eastAsia"/>
                <w:szCs w:val="24"/>
              </w:rPr>
              <w:t>（</w:t>
            </w:r>
            <w:r>
              <w:rPr>
                <w:szCs w:val="24"/>
              </w:rPr>
              <w:t>6</w:t>
            </w:r>
            <w:r>
              <w:rPr>
                <w:rFonts w:hint="eastAsia"/>
                <w:szCs w:val="24"/>
              </w:rPr>
              <w:t>）</w:t>
            </w:r>
            <w:r>
              <w:rPr>
                <w:szCs w:val="24"/>
              </w:rPr>
              <w:t>类似项目业绩表（格式见附件）；</w:t>
            </w:r>
          </w:p>
          <w:p>
            <w:pPr>
              <w:spacing w:before="120" w:beforeLines="50" w:after="120" w:afterLines="50" w:line="276" w:lineRule="auto"/>
              <w:jc w:val="left"/>
              <w:rPr>
                <w:szCs w:val="24"/>
              </w:rPr>
            </w:pPr>
            <w:r>
              <w:rPr>
                <w:szCs w:val="24"/>
              </w:rPr>
              <w:t>（7）</w:t>
            </w:r>
            <w:r>
              <w:rPr>
                <w:rFonts w:hint="eastAsia"/>
                <w:szCs w:val="24"/>
              </w:rPr>
              <w:t>项目人员配置表</w:t>
            </w:r>
            <w:r>
              <w:rPr>
                <w:szCs w:val="24"/>
              </w:rPr>
              <w:t>（格式见附件）；</w:t>
            </w:r>
          </w:p>
          <w:p>
            <w:pPr>
              <w:spacing w:before="120" w:beforeLines="50" w:after="120" w:afterLines="50" w:line="276" w:lineRule="auto"/>
              <w:jc w:val="left"/>
              <w:rPr>
                <w:szCs w:val="24"/>
              </w:rPr>
            </w:pPr>
            <w:r>
              <w:rPr>
                <w:szCs w:val="24"/>
              </w:rPr>
              <w:t>（8）</w:t>
            </w:r>
            <w:r>
              <w:rPr>
                <w:rFonts w:hint="eastAsia"/>
                <w:szCs w:val="24"/>
              </w:rPr>
              <w:t>项目负责人简历表</w:t>
            </w:r>
            <w:r>
              <w:rPr>
                <w:szCs w:val="24"/>
              </w:rPr>
              <w:t>（格式见附件）；</w:t>
            </w:r>
          </w:p>
          <w:p>
            <w:pPr>
              <w:spacing w:before="120" w:beforeLines="50" w:after="120" w:afterLines="50" w:line="276" w:lineRule="auto"/>
              <w:jc w:val="left"/>
              <w:rPr>
                <w:szCs w:val="24"/>
              </w:rPr>
            </w:pPr>
            <w:r>
              <w:rPr>
                <w:szCs w:val="24"/>
              </w:rPr>
              <w:t>（9）</w:t>
            </w:r>
            <w:r>
              <w:rPr>
                <w:rFonts w:hint="eastAsia"/>
                <w:szCs w:val="24"/>
              </w:rPr>
              <w:t>服务方案（对应评分标准编制）</w:t>
            </w:r>
            <w:r>
              <w:rPr>
                <w:szCs w:val="24"/>
              </w:rPr>
              <w:t>；</w:t>
            </w:r>
          </w:p>
          <w:p>
            <w:pPr>
              <w:spacing w:before="120" w:beforeLines="50" w:after="120" w:afterLines="50" w:line="276" w:lineRule="auto"/>
              <w:jc w:val="left"/>
              <w:rPr>
                <w:szCs w:val="24"/>
              </w:rPr>
            </w:pPr>
            <w:r>
              <w:rPr>
                <w:szCs w:val="24"/>
              </w:rPr>
              <w:t>（10）</w:t>
            </w:r>
            <w:r>
              <w:rPr>
                <w:rFonts w:hint="eastAsia"/>
                <w:szCs w:val="24"/>
              </w:rPr>
              <w:t>优惠承诺（如有）；</w:t>
            </w:r>
          </w:p>
          <w:p>
            <w:pPr>
              <w:spacing w:before="120" w:beforeLines="50" w:after="120" w:afterLines="50" w:line="276" w:lineRule="auto"/>
              <w:jc w:val="left"/>
              <w:rPr>
                <w:szCs w:val="24"/>
              </w:rPr>
            </w:pPr>
            <w:r>
              <w:rPr>
                <w:szCs w:val="24"/>
              </w:rPr>
              <w:t>（</w:t>
            </w:r>
            <w:r>
              <w:rPr>
                <w:rFonts w:hint="eastAsia"/>
                <w:szCs w:val="24"/>
              </w:rPr>
              <w:t>1</w:t>
            </w:r>
            <w:r>
              <w:rPr>
                <w:szCs w:val="24"/>
              </w:rPr>
              <w:t>1）</w:t>
            </w:r>
            <w:r>
              <w:rPr>
                <w:rFonts w:hint="eastAsia"/>
                <w:szCs w:val="24"/>
              </w:rPr>
              <w:t>评分标准或采购文件需要提供的证明材料（具体详见评分标准）</w:t>
            </w:r>
            <w:r>
              <w:rPr>
                <w:szCs w:val="24"/>
              </w:rPr>
              <w:t>；</w:t>
            </w:r>
          </w:p>
          <w:p>
            <w:pPr>
              <w:spacing w:before="120" w:beforeLines="50" w:after="120" w:afterLines="50" w:line="276" w:lineRule="auto"/>
              <w:jc w:val="left"/>
              <w:rPr>
                <w:szCs w:val="24"/>
              </w:rPr>
            </w:pPr>
            <w:r>
              <w:rPr>
                <w:szCs w:val="24"/>
              </w:rPr>
              <w:t>（12）投标人认为有必要提交的其他商务技术说明文件和资料。</w:t>
            </w:r>
          </w:p>
          <w:p>
            <w:pPr>
              <w:spacing w:before="120" w:beforeLines="50" w:after="120" w:afterLines="50" w:line="360" w:lineRule="auto"/>
              <w:jc w:val="left"/>
              <w:rPr>
                <w:rFonts w:ascii="宋体" w:hAnsi="宋体"/>
                <w:b/>
                <w:bCs/>
                <w:szCs w:val="21"/>
              </w:rPr>
            </w:pPr>
            <w:r>
              <w:rPr>
                <w:rFonts w:hint="eastAsia" w:ascii="宋体" w:hAnsi="宋体"/>
                <w:b/>
                <w:bCs/>
                <w:szCs w:val="21"/>
              </w:rPr>
              <w:t>报价文件：</w:t>
            </w:r>
          </w:p>
          <w:p>
            <w:pPr>
              <w:spacing w:before="120" w:beforeLines="50" w:after="120" w:afterLines="50" w:line="276" w:lineRule="auto"/>
              <w:jc w:val="left"/>
              <w:rPr>
                <w:szCs w:val="24"/>
              </w:rPr>
            </w:pPr>
            <w:r>
              <w:rPr>
                <w:rFonts w:hint="eastAsia"/>
                <w:szCs w:val="24"/>
              </w:rPr>
              <w:t>（1）投标函（格式见附件）；</w:t>
            </w:r>
          </w:p>
          <w:p>
            <w:pPr>
              <w:spacing w:before="120" w:beforeLines="50" w:after="120" w:afterLines="50" w:line="276" w:lineRule="auto"/>
              <w:jc w:val="left"/>
              <w:rPr>
                <w:szCs w:val="24"/>
              </w:rPr>
            </w:pPr>
            <w:r>
              <w:rPr>
                <w:rFonts w:hint="eastAsia"/>
                <w:szCs w:val="24"/>
              </w:rPr>
              <w:t>（2）开标一览表（格式见附件）；</w:t>
            </w:r>
          </w:p>
          <w:p>
            <w:pPr>
              <w:spacing w:before="120" w:beforeLines="50" w:after="120" w:afterLines="50" w:line="276" w:lineRule="auto"/>
              <w:jc w:val="left"/>
              <w:rPr>
                <w:szCs w:val="24"/>
              </w:rPr>
            </w:pPr>
            <w:r>
              <w:rPr>
                <w:rFonts w:hint="eastAsia"/>
                <w:szCs w:val="24"/>
              </w:rPr>
              <w:t>（</w:t>
            </w:r>
            <w:r>
              <w:rPr>
                <w:szCs w:val="24"/>
              </w:rPr>
              <w:t>3</w:t>
            </w:r>
            <w:r>
              <w:rPr>
                <w:rFonts w:hint="eastAsia"/>
                <w:szCs w:val="24"/>
              </w:rPr>
              <w:t>）中小企业声明函（若有，格式见附件）；</w:t>
            </w:r>
          </w:p>
          <w:p>
            <w:pPr>
              <w:spacing w:before="120" w:beforeLines="50" w:after="120" w:afterLines="50" w:line="276" w:lineRule="auto"/>
              <w:jc w:val="left"/>
              <w:rPr>
                <w:szCs w:val="24"/>
              </w:rPr>
            </w:pPr>
            <w:r>
              <w:rPr>
                <w:rFonts w:hint="eastAsia"/>
                <w:szCs w:val="24"/>
              </w:rPr>
              <w:t>如未按照要求提供，将不得享受评标标准中注明的针对小微企业的价格扣除优惠；</w:t>
            </w:r>
          </w:p>
          <w:p>
            <w:pPr>
              <w:spacing w:before="120" w:beforeLines="50" w:after="120" w:afterLines="50" w:line="276" w:lineRule="auto"/>
              <w:jc w:val="left"/>
              <w:rPr>
                <w:szCs w:val="24"/>
              </w:rPr>
            </w:pPr>
            <w:r>
              <w:rPr>
                <w:rFonts w:hint="eastAsia"/>
                <w:szCs w:val="24"/>
              </w:rPr>
              <w:t>（</w:t>
            </w:r>
            <w:r>
              <w:rPr>
                <w:szCs w:val="24"/>
              </w:rPr>
              <w:t>4</w:t>
            </w:r>
            <w:r>
              <w:rPr>
                <w:rFonts w:hint="eastAsia"/>
                <w:szCs w:val="24"/>
              </w:rPr>
              <w:t>）残疾人福利性单位声明函（若有，格式见附件）。</w:t>
            </w:r>
          </w:p>
          <w:p>
            <w:pPr>
              <w:spacing w:before="120" w:beforeLines="50" w:after="120" w:afterLines="50" w:line="276" w:lineRule="auto"/>
              <w:jc w:val="left"/>
            </w:pPr>
            <w:r>
              <w:rPr>
                <w:rFonts w:hint="eastAsia"/>
                <w:szCs w:val="24"/>
              </w:rPr>
              <w:t>（</w:t>
            </w:r>
            <w:r>
              <w:rPr>
                <w:szCs w:val="24"/>
              </w:rPr>
              <w:t>5</w:t>
            </w:r>
            <w:r>
              <w:rPr>
                <w:rFonts w:hint="eastAsia"/>
                <w:szCs w:val="24"/>
              </w:rPr>
              <w:t>）投标人针对报价需要说明的其他文件和说明。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8</w:t>
            </w:r>
          </w:p>
        </w:tc>
        <w:tc>
          <w:tcPr>
            <w:tcW w:w="788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76" w:lineRule="auto"/>
              <w:jc w:val="left"/>
              <w:rPr>
                <w:szCs w:val="24"/>
              </w:rPr>
            </w:pPr>
            <w:r>
              <w:rPr>
                <w:rFonts w:hint="eastAsia"/>
                <w:szCs w:val="24"/>
              </w:rPr>
              <w:t>本项目实行网上投标，供应商应准备以下投标文件：</w:t>
            </w:r>
          </w:p>
          <w:p>
            <w:pPr>
              <w:spacing w:before="120" w:beforeLines="50" w:after="120" w:afterLines="50" w:line="276" w:lineRule="auto"/>
              <w:jc w:val="left"/>
              <w:rPr>
                <w:szCs w:val="24"/>
              </w:rPr>
            </w:pPr>
            <w:r>
              <w:rPr>
                <w:rFonts w:hint="eastAsia"/>
                <w:szCs w:val="24"/>
              </w:rPr>
              <w:t>（1）上传到政府采购云平台的电子投标文件（含资格审查文件、商务技术文件、报价文件）1份。</w:t>
            </w:r>
          </w:p>
          <w:p>
            <w:pPr>
              <w:spacing w:before="120" w:beforeLines="50" w:after="120" w:afterLines="50" w:line="276" w:lineRule="auto"/>
              <w:jc w:val="left"/>
              <w:rPr>
                <w:szCs w:val="24"/>
              </w:rPr>
            </w:pPr>
            <w:r>
              <w:rPr>
                <w:rFonts w:hint="eastAsia"/>
                <w:szCs w:val="24"/>
              </w:rPr>
              <w:t xml:space="preserve">（2）以U盘形式提供的由政采云系统导出的电子备份投标文件1份（自愿提供，用于异常处理，文件后缀为：bfbs） </w:t>
            </w:r>
          </w:p>
          <w:p>
            <w:pPr>
              <w:spacing w:before="120" w:beforeLines="50" w:after="120" w:afterLines="50" w:line="276" w:lineRule="auto"/>
              <w:jc w:val="left"/>
              <w:rPr>
                <w:rFonts w:ascii="宋体" w:hAnsi="宋体"/>
                <w:szCs w:val="21"/>
              </w:rPr>
            </w:pPr>
            <w:r>
              <w:rPr>
                <w:rFonts w:hint="eastAsia"/>
                <w:szCs w:val="24"/>
              </w:rPr>
              <w:t>（3）中标人中标后3个</w:t>
            </w:r>
            <w:r>
              <w:rPr>
                <w:szCs w:val="24"/>
              </w:rPr>
              <w:t>工作日内</w:t>
            </w:r>
            <w:r>
              <w:rPr>
                <w:rFonts w:hint="eastAsia"/>
                <w:szCs w:val="24"/>
              </w:rPr>
              <w:t>须另行提供纸质投标文件：资格、商务技术文件和报价文件</w:t>
            </w:r>
            <w:r>
              <w:rPr>
                <w:szCs w:val="24"/>
              </w:rPr>
              <w:t>2</w:t>
            </w:r>
            <w:r>
              <w:rPr>
                <w:rFonts w:hint="eastAsia"/>
                <w:szCs w:val="24"/>
              </w:rPr>
              <w:t>套（纸质投标文件需与</w:t>
            </w:r>
            <w:r>
              <w:rPr>
                <w:szCs w:val="24"/>
              </w:rPr>
              <w:t>电子</w:t>
            </w:r>
            <w:r>
              <w:rPr>
                <w:rFonts w:hint="eastAsia"/>
                <w:szCs w:val="24"/>
              </w:rPr>
              <w:t>投标</w:t>
            </w:r>
            <w:r>
              <w:rPr>
                <w:szCs w:val="24"/>
              </w:rPr>
              <w:t>文件一致</w:t>
            </w:r>
            <w:r>
              <w:rPr>
                <w:rFonts w:hint="eastAsia"/>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9</w:t>
            </w:r>
          </w:p>
        </w:tc>
        <w:tc>
          <w:tcPr>
            <w:tcW w:w="788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76" w:lineRule="auto"/>
              <w:jc w:val="left"/>
              <w:rPr>
                <w:szCs w:val="24"/>
              </w:rPr>
            </w:pPr>
            <w:r>
              <w:rPr>
                <w:rFonts w:hint="eastAsia"/>
                <w:szCs w:val="24"/>
              </w:rPr>
              <w:t>投标截止时间及地点：详见招标公告。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10</w:t>
            </w:r>
          </w:p>
        </w:tc>
        <w:tc>
          <w:tcPr>
            <w:tcW w:w="788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76" w:lineRule="auto"/>
              <w:jc w:val="left"/>
              <w:rPr>
                <w:szCs w:val="24"/>
              </w:rPr>
            </w:pPr>
            <w:r>
              <w:rPr>
                <w:rFonts w:hint="eastAsia"/>
                <w:szCs w:val="24"/>
              </w:rPr>
              <w:t>开标时间及地点：详见招标公告。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11</w:t>
            </w:r>
          </w:p>
        </w:tc>
        <w:tc>
          <w:tcPr>
            <w:tcW w:w="788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76" w:lineRule="auto"/>
              <w:jc w:val="left"/>
              <w:rPr>
                <w:szCs w:val="24"/>
              </w:rPr>
            </w:pPr>
            <w:r>
              <w:rPr>
                <w:rFonts w:hint="eastAsia"/>
                <w:szCs w:val="24"/>
              </w:rPr>
              <w:t>中标人数量：通过本次招标确定</w:t>
            </w:r>
            <w:r>
              <w:rPr>
                <w:szCs w:val="24"/>
              </w:rPr>
              <w:t>30</w:t>
            </w:r>
            <w:r>
              <w:rPr>
                <w:rFonts w:hint="eastAsia"/>
                <w:szCs w:val="24"/>
              </w:rPr>
              <w:t>家中标单位。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12</w:t>
            </w:r>
          </w:p>
        </w:tc>
        <w:tc>
          <w:tcPr>
            <w:tcW w:w="788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76" w:lineRule="auto"/>
              <w:jc w:val="left"/>
              <w:rPr>
                <w:szCs w:val="24"/>
              </w:rPr>
            </w:pPr>
            <w:r>
              <w:rPr>
                <w:rFonts w:hint="eastAsia"/>
                <w:szCs w:val="24"/>
              </w:rPr>
              <w:t>中标人确定：采购人根据评标委员会推荐排名顺序确定中标人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13</w:t>
            </w:r>
          </w:p>
        </w:tc>
        <w:tc>
          <w:tcPr>
            <w:tcW w:w="788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76" w:lineRule="auto"/>
              <w:jc w:val="left"/>
              <w:rPr>
                <w:rFonts w:ascii="宋体" w:hAnsi="宋体"/>
                <w:szCs w:val="21"/>
              </w:rPr>
            </w:pPr>
            <w:r>
              <w:rPr>
                <w:rFonts w:hint="eastAsia"/>
                <w:szCs w:val="24"/>
              </w:rPr>
              <w:t>评标结果公示：评标结束后，经采购人确认，中标结果公示于浙江政府采购网、宁波市政府采购网、宁波公共资源交易网鄞州区分网。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14</w:t>
            </w:r>
          </w:p>
        </w:tc>
        <w:tc>
          <w:tcPr>
            <w:tcW w:w="788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76" w:lineRule="auto"/>
              <w:jc w:val="left"/>
              <w:rPr>
                <w:rFonts w:ascii="宋体" w:hAnsi="宋体"/>
                <w:szCs w:val="21"/>
              </w:rPr>
            </w:pPr>
            <w:r>
              <w:rPr>
                <w:rFonts w:hint="eastAsia"/>
                <w:szCs w:val="24"/>
              </w:rPr>
              <w:t>签订合同时间：中标通知书发出之日起30日内。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15</w:t>
            </w:r>
          </w:p>
        </w:tc>
        <w:tc>
          <w:tcPr>
            <w:tcW w:w="788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76" w:lineRule="auto"/>
              <w:jc w:val="left"/>
              <w:rPr>
                <w:szCs w:val="24"/>
              </w:rPr>
            </w:pPr>
            <w:r>
              <w:rPr>
                <w:rFonts w:hint="eastAsia"/>
                <w:szCs w:val="24"/>
              </w:rPr>
              <w:t>中标人放弃中标后的处理：</w:t>
            </w:r>
          </w:p>
          <w:p>
            <w:pPr>
              <w:spacing w:before="120" w:beforeLines="50" w:after="120" w:afterLines="50" w:line="276" w:lineRule="auto"/>
              <w:ind w:firstLine="386" w:firstLineChars="184"/>
              <w:jc w:val="left"/>
              <w:rPr>
                <w:rFonts w:ascii="宋体" w:hAnsi="宋体"/>
                <w:szCs w:val="21"/>
                <w:u w:val="single"/>
              </w:rPr>
            </w:pPr>
            <w:r>
              <w:rPr>
                <w:rFonts w:hint="eastAsia"/>
                <w:szCs w:val="24"/>
              </w:rPr>
              <w:t>若推荐中标人放弃中标、或因不可抗力提出不能履行合同、或因推荐中标人自身原因未能在中标通知书规定的期限内与采购人签订合同，采购人将可以按投标排名顺序的投标人递补为推荐中标人。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16</w:t>
            </w:r>
          </w:p>
        </w:tc>
        <w:tc>
          <w:tcPr>
            <w:tcW w:w="788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76" w:lineRule="auto"/>
              <w:jc w:val="left"/>
              <w:rPr>
                <w:rFonts w:ascii="宋体" w:hAnsi="宋体"/>
                <w:szCs w:val="21"/>
              </w:rPr>
            </w:pPr>
            <w:r>
              <w:rPr>
                <w:rFonts w:hint="eastAsia"/>
                <w:szCs w:val="24"/>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17</w:t>
            </w:r>
          </w:p>
        </w:tc>
        <w:tc>
          <w:tcPr>
            <w:tcW w:w="7885" w:type="dxa"/>
            <w:tcBorders>
              <w:top w:val="single" w:color="auto" w:sz="4" w:space="0"/>
              <w:left w:val="single" w:color="auto" w:sz="4" w:space="0"/>
              <w:bottom w:val="single" w:color="auto" w:sz="4" w:space="0"/>
              <w:right w:val="single" w:color="auto" w:sz="4" w:space="0"/>
            </w:tcBorders>
            <w:vAlign w:val="center"/>
          </w:tcPr>
          <w:p>
            <w:pPr>
              <w:pStyle w:val="35"/>
              <w:numPr>
                <w:ilvl w:val="0"/>
                <w:numId w:val="4"/>
              </w:numPr>
              <w:tabs>
                <w:tab w:val="left" w:pos="360"/>
              </w:tabs>
              <w:spacing w:before="120" w:beforeLines="50" w:after="120" w:afterLines="50" w:line="240" w:lineRule="atLeast"/>
              <w:ind w:firstLineChars="0"/>
              <w:rPr>
                <w:rFonts w:ascii="Calibri" w:hAnsi="Calibri"/>
                <w:color w:val="000000"/>
                <w:szCs w:val="21"/>
              </w:rPr>
            </w:pPr>
            <w:r>
              <w:rPr>
                <w:rFonts w:ascii="Calibri" w:hAnsi="Calibri"/>
                <w:color w:val="000000"/>
                <w:szCs w:val="21"/>
              </w:rPr>
              <w:t>招标代理服务费的收取标准：</w:t>
            </w:r>
          </w:p>
          <w:p>
            <w:pPr>
              <w:numPr>
                <w:ilvl w:val="0"/>
                <w:numId w:val="5"/>
              </w:numPr>
              <w:tabs>
                <w:tab w:val="left" w:pos="625"/>
              </w:tabs>
              <w:spacing w:before="120" w:beforeLines="50" w:after="120" w:afterLines="50" w:line="240" w:lineRule="atLeast"/>
              <w:ind w:left="625" w:hanging="308"/>
              <w:rPr>
                <w:szCs w:val="21"/>
              </w:rPr>
            </w:pPr>
            <w:r>
              <w:rPr>
                <w:rFonts w:hint="eastAsia"/>
                <w:color w:val="000000"/>
                <w:szCs w:val="21"/>
              </w:rPr>
              <w:t>招标代理机构将按照中介超市中选通知规定的金额向招标人收取代理服务费4</w:t>
            </w:r>
            <w:r>
              <w:rPr>
                <w:color w:val="000000"/>
                <w:szCs w:val="21"/>
              </w:rPr>
              <w:t>8000.00</w:t>
            </w:r>
            <w:r>
              <w:rPr>
                <w:rFonts w:hint="eastAsia"/>
                <w:color w:val="000000"/>
                <w:szCs w:val="21"/>
              </w:rPr>
              <w:t>元</w:t>
            </w:r>
          </w:p>
          <w:p>
            <w:pPr>
              <w:numPr>
                <w:ilvl w:val="0"/>
                <w:numId w:val="5"/>
              </w:numPr>
              <w:tabs>
                <w:tab w:val="left" w:pos="625"/>
              </w:tabs>
              <w:spacing w:before="120" w:beforeLines="50" w:after="120" w:afterLines="50" w:line="240" w:lineRule="atLeast"/>
              <w:ind w:left="625" w:hanging="308"/>
              <w:rPr>
                <w:color w:val="000000"/>
                <w:szCs w:val="21"/>
              </w:rPr>
            </w:pPr>
            <w:r>
              <w:rPr>
                <w:rFonts w:hint="eastAsia"/>
                <w:color w:val="000000"/>
                <w:szCs w:val="21"/>
              </w:rPr>
              <w:t>服务费</w:t>
            </w:r>
            <w:r>
              <w:rPr>
                <w:color w:val="000000"/>
                <w:szCs w:val="21"/>
              </w:rPr>
              <w:t>汇入账户：</w:t>
            </w:r>
          </w:p>
          <w:p>
            <w:pPr>
              <w:spacing w:before="120" w:beforeLines="50" w:after="120" w:afterLines="50" w:line="240" w:lineRule="atLeast"/>
              <w:ind w:left="601" w:firstLine="27" w:firstLineChars="13"/>
              <w:rPr>
                <w:color w:val="000000"/>
                <w:szCs w:val="21"/>
              </w:rPr>
            </w:pPr>
            <w:r>
              <w:rPr>
                <w:color w:val="000000"/>
                <w:szCs w:val="21"/>
              </w:rPr>
              <w:t>开户银行：</w:t>
            </w:r>
            <w:r>
              <w:rPr>
                <w:rFonts w:hint="eastAsia"/>
                <w:color w:val="000000"/>
                <w:szCs w:val="21"/>
              </w:rPr>
              <w:t>宁波银行股份有限公司庄市支行</w:t>
            </w:r>
          </w:p>
          <w:p>
            <w:pPr>
              <w:spacing w:before="120" w:beforeLines="50" w:after="120" w:afterLines="50" w:line="240" w:lineRule="atLeast"/>
              <w:ind w:left="601" w:firstLine="27" w:firstLineChars="13"/>
              <w:rPr>
                <w:color w:val="000000"/>
                <w:szCs w:val="21"/>
              </w:rPr>
            </w:pPr>
            <w:r>
              <w:rPr>
                <w:color w:val="000000"/>
                <w:szCs w:val="21"/>
              </w:rPr>
              <w:t>户名：</w:t>
            </w:r>
            <w:r>
              <w:rPr>
                <w:rFonts w:hint="eastAsia"/>
                <w:color w:val="000000"/>
                <w:szCs w:val="21"/>
              </w:rPr>
              <w:t>浙江嘉源工程项目管理有限公司</w:t>
            </w:r>
          </w:p>
          <w:p>
            <w:pPr>
              <w:spacing w:before="120" w:beforeLines="50" w:after="120" w:afterLines="50" w:line="240" w:lineRule="atLeast"/>
              <w:ind w:left="601" w:firstLine="27" w:firstLineChars="13"/>
              <w:rPr>
                <w:rFonts w:ascii="宋体" w:hAnsi="宋体"/>
                <w:szCs w:val="21"/>
              </w:rPr>
            </w:pPr>
            <w:r>
              <w:rPr>
                <w:color w:val="000000"/>
                <w:szCs w:val="21"/>
              </w:rPr>
              <w:t>账号：52040122000456682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cs="宋体"/>
                <w:szCs w:val="21"/>
              </w:rPr>
              <w:t>18</w:t>
            </w:r>
          </w:p>
        </w:tc>
        <w:tc>
          <w:tcPr>
            <w:tcW w:w="788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76" w:lineRule="auto"/>
              <w:jc w:val="left"/>
              <w:rPr>
                <w:rFonts w:ascii="宋体" w:hAnsi="宋体"/>
                <w:szCs w:val="21"/>
              </w:rPr>
            </w:pPr>
            <w:r>
              <w:rPr>
                <w:rFonts w:hint="eastAsia"/>
                <w:szCs w:val="24"/>
              </w:rPr>
              <w:t>解释：本采购文件的解释权属于采购人。</w:t>
            </w:r>
          </w:p>
        </w:tc>
      </w:tr>
    </w:tbl>
    <w:p>
      <w:pPr>
        <w:pStyle w:val="23"/>
        <w:ind w:left="840" w:leftChars="400" w:firstLine="0" w:firstLineChars="0"/>
      </w:pPr>
    </w:p>
    <w:p>
      <w:pPr>
        <w:widowControl/>
        <w:jc w:val="left"/>
        <w:rPr>
          <w:rFonts w:ascii="宋体" w:hAnsi="宋体"/>
          <w:b/>
          <w:szCs w:val="21"/>
        </w:rPr>
      </w:pPr>
      <w:r>
        <w:rPr>
          <w:rFonts w:ascii="宋体" w:hAnsi="宋体"/>
          <w:b/>
          <w:szCs w:val="21"/>
        </w:rPr>
        <w:br w:type="page"/>
      </w:r>
    </w:p>
    <w:p>
      <w:pPr>
        <w:spacing w:line="400" w:lineRule="exact"/>
        <w:ind w:firstLine="422" w:firstLineChars="200"/>
        <w:rPr>
          <w:rFonts w:ascii="宋体" w:hAnsi="宋体"/>
          <w:b/>
          <w:szCs w:val="21"/>
        </w:rPr>
      </w:pPr>
    </w:p>
    <w:p>
      <w:pPr>
        <w:spacing w:line="480" w:lineRule="exact"/>
        <w:jc w:val="left"/>
        <w:outlineLvl w:val="1"/>
        <w:rPr>
          <w:rFonts w:ascii="宋体" w:hAnsi="宋体"/>
          <w:b/>
          <w:bCs/>
          <w:szCs w:val="21"/>
        </w:rPr>
      </w:pPr>
      <w:r>
        <w:rPr>
          <w:rFonts w:hint="eastAsia" w:ascii="宋体" w:hAnsi="宋体"/>
          <w:b/>
          <w:bCs/>
          <w:szCs w:val="21"/>
        </w:rPr>
        <w:t>一、适用范围</w:t>
      </w:r>
    </w:p>
    <w:p>
      <w:pPr>
        <w:spacing w:line="400" w:lineRule="exact"/>
        <w:ind w:firstLine="420" w:firstLineChars="200"/>
        <w:jc w:val="left"/>
        <w:rPr>
          <w:rFonts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pPr>
        <w:spacing w:line="480" w:lineRule="exact"/>
        <w:jc w:val="left"/>
        <w:outlineLvl w:val="1"/>
        <w:rPr>
          <w:rFonts w:ascii="宋体" w:hAnsi="宋体"/>
          <w:b/>
          <w:bCs/>
          <w:szCs w:val="21"/>
        </w:rPr>
      </w:pPr>
      <w:r>
        <w:rPr>
          <w:rFonts w:hint="eastAsia" w:ascii="宋体" w:hAnsi="宋体"/>
          <w:b/>
          <w:bCs/>
          <w:szCs w:val="21"/>
        </w:rPr>
        <w:t>二、定义</w:t>
      </w:r>
    </w:p>
    <w:p>
      <w:pPr>
        <w:spacing w:line="400" w:lineRule="exact"/>
        <w:ind w:firstLine="420" w:firstLineChars="200"/>
        <w:jc w:val="left"/>
        <w:rPr>
          <w:rFonts w:ascii="宋体" w:hAnsi="宋体"/>
          <w:szCs w:val="21"/>
        </w:rPr>
      </w:pPr>
      <w:r>
        <w:rPr>
          <w:rFonts w:hint="eastAsia" w:ascii="宋体" w:hAnsi="宋体"/>
          <w:szCs w:val="21"/>
        </w:rPr>
        <w:t>1、“采购人”系指</w:t>
      </w:r>
      <w:r>
        <w:rPr>
          <w:rFonts w:hint="eastAsia" w:ascii="宋体" w:hAnsi="宋体"/>
          <w:color w:val="000000"/>
          <w:szCs w:val="21"/>
        </w:rPr>
        <w:t>组织本次招标的采购单位。</w:t>
      </w:r>
    </w:p>
    <w:p>
      <w:pPr>
        <w:spacing w:line="400" w:lineRule="exact"/>
        <w:ind w:firstLine="420" w:firstLineChars="200"/>
        <w:jc w:val="left"/>
        <w:rPr>
          <w:rFonts w:ascii="宋体" w:hAnsi="宋体"/>
          <w:szCs w:val="21"/>
        </w:rPr>
      </w:pPr>
      <w:r>
        <w:rPr>
          <w:rFonts w:hint="eastAsia" w:ascii="宋体" w:hAnsi="宋体"/>
          <w:szCs w:val="21"/>
        </w:rPr>
        <w:t>2、“代理机构”系指向招标方提交投标文件的单位或个人。</w:t>
      </w:r>
    </w:p>
    <w:p>
      <w:pPr>
        <w:spacing w:line="400" w:lineRule="exact"/>
        <w:ind w:firstLine="420" w:firstLineChars="200"/>
        <w:jc w:val="left"/>
        <w:rPr>
          <w:rFonts w:ascii="宋体" w:hAnsi="宋体"/>
          <w:szCs w:val="21"/>
        </w:rPr>
      </w:pPr>
      <w:r>
        <w:rPr>
          <w:rFonts w:hint="eastAsia" w:ascii="宋体" w:hAnsi="宋体"/>
          <w:szCs w:val="21"/>
        </w:rPr>
        <w:t>3、“投标人/供应商”系指提交投标文件的单位或个人。</w:t>
      </w:r>
    </w:p>
    <w:p>
      <w:pPr>
        <w:spacing w:line="400" w:lineRule="exact"/>
        <w:ind w:firstLine="420" w:firstLineChars="200"/>
        <w:jc w:val="left"/>
        <w:rPr>
          <w:rFonts w:ascii="宋体" w:hAnsi="宋体"/>
          <w:szCs w:val="21"/>
        </w:rPr>
      </w:pPr>
      <w:r>
        <w:rPr>
          <w:rFonts w:hint="eastAsia" w:ascii="宋体" w:hAnsi="宋体"/>
          <w:szCs w:val="21"/>
        </w:rPr>
        <w:t>4、“货物”系指供方按招标文件规定，须向采购人提供的一切设备、系统、保险、税金、备品备件、工具、手册及其它有关技术资料和材料。</w:t>
      </w:r>
    </w:p>
    <w:p>
      <w:pPr>
        <w:spacing w:line="400" w:lineRule="exact"/>
        <w:ind w:firstLine="420" w:firstLineChars="200"/>
        <w:jc w:val="left"/>
        <w:rPr>
          <w:rFonts w:ascii="宋体" w:hAnsi="宋体" w:cs="Arial"/>
        </w:rPr>
      </w:pPr>
      <w:r>
        <w:rPr>
          <w:rFonts w:hint="eastAsia" w:ascii="宋体" w:hAnsi="宋体"/>
          <w:szCs w:val="21"/>
        </w:rPr>
        <w:t>5、“服务”系指招标文件规定供应商</w:t>
      </w:r>
      <w:r>
        <w:rPr>
          <w:rFonts w:hint="eastAsia" w:ascii="宋体" w:hAnsi="宋体" w:cs="Arial"/>
        </w:rPr>
        <w:t>须承担的</w:t>
      </w:r>
      <w:r>
        <w:rPr>
          <w:rFonts w:hint="eastAsia" w:ascii="宋体" w:hAnsi="宋体"/>
          <w:szCs w:val="21"/>
        </w:rPr>
        <w:t>技术服务、</w:t>
      </w:r>
      <w:r>
        <w:rPr>
          <w:rFonts w:hint="eastAsia" w:ascii="宋体" w:hAnsi="宋体" w:cs="Arial"/>
        </w:rPr>
        <w:t>安装、调试、校准、培训以及其他类似的义务。</w:t>
      </w:r>
    </w:p>
    <w:p>
      <w:pPr>
        <w:spacing w:line="400" w:lineRule="exact"/>
        <w:ind w:firstLine="420" w:firstLineChars="200"/>
        <w:jc w:val="left"/>
        <w:rPr>
          <w:rFonts w:ascii="宋体" w:hAnsi="宋体"/>
          <w:szCs w:val="21"/>
        </w:rPr>
      </w:pPr>
      <w:r>
        <w:rPr>
          <w:rFonts w:hint="eastAsia" w:ascii="宋体" w:hAnsi="宋体"/>
          <w:szCs w:val="21"/>
        </w:rPr>
        <w:t>6、“同级政府采购监管部门”系指宁波市鄞州区采购管理办公室。</w:t>
      </w:r>
    </w:p>
    <w:p>
      <w:pPr>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、“★”系指实质性响应条款。</w:t>
      </w:r>
    </w:p>
    <w:p>
      <w:pPr>
        <w:spacing w:line="480" w:lineRule="exact"/>
        <w:jc w:val="left"/>
        <w:outlineLvl w:val="1"/>
        <w:rPr>
          <w:rFonts w:ascii="宋体" w:hAnsi="宋体"/>
          <w:b/>
          <w:bCs/>
          <w:szCs w:val="21"/>
        </w:rPr>
      </w:pPr>
      <w:r>
        <w:rPr>
          <w:rFonts w:hint="eastAsia" w:ascii="宋体" w:hAnsi="宋体"/>
          <w:b/>
          <w:bCs/>
          <w:szCs w:val="21"/>
        </w:rPr>
        <w:t>★三、供应商的资格要求</w:t>
      </w:r>
    </w:p>
    <w:p>
      <w:pPr>
        <w:spacing w:line="400" w:lineRule="exact"/>
        <w:ind w:firstLine="420" w:firstLineChars="200"/>
        <w:jc w:val="left"/>
        <w:rPr>
          <w:rFonts w:ascii="宋体" w:hAnsi="宋体"/>
          <w:szCs w:val="21"/>
        </w:rPr>
      </w:pPr>
      <w:r>
        <w:rPr>
          <w:rFonts w:hint="eastAsia" w:ascii="宋体" w:hAnsi="宋体"/>
          <w:szCs w:val="21"/>
        </w:rPr>
        <w:t>详见公开招标采购公告。</w:t>
      </w:r>
    </w:p>
    <w:p>
      <w:pPr>
        <w:spacing w:line="480" w:lineRule="exact"/>
        <w:jc w:val="left"/>
        <w:outlineLvl w:val="1"/>
        <w:rPr>
          <w:rFonts w:ascii="宋体" w:hAnsi="宋体"/>
          <w:b/>
          <w:bCs/>
          <w:szCs w:val="21"/>
        </w:rPr>
      </w:pPr>
      <w:r>
        <w:rPr>
          <w:rFonts w:hint="eastAsia" w:ascii="宋体" w:hAnsi="宋体"/>
          <w:b/>
          <w:bCs/>
          <w:szCs w:val="21"/>
        </w:rPr>
        <w:t>四、投标费用</w:t>
      </w:r>
    </w:p>
    <w:p>
      <w:pPr>
        <w:spacing w:line="400" w:lineRule="exact"/>
        <w:ind w:firstLine="420" w:firstLineChars="200"/>
        <w:jc w:val="left"/>
        <w:rPr>
          <w:rFonts w:ascii="宋体" w:hAnsi="宋体"/>
          <w:szCs w:val="21"/>
        </w:rPr>
      </w:pPr>
      <w:r>
        <w:rPr>
          <w:rFonts w:hint="eastAsia" w:ascii="宋体" w:hAnsi="宋体"/>
          <w:szCs w:val="21"/>
        </w:rPr>
        <w:t>无论投标过程和结果如何，投标人自行承担与投标有关的全部费用。</w:t>
      </w:r>
    </w:p>
    <w:p>
      <w:pPr>
        <w:spacing w:line="480" w:lineRule="exact"/>
        <w:jc w:val="left"/>
        <w:outlineLvl w:val="1"/>
        <w:rPr>
          <w:rFonts w:ascii="宋体" w:hAnsi="宋体"/>
          <w:b/>
          <w:bCs/>
          <w:szCs w:val="21"/>
        </w:rPr>
      </w:pPr>
      <w:r>
        <w:rPr>
          <w:rFonts w:hint="eastAsia" w:ascii="宋体" w:hAnsi="宋体"/>
          <w:b/>
          <w:bCs/>
          <w:szCs w:val="21"/>
        </w:rPr>
        <w:t>五、投标报价</w:t>
      </w:r>
    </w:p>
    <w:p>
      <w:pPr>
        <w:spacing w:line="400" w:lineRule="exact"/>
        <w:ind w:firstLine="420" w:firstLineChars="200"/>
        <w:jc w:val="left"/>
        <w:rPr>
          <w:rFonts w:ascii="宋体" w:hAnsi="宋体"/>
          <w:szCs w:val="21"/>
        </w:rPr>
      </w:pPr>
      <w:r>
        <w:rPr>
          <w:rFonts w:hint="eastAsia" w:ascii="宋体" w:hAnsi="宋体"/>
          <w:szCs w:val="21"/>
        </w:rPr>
        <w:t>1、投标报价应按采购文件中相关附表格式填写。</w:t>
      </w:r>
    </w:p>
    <w:p>
      <w:pPr>
        <w:spacing w:line="400" w:lineRule="exact"/>
        <w:ind w:firstLine="420" w:firstLineChars="200"/>
        <w:jc w:val="left"/>
        <w:rPr>
          <w:rFonts w:ascii="宋体" w:hAnsi="宋体"/>
          <w:szCs w:val="21"/>
        </w:rPr>
      </w:pPr>
      <w:r>
        <w:rPr>
          <w:rFonts w:hint="eastAsia" w:ascii="宋体" w:hAnsi="宋体"/>
          <w:szCs w:val="21"/>
        </w:rPr>
        <w:t>★2、投标报价是履行合同的最终价格，具体详见第三章 投标人须知。</w:t>
      </w:r>
    </w:p>
    <w:p>
      <w:pPr>
        <w:spacing w:line="400" w:lineRule="exact"/>
        <w:ind w:firstLine="420" w:firstLineChars="200"/>
        <w:jc w:val="left"/>
        <w:rPr>
          <w:rFonts w:ascii="宋体" w:hAnsi="宋体"/>
          <w:szCs w:val="21"/>
        </w:rPr>
      </w:pPr>
      <w:r>
        <w:rPr>
          <w:rFonts w:hint="eastAsia" w:ascii="宋体" w:hAnsi="宋体"/>
          <w:szCs w:val="21"/>
        </w:rPr>
        <w:t>★3、投标文件只允许有一个报价，有选择的或有条件的报价将不予接受。</w:t>
      </w:r>
    </w:p>
    <w:p>
      <w:pPr>
        <w:spacing w:line="480" w:lineRule="exact"/>
        <w:jc w:val="left"/>
        <w:outlineLvl w:val="1"/>
        <w:rPr>
          <w:rFonts w:ascii="宋体" w:hAnsi="宋体"/>
          <w:b/>
          <w:bCs/>
          <w:szCs w:val="21"/>
        </w:rPr>
      </w:pPr>
      <w:r>
        <w:rPr>
          <w:rFonts w:hint="eastAsia" w:ascii="宋体" w:hAnsi="宋体"/>
          <w:b/>
          <w:bCs/>
          <w:szCs w:val="21"/>
        </w:rPr>
        <w:t>六、投标有效期</w:t>
      </w:r>
    </w:p>
    <w:p>
      <w:pPr>
        <w:spacing w:line="400" w:lineRule="exact"/>
        <w:ind w:firstLine="210" w:firstLineChars="100"/>
        <w:jc w:val="left"/>
        <w:rPr>
          <w:rFonts w:ascii="宋体" w:hAnsi="宋体"/>
          <w:b/>
          <w:szCs w:val="21"/>
        </w:rPr>
      </w:pPr>
      <w:r>
        <w:rPr>
          <w:rFonts w:hint="eastAsia" w:ascii="宋体" w:hAnsi="宋体"/>
          <w:szCs w:val="21"/>
        </w:rPr>
        <w:t>★1、投标文件从开标之日起，投标有效期为90天。有效期自开标日起计算，不能小于招标文件的要求。</w:t>
      </w:r>
    </w:p>
    <w:p>
      <w:pPr>
        <w:spacing w:line="400" w:lineRule="exact"/>
        <w:ind w:firstLine="420" w:firstLineChars="200"/>
        <w:jc w:val="left"/>
        <w:rPr>
          <w:rFonts w:ascii="宋体" w:hAnsi="宋体"/>
          <w:b/>
          <w:szCs w:val="21"/>
        </w:rPr>
      </w:pPr>
      <w:r>
        <w:rPr>
          <w:rFonts w:hint="eastAsia" w:ascii="宋体" w:hAnsi="宋体"/>
          <w:szCs w:val="21"/>
        </w:rPr>
        <w:t>2、特殊情况下，采购人可与供应商协商延缓投标文件的有效期，这种要求和答复均以书面形式进行。</w:t>
      </w:r>
    </w:p>
    <w:p>
      <w:pPr>
        <w:spacing w:line="400" w:lineRule="exact"/>
        <w:ind w:firstLine="420" w:firstLineChars="200"/>
        <w:jc w:val="left"/>
        <w:rPr>
          <w:rFonts w:ascii="宋体" w:hAnsi="宋体"/>
          <w:szCs w:val="21"/>
        </w:rPr>
      </w:pPr>
      <w:r>
        <w:rPr>
          <w:rFonts w:hint="eastAsia" w:ascii="宋体" w:hAnsi="宋体"/>
          <w:szCs w:val="21"/>
        </w:rPr>
        <w:t>3、供应商可拒绝接受延期要求。同意延长有效期的供应商不能修改投标文件。</w:t>
      </w:r>
    </w:p>
    <w:p>
      <w:pPr>
        <w:spacing w:line="480" w:lineRule="exact"/>
        <w:jc w:val="left"/>
        <w:outlineLvl w:val="1"/>
        <w:rPr>
          <w:rFonts w:ascii="宋体" w:hAnsi="宋体"/>
          <w:b/>
          <w:bCs/>
          <w:szCs w:val="21"/>
        </w:rPr>
      </w:pPr>
      <w:bookmarkStart w:id="30" w:name="_Hlk45545382"/>
      <w:r>
        <w:rPr>
          <w:rFonts w:hint="eastAsia" w:ascii="宋体" w:hAnsi="宋体"/>
          <w:b/>
          <w:bCs/>
          <w:szCs w:val="21"/>
        </w:rPr>
        <w:t>七、投标文件的形式、效力及组成</w:t>
      </w:r>
    </w:p>
    <w:p>
      <w:pPr>
        <w:spacing w:line="400" w:lineRule="exact"/>
        <w:ind w:firstLine="422" w:firstLineChars="200"/>
        <w:jc w:val="left"/>
        <w:rPr>
          <w:rFonts w:ascii="宋体" w:hAnsi="宋体"/>
          <w:b/>
          <w:bCs/>
          <w:szCs w:val="21"/>
        </w:rPr>
      </w:pPr>
      <w:r>
        <w:rPr>
          <w:rFonts w:hint="eastAsia" w:ascii="宋体" w:hAnsi="宋体"/>
          <w:b/>
          <w:szCs w:val="21"/>
        </w:rPr>
        <w:t>（一）</w:t>
      </w:r>
      <w:r>
        <w:rPr>
          <w:rFonts w:hint="eastAsia" w:ascii="宋体" w:hAnsi="宋体"/>
          <w:b/>
          <w:bCs/>
          <w:szCs w:val="21"/>
        </w:rPr>
        <w:t>投标文件形式和效力</w:t>
      </w:r>
    </w:p>
    <w:p>
      <w:pPr>
        <w:spacing w:line="400" w:lineRule="exact"/>
        <w:ind w:firstLine="420" w:firstLineChars="200"/>
        <w:jc w:val="left"/>
        <w:rPr>
          <w:rFonts w:ascii="宋体" w:hAnsi="宋体"/>
          <w:szCs w:val="21"/>
        </w:rPr>
      </w:pPr>
      <w:r>
        <w:rPr>
          <w:rFonts w:hint="eastAsia" w:ascii="宋体" w:hAnsi="宋体"/>
          <w:szCs w:val="21"/>
        </w:rPr>
        <w:t>1、投标文件分为上传至政府采购云平台的电子投标文件以及可提供以U盘存储的数据电文形式的备份投标文件。</w:t>
      </w:r>
    </w:p>
    <w:p>
      <w:pPr>
        <w:spacing w:line="400" w:lineRule="exact"/>
        <w:ind w:firstLine="420" w:firstLineChars="200"/>
        <w:jc w:val="left"/>
        <w:rPr>
          <w:rFonts w:ascii="宋体" w:hAnsi="宋体"/>
          <w:szCs w:val="21"/>
        </w:rPr>
      </w:pPr>
      <w:r>
        <w:rPr>
          <w:rFonts w:hint="eastAsia" w:ascii="宋体" w:hAnsi="宋体"/>
          <w:szCs w:val="21"/>
        </w:rPr>
        <w:t>2、电子投标文件，按“项目采购-电子招投标操作指南”及本招标文件要求制作，并加密。</w:t>
      </w:r>
    </w:p>
    <w:p>
      <w:pPr>
        <w:spacing w:line="400" w:lineRule="exact"/>
        <w:ind w:firstLine="420" w:firstLineChars="200"/>
        <w:jc w:val="left"/>
        <w:rPr>
          <w:rFonts w:ascii="宋体" w:hAnsi="宋体"/>
          <w:szCs w:val="21"/>
        </w:rPr>
      </w:pPr>
      <w:r>
        <w:rPr>
          <w:rFonts w:hint="eastAsia" w:ascii="宋体" w:hAnsi="宋体"/>
          <w:szCs w:val="21"/>
        </w:rPr>
        <w:t>3、以U盘形式提供的由政采云系统导出的电子备份投标文件，须按“政采云投标人项目采购-电子招投标操作指南”制作的备份文件（电子备份投标文件后缀格式为“.bfbs”）</w:t>
      </w:r>
    </w:p>
    <w:p>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pPr>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、投标文件的效力</w:t>
      </w:r>
    </w:p>
    <w:p>
      <w:pPr>
        <w:spacing w:line="400" w:lineRule="exact"/>
        <w:ind w:firstLine="420" w:firstLineChars="200"/>
        <w:jc w:val="left"/>
        <w:rPr>
          <w:rFonts w:ascii="宋体" w:hAnsi="宋体"/>
          <w:szCs w:val="21"/>
        </w:rPr>
      </w:pPr>
      <w:r>
        <w:rPr>
          <w:rFonts w:hint="eastAsia" w:ascii="宋体" w:hAnsi="宋体"/>
          <w:szCs w:val="21"/>
        </w:rPr>
        <w:t>投标文件的启用，按先后顺位分别为电子投标文件、以U盘存储的电子备份投标文件。在下一顺位的投标文件启用时，前一顺位的投标文件自动失效。</w:t>
      </w:r>
    </w:p>
    <w:p>
      <w:pPr>
        <w:spacing w:line="400" w:lineRule="exact"/>
        <w:ind w:firstLine="420" w:firstLineChars="200"/>
        <w:jc w:val="left"/>
        <w:rPr>
          <w:rFonts w:ascii="宋体" w:hAnsi="宋体"/>
          <w:szCs w:val="21"/>
        </w:rPr>
      </w:pPr>
      <w:r>
        <w:rPr>
          <w:rFonts w:hint="eastAsia" w:ascii="宋体" w:hAnsi="宋体"/>
          <w:szCs w:val="21"/>
        </w:rPr>
        <w:t>电子投标文件未能按时解密，投标人提供了电子备份投标文件以电子备份投标文件作为评标依据。电子投标文件已按时解密的，电子备份投标文件自动失效。</w:t>
      </w:r>
    </w:p>
    <w:p>
      <w:pPr>
        <w:spacing w:line="400" w:lineRule="exact"/>
        <w:ind w:firstLine="422" w:firstLineChars="200"/>
        <w:jc w:val="left"/>
        <w:rPr>
          <w:rFonts w:ascii="宋体" w:hAnsi="宋体"/>
          <w:b/>
          <w:szCs w:val="21"/>
        </w:rPr>
      </w:pPr>
      <w:r>
        <w:rPr>
          <w:rFonts w:hint="eastAsia" w:ascii="宋体" w:hAnsi="宋体"/>
          <w:b/>
          <w:szCs w:val="21"/>
        </w:rPr>
        <w:t>（二）投标文件的组成：资格审查文件、商务技术文件、报价文件（招标文件中未提供的格式自拟）</w:t>
      </w:r>
    </w:p>
    <w:bookmarkEnd w:id="30"/>
    <w:p>
      <w:pPr>
        <w:spacing w:line="400" w:lineRule="exact"/>
        <w:ind w:firstLine="422" w:firstLineChars="200"/>
        <w:jc w:val="left"/>
        <w:rPr>
          <w:rFonts w:ascii="宋体" w:hAnsi="宋体"/>
          <w:b/>
          <w:bCs/>
          <w:szCs w:val="21"/>
        </w:rPr>
      </w:pPr>
      <w:r>
        <w:rPr>
          <w:rFonts w:hint="eastAsia" w:ascii="宋体" w:hAnsi="宋体"/>
          <w:b/>
          <w:bCs/>
          <w:szCs w:val="21"/>
        </w:rPr>
        <w:t>详见投标人须知前附表。</w:t>
      </w:r>
    </w:p>
    <w:p>
      <w:pPr>
        <w:spacing w:line="480" w:lineRule="exact"/>
        <w:jc w:val="left"/>
        <w:outlineLvl w:val="1"/>
        <w:rPr>
          <w:rFonts w:ascii="宋体" w:hAnsi="宋体"/>
          <w:b/>
          <w:bCs/>
          <w:szCs w:val="21"/>
        </w:rPr>
      </w:pPr>
      <w:r>
        <w:rPr>
          <w:rFonts w:hint="eastAsia" w:ascii="宋体" w:hAnsi="宋体"/>
          <w:b/>
          <w:bCs/>
          <w:szCs w:val="21"/>
        </w:rPr>
        <w:t>八、投标文件的投标文件的签署和份数、密封和标记</w:t>
      </w:r>
    </w:p>
    <w:p>
      <w:pPr>
        <w:spacing w:line="400" w:lineRule="exact"/>
        <w:ind w:firstLine="422" w:firstLineChars="200"/>
        <w:jc w:val="left"/>
        <w:rPr>
          <w:rFonts w:ascii="宋体" w:hAnsi="宋体"/>
          <w:b/>
          <w:szCs w:val="21"/>
        </w:rPr>
      </w:pPr>
      <w:r>
        <w:rPr>
          <w:rFonts w:hint="eastAsia" w:ascii="宋体" w:hAnsi="宋体"/>
          <w:b/>
          <w:szCs w:val="21"/>
        </w:rPr>
        <w:t>（一）投标文件的签署和份数</w:t>
      </w:r>
    </w:p>
    <w:p>
      <w:pPr>
        <w:tabs>
          <w:tab w:val="left" w:pos="900"/>
        </w:tabs>
        <w:spacing w:line="400" w:lineRule="exact"/>
        <w:ind w:firstLine="420" w:firstLineChars="200"/>
        <w:jc w:val="left"/>
        <w:rPr>
          <w:rFonts w:ascii="宋体" w:hAnsi="宋体"/>
          <w:szCs w:val="21"/>
        </w:rPr>
      </w:pPr>
      <w:r>
        <w:rPr>
          <w:rFonts w:hint="eastAsia" w:ascii="宋体" w:hAnsi="宋体"/>
          <w:szCs w:val="21"/>
        </w:rPr>
        <w:t>1、投标人应按本采购文件规定的格式和顺序编制、装订投标文件并标注页码，投标文件内容不完整、编排混乱导致投标文件被误读、漏读或者查找不到相关内容的，是投标人的责任。</w:t>
      </w:r>
    </w:p>
    <w:p>
      <w:pPr>
        <w:tabs>
          <w:tab w:val="left" w:pos="900"/>
        </w:tabs>
        <w:spacing w:line="400" w:lineRule="exact"/>
        <w:ind w:firstLine="420" w:firstLineChars="200"/>
        <w:jc w:val="left"/>
        <w:rPr>
          <w:rFonts w:ascii="宋体" w:hAnsi="宋体"/>
          <w:szCs w:val="21"/>
        </w:rPr>
      </w:pPr>
      <w:r>
        <w:rPr>
          <w:rFonts w:hint="eastAsia" w:ascii="宋体" w:hAnsi="宋体"/>
          <w:szCs w:val="21"/>
        </w:rPr>
        <w:t>2、投标人应①上传至政府采购云平台的电子投标文件（含资格审查文件、商务技术文件、报价文件）1 份。②可提供以U盘存储的数据电文形式的由政采云系统导出的备份投标文件1份。以 U 盘存储的电子备份投标文件，须按“政采云投标人项目采购-电子招投标操作指南” 制作的备份文件（电子备份投标文件后缀格式为“.bfbs”）</w:t>
      </w:r>
    </w:p>
    <w:p>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、投标文件的启用，按先后顺位分别为电子投标文件、以U盘存储的电子备份投标文件。在下一顺位的投标文件启用时，前一顺位的投标文件自动失效。</w:t>
      </w:r>
    </w:p>
    <w:p>
      <w:pPr>
        <w:spacing w:line="400" w:lineRule="exact"/>
        <w:ind w:firstLine="420" w:firstLineChars="200"/>
        <w:jc w:val="left"/>
        <w:rPr>
          <w:rFonts w:ascii="宋体" w:hAnsi="宋体"/>
          <w:szCs w:val="21"/>
        </w:rPr>
      </w:pPr>
      <w:r>
        <w:rPr>
          <w:rFonts w:hint="eastAsia" w:ascii="宋体" w:hAnsi="宋体"/>
          <w:szCs w:val="21"/>
        </w:rPr>
        <w:t>电子投标文件未能按时解密，投标人提供了电子备份投标文件以电子备份投标文件作为评标依据。电子投标文件已按时解密的，电子备份投标文件自动失效。</w:t>
      </w:r>
    </w:p>
    <w:p>
      <w:pPr>
        <w:tabs>
          <w:tab w:val="left" w:pos="900"/>
        </w:tabs>
        <w:spacing w:line="400" w:lineRule="exact"/>
        <w:ind w:firstLine="420" w:firstLineChars="200"/>
        <w:jc w:val="left"/>
        <w:rPr>
          <w:rFonts w:ascii="宋体" w:hAnsi="宋体"/>
          <w:szCs w:val="21"/>
        </w:rPr>
      </w:pPr>
      <w:r>
        <w:rPr>
          <w:rFonts w:hint="eastAsia" w:ascii="宋体" w:hAnsi="宋体"/>
          <w:szCs w:val="21"/>
        </w:rPr>
        <w:t>4、（如有）投标文件的正本需打印或用不褪色的墨水填写，投标文件正本除本《投标须知》中规定的可提供复印件外均须提供原件。副本为正本的复印件。</w:t>
      </w:r>
    </w:p>
    <w:p>
      <w:pPr>
        <w:tabs>
          <w:tab w:val="left" w:pos="900"/>
        </w:tabs>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投标文件须由投标人在规定位置盖章并由法定代表人或法定代表人的授权委托人签署，投标人应写全称。法定代表人授权委托书、投标声明书必须由法定代表人签名并加盖单位公章。电子投标文件中所须加盖公章部分均采用CA签章。</w:t>
      </w:r>
    </w:p>
    <w:p>
      <w:pPr>
        <w:tabs>
          <w:tab w:val="left" w:pos="900"/>
        </w:tabs>
        <w:spacing w:line="400" w:lineRule="exact"/>
        <w:ind w:firstLine="422" w:firstLineChars="200"/>
        <w:jc w:val="left"/>
        <w:rPr>
          <w:rFonts w:ascii="宋体" w:hAnsi="宋体"/>
          <w:b/>
          <w:bCs/>
          <w:szCs w:val="21"/>
        </w:rPr>
      </w:pPr>
      <w:r>
        <w:rPr>
          <w:rFonts w:hint="eastAsia" w:ascii="宋体" w:hAnsi="宋体"/>
          <w:b/>
          <w:bCs/>
          <w:szCs w:val="21"/>
        </w:rPr>
        <w:t>（二）投标文件的密封和标记</w:t>
      </w:r>
    </w:p>
    <w:p>
      <w:pPr>
        <w:tabs>
          <w:tab w:val="left" w:pos="900"/>
        </w:tabs>
        <w:spacing w:line="400" w:lineRule="exact"/>
        <w:ind w:firstLine="420" w:firstLineChars="200"/>
        <w:jc w:val="left"/>
        <w:rPr>
          <w:rFonts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pPr>
        <w:tabs>
          <w:tab w:val="left" w:pos="900"/>
        </w:tabs>
        <w:spacing w:line="400" w:lineRule="exact"/>
        <w:ind w:firstLine="420" w:firstLineChars="200"/>
        <w:jc w:val="left"/>
        <w:rPr>
          <w:rFonts w:ascii="宋体" w:hAnsi="宋体"/>
          <w:szCs w:val="21"/>
        </w:rPr>
      </w:pPr>
      <w:r>
        <w:rPr>
          <w:rFonts w:hint="eastAsia" w:ascii="宋体" w:hAnsi="宋体"/>
          <w:szCs w:val="21"/>
        </w:rPr>
        <w:t>2、以U盘存储的电子备份投标文件用封袋密封后递交。</w:t>
      </w:r>
    </w:p>
    <w:p>
      <w:pPr>
        <w:tabs>
          <w:tab w:val="left" w:pos="900"/>
        </w:tabs>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、电子备份投标文件须在封袋上分别注明：</w:t>
      </w:r>
    </w:p>
    <w:p>
      <w:pPr>
        <w:tabs>
          <w:tab w:val="left" w:pos="900"/>
        </w:tabs>
        <w:spacing w:line="400" w:lineRule="exact"/>
        <w:ind w:firstLine="420" w:firstLineChars="200"/>
        <w:jc w:val="left"/>
        <w:rPr>
          <w:rFonts w:ascii="宋体" w:hAnsi="宋体"/>
          <w:szCs w:val="21"/>
        </w:rPr>
      </w:pPr>
      <w:r>
        <w:rPr>
          <w:rFonts w:hint="eastAsia" w:ascii="宋体" w:hAnsi="宋体"/>
          <w:szCs w:val="21"/>
        </w:rPr>
        <w:t>（1）注明：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“电子备份投标文件”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tabs>
          <w:tab w:val="left" w:pos="900"/>
        </w:tabs>
        <w:spacing w:line="400" w:lineRule="exact"/>
        <w:ind w:firstLine="420" w:firstLineChars="200"/>
        <w:jc w:val="left"/>
        <w:rPr>
          <w:rFonts w:ascii="宋体" w:hAnsi="宋体"/>
          <w:szCs w:val="21"/>
        </w:rPr>
      </w:pPr>
      <w:r>
        <w:rPr>
          <w:rFonts w:hint="eastAsia" w:ascii="宋体" w:hAnsi="宋体"/>
          <w:szCs w:val="21"/>
        </w:rPr>
        <w:t>（2）采购编号：</w:t>
      </w:r>
      <w:r>
        <w:rPr>
          <w:rFonts w:ascii="宋体" w:hAnsi="宋体"/>
          <w:szCs w:val="21"/>
          <w:u w:val="single"/>
        </w:rPr>
        <w:t xml:space="preserve">                     </w:t>
      </w:r>
      <w:r>
        <w:rPr>
          <w:rFonts w:hint="eastAsia" w:ascii="宋体" w:hAnsi="宋体"/>
          <w:szCs w:val="21"/>
        </w:rPr>
        <w:t>；</w:t>
      </w:r>
    </w:p>
    <w:p>
      <w:pPr>
        <w:tabs>
          <w:tab w:val="left" w:pos="900"/>
        </w:tabs>
        <w:spacing w:line="400" w:lineRule="exact"/>
        <w:ind w:firstLine="420" w:firstLineChars="200"/>
        <w:jc w:val="left"/>
        <w:rPr>
          <w:rFonts w:ascii="宋体" w:hAnsi="宋体"/>
          <w:szCs w:val="21"/>
        </w:rPr>
      </w:pPr>
      <w:r>
        <w:rPr>
          <w:rFonts w:hint="eastAsia" w:ascii="宋体" w:hAnsi="宋体"/>
          <w:szCs w:val="21"/>
        </w:rPr>
        <w:t>（3）项目名称：</w:t>
      </w:r>
      <w:r>
        <w:rPr>
          <w:rFonts w:hint="eastAsia" w:ascii="宋体" w:hAnsi="宋体"/>
          <w:szCs w:val="21"/>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szCs w:val="21"/>
        </w:rPr>
        <w:t>；</w:t>
      </w:r>
    </w:p>
    <w:p>
      <w:pPr>
        <w:tabs>
          <w:tab w:val="left" w:pos="900"/>
        </w:tabs>
        <w:spacing w:line="400" w:lineRule="exact"/>
        <w:ind w:firstLine="420" w:firstLineChars="200"/>
        <w:jc w:val="left"/>
        <w:rPr>
          <w:rFonts w:ascii="宋体" w:hAnsi="宋体"/>
          <w:szCs w:val="21"/>
        </w:rPr>
      </w:pPr>
      <w:r>
        <w:rPr>
          <w:rFonts w:hint="eastAsia" w:ascii="宋体" w:hAnsi="宋体"/>
          <w:szCs w:val="21"/>
        </w:rPr>
        <w:t>（4）在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（规定的开标日期和时间）前不准启封；</w:t>
      </w:r>
    </w:p>
    <w:p>
      <w:pPr>
        <w:tabs>
          <w:tab w:val="left" w:pos="900"/>
        </w:tabs>
        <w:spacing w:line="400" w:lineRule="exact"/>
        <w:ind w:firstLine="420" w:firstLineChars="200"/>
        <w:jc w:val="left"/>
        <w:rPr>
          <w:rFonts w:ascii="宋体" w:hAnsi="宋体"/>
          <w:szCs w:val="21"/>
        </w:rPr>
      </w:pPr>
      <w:r>
        <w:rPr>
          <w:rFonts w:hint="eastAsia" w:ascii="宋体" w:hAnsi="宋体"/>
          <w:szCs w:val="21"/>
        </w:rPr>
        <w:t>（5）供应商的名称：</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供应商须在包封上加盖供应商公章或由其法定代表人（或授权代表）签字。</w:t>
      </w:r>
    </w:p>
    <w:p>
      <w:pPr>
        <w:spacing w:line="400" w:lineRule="exact"/>
        <w:ind w:firstLine="420" w:firstLineChars="200"/>
        <w:jc w:val="left"/>
        <w:rPr>
          <w:rFonts w:ascii="宋体" w:hAnsi="宋体"/>
          <w:szCs w:val="21"/>
        </w:rPr>
      </w:pPr>
      <w:r>
        <w:rPr>
          <w:rFonts w:hint="eastAsia" w:ascii="宋体" w:hAnsi="宋体"/>
          <w:szCs w:val="21"/>
        </w:rPr>
        <w:t>供应商未按上述要求标记的，采购人（代理机构）不承担错放或提前开封的责任。</w:t>
      </w:r>
    </w:p>
    <w:p>
      <w:pPr>
        <w:spacing w:line="480" w:lineRule="exact"/>
        <w:jc w:val="left"/>
        <w:outlineLvl w:val="1"/>
        <w:rPr>
          <w:rFonts w:ascii="宋体" w:hAnsi="宋体"/>
          <w:b/>
          <w:bCs/>
          <w:szCs w:val="21"/>
        </w:rPr>
      </w:pPr>
      <w:r>
        <w:rPr>
          <w:rFonts w:hint="eastAsia" w:ascii="宋体" w:hAnsi="宋体"/>
          <w:b/>
          <w:bCs/>
          <w:szCs w:val="21"/>
        </w:rPr>
        <w:t>九、投标文件的递交</w:t>
      </w:r>
    </w:p>
    <w:p>
      <w:pPr>
        <w:spacing w:line="400" w:lineRule="exact"/>
        <w:ind w:firstLine="420" w:firstLineChars="200"/>
        <w:jc w:val="left"/>
        <w:rPr>
          <w:rFonts w:ascii="宋体" w:hAnsi="宋体"/>
          <w:szCs w:val="21"/>
        </w:rPr>
      </w:pPr>
      <w:r>
        <w:rPr>
          <w:rFonts w:hint="eastAsia" w:ascii="宋体" w:hAnsi="宋体"/>
          <w:szCs w:val="21"/>
        </w:rPr>
        <w:t>1、投标文件递交的具体要求详见采购公告。</w:t>
      </w:r>
    </w:p>
    <w:p>
      <w:pPr>
        <w:spacing w:line="400" w:lineRule="exact"/>
        <w:ind w:firstLine="420" w:firstLineChars="200"/>
        <w:jc w:val="left"/>
        <w:rPr>
          <w:rFonts w:ascii="宋体" w:hAnsi="宋体"/>
          <w:szCs w:val="21"/>
        </w:rPr>
      </w:pPr>
      <w:r>
        <w:rPr>
          <w:rFonts w:hint="eastAsia" w:ascii="宋体" w:hAnsi="宋体"/>
          <w:szCs w:val="21"/>
        </w:rPr>
        <w:t>2、供应商未按上述要求密封的电子备份投标文件，代理机构不予受理。</w:t>
      </w:r>
    </w:p>
    <w:p>
      <w:pPr>
        <w:spacing w:line="400" w:lineRule="exact"/>
        <w:ind w:firstLine="420" w:firstLineChars="200"/>
        <w:jc w:val="left"/>
        <w:rPr>
          <w:rFonts w:ascii="宋体" w:hAnsi="宋体"/>
          <w:szCs w:val="21"/>
        </w:rPr>
      </w:pPr>
      <w:r>
        <w:rPr>
          <w:rFonts w:hint="eastAsia" w:ascii="宋体" w:hAnsi="宋体"/>
          <w:szCs w:val="21"/>
        </w:rPr>
        <w:t>3、逾期送达的或者未送达指定地点的，代理机构不予受理。</w:t>
      </w:r>
    </w:p>
    <w:p>
      <w:pPr>
        <w:spacing w:line="400" w:lineRule="exact"/>
        <w:ind w:firstLine="420" w:firstLineChars="200"/>
        <w:jc w:val="left"/>
        <w:rPr>
          <w:rFonts w:ascii="宋体" w:hAnsi="宋体"/>
          <w:szCs w:val="21"/>
        </w:rPr>
      </w:pPr>
      <w:r>
        <w:rPr>
          <w:rFonts w:hint="eastAsia" w:ascii="宋体" w:hAnsi="宋体"/>
          <w:szCs w:val="21"/>
        </w:rPr>
        <w:t>4、投标文件的补充、修改</w:t>
      </w:r>
    </w:p>
    <w:p>
      <w:pPr>
        <w:spacing w:line="400" w:lineRule="exact"/>
        <w:ind w:firstLine="420" w:firstLineChars="200"/>
        <w:jc w:val="left"/>
        <w:rPr>
          <w:rFonts w:ascii="宋体" w:hAnsi="宋体"/>
          <w:szCs w:val="21"/>
        </w:rPr>
      </w:pPr>
      <w:r>
        <w:rPr>
          <w:rFonts w:hint="eastAsia" w:ascii="宋体" w:hAnsi="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480" w:lineRule="exact"/>
        <w:jc w:val="left"/>
        <w:outlineLvl w:val="1"/>
        <w:rPr>
          <w:rFonts w:ascii="宋体" w:hAnsi="宋体"/>
          <w:b/>
          <w:bCs/>
          <w:szCs w:val="21"/>
        </w:rPr>
      </w:pPr>
      <w:r>
        <w:rPr>
          <w:rFonts w:hint="eastAsia" w:ascii="宋体" w:hAnsi="宋体"/>
          <w:b/>
          <w:bCs/>
          <w:szCs w:val="21"/>
        </w:rPr>
        <w:t>十、开标</w:t>
      </w:r>
    </w:p>
    <w:p>
      <w:pPr>
        <w:spacing w:line="400" w:lineRule="exact"/>
        <w:ind w:firstLine="420" w:firstLineChars="200"/>
        <w:jc w:val="left"/>
        <w:rPr>
          <w:rFonts w:ascii="宋体" w:hAnsi="宋体"/>
          <w:szCs w:val="21"/>
        </w:rPr>
      </w:pPr>
      <w:r>
        <w:rPr>
          <w:rFonts w:hint="eastAsia" w:ascii="宋体" w:hAnsi="宋体"/>
          <w:szCs w:val="21"/>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ascii="宋体" w:hAnsi="宋体"/>
          <w:szCs w:val="21"/>
        </w:rPr>
      </w:pPr>
      <w:r>
        <w:rPr>
          <w:rFonts w:hint="eastAsia" w:ascii="宋体" w:hAnsi="宋体"/>
          <w:szCs w:val="21"/>
        </w:rPr>
        <w:t>2、电子投标开标及评审程序：</w:t>
      </w:r>
    </w:p>
    <w:p>
      <w:pPr>
        <w:spacing w:line="400" w:lineRule="exact"/>
        <w:ind w:firstLine="420" w:firstLineChars="200"/>
        <w:jc w:val="left"/>
        <w:rPr>
          <w:rFonts w:ascii="宋体" w:hAnsi="宋体"/>
          <w:szCs w:val="21"/>
        </w:rPr>
      </w:pPr>
      <w:r>
        <w:rPr>
          <w:rFonts w:hint="eastAsia" w:ascii="宋体" w:hAnsi="宋体"/>
          <w:szCs w:val="21"/>
        </w:rPr>
        <w:t>第一阶段：</w:t>
      </w:r>
    </w:p>
    <w:p>
      <w:pPr>
        <w:numPr>
          <w:ilvl w:val="0"/>
          <w:numId w:val="6"/>
        </w:numPr>
        <w:spacing w:line="400" w:lineRule="exact"/>
        <w:ind w:firstLine="420" w:firstLineChars="200"/>
        <w:jc w:val="left"/>
        <w:rPr>
          <w:rFonts w:ascii="宋体" w:hAnsi="宋体"/>
          <w:szCs w:val="21"/>
        </w:rPr>
      </w:pPr>
      <w:r>
        <w:rPr>
          <w:rFonts w:hint="eastAsia" w:ascii="宋体" w:hAnsi="宋体"/>
          <w:szCs w:val="21"/>
        </w:rPr>
        <w:t>投标截止时间后，供应商登录政府采购云平台，用“项目采购-开标评标”功能对电子投标文件进行在线解密，在线解密电子投标文件时间为开标时间后30分钟内。</w:t>
      </w:r>
    </w:p>
    <w:p>
      <w:pPr>
        <w:numPr>
          <w:ilvl w:val="0"/>
          <w:numId w:val="6"/>
        </w:numPr>
        <w:spacing w:line="400" w:lineRule="exact"/>
        <w:ind w:firstLine="420" w:firstLineChars="200"/>
        <w:jc w:val="left"/>
        <w:rPr>
          <w:rFonts w:ascii="宋体" w:hAnsi="宋体"/>
          <w:szCs w:val="21"/>
        </w:rPr>
      </w:pPr>
      <w:r>
        <w:rPr>
          <w:rFonts w:hint="eastAsia" w:ascii="宋体" w:hAnsi="宋体"/>
          <w:szCs w:val="21"/>
        </w:rPr>
        <w:t>在政府采购云平台开启已解密供应商的“资格文件、商务技术文件”，并做开标记录；</w:t>
      </w:r>
    </w:p>
    <w:p>
      <w:pPr>
        <w:spacing w:line="400" w:lineRule="exact"/>
        <w:ind w:firstLine="420" w:firstLineChars="200"/>
        <w:jc w:val="left"/>
        <w:rPr>
          <w:rFonts w:ascii="宋体" w:hAnsi="宋体"/>
          <w:szCs w:val="21"/>
        </w:rPr>
      </w:pPr>
      <w:r>
        <w:rPr>
          <w:rFonts w:hint="eastAsia" w:ascii="宋体" w:hAnsi="宋体"/>
          <w:szCs w:val="21"/>
        </w:rPr>
        <w:t>第二阶段：</w:t>
      </w:r>
    </w:p>
    <w:p>
      <w:pPr>
        <w:spacing w:line="400" w:lineRule="exact"/>
        <w:ind w:firstLine="420" w:firstLineChars="200"/>
        <w:jc w:val="left"/>
        <w:rPr>
          <w:rFonts w:ascii="宋体" w:hAnsi="宋体"/>
          <w:szCs w:val="21"/>
        </w:rPr>
      </w:pPr>
      <w:r>
        <w:rPr>
          <w:rFonts w:hint="eastAsia" w:ascii="宋体" w:hAnsi="宋体"/>
          <w:szCs w:val="21"/>
        </w:rPr>
        <w:t>（1）在政府采购云平台宣告第一阶段评审无效供应商名单及理由；</w:t>
      </w:r>
    </w:p>
    <w:p>
      <w:pPr>
        <w:spacing w:line="400" w:lineRule="exact"/>
        <w:ind w:firstLine="420" w:firstLineChars="200"/>
        <w:jc w:val="left"/>
        <w:rPr>
          <w:rFonts w:ascii="宋体" w:hAnsi="宋体"/>
          <w:szCs w:val="21"/>
        </w:rPr>
      </w:pPr>
      <w:r>
        <w:rPr>
          <w:rFonts w:hint="eastAsia" w:ascii="宋体" w:hAnsi="宋体"/>
          <w:szCs w:val="21"/>
        </w:rPr>
        <w:t>（2）公布经第一阶段评审符合采购文件要求的供应商的商务技术得分情况；</w:t>
      </w:r>
    </w:p>
    <w:p>
      <w:pPr>
        <w:spacing w:line="400" w:lineRule="exact"/>
        <w:ind w:firstLine="420" w:firstLineChars="200"/>
        <w:jc w:val="left"/>
        <w:rPr>
          <w:rFonts w:ascii="宋体" w:hAnsi="宋体"/>
          <w:szCs w:val="21"/>
        </w:rPr>
      </w:pPr>
      <w:r>
        <w:rPr>
          <w:rFonts w:hint="eastAsia" w:ascii="宋体" w:hAnsi="宋体"/>
          <w:szCs w:val="21"/>
        </w:rPr>
        <w:t>（3）在政府采购云平台开启除第一阶段无效标外的供应商的“报价文件”，并做开标记录；</w:t>
      </w:r>
    </w:p>
    <w:p>
      <w:pPr>
        <w:spacing w:line="400" w:lineRule="exact"/>
        <w:ind w:firstLine="420" w:firstLineChars="200"/>
        <w:jc w:val="left"/>
        <w:rPr>
          <w:rFonts w:ascii="宋体" w:hAnsi="宋体"/>
          <w:szCs w:val="21"/>
        </w:rPr>
      </w:pPr>
      <w:r>
        <w:rPr>
          <w:rFonts w:hint="eastAsia" w:ascii="宋体" w:hAnsi="宋体"/>
          <w:szCs w:val="21"/>
        </w:rPr>
        <w:t>（4）在政府采购云平台公布评审结果。</w:t>
      </w:r>
    </w:p>
    <w:p>
      <w:pPr>
        <w:spacing w:line="400" w:lineRule="exact"/>
        <w:ind w:firstLine="420" w:firstLineChars="200"/>
        <w:jc w:val="left"/>
        <w:rPr>
          <w:rFonts w:ascii="宋体" w:hAnsi="宋体"/>
          <w:szCs w:val="21"/>
        </w:rPr>
      </w:pPr>
      <w:r>
        <w:rPr>
          <w:rFonts w:hint="eastAsia" w:ascii="宋体" w:hAnsi="宋体"/>
          <w:szCs w:val="21"/>
        </w:rPr>
        <w:t>（5）开标会议结束。</w:t>
      </w:r>
    </w:p>
    <w:p>
      <w:pPr>
        <w:spacing w:line="400" w:lineRule="exact"/>
        <w:ind w:firstLine="422" w:firstLineChars="200"/>
        <w:jc w:val="left"/>
        <w:rPr>
          <w:rFonts w:ascii="宋体" w:hAnsi="宋体"/>
          <w:b/>
          <w:bCs/>
          <w:szCs w:val="21"/>
        </w:rPr>
      </w:pPr>
      <w:r>
        <w:rPr>
          <w:rFonts w:hint="eastAsia" w:ascii="宋体" w:hAnsi="宋体"/>
          <w:b/>
          <w:bCs/>
          <w:szCs w:val="21"/>
        </w:rPr>
        <w:t>2、特别说明：政府采购云平台如对电子化开标及评审程序有调整的，按调整后的程序操作。</w:t>
      </w:r>
    </w:p>
    <w:p>
      <w:pPr>
        <w:spacing w:line="400" w:lineRule="exact"/>
        <w:ind w:firstLine="420" w:firstLineChars="200"/>
        <w:jc w:val="left"/>
        <w:rPr>
          <w:rFonts w:ascii="宋体" w:hAnsi="宋体"/>
          <w:szCs w:val="21"/>
        </w:rPr>
      </w:pPr>
      <w:r>
        <w:rPr>
          <w:rFonts w:hint="eastAsia" w:ascii="宋体" w:hAnsi="宋体"/>
          <w:szCs w:val="21"/>
        </w:rPr>
        <w:t>本项目原则上采用政采云电子招投标开标程序，但有以下情形之一的，按以下情况处理：</w:t>
      </w:r>
    </w:p>
    <w:p>
      <w:pPr>
        <w:spacing w:line="400" w:lineRule="exact"/>
        <w:ind w:firstLine="420" w:firstLineChars="200"/>
        <w:jc w:val="left"/>
        <w:rPr>
          <w:rFonts w:ascii="宋体" w:hAnsi="宋体"/>
          <w:szCs w:val="21"/>
        </w:rPr>
      </w:pPr>
      <w:r>
        <w:rPr>
          <w:rFonts w:hint="eastAsia" w:ascii="宋体" w:hAnsi="宋体"/>
          <w:szCs w:val="21"/>
        </w:rPr>
        <w:t>（1）若有供应商在规定时间内无法解密或解密失败，代理机构将开启该供应商递交的以U盘存储的电子备份投标文件，上传至政采云平台项目采购模块，以完成开标，电子投标文件自动失效。</w:t>
      </w:r>
    </w:p>
    <w:p>
      <w:pPr>
        <w:spacing w:line="400" w:lineRule="exact"/>
        <w:ind w:firstLine="420" w:firstLineChars="200"/>
        <w:jc w:val="left"/>
        <w:rPr>
          <w:rFonts w:ascii="宋体" w:hAnsi="宋体"/>
          <w:szCs w:val="21"/>
        </w:rPr>
      </w:pPr>
      <w:r>
        <w:rPr>
          <w:rFonts w:hint="eastAsia" w:ascii="宋体" w:hAnsi="宋体"/>
          <w:szCs w:val="21"/>
        </w:rPr>
        <w:t>（2）若因政府采购云平台原因无法读取或电子开评标无法正常进行，项目重新招标，电子投标文件及以U盘存储的电子备份投标文件自动失效。</w:t>
      </w:r>
    </w:p>
    <w:p>
      <w:pPr>
        <w:spacing w:line="400" w:lineRule="exact"/>
        <w:ind w:firstLine="420" w:firstLineChars="200"/>
        <w:jc w:val="left"/>
        <w:rPr>
          <w:rFonts w:ascii="宋体" w:hAnsi="宋体"/>
          <w:szCs w:val="21"/>
        </w:rPr>
      </w:pPr>
      <w:r>
        <w:rPr>
          <w:rFonts w:hint="eastAsia" w:ascii="宋体" w:hAnsi="宋体"/>
          <w:szCs w:val="21"/>
        </w:rPr>
        <w:t>（3）采购过程中出现以下情形，导致电子交易平台无法正常运行，或者无法保证电子交易的公平、公正和安全时，采购人（或代理机构）可中止电子交易活动：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szCs w:val="21"/>
        </w:rPr>
      </w:pPr>
      <w:r>
        <w:rPr>
          <w:rFonts w:hint="eastAsia" w:ascii="宋体" w:hAnsi="宋体"/>
          <w:szCs w:val="21"/>
        </w:rPr>
        <w:t>3.1电子交易平台发生故障而无法登录访问的；</w:t>
      </w:r>
    </w:p>
    <w:p>
      <w:pPr>
        <w:spacing w:line="400" w:lineRule="exact"/>
        <w:ind w:firstLine="420" w:firstLineChars="200"/>
        <w:jc w:val="left"/>
        <w:rPr>
          <w:rFonts w:ascii="宋体" w:hAnsi="宋体"/>
          <w:szCs w:val="21"/>
        </w:rPr>
      </w:pPr>
      <w:r>
        <w:rPr>
          <w:rFonts w:hint="eastAsia" w:ascii="宋体" w:hAnsi="宋体"/>
          <w:szCs w:val="21"/>
        </w:rPr>
        <w:t>3.2电子交易平台应用或数据库出现错误，不能进行正常操作的；</w:t>
      </w:r>
    </w:p>
    <w:p>
      <w:pPr>
        <w:spacing w:line="400" w:lineRule="exact"/>
        <w:ind w:firstLine="420" w:firstLineChars="200"/>
        <w:jc w:val="left"/>
        <w:rPr>
          <w:rFonts w:ascii="宋体" w:hAnsi="宋体"/>
          <w:szCs w:val="21"/>
        </w:rPr>
      </w:pPr>
      <w:r>
        <w:rPr>
          <w:rFonts w:hint="eastAsia" w:ascii="宋体" w:hAnsi="宋体"/>
          <w:szCs w:val="21"/>
        </w:rPr>
        <w:t>3.3电子交易平台发现严重安全漏洞，有潜在泄密危险的；</w:t>
      </w:r>
    </w:p>
    <w:p>
      <w:pPr>
        <w:spacing w:line="400" w:lineRule="exact"/>
        <w:ind w:firstLine="420" w:firstLineChars="200"/>
        <w:jc w:val="left"/>
        <w:rPr>
          <w:rFonts w:ascii="宋体" w:hAnsi="宋体"/>
          <w:szCs w:val="21"/>
        </w:rPr>
      </w:pPr>
      <w:r>
        <w:rPr>
          <w:rFonts w:hint="eastAsia" w:ascii="宋体" w:hAnsi="宋体"/>
          <w:szCs w:val="21"/>
        </w:rPr>
        <w:t>3.4病毒发作导致不能进行正常操作的；</w:t>
      </w:r>
    </w:p>
    <w:p>
      <w:pPr>
        <w:spacing w:line="400" w:lineRule="exact"/>
        <w:ind w:firstLine="420" w:firstLineChars="200"/>
        <w:jc w:val="left"/>
        <w:rPr>
          <w:rFonts w:ascii="宋体" w:hAnsi="宋体"/>
          <w:szCs w:val="21"/>
        </w:rPr>
      </w:pPr>
      <w:r>
        <w:rPr>
          <w:rFonts w:hint="eastAsia" w:ascii="宋体" w:hAnsi="宋体"/>
          <w:szCs w:val="21"/>
        </w:rPr>
        <w:t>3.5其他无法保证电子交易的公平、公正和安全的情况。</w:t>
      </w:r>
    </w:p>
    <w:p>
      <w:pPr>
        <w:spacing w:line="400" w:lineRule="exact"/>
        <w:ind w:firstLine="420" w:firstLineChars="200"/>
        <w:jc w:val="left"/>
        <w:rPr>
          <w:rFonts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pPr>
        <w:spacing w:line="480" w:lineRule="exact"/>
        <w:jc w:val="left"/>
        <w:outlineLvl w:val="1"/>
        <w:rPr>
          <w:rFonts w:ascii="宋体" w:hAnsi="宋体"/>
          <w:b/>
          <w:bCs/>
          <w:szCs w:val="21"/>
        </w:rPr>
      </w:pPr>
      <w:r>
        <w:rPr>
          <w:rFonts w:hint="eastAsia" w:ascii="宋体" w:hAnsi="宋体"/>
          <w:b/>
          <w:bCs/>
          <w:szCs w:val="21"/>
        </w:rPr>
        <w:t>十一、评标</w:t>
      </w:r>
    </w:p>
    <w:p>
      <w:pPr>
        <w:spacing w:line="400" w:lineRule="exact"/>
        <w:ind w:firstLine="420" w:firstLineChars="200"/>
        <w:jc w:val="left"/>
        <w:rPr>
          <w:rFonts w:ascii="宋体" w:hAnsi="宋体"/>
          <w:szCs w:val="21"/>
        </w:rPr>
      </w:pPr>
      <w:r>
        <w:rPr>
          <w:rFonts w:hint="eastAsia" w:ascii="宋体" w:hAnsi="宋体"/>
          <w:szCs w:val="21"/>
        </w:rPr>
        <w:t>1、采购人依据《中华人民共和国政府采购法》、《中华人民共和国政府采购法实施条例》等有关规定组建评标委员会。评标委员会由采购人代表和专家组成，负责本项目的评标工作。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szCs w:val="21"/>
        </w:rPr>
      </w:pPr>
      <w:r>
        <w:rPr>
          <w:rFonts w:hint="eastAsia" w:ascii="宋体" w:hAnsi="宋体"/>
          <w:szCs w:val="21"/>
        </w:rPr>
        <w:t>2、评标活动遵循公开、公平、公正、科学和择优的原则。</w:t>
      </w:r>
    </w:p>
    <w:p>
      <w:pPr>
        <w:spacing w:line="400" w:lineRule="exact"/>
        <w:ind w:firstLine="420" w:firstLineChars="200"/>
        <w:jc w:val="left"/>
        <w:rPr>
          <w:rFonts w:ascii="宋体" w:hAnsi="宋体"/>
          <w:szCs w:val="21"/>
        </w:rPr>
      </w:pPr>
      <w:r>
        <w:rPr>
          <w:rFonts w:hint="eastAsia" w:ascii="宋体" w:hAnsi="宋体"/>
          <w:szCs w:val="21"/>
        </w:rPr>
        <w:t>3、评标委员会按照第五章“评标办法及标准”对投标文件进行评审。第五章“评标办法及标准”没有规定的方法、评审因素和标准，不作为评标依据。</w:t>
      </w:r>
    </w:p>
    <w:p>
      <w:pPr>
        <w:spacing w:line="480" w:lineRule="exact"/>
        <w:jc w:val="left"/>
        <w:outlineLvl w:val="1"/>
        <w:rPr>
          <w:rFonts w:ascii="宋体" w:hAnsi="宋体"/>
          <w:b/>
          <w:bCs/>
          <w:szCs w:val="21"/>
        </w:rPr>
      </w:pPr>
      <w:r>
        <w:rPr>
          <w:rFonts w:hint="eastAsia" w:ascii="宋体" w:hAnsi="宋体"/>
          <w:b/>
          <w:bCs/>
          <w:szCs w:val="21"/>
        </w:rPr>
        <w:t>十二、招标文件的澄清和修改</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0" w:firstLineChars="200"/>
        <w:jc w:val="left"/>
        <w:rPr>
          <w:rFonts w:ascii="宋体" w:hAnsi="宋体"/>
          <w:szCs w:val="21"/>
        </w:rPr>
      </w:pPr>
      <w:r>
        <w:rPr>
          <w:rFonts w:hint="eastAsia" w:ascii="宋体" w:hAnsi="宋体"/>
          <w:szCs w:val="21"/>
        </w:rPr>
        <w:t>2、潜在供应商收到代理机构发出的招标文件澄清或修改通知，或顺延提交投标文件截止时间通知后，应在通知单回执上明示收悉意见、加盖供应商公章，以书面形式回复代理机构。</w:t>
      </w:r>
    </w:p>
    <w:p>
      <w:pPr>
        <w:spacing w:line="480" w:lineRule="exact"/>
        <w:jc w:val="left"/>
        <w:outlineLvl w:val="1"/>
        <w:rPr>
          <w:rFonts w:ascii="宋体" w:hAnsi="宋体"/>
          <w:b/>
          <w:bCs/>
          <w:szCs w:val="21"/>
        </w:rPr>
      </w:pPr>
      <w:r>
        <w:rPr>
          <w:rFonts w:hint="eastAsia" w:ascii="宋体" w:hAnsi="宋体"/>
          <w:b/>
          <w:bCs/>
          <w:szCs w:val="21"/>
        </w:rPr>
        <w:t>十三、质疑</w:t>
      </w:r>
    </w:p>
    <w:p>
      <w:pPr>
        <w:topLinePunct/>
        <w:spacing w:line="400" w:lineRule="exact"/>
        <w:ind w:firstLine="420" w:firstLineChars="200"/>
        <w:rPr>
          <w:rFonts w:ascii="宋体" w:hAnsi="宋体"/>
          <w:szCs w:val="21"/>
        </w:rPr>
      </w:pPr>
      <w:r>
        <w:rPr>
          <w:rFonts w:hint="eastAsia" w:ascii="宋体" w:hAnsi="宋体"/>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公开招标采购公告、采购文件、开标评标、采购结果等同一采购程序环节的质疑，第二次提出的质疑视为质疑无效，采购人、采购代理机构将不予受理（对于采购人、采购代理机构作出的澄清或者修改的内容提出质疑的除外）。</w:t>
      </w:r>
    </w:p>
    <w:p>
      <w:pPr>
        <w:topLinePunct/>
        <w:spacing w:line="400" w:lineRule="exact"/>
        <w:ind w:firstLine="420" w:firstLineChars="200"/>
        <w:rPr>
          <w:rFonts w:ascii="宋体" w:hAnsi="宋体"/>
          <w:szCs w:val="21"/>
        </w:rPr>
      </w:pPr>
      <w:r>
        <w:rPr>
          <w:rFonts w:hint="eastAsia" w:ascii="宋体" w:hAnsi="宋体"/>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topLinePunct/>
        <w:spacing w:line="400" w:lineRule="exact"/>
        <w:ind w:firstLine="420" w:firstLineChars="200"/>
        <w:rPr>
          <w:rFonts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pPr>
        <w:topLinePunct/>
        <w:spacing w:line="400" w:lineRule="exact"/>
        <w:ind w:firstLine="420" w:firstLineChars="200"/>
        <w:jc w:val="left"/>
        <w:rPr>
          <w:rFonts w:ascii="宋体" w:hAnsi="宋体"/>
          <w:szCs w:val="21"/>
        </w:rPr>
      </w:pPr>
      <w:r>
        <w:rPr>
          <w:rFonts w:hint="eastAsia" w:ascii="宋体" w:hAnsi="宋体"/>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topLinePunct/>
        <w:spacing w:line="400" w:lineRule="exact"/>
        <w:ind w:firstLine="420" w:firstLineChars="200"/>
        <w:jc w:val="left"/>
        <w:rPr>
          <w:rFonts w:ascii="宋体" w:hAnsi="宋体"/>
          <w:szCs w:val="21"/>
        </w:rPr>
      </w:pPr>
      <w:r>
        <w:rPr>
          <w:rFonts w:hint="eastAsia" w:ascii="宋体" w:hAnsi="宋体"/>
          <w:szCs w:val="21"/>
        </w:rPr>
        <w:t>5、采购人、采购代理机构接收质疑函的方式：只接收供应商以当面递交、邮寄、传真或电子邮件方式提出的质疑函，以其他方式提出的质疑不予接收。</w:t>
      </w:r>
    </w:p>
    <w:p>
      <w:pPr>
        <w:topLinePunct/>
        <w:spacing w:line="400" w:lineRule="exact"/>
        <w:ind w:firstLine="420" w:firstLineChars="200"/>
        <w:rPr>
          <w:rFonts w:ascii="宋体" w:hAnsi="宋体"/>
          <w:szCs w:val="21"/>
        </w:rPr>
      </w:pPr>
      <w:r>
        <w:rPr>
          <w:rFonts w:hint="eastAsia" w:ascii="宋体" w:hAnsi="宋体"/>
          <w:szCs w:val="21"/>
        </w:rPr>
        <w:t>采取邮寄方式的，提出质疑的时间为质疑函原件交邮的时间（以邮戳时间或快递收件时间为准）。</w:t>
      </w:r>
    </w:p>
    <w:p>
      <w:pPr>
        <w:topLinePunct/>
        <w:spacing w:line="400" w:lineRule="exact"/>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pPr>
        <w:topLinePunct/>
        <w:spacing w:line="400" w:lineRule="exact"/>
        <w:ind w:firstLine="420" w:firstLineChars="200"/>
        <w:jc w:val="left"/>
        <w:rPr>
          <w:rFonts w:ascii="宋体" w:hAnsi="宋体"/>
          <w:szCs w:val="21"/>
        </w:rPr>
      </w:pPr>
      <w:r>
        <w:rPr>
          <w:rFonts w:hint="eastAsia" w:ascii="宋体" w:hAnsi="宋体"/>
          <w:szCs w:val="21"/>
        </w:rPr>
        <w:t>6、采购人、采购代理机构以实际收到质疑函原件之日作为收到质疑函的日期，将在收到质疑函后7个工作日内作出答复。</w:t>
      </w:r>
    </w:p>
    <w:p>
      <w:pPr>
        <w:topLinePunct/>
        <w:spacing w:line="400" w:lineRule="exact"/>
        <w:ind w:firstLine="420" w:firstLineChars="200"/>
        <w:jc w:val="left"/>
        <w:rPr>
          <w:rFonts w:ascii="宋体" w:hAnsi="宋体"/>
          <w:szCs w:val="21"/>
        </w:rPr>
      </w:pPr>
      <w:r>
        <w:rPr>
          <w:rFonts w:hint="eastAsia" w:ascii="宋体" w:hAnsi="宋体"/>
          <w:szCs w:val="21"/>
        </w:rPr>
        <w:t>7、采购人、采购代理机构接收质疑函的联系人、联系电话和通讯地址等信息详见公开招标采购公告。</w:t>
      </w:r>
    </w:p>
    <w:p>
      <w:pPr>
        <w:topLinePunct/>
        <w:spacing w:line="400" w:lineRule="exact"/>
        <w:ind w:firstLine="420" w:firstLineChars="200"/>
        <w:jc w:val="left"/>
        <w:rPr>
          <w:rFonts w:ascii="宋体" w:hAnsi="宋体"/>
          <w:szCs w:val="21"/>
        </w:rPr>
      </w:pPr>
      <w:r>
        <w:rPr>
          <w:rFonts w:hint="eastAsia" w:ascii="宋体" w:hAnsi="宋体"/>
          <w:szCs w:val="21"/>
        </w:rPr>
        <w:t>8、递交质疑书时需提供质疑书原件、法定代表人授权委托书（应载明委托代理的具体权限及事项）、营业执照、机构代码证、法定代表人及授权代表身份证复印件，投标人质疑应当有明确的请求和必要的证明材料，捏造事实、提供虚假材料或者以非法手段取得证明材料不能作为质疑的证明材料，对于捏造事实、滥用维权扰乱采购秩序的恶意质疑者或举证不全查无实据被驳回次数在一年内达三次以上，将纳入不良行为记录名单并承担相应的法律责任。</w:t>
      </w:r>
    </w:p>
    <w:p>
      <w:pPr>
        <w:topLinePunct/>
        <w:spacing w:line="400" w:lineRule="exact"/>
        <w:ind w:firstLine="420" w:firstLineChars="200"/>
        <w:jc w:val="left"/>
        <w:rPr>
          <w:rFonts w:ascii="宋体" w:hAnsi="宋体"/>
          <w:szCs w:val="21"/>
        </w:rPr>
      </w:pPr>
      <w:r>
        <w:rPr>
          <w:rFonts w:hint="eastAsia" w:ascii="宋体" w:hAnsi="宋体"/>
          <w:szCs w:val="21"/>
        </w:rPr>
        <w:t>9、对同一采购程序环节只能一次性提出质疑。</w:t>
      </w:r>
    </w:p>
    <w:p>
      <w:pPr>
        <w:spacing w:line="480" w:lineRule="exact"/>
        <w:jc w:val="left"/>
        <w:outlineLvl w:val="1"/>
        <w:rPr>
          <w:rFonts w:ascii="宋体" w:hAnsi="宋体"/>
          <w:b/>
          <w:bCs/>
          <w:szCs w:val="21"/>
        </w:rPr>
      </w:pPr>
      <w:r>
        <w:rPr>
          <w:rFonts w:hint="eastAsia" w:ascii="宋体" w:hAnsi="宋体"/>
          <w:b/>
          <w:bCs/>
          <w:szCs w:val="21"/>
        </w:rPr>
        <w:t>十四、最高限价</w:t>
      </w:r>
    </w:p>
    <w:p>
      <w:pPr>
        <w:topLinePunct/>
        <w:spacing w:line="400" w:lineRule="exact"/>
        <w:ind w:firstLine="420" w:firstLineChars="200"/>
        <w:jc w:val="left"/>
        <w:rPr>
          <w:rFonts w:ascii="宋体" w:hAnsi="宋体"/>
          <w:szCs w:val="21"/>
        </w:rPr>
      </w:pPr>
      <w:r>
        <w:rPr>
          <w:rFonts w:hint="eastAsia" w:ascii="宋体" w:hAnsi="宋体"/>
          <w:szCs w:val="21"/>
        </w:rPr>
        <w:t>本次公开招标最高限价详见前附表。投标报价出现偏离作无效标处理。</w:t>
      </w:r>
    </w:p>
    <w:p>
      <w:pPr>
        <w:spacing w:line="480" w:lineRule="exact"/>
        <w:jc w:val="left"/>
        <w:outlineLvl w:val="1"/>
        <w:rPr>
          <w:rFonts w:ascii="宋体" w:hAnsi="宋体"/>
          <w:b/>
          <w:bCs/>
          <w:szCs w:val="21"/>
        </w:rPr>
      </w:pPr>
      <w:r>
        <w:rPr>
          <w:rFonts w:hint="eastAsia" w:ascii="宋体" w:hAnsi="宋体"/>
          <w:b/>
          <w:bCs/>
          <w:szCs w:val="21"/>
        </w:rPr>
        <w:t>十五、特别说明</w:t>
      </w:r>
    </w:p>
    <w:p>
      <w:pPr>
        <w:topLinePunct/>
        <w:spacing w:line="400" w:lineRule="exact"/>
        <w:ind w:firstLine="420" w:firstLineChars="200"/>
        <w:jc w:val="left"/>
        <w:rPr>
          <w:rFonts w:ascii="宋体" w:hAnsi="宋体"/>
          <w:szCs w:val="21"/>
        </w:rPr>
      </w:pPr>
      <w:r>
        <w:rPr>
          <w:rFonts w:ascii="宋体" w:hAnsi="宋体"/>
          <w:szCs w:val="21"/>
        </w:rPr>
        <w:t xml:space="preserve">1. </w:t>
      </w:r>
      <w:r>
        <w:rPr>
          <w:rFonts w:hint="eastAsia" w:ascii="宋体" w:hAnsi="宋体"/>
          <w:szCs w:val="21"/>
        </w:rPr>
        <w:t>提供相同品牌产品且通过资格审查、符合性审查的不同投标人参加同一合同项下投标的，按一家投标人计算。</w:t>
      </w:r>
    </w:p>
    <w:p>
      <w:pPr>
        <w:topLinePunct/>
        <w:spacing w:line="400" w:lineRule="exact"/>
        <w:ind w:firstLine="420" w:firstLineChars="200"/>
        <w:jc w:val="left"/>
        <w:rPr>
          <w:rFonts w:ascii="宋体" w:hAnsi="宋体"/>
          <w:szCs w:val="21"/>
        </w:rPr>
      </w:pPr>
      <w:r>
        <w:rPr>
          <w:rFonts w:hint="eastAsia" w:ascii="宋体" w:hAnsi="宋体"/>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topLinePunct/>
        <w:spacing w:line="400" w:lineRule="exact"/>
        <w:ind w:firstLine="420" w:firstLineChars="200"/>
        <w:jc w:val="left"/>
        <w:rPr>
          <w:rFonts w:ascii="宋体" w:hAnsi="宋体"/>
          <w:szCs w:val="21"/>
        </w:rPr>
      </w:pPr>
      <w:r>
        <w:rPr>
          <w:rFonts w:hint="eastAsia" w:ascii="宋体" w:hAnsi="宋体"/>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topLinePunct/>
        <w:spacing w:line="400" w:lineRule="exact"/>
        <w:ind w:firstLine="420" w:firstLineChars="200"/>
        <w:jc w:val="left"/>
        <w:rPr>
          <w:rFonts w:ascii="宋体" w:hAnsi="宋体"/>
          <w:szCs w:val="21"/>
        </w:rPr>
      </w:pPr>
      <w:r>
        <w:rPr>
          <w:rFonts w:ascii="宋体" w:hAnsi="宋体"/>
          <w:szCs w:val="21"/>
        </w:rPr>
        <w:t xml:space="preserve"> </w:t>
      </w:r>
      <w:r>
        <w:rPr>
          <w:rFonts w:hint="eastAsia" w:ascii="宋体" w:hAnsi="宋体"/>
          <w:szCs w:val="21"/>
        </w:rPr>
        <w:t>非单一产品采购项目，投标人使用相同制造产品（相同制造产品是指采购文件中指定的</w:t>
      </w:r>
      <w:r>
        <w:rPr>
          <w:rFonts w:ascii="宋体" w:hAnsi="宋体"/>
          <w:szCs w:val="21"/>
        </w:rPr>
        <w:t>“</w:t>
      </w:r>
      <w:r>
        <w:rPr>
          <w:rFonts w:hint="eastAsia" w:ascii="宋体" w:hAnsi="宋体"/>
          <w:szCs w:val="21"/>
        </w:rPr>
        <w:t>核心产品</w:t>
      </w:r>
      <w:r>
        <w:rPr>
          <w:rFonts w:ascii="宋体" w:hAnsi="宋体"/>
          <w:szCs w:val="21"/>
        </w:rPr>
        <w:t>”</w:t>
      </w:r>
      <w:r>
        <w:rPr>
          <w:rFonts w:hint="eastAsia" w:ascii="宋体" w:hAnsi="宋体"/>
          <w:szCs w:val="21"/>
        </w:rPr>
        <w:t>）作为其项目的一部分，按一家投标人认定。</w:t>
      </w:r>
    </w:p>
    <w:p>
      <w:pPr>
        <w:topLinePunct/>
        <w:spacing w:line="400" w:lineRule="exact"/>
        <w:ind w:firstLine="420" w:firstLineChars="200"/>
        <w:jc w:val="left"/>
        <w:rPr>
          <w:color w:val="000000"/>
          <w:szCs w:val="21"/>
        </w:rPr>
      </w:pPr>
      <w:r>
        <w:rPr>
          <w:rFonts w:ascii="宋体" w:hAnsi="宋体"/>
          <w:szCs w:val="21"/>
        </w:rPr>
        <w:t>2.</w:t>
      </w:r>
      <w:r>
        <w:rPr>
          <w:rFonts w:hint="eastAsia" w:ascii="宋体" w:hAnsi="宋体"/>
          <w:szCs w:val="21"/>
        </w:rPr>
        <w:t>政府采购活动中有关中小企业的相关规定（采购进口产品的项目不适用）</w:t>
      </w:r>
    </w:p>
    <w:p>
      <w:pPr>
        <w:topLinePunct/>
        <w:spacing w:line="400" w:lineRule="exact"/>
        <w:ind w:firstLine="420" w:firstLineChars="200"/>
        <w:jc w:val="left"/>
        <w:rPr>
          <w:rFonts w:ascii="宋体" w:hAnsi="宋体"/>
          <w:szCs w:val="21"/>
        </w:rPr>
      </w:pPr>
      <w:r>
        <w:rPr>
          <w:rFonts w:ascii="宋体" w:hAnsi="宋体"/>
          <w:szCs w:val="21"/>
        </w:rPr>
        <w:t>2.1</w:t>
      </w:r>
      <w:r>
        <w:rPr>
          <w:rFonts w:hint="eastAsia" w:ascii="宋体" w:hAnsi="宋体"/>
          <w:szCs w:val="21"/>
        </w:rPr>
        <w:t>本项目</w:t>
      </w:r>
      <w:r>
        <w:rPr>
          <w:rFonts w:ascii="宋体" w:hAnsi="宋体"/>
          <w:szCs w:val="21"/>
          <w:u w:val="single"/>
        </w:rPr>
        <w:t xml:space="preserve">  </w:t>
      </w:r>
      <w:r>
        <w:rPr>
          <w:rFonts w:hint="eastAsia" w:ascii="宋体" w:hAnsi="宋体"/>
          <w:color w:val="FF0000"/>
          <w:szCs w:val="21"/>
          <w:u w:val="single"/>
        </w:rPr>
        <w:t>非</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专门面向中小/小微企业采购。</w:t>
      </w:r>
    </w:p>
    <w:p>
      <w:pPr>
        <w:topLinePunct/>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rPr>
        <w:t>本项目对应的中小企业划分标准所属行业：</w:t>
      </w:r>
      <w:r>
        <w:rPr>
          <w:rFonts w:ascii="宋体" w:hAnsi="宋体"/>
          <w:color w:val="FF0000"/>
          <w:szCs w:val="21"/>
          <w:u w:val="single"/>
        </w:rPr>
        <w:t xml:space="preserve"> </w:t>
      </w:r>
      <w:r>
        <w:rPr>
          <w:rFonts w:hint="eastAsia" w:ascii="宋体" w:hAnsi="宋体"/>
          <w:color w:val="FF0000"/>
          <w:szCs w:val="21"/>
          <w:u w:val="single"/>
        </w:rPr>
        <w:t xml:space="preserve">其他未列明行业 </w:t>
      </w:r>
    </w:p>
    <w:p>
      <w:pPr>
        <w:topLinePunct/>
        <w:spacing w:line="400" w:lineRule="exact"/>
        <w:ind w:firstLine="420" w:firstLineChars="200"/>
        <w:jc w:val="left"/>
        <w:rPr>
          <w:rFonts w:ascii="宋体" w:hAnsi="宋体"/>
          <w:szCs w:val="21"/>
        </w:rPr>
      </w:pPr>
      <w:r>
        <w:rPr>
          <w:rFonts w:ascii="宋体" w:hAnsi="宋体"/>
          <w:szCs w:val="21"/>
        </w:rPr>
        <w:t>2.3</w:t>
      </w:r>
      <w:r>
        <w:rPr>
          <w:rFonts w:hint="eastAsia" w:ascii="宋体" w:hAnsi="宋体"/>
          <w:szCs w:val="21"/>
        </w:rPr>
        <w:t>中小企业是指中华人民共和国境内依法设立，依据国务院批准的中小企业划分标准确定的小型企业和微型企业，但与大企业的负责人为同一人，或者与大企业存在直接控股、管理关系的除外。</w:t>
      </w:r>
    </w:p>
    <w:p>
      <w:pPr>
        <w:topLinePunct/>
        <w:spacing w:line="400" w:lineRule="exact"/>
        <w:ind w:firstLine="420" w:firstLineChars="200"/>
        <w:jc w:val="left"/>
        <w:rPr>
          <w:rFonts w:ascii="宋体" w:hAnsi="宋体"/>
          <w:szCs w:val="21"/>
        </w:rPr>
      </w:pPr>
      <w:r>
        <w:rPr>
          <w:rFonts w:hint="eastAsia" w:ascii="宋体" w:hAnsi="宋体"/>
          <w:szCs w:val="21"/>
        </w:rPr>
        <w:t>符合中小企业划分标准的个体工商户，在政府采购活动中视同中小企业。</w:t>
      </w:r>
    </w:p>
    <w:p>
      <w:pPr>
        <w:topLinePunct/>
        <w:spacing w:line="400" w:lineRule="exact"/>
        <w:ind w:firstLine="420" w:firstLineChars="200"/>
        <w:jc w:val="left"/>
        <w:rPr>
          <w:rFonts w:ascii="宋体" w:hAnsi="宋体"/>
          <w:szCs w:val="21"/>
        </w:rPr>
      </w:pPr>
      <w:r>
        <w:rPr>
          <w:rFonts w:hint="eastAsia" w:ascii="宋体" w:hAnsi="宋体"/>
          <w:szCs w:val="21"/>
        </w:rPr>
        <w:t>国务院批准的中小企业划分标准：具体见工信部联企业</w:t>
      </w:r>
      <w:r>
        <w:rPr>
          <w:rFonts w:ascii="宋体" w:hAnsi="宋体"/>
          <w:szCs w:val="21"/>
        </w:rPr>
        <w:t>[2011]300</w:t>
      </w:r>
      <w:r>
        <w:rPr>
          <w:rFonts w:hint="eastAsia" w:ascii="宋体" w:hAnsi="宋体"/>
          <w:szCs w:val="21"/>
        </w:rPr>
        <w:t>号。</w:t>
      </w:r>
    </w:p>
    <w:p>
      <w:pPr>
        <w:topLinePunct/>
        <w:spacing w:line="400" w:lineRule="exact"/>
        <w:ind w:firstLine="420" w:firstLineChars="200"/>
        <w:jc w:val="left"/>
        <w:rPr>
          <w:rFonts w:ascii="宋体" w:hAnsi="宋体"/>
          <w:szCs w:val="21"/>
        </w:rPr>
      </w:pPr>
      <w:r>
        <w:rPr>
          <w:rFonts w:ascii="宋体" w:hAnsi="宋体"/>
          <w:szCs w:val="21"/>
        </w:rPr>
        <w:t>2.4</w:t>
      </w:r>
      <w:r>
        <w:rPr>
          <w:rFonts w:hint="eastAsia" w:ascii="宋体" w:hAnsi="宋体"/>
          <w:szCs w:val="21"/>
        </w:rPr>
        <w:t>在政府采购活动中，供应商提供的货物、工程或者服务符合下列情形的，可享受小型、微型企业（以下简称小微企业）的价格扣除：</w:t>
      </w:r>
    </w:p>
    <w:p>
      <w:pPr>
        <w:topLinePunct/>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）在货物采购项目中，货物由小微企业制造，即货物由小微企业生产且使用该小微企业商号或者注册商标；</w:t>
      </w:r>
    </w:p>
    <w:p>
      <w:pPr>
        <w:topLinePunct/>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）在工程采购项目中，工程由小微企业承建，即工程施工单位为小微企业；</w:t>
      </w:r>
    </w:p>
    <w:p>
      <w:pPr>
        <w:topLinePunct/>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）在服务采购项目中，服务由小微企业承接，即提供服务的人员为小微企业依照《中华人民共和国劳动合同法》订立劳动合同的从业人员。</w:t>
      </w:r>
    </w:p>
    <w:p>
      <w:pPr>
        <w:topLinePunct/>
        <w:spacing w:line="400" w:lineRule="exact"/>
        <w:ind w:firstLine="420" w:firstLineChars="200"/>
        <w:jc w:val="left"/>
        <w:rPr>
          <w:rFonts w:ascii="宋体" w:hAnsi="宋体"/>
          <w:szCs w:val="21"/>
        </w:rPr>
      </w:pPr>
      <w:r>
        <w:rPr>
          <w:rFonts w:hint="eastAsia" w:ascii="宋体" w:hAnsi="宋体"/>
          <w:szCs w:val="21"/>
        </w:rPr>
        <w:t>以联合体形式参加政府采购活动，联合体各方均为小微企业的，联合体视同小微企业。</w:t>
      </w:r>
    </w:p>
    <w:p>
      <w:pPr>
        <w:topLinePunct/>
        <w:spacing w:line="400" w:lineRule="exact"/>
        <w:ind w:firstLine="420" w:firstLineChars="200"/>
        <w:jc w:val="left"/>
        <w:rPr>
          <w:rFonts w:ascii="宋体" w:hAnsi="宋体"/>
          <w:szCs w:val="21"/>
        </w:rPr>
      </w:pPr>
      <w:r>
        <w:rPr>
          <w:rFonts w:ascii="宋体" w:hAnsi="宋体"/>
          <w:szCs w:val="21"/>
        </w:rPr>
        <w:t>2.5</w:t>
      </w:r>
      <w:r>
        <w:rPr>
          <w:rFonts w:hint="eastAsia" w:ascii="宋体" w:hAnsi="宋体"/>
          <w:szCs w:val="21"/>
        </w:rPr>
        <w:t>在货物采购项目中，供应商提供的货物既有中小企业制造货物，也有大型企业制造货物的，不享受的小微企业价格扣除。</w:t>
      </w:r>
    </w:p>
    <w:p>
      <w:pPr>
        <w:topLinePunct/>
        <w:spacing w:line="400" w:lineRule="exact"/>
        <w:ind w:firstLine="420" w:firstLineChars="200"/>
        <w:jc w:val="left"/>
        <w:rPr>
          <w:rFonts w:ascii="宋体" w:hAnsi="宋体"/>
          <w:szCs w:val="21"/>
        </w:rPr>
      </w:pPr>
      <w:r>
        <w:rPr>
          <w:rFonts w:ascii="宋体" w:hAnsi="宋体"/>
          <w:szCs w:val="21"/>
        </w:rPr>
        <w:t>2.6</w:t>
      </w:r>
      <w:r>
        <w:rPr>
          <w:rFonts w:hint="eastAsia" w:ascii="宋体" w:hAnsi="宋体"/>
          <w:szCs w:val="21"/>
        </w:rPr>
        <w:t>对于非专门面向中小企业采购的采购项目，依据《浙江省财政厅关于进一步发挥政府采购政策功能全力推动经济稳进提质的通知》（浙财采监</w:t>
      </w:r>
      <w:r>
        <w:rPr>
          <w:rFonts w:ascii="宋体" w:hAnsi="宋体"/>
          <w:szCs w:val="21"/>
        </w:rPr>
        <w:t>[2022]3</w:t>
      </w:r>
      <w:r>
        <w:rPr>
          <w:rFonts w:hint="eastAsia" w:ascii="宋体" w:hAnsi="宋体"/>
          <w:szCs w:val="21"/>
        </w:rPr>
        <w:t>号）要求，小微企业报价给予</w:t>
      </w:r>
      <w:r>
        <w:rPr>
          <w:rFonts w:ascii="宋体" w:hAnsi="宋体"/>
          <w:szCs w:val="21"/>
        </w:rPr>
        <w:t>10%</w:t>
      </w:r>
      <w:r>
        <w:rPr>
          <w:rFonts w:hint="eastAsia" w:ascii="宋体" w:hAnsi="宋体"/>
          <w:szCs w:val="21"/>
        </w:rPr>
        <w:t>（工程项目为</w:t>
      </w:r>
      <w:r>
        <w:rPr>
          <w:rFonts w:ascii="宋体" w:hAnsi="宋体"/>
          <w:szCs w:val="21"/>
        </w:rPr>
        <w:t>5%</w:t>
      </w:r>
      <w:r>
        <w:rPr>
          <w:rFonts w:hint="eastAsia" w:ascii="宋体" w:hAnsi="宋体"/>
          <w:szCs w:val="21"/>
        </w:rPr>
        <w:t>）的扣除，用扣除后的价格参加评审。接受大中型企业与小微企业组成联合体或者允许大中型企业向一家或者多家小微企业分包的采购项目，对于联合协议或者分包意向协议约定小微企业的合同份额占到合同总金额</w:t>
      </w:r>
      <w:r>
        <w:rPr>
          <w:rFonts w:ascii="宋体" w:hAnsi="宋体"/>
          <w:szCs w:val="21"/>
        </w:rPr>
        <w:t>30%</w:t>
      </w:r>
      <w:r>
        <w:rPr>
          <w:rFonts w:hint="eastAsia" w:ascii="宋体" w:hAnsi="宋体"/>
          <w:szCs w:val="21"/>
        </w:rPr>
        <w:t>以上的，可给予联合体</w:t>
      </w:r>
      <w:r>
        <w:rPr>
          <w:rFonts w:ascii="宋体" w:hAnsi="宋体"/>
          <w:szCs w:val="21"/>
        </w:rPr>
        <w:t>3</w:t>
      </w:r>
      <w:r>
        <w:rPr>
          <w:rFonts w:hint="eastAsia" w:ascii="宋体" w:hAnsi="宋体"/>
          <w:szCs w:val="21"/>
        </w:rPr>
        <w:t>％（工程项目为</w:t>
      </w:r>
      <w:r>
        <w:rPr>
          <w:rFonts w:ascii="宋体" w:hAnsi="宋体"/>
          <w:szCs w:val="21"/>
        </w:rPr>
        <w:t>2%</w:t>
      </w:r>
      <w:r>
        <w:rPr>
          <w:rFonts w:hint="eastAsia" w:ascii="宋体" w:hAnsi="宋体"/>
          <w:szCs w:val="21"/>
        </w:rPr>
        <w:t>）的价格扣除，用扣除后的价格参与评审。组成联合体或者接受分包的小微企业与联合体内其他企业、分包企业之间存在直接控股、管理关系的，不享受价格扣除优惠政策。</w:t>
      </w:r>
    </w:p>
    <w:p>
      <w:pPr>
        <w:topLinePunct/>
        <w:spacing w:line="400" w:lineRule="exact"/>
        <w:ind w:firstLine="420" w:firstLineChars="200"/>
        <w:jc w:val="left"/>
        <w:rPr>
          <w:rFonts w:ascii="宋体" w:hAnsi="宋体"/>
          <w:szCs w:val="21"/>
        </w:rPr>
      </w:pPr>
      <w:r>
        <w:rPr>
          <w:rFonts w:ascii="宋体" w:hAnsi="宋体"/>
          <w:szCs w:val="21"/>
        </w:rPr>
        <w:t>2.7</w:t>
      </w:r>
      <w:r>
        <w:rPr>
          <w:rFonts w:hint="eastAsia" w:ascii="宋体" w:hAnsi="宋体"/>
          <w:szCs w:val="21"/>
        </w:rPr>
        <w:t>采购活动过程中，对供应商的</w:t>
      </w:r>
      <w:r>
        <w:rPr>
          <w:rFonts w:ascii="宋体" w:hAnsi="宋体"/>
          <w:szCs w:val="21"/>
        </w:rPr>
        <w:t>“</w:t>
      </w:r>
      <w:r>
        <w:rPr>
          <w:rFonts w:hint="eastAsia" w:ascii="宋体" w:hAnsi="宋体"/>
          <w:szCs w:val="21"/>
        </w:rPr>
        <w:t>中小企业</w:t>
      </w:r>
      <w:r>
        <w:rPr>
          <w:rFonts w:ascii="宋体" w:hAnsi="宋体"/>
          <w:szCs w:val="21"/>
        </w:rPr>
        <w:t>”</w:t>
      </w:r>
      <w:r>
        <w:rPr>
          <w:rFonts w:hint="eastAsia" w:ascii="宋体" w:hAnsi="宋体"/>
          <w:szCs w:val="21"/>
        </w:rPr>
        <w:t>资格认定，以供应商提交的《中小企业声明函》为准，供应商必须实事求是地提交声明函，如有虚假，将依法承担法律责任。如果在采购活动过程中相关采购当事人对供应商</w:t>
      </w:r>
      <w:r>
        <w:rPr>
          <w:rFonts w:ascii="宋体" w:hAnsi="宋体"/>
          <w:szCs w:val="21"/>
        </w:rPr>
        <w:t>“</w:t>
      </w:r>
      <w:r>
        <w:rPr>
          <w:rFonts w:hint="eastAsia" w:ascii="宋体" w:hAnsi="宋体"/>
          <w:szCs w:val="21"/>
        </w:rPr>
        <w:t>中小企业</w:t>
      </w:r>
      <w:r>
        <w:rPr>
          <w:rFonts w:ascii="宋体" w:hAnsi="宋体"/>
          <w:szCs w:val="21"/>
        </w:rPr>
        <w:t>”</w:t>
      </w:r>
      <w:r>
        <w:rPr>
          <w:rFonts w:hint="eastAsia" w:ascii="宋体" w:hAnsi="宋体"/>
          <w:szCs w:val="21"/>
        </w:rPr>
        <w:t>资格有异议的，由货物制造商或者工程、服务供应商注册登记所在地的县级以上人民政府中小企业主管部门负责认定。</w:t>
      </w:r>
    </w:p>
    <w:p>
      <w:pPr>
        <w:topLinePunct/>
        <w:spacing w:line="400" w:lineRule="exact"/>
        <w:ind w:firstLine="420" w:firstLineChars="200"/>
        <w:jc w:val="left"/>
        <w:rPr>
          <w:rFonts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pPr>
        <w:topLinePunct/>
        <w:spacing w:line="400" w:lineRule="exact"/>
        <w:ind w:firstLine="420" w:firstLineChars="200"/>
        <w:jc w:val="left"/>
        <w:rPr>
          <w:rFonts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pPr>
        <w:topLinePunct/>
        <w:spacing w:line="400" w:lineRule="exact"/>
        <w:ind w:firstLine="420" w:firstLineChars="200"/>
        <w:jc w:val="left"/>
        <w:rPr>
          <w:rFonts w:ascii="宋体" w:hAnsi="宋体"/>
          <w:szCs w:val="21"/>
        </w:rPr>
      </w:pPr>
      <w:r>
        <w:rPr>
          <w:rFonts w:ascii="宋体" w:hAnsi="宋体"/>
          <w:szCs w:val="21"/>
        </w:rPr>
        <w:t>2.8</w:t>
      </w:r>
      <w:r>
        <w:rPr>
          <w:rFonts w:hint="eastAsia" w:ascii="宋体" w:hAnsi="宋体"/>
          <w:szCs w:val="21"/>
        </w:rPr>
        <w:t>按规定享受扶持政策获得政府采购合同的，小微企业不得将合同分包给大中型企业，中型企业不得将合同分包给大型企业。</w:t>
      </w:r>
    </w:p>
    <w:p>
      <w:pPr>
        <w:topLinePunct/>
        <w:spacing w:line="400" w:lineRule="exact"/>
        <w:ind w:firstLine="420" w:firstLineChars="200"/>
        <w:jc w:val="left"/>
        <w:rPr>
          <w:rFonts w:ascii="宋体" w:hAnsi="宋体"/>
          <w:szCs w:val="21"/>
        </w:rPr>
      </w:pPr>
      <w:r>
        <w:rPr>
          <w:rFonts w:ascii="宋体" w:hAnsi="宋体"/>
          <w:szCs w:val="21"/>
        </w:rPr>
        <w:t xml:space="preserve">3. </w:t>
      </w:r>
      <w:r>
        <w:rPr>
          <w:rFonts w:hint="eastAsia" w:ascii="宋体" w:hAnsi="宋体"/>
          <w:szCs w:val="21"/>
        </w:rPr>
        <w:t>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号）规定，监狱企业视同小型、微型企业。监狱企业参加政府采购活动时，应当提供由省级以上监狱管理局、戒毒管理局（含新疆生产建设兵团）出具的属于监狱企业的证明文件。</w:t>
      </w:r>
    </w:p>
    <w:p>
      <w:pPr>
        <w:topLinePunct/>
        <w:spacing w:line="400" w:lineRule="exact"/>
        <w:ind w:firstLine="420" w:firstLineChars="200"/>
        <w:jc w:val="left"/>
        <w:rPr>
          <w:rFonts w:ascii="宋体" w:hAnsi="宋体"/>
          <w:szCs w:val="21"/>
        </w:rPr>
      </w:pPr>
      <w:r>
        <w:rPr>
          <w:rFonts w:ascii="宋体" w:hAnsi="宋体"/>
          <w:szCs w:val="21"/>
        </w:rPr>
        <w:t xml:space="preserve">4. </w:t>
      </w:r>
      <w:r>
        <w:rPr>
          <w:rFonts w:hint="eastAsia" w:ascii="宋体" w:hAnsi="宋体"/>
          <w:szCs w:val="21"/>
        </w:rPr>
        <w:t>根据《关于促进残疾人就业政府采购政策的通知》（财库</w:t>
      </w:r>
      <w:r>
        <w:rPr>
          <w:rFonts w:ascii="宋体" w:hAnsi="宋体"/>
          <w:szCs w:val="21"/>
        </w:rPr>
        <w:t>[2017]141</w:t>
      </w:r>
      <w:r>
        <w:rPr>
          <w:rFonts w:hint="eastAsia" w:ascii="宋体" w:hAnsi="宋体"/>
          <w:szCs w:val="21"/>
        </w:rPr>
        <w:t>号）规定，在政府采购活动中，残疾人福利性单位视同小型、微型企业。残疾人福利性单位参加政府采购活动时，提供《残疾人福利性单位声明函》。</w:t>
      </w:r>
    </w:p>
    <w:p>
      <w:pPr>
        <w:topLinePunct/>
        <w:spacing w:line="400" w:lineRule="exact"/>
        <w:ind w:firstLine="420" w:firstLineChars="200"/>
        <w:jc w:val="left"/>
        <w:rPr>
          <w:rFonts w:ascii="宋体" w:hAnsi="宋体"/>
          <w:szCs w:val="21"/>
        </w:rPr>
      </w:pPr>
      <w:r>
        <w:rPr>
          <w:rFonts w:ascii="宋体" w:hAnsi="宋体"/>
          <w:szCs w:val="21"/>
        </w:rPr>
        <w:t xml:space="preserve">*5. </w:t>
      </w:r>
      <w:r>
        <w:rPr>
          <w:rFonts w:hint="eastAsia" w:ascii="宋体" w:hAnsi="宋体"/>
          <w:szCs w:val="21"/>
        </w:rPr>
        <w:t>投标人应仔细阅读采购文件的所有内容，按照采购文件的要求提交投标文件，并对所提供的全部资料的真实性承担法律责任。</w:t>
      </w:r>
    </w:p>
    <w:p>
      <w:pPr>
        <w:topLinePunct/>
        <w:spacing w:line="400" w:lineRule="exact"/>
        <w:ind w:firstLine="420" w:firstLineChars="200"/>
        <w:jc w:val="left"/>
        <w:rPr>
          <w:rFonts w:ascii="宋体" w:hAnsi="宋体"/>
          <w:szCs w:val="21"/>
        </w:rPr>
      </w:pPr>
      <w:r>
        <w:rPr>
          <w:rFonts w:ascii="宋体" w:hAnsi="宋体"/>
          <w:szCs w:val="21"/>
        </w:rPr>
        <w:t xml:space="preserve">*6. </w:t>
      </w:r>
      <w:r>
        <w:rPr>
          <w:rFonts w:hint="eastAsia" w:ascii="宋体" w:hAnsi="宋体"/>
          <w:szCs w:val="21"/>
        </w:rPr>
        <w:t>投标人在投标活动中提供任何虚假材料，其投标无效。</w:t>
      </w:r>
    </w:p>
    <w:p>
      <w:pPr>
        <w:topLinePunct/>
        <w:spacing w:line="400" w:lineRule="exact"/>
        <w:ind w:firstLine="420" w:firstLineChars="200"/>
        <w:jc w:val="left"/>
        <w:rPr>
          <w:rFonts w:ascii="宋体" w:hAnsi="宋体"/>
          <w:szCs w:val="21"/>
        </w:rPr>
        <w:sectPr>
          <w:footerReference r:id="rId10" w:type="default"/>
          <w:pgSz w:w="11907" w:h="16840"/>
          <w:pgMar w:top="1134" w:right="1134" w:bottom="1134" w:left="1134" w:header="284" w:footer="703" w:gutter="0"/>
          <w:cols w:space="720" w:num="1"/>
          <w:docGrid w:linePitch="285" w:charSpace="0"/>
        </w:sectPr>
      </w:pPr>
    </w:p>
    <w:p>
      <w:pPr>
        <w:spacing w:line="400" w:lineRule="exact"/>
        <w:jc w:val="center"/>
        <w:outlineLvl w:val="0"/>
        <w:rPr>
          <w:rFonts w:eastAsia="黑体"/>
          <w:b/>
          <w:color w:val="000000"/>
          <w:sz w:val="32"/>
        </w:rPr>
      </w:pPr>
      <w:bookmarkStart w:id="31" w:name="_Toc98402392"/>
      <w:r>
        <w:rPr>
          <w:rFonts w:hint="eastAsia" w:eastAsia="黑体"/>
          <w:b/>
          <w:color w:val="000000"/>
          <w:sz w:val="32"/>
        </w:rPr>
        <w:t>第四章</w:t>
      </w:r>
      <w:r>
        <w:rPr>
          <w:rFonts w:eastAsia="黑体"/>
          <w:b/>
          <w:color w:val="000000"/>
          <w:sz w:val="32"/>
        </w:rPr>
        <w:t xml:space="preserve">  </w:t>
      </w:r>
      <w:r>
        <w:rPr>
          <w:rFonts w:hint="eastAsia" w:eastAsia="黑体"/>
          <w:b/>
          <w:color w:val="000000"/>
          <w:sz w:val="32"/>
        </w:rPr>
        <w:t>开标和评标须知</w:t>
      </w:r>
      <w:bookmarkEnd w:id="31"/>
    </w:p>
    <w:p>
      <w:pPr>
        <w:spacing w:line="360" w:lineRule="auto"/>
        <w:ind w:firstLine="420" w:firstLineChars="200"/>
        <w:contextualSpacing/>
        <w:rPr>
          <w:rFonts w:ascii="Arial" w:hAnsi="Arial"/>
          <w:bCs/>
          <w:szCs w:val="21"/>
        </w:rPr>
      </w:pPr>
    </w:p>
    <w:p>
      <w:pPr>
        <w:spacing w:line="360" w:lineRule="auto"/>
        <w:ind w:firstLine="420" w:firstLineChars="200"/>
        <w:contextualSpacing/>
        <w:rPr>
          <w:rFonts w:ascii="Arial" w:hAnsi="Arial"/>
          <w:bCs/>
          <w:szCs w:val="21"/>
        </w:rPr>
      </w:pPr>
      <w:r>
        <w:rPr>
          <w:rFonts w:hint="eastAsia" w:ascii="Arial" w:hAnsi="Arial"/>
          <w:bCs/>
          <w:szCs w:val="21"/>
        </w:rPr>
        <w:t>本办法严格遵照《中华人民共和国政府采购法》、《中华人民共和国政府采购法实施条例》、《政府采购货物和服务招标投标管理办法》，结合项目所在地政府有关政府采购规定和项目的实际情况制定。本次采购为非专门面向中小企业，本次评标将对中小企业声明函满足要求的小型和微型企业（或视同小微企业）的价格给予</w:t>
      </w:r>
      <w:r>
        <w:rPr>
          <w:rFonts w:ascii="Arial" w:hAnsi="Arial"/>
          <w:bCs/>
          <w:szCs w:val="21"/>
        </w:rPr>
        <w:t>1</w:t>
      </w:r>
      <w:r>
        <w:rPr>
          <w:rFonts w:hint="eastAsia" w:ascii="Arial" w:hAnsi="Arial"/>
          <w:bCs/>
          <w:szCs w:val="21"/>
        </w:rPr>
        <w:t>0%的扣除，用扣除后的价格参与评审。</w:t>
      </w:r>
    </w:p>
    <w:p>
      <w:pPr>
        <w:numPr>
          <w:ilvl w:val="0"/>
          <w:numId w:val="7"/>
        </w:numPr>
        <w:spacing w:line="480" w:lineRule="exact"/>
        <w:ind w:firstLine="0"/>
        <w:jc w:val="left"/>
        <w:outlineLvl w:val="1"/>
        <w:rPr>
          <w:rFonts w:ascii="宋体" w:hAnsi="宋体"/>
          <w:b/>
          <w:bCs/>
          <w:szCs w:val="21"/>
        </w:rPr>
      </w:pPr>
      <w:r>
        <w:rPr>
          <w:rFonts w:hint="eastAsia" w:ascii="宋体" w:hAnsi="宋体"/>
          <w:b/>
          <w:bCs/>
          <w:szCs w:val="21"/>
        </w:rPr>
        <w:t xml:space="preserve">总则 </w:t>
      </w:r>
    </w:p>
    <w:p>
      <w:pPr>
        <w:spacing w:line="360" w:lineRule="auto"/>
        <w:ind w:firstLine="420" w:firstLineChars="200"/>
        <w:contextualSpacing/>
        <w:rPr>
          <w:rFonts w:ascii="Arial" w:hAnsi="Arial"/>
          <w:b/>
          <w:szCs w:val="21"/>
        </w:rPr>
      </w:pPr>
      <w:r>
        <w:rPr>
          <w:rFonts w:ascii="Arial" w:hAnsi="Arial"/>
          <w:bCs/>
          <w:szCs w:val="21"/>
        </w:rPr>
        <w:t>招标采购活动遵循公平、公正、科学、择优的原则依法进行，招标采购活动及当事人接受依法实施的监督。</w:t>
      </w:r>
      <w:r>
        <w:rPr>
          <w:rFonts w:hint="eastAsia"/>
          <w:szCs w:val="21"/>
        </w:rPr>
        <w:t>本项目非专门面向小微企业采购，满足要求的投标人享受价格扣除优惠。</w:t>
      </w:r>
    </w:p>
    <w:p>
      <w:pPr>
        <w:pStyle w:val="13"/>
        <w:snapToGrid/>
        <w:spacing w:line="360" w:lineRule="auto"/>
        <w:ind w:firstLine="420" w:firstLineChars="199"/>
        <w:rPr>
          <w:rFonts w:ascii="Arial" w:hAnsi="Arial"/>
          <w:color w:val="auto"/>
          <w:sz w:val="21"/>
          <w:szCs w:val="21"/>
        </w:rPr>
      </w:pPr>
      <w:r>
        <w:rPr>
          <w:rFonts w:ascii="Arial" w:hAnsi="Arial"/>
          <w:color w:val="auto"/>
          <w:sz w:val="21"/>
          <w:szCs w:val="21"/>
        </w:rPr>
        <w:t xml:space="preserve">本次招标采购采用综合评分法。 </w:t>
      </w:r>
    </w:p>
    <w:p>
      <w:pPr>
        <w:numPr>
          <w:ilvl w:val="0"/>
          <w:numId w:val="7"/>
        </w:numPr>
        <w:spacing w:line="480" w:lineRule="exact"/>
        <w:ind w:firstLine="0"/>
        <w:jc w:val="left"/>
        <w:outlineLvl w:val="1"/>
        <w:rPr>
          <w:rFonts w:ascii="宋体" w:hAnsi="宋体"/>
          <w:b/>
          <w:bCs/>
          <w:szCs w:val="21"/>
        </w:rPr>
      </w:pPr>
      <w:r>
        <w:rPr>
          <w:rFonts w:hint="eastAsia" w:ascii="宋体" w:hAnsi="宋体"/>
          <w:b/>
          <w:bCs/>
          <w:szCs w:val="21"/>
        </w:rPr>
        <w:t xml:space="preserve">评标组织 </w:t>
      </w:r>
    </w:p>
    <w:p>
      <w:pPr>
        <w:pStyle w:val="13"/>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评标委员会：采购人和采购代理机构根据采购项目的内容特点按照规定组建评标委员会。评标委员会由采购人代表和评审专家组成。 </w:t>
      </w:r>
    </w:p>
    <w:p>
      <w:pPr>
        <w:pStyle w:val="13"/>
        <w:snapToGrid/>
        <w:spacing w:line="360" w:lineRule="auto"/>
        <w:ind w:firstLine="417" w:firstLineChars="199"/>
        <w:rPr>
          <w:rFonts w:ascii="Arial" w:hAnsi="Arial"/>
          <w:color w:val="auto"/>
          <w:sz w:val="21"/>
          <w:szCs w:val="21"/>
        </w:rPr>
      </w:pPr>
      <w:r>
        <w:rPr>
          <w:rFonts w:ascii="Arial" w:hAnsi="Arial"/>
          <w:b w:val="0"/>
          <w:color w:val="auto"/>
          <w:sz w:val="21"/>
          <w:szCs w:val="21"/>
        </w:rPr>
        <w:t>主持人宣布评标期间的有关事项，告知应当回避的情形，提请有关人员回避。</w:t>
      </w:r>
      <w:r>
        <w:rPr>
          <w:rFonts w:ascii="Arial" w:hAnsi="Arial"/>
          <w:color w:val="auto"/>
          <w:sz w:val="21"/>
          <w:szCs w:val="21"/>
        </w:rPr>
        <w:t xml:space="preserve"> </w:t>
      </w:r>
    </w:p>
    <w:p>
      <w:pPr>
        <w:numPr>
          <w:ilvl w:val="0"/>
          <w:numId w:val="7"/>
        </w:numPr>
        <w:spacing w:line="480" w:lineRule="exact"/>
        <w:ind w:firstLine="0"/>
        <w:jc w:val="left"/>
        <w:outlineLvl w:val="1"/>
        <w:rPr>
          <w:rFonts w:ascii="宋体" w:hAnsi="宋体"/>
          <w:b/>
          <w:bCs/>
          <w:szCs w:val="21"/>
        </w:rPr>
      </w:pPr>
      <w:r>
        <w:rPr>
          <w:rFonts w:hint="eastAsia" w:ascii="宋体" w:hAnsi="宋体"/>
          <w:b/>
          <w:bCs/>
          <w:szCs w:val="21"/>
        </w:rPr>
        <w:t xml:space="preserve">评标程序 </w:t>
      </w:r>
    </w:p>
    <w:p>
      <w:pPr>
        <w:pStyle w:val="13"/>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1、采购机构按《招标文件》规定的时间、地点组织进行开标。开标会议由采购代理机构组织，按《招标文件》的规定对供应商的基本情况进行审核。 </w:t>
      </w:r>
    </w:p>
    <w:p>
      <w:pPr>
        <w:pStyle w:val="13"/>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2、评标委员会根据《招标文件》规定对供应商的投标文件进行初步评审。对投标文件中含义不明确、同类问题表述不一致或者有明显文字和计算错误的内容，评标委员会可要求供应商作出必要的澄清、说明或者纠正。最终评标委员会将对各供应商进行详细评审并打分。 </w:t>
      </w:r>
    </w:p>
    <w:p>
      <w:pPr>
        <w:pStyle w:val="13"/>
        <w:snapToGrid/>
        <w:spacing w:line="360" w:lineRule="auto"/>
        <w:ind w:firstLine="417" w:firstLineChars="199"/>
        <w:rPr>
          <w:rFonts w:ascii="Arial" w:hAnsi="Arial"/>
          <w:color w:val="auto"/>
          <w:sz w:val="21"/>
          <w:szCs w:val="21"/>
        </w:rPr>
      </w:pPr>
      <w:r>
        <w:rPr>
          <w:rFonts w:ascii="Arial" w:hAnsi="Arial"/>
          <w:b w:val="0"/>
          <w:color w:val="auto"/>
          <w:sz w:val="21"/>
          <w:szCs w:val="21"/>
        </w:rPr>
        <w:t>3、按照供应商的综合得分排名，评标委员会推荐中标候选人，</w:t>
      </w:r>
      <w:r>
        <w:rPr>
          <w:rFonts w:hint="eastAsia" w:ascii="Arial" w:hAnsi="Arial"/>
          <w:b w:val="0"/>
          <w:color w:val="auto"/>
          <w:sz w:val="21"/>
          <w:szCs w:val="21"/>
        </w:rPr>
        <w:t>在</w:t>
      </w:r>
      <w:r>
        <w:rPr>
          <w:rFonts w:ascii="Arial" w:hAnsi="Arial"/>
          <w:b w:val="0"/>
          <w:color w:val="auto"/>
          <w:sz w:val="21"/>
          <w:szCs w:val="21"/>
        </w:rPr>
        <w:t>招标公告发布的网站上公布评标结果。</w:t>
      </w:r>
      <w:r>
        <w:rPr>
          <w:rFonts w:ascii="Arial" w:hAnsi="Arial"/>
          <w:color w:val="auto"/>
          <w:sz w:val="21"/>
          <w:szCs w:val="21"/>
        </w:rPr>
        <w:t xml:space="preserve"> </w:t>
      </w:r>
    </w:p>
    <w:p>
      <w:pPr>
        <w:numPr>
          <w:ilvl w:val="0"/>
          <w:numId w:val="7"/>
        </w:numPr>
        <w:spacing w:line="480" w:lineRule="exact"/>
        <w:ind w:firstLine="0"/>
        <w:jc w:val="left"/>
        <w:outlineLvl w:val="1"/>
        <w:rPr>
          <w:rFonts w:ascii="宋体" w:hAnsi="宋体"/>
          <w:b/>
          <w:bCs/>
          <w:szCs w:val="21"/>
        </w:rPr>
      </w:pPr>
      <w:r>
        <w:rPr>
          <w:rFonts w:hint="eastAsia" w:ascii="宋体" w:hAnsi="宋体"/>
          <w:b/>
          <w:bCs/>
          <w:szCs w:val="21"/>
        </w:rPr>
        <w:t xml:space="preserve">评标过程 </w:t>
      </w:r>
    </w:p>
    <w:p>
      <w:pPr>
        <w:pStyle w:val="13"/>
        <w:snapToGrid/>
        <w:spacing w:line="360" w:lineRule="auto"/>
        <w:ind w:firstLine="420" w:firstLineChars="199"/>
        <w:rPr>
          <w:rFonts w:ascii="Arial" w:hAnsi="Arial"/>
          <w:color w:val="auto"/>
          <w:sz w:val="21"/>
          <w:szCs w:val="21"/>
        </w:rPr>
      </w:pPr>
      <w:r>
        <w:rPr>
          <w:rFonts w:hint="eastAsia" w:ascii="Arial" w:hAnsi="Arial"/>
          <w:color w:val="auto"/>
          <w:sz w:val="21"/>
          <w:szCs w:val="21"/>
        </w:rPr>
        <w:t>1、资格条件审查</w:t>
      </w:r>
    </w:p>
    <w:p>
      <w:pPr>
        <w:pStyle w:val="13"/>
        <w:snapToGrid/>
        <w:spacing w:line="360" w:lineRule="auto"/>
        <w:ind w:firstLine="417" w:firstLineChars="199"/>
        <w:rPr>
          <w:rFonts w:ascii="Arial" w:hAnsi="Arial"/>
          <w:b w:val="0"/>
          <w:color w:val="auto"/>
          <w:sz w:val="21"/>
          <w:szCs w:val="21"/>
        </w:rPr>
      </w:pPr>
      <w:r>
        <w:rPr>
          <w:rFonts w:hint="eastAsia" w:ascii="Arial" w:hAnsi="Arial"/>
          <w:b w:val="0"/>
          <w:color w:val="auto"/>
          <w:sz w:val="21"/>
          <w:szCs w:val="21"/>
        </w:rPr>
        <w:t>由招标人或代理机构对投标人的资格进行审查。</w:t>
      </w:r>
      <w:r>
        <w:rPr>
          <w:rFonts w:ascii="Arial" w:hAnsi="Arial"/>
          <w:b w:val="0"/>
          <w:color w:val="auto"/>
          <w:sz w:val="21"/>
          <w:szCs w:val="21"/>
        </w:rPr>
        <w:t xml:space="preserve"> </w:t>
      </w:r>
    </w:p>
    <w:tbl>
      <w:tblPr>
        <w:tblStyle w:val="24"/>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1" w:type="dxa"/>
            <w:vAlign w:val="center"/>
          </w:tcPr>
          <w:p>
            <w:pPr>
              <w:spacing w:line="0" w:lineRule="atLeast"/>
              <w:jc w:val="center"/>
              <w:rPr>
                <w:color w:val="000000"/>
                <w:szCs w:val="21"/>
              </w:rPr>
            </w:pPr>
            <w:r>
              <w:rPr>
                <w:color w:val="000000"/>
                <w:szCs w:val="21"/>
              </w:rPr>
              <w:t>审查类别</w:t>
            </w:r>
          </w:p>
        </w:tc>
        <w:tc>
          <w:tcPr>
            <w:tcW w:w="7584" w:type="dxa"/>
            <w:vAlign w:val="center"/>
          </w:tcPr>
          <w:p>
            <w:pPr>
              <w:spacing w:line="0" w:lineRule="atLeast"/>
              <w:jc w:val="center"/>
              <w:rPr>
                <w:color w:val="000000"/>
                <w:szCs w:val="21"/>
              </w:rPr>
            </w:pPr>
            <w:r>
              <w:rPr>
                <w:color w:val="00000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pPr>
              <w:spacing w:line="0" w:lineRule="atLeast"/>
              <w:jc w:val="center"/>
              <w:rPr>
                <w:color w:val="000000"/>
                <w:szCs w:val="21"/>
              </w:rPr>
            </w:pPr>
            <w:r>
              <w:rPr>
                <w:color w:val="000000"/>
                <w:szCs w:val="21"/>
              </w:rPr>
              <w:t>资格条件审查</w:t>
            </w:r>
          </w:p>
        </w:tc>
        <w:tc>
          <w:tcPr>
            <w:tcW w:w="7584" w:type="dxa"/>
            <w:vAlign w:val="center"/>
          </w:tcPr>
          <w:p>
            <w:pPr>
              <w:spacing w:line="0" w:lineRule="atLeast"/>
              <w:jc w:val="left"/>
              <w:rPr>
                <w:color w:val="000000"/>
                <w:szCs w:val="21"/>
              </w:rPr>
            </w:pPr>
            <w:r>
              <w:rPr>
                <w:color w:val="000000"/>
                <w:szCs w:val="21"/>
              </w:rPr>
              <w:t>（一）符合《中华人民共和国政府采购法》第二十二条规定的投标人资格条件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21" w:type="dxa"/>
            <w:vMerge w:val="continue"/>
            <w:vAlign w:val="center"/>
          </w:tcPr>
          <w:p>
            <w:pPr>
              <w:spacing w:line="0" w:lineRule="atLeast"/>
              <w:jc w:val="center"/>
              <w:rPr>
                <w:color w:val="000000"/>
                <w:szCs w:val="21"/>
              </w:rPr>
            </w:pPr>
          </w:p>
        </w:tc>
        <w:tc>
          <w:tcPr>
            <w:tcW w:w="7584" w:type="dxa"/>
            <w:vAlign w:val="center"/>
          </w:tcPr>
          <w:p>
            <w:pPr>
              <w:spacing w:line="0" w:lineRule="atLeast"/>
              <w:jc w:val="left"/>
              <w:rPr>
                <w:color w:val="000000"/>
                <w:szCs w:val="21"/>
              </w:rPr>
            </w:pPr>
            <w:r>
              <w:rPr>
                <w:color w:val="000000"/>
                <w:szCs w:val="21"/>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pPr>
              <w:spacing w:line="0" w:lineRule="atLeast"/>
              <w:jc w:val="center"/>
              <w:rPr>
                <w:color w:val="000000"/>
                <w:szCs w:val="21"/>
              </w:rPr>
            </w:pPr>
          </w:p>
        </w:tc>
        <w:tc>
          <w:tcPr>
            <w:tcW w:w="7584" w:type="dxa"/>
            <w:vAlign w:val="center"/>
          </w:tcPr>
          <w:p>
            <w:pPr>
              <w:spacing w:line="0" w:lineRule="atLeast"/>
              <w:jc w:val="left"/>
              <w:rPr>
                <w:color w:val="000000"/>
                <w:szCs w:val="21"/>
              </w:rPr>
            </w:pPr>
            <w:r>
              <w:rPr>
                <w:color w:val="000000"/>
                <w:szCs w:val="21"/>
              </w:rPr>
              <w:t>（三）投标人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vMerge w:val="continue"/>
            <w:vAlign w:val="center"/>
          </w:tcPr>
          <w:p>
            <w:pPr>
              <w:spacing w:line="0" w:lineRule="atLeast"/>
              <w:jc w:val="center"/>
              <w:rPr>
                <w:color w:val="000000"/>
                <w:szCs w:val="21"/>
              </w:rPr>
            </w:pPr>
          </w:p>
        </w:tc>
        <w:tc>
          <w:tcPr>
            <w:tcW w:w="7584" w:type="dxa"/>
            <w:vAlign w:val="center"/>
          </w:tcPr>
          <w:p>
            <w:pPr>
              <w:spacing w:line="0" w:lineRule="atLeast"/>
              <w:jc w:val="left"/>
              <w:rPr>
                <w:color w:val="000000"/>
                <w:szCs w:val="21"/>
              </w:rPr>
            </w:pPr>
            <w:r>
              <w:rPr>
                <w:color w:val="000000"/>
                <w:szCs w:val="21"/>
              </w:rPr>
              <w:t>（四）</w:t>
            </w:r>
            <w:r>
              <w:rPr>
                <w:bCs/>
                <w:color w:val="000000"/>
                <w:szCs w:val="21"/>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spacing w:line="0" w:lineRule="atLeast"/>
              <w:jc w:val="center"/>
              <w:rPr>
                <w:color w:val="000000"/>
                <w:szCs w:val="21"/>
              </w:rPr>
            </w:pPr>
          </w:p>
        </w:tc>
        <w:tc>
          <w:tcPr>
            <w:tcW w:w="7584" w:type="dxa"/>
            <w:vAlign w:val="center"/>
          </w:tcPr>
          <w:p>
            <w:pPr>
              <w:spacing w:line="0" w:lineRule="atLeast"/>
              <w:jc w:val="left"/>
              <w:rPr>
                <w:color w:val="000000"/>
                <w:szCs w:val="21"/>
              </w:rPr>
            </w:pPr>
            <w:r>
              <w:rPr>
                <w:color w:val="000000"/>
                <w:szCs w:val="21"/>
              </w:rPr>
              <w:t>（五）特定的资格条件。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spacing w:line="0" w:lineRule="atLeast"/>
              <w:jc w:val="center"/>
              <w:rPr>
                <w:color w:val="000000"/>
                <w:szCs w:val="21"/>
              </w:rPr>
            </w:pPr>
          </w:p>
        </w:tc>
        <w:tc>
          <w:tcPr>
            <w:tcW w:w="7584" w:type="dxa"/>
            <w:vAlign w:val="center"/>
          </w:tcPr>
          <w:p>
            <w:pPr>
              <w:spacing w:line="0" w:lineRule="atLeast"/>
              <w:jc w:val="left"/>
              <w:rPr>
                <w:color w:val="000000"/>
                <w:szCs w:val="21"/>
              </w:rPr>
            </w:pPr>
            <w:r>
              <w:rPr>
                <w:color w:val="000000"/>
                <w:szCs w:val="21"/>
              </w:rPr>
              <w:t>（</w:t>
            </w:r>
            <w:r>
              <w:rPr>
                <w:rFonts w:hint="eastAsia"/>
                <w:color w:val="000000"/>
                <w:szCs w:val="21"/>
              </w:rPr>
              <w:t>六</w:t>
            </w:r>
            <w:r>
              <w:rPr>
                <w:color w:val="000000"/>
                <w:szCs w:val="21"/>
              </w:rPr>
              <w:t>）本项目</w:t>
            </w:r>
            <w:r>
              <w:rPr>
                <w:rFonts w:hint="eastAsia"/>
                <w:color w:val="000000"/>
                <w:szCs w:val="21"/>
              </w:rPr>
              <w:t>不</w:t>
            </w:r>
            <w:r>
              <w:rPr>
                <w:color w:val="000000"/>
                <w:szCs w:val="21"/>
              </w:rPr>
              <w:t>接受联合体投标。</w:t>
            </w:r>
          </w:p>
        </w:tc>
      </w:tr>
    </w:tbl>
    <w:p>
      <w:pPr>
        <w:pStyle w:val="13"/>
        <w:snapToGrid/>
        <w:spacing w:line="360" w:lineRule="auto"/>
        <w:ind w:firstLine="0" w:firstLineChars="0"/>
        <w:rPr>
          <w:rFonts w:ascii="Arial" w:hAnsi="Arial"/>
          <w:b w:val="0"/>
          <w:color w:val="auto"/>
          <w:sz w:val="21"/>
          <w:szCs w:val="21"/>
        </w:rPr>
      </w:pPr>
    </w:p>
    <w:p>
      <w:pPr>
        <w:pStyle w:val="13"/>
        <w:snapToGrid/>
        <w:spacing w:line="360" w:lineRule="auto"/>
        <w:ind w:firstLine="420" w:firstLineChars="199"/>
        <w:rPr>
          <w:rFonts w:ascii="Arial" w:hAnsi="Arial"/>
          <w:color w:val="auto"/>
          <w:sz w:val="21"/>
          <w:szCs w:val="21"/>
        </w:rPr>
      </w:pPr>
      <w:r>
        <w:rPr>
          <w:rFonts w:hint="eastAsia" w:ascii="Arial" w:hAnsi="Arial"/>
          <w:color w:val="auto"/>
          <w:sz w:val="21"/>
          <w:szCs w:val="21"/>
        </w:rPr>
        <w:t>2、符合性审查</w:t>
      </w:r>
      <w:r>
        <w:rPr>
          <w:rFonts w:ascii="Arial" w:hAnsi="Arial"/>
          <w:color w:val="auto"/>
          <w:sz w:val="21"/>
          <w:szCs w:val="21"/>
        </w:rPr>
        <w:t>：</w:t>
      </w:r>
    </w:p>
    <w:p>
      <w:pPr>
        <w:pStyle w:val="13"/>
        <w:snapToGrid/>
        <w:spacing w:line="360" w:lineRule="auto"/>
        <w:ind w:firstLine="417" w:firstLineChars="199"/>
        <w:rPr>
          <w:rFonts w:ascii="Arial" w:hAnsi="Arial"/>
          <w:b w:val="0"/>
          <w:color w:val="auto"/>
          <w:sz w:val="21"/>
          <w:szCs w:val="21"/>
        </w:rPr>
      </w:pPr>
      <w:r>
        <w:rPr>
          <w:rFonts w:hint="eastAsia" w:ascii="Arial" w:hAnsi="Arial"/>
          <w:b w:val="0"/>
          <w:color w:val="auto"/>
          <w:sz w:val="21"/>
          <w:szCs w:val="21"/>
        </w:rPr>
        <w:t>评标委员会应当对符合资格的投标人的投标文件进行符合性审查，以确定其是否满足招标文件的实质性要求。</w:t>
      </w:r>
    </w:p>
    <w:tbl>
      <w:tblPr>
        <w:tblStyle w:val="24"/>
        <w:tblW w:w="9099"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551" w:type="dxa"/>
            <w:vAlign w:val="center"/>
          </w:tcPr>
          <w:p>
            <w:pPr>
              <w:spacing w:line="400" w:lineRule="exact"/>
              <w:jc w:val="center"/>
              <w:rPr>
                <w:b/>
                <w:bCs/>
                <w:szCs w:val="21"/>
              </w:rPr>
            </w:pPr>
            <w:r>
              <w:rPr>
                <w:b/>
                <w:bCs/>
                <w:szCs w:val="21"/>
              </w:rPr>
              <w:t>审查类别</w:t>
            </w:r>
          </w:p>
        </w:tc>
        <w:tc>
          <w:tcPr>
            <w:tcW w:w="7548" w:type="dxa"/>
            <w:vAlign w:val="center"/>
          </w:tcPr>
          <w:p>
            <w:pPr>
              <w:spacing w:line="400" w:lineRule="exact"/>
              <w:jc w:val="center"/>
              <w:rPr>
                <w:b/>
                <w:bCs/>
                <w:szCs w:val="21"/>
              </w:rPr>
            </w:pPr>
            <w:r>
              <w:rPr>
                <w:b/>
                <w:bCs/>
                <w:szCs w:val="21"/>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restart"/>
            <w:vAlign w:val="center"/>
          </w:tcPr>
          <w:p>
            <w:pPr>
              <w:spacing w:line="400" w:lineRule="exact"/>
              <w:jc w:val="center"/>
              <w:rPr>
                <w:szCs w:val="21"/>
              </w:rPr>
            </w:pPr>
            <w:r>
              <w:rPr>
                <w:szCs w:val="21"/>
              </w:rPr>
              <w:t>符合性审查</w:t>
            </w:r>
          </w:p>
        </w:tc>
        <w:tc>
          <w:tcPr>
            <w:tcW w:w="7548" w:type="dxa"/>
          </w:tcPr>
          <w:p>
            <w:pPr>
              <w:spacing w:line="400" w:lineRule="exact"/>
              <w:rPr>
                <w:szCs w:val="21"/>
              </w:rPr>
            </w:pPr>
            <w:r>
              <w:rPr>
                <w:szCs w:val="21"/>
              </w:rPr>
              <w:t>按招标文件要求签署、签章。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szCs w:val="21"/>
              </w:rPr>
            </w:pPr>
          </w:p>
        </w:tc>
        <w:tc>
          <w:tcPr>
            <w:tcW w:w="7548" w:type="dxa"/>
          </w:tcPr>
          <w:p>
            <w:pPr>
              <w:spacing w:line="400" w:lineRule="exact"/>
              <w:rPr>
                <w:szCs w:val="21"/>
              </w:rPr>
            </w:pPr>
            <w:r>
              <w:rPr>
                <w:szCs w:val="21"/>
              </w:rPr>
              <w:t>投标有效期满足招标文件要求。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szCs w:val="21"/>
              </w:rPr>
            </w:pPr>
          </w:p>
        </w:tc>
        <w:tc>
          <w:tcPr>
            <w:tcW w:w="7548" w:type="dxa"/>
          </w:tcPr>
          <w:p>
            <w:pPr>
              <w:spacing w:line="400" w:lineRule="exact"/>
              <w:rPr>
                <w:szCs w:val="21"/>
              </w:rPr>
            </w:pPr>
            <w:r>
              <w:rPr>
                <w:szCs w:val="21"/>
              </w:rPr>
              <w:t>符合招标文件要求的，未发生与招标文件中标注“*”的条款实质性偏离的。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szCs w:val="21"/>
              </w:rPr>
            </w:pPr>
          </w:p>
        </w:tc>
        <w:tc>
          <w:tcPr>
            <w:tcW w:w="7548" w:type="dxa"/>
          </w:tcPr>
          <w:p>
            <w:pPr>
              <w:spacing w:line="400" w:lineRule="exact"/>
              <w:rPr>
                <w:szCs w:val="21"/>
              </w:rPr>
            </w:pPr>
            <w:r>
              <w:rPr>
                <w:szCs w:val="21"/>
              </w:rPr>
              <w:t>不含有采购人不能接受的附加条件。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szCs w:val="21"/>
              </w:rPr>
            </w:pPr>
          </w:p>
        </w:tc>
        <w:tc>
          <w:tcPr>
            <w:tcW w:w="7548" w:type="dxa"/>
          </w:tcPr>
          <w:p>
            <w:pPr>
              <w:spacing w:line="400" w:lineRule="exact"/>
              <w:rPr>
                <w:szCs w:val="21"/>
              </w:rPr>
            </w:pPr>
            <w:r>
              <w:rPr>
                <w:szCs w:val="21"/>
              </w:rPr>
              <w:t>委托人提供法定代表人授权委托书或填写项目齐全。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szCs w:val="21"/>
              </w:rPr>
            </w:pPr>
          </w:p>
        </w:tc>
        <w:tc>
          <w:tcPr>
            <w:tcW w:w="7548" w:type="dxa"/>
          </w:tcPr>
          <w:p>
            <w:pPr>
              <w:spacing w:line="400" w:lineRule="exact"/>
            </w:pPr>
            <w:r>
              <w:rPr>
                <w:szCs w:val="21"/>
              </w:rPr>
              <w:t>投标文件格式规范、提供资料齐全或者未提供虚假内容。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szCs w:val="21"/>
              </w:rPr>
            </w:pPr>
          </w:p>
        </w:tc>
        <w:tc>
          <w:tcPr>
            <w:tcW w:w="7548" w:type="dxa"/>
          </w:tcPr>
          <w:p>
            <w:pPr>
              <w:spacing w:line="400" w:lineRule="exact"/>
            </w:pPr>
            <w:r>
              <w:rPr>
                <w:szCs w:val="21"/>
              </w:rPr>
              <w:t>投标文件的实质性内容使用中文表述、表述明确、前后不矛盾或者使用计量单位符合招标文件要求的（经评标委员会认定并允许其当场更正的笔误除外）。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szCs w:val="21"/>
              </w:rPr>
            </w:pPr>
          </w:p>
        </w:tc>
        <w:tc>
          <w:tcPr>
            <w:tcW w:w="7548" w:type="dxa"/>
          </w:tcPr>
          <w:p>
            <w:pPr>
              <w:spacing w:line="400" w:lineRule="exact"/>
            </w:pPr>
            <w:r>
              <w:rPr>
                <w:szCs w:val="21"/>
              </w:rPr>
              <w:t>投标文件的关键内容字迹清晰、易辨认的，或者投标文件中经修正的内容字迹易辩认或者修改处按规定签署、盖章。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szCs w:val="21"/>
              </w:rPr>
            </w:pPr>
          </w:p>
        </w:tc>
        <w:tc>
          <w:tcPr>
            <w:tcW w:w="7548" w:type="dxa"/>
          </w:tcPr>
          <w:p>
            <w:pPr>
              <w:spacing w:line="400" w:lineRule="exact"/>
              <w:rPr>
                <w:szCs w:val="21"/>
              </w:rPr>
            </w:pPr>
            <w:r>
              <w:rPr>
                <w:szCs w:val="21"/>
              </w:rPr>
              <w:t>未发现法律、法规和招标文件规定的其他无效情形。</w:t>
            </w:r>
          </w:p>
        </w:tc>
      </w:tr>
    </w:tbl>
    <w:p>
      <w:pPr>
        <w:pStyle w:val="13"/>
        <w:snapToGrid/>
        <w:spacing w:line="360" w:lineRule="auto"/>
        <w:ind w:firstLine="420" w:firstLineChars="199"/>
        <w:rPr>
          <w:rFonts w:ascii="Arial" w:hAnsi="Arial"/>
          <w:color w:val="auto"/>
          <w:sz w:val="21"/>
          <w:szCs w:val="21"/>
        </w:rPr>
      </w:pPr>
    </w:p>
    <w:p>
      <w:pPr>
        <w:pStyle w:val="13"/>
        <w:snapToGrid/>
        <w:spacing w:line="360" w:lineRule="auto"/>
        <w:ind w:firstLine="420" w:firstLineChars="199"/>
        <w:rPr>
          <w:rFonts w:ascii="Arial" w:hAnsi="Arial"/>
          <w:color w:val="auto"/>
          <w:sz w:val="21"/>
          <w:szCs w:val="21"/>
        </w:rPr>
      </w:pPr>
      <w:r>
        <w:rPr>
          <w:rFonts w:ascii="Arial" w:hAnsi="Arial"/>
          <w:color w:val="auto"/>
          <w:sz w:val="21"/>
          <w:szCs w:val="21"/>
        </w:rPr>
        <w:t xml:space="preserve">3、澄清问题 </w:t>
      </w:r>
    </w:p>
    <w:p>
      <w:pPr>
        <w:pStyle w:val="13"/>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对投标文件中含义不明确、同类问题表述不一致或者有明显文字和计算错误的内容，评标委员会可要求供应商作出必要的澄清、说明或者纠正。 </w:t>
      </w:r>
    </w:p>
    <w:p>
      <w:pPr>
        <w:pStyle w:val="13"/>
        <w:snapToGrid/>
        <w:spacing w:line="360" w:lineRule="auto"/>
        <w:ind w:firstLine="420" w:firstLineChars="199"/>
        <w:rPr>
          <w:rFonts w:ascii="Arial" w:hAnsi="Arial"/>
          <w:color w:val="auto"/>
          <w:sz w:val="21"/>
          <w:szCs w:val="21"/>
        </w:rPr>
      </w:pPr>
      <w:r>
        <w:rPr>
          <w:rFonts w:ascii="Arial" w:hAnsi="Arial"/>
          <w:color w:val="auto"/>
          <w:sz w:val="21"/>
          <w:szCs w:val="21"/>
        </w:rPr>
        <w:t xml:space="preserve">3、详细评审 </w:t>
      </w:r>
    </w:p>
    <w:p>
      <w:pPr>
        <w:spacing w:line="360" w:lineRule="auto"/>
        <w:ind w:firstLine="420" w:firstLineChars="200"/>
        <w:jc w:val="left"/>
        <w:rPr>
          <w:rFonts w:ascii="宋体"/>
          <w:color w:val="000000"/>
          <w:szCs w:val="21"/>
        </w:rPr>
      </w:pPr>
      <w:r>
        <w:rPr>
          <w:rFonts w:ascii="Arial" w:hAnsi="Arial"/>
          <w:szCs w:val="21"/>
        </w:rPr>
        <w:t>评标委员会对初步评审合格的投标文件，依照本办法对</w:t>
      </w:r>
      <w:r>
        <w:rPr>
          <w:rFonts w:hint="eastAsia" w:ascii="宋体" w:hAnsi="宋体"/>
          <w:color w:val="000000"/>
          <w:szCs w:val="21"/>
        </w:rPr>
        <w:t>商务、技术和价格按</w:t>
      </w:r>
      <w:r>
        <w:rPr>
          <w:rFonts w:hint="eastAsia" w:ascii="宋体" w:hAnsi="宋体"/>
          <w:b/>
          <w:color w:val="000000"/>
          <w:szCs w:val="21"/>
        </w:rPr>
        <w:t>第五章评分办法及标准</w:t>
      </w:r>
      <w:r>
        <w:rPr>
          <w:rFonts w:hint="eastAsia" w:ascii="宋体" w:hAnsi="宋体"/>
          <w:color w:val="000000"/>
          <w:szCs w:val="21"/>
        </w:rPr>
        <w:t>的规定进行打分。</w:t>
      </w:r>
    </w:p>
    <w:p>
      <w:pPr>
        <w:spacing w:line="360" w:lineRule="auto"/>
        <w:ind w:firstLine="420" w:firstLineChars="200"/>
        <w:jc w:val="left"/>
        <w:rPr>
          <w:rFonts w:ascii="宋体"/>
          <w:color w:val="000000"/>
          <w:szCs w:val="21"/>
        </w:rPr>
      </w:pPr>
      <w:r>
        <w:rPr>
          <w:rFonts w:hint="eastAsia" w:ascii="宋体" w:hAnsi="宋体"/>
          <w:color w:val="000000"/>
          <w:szCs w:val="21"/>
        </w:rPr>
        <w:t>评标委员会经过评审，认为所有投标都不符合招标文件要求的，可以否决所有投标。</w:t>
      </w:r>
    </w:p>
    <w:p>
      <w:pPr>
        <w:pStyle w:val="13"/>
        <w:snapToGrid/>
        <w:spacing w:line="360" w:lineRule="auto"/>
        <w:ind w:firstLine="420" w:firstLineChars="199"/>
        <w:rPr>
          <w:rFonts w:ascii="Arial" w:hAnsi="Arial"/>
          <w:color w:val="auto"/>
          <w:sz w:val="21"/>
          <w:szCs w:val="21"/>
        </w:rPr>
      </w:pPr>
      <w:r>
        <w:rPr>
          <w:rFonts w:hint="eastAsia" w:ascii="Arial" w:hAnsi="Arial"/>
          <w:color w:val="auto"/>
          <w:sz w:val="21"/>
          <w:szCs w:val="21"/>
        </w:rPr>
        <w:t>4、确定中标候选人</w:t>
      </w:r>
    </w:p>
    <w:p>
      <w:pPr>
        <w:widowControl/>
        <w:spacing w:line="360" w:lineRule="auto"/>
        <w:ind w:firstLine="420" w:firstLineChars="200"/>
        <w:jc w:val="left"/>
        <w:rPr>
          <w:szCs w:val="21"/>
        </w:rPr>
      </w:pPr>
      <w:r>
        <w:rPr>
          <w:szCs w:val="21"/>
        </w:rPr>
        <w:t>评标委员会</w:t>
      </w:r>
      <w:r>
        <w:rPr>
          <w:rFonts w:hint="eastAsia"/>
          <w:szCs w:val="21"/>
        </w:rPr>
        <w:t>按综合得分自高向低次序排出评标结果排序。得分相同的，按投标报价由低到高顺序排列。得分且投标报价相同的，抽签确定排名。评标委员会按评审后得分由高到低顺序推荐前</w:t>
      </w:r>
      <w:r>
        <w:rPr>
          <w:szCs w:val="21"/>
        </w:rPr>
        <w:t>30</w:t>
      </w:r>
      <w:r>
        <w:rPr>
          <w:rFonts w:hint="eastAsia"/>
          <w:szCs w:val="21"/>
        </w:rPr>
        <w:t>名中标候选人。</w:t>
      </w:r>
      <w:r>
        <w:rPr>
          <w:szCs w:val="21"/>
        </w:rPr>
        <w:t>如评标过程中出现本采购文件未尽事宜，则由评标委员会讨论决定。</w:t>
      </w:r>
    </w:p>
    <w:p>
      <w:pPr>
        <w:pStyle w:val="13"/>
        <w:snapToGrid/>
        <w:spacing w:line="360" w:lineRule="auto"/>
        <w:ind w:firstLine="420" w:firstLineChars="199"/>
        <w:rPr>
          <w:rFonts w:ascii="Arial" w:hAnsi="Arial"/>
          <w:color w:val="auto"/>
          <w:sz w:val="21"/>
          <w:szCs w:val="21"/>
        </w:rPr>
      </w:pPr>
      <w:r>
        <w:rPr>
          <w:rFonts w:hint="eastAsia" w:ascii="Arial" w:hAnsi="Arial"/>
          <w:color w:val="auto"/>
          <w:sz w:val="21"/>
          <w:szCs w:val="21"/>
        </w:rPr>
        <w:t>5、编写评标报告</w:t>
      </w:r>
    </w:p>
    <w:p>
      <w:pPr>
        <w:spacing w:line="360" w:lineRule="auto"/>
        <w:ind w:firstLine="420" w:firstLineChars="200"/>
        <w:rPr>
          <w:szCs w:val="21"/>
        </w:rPr>
      </w:pPr>
      <w:r>
        <w:rPr>
          <w:rFonts w:hint="eastAsia"/>
          <w:szCs w:val="21"/>
        </w:rPr>
        <w:t>评标委员会根据全体评标成员签字的原始评标记录和评标结果编写评标报告；评标结束。</w:t>
      </w:r>
    </w:p>
    <w:p>
      <w:pPr>
        <w:numPr>
          <w:ilvl w:val="0"/>
          <w:numId w:val="7"/>
        </w:numPr>
        <w:spacing w:line="480" w:lineRule="exact"/>
        <w:ind w:firstLine="0"/>
        <w:jc w:val="left"/>
        <w:outlineLvl w:val="1"/>
        <w:rPr>
          <w:rFonts w:ascii="Arial" w:hAnsi="Arial"/>
          <w:b/>
          <w:bCs/>
          <w:szCs w:val="21"/>
        </w:rPr>
      </w:pPr>
      <w:r>
        <w:rPr>
          <w:rFonts w:ascii="Arial" w:hAnsi="Arial"/>
          <w:b/>
          <w:bCs/>
          <w:szCs w:val="21"/>
        </w:rPr>
        <w:t>投标无效的情形</w:t>
      </w:r>
    </w:p>
    <w:p>
      <w:pPr>
        <w:spacing w:line="360" w:lineRule="auto"/>
        <w:ind w:firstLine="422" w:firstLineChars="200"/>
        <w:rPr>
          <w:b/>
          <w:color w:val="000000"/>
          <w:szCs w:val="21"/>
        </w:rPr>
      </w:pPr>
      <w:r>
        <w:rPr>
          <w:b/>
          <w:color w:val="000000"/>
          <w:szCs w:val="21"/>
        </w:rPr>
        <w:t>没有响应采购文件实质性要求的投标将被视为无效投标。投标人不得通过修正或撤消不合要求的偏离或保留从而使其投标成为实质上响应的投标。</w:t>
      </w:r>
    </w:p>
    <w:p>
      <w:pPr>
        <w:spacing w:line="360" w:lineRule="auto"/>
        <w:ind w:firstLine="422" w:firstLineChars="200"/>
        <w:rPr>
          <w:b/>
          <w:szCs w:val="21"/>
        </w:rPr>
      </w:pPr>
      <w:r>
        <w:rPr>
          <w:b/>
          <w:szCs w:val="21"/>
        </w:rPr>
        <w:t>不同供应商的文件出自同一终端设备或在相同Internet主机分配地址（相同IP地址）网上报名或上传电子投标文件视为无效响应。</w:t>
      </w:r>
    </w:p>
    <w:p>
      <w:pPr>
        <w:pStyle w:val="9"/>
        <w:widowControl/>
        <w:spacing w:line="360" w:lineRule="auto"/>
        <w:ind w:firstLine="413" w:firstLineChars="196"/>
        <w:jc w:val="left"/>
        <w:rPr>
          <w:b/>
          <w:bCs/>
          <w:sz w:val="21"/>
          <w:szCs w:val="21"/>
        </w:rPr>
      </w:pPr>
      <w:r>
        <w:rPr>
          <w:b/>
          <w:bCs/>
          <w:sz w:val="21"/>
          <w:szCs w:val="21"/>
        </w:rPr>
        <w:t>1.在资格审查时，</w:t>
      </w:r>
      <w:r>
        <w:rPr>
          <w:rFonts w:hint="eastAsia"/>
          <w:b/>
          <w:bCs/>
          <w:sz w:val="21"/>
          <w:szCs w:val="21"/>
        </w:rPr>
        <w:t>不具备招标文件中规定的资格要求的，或者资格证明文件不全的，投标文件将被视为无效；</w:t>
      </w:r>
    </w:p>
    <w:p>
      <w:pPr>
        <w:pStyle w:val="9"/>
        <w:widowControl/>
        <w:spacing w:line="360" w:lineRule="auto"/>
        <w:ind w:firstLine="413" w:firstLineChars="196"/>
        <w:jc w:val="left"/>
        <w:rPr>
          <w:b/>
          <w:bCs/>
          <w:sz w:val="21"/>
          <w:szCs w:val="21"/>
        </w:rPr>
      </w:pPr>
      <w:r>
        <w:rPr>
          <w:b/>
          <w:bCs/>
          <w:sz w:val="21"/>
          <w:szCs w:val="21"/>
        </w:rPr>
        <w:t>2.在符合性审查时，如发现下列情形之一的，投标文件将被视为无效：</w:t>
      </w:r>
    </w:p>
    <w:p>
      <w:pPr>
        <w:pStyle w:val="9"/>
        <w:widowControl/>
        <w:numPr>
          <w:ilvl w:val="0"/>
          <w:numId w:val="1"/>
        </w:numPr>
        <w:spacing w:line="360" w:lineRule="auto"/>
        <w:jc w:val="left"/>
        <w:rPr>
          <w:b/>
          <w:bCs/>
          <w:sz w:val="21"/>
          <w:szCs w:val="21"/>
        </w:rPr>
      </w:pPr>
      <w:r>
        <w:rPr>
          <w:b/>
          <w:bCs/>
          <w:sz w:val="21"/>
          <w:szCs w:val="21"/>
        </w:rPr>
        <w:t>投标文件未按采购文件要求签署、签章的；</w:t>
      </w:r>
    </w:p>
    <w:p>
      <w:pPr>
        <w:pStyle w:val="9"/>
        <w:widowControl/>
        <w:numPr>
          <w:ilvl w:val="0"/>
          <w:numId w:val="1"/>
        </w:numPr>
        <w:spacing w:line="360" w:lineRule="auto"/>
        <w:jc w:val="left"/>
        <w:rPr>
          <w:b/>
          <w:bCs/>
          <w:sz w:val="21"/>
          <w:szCs w:val="21"/>
        </w:rPr>
      </w:pPr>
      <w:r>
        <w:rPr>
          <w:b/>
          <w:bCs/>
          <w:sz w:val="21"/>
          <w:szCs w:val="21"/>
        </w:rPr>
        <w:t>投标有效期不满足采购文件要求的；</w:t>
      </w:r>
    </w:p>
    <w:p>
      <w:pPr>
        <w:pStyle w:val="9"/>
        <w:widowControl/>
        <w:numPr>
          <w:ilvl w:val="0"/>
          <w:numId w:val="1"/>
        </w:numPr>
        <w:spacing w:line="360" w:lineRule="auto"/>
        <w:jc w:val="left"/>
        <w:rPr>
          <w:b/>
          <w:bCs/>
          <w:sz w:val="21"/>
          <w:szCs w:val="21"/>
        </w:rPr>
      </w:pPr>
      <w:r>
        <w:rPr>
          <w:b/>
          <w:bCs/>
          <w:snapToGrid w:val="0"/>
          <w:sz w:val="21"/>
          <w:szCs w:val="21"/>
        </w:rPr>
        <w:t>明显不符合采购文件要求的，或者与</w:t>
      </w:r>
      <w:r>
        <w:rPr>
          <w:b/>
          <w:bCs/>
          <w:sz w:val="21"/>
          <w:szCs w:val="21"/>
        </w:rPr>
        <w:t>采购文件中标注“</w:t>
      </w:r>
      <w:r>
        <w:rPr>
          <w:rFonts w:hint="eastAsia" w:ascii="宋体" w:hAnsi="宋体"/>
          <w:szCs w:val="21"/>
        </w:rPr>
        <w:t>★</w:t>
      </w:r>
      <w:r>
        <w:rPr>
          <w:b/>
          <w:bCs/>
          <w:sz w:val="21"/>
          <w:szCs w:val="21"/>
        </w:rPr>
        <w:t>”的条款发生实质性负偏离的；</w:t>
      </w:r>
    </w:p>
    <w:p>
      <w:pPr>
        <w:pStyle w:val="9"/>
        <w:widowControl/>
        <w:numPr>
          <w:ilvl w:val="0"/>
          <w:numId w:val="1"/>
        </w:numPr>
        <w:spacing w:line="360" w:lineRule="auto"/>
        <w:jc w:val="left"/>
        <w:rPr>
          <w:b/>
          <w:bCs/>
          <w:sz w:val="21"/>
          <w:szCs w:val="21"/>
        </w:rPr>
      </w:pPr>
      <w:r>
        <w:rPr>
          <w:b/>
          <w:bCs/>
          <w:sz w:val="21"/>
          <w:szCs w:val="21"/>
        </w:rPr>
        <w:t>投标文件中含有采购人不能接受的附加条件的；</w:t>
      </w:r>
    </w:p>
    <w:p>
      <w:pPr>
        <w:pStyle w:val="9"/>
        <w:widowControl/>
        <w:numPr>
          <w:ilvl w:val="0"/>
          <w:numId w:val="1"/>
        </w:numPr>
        <w:spacing w:line="360" w:lineRule="auto"/>
        <w:jc w:val="left"/>
        <w:rPr>
          <w:b/>
          <w:bCs/>
          <w:sz w:val="21"/>
          <w:szCs w:val="21"/>
        </w:rPr>
      </w:pPr>
      <w:r>
        <w:rPr>
          <w:b/>
          <w:bCs/>
          <w:sz w:val="21"/>
          <w:szCs w:val="21"/>
        </w:rPr>
        <w:t>委托人未提供法定代表人授权委托书或填写项目不齐全的；</w:t>
      </w:r>
    </w:p>
    <w:p>
      <w:pPr>
        <w:pStyle w:val="9"/>
        <w:widowControl/>
        <w:numPr>
          <w:ilvl w:val="0"/>
          <w:numId w:val="1"/>
        </w:numPr>
        <w:spacing w:line="360" w:lineRule="auto"/>
        <w:jc w:val="left"/>
        <w:rPr>
          <w:b/>
          <w:bCs/>
          <w:sz w:val="21"/>
          <w:szCs w:val="21"/>
        </w:rPr>
      </w:pPr>
      <w:r>
        <w:rPr>
          <w:b/>
          <w:bCs/>
          <w:sz w:val="21"/>
          <w:szCs w:val="21"/>
        </w:rPr>
        <w:t>投标文件格式不规范、提供资料不齐全或者内容虚假的；</w:t>
      </w:r>
    </w:p>
    <w:p>
      <w:pPr>
        <w:pStyle w:val="9"/>
        <w:widowControl/>
        <w:numPr>
          <w:ilvl w:val="0"/>
          <w:numId w:val="1"/>
        </w:numPr>
        <w:spacing w:line="360" w:lineRule="auto"/>
        <w:jc w:val="left"/>
        <w:rPr>
          <w:b/>
          <w:bCs/>
          <w:sz w:val="21"/>
          <w:szCs w:val="21"/>
        </w:rPr>
      </w:pPr>
      <w:r>
        <w:rPr>
          <w:b/>
          <w:bCs/>
          <w:sz w:val="21"/>
          <w:szCs w:val="21"/>
        </w:rPr>
        <w:t>投标文件的实质性内容未使用中文表述、表述不明确、前后矛盾或者使用计量单位不符合采购文件要求的（经评标委员会认定并允许其当场更正的笔误除外）；</w:t>
      </w:r>
    </w:p>
    <w:p>
      <w:pPr>
        <w:pStyle w:val="9"/>
        <w:widowControl/>
        <w:numPr>
          <w:ilvl w:val="0"/>
          <w:numId w:val="1"/>
        </w:numPr>
        <w:spacing w:line="360" w:lineRule="auto"/>
        <w:jc w:val="left"/>
        <w:rPr>
          <w:b/>
          <w:bCs/>
          <w:sz w:val="21"/>
          <w:szCs w:val="21"/>
        </w:rPr>
      </w:pPr>
      <w:r>
        <w:rPr>
          <w:b/>
          <w:bCs/>
          <w:sz w:val="21"/>
          <w:szCs w:val="21"/>
        </w:rPr>
        <w:t xml:space="preserve">投标文件的关键内容字迹模糊、无法辨认的，或者投标文件中经修正的内容字迹模糊难以辩认或者修改处未按规定签署、盖章的； </w:t>
      </w:r>
    </w:p>
    <w:p>
      <w:pPr>
        <w:pStyle w:val="9"/>
        <w:widowControl/>
        <w:numPr>
          <w:ilvl w:val="0"/>
          <w:numId w:val="1"/>
        </w:numPr>
        <w:spacing w:line="360" w:lineRule="auto"/>
        <w:jc w:val="left"/>
        <w:rPr>
          <w:b/>
          <w:bCs/>
          <w:sz w:val="21"/>
          <w:szCs w:val="21"/>
        </w:rPr>
      </w:pPr>
      <w:r>
        <w:rPr>
          <w:b/>
          <w:bCs/>
          <w:sz w:val="21"/>
          <w:szCs w:val="21"/>
        </w:rPr>
        <w:t>法律、法规和采购文件规定的其他无效情形；</w:t>
      </w:r>
    </w:p>
    <w:p>
      <w:pPr>
        <w:pStyle w:val="9"/>
        <w:widowControl/>
        <w:spacing w:line="360" w:lineRule="auto"/>
        <w:ind w:firstLine="413" w:firstLineChars="196"/>
        <w:jc w:val="left"/>
        <w:rPr>
          <w:b/>
          <w:bCs/>
          <w:sz w:val="21"/>
          <w:szCs w:val="21"/>
        </w:rPr>
      </w:pPr>
      <w:r>
        <w:rPr>
          <w:b/>
          <w:bCs/>
          <w:sz w:val="21"/>
          <w:szCs w:val="21"/>
        </w:rPr>
        <w:t>3.在商务技术评审时，如发现下列情形之一的，投标文件将被视为无效：</w:t>
      </w:r>
    </w:p>
    <w:p>
      <w:pPr>
        <w:pStyle w:val="9"/>
        <w:widowControl/>
        <w:numPr>
          <w:ilvl w:val="0"/>
          <w:numId w:val="8"/>
        </w:numPr>
        <w:spacing w:line="360" w:lineRule="auto"/>
        <w:jc w:val="left"/>
        <w:rPr>
          <w:b/>
          <w:bCs/>
          <w:sz w:val="21"/>
          <w:szCs w:val="21"/>
        </w:rPr>
      </w:pPr>
      <w:r>
        <w:rPr>
          <w:b/>
          <w:bCs/>
          <w:sz w:val="21"/>
          <w:szCs w:val="21"/>
        </w:rPr>
        <w:t>未提供或未如实提供投标服务需求，或者投标文件标明的响应或偏离与事实不符或虚假投标的；</w:t>
      </w:r>
    </w:p>
    <w:p>
      <w:pPr>
        <w:pStyle w:val="9"/>
        <w:widowControl/>
        <w:numPr>
          <w:ilvl w:val="0"/>
          <w:numId w:val="8"/>
        </w:numPr>
        <w:spacing w:line="360" w:lineRule="auto"/>
        <w:jc w:val="left"/>
        <w:rPr>
          <w:b/>
          <w:bCs/>
          <w:sz w:val="21"/>
          <w:szCs w:val="21"/>
        </w:rPr>
      </w:pPr>
      <w:r>
        <w:rPr>
          <w:b/>
          <w:bCs/>
          <w:sz w:val="21"/>
          <w:szCs w:val="21"/>
        </w:rPr>
        <w:t>投标技术方案不明确，存在一个或一个以上备选（替代）投标方案的；</w:t>
      </w:r>
    </w:p>
    <w:p>
      <w:pPr>
        <w:pStyle w:val="9"/>
        <w:widowControl/>
        <w:spacing w:line="360" w:lineRule="auto"/>
        <w:ind w:firstLine="413" w:firstLineChars="196"/>
        <w:jc w:val="left"/>
        <w:rPr>
          <w:b/>
          <w:bCs/>
          <w:sz w:val="21"/>
          <w:szCs w:val="21"/>
        </w:rPr>
      </w:pPr>
      <w:r>
        <w:rPr>
          <w:b/>
          <w:bCs/>
          <w:sz w:val="21"/>
          <w:szCs w:val="21"/>
        </w:rPr>
        <w:t>4.在报价评审时，如发现下列情形之一的，投标文件将被视为无效：</w:t>
      </w:r>
    </w:p>
    <w:p>
      <w:pPr>
        <w:pStyle w:val="9"/>
        <w:widowControl/>
        <w:numPr>
          <w:ilvl w:val="0"/>
          <w:numId w:val="2"/>
        </w:numPr>
        <w:spacing w:line="360" w:lineRule="auto"/>
        <w:jc w:val="left"/>
        <w:rPr>
          <w:b/>
          <w:bCs/>
          <w:sz w:val="21"/>
          <w:szCs w:val="21"/>
        </w:rPr>
      </w:pPr>
      <w:r>
        <w:rPr>
          <w:b/>
          <w:bCs/>
          <w:sz w:val="21"/>
          <w:szCs w:val="21"/>
        </w:rPr>
        <w:t>报价超过采购文件中规定的预算金额或者最高限价的；</w:t>
      </w:r>
    </w:p>
    <w:p>
      <w:pPr>
        <w:pStyle w:val="9"/>
        <w:widowControl/>
        <w:numPr>
          <w:ilvl w:val="0"/>
          <w:numId w:val="2"/>
        </w:numPr>
        <w:spacing w:line="360" w:lineRule="auto"/>
        <w:jc w:val="left"/>
        <w:rPr>
          <w:b/>
          <w:bCs/>
          <w:sz w:val="21"/>
          <w:szCs w:val="21"/>
        </w:rPr>
      </w:pPr>
      <w:r>
        <w:rPr>
          <w:b/>
          <w:bCs/>
          <w:sz w:val="21"/>
          <w:szCs w:val="21"/>
        </w:rPr>
        <w:t>未采用投标文件要求的报价形式报价的；</w:t>
      </w:r>
    </w:p>
    <w:p>
      <w:pPr>
        <w:pStyle w:val="9"/>
        <w:widowControl/>
        <w:numPr>
          <w:ilvl w:val="0"/>
          <w:numId w:val="2"/>
        </w:numPr>
        <w:spacing w:line="360" w:lineRule="auto"/>
        <w:jc w:val="left"/>
        <w:rPr>
          <w:b/>
          <w:bCs/>
          <w:sz w:val="21"/>
          <w:szCs w:val="21"/>
        </w:rPr>
      </w:pPr>
      <w:r>
        <w:rPr>
          <w:b/>
          <w:bCs/>
          <w:sz w:val="21"/>
          <w:szCs w:val="21"/>
        </w:rPr>
        <w:t>投标报价具有选择性；</w:t>
      </w:r>
    </w:p>
    <w:p>
      <w:pPr>
        <w:pStyle w:val="9"/>
        <w:widowControl/>
        <w:numPr>
          <w:ilvl w:val="0"/>
          <w:numId w:val="2"/>
        </w:numPr>
        <w:spacing w:line="360" w:lineRule="auto"/>
        <w:jc w:val="left"/>
        <w:rPr>
          <w:b/>
          <w:bCs/>
          <w:sz w:val="21"/>
          <w:szCs w:val="21"/>
        </w:rPr>
      </w:pPr>
      <w:r>
        <w:rPr>
          <w:b/>
          <w:bCs/>
          <w:sz w:val="21"/>
          <w:szCs w:val="21"/>
        </w:rPr>
        <w:t>评标委员会一致认为报价不合理的；</w:t>
      </w:r>
    </w:p>
    <w:p>
      <w:pPr>
        <w:pStyle w:val="9"/>
        <w:widowControl/>
        <w:numPr>
          <w:ilvl w:val="0"/>
          <w:numId w:val="2"/>
        </w:numPr>
        <w:spacing w:line="360" w:lineRule="auto"/>
        <w:jc w:val="left"/>
        <w:rPr>
          <w:b/>
          <w:sz w:val="21"/>
          <w:szCs w:val="21"/>
        </w:rPr>
      </w:pPr>
      <w:r>
        <w:rPr>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pPr>
        <w:pStyle w:val="9"/>
        <w:widowControl/>
        <w:numPr>
          <w:ilvl w:val="0"/>
          <w:numId w:val="2"/>
        </w:numPr>
        <w:spacing w:line="360" w:lineRule="auto"/>
        <w:jc w:val="left"/>
        <w:rPr>
          <w:b/>
          <w:sz w:val="21"/>
          <w:szCs w:val="21"/>
        </w:rPr>
      </w:pPr>
      <w:r>
        <w:rPr>
          <w:b/>
          <w:sz w:val="21"/>
          <w:szCs w:val="21"/>
        </w:rPr>
        <w:t>采购文件规定的其他无效情形；</w:t>
      </w:r>
    </w:p>
    <w:p>
      <w:pPr>
        <w:pStyle w:val="9"/>
        <w:widowControl/>
        <w:spacing w:line="360" w:lineRule="auto"/>
        <w:ind w:firstLine="413" w:firstLineChars="196"/>
        <w:jc w:val="left"/>
        <w:rPr>
          <w:b/>
          <w:sz w:val="21"/>
          <w:szCs w:val="21"/>
        </w:rPr>
        <w:sectPr>
          <w:footerReference r:id="rId11" w:type="default"/>
          <w:pgSz w:w="11907" w:h="16840"/>
          <w:pgMar w:top="1247" w:right="1531" w:bottom="993" w:left="1531" w:header="426" w:footer="708" w:gutter="0"/>
          <w:cols w:space="720" w:num="1"/>
          <w:docGrid w:linePitch="285" w:charSpace="0"/>
        </w:sectPr>
      </w:pPr>
      <w:r>
        <w:rPr>
          <w:b/>
          <w:sz w:val="21"/>
          <w:szCs w:val="21"/>
        </w:rPr>
        <w:t>5.被拒绝的投标文件为无效。</w:t>
      </w:r>
    </w:p>
    <w:p>
      <w:pPr>
        <w:spacing w:line="400" w:lineRule="exact"/>
        <w:jc w:val="center"/>
        <w:outlineLvl w:val="0"/>
        <w:rPr>
          <w:rFonts w:eastAsia="黑体"/>
          <w:b/>
          <w:color w:val="000000"/>
          <w:sz w:val="32"/>
        </w:rPr>
      </w:pPr>
      <w:bookmarkStart w:id="32" w:name="_Toc98402393"/>
      <w:r>
        <w:rPr>
          <w:rFonts w:hint="eastAsia" w:eastAsia="黑体"/>
          <w:b/>
          <w:color w:val="000000"/>
          <w:sz w:val="32"/>
        </w:rPr>
        <w:t>第五章</w:t>
      </w:r>
      <w:r>
        <w:rPr>
          <w:rFonts w:eastAsia="黑体"/>
          <w:b/>
          <w:color w:val="000000"/>
          <w:sz w:val="32"/>
        </w:rPr>
        <w:t xml:space="preserve">  </w:t>
      </w:r>
      <w:r>
        <w:rPr>
          <w:rFonts w:hint="eastAsia" w:eastAsia="黑体"/>
          <w:b/>
          <w:color w:val="000000"/>
          <w:sz w:val="32"/>
        </w:rPr>
        <w:t>评分办法及标准</w:t>
      </w:r>
      <w:bookmarkEnd w:id="32"/>
    </w:p>
    <w:p>
      <w:pPr>
        <w:spacing w:line="460" w:lineRule="exact"/>
        <w:ind w:firstLine="482" w:firstLineChars="200"/>
        <w:jc w:val="left"/>
        <w:rPr>
          <w:rFonts w:ascii="宋体"/>
          <w:b/>
          <w:color w:val="000000"/>
          <w:sz w:val="24"/>
          <w:szCs w:val="24"/>
        </w:rPr>
      </w:pPr>
    </w:p>
    <w:p>
      <w:pPr>
        <w:spacing w:line="460" w:lineRule="exact"/>
        <w:ind w:firstLine="422" w:firstLineChars="200"/>
        <w:jc w:val="left"/>
        <w:rPr>
          <w:rFonts w:ascii="宋体"/>
          <w:color w:val="000000"/>
          <w:szCs w:val="21"/>
        </w:rPr>
      </w:pPr>
      <w:r>
        <w:rPr>
          <w:rFonts w:hint="eastAsia" w:ascii="宋体" w:hAnsi="宋体"/>
          <w:b/>
          <w:color w:val="000000"/>
          <w:szCs w:val="21"/>
        </w:rPr>
        <w:t>本项目采用的评标办法为综合评分法：</w:t>
      </w:r>
      <w:r>
        <w:rPr>
          <w:rFonts w:hint="eastAsia" w:ascii="宋体" w:hAnsi="宋体"/>
          <w:color w:val="000000"/>
          <w:szCs w:val="21"/>
        </w:rPr>
        <w:t>在最大限度地满足招标文件实质性要求前提下，按照招标文件中规定的各项因素进行综合评审后。</w:t>
      </w:r>
    </w:p>
    <w:p>
      <w:pPr>
        <w:spacing w:line="460" w:lineRule="exact"/>
        <w:ind w:firstLine="420" w:firstLineChars="200"/>
        <w:jc w:val="left"/>
        <w:rPr>
          <w:rFonts w:ascii="宋体"/>
          <w:color w:val="000000"/>
          <w:szCs w:val="21"/>
        </w:rPr>
      </w:pPr>
      <w:r>
        <w:rPr>
          <w:rFonts w:hint="eastAsia" w:ascii="宋体" w:hAnsi="宋体"/>
          <w:color w:val="000000"/>
          <w:szCs w:val="21"/>
        </w:rPr>
        <w:t>综合评分的主要因素是：详见综合评分法评分表（兼评委打分表）。</w:t>
      </w:r>
    </w:p>
    <w:p>
      <w:pPr>
        <w:spacing w:line="460" w:lineRule="exact"/>
        <w:ind w:firstLine="420" w:firstLineChars="200"/>
        <w:jc w:val="left"/>
        <w:rPr>
          <w:rFonts w:ascii="宋体"/>
          <w:szCs w:val="21"/>
        </w:rPr>
      </w:pPr>
      <w:r>
        <w:rPr>
          <w:rFonts w:hint="eastAsia" w:ascii="宋体" w:hAnsi="宋体"/>
          <w:color w:val="000000"/>
          <w:szCs w:val="21"/>
        </w:rPr>
        <w:t>评标时，</w:t>
      </w:r>
      <w:r>
        <w:rPr>
          <w:rFonts w:hint="eastAsia" w:ascii="宋体"/>
          <w:color w:val="000000"/>
          <w:szCs w:val="21"/>
        </w:rPr>
        <w:t>评标委员会成员应当独立按照综合评分法评分表（兼评委打分表）规定的内容和分值设置，对投标文件的商务技术、价格等分别打分汇总后计算平均分即</w:t>
      </w:r>
      <w:r>
        <w:rPr>
          <w:rFonts w:hint="eastAsia" w:ascii="宋体"/>
          <w:szCs w:val="21"/>
        </w:rPr>
        <w:t>为各投标人的综合得分。按综合得分自高向低次序排出评标结果排序。得分相同的，按投标报价由低到高顺序排列。得分且投标报价相同的，抽签确定排名。评标委员会按评审后得分由高到低顺序推荐前</w:t>
      </w:r>
      <w:r>
        <w:rPr>
          <w:rFonts w:ascii="宋体"/>
          <w:szCs w:val="21"/>
        </w:rPr>
        <w:t>30</w:t>
      </w:r>
      <w:r>
        <w:rPr>
          <w:rFonts w:hint="eastAsia" w:ascii="宋体"/>
          <w:szCs w:val="21"/>
        </w:rPr>
        <w:t>名中标候选人。</w:t>
      </w:r>
    </w:p>
    <w:p>
      <w:pPr>
        <w:spacing w:line="460" w:lineRule="exact"/>
        <w:ind w:firstLine="420" w:firstLineChars="200"/>
        <w:jc w:val="left"/>
        <w:rPr>
          <w:i/>
          <w:kern w:val="0"/>
          <w:sz w:val="20"/>
          <w:highlight w:val="yellow"/>
        </w:rPr>
      </w:pPr>
      <w:r>
        <w:rPr>
          <w:rFonts w:hint="eastAsia" w:ascii="宋体" w:hAnsi="宋体"/>
          <w:color w:val="000000"/>
          <w:szCs w:val="21"/>
        </w:rPr>
        <w:t xml:space="preserve">注：评标委员会成员独立评审。评标委员会组长对拟认定为投标文件无效、供应商资格不符合的，应组织相关供应商代表进行陈述、澄清或申辩；招标采购代理机构可协助评标委员会对打分结果进行校对、核对并汇总统计；对明显畸高、畸低的评分（其总评分偏离平均分 30%以上的），评标委员会组长应提醒相关评标委员会成员进行复核或书面说明理由，评标委员会成员拒绝说明 的，由现场监督员据实记录；评标委员会成员的评审、修改记录应保留原件，随项目其他资料一并存档。 </w:t>
      </w:r>
    </w:p>
    <w:p>
      <w:pPr>
        <w:pStyle w:val="8"/>
        <w:rPr>
          <w:highlight w:val="yellow"/>
        </w:rPr>
      </w:pPr>
    </w:p>
    <w:p>
      <w:pPr>
        <w:widowControl/>
        <w:jc w:val="left"/>
        <w:rPr>
          <w:rFonts w:ascii="宋体" w:hAnsi="宋体"/>
          <w:b/>
          <w:bCs/>
          <w:color w:val="000000"/>
          <w:szCs w:val="21"/>
        </w:rPr>
      </w:pPr>
      <w:r>
        <w:rPr>
          <w:rFonts w:ascii="宋体" w:hAnsi="宋体"/>
          <w:b/>
          <w:bCs/>
          <w:color w:val="000000"/>
          <w:szCs w:val="21"/>
        </w:rPr>
        <w:br w:type="page"/>
      </w:r>
    </w:p>
    <w:p>
      <w:pPr>
        <w:widowControl/>
        <w:spacing w:line="0" w:lineRule="atLeast"/>
        <w:jc w:val="center"/>
        <w:rPr>
          <w:sz w:val="28"/>
          <w:szCs w:val="30"/>
        </w:rPr>
      </w:pPr>
      <w:r>
        <w:rPr>
          <w:sz w:val="28"/>
          <w:szCs w:val="30"/>
        </w:rPr>
        <w:t>评分标准表</w:t>
      </w:r>
      <w:r>
        <w:rPr>
          <w:rFonts w:hint="eastAsia"/>
          <w:sz w:val="28"/>
          <w:szCs w:val="30"/>
        </w:rPr>
        <w:t xml:space="preserve"> </w:t>
      </w:r>
    </w:p>
    <w:tbl>
      <w:tblPr>
        <w:tblStyle w:val="24"/>
        <w:tblpPr w:leftFromText="181" w:rightFromText="181" w:vertAnchor="text" w:tblpXSpec="center" w:tblpY="1"/>
        <w:tblOverlap w:val="never"/>
        <w:tblW w:w="935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51"/>
        <w:gridCol w:w="1271"/>
        <w:gridCol w:w="992"/>
        <w:gridCol w:w="5528"/>
        <w:gridCol w:w="70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36" w:hRule="atLeast"/>
        </w:trPr>
        <w:tc>
          <w:tcPr>
            <w:tcW w:w="8642" w:type="dxa"/>
            <w:gridSpan w:val="4"/>
            <w:tcBorders>
              <w:top w:val="single" w:color="auto" w:sz="4" w:space="0"/>
              <w:bottom w:val="single" w:color="auto" w:sz="4" w:space="0"/>
            </w:tcBorders>
            <w:vAlign w:val="center"/>
          </w:tcPr>
          <w:p>
            <w:pPr>
              <w:snapToGrid w:val="0"/>
              <w:spacing w:line="300" w:lineRule="exact"/>
              <w:jc w:val="center"/>
              <w:rPr>
                <w:rFonts w:ascii="宋体" w:hAnsi="宋体"/>
                <w:w w:val="80"/>
                <w:szCs w:val="21"/>
              </w:rPr>
            </w:pPr>
            <w:r>
              <w:rPr>
                <w:sz w:val="28"/>
                <w:szCs w:val="30"/>
              </w:rPr>
              <w:t>评分项及分值</w:t>
            </w:r>
          </w:p>
        </w:tc>
        <w:tc>
          <w:tcPr>
            <w:tcW w:w="709" w:type="dxa"/>
            <w:tcBorders>
              <w:top w:val="single" w:color="auto" w:sz="4" w:space="0"/>
              <w:bottom w:val="single" w:color="auto" w:sz="4" w:space="0"/>
            </w:tcBorders>
            <w:vAlign w:val="center"/>
          </w:tcPr>
          <w:p>
            <w:pPr>
              <w:spacing w:line="0" w:lineRule="atLeast"/>
              <w:ind w:left="-107" w:leftChars="-51" w:right="-141" w:rightChars="-67"/>
              <w:jc w:val="center"/>
              <w:rPr>
                <w:sz w:val="24"/>
              </w:rPr>
            </w:pPr>
            <w:r>
              <w:rPr>
                <w:sz w:val="24"/>
              </w:rPr>
              <w:t>对应</w:t>
            </w:r>
          </w:p>
          <w:p>
            <w:pPr>
              <w:spacing w:line="0" w:lineRule="atLeast"/>
              <w:ind w:left="-107" w:leftChars="-51" w:right="-141" w:rightChars="-67"/>
              <w:jc w:val="center"/>
              <w:rPr>
                <w:sz w:val="24"/>
              </w:rPr>
            </w:pPr>
            <w:r>
              <w:rPr>
                <w:sz w:val="24"/>
              </w:rPr>
              <w:t>分值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88" w:hRule="atLeast"/>
        </w:trPr>
        <w:tc>
          <w:tcPr>
            <w:tcW w:w="851" w:type="dxa"/>
            <w:vMerge w:val="restart"/>
            <w:tcBorders>
              <w:top w:val="single" w:color="auto" w:sz="4" w:space="0"/>
            </w:tcBorders>
            <w:textDirection w:val="tbRlV"/>
            <w:vAlign w:val="center"/>
          </w:tcPr>
          <w:p>
            <w:pPr>
              <w:snapToGrid w:val="0"/>
              <w:spacing w:line="300" w:lineRule="exact"/>
              <w:ind w:firstLine="384" w:firstLineChars="200"/>
              <w:jc w:val="center"/>
              <w:rPr>
                <w:rFonts w:ascii="宋体" w:hAnsi="宋体"/>
                <w:w w:val="80"/>
                <w:szCs w:val="21"/>
              </w:rPr>
            </w:pPr>
            <w:r>
              <w:rPr>
                <w:rFonts w:ascii="宋体" w:hAnsi="宋体"/>
                <w:w w:val="80"/>
                <w:sz w:val="24"/>
                <w:szCs w:val="21"/>
              </w:rPr>
              <w:t>商务技术分</w:t>
            </w:r>
            <w:r>
              <w:rPr>
                <w:rFonts w:hint="eastAsia" w:ascii="宋体" w:hAnsi="宋体"/>
                <w:w w:val="80"/>
                <w:sz w:val="24"/>
                <w:szCs w:val="21"/>
              </w:rPr>
              <w:t>90</w:t>
            </w:r>
            <w:r>
              <w:rPr>
                <w:rFonts w:ascii="宋体" w:hAnsi="宋体"/>
                <w:w w:val="80"/>
                <w:sz w:val="24"/>
                <w:szCs w:val="21"/>
              </w:rPr>
              <w:t>分</w:t>
            </w:r>
          </w:p>
        </w:tc>
        <w:tc>
          <w:tcPr>
            <w:tcW w:w="1271" w:type="dxa"/>
            <w:tcBorders>
              <w:top w:val="single" w:color="auto" w:sz="4" w:space="0"/>
            </w:tcBorders>
            <w:vAlign w:val="center"/>
          </w:tcPr>
          <w:p>
            <w:pPr>
              <w:tabs>
                <w:tab w:val="left" w:pos="7513"/>
              </w:tabs>
              <w:spacing w:line="0" w:lineRule="atLeast"/>
              <w:rPr>
                <w:rFonts w:ascii="宋体" w:hAnsi="宋体"/>
                <w:szCs w:val="21"/>
              </w:rPr>
            </w:pPr>
            <w:r>
              <w:rPr>
                <w:rFonts w:hint="eastAsia" w:ascii="宋体" w:hAnsi="宋体"/>
                <w:szCs w:val="21"/>
              </w:rPr>
              <w:t>实施方案</w:t>
            </w:r>
          </w:p>
        </w:tc>
        <w:tc>
          <w:tcPr>
            <w:tcW w:w="6520" w:type="dxa"/>
            <w:gridSpan w:val="2"/>
            <w:tcBorders>
              <w:top w:val="single" w:color="auto" w:sz="4" w:space="0"/>
            </w:tcBorders>
            <w:vAlign w:val="center"/>
          </w:tcPr>
          <w:p>
            <w:pPr>
              <w:tabs>
                <w:tab w:val="left" w:pos="7513"/>
              </w:tabs>
              <w:spacing w:line="0" w:lineRule="atLeast"/>
              <w:rPr>
                <w:rFonts w:ascii="宋体" w:hAnsi="宋体"/>
                <w:szCs w:val="21"/>
              </w:rPr>
            </w:pPr>
            <w:r>
              <w:rPr>
                <w:rFonts w:hint="eastAsia" w:ascii="宋体" w:hAnsi="宋体"/>
                <w:szCs w:val="21"/>
              </w:rPr>
              <w:t>根据投标人制定的评审实施方案的科学性、合理性、可操作性、实用性等进行综合比较后打分。满分20分</w:t>
            </w:r>
          </w:p>
        </w:tc>
        <w:tc>
          <w:tcPr>
            <w:tcW w:w="709" w:type="dxa"/>
            <w:tcBorders>
              <w:top w:val="single" w:color="auto" w:sz="4" w:space="0"/>
            </w:tcBorders>
            <w:vAlign w:val="center"/>
          </w:tcPr>
          <w:p>
            <w:pPr>
              <w:tabs>
                <w:tab w:val="left" w:pos="7513"/>
              </w:tabs>
              <w:spacing w:line="0" w:lineRule="atLeast"/>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99" w:hRule="atLeast"/>
        </w:trPr>
        <w:tc>
          <w:tcPr>
            <w:tcW w:w="851" w:type="dxa"/>
            <w:vMerge w:val="continue"/>
            <w:textDirection w:val="tbRlV"/>
            <w:vAlign w:val="center"/>
          </w:tcPr>
          <w:p>
            <w:pPr>
              <w:snapToGrid w:val="0"/>
              <w:spacing w:line="300" w:lineRule="exact"/>
              <w:ind w:firstLine="384" w:firstLineChars="200"/>
              <w:jc w:val="center"/>
              <w:rPr>
                <w:rFonts w:ascii="宋体" w:hAnsi="宋体"/>
                <w:w w:val="80"/>
                <w:sz w:val="24"/>
                <w:szCs w:val="21"/>
              </w:rPr>
            </w:pPr>
          </w:p>
        </w:tc>
        <w:tc>
          <w:tcPr>
            <w:tcW w:w="1271" w:type="dxa"/>
            <w:vAlign w:val="center"/>
          </w:tcPr>
          <w:p>
            <w:pPr>
              <w:tabs>
                <w:tab w:val="left" w:pos="5421"/>
              </w:tabs>
              <w:spacing w:line="0" w:lineRule="atLeast"/>
              <w:rPr>
                <w:rFonts w:ascii="宋体" w:hAnsi="宋体"/>
                <w:szCs w:val="21"/>
              </w:rPr>
            </w:pPr>
            <w:r>
              <w:rPr>
                <w:rFonts w:hint="eastAsia" w:ascii="宋体" w:hAnsi="宋体"/>
                <w:szCs w:val="21"/>
              </w:rPr>
              <w:t>质量进度保障</w:t>
            </w:r>
          </w:p>
        </w:tc>
        <w:tc>
          <w:tcPr>
            <w:tcW w:w="6520" w:type="dxa"/>
            <w:gridSpan w:val="2"/>
            <w:tcBorders>
              <w:top w:val="single" w:color="auto" w:sz="4" w:space="0"/>
            </w:tcBorders>
            <w:vAlign w:val="center"/>
          </w:tcPr>
          <w:p>
            <w:pPr>
              <w:tabs>
                <w:tab w:val="left" w:pos="5421"/>
              </w:tabs>
              <w:spacing w:line="0" w:lineRule="atLeast"/>
              <w:rPr>
                <w:rFonts w:ascii="宋体" w:hAnsi="宋体"/>
                <w:szCs w:val="21"/>
              </w:rPr>
            </w:pPr>
            <w:r>
              <w:rPr>
                <w:rFonts w:hint="eastAsia" w:ascii="宋体" w:hAnsi="宋体"/>
                <w:szCs w:val="21"/>
              </w:rPr>
              <w:t>根据投标人提供的协审服务质量控制手段和对本地政策法规的熟悉程度，保证协审成果质量的措施及承诺，对协审服务进度控制措施、进度安排等进行综合评议，满分20分</w:t>
            </w:r>
          </w:p>
        </w:tc>
        <w:tc>
          <w:tcPr>
            <w:tcW w:w="709" w:type="dxa"/>
            <w:tcBorders>
              <w:top w:val="single" w:color="auto" w:sz="4" w:space="0"/>
            </w:tcBorders>
            <w:vAlign w:val="center"/>
          </w:tcPr>
          <w:p>
            <w:pPr>
              <w:tabs>
                <w:tab w:val="left" w:pos="5421"/>
              </w:tabs>
              <w:spacing w:line="0" w:lineRule="atLeast"/>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08" w:hRule="atLeast"/>
        </w:trPr>
        <w:tc>
          <w:tcPr>
            <w:tcW w:w="851" w:type="dxa"/>
            <w:vMerge w:val="continue"/>
            <w:vAlign w:val="center"/>
          </w:tcPr>
          <w:p>
            <w:pPr>
              <w:snapToGrid w:val="0"/>
              <w:spacing w:line="300" w:lineRule="exact"/>
              <w:ind w:firstLine="336" w:firstLineChars="200"/>
              <w:rPr>
                <w:rFonts w:ascii="宋体" w:hAnsi="宋体"/>
                <w:w w:val="80"/>
                <w:szCs w:val="21"/>
              </w:rPr>
            </w:pPr>
          </w:p>
        </w:tc>
        <w:tc>
          <w:tcPr>
            <w:tcW w:w="1271" w:type="dxa"/>
            <w:vMerge w:val="restart"/>
            <w:tcBorders>
              <w:right w:val="single" w:color="auto" w:sz="4" w:space="0"/>
            </w:tcBorders>
            <w:vAlign w:val="center"/>
          </w:tcPr>
          <w:p>
            <w:pPr>
              <w:spacing w:line="0" w:lineRule="atLeast"/>
              <w:jc w:val="center"/>
              <w:rPr>
                <w:rFonts w:ascii="宋体" w:hAnsi="宋体"/>
                <w:szCs w:val="21"/>
              </w:rPr>
            </w:pPr>
            <w:r>
              <w:rPr>
                <w:rFonts w:hint="eastAsia" w:ascii="宋体" w:hAnsi="宋体"/>
                <w:szCs w:val="21"/>
              </w:rPr>
              <w:t xml:space="preserve">项目组人员配备 </w:t>
            </w:r>
            <w:r>
              <w:rPr>
                <w:rFonts w:ascii="宋体" w:hAnsi="宋体"/>
                <w:szCs w:val="21"/>
              </w:rPr>
              <w:t xml:space="preserve">                                                                                                                                                                                                                                                                                               </w:t>
            </w:r>
            <w:r>
              <w:rPr>
                <w:rFonts w:hint="eastAsia" w:ascii="宋体" w:hAnsi="宋体"/>
                <w:szCs w:val="21"/>
              </w:rPr>
              <w:t>（提供有效期内相关的证书、证明文件复印件，并提供自2022年11月至2023年1月任一个月的本单位社保证明）</w:t>
            </w:r>
          </w:p>
        </w:tc>
        <w:tc>
          <w:tcPr>
            <w:tcW w:w="6520" w:type="dxa"/>
            <w:gridSpan w:val="2"/>
            <w:tcBorders>
              <w:left w:val="single" w:color="auto" w:sz="4" w:space="0"/>
            </w:tcBorders>
            <w:vAlign w:val="center"/>
          </w:tcPr>
          <w:p>
            <w:pPr>
              <w:tabs>
                <w:tab w:val="left" w:pos="5421"/>
              </w:tabs>
              <w:spacing w:line="0" w:lineRule="atLeast"/>
              <w:rPr>
                <w:rFonts w:ascii="宋体" w:hAnsi="宋体"/>
                <w:szCs w:val="21"/>
              </w:rPr>
            </w:pPr>
            <w:r>
              <w:rPr>
                <w:rFonts w:hint="eastAsia" w:ascii="宋体" w:hAnsi="宋体"/>
                <w:szCs w:val="21"/>
              </w:rPr>
              <w:t>评委根据投标人针对本项目的项目组人员配备（包括对项目组人员专业结构、人员层级管理、合同履行期间造价人员数量保证措施）进行评议，满分19分</w:t>
            </w:r>
          </w:p>
        </w:tc>
        <w:tc>
          <w:tcPr>
            <w:tcW w:w="709" w:type="dxa"/>
            <w:tcBorders>
              <w:left w:val="single" w:color="auto" w:sz="4" w:space="0"/>
              <w:right w:val="single" w:color="auto" w:sz="4" w:space="0"/>
            </w:tcBorders>
            <w:vAlign w:val="center"/>
          </w:tcPr>
          <w:p>
            <w:pPr>
              <w:spacing w:line="0" w:lineRule="atLeast"/>
              <w:ind w:left="-107" w:leftChars="-51" w:right="-141" w:rightChars="-67"/>
              <w:jc w:val="center"/>
              <w:rPr>
                <w:rFonts w:ascii="宋体" w:hAnsi="宋体"/>
                <w:szCs w:val="21"/>
              </w:rPr>
            </w:pPr>
            <w:r>
              <w:rPr>
                <w:rFonts w:hint="eastAsia" w:ascii="宋体" w:hAnsi="宋体"/>
                <w:szCs w:val="21"/>
              </w:rPr>
              <w:t>19</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5" w:hRule="atLeast"/>
        </w:trPr>
        <w:tc>
          <w:tcPr>
            <w:tcW w:w="851" w:type="dxa"/>
            <w:vMerge w:val="continue"/>
            <w:vAlign w:val="center"/>
          </w:tcPr>
          <w:p>
            <w:pPr>
              <w:snapToGrid w:val="0"/>
              <w:spacing w:line="300" w:lineRule="exact"/>
              <w:ind w:firstLine="336" w:firstLineChars="200"/>
              <w:rPr>
                <w:rFonts w:ascii="宋体" w:hAnsi="宋体"/>
                <w:w w:val="80"/>
                <w:szCs w:val="21"/>
              </w:rPr>
            </w:pPr>
          </w:p>
        </w:tc>
        <w:tc>
          <w:tcPr>
            <w:tcW w:w="1271" w:type="dxa"/>
            <w:vMerge w:val="continue"/>
            <w:tcBorders>
              <w:right w:val="single" w:color="auto" w:sz="4" w:space="0"/>
            </w:tcBorders>
            <w:vAlign w:val="center"/>
          </w:tcPr>
          <w:p>
            <w:pPr>
              <w:spacing w:line="0" w:lineRule="atLeast"/>
              <w:jc w:val="center"/>
              <w:rPr>
                <w:rFonts w:ascii="宋体" w:hAnsi="宋体"/>
                <w:szCs w:val="21"/>
              </w:rPr>
            </w:pPr>
          </w:p>
        </w:tc>
        <w:tc>
          <w:tcPr>
            <w:tcW w:w="6520" w:type="dxa"/>
            <w:gridSpan w:val="2"/>
            <w:tcBorders>
              <w:left w:val="single" w:color="auto" w:sz="4" w:space="0"/>
            </w:tcBorders>
            <w:vAlign w:val="center"/>
          </w:tcPr>
          <w:p>
            <w:pPr>
              <w:tabs>
                <w:tab w:val="left" w:pos="5421"/>
              </w:tabs>
              <w:spacing w:line="0" w:lineRule="atLeast"/>
              <w:rPr>
                <w:rFonts w:ascii="宋体" w:hAnsi="宋体"/>
                <w:szCs w:val="21"/>
              </w:rPr>
            </w:pPr>
            <w:r>
              <w:rPr>
                <w:rFonts w:hint="eastAsia" w:ascii="宋体" w:hAnsi="宋体"/>
                <w:szCs w:val="21"/>
              </w:rPr>
              <w:t>供应商拟派的服务团队符合《采购需求》中拟配备人员各项要求的（以一个团队为一项）），每符合一项，得1分，最高得4分</w:t>
            </w:r>
          </w:p>
        </w:tc>
        <w:tc>
          <w:tcPr>
            <w:tcW w:w="709" w:type="dxa"/>
            <w:tcBorders>
              <w:left w:val="single" w:color="auto" w:sz="4" w:space="0"/>
              <w:right w:val="single" w:color="auto" w:sz="4" w:space="0"/>
            </w:tcBorders>
            <w:vAlign w:val="center"/>
          </w:tcPr>
          <w:p>
            <w:pPr>
              <w:spacing w:line="0" w:lineRule="atLeast"/>
              <w:ind w:left="-107" w:leftChars="-51" w:right="-141" w:rightChars="-67"/>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1" w:hRule="atLeast"/>
        </w:trPr>
        <w:tc>
          <w:tcPr>
            <w:tcW w:w="851" w:type="dxa"/>
            <w:vMerge w:val="continue"/>
            <w:vAlign w:val="center"/>
          </w:tcPr>
          <w:p>
            <w:pPr>
              <w:snapToGrid w:val="0"/>
              <w:spacing w:line="300" w:lineRule="exact"/>
              <w:ind w:firstLine="336" w:firstLineChars="200"/>
              <w:rPr>
                <w:rFonts w:ascii="宋体" w:hAnsi="宋体"/>
                <w:w w:val="80"/>
                <w:szCs w:val="21"/>
              </w:rPr>
            </w:pPr>
          </w:p>
        </w:tc>
        <w:tc>
          <w:tcPr>
            <w:tcW w:w="1271" w:type="dxa"/>
            <w:vMerge w:val="continue"/>
            <w:tcBorders>
              <w:right w:val="single" w:color="auto" w:sz="4" w:space="0"/>
            </w:tcBorders>
            <w:vAlign w:val="center"/>
          </w:tcPr>
          <w:p>
            <w:pPr>
              <w:spacing w:line="0" w:lineRule="atLeast"/>
              <w:jc w:val="center"/>
              <w:rPr>
                <w:rFonts w:ascii="宋体" w:hAnsi="宋体"/>
                <w:szCs w:val="21"/>
              </w:rPr>
            </w:pPr>
          </w:p>
        </w:tc>
        <w:tc>
          <w:tcPr>
            <w:tcW w:w="992" w:type="dxa"/>
            <w:vMerge w:val="restart"/>
            <w:tcBorders>
              <w:left w:val="single" w:color="auto" w:sz="4" w:space="0"/>
            </w:tcBorders>
            <w:vAlign w:val="center"/>
          </w:tcPr>
          <w:p>
            <w:pPr>
              <w:tabs>
                <w:tab w:val="left" w:pos="5279"/>
              </w:tabs>
              <w:spacing w:line="0" w:lineRule="atLeast"/>
              <w:rPr>
                <w:rFonts w:ascii="宋体" w:hAnsi="宋体"/>
                <w:szCs w:val="21"/>
              </w:rPr>
            </w:pPr>
            <w:r>
              <w:rPr>
                <w:rFonts w:hint="eastAsia" w:ascii="宋体" w:hAnsi="宋体"/>
                <w:szCs w:val="21"/>
              </w:rPr>
              <w:t>拟投入的专职专业人员（项目负责人除外）</w:t>
            </w:r>
          </w:p>
        </w:tc>
        <w:tc>
          <w:tcPr>
            <w:tcW w:w="5528" w:type="dxa"/>
            <w:tcBorders>
              <w:left w:val="single" w:color="auto" w:sz="4" w:space="0"/>
            </w:tcBorders>
            <w:vAlign w:val="center"/>
          </w:tcPr>
          <w:p>
            <w:pPr>
              <w:tabs>
                <w:tab w:val="left" w:pos="5279"/>
              </w:tabs>
              <w:spacing w:line="0" w:lineRule="atLeast"/>
              <w:rPr>
                <w:rFonts w:ascii="宋体" w:hAnsi="宋体"/>
                <w:szCs w:val="21"/>
              </w:rPr>
            </w:pPr>
            <w:r>
              <w:rPr>
                <w:rFonts w:hint="eastAsia" w:ascii="宋体" w:hAnsi="宋体"/>
                <w:szCs w:val="21"/>
              </w:rPr>
              <w:t>大于等于6人的得1分</w:t>
            </w:r>
          </w:p>
        </w:tc>
        <w:tc>
          <w:tcPr>
            <w:tcW w:w="709" w:type="dxa"/>
            <w:tcBorders>
              <w:left w:val="single" w:color="auto" w:sz="4" w:space="0"/>
              <w:right w:val="single" w:color="auto" w:sz="4" w:space="0"/>
            </w:tcBorders>
            <w:vAlign w:val="center"/>
          </w:tcPr>
          <w:p>
            <w:pPr>
              <w:spacing w:line="0" w:lineRule="atLeast"/>
              <w:ind w:left="-107" w:leftChars="-51" w:right="-141" w:rightChars="-67"/>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3" w:hRule="atLeast"/>
        </w:trPr>
        <w:tc>
          <w:tcPr>
            <w:tcW w:w="851" w:type="dxa"/>
            <w:vMerge w:val="continue"/>
            <w:vAlign w:val="center"/>
          </w:tcPr>
          <w:p>
            <w:pPr>
              <w:snapToGrid w:val="0"/>
              <w:spacing w:line="300" w:lineRule="exact"/>
              <w:ind w:firstLine="336" w:firstLineChars="200"/>
              <w:rPr>
                <w:rFonts w:ascii="宋体" w:hAnsi="宋体"/>
                <w:w w:val="80"/>
                <w:szCs w:val="21"/>
              </w:rPr>
            </w:pPr>
          </w:p>
        </w:tc>
        <w:tc>
          <w:tcPr>
            <w:tcW w:w="1271" w:type="dxa"/>
            <w:vMerge w:val="continue"/>
            <w:tcBorders>
              <w:right w:val="single" w:color="auto" w:sz="4" w:space="0"/>
            </w:tcBorders>
            <w:vAlign w:val="center"/>
          </w:tcPr>
          <w:p>
            <w:pPr>
              <w:spacing w:line="0" w:lineRule="atLeast"/>
              <w:jc w:val="center"/>
              <w:rPr>
                <w:rFonts w:ascii="宋体" w:hAnsi="宋体"/>
                <w:szCs w:val="21"/>
              </w:rPr>
            </w:pPr>
          </w:p>
        </w:tc>
        <w:tc>
          <w:tcPr>
            <w:tcW w:w="992" w:type="dxa"/>
            <w:vMerge w:val="continue"/>
            <w:tcBorders>
              <w:left w:val="single" w:color="auto" w:sz="4" w:space="0"/>
            </w:tcBorders>
            <w:vAlign w:val="center"/>
          </w:tcPr>
          <w:p>
            <w:pPr>
              <w:tabs>
                <w:tab w:val="left" w:pos="5279"/>
              </w:tabs>
              <w:spacing w:line="0" w:lineRule="atLeast"/>
              <w:rPr>
                <w:rFonts w:ascii="宋体" w:hAnsi="宋体"/>
                <w:szCs w:val="21"/>
              </w:rPr>
            </w:pPr>
          </w:p>
        </w:tc>
        <w:tc>
          <w:tcPr>
            <w:tcW w:w="5528" w:type="dxa"/>
            <w:tcBorders>
              <w:left w:val="single" w:color="auto" w:sz="4" w:space="0"/>
            </w:tcBorders>
            <w:vAlign w:val="center"/>
          </w:tcPr>
          <w:p>
            <w:pPr>
              <w:tabs>
                <w:tab w:val="left" w:pos="5279"/>
              </w:tabs>
              <w:spacing w:line="0" w:lineRule="atLeast"/>
              <w:rPr>
                <w:rFonts w:ascii="宋体" w:hAnsi="宋体"/>
                <w:szCs w:val="21"/>
              </w:rPr>
            </w:pPr>
            <w:r>
              <w:rPr>
                <w:rFonts w:hint="eastAsia" w:ascii="宋体" w:hAnsi="宋体"/>
                <w:szCs w:val="21"/>
              </w:rPr>
              <w:t>具备一级造价工程师执业资格人数合计大于等于3人的得0.5分；大于等于6人的得1分</w:t>
            </w:r>
          </w:p>
          <w:p>
            <w:pPr>
              <w:tabs>
                <w:tab w:val="left" w:pos="5279"/>
              </w:tabs>
              <w:spacing w:line="0" w:lineRule="atLeast"/>
              <w:rPr>
                <w:rFonts w:ascii="宋体" w:hAnsi="宋体"/>
                <w:szCs w:val="21"/>
              </w:rPr>
            </w:pPr>
            <w:r>
              <w:rPr>
                <w:rFonts w:hint="eastAsia" w:ascii="宋体" w:hAnsi="宋体"/>
                <w:szCs w:val="21"/>
              </w:rPr>
              <w:t>（分级前的注册造师工程师视同一级造价工程师）</w:t>
            </w:r>
          </w:p>
        </w:tc>
        <w:tc>
          <w:tcPr>
            <w:tcW w:w="709" w:type="dxa"/>
            <w:tcBorders>
              <w:left w:val="single" w:color="auto" w:sz="4" w:space="0"/>
              <w:right w:val="single" w:color="auto" w:sz="4" w:space="0"/>
            </w:tcBorders>
            <w:vAlign w:val="center"/>
          </w:tcPr>
          <w:p>
            <w:pPr>
              <w:spacing w:line="0" w:lineRule="atLeast"/>
              <w:ind w:left="-107" w:leftChars="-51" w:right="-141" w:rightChars="-67"/>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59" w:hRule="atLeast"/>
        </w:trPr>
        <w:tc>
          <w:tcPr>
            <w:tcW w:w="851" w:type="dxa"/>
            <w:vMerge w:val="continue"/>
            <w:vAlign w:val="center"/>
          </w:tcPr>
          <w:p>
            <w:pPr>
              <w:snapToGrid w:val="0"/>
              <w:spacing w:line="300" w:lineRule="exact"/>
              <w:ind w:firstLine="336" w:firstLineChars="200"/>
              <w:rPr>
                <w:rFonts w:ascii="宋体" w:hAnsi="宋体"/>
                <w:w w:val="80"/>
                <w:szCs w:val="21"/>
              </w:rPr>
            </w:pPr>
          </w:p>
        </w:tc>
        <w:tc>
          <w:tcPr>
            <w:tcW w:w="1271" w:type="dxa"/>
            <w:vMerge w:val="continue"/>
            <w:tcBorders>
              <w:right w:val="single" w:color="auto" w:sz="4" w:space="0"/>
            </w:tcBorders>
            <w:vAlign w:val="center"/>
          </w:tcPr>
          <w:p>
            <w:pPr>
              <w:spacing w:line="0" w:lineRule="atLeast"/>
              <w:jc w:val="center"/>
              <w:rPr>
                <w:rFonts w:ascii="宋体" w:hAnsi="宋体"/>
                <w:szCs w:val="21"/>
              </w:rPr>
            </w:pPr>
          </w:p>
        </w:tc>
        <w:tc>
          <w:tcPr>
            <w:tcW w:w="992" w:type="dxa"/>
            <w:vMerge w:val="continue"/>
            <w:tcBorders>
              <w:left w:val="single" w:color="auto" w:sz="4" w:space="0"/>
            </w:tcBorders>
            <w:vAlign w:val="center"/>
          </w:tcPr>
          <w:p>
            <w:pPr>
              <w:tabs>
                <w:tab w:val="left" w:pos="5279"/>
              </w:tabs>
              <w:spacing w:line="0" w:lineRule="atLeast"/>
              <w:rPr>
                <w:rFonts w:ascii="宋体" w:hAnsi="宋体"/>
                <w:szCs w:val="21"/>
              </w:rPr>
            </w:pPr>
          </w:p>
        </w:tc>
        <w:tc>
          <w:tcPr>
            <w:tcW w:w="5528" w:type="dxa"/>
            <w:tcBorders>
              <w:left w:val="single" w:color="auto" w:sz="4" w:space="0"/>
            </w:tcBorders>
            <w:vAlign w:val="center"/>
          </w:tcPr>
          <w:p>
            <w:pPr>
              <w:tabs>
                <w:tab w:val="left" w:pos="5279"/>
              </w:tabs>
              <w:spacing w:line="0" w:lineRule="atLeast"/>
              <w:rPr>
                <w:rFonts w:ascii="宋体" w:hAnsi="宋体"/>
                <w:szCs w:val="21"/>
              </w:rPr>
            </w:pPr>
            <w:r>
              <w:rPr>
                <w:rFonts w:hint="eastAsia" w:ascii="宋体" w:hAnsi="宋体"/>
                <w:szCs w:val="21"/>
              </w:rPr>
              <w:t>具备工程类高级及以上职称人数大于等于3人的，得1分</w:t>
            </w:r>
          </w:p>
        </w:tc>
        <w:tc>
          <w:tcPr>
            <w:tcW w:w="709" w:type="dxa"/>
            <w:tcBorders>
              <w:left w:val="single" w:color="auto" w:sz="4" w:space="0"/>
              <w:right w:val="single" w:color="auto" w:sz="4" w:space="0"/>
            </w:tcBorders>
            <w:vAlign w:val="center"/>
          </w:tcPr>
          <w:p>
            <w:pPr>
              <w:spacing w:line="0" w:lineRule="atLeast"/>
              <w:ind w:left="-107" w:leftChars="-51" w:right="-141" w:rightChars="-67"/>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4" w:hRule="atLeast"/>
        </w:trPr>
        <w:tc>
          <w:tcPr>
            <w:tcW w:w="851" w:type="dxa"/>
            <w:vMerge w:val="continue"/>
            <w:vAlign w:val="center"/>
          </w:tcPr>
          <w:p>
            <w:pPr>
              <w:snapToGrid w:val="0"/>
              <w:spacing w:line="300" w:lineRule="exact"/>
              <w:ind w:firstLine="336" w:firstLineChars="200"/>
              <w:rPr>
                <w:rFonts w:ascii="宋体" w:hAnsi="宋体"/>
                <w:w w:val="80"/>
                <w:szCs w:val="21"/>
              </w:rPr>
            </w:pPr>
          </w:p>
        </w:tc>
        <w:tc>
          <w:tcPr>
            <w:tcW w:w="7791" w:type="dxa"/>
            <w:gridSpan w:val="3"/>
            <w:vAlign w:val="center"/>
          </w:tcPr>
          <w:p>
            <w:pPr>
              <w:tabs>
                <w:tab w:val="left" w:pos="7513"/>
              </w:tabs>
              <w:spacing w:line="0" w:lineRule="atLeast"/>
            </w:pPr>
            <w:r>
              <w:rPr>
                <w:rFonts w:hint="eastAsia"/>
              </w:rPr>
              <w:t>自2019年1月1日以来（以证书的日期为准）供应商获得过省级（含副省级）及以上政府造价管理部门颁发的“先进造价咨询企业”或“优秀造价咨询企业”或“品牌造价咨询企业”等类似称号的每次得0.5分，满分1分。</w:t>
            </w:r>
          </w:p>
          <w:p>
            <w:pPr>
              <w:tabs>
                <w:tab w:val="left" w:pos="7513"/>
              </w:tabs>
              <w:spacing w:line="0" w:lineRule="atLeast"/>
              <w:rPr>
                <w:color w:val="0000FF"/>
              </w:rPr>
            </w:pPr>
            <w:r>
              <w:rPr>
                <w:rFonts w:hint="eastAsia"/>
              </w:rPr>
              <w:t>（投标文件中提供证书或相关文件复印件加盖公章。要求证书或相关文件发文落款日期为2019年1月1日及以后，否则不予认可。）</w:t>
            </w:r>
          </w:p>
        </w:tc>
        <w:tc>
          <w:tcPr>
            <w:tcW w:w="709" w:type="dxa"/>
            <w:vAlign w:val="center"/>
          </w:tcPr>
          <w:p>
            <w:pPr>
              <w:spacing w:line="0" w:lineRule="atLeast"/>
              <w:ind w:left="-107" w:leftChars="-51" w:right="-141" w:rightChars="-67"/>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165" w:hRule="atLeast"/>
        </w:trPr>
        <w:tc>
          <w:tcPr>
            <w:tcW w:w="851" w:type="dxa"/>
            <w:vMerge w:val="continue"/>
            <w:vAlign w:val="center"/>
          </w:tcPr>
          <w:p>
            <w:pPr>
              <w:snapToGrid w:val="0"/>
              <w:spacing w:line="300" w:lineRule="exact"/>
              <w:ind w:firstLine="336" w:firstLineChars="200"/>
              <w:rPr>
                <w:rFonts w:ascii="宋体" w:hAnsi="宋体"/>
                <w:w w:val="80"/>
                <w:szCs w:val="21"/>
              </w:rPr>
            </w:pPr>
          </w:p>
        </w:tc>
        <w:tc>
          <w:tcPr>
            <w:tcW w:w="1271" w:type="dxa"/>
            <w:vAlign w:val="center"/>
          </w:tcPr>
          <w:p>
            <w:pPr>
              <w:tabs>
                <w:tab w:val="left" w:pos="5421"/>
              </w:tabs>
              <w:spacing w:line="0" w:lineRule="atLeast"/>
              <w:rPr>
                <w:rFonts w:ascii="宋体" w:hAnsi="宋体"/>
                <w:szCs w:val="21"/>
              </w:rPr>
            </w:pPr>
            <w:r>
              <w:rPr>
                <w:rFonts w:hint="eastAsia" w:ascii="宋体" w:hAnsi="宋体"/>
                <w:szCs w:val="21"/>
              </w:rPr>
              <w:t>项目实施方案、重难点分析与解决措施</w:t>
            </w:r>
          </w:p>
        </w:tc>
        <w:tc>
          <w:tcPr>
            <w:tcW w:w="6520" w:type="dxa"/>
            <w:gridSpan w:val="2"/>
            <w:vAlign w:val="center"/>
          </w:tcPr>
          <w:p>
            <w:pPr>
              <w:tabs>
                <w:tab w:val="left" w:pos="5421"/>
              </w:tabs>
              <w:spacing w:line="0" w:lineRule="atLeast"/>
              <w:rPr>
                <w:rFonts w:ascii="宋体" w:hAnsi="宋体"/>
                <w:szCs w:val="21"/>
              </w:rPr>
            </w:pPr>
            <w:r>
              <w:rPr>
                <w:rFonts w:hint="eastAsia" w:ascii="宋体" w:hAnsi="宋体"/>
                <w:szCs w:val="21"/>
              </w:rPr>
              <w:t>评委根据投标人的项目实施方案、重难点分析与解决措施的可行性及全面性进行综合评议，满分20分</w:t>
            </w:r>
          </w:p>
        </w:tc>
        <w:tc>
          <w:tcPr>
            <w:tcW w:w="709" w:type="dxa"/>
            <w:vAlign w:val="center"/>
          </w:tcPr>
          <w:p>
            <w:pPr>
              <w:tabs>
                <w:tab w:val="left" w:pos="5421"/>
              </w:tabs>
              <w:spacing w:line="0" w:lineRule="atLeast"/>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14" w:hRule="atLeast"/>
        </w:trPr>
        <w:tc>
          <w:tcPr>
            <w:tcW w:w="851" w:type="dxa"/>
            <w:vMerge w:val="continue"/>
            <w:vAlign w:val="center"/>
          </w:tcPr>
          <w:p>
            <w:pPr>
              <w:snapToGrid w:val="0"/>
              <w:spacing w:line="300" w:lineRule="exact"/>
              <w:ind w:firstLine="336" w:firstLineChars="200"/>
              <w:rPr>
                <w:rFonts w:ascii="宋体" w:hAnsi="宋体"/>
                <w:w w:val="80"/>
                <w:szCs w:val="21"/>
              </w:rPr>
            </w:pPr>
          </w:p>
        </w:tc>
        <w:tc>
          <w:tcPr>
            <w:tcW w:w="7791" w:type="dxa"/>
            <w:gridSpan w:val="3"/>
            <w:vAlign w:val="center"/>
          </w:tcPr>
          <w:p>
            <w:pPr>
              <w:tabs>
                <w:tab w:val="left" w:pos="7513"/>
              </w:tabs>
              <w:spacing w:line="0" w:lineRule="atLeast"/>
            </w:pPr>
            <w:r>
              <w:rPr>
                <w:rFonts w:hint="eastAsia"/>
              </w:rPr>
              <w:t>根据供应商对项目所在地经济建设、社会发展的支持力度进行综合评议。</w:t>
            </w:r>
          </w:p>
          <w:p>
            <w:pPr>
              <w:tabs>
                <w:tab w:val="left" w:pos="7513"/>
              </w:tabs>
              <w:spacing w:line="0" w:lineRule="atLeast"/>
            </w:pPr>
            <w:r>
              <w:rPr>
                <w:rFonts w:hint="eastAsia"/>
              </w:rPr>
              <w:t>（投标文件中须提供相关证明材料）</w:t>
            </w:r>
          </w:p>
        </w:tc>
        <w:tc>
          <w:tcPr>
            <w:tcW w:w="709" w:type="dxa"/>
            <w:vAlign w:val="center"/>
          </w:tcPr>
          <w:p>
            <w:pPr>
              <w:spacing w:line="0" w:lineRule="atLeast"/>
              <w:ind w:left="-107" w:leftChars="-51" w:right="-141" w:rightChars="-67"/>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23" w:hRule="atLeast"/>
        </w:trPr>
        <w:tc>
          <w:tcPr>
            <w:tcW w:w="851" w:type="dxa"/>
            <w:vMerge w:val="continue"/>
            <w:vAlign w:val="center"/>
          </w:tcPr>
          <w:p>
            <w:pPr>
              <w:snapToGrid w:val="0"/>
              <w:spacing w:line="300" w:lineRule="exact"/>
              <w:ind w:firstLine="336" w:firstLineChars="200"/>
              <w:rPr>
                <w:rFonts w:ascii="宋体" w:hAnsi="宋体"/>
                <w:w w:val="80"/>
                <w:szCs w:val="21"/>
              </w:rPr>
            </w:pPr>
          </w:p>
        </w:tc>
        <w:tc>
          <w:tcPr>
            <w:tcW w:w="7791" w:type="dxa"/>
            <w:gridSpan w:val="3"/>
            <w:vAlign w:val="center"/>
          </w:tcPr>
          <w:p>
            <w:pPr>
              <w:tabs>
                <w:tab w:val="left" w:pos="7513"/>
              </w:tabs>
              <w:spacing w:line="0" w:lineRule="atLeast"/>
              <w:rPr>
                <w:color w:val="0000FF"/>
              </w:rPr>
            </w:pPr>
            <w:r>
              <w:rPr>
                <w:rFonts w:hint="eastAsia"/>
              </w:rPr>
              <w:t>供应商是国家认定的少数民族地区企业的得1分</w:t>
            </w:r>
          </w:p>
        </w:tc>
        <w:tc>
          <w:tcPr>
            <w:tcW w:w="709" w:type="dxa"/>
            <w:vAlign w:val="center"/>
          </w:tcPr>
          <w:p>
            <w:pPr>
              <w:spacing w:line="0" w:lineRule="atLeast"/>
              <w:ind w:left="-107" w:leftChars="-51" w:right="-141" w:rightChars="-67"/>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4" w:hRule="atLeast"/>
        </w:trPr>
        <w:tc>
          <w:tcPr>
            <w:tcW w:w="851" w:type="dxa"/>
            <w:vMerge w:val="continue"/>
            <w:vAlign w:val="center"/>
          </w:tcPr>
          <w:p>
            <w:pPr>
              <w:snapToGrid w:val="0"/>
              <w:spacing w:line="300" w:lineRule="exact"/>
              <w:ind w:firstLine="336" w:firstLineChars="200"/>
              <w:rPr>
                <w:rFonts w:ascii="宋体" w:hAnsi="宋体"/>
                <w:w w:val="80"/>
                <w:szCs w:val="21"/>
              </w:rPr>
            </w:pPr>
          </w:p>
        </w:tc>
        <w:tc>
          <w:tcPr>
            <w:tcW w:w="7791" w:type="dxa"/>
            <w:gridSpan w:val="3"/>
            <w:vAlign w:val="center"/>
          </w:tcPr>
          <w:p>
            <w:pPr>
              <w:tabs>
                <w:tab w:val="left" w:pos="7513"/>
              </w:tabs>
              <w:spacing w:line="0" w:lineRule="atLeast"/>
            </w:pPr>
            <w:r>
              <w:rPr>
                <w:rFonts w:hint="eastAsia"/>
              </w:rPr>
              <w:t>根据投标单位提供的2019年1月1日以来参与的政府投资项目的概算协审业绩，每个得0.</w:t>
            </w:r>
            <w:r>
              <w:t>5</w:t>
            </w:r>
            <w:r>
              <w:rPr>
                <w:rFonts w:hint="eastAsia"/>
              </w:rPr>
              <w:t>分。</w:t>
            </w:r>
          </w:p>
          <w:p>
            <w:pPr>
              <w:tabs>
                <w:tab w:val="left" w:pos="7513"/>
              </w:tabs>
              <w:spacing w:line="0" w:lineRule="atLeast"/>
              <w:rPr>
                <w:color w:val="0000FF"/>
              </w:rPr>
            </w:pPr>
            <w:r>
              <w:rPr>
                <w:rFonts w:hint="eastAsia"/>
              </w:rPr>
              <w:t>（投标文件中须提供各项目的概算审核报告封面及编制说明复印件，并列项目清单）</w:t>
            </w:r>
          </w:p>
        </w:tc>
        <w:tc>
          <w:tcPr>
            <w:tcW w:w="709" w:type="dxa"/>
            <w:vAlign w:val="center"/>
          </w:tcPr>
          <w:p>
            <w:pPr>
              <w:spacing w:line="0" w:lineRule="atLeast"/>
              <w:ind w:left="-107" w:leftChars="-51" w:right="-141" w:rightChars="-67"/>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552" w:hRule="atLeast"/>
        </w:trPr>
        <w:tc>
          <w:tcPr>
            <w:tcW w:w="851" w:type="dxa"/>
            <w:textDirection w:val="tbRlV"/>
            <w:vAlign w:val="center"/>
          </w:tcPr>
          <w:p>
            <w:pPr>
              <w:snapToGrid w:val="0"/>
              <w:spacing w:line="300" w:lineRule="exact"/>
              <w:ind w:firstLine="384" w:firstLineChars="200"/>
              <w:jc w:val="left"/>
              <w:rPr>
                <w:w w:val="150"/>
                <w:szCs w:val="21"/>
              </w:rPr>
            </w:pPr>
            <w:r>
              <w:rPr>
                <w:rFonts w:ascii="宋体" w:hAnsi="宋体"/>
                <w:w w:val="80"/>
                <w:sz w:val="24"/>
                <w:szCs w:val="21"/>
              </w:rPr>
              <w:t>价格分10分</w:t>
            </w:r>
          </w:p>
        </w:tc>
        <w:tc>
          <w:tcPr>
            <w:tcW w:w="7791" w:type="dxa"/>
            <w:gridSpan w:val="3"/>
            <w:vAlign w:val="center"/>
          </w:tcPr>
          <w:p>
            <w:pPr>
              <w:tabs>
                <w:tab w:val="left" w:pos="7513"/>
              </w:tabs>
              <w:spacing w:line="0" w:lineRule="atLeast"/>
              <w:rPr>
                <w:rFonts w:ascii="宋体" w:hAnsi="宋体"/>
                <w:szCs w:val="21"/>
              </w:rPr>
            </w:pPr>
            <w:r>
              <w:rPr>
                <w:rFonts w:hint="eastAsia" w:ascii="宋体" w:hAnsi="宋体"/>
                <w:szCs w:val="21"/>
              </w:rPr>
              <w:t>评标基准价=满足招标文件要求且最低的参与评审的价格</w:t>
            </w:r>
          </w:p>
          <w:p>
            <w:pPr>
              <w:tabs>
                <w:tab w:val="left" w:pos="7513"/>
              </w:tabs>
              <w:spacing w:line="0" w:lineRule="atLeast"/>
              <w:rPr>
                <w:rFonts w:ascii="宋体" w:hAnsi="宋体"/>
                <w:szCs w:val="21"/>
              </w:rPr>
            </w:pPr>
            <w:r>
              <w:rPr>
                <w:rFonts w:hint="eastAsia" w:ascii="宋体" w:hAnsi="宋体"/>
                <w:szCs w:val="21"/>
              </w:rPr>
              <w:t>参与评审的价格=投标报价-小微企业价格扣除优惠值</w:t>
            </w:r>
            <w:r>
              <w:rPr>
                <w:rFonts w:ascii="宋体" w:hAnsi="宋体"/>
                <w:szCs w:val="21"/>
              </w:rPr>
              <w:t>1</w:t>
            </w:r>
            <w:r>
              <w:rPr>
                <w:rFonts w:hint="eastAsia" w:ascii="宋体" w:hAnsi="宋体"/>
                <w:szCs w:val="21"/>
              </w:rPr>
              <w:t>0％（如有）（残疾人福利性单位、监狱企业（监狱和戒毒企业）视同小微企业）。</w:t>
            </w:r>
          </w:p>
          <w:p>
            <w:pPr>
              <w:tabs>
                <w:tab w:val="left" w:pos="7513"/>
              </w:tabs>
              <w:spacing w:line="0" w:lineRule="atLeast"/>
              <w:rPr>
                <w:rFonts w:ascii="宋体" w:hAnsi="宋体"/>
                <w:szCs w:val="21"/>
              </w:rPr>
            </w:pPr>
            <w:r>
              <w:rPr>
                <w:rFonts w:hint="eastAsia" w:ascii="宋体" w:hAnsi="宋体"/>
                <w:szCs w:val="21"/>
              </w:rPr>
              <w:t>投标报价得分=(评标基准价/参与评审的价格)×10×100%</w:t>
            </w:r>
          </w:p>
          <w:p>
            <w:pPr>
              <w:tabs>
                <w:tab w:val="left" w:pos="7513"/>
              </w:tabs>
              <w:spacing w:line="0" w:lineRule="atLeast"/>
              <w:rPr>
                <w:w w:val="80"/>
                <w:szCs w:val="21"/>
              </w:rPr>
            </w:pPr>
            <w:r>
              <w:rPr>
                <w:rFonts w:hint="eastAsia" w:ascii="宋体" w:hAnsi="宋体"/>
                <w:szCs w:val="21"/>
              </w:rPr>
              <w:t>投标报价得分以四舍五入保留小数点后二位。</w:t>
            </w:r>
          </w:p>
        </w:tc>
        <w:tc>
          <w:tcPr>
            <w:tcW w:w="709" w:type="dxa"/>
            <w:vAlign w:val="center"/>
          </w:tcPr>
          <w:p>
            <w:pPr>
              <w:spacing w:before="120" w:beforeLines="50" w:after="120" w:afterLines="50"/>
              <w:ind w:left="-107" w:leftChars="-51" w:right="-141" w:rightChars="-67"/>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8" w:hRule="atLeast"/>
        </w:trPr>
        <w:tc>
          <w:tcPr>
            <w:tcW w:w="8642" w:type="dxa"/>
            <w:gridSpan w:val="4"/>
            <w:vAlign w:val="center"/>
          </w:tcPr>
          <w:p>
            <w:pPr>
              <w:tabs>
                <w:tab w:val="left" w:pos="7513"/>
              </w:tabs>
              <w:spacing w:line="0" w:lineRule="atLeast"/>
              <w:jc w:val="center"/>
              <w:rPr>
                <w:rFonts w:ascii="宋体" w:hAnsi="宋体"/>
                <w:szCs w:val="21"/>
              </w:rPr>
            </w:pPr>
            <w:r>
              <w:rPr>
                <w:rFonts w:hint="eastAsia"/>
              </w:rPr>
              <w:t>合计总分</w:t>
            </w:r>
          </w:p>
        </w:tc>
        <w:tc>
          <w:tcPr>
            <w:tcW w:w="709" w:type="dxa"/>
            <w:vAlign w:val="center"/>
          </w:tcPr>
          <w:p>
            <w:pPr>
              <w:spacing w:before="120" w:beforeLines="50" w:after="120" w:afterLines="50"/>
              <w:ind w:left="-107" w:leftChars="-51" w:right="-141" w:rightChars="-67"/>
              <w:jc w:val="center"/>
              <w:rPr>
                <w:rFonts w:ascii="宋体" w:hAnsi="宋体"/>
                <w:szCs w:val="21"/>
              </w:rPr>
            </w:pPr>
            <w:r>
              <w:rPr>
                <w:rFonts w:hint="eastAsia" w:ascii="宋体" w:hAnsi="宋体"/>
                <w:szCs w:val="21"/>
              </w:rPr>
              <w:t>1</w:t>
            </w:r>
            <w:r>
              <w:rPr>
                <w:rFonts w:ascii="宋体" w:hAnsi="宋体"/>
                <w:szCs w:val="21"/>
              </w:rPr>
              <w:t>00</w:t>
            </w:r>
          </w:p>
        </w:tc>
      </w:tr>
    </w:tbl>
    <w:p>
      <w:pPr>
        <w:spacing w:line="320" w:lineRule="exact"/>
        <w:ind w:right="-539"/>
        <w:jc w:val="left"/>
        <w:rPr>
          <w:rFonts w:ascii="宋体" w:hAnsi="宋体"/>
          <w:szCs w:val="21"/>
        </w:rPr>
      </w:pPr>
      <w:r>
        <w:rPr>
          <w:rFonts w:hint="eastAsia" w:ascii="宋体" w:hAnsi="宋体"/>
          <w:szCs w:val="21"/>
        </w:rPr>
        <w:t>注：以上评分标准中要求提供的资料必须清晰、完整并加盖单位公章。</w:t>
      </w:r>
    </w:p>
    <w:p>
      <w:pPr>
        <w:spacing w:line="320" w:lineRule="exact"/>
        <w:ind w:right="1164"/>
        <w:jc w:val="left"/>
        <w:rPr>
          <w:rFonts w:ascii="宋体" w:hAnsi="宋体"/>
          <w:szCs w:val="21"/>
          <w:highlight w:val="yellow"/>
        </w:rPr>
      </w:pPr>
      <w:r>
        <w:rPr>
          <w:rFonts w:ascii="宋体" w:hAnsi="宋体"/>
          <w:szCs w:val="21"/>
        </w:rPr>
        <w:t>评审签名</w:t>
      </w:r>
      <w:r>
        <w:rPr>
          <w:rFonts w:hint="eastAsia" w:ascii="宋体" w:hAnsi="宋体"/>
          <w:szCs w:val="21"/>
        </w:rPr>
        <w:t>：</w:t>
      </w:r>
    </w:p>
    <w:p>
      <w:pPr>
        <w:wordWrap w:val="0"/>
        <w:spacing w:line="320" w:lineRule="exact"/>
        <w:ind w:right="210"/>
        <w:jc w:val="right"/>
        <w:rPr>
          <w:rFonts w:eastAsia="黑体"/>
          <w:b/>
          <w:color w:val="000000"/>
          <w:sz w:val="32"/>
        </w:rPr>
      </w:pPr>
      <w:r>
        <w:rPr>
          <w:rFonts w:hint="eastAsia" w:ascii="宋体" w:hAnsi="宋体"/>
          <w:szCs w:val="21"/>
          <w:highlight w:val="yellow"/>
        </w:rPr>
        <w:t>日期：202</w:t>
      </w:r>
      <w:r>
        <w:rPr>
          <w:rFonts w:ascii="宋体" w:hAnsi="宋体"/>
          <w:szCs w:val="21"/>
          <w:highlight w:val="yellow"/>
        </w:rPr>
        <w:t>3</w:t>
      </w:r>
      <w:r>
        <w:rPr>
          <w:rFonts w:hint="eastAsia" w:ascii="宋体" w:hAnsi="宋体"/>
          <w:szCs w:val="21"/>
          <w:highlight w:val="yellow"/>
        </w:rPr>
        <w:t>年</w:t>
      </w:r>
      <w:r>
        <w:rPr>
          <w:rFonts w:ascii="宋体" w:hAnsi="宋体"/>
          <w:szCs w:val="21"/>
          <w:highlight w:val="yellow"/>
        </w:rPr>
        <w:t>03</w:t>
      </w:r>
      <w:r>
        <w:rPr>
          <w:rFonts w:hint="eastAsia" w:ascii="宋体" w:hAnsi="宋体"/>
          <w:szCs w:val="21"/>
          <w:highlight w:val="yellow"/>
        </w:rPr>
        <w:t>月</w:t>
      </w:r>
      <w:r>
        <w:rPr>
          <w:rFonts w:ascii="宋体" w:hAnsi="宋体"/>
          <w:szCs w:val="21"/>
          <w:highlight w:val="yellow"/>
        </w:rPr>
        <w:t>15</w:t>
      </w:r>
      <w:r>
        <w:rPr>
          <w:rFonts w:hint="eastAsia" w:ascii="宋体" w:hAnsi="宋体"/>
          <w:szCs w:val="21"/>
          <w:highlight w:val="yellow"/>
        </w:rPr>
        <w:t>日</w:t>
      </w:r>
      <w:bookmarkStart w:id="33" w:name="_Toc98402394"/>
    </w:p>
    <w:p>
      <w:pPr>
        <w:spacing w:line="400" w:lineRule="exact"/>
        <w:jc w:val="center"/>
        <w:outlineLvl w:val="0"/>
        <w:rPr>
          <w:rFonts w:eastAsia="黑体"/>
          <w:b/>
          <w:color w:val="000000"/>
          <w:sz w:val="32"/>
        </w:rPr>
      </w:pPr>
      <w:r>
        <w:rPr>
          <w:rFonts w:hint="eastAsia" w:eastAsia="黑体"/>
          <w:b/>
          <w:color w:val="000000"/>
          <w:sz w:val="32"/>
        </w:rPr>
        <w:t>第六章</w:t>
      </w:r>
      <w:r>
        <w:rPr>
          <w:rFonts w:eastAsia="黑体"/>
          <w:b/>
          <w:color w:val="000000"/>
          <w:sz w:val="32"/>
        </w:rPr>
        <w:t xml:space="preserve">  </w:t>
      </w:r>
      <w:r>
        <w:rPr>
          <w:rFonts w:hint="eastAsia" w:eastAsia="黑体"/>
          <w:b/>
          <w:color w:val="000000"/>
          <w:sz w:val="32"/>
        </w:rPr>
        <w:t>合同样本</w:t>
      </w:r>
      <w:bookmarkEnd w:id="33"/>
    </w:p>
    <w:p>
      <w:pPr>
        <w:pStyle w:val="11"/>
        <w:snapToGrid w:val="0"/>
        <w:spacing w:line="400" w:lineRule="exact"/>
        <w:jc w:val="center"/>
        <w:rPr>
          <w:rFonts w:ascii="黑体" w:eastAsia="黑体"/>
          <w:b/>
          <w:sz w:val="30"/>
        </w:rPr>
      </w:pPr>
      <w:r>
        <w:rPr>
          <w:rFonts w:hint="eastAsia" w:ascii="黑体" w:eastAsia="黑体"/>
          <w:b/>
          <w:sz w:val="30"/>
        </w:rPr>
        <w:t>（本合同为合同样稿，最终稿由甲乙双方协商后确定）</w:t>
      </w:r>
    </w:p>
    <w:p>
      <w:pPr>
        <w:spacing w:line="440" w:lineRule="exact"/>
        <w:ind w:firstLine="482" w:firstLineChars="200"/>
        <w:jc w:val="center"/>
        <w:rPr>
          <w:rFonts w:ascii="宋体" w:hAnsi="宋体"/>
          <w:b/>
          <w:bCs/>
          <w:sz w:val="24"/>
        </w:rPr>
      </w:pPr>
      <w:bookmarkStart w:id="34" w:name="_Toc216662965"/>
      <w:bookmarkStart w:id="35" w:name="_Toc98402396"/>
      <w:r>
        <w:rPr>
          <w:rFonts w:hint="eastAsia" w:ascii="宋体" w:hAnsi="宋体"/>
          <w:b/>
          <w:bCs/>
          <w:sz w:val="24"/>
        </w:rPr>
        <w:t>鄞州区2023-2024年度政府投资项目概算协审服务封闭式框架协议采购项目</w:t>
      </w:r>
    </w:p>
    <w:p>
      <w:pPr>
        <w:spacing w:line="440" w:lineRule="exact"/>
        <w:ind w:firstLine="482" w:firstLineChars="200"/>
        <w:jc w:val="center"/>
        <w:rPr>
          <w:rFonts w:ascii="宋体" w:hAnsi="宋体"/>
          <w:b/>
          <w:bCs/>
          <w:sz w:val="28"/>
          <w:szCs w:val="28"/>
        </w:rPr>
      </w:pPr>
      <w:r>
        <w:rPr>
          <w:rFonts w:hint="eastAsia" w:ascii="宋体" w:hAnsi="宋体"/>
          <w:b/>
          <w:bCs/>
          <w:sz w:val="24"/>
        </w:rPr>
        <w:t>协议书</w:t>
      </w:r>
    </w:p>
    <w:p>
      <w:pPr>
        <w:spacing w:line="440" w:lineRule="exact"/>
        <w:rPr>
          <w:rFonts w:ascii="宋体" w:hAnsi="宋体"/>
          <w:bCs/>
          <w:szCs w:val="21"/>
        </w:rPr>
      </w:pPr>
    </w:p>
    <w:p>
      <w:pPr>
        <w:spacing w:line="440" w:lineRule="exact"/>
        <w:rPr>
          <w:rFonts w:ascii="宋体" w:hAnsi="宋体"/>
          <w:szCs w:val="21"/>
          <w:u w:val="single"/>
        </w:rPr>
      </w:pPr>
      <w:r>
        <w:rPr>
          <w:rFonts w:hint="eastAsia" w:ascii="宋体" w:hAnsi="宋体"/>
          <w:bCs/>
          <w:szCs w:val="21"/>
        </w:rPr>
        <w:t>委托方(甲方)</w:t>
      </w:r>
      <w:r>
        <w:rPr>
          <w:rFonts w:hint="eastAsia" w:ascii="宋体" w:hAnsi="宋体"/>
          <w:szCs w:val="21"/>
        </w:rPr>
        <w:t>：</w:t>
      </w:r>
      <w:r>
        <w:rPr>
          <w:rFonts w:hint="eastAsia" w:ascii="宋体" w:hAnsi="宋体"/>
          <w:szCs w:val="21"/>
          <w:u w:val="single"/>
        </w:rPr>
        <w:t xml:space="preserve">                            </w:t>
      </w:r>
    </w:p>
    <w:p>
      <w:pPr>
        <w:spacing w:line="440" w:lineRule="exact"/>
        <w:rPr>
          <w:rFonts w:ascii="宋体" w:hAnsi="宋体"/>
          <w:szCs w:val="21"/>
          <w:u w:val="single"/>
        </w:rPr>
      </w:pPr>
      <w:r>
        <w:rPr>
          <w:rFonts w:hint="eastAsia" w:ascii="宋体" w:hAnsi="宋体"/>
          <w:bCs/>
          <w:szCs w:val="21"/>
        </w:rPr>
        <w:t>受托方(乙方)</w:t>
      </w:r>
      <w:r>
        <w:rPr>
          <w:rFonts w:hint="eastAsia" w:ascii="宋体" w:hAnsi="宋体"/>
          <w:szCs w:val="21"/>
        </w:rPr>
        <w:t>：</w:t>
      </w:r>
      <w:r>
        <w:rPr>
          <w:rFonts w:hint="eastAsia" w:ascii="宋体" w:hAnsi="宋体"/>
          <w:szCs w:val="21"/>
          <w:u w:val="single"/>
        </w:rPr>
        <w:t xml:space="preserve">                             </w:t>
      </w:r>
    </w:p>
    <w:p>
      <w:pPr>
        <w:spacing w:line="440" w:lineRule="exact"/>
        <w:ind w:firstLine="420" w:firstLineChars="200"/>
        <w:rPr>
          <w:rFonts w:ascii="宋体" w:hAnsi="宋体"/>
          <w:szCs w:val="21"/>
        </w:rPr>
      </w:pPr>
      <w:r>
        <w:rPr>
          <w:rFonts w:hint="eastAsia" w:ascii="宋体" w:hAnsi="宋体"/>
          <w:color w:val="000000"/>
          <w:szCs w:val="21"/>
        </w:rPr>
        <w:t>根据《鄞州区政府投资项目管理办法》的规定，兹由甲方组织乙方办理政府投资项</w:t>
      </w:r>
      <w:r>
        <w:rPr>
          <w:rFonts w:hint="eastAsia" w:ascii="宋体" w:hAnsi="宋体"/>
          <w:szCs w:val="21"/>
        </w:rPr>
        <w:t>目概算审核协审业务，经双方协商同意签订本协议书。</w:t>
      </w:r>
    </w:p>
    <w:p>
      <w:pPr>
        <w:spacing w:line="440" w:lineRule="exact"/>
        <w:rPr>
          <w:rFonts w:ascii="宋体" w:hAnsi="宋体"/>
          <w:b/>
          <w:szCs w:val="21"/>
        </w:rPr>
      </w:pPr>
      <w:r>
        <w:rPr>
          <w:rFonts w:hint="eastAsia" w:ascii="宋体" w:hAnsi="宋体"/>
          <w:b/>
          <w:szCs w:val="21"/>
        </w:rPr>
        <w:t>一、委托期限及服务类别</w:t>
      </w:r>
    </w:p>
    <w:p>
      <w:pPr>
        <w:spacing w:line="440" w:lineRule="exact"/>
        <w:ind w:firstLine="420" w:firstLineChars="200"/>
        <w:rPr>
          <w:rFonts w:ascii="宋体" w:hAnsi="宋体"/>
          <w:b/>
          <w:szCs w:val="21"/>
        </w:rPr>
      </w:pPr>
      <w:r>
        <w:rPr>
          <w:rFonts w:hint="eastAsia" w:ascii="宋体" w:hAnsi="宋体"/>
          <w:szCs w:val="21"/>
        </w:rPr>
        <w:t>1、委托期限：本协议委托期限自</w:t>
      </w:r>
      <w:r>
        <w:rPr>
          <w:rFonts w:hint="eastAsia" w:ascii="宋体" w:hAnsi="宋体"/>
          <w:b/>
          <w:szCs w:val="21"/>
        </w:rPr>
        <w:t xml:space="preserve">  年  月  日起至  年  月  日止。</w:t>
      </w:r>
    </w:p>
    <w:p>
      <w:pPr>
        <w:spacing w:line="440" w:lineRule="exact"/>
        <w:rPr>
          <w:rFonts w:ascii="宋体" w:hAnsi="宋体"/>
          <w:szCs w:val="21"/>
        </w:rPr>
      </w:pPr>
      <w:r>
        <w:rPr>
          <w:rFonts w:hint="eastAsia" w:ascii="宋体" w:hAnsi="宋体"/>
          <w:szCs w:val="21"/>
        </w:rPr>
        <w:t>　　2、服务类别：概算审核。</w:t>
      </w:r>
    </w:p>
    <w:p>
      <w:pPr>
        <w:spacing w:line="440" w:lineRule="exact"/>
        <w:rPr>
          <w:rFonts w:ascii="宋体" w:hAnsi="宋体"/>
          <w:b/>
          <w:szCs w:val="21"/>
        </w:rPr>
      </w:pPr>
      <w:r>
        <w:rPr>
          <w:rFonts w:hint="eastAsia" w:ascii="宋体" w:hAnsi="宋体"/>
          <w:b/>
          <w:szCs w:val="21"/>
        </w:rPr>
        <w:t>二、双方的权利和义务</w:t>
      </w:r>
    </w:p>
    <w:p>
      <w:pPr>
        <w:spacing w:line="440" w:lineRule="exact"/>
        <w:rPr>
          <w:rFonts w:ascii="宋体" w:hAnsi="宋体"/>
          <w:szCs w:val="21"/>
        </w:rPr>
      </w:pPr>
      <w:r>
        <w:rPr>
          <w:rFonts w:hint="eastAsia" w:ascii="宋体" w:hAnsi="宋体"/>
          <w:szCs w:val="21"/>
        </w:rPr>
        <w:t xml:space="preserve">    （一）甲方的权利和义务</w:t>
      </w:r>
    </w:p>
    <w:p>
      <w:pPr>
        <w:spacing w:line="440" w:lineRule="exact"/>
        <w:rPr>
          <w:rFonts w:ascii="宋体" w:hAnsi="宋体"/>
          <w:szCs w:val="21"/>
        </w:rPr>
      </w:pPr>
      <w:r>
        <w:rPr>
          <w:rFonts w:hint="eastAsia" w:ascii="宋体" w:hAnsi="宋体"/>
          <w:szCs w:val="21"/>
        </w:rPr>
        <w:t>　  　1、甲方有权向乙方询问工作进展情况及相关的内容。</w:t>
      </w:r>
    </w:p>
    <w:p>
      <w:pPr>
        <w:spacing w:line="440" w:lineRule="exact"/>
        <w:rPr>
          <w:rFonts w:ascii="宋体" w:hAnsi="宋体"/>
          <w:szCs w:val="21"/>
        </w:rPr>
      </w:pPr>
      <w:r>
        <w:rPr>
          <w:rFonts w:hint="eastAsia" w:ascii="宋体" w:hAnsi="宋体"/>
          <w:szCs w:val="21"/>
        </w:rPr>
        <w:t>　  　2、甲方有权阐述对具体问题的意见和建议。</w:t>
      </w:r>
    </w:p>
    <w:p>
      <w:pPr>
        <w:spacing w:line="440" w:lineRule="exact"/>
        <w:rPr>
          <w:rFonts w:ascii="宋体" w:hAnsi="宋体"/>
          <w:szCs w:val="21"/>
        </w:rPr>
      </w:pPr>
      <w:r>
        <w:rPr>
          <w:rFonts w:hint="eastAsia" w:ascii="宋体" w:hAnsi="宋体"/>
          <w:szCs w:val="21"/>
        </w:rPr>
        <w:t>　  　3、当甲方认定咨询专业人员不按咨询合同履行其职责，或与第三人串通给甲方造成经济损失的，甲方有权要求更换咨询专业人员，直至终止合同并要求乙方承担相应的赔偿责任。</w:t>
      </w:r>
    </w:p>
    <w:p>
      <w:pPr>
        <w:spacing w:line="440" w:lineRule="exact"/>
        <w:ind w:firstLine="420" w:firstLineChars="200"/>
        <w:rPr>
          <w:rFonts w:ascii="宋体" w:hAnsi="宋体"/>
          <w:szCs w:val="21"/>
        </w:rPr>
      </w:pPr>
      <w:r>
        <w:rPr>
          <w:rFonts w:hint="eastAsia" w:ascii="宋体" w:hAnsi="宋体"/>
          <w:szCs w:val="21"/>
        </w:rPr>
        <w:t xml:space="preserve">  4、甲方应负责与本建设工程造价咨询业务有关的第三人的协调，为乙方工作提供外部条件。</w:t>
      </w:r>
    </w:p>
    <w:p>
      <w:pPr>
        <w:spacing w:line="440" w:lineRule="exact"/>
        <w:rPr>
          <w:rFonts w:ascii="宋体" w:hAnsi="宋体"/>
          <w:szCs w:val="21"/>
        </w:rPr>
      </w:pPr>
      <w:r>
        <w:rPr>
          <w:rFonts w:hint="eastAsia" w:ascii="宋体" w:hAnsi="宋体"/>
          <w:szCs w:val="21"/>
        </w:rPr>
        <w:t>　　  5、甲方应当在约定的时间内，免费向乙方提供与本项目咨询业务有关的资料。</w:t>
      </w:r>
    </w:p>
    <w:p>
      <w:pPr>
        <w:spacing w:line="440" w:lineRule="exact"/>
        <w:rPr>
          <w:rFonts w:ascii="宋体" w:hAnsi="宋体"/>
          <w:szCs w:val="21"/>
        </w:rPr>
      </w:pPr>
      <w:r>
        <w:rPr>
          <w:rFonts w:hint="eastAsia" w:ascii="宋体" w:hAnsi="宋体"/>
          <w:szCs w:val="21"/>
        </w:rPr>
        <w:t>　  　6、甲方应当在约定的时间内就乙方书面提交并要求做出答复的事宜做出书面答复。乙方要求第三人提供有关资料时，甲方应负责转达及资料转送。</w:t>
      </w:r>
    </w:p>
    <w:p>
      <w:pPr>
        <w:spacing w:line="440" w:lineRule="exact"/>
        <w:ind w:firstLine="480"/>
        <w:rPr>
          <w:rFonts w:ascii="宋体" w:hAnsi="宋体"/>
          <w:szCs w:val="21"/>
        </w:rPr>
      </w:pPr>
      <w:r>
        <w:rPr>
          <w:rFonts w:hint="eastAsia" w:ascii="宋体" w:hAnsi="宋体"/>
          <w:szCs w:val="21"/>
        </w:rPr>
        <w:t xml:space="preserve">  7、甲方应当授权胜任本咨询业务的代表，负责与乙方联系。</w:t>
      </w:r>
    </w:p>
    <w:p>
      <w:pPr>
        <w:spacing w:line="440" w:lineRule="exact"/>
        <w:ind w:firstLine="480"/>
        <w:rPr>
          <w:rFonts w:ascii="宋体" w:hAnsi="宋体"/>
          <w:szCs w:val="21"/>
        </w:rPr>
      </w:pPr>
      <w:r>
        <w:rPr>
          <w:rFonts w:hint="eastAsia" w:ascii="宋体" w:hAnsi="宋体"/>
          <w:szCs w:val="21"/>
        </w:rPr>
        <w:t>（二）乙方的权利和义务</w:t>
      </w:r>
    </w:p>
    <w:p>
      <w:pPr>
        <w:spacing w:line="440" w:lineRule="exact"/>
        <w:rPr>
          <w:rFonts w:ascii="宋体" w:hAnsi="宋体"/>
          <w:szCs w:val="21"/>
        </w:rPr>
      </w:pPr>
      <w:r>
        <w:rPr>
          <w:rFonts w:hint="eastAsia" w:ascii="宋体" w:hAnsi="宋体"/>
          <w:szCs w:val="21"/>
        </w:rPr>
        <w:t>　　   1、乙方在咨询过程中，如甲方提供的资料不明确时可向甲方提出书面报告。</w:t>
      </w:r>
    </w:p>
    <w:p>
      <w:pPr>
        <w:spacing w:line="440" w:lineRule="exact"/>
        <w:rPr>
          <w:rFonts w:ascii="宋体" w:hAnsi="宋体"/>
          <w:szCs w:val="21"/>
        </w:rPr>
      </w:pPr>
      <w:r>
        <w:rPr>
          <w:rFonts w:hint="eastAsia" w:ascii="宋体" w:hAnsi="宋体"/>
          <w:szCs w:val="21"/>
        </w:rPr>
        <w:t>　　   2、乙方在咨询过程中，有权对第三人提出与本咨询业务有关的问题进行核对或查问。</w:t>
      </w:r>
    </w:p>
    <w:p>
      <w:pPr>
        <w:spacing w:line="440" w:lineRule="exact"/>
        <w:ind w:firstLine="480"/>
        <w:rPr>
          <w:rFonts w:ascii="宋体" w:hAnsi="宋体"/>
          <w:szCs w:val="21"/>
        </w:rPr>
      </w:pPr>
      <w:r>
        <w:rPr>
          <w:rFonts w:hint="eastAsia" w:ascii="宋体" w:hAnsi="宋体"/>
          <w:szCs w:val="21"/>
        </w:rPr>
        <w:t xml:space="preserve">   3、乙方在咨询过程中，有到工程现场勘察的权利。</w:t>
      </w:r>
    </w:p>
    <w:p>
      <w:pPr>
        <w:spacing w:line="440" w:lineRule="exact"/>
        <w:ind w:firstLine="480"/>
        <w:rPr>
          <w:rFonts w:ascii="宋体" w:hAnsi="宋体"/>
          <w:szCs w:val="21"/>
        </w:rPr>
      </w:pPr>
      <w:r>
        <w:rPr>
          <w:rFonts w:hint="eastAsia" w:ascii="宋体" w:hAnsi="宋体"/>
          <w:szCs w:val="21"/>
        </w:rPr>
        <w:t xml:space="preserve">   4、乙方应当向甲方提供与工程造价咨询业务有关的资料，包括工程造价咨询的资质证书及承担本合同业务的专业人员名单、咨询工作计划等，并按合同专用条件中约定的范围实施咨询业务。</w:t>
      </w:r>
    </w:p>
    <w:p>
      <w:pPr>
        <w:spacing w:line="440" w:lineRule="exact"/>
        <w:rPr>
          <w:rFonts w:ascii="宋体" w:hAnsi="宋体"/>
          <w:spacing w:val="-2"/>
          <w:szCs w:val="21"/>
        </w:rPr>
      </w:pPr>
      <w:r>
        <w:rPr>
          <w:rFonts w:hint="eastAsia" w:ascii="宋体" w:hAnsi="宋体"/>
          <w:szCs w:val="21"/>
        </w:rPr>
        <w:t>　   　5、乙方在审核过程中发现的问题应及时向甲方进行汇报和说明</w:t>
      </w:r>
      <w:r>
        <w:rPr>
          <w:rFonts w:hint="eastAsia" w:ascii="宋体" w:hAnsi="宋体"/>
          <w:spacing w:val="-2"/>
          <w:szCs w:val="21"/>
        </w:rPr>
        <w:t>，不得泄露与本合同规定业务活动有关的保密资料。</w:t>
      </w:r>
    </w:p>
    <w:p>
      <w:pPr>
        <w:spacing w:line="440" w:lineRule="exact"/>
        <w:rPr>
          <w:rFonts w:ascii="宋体" w:hAnsi="宋体"/>
          <w:szCs w:val="21"/>
        </w:rPr>
      </w:pPr>
      <w:r>
        <w:rPr>
          <w:rFonts w:hint="eastAsia" w:ascii="宋体" w:hAnsi="宋体"/>
          <w:szCs w:val="21"/>
        </w:rPr>
        <w:t>　   　6、乙方的责任期即建设工程造价咨询合同有效期。如因非乙方的责任造成进度的推迟或延误而超过约定的日期，双方应进一步约定相应延长合同有效期。</w:t>
      </w:r>
    </w:p>
    <w:p>
      <w:pPr>
        <w:spacing w:line="440" w:lineRule="exact"/>
        <w:rPr>
          <w:rFonts w:ascii="宋体" w:hAnsi="宋体"/>
          <w:szCs w:val="21"/>
        </w:rPr>
      </w:pPr>
      <w:r>
        <w:rPr>
          <w:rFonts w:hint="eastAsia" w:ascii="宋体" w:hAnsi="宋体"/>
          <w:szCs w:val="21"/>
        </w:rPr>
        <w:t>　　   7、乙方在责任期内，应当履行建设工程造价咨询合同中约定的义务，因乙方的单方过失造成的经济损失，应当向甲方进行赔偿。累计赔偿总额不超过建设工程造价咨询酬金总额（除去税金）。</w:t>
      </w:r>
    </w:p>
    <w:p>
      <w:pPr>
        <w:spacing w:line="440" w:lineRule="exact"/>
        <w:rPr>
          <w:rFonts w:ascii="宋体" w:hAnsi="宋体"/>
          <w:szCs w:val="21"/>
        </w:rPr>
      </w:pPr>
      <w:r>
        <w:rPr>
          <w:rFonts w:hint="eastAsia" w:ascii="宋体" w:hAnsi="宋体"/>
          <w:szCs w:val="21"/>
        </w:rPr>
        <w:t>　   　8、乙方对甲方或第三人所提出的问题不能及时核对或答复，导致合同不能全部或部分履行，乙方应承担责任。</w:t>
      </w:r>
    </w:p>
    <w:p>
      <w:pPr>
        <w:spacing w:line="440" w:lineRule="exact"/>
        <w:rPr>
          <w:rFonts w:ascii="宋体" w:hAnsi="宋体"/>
          <w:szCs w:val="21"/>
        </w:rPr>
      </w:pPr>
      <w:r>
        <w:rPr>
          <w:rFonts w:hint="eastAsia" w:ascii="宋体" w:hAnsi="宋体"/>
          <w:szCs w:val="21"/>
        </w:rPr>
        <w:t>　   　9、乙方向甲方提出赔偿要求不能成立时，则应补偿由于该赔偿或其他要求所导致甲方的各种费用的支出。</w:t>
      </w:r>
    </w:p>
    <w:p>
      <w:pPr>
        <w:spacing w:line="440" w:lineRule="exact"/>
        <w:ind w:firstLine="420" w:firstLineChars="200"/>
        <w:rPr>
          <w:rFonts w:ascii="宋体" w:hAnsi="宋体"/>
          <w:szCs w:val="21"/>
        </w:rPr>
      </w:pPr>
      <w:r>
        <w:rPr>
          <w:rFonts w:hint="eastAsia" w:ascii="宋体" w:hAnsi="宋体"/>
          <w:szCs w:val="21"/>
        </w:rPr>
        <w:t xml:space="preserve">   10、乙方在出具正式报告前，应事先与甲方进行沟通和汇报，待甲方确认后，方能出具正式报告。</w:t>
      </w:r>
    </w:p>
    <w:p>
      <w:pPr>
        <w:spacing w:line="440" w:lineRule="exact"/>
        <w:ind w:firstLine="630" w:firstLineChars="300"/>
        <w:rPr>
          <w:rFonts w:ascii="宋体" w:hAnsi="宋体"/>
          <w:szCs w:val="21"/>
          <w:highlight w:val="yellow"/>
        </w:rPr>
      </w:pPr>
      <w:r>
        <w:rPr>
          <w:rFonts w:hint="eastAsia" w:ascii="宋体" w:hAnsi="宋体"/>
          <w:szCs w:val="21"/>
          <w:highlight w:val="yellow"/>
        </w:rPr>
        <w:t>11、乙方项目负责人（项目联络人）：        ，联系电话：               。</w:t>
      </w:r>
    </w:p>
    <w:p>
      <w:pPr>
        <w:spacing w:line="440" w:lineRule="exact"/>
        <w:rPr>
          <w:rFonts w:ascii="宋体" w:hAnsi="宋体"/>
          <w:b/>
          <w:szCs w:val="21"/>
        </w:rPr>
      </w:pPr>
      <w:r>
        <w:rPr>
          <w:rFonts w:hint="eastAsia" w:ascii="宋体" w:hAnsi="宋体"/>
          <w:b/>
          <w:szCs w:val="21"/>
        </w:rPr>
        <w:t>三、双方同意按照下列条款执行</w:t>
      </w:r>
    </w:p>
    <w:p>
      <w:pPr>
        <w:spacing w:line="440" w:lineRule="exact"/>
        <w:ind w:firstLine="310" w:firstLineChars="147"/>
        <w:rPr>
          <w:rFonts w:ascii="宋体" w:hAnsi="宋体"/>
          <w:b/>
          <w:szCs w:val="21"/>
        </w:rPr>
      </w:pPr>
      <w:r>
        <w:rPr>
          <w:rFonts w:hint="eastAsia" w:ascii="宋体" w:hAnsi="宋体"/>
          <w:b/>
          <w:szCs w:val="21"/>
        </w:rPr>
        <w:t>1、协审审核时限：</w:t>
      </w:r>
    </w:p>
    <w:p>
      <w:pPr>
        <w:spacing w:line="440" w:lineRule="exact"/>
        <w:ind w:firstLine="420" w:firstLineChars="200"/>
        <w:rPr>
          <w:rFonts w:ascii="宋体" w:hAnsi="宋体"/>
          <w:szCs w:val="21"/>
        </w:rPr>
      </w:pPr>
      <w:r>
        <w:rPr>
          <w:rFonts w:hint="eastAsia" w:ascii="宋体" w:hAnsi="宋体"/>
          <w:szCs w:val="21"/>
        </w:rPr>
        <w:t>协审单位自收到审核资料之日起，一般按如下规定办理：500万元以内（含500万元）的工程项目不超过5个工作日；500万元至3000万元（含3000万元）的工程项目不超过10个工作日；3000万元以上的工程项目不超过15个工作日（具体项目协审时限按补充协议约定时限执行），按照宁波市鄞州区发展和改革局对质量和时间的要求，提出完整的书面审核报告；特殊项目以宁波市鄞州区发展和改革局的要求办理。因协审单位的原因造成逾期的，自逾期之日起，每超出一天，扣减本项目协审服务费的5%，扣完为止。确有特殊原因不能完成的需向宁波市鄞州区发展和改革局提供书面情况说明，经宁波市鄞州区发展和改革局同意后可适当延长审核期限。</w:t>
      </w:r>
    </w:p>
    <w:p>
      <w:pPr>
        <w:spacing w:line="440" w:lineRule="exact"/>
        <w:ind w:firstLine="316" w:firstLineChars="150"/>
        <w:rPr>
          <w:rFonts w:ascii="宋体" w:hAnsi="宋体"/>
          <w:b/>
          <w:szCs w:val="21"/>
        </w:rPr>
      </w:pPr>
      <w:r>
        <w:rPr>
          <w:rFonts w:hint="eastAsia" w:ascii="宋体" w:hAnsi="宋体"/>
          <w:b/>
          <w:szCs w:val="21"/>
        </w:rPr>
        <w:t>2、委托协审付费标准：</w:t>
      </w:r>
    </w:p>
    <w:p>
      <w:pPr>
        <w:spacing w:line="440" w:lineRule="exact"/>
        <w:ind w:firstLine="422" w:firstLineChars="200"/>
        <w:rPr>
          <w:rFonts w:ascii="宋体" w:hAnsi="宋体"/>
          <w:b/>
          <w:szCs w:val="21"/>
        </w:rPr>
      </w:pPr>
      <w:r>
        <w:rPr>
          <w:rFonts w:hint="eastAsia" w:ascii="宋体" w:hAnsi="宋体"/>
          <w:b/>
          <w:szCs w:val="21"/>
        </w:rPr>
        <w:t>按浙江省物价局《关于进一步完善工程造价咨询服务收费的通知》(浙价服〔2009〕84号)的文件规定，执行设计概算编制或审核标准，在基准收费标准打七五折的基础上自报折扣系数，单个报告收费不足2000元的按2000元计算，计费基数为扣除建设期贷款利息、土地费、政策处理费等费用后的送审总概算费用。</w:t>
      </w:r>
    </w:p>
    <w:p>
      <w:pPr>
        <w:spacing w:line="440" w:lineRule="exact"/>
        <w:ind w:firstLine="422" w:firstLineChars="200"/>
        <w:rPr>
          <w:rFonts w:ascii="宋体" w:hAnsi="宋体"/>
          <w:b/>
          <w:szCs w:val="21"/>
        </w:rPr>
      </w:pPr>
      <w:r>
        <w:rPr>
          <w:rFonts w:hint="eastAsia" w:ascii="宋体" w:hAnsi="宋体"/>
          <w:b/>
          <w:szCs w:val="21"/>
        </w:rPr>
        <w:t>单个报告收费超过30万元的，最多按29.8万元支付；如因价格过低导致无中标人愿意进行评审，则另行公开招标采购。采购人委托总合同金额到达年度上限额800万元后，超出部分将于次年度支付。</w:t>
      </w:r>
    </w:p>
    <w:p>
      <w:pPr>
        <w:spacing w:line="440" w:lineRule="exact"/>
        <w:ind w:firstLine="420" w:firstLineChars="200"/>
        <w:rPr>
          <w:rFonts w:ascii="宋体" w:hAnsi="宋体"/>
          <w:szCs w:val="21"/>
        </w:rPr>
      </w:pPr>
      <w:r>
        <w:rPr>
          <w:rFonts w:hint="eastAsia" w:ascii="宋体" w:hAnsi="宋体"/>
          <w:szCs w:val="21"/>
        </w:rPr>
        <w:t>（1）《中标通知书》作为签订协议的重要依据，中标单位根据中标通知书与宁波市鄞州区发展和改革局签订《鄞州区2023-2024年度政府投资项目概算协审服务封闭式框架协议采购项目协议书》，以此确认投标人的协审资格。中标单位应在所承诺的审核期限内完成概算协审。中标单位应本着“客观、公正、合理、科学”的原则，遵守国家法律法规和有关文件规定，正确执行计价依据，正确履行审核职责，同时承担相应的法律责任。</w:t>
      </w:r>
    </w:p>
    <w:p>
      <w:pPr>
        <w:adjustRightInd w:val="0"/>
        <w:snapToGrid w:val="0"/>
        <w:spacing w:line="360" w:lineRule="auto"/>
        <w:ind w:firstLine="420" w:firstLineChars="200"/>
        <w:rPr>
          <w:rFonts w:ascii="宋体" w:hAnsi="宋体"/>
          <w:szCs w:val="21"/>
        </w:rPr>
      </w:pPr>
      <w:r>
        <w:rPr>
          <w:rFonts w:hint="eastAsia" w:ascii="宋体" w:hAnsi="宋体"/>
          <w:szCs w:val="21"/>
        </w:rPr>
        <w:t>（2）按照协审单位中标排名顺序轮转、滚动分配项目，得分相同的中标供应商进行抽签确定项目分配顺序。第1年度按中标排名先后顺序进行项目委托；以后年度可根据协审服务单位的履约、考核情况进行年度排名，按排名先后顺序进行项目委托。中标人接到项目分配通知后，与采购人签订单个项目造价咨询合同。</w:t>
      </w:r>
    </w:p>
    <w:p>
      <w:pPr>
        <w:adjustRightInd w:val="0"/>
        <w:snapToGrid w:val="0"/>
        <w:spacing w:line="360" w:lineRule="auto"/>
        <w:ind w:firstLine="420" w:firstLineChars="200"/>
        <w:rPr>
          <w:rFonts w:ascii="宋体" w:hAnsi="宋体"/>
          <w:szCs w:val="21"/>
        </w:rPr>
      </w:pPr>
      <w:r>
        <w:rPr>
          <w:rFonts w:hint="eastAsia" w:ascii="宋体" w:hAnsi="宋体"/>
          <w:szCs w:val="21"/>
        </w:rPr>
        <w:t>若协审服务单位所轮项目无相关团队（专业分为：房建、市政绿化、交通、水利）的，则委托给排位次之的协审服务单位，以此类推。</w:t>
      </w:r>
    </w:p>
    <w:p>
      <w:pPr>
        <w:adjustRightInd w:val="0"/>
        <w:snapToGrid w:val="0"/>
        <w:spacing w:line="360" w:lineRule="auto"/>
        <w:ind w:firstLine="420" w:firstLineChars="200"/>
        <w:rPr>
          <w:rFonts w:ascii="宋体" w:hAnsi="宋体"/>
          <w:szCs w:val="21"/>
          <w:highlight w:val="yellow"/>
        </w:rPr>
      </w:pPr>
      <w:r>
        <w:rPr>
          <w:rFonts w:hint="eastAsia" w:ascii="宋体" w:hAnsi="宋体"/>
          <w:szCs w:val="21"/>
        </w:rPr>
        <w:t>（3）采购人按季度对所有单位完成的审核项目进行考核汇总，根据承接业务量，采购人在下季度项目分配时进行调剂。</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采购人监督合同的执行、协调和处理履约过程中的问题。审核实行回避制度。中标人若曾参与受委托审核项目相关造价咨询业务的，应在接受采购人委托前如实说明，不再参与该项目审核工作。对中标人滥用职权、徇私舞弊、玩忽职守应按情节轻重给予取消进入政府采购市场资格；情节严重，造成国家重大损失的，移送司法机关追究刑事责任。</w:t>
      </w:r>
    </w:p>
    <w:p>
      <w:pPr>
        <w:spacing w:line="440" w:lineRule="exact"/>
        <w:ind w:firstLine="420" w:firstLineChars="200"/>
        <w:rPr>
          <w:rFonts w:ascii="宋体" w:hAnsi="宋体"/>
          <w:szCs w:val="21"/>
        </w:rPr>
      </w:pPr>
      <w:r>
        <w:rPr>
          <w:rFonts w:hint="eastAsia" w:ascii="宋体" w:hAnsi="宋体"/>
          <w:szCs w:val="21"/>
        </w:rPr>
        <w:t>（5）中标单位应在所承诺的审核期限内完成审核。</w:t>
      </w:r>
    </w:p>
    <w:p>
      <w:pPr>
        <w:spacing w:line="440" w:lineRule="exact"/>
        <w:ind w:firstLine="420" w:firstLineChars="200"/>
        <w:rPr>
          <w:rFonts w:ascii="宋体" w:hAnsi="宋体"/>
          <w:szCs w:val="21"/>
        </w:rPr>
      </w:pPr>
      <w:r>
        <w:rPr>
          <w:rFonts w:hint="eastAsia" w:ascii="宋体" w:hAnsi="宋体"/>
          <w:szCs w:val="21"/>
        </w:rPr>
        <w:t>（6）中标单位应本着“客观、公正、合理、科学”的原则，遵守国家法律法规和有关文件规定，正确执行计价依据，正确履行审核职责，同时承担相应的法律责任。</w:t>
      </w:r>
    </w:p>
    <w:p>
      <w:pPr>
        <w:spacing w:line="440" w:lineRule="exact"/>
        <w:rPr>
          <w:rFonts w:ascii="宋体" w:hAnsi="宋体"/>
          <w:b/>
          <w:szCs w:val="21"/>
        </w:rPr>
      </w:pPr>
      <w:r>
        <w:rPr>
          <w:rFonts w:hint="eastAsia" w:ascii="宋体" w:hAnsi="宋体"/>
          <w:b/>
          <w:szCs w:val="21"/>
        </w:rPr>
        <w:t>四、协审费用支付</w:t>
      </w:r>
    </w:p>
    <w:p>
      <w:pPr>
        <w:spacing w:line="440" w:lineRule="exact"/>
        <w:ind w:firstLine="420" w:firstLineChars="200"/>
        <w:rPr>
          <w:rFonts w:ascii="宋体" w:hAnsi="宋体"/>
          <w:szCs w:val="21"/>
        </w:rPr>
      </w:pPr>
      <w:r>
        <w:rPr>
          <w:rFonts w:hint="eastAsia" w:ascii="宋体" w:hAnsi="宋体"/>
          <w:szCs w:val="21"/>
        </w:rPr>
        <w:t>协审服务费用按单个项目造价咨询合同进行支付，在咨询单位提交正式《工程造价咨询报告书》后，经委托人确认无误后，委托人根据协议书及合同、其他情况，在收到咨询单位提交的正规税务发票后30天内办理结清手续。</w:t>
      </w:r>
    </w:p>
    <w:p>
      <w:pPr>
        <w:spacing w:line="440" w:lineRule="exact"/>
        <w:rPr>
          <w:rFonts w:ascii="宋体" w:hAnsi="宋体"/>
          <w:b/>
          <w:szCs w:val="21"/>
        </w:rPr>
      </w:pPr>
      <w:r>
        <w:rPr>
          <w:rFonts w:hint="eastAsia" w:ascii="宋体" w:hAnsi="宋体"/>
          <w:b/>
          <w:szCs w:val="21"/>
        </w:rPr>
        <w:t>五、其他</w:t>
      </w:r>
    </w:p>
    <w:p>
      <w:pPr>
        <w:spacing w:line="440" w:lineRule="exact"/>
        <w:ind w:firstLine="420" w:firstLineChars="200"/>
        <w:rPr>
          <w:rFonts w:ascii="宋体" w:hAnsi="宋体"/>
          <w:szCs w:val="21"/>
        </w:rPr>
      </w:pPr>
      <w:r>
        <w:rPr>
          <w:rFonts w:hint="eastAsia" w:ascii="宋体" w:hAnsi="宋体"/>
          <w:szCs w:val="21"/>
        </w:rPr>
        <w:t>1、乙方应服从甲方的项目分配。如乙方拒绝项目分配的，暂停一次。两年内拒绝5次及以上的，取消下一年度协审资格。如有特殊情况，导致无法接收评审任务的，应在接到任务通知2天内，书面说明理由，报甲方同意。</w:t>
      </w:r>
    </w:p>
    <w:p>
      <w:pPr>
        <w:spacing w:line="440" w:lineRule="exact"/>
        <w:ind w:firstLine="420" w:firstLineChars="200"/>
        <w:rPr>
          <w:rFonts w:ascii="宋体" w:hAnsi="宋体"/>
          <w:szCs w:val="21"/>
        </w:rPr>
      </w:pPr>
      <w:r>
        <w:rPr>
          <w:rFonts w:hint="eastAsia" w:ascii="宋体" w:hAnsi="宋体"/>
          <w:szCs w:val="21"/>
        </w:rPr>
        <w:t>2、乙方不得将甲方分配的项目转包或分包给其他单位和个人，一经发现不支付项目的评审费用。造成后果的将追究乙方责任。</w:t>
      </w:r>
    </w:p>
    <w:p>
      <w:pPr>
        <w:spacing w:line="440" w:lineRule="exact"/>
        <w:ind w:firstLine="420" w:firstLineChars="200"/>
        <w:rPr>
          <w:rFonts w:ascii="宋体" w:hAnsi="宋体"/>
          <w:szCs w:val="21"/>
        </w:rPr>
      </w:pPr>
      <w:r>
        <w:rPr>
          <w:rFonts w:hint="eastAsia" w:ascii="宋体" w:hAnsi="宋体"/>
          <w:szCs w:val="21"/>
        </w:rPr>
        <w:t>3、经甲方考核，对累计达到五次不满意的乙方人员，甲方可拒绝该人员参与协审工作。乙方累计达到五次不满意的，甲方将暂停该单位的协审项目，视实际整改情况后再安排评审工作；</w:t>
      </w:r>
    </w:p>
    <w:p>
      <w:pPr>
        <w:spacing w:line="440" w:lineRule="exact"/>
        <w:ind w:firstLine="420" w:firstLineChars="200"/>
        <w:rPr>
          <w:rFonts w:ascii="宋体" w:hAnsi="宋体"/>
          <w:szCs w:val="21"/>
        </w:rPr>
      </w:pPr>
      <w:r>
        <w:rPr>
          <w:rFonts w:hint="eastAsia" w:ascii="宋体" w:hAnsi="宋体"/>
          <w:szCs w:val="21"/>
        </w:rPr>
        <w:t>4、工程结算核减率超过5％以上部分的评审费用及核增工程价款的评审费用，由施工单位承担。</w:t>
      </w:r>
    </w:p>
    <w:p>
      <w:pPr>
        <w:spacing w:line="440" w:lineRule="exact"/>
        <w:ind w:firstLine="420" w:firstLineChars="200"/>
        <w:rPr>
          <w:rFonts w:ascii="宋体" w:hAnsi="宋体"/>
          <w:szCs w:val="21"/>
        </w:rPr>
      </w:pPr>
      <w:r>
        <w:rPr>
          <w:rFonts w:hint="eastAsia" w:ascii="宋体" w:hAnsi="宋体"/>
          <w:szCs w:val="21"/>
        </w:rPr>
        <w:t>5、甲方在质量复核、抽审、中发现乙方存在审核报告中存在造价不实、弄虚作假等严重违规行为，全额扣减该评审项目的协审费。</w:t>
      </w:r>
    </w:p>
    <w:p>
      <w:pPr>
        <w:spacing w:line="440" w:lineRule="exact"/>
        <w:ind w:firstLine="420" w:firstLineChars="200"/>
        <w:rPr>
          <w:rFonts w:ascii="宋体" w:hAnsi="宋体"/>
          <w:szCs w:val="21"/>
        </w:rPr>
      </w:pPr>
    </w:p>
    <w:p>
      <w:pPr>
        <w:spacing w:line="440" w:lineRule="exact"/>
        <w:rPr>
          <w:rFonts w:ascii="宋体" w:hAnsi="宋体"/>
          <w:b/>
          <w:szCs w:val="21"/>
        </w:rPr>
      </w:pPr>
      <w:r>
        <w:rPr>
          <w:rFonts w:hint="eastAsia" w:ascii="宋体" w:hAnsi="宋体"/>
          <w:b/>
          <w:szCs w:val="21"/>
        </w:rPr>
        <w:t>六、其他需要说明的事项。</w:t>
      </w:r>
    </w:p>
    <w:p>
      <w:pPr>
        <w:spacing w:line="440" w:lineRule="exact"/>
        <w:ind w:firstLine="420" w:firstLineChars="200"/>
        <w:rPr>
          <w:rFonts w:ascii="宋体" w:hAnsi="宋体"/>
          <w:szCs w:val="21"/>
        </w:rPr>
      </w:pPr>
      <w:r>
        <w:rPr>
          <w:rFonts w:hint="eastAsia" w:ascii="宋体" w:hAnsi="宋体"/>
          <w:szCs w:val="21"/>
        </w:rPr>
        <w:t>1、本协议自签订之日起生效，双方完成协议约定的全部工作内容至费用结清后中止。</w:t>
      </w:r>
    </w:p>
    <w:p>
      <w:pPr>
        <w:spacing w:line="440" w:lineRule="exact"/>
        <w:ind w:firstLine="420" w:firstLineChars="200"/>
        <w:rPr>
          <w:rFonts w:ascii="宋体" w:hAnsi="宋体"/>
          <w:bCs/>
          <w:szCs w:val="21"/>
        </w:rPr>
      </w:pPr>
      <w:r>
        <w:rPr>
          <w:rFonts w:hint="eastAsia" w:ascii="宋体" w:hAnsi="宋体"/>
          <w:bCs/>
          <w:szCs w:val="21"/>
        </w:rPr>
        <w:t>2、本协议一式四份，甲、乙双方各执二份。</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甲方（单位公章）                        乙方（单位公章）</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负责人：                                负责人：</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地址：                                  地址：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 xml:space="preserve">                   订立时间：    年     月    日</w:t>
      </w:r>
    </w:p>
    <w:p>
      <w:pPr>
        <w:spacing w:line="240" w:lineRule="atLeast"/>
        <w:jc w:val="center"/>
        <w:rPr>
          <w:rFonts w:ascii="宋体" w:hAnsi="宋体"/>
          <w:bCs/>
          <w:szCs w:val="21"/>
        </w:rPr>
      </w:pPr>
    </w:p>
    <w:p>
      <w:pPr>
        <w:spacing w:line="240" w:lineRule="atLeast"/>
        <w:jc w:val="center"/>
        <w:rPr>
          <w:rFonts w:ascii="宋体" w:hAnsi="宋体"/>
          <w:bCs/>
          <w:szCs w:val="21"/>
        </w:rPr>
      </w:pPr>
    </w:p>
    <w:p>
      <w:pPr>
        <w:spacing w:line="240" w:lineRule="atLeast"/>
        <w:jc w:val="center"/>
        <w:rPr>
          <w:rFonts w:ascii="宋体" w:hAnsi="宋体"/>
          <w:bCs/>
          <w:szCs w:val="21"/>
        </w:rPr>
      </w:pPr>
    </w:p>
    <w:p>
      <w:pPr>
        <w:spacing w:line="440" w:lineRule="exact"/>
        <w:rPr>
          <w:rFonts w:ascii="宋体" w:hAnsi="宋体"/>
          <w:b/>
          <w:bCs/>
          <w:color w:val="FF0000"/>
          <w:sz w:val="30"/>
          <w:szCs w:val="32"/>
        </w:rPr>
      </w:pPr>
    </w:p>
    <w:p>
      <w:pPr>
        <w:spacing w:line="440" w:lineRule="exact"/>
        <w:rPr>
          <w:rFonts w:ascii="宋体" w:hAnsi="宋体"/>
          <w:b/>
          <w:bCs/>
          <w:color w:val="FF0000"/>
          <w:sz w:val="30"/>
          <w:szCs w:val="32"/>
        </w:rPr>
      </w:pPr>
    </w:p>
    <w:p>
      <w:pPr>
        <w:spacing w:line="440" w:lineRule="exact"/>
        <w:rPr>
          <w:rFonts w:ascii="宋体" w:hAnsi="宋体"/>
          <w:b/>
          <w:sz w:val="32"/>
          <w:szCs w:val="32"/>
        </w:rPr>
      </w:pPr>
    </w:p>
    <w:p>
      <w:pPr>
        <w:pBdr>
          <w:top w:val="single" w:color="auto" w:sz="2" w:space="1"/>
        </w:pBdr>
        <w:spacing w:line="0" w:lineRule="atLeast"/>
        <w:rPr>
          <w:rFonts w:ascii="宋体" w:hAnsi="宋体"/>
          <w:szCs w:val="21"/>
        </w:rPr>
      </w:pPr>
      <w:r>
        <w:rPr>
          <w:rFonts w:ascii="宋体" w:hAnsi="宋体"/>
          <w:szCs w:val="21"/>
        </w:rPr>
        <w:br w:type="page"/>
      </w:r>
    </w:p>
    <w:p>
      <w:pPr>
        <w:spacing w:line="400" w:lineRule="exact"/>
        <w:jc w:val="center"/>
        <w:outlineLvl w:val="0"/>
        <w:rPr>
          <w:rFonts w:eastAsia="黑体"/>
          <w:b/>
          <w:color w:val="000000"/>
          <w:sz w:val="32"/>
        </w:rPr>
      </w:pPr>
      <w:r>
        <w:rPr>
          <w:rFonts w:hint="eastAsia" w:eastAsia="黑体"/>
          <w:b/>
          <w:color w:val="000000"/>
          <w:sz w:val="32"/>
        </w:rPr>
        <w:t>第七章</w:t>
      </w:r>
      <w:r>
        <w:rPr>
          <w:rFonts w:eastAsia="黑体"/>
          <w:b/>
          <w:color w:val="000000"/>
          <w:sz w:val="32"/>
        </w:rPr>
        <w:t xml:space="preserve">  </w:t>
      </w:r>
      <w:bookmarkEnd w:id="34"/>
      <w:r>
        <w:rPr>
          <w:rFonts w:hint="eastAsia" w:eastAsia="黑体"/>
          <w:b/>
          <w:color w:val="000000"/>
          <w:sz w:val="32"/>
        </w:rPr>
        <w:t>附件</w:t>
      </w:r>
      <w:bookmarkEnd w:id="35"/>
    </w:p>
    <w:p>
      <w:pPr>
        <w:spacing w:line="400" w:lineRule="exact"/>
        <w:rPr>
          <w:rStyle w:val="33"/>
          <w:rFonts w:ascii="宋体"/>
          <w:color w:val="000000"/>
          <w:sz w:val="21"/>
          <w:szCs w:val="21"/>
        </w:rPr>
      </w:pPr>
    </w:p>
    <w:p>
      <w:pPr>
        <w:jc w:val="center"/>
        <w:rPr>
          <w:rFonts w:ascii="宋体" w:hAnsi="宋体" w:cs="宋体"/>
          <w:b/>
        </w:rPr>
      </w:pPr>
      <w:bookmarkStart w:id="36" w:name="_Toc275865606"/>
      <w:r>
        <w:rPr>
          <w:rFonts w:hint="eastAsia" w:ascii="宋体" w:hAnsi="宋体" w:cs="宋体"/>
          <w:b/>
        </w:rPr>
        <w:t>投标人资格声明函</w:t>
      </w:r>
      <w:bookmarkEnd w:id="36"/>
    </w:p>
    <w:p>
      <w:pPr>
        <w:rPr>
          <w:rFonts w:ascii="宋体" w:hAnsi="宋体" w:cs="宋体"/>
          <w:b/>
        </w:rPr>
      </w:pPr>
    </w:p>
    <w:p>
      <w:pPr>
        <w:rPr>
          <w:rFonts w:ascii="宋体" w:hAnsi="宋体" w:cs="宋体"/>
          <w:b/>
        </w:rPr>
      </w:pPr>
      <w:r>
        <w:rPr>
          <w:rFonts w:hint="eastAsia" w:ascii="宋体" w:hAnsi="宋体" w:cs="宋体"/>
          <w:b/>
        </w:rPr>
        <w:t>致</w:t>
      </w:r>
      <w:r>
        <w:rPr>
          <w:rFonts w:hint="eastAsia" w:ascii="宋体" w:hAnsi="宋体" w:cs="宋体"/>
          <w:b/>
          <w:u w:val="single"/>
        </w:rPr>
        <w:t xml:space="preserve">             （采购人）</w:t>
      </w:r>
      <w:r>
        <w:rPr>
          <w:rFonts w:hint="eastAsia" w:ascii="宋体" w:hAnsi="宋体" w:cs="宋体"/>
          <w:b/>
        </w:rPr>
        <w:t>：</w:t>
      </w:r>
    </w:p>
    <w:p>
      <w:pPr>
        <w:pStyle w:val="5"/>
      </w:pPr>
    </w:p>
    <w:p>
      <w:pPr>
        <w:snapToGrid w:val="0"/>
        <w:spacing w:before="120" w:beforeLines="50" w:line="360" w:lineRule="auto"/>
        <w:ind w:firstLine="424" w:firstLineChars="202"/>
        <w:rPr>
          <w:rFonts w:ascii="宋体" w:hAnsi="宋体" w:cs="宋体"/>
        </w:rPr>
      </w:pPr>
      <w:r>
        <w:rPr>
          <w:rFonts w:hint="eastAsia" w:ascii="宋体" w:hAnsi="宋体" w:cs="宋体"/>
        </w:rPr>
        <w:t>关</w:t>
      </w:r>
      <w:r>
        <w:rPr>
          <w:rFonts w:hint="eastAsia" w:ascii="宋体" w:hAnsi="宋体"/>
          <w:bCs/>
          <w:szCs w:val="21"/>
          <w:u w:val="single"/>
        </w:rPr>
        <w:t xml:space="preserve">于  </w:t>
      </w:r>
      <w:r>
        <w:rPr>
          <w:rFonts w:ascii="宋体" w:hAnsi="宋体"/>
          <w:bCs/>
          <w:szCs w:val="21"/>
          <w:u w:val="single"/>
        </w:rPr>
        <w:t xml:space="preserve">    </w:t>
      </w:r>
      <w:r>
        <w:rPr>
          <w:rFonts w:hint="eastAsia" w:ascii="宋体" w:hAnsi="宋体"/>
          <w:bCs/>
          <w:szCs w:val="21"/>
          <w:u w:val="single"/>
        </w:rPr>
        <w:t xml:space="preserve">（项目编号、项目名称、标项号） </w:t>
      </w:r>
      <w:r>
        <w:rPr>
          <w:rFonts w:ascii="宋体" w:hAnsi="宋体"/>
          <w:bCs/>
          <w:szCs w:val="21"/>
          <w:u w:val="single"/>
        </w:rPr>
        <w:t xml:space="preserve">         </w:t>
      </w:r>
      <w:r>
        <w:rPr>
          <w:rFonts w:hint="eastAsia" w:ascii="宋体" w:hAnsi="宋体" w:cs="宋体"/>
        </w:rPr>
        <w:t>，我方愿意参加投标，并声明：</w:t>
      </w:r>
    </w:p>
    <w:p>
      <w:pPr>
        <w:numPr>
          <w:ilvl w:val="0"/>
          <w:numId w:val="9"/>
        </w:numPr>
        <w:snapToGrid w:val="0"/>
        <w:spacing w:line="360" w:lineRule="auto"/>
        <w:ind w:firstLine="424" w:firstLineChars="202"/>
        <w:rPr>
          <w:rFonts w:ascii="宋体" w:hAnsi="宋体" w:cs="宋体"/>
          <w:bCs/>
        </w:rPr>
      </w:pPr>
      <w:r>
        <w:rPr>
          <w:rFonts w:hint="eastAsia" w:ascii="宋体" w:hAnsi="宋体" w:cs="宋体"/>
        </w:rPr>
        <w:t>我方具备</w:t>
      </w:r>
      <w:r>
        <w:rPr>
          <w:rFonts w:hint="eastAsia" w:ascii="宋体" w:hAnsi="宋体" w:cs="宋体"/>
          <w:bCs/>
        </w:rPr>
        <w:t>《中华人民共和国政府采购法》第二十二条规定资格条件：</w:t>
      </w:r>
    </w:p>
    <w:p>
      <w:pPr>
        <w:snapToGrid w:val="0"/>
        <w:spacing w:line="360" w:lineRule="auto"/>
        <w:ind w:firstLine="420" w:firstLineChars="2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rPr>
      </w:pPr>
      <w:r>
        <w:rPr>
          <w:rFonts w:hint="eastAsia" w:ascii="宋体" w:hAnsi="宋体" w:cs="宋体"/>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未被“信用中国”（www.creditchina.gov.cn)、中国政府采购网（www.ccgp.gov.cn）列入失信被执行人、重大税收违法失信主体、政府采购严重违法失信行为记录名单。</w:t>
      </w:r>
    </w:p>
    <w:p>
      <w:pPr>
        <w:snapToGrid w:val="0"/>
        <w:spacing w:line="360" w:lineRule="auto"/>
        <w:ind w:firstLine="424" w:firstLineChars="202"/>
        <w:rPr>
          <w:rFonts w:ascii="宋体" w:hAnsi="宋体" w:cs="宋体"/>
        </w:rPr>
      </w:pPr>
      <w:r>
        <w:rPr>
          <w:rFonts w:hint="eastAsia" w:ascii="宋体" w:hAnsi="宋体" w:cs="宋体"/>
          <w:bCs/>
        </w:rPr>
        <w:t>我方对上述声明的真实性负责。</w:t>
      </w:r>
      <w:r>
        <w:rPr>
          <w:rFonts w:hint="eastAsia" w:ascii="宋体" w:hAnsi="宋体" w:cs="宋体"/>
        </w:rPr>
        <w:t>本次招标采购活动中，如有违法、违规、弄虚作假行为，所造成的损失、不良后果及法律责任，一律由我我方承担。</w:t>
      </w:r>
    </w:p>
    <w:p>
      <w:pPr>
        <w:spacing w:line="360" w:lineRule="auto"/>
        <w:ind w:firstLine="420"/>
        <w:rPr>
          <w:rFonts w:ascii="宋体" w:hAnsi="宋体" w:cs="宋体"/>
          <w:b/>
        </w:rPr>
      </w:pPr>
    </w:p>
    <w:p>
      <w:pPr>
        <w:spacing w:line="360" w:lineRule="auto"/>
        <w:ind w:firstLine="420"/>
        <w:rPr>
          <w:rFonts w:ascii="宋体" w:hAnsi="宋体" w:cs="宋体"/>
          <w:b/>
        </w:rPr>
      </w:pPr>
    </w:p>
    <w:p>
      <w:pPr>
        <w:spacing w:line="360" w:lineRule="auto"/>
        <w:ind w:firstLine="420"/>
        <w:rPr>
          <w:rFonts w:ascii="宋体" w:hAnsi="宋体" w:cs="宋体"/>
          <w:b/>
        </w:rPr>
      </w:pPr>
      <w:r>
        <w:rPr>
          <w:rFonts w:hint="eastAsia" w:ascii="宋体" w:hAnsi="宋体" w:cs="宋体"/>
          <w:b/>
        </w:rPr>
        <w:t>特此声明！</w:t>
      </w:r>
    </w:p>
    <w:p>
      <w:pPr>
        <w:rPr>
          <w:rFonts w:ascii="宋体" w:hAnsi="宋体" w:cs="宋体"/>
        </w:rPr>
      </w:pPr>
    </w:p>
    <w:p>
      <w:pPr>
        <w:spacing w:line="360" w:lineRule="auto"/>
        <w:ind w:firstLine="4830" w:firstLineChars="2300"/>
        <w:rPr>
          <w:rFonts w:ascii="宋体" w:hAnsi="宋体" w:cs="宋体"/>
        </w:rPr>
      </w:pPr>
    </w:p>
    <w:p>
      <w:pPr>
        <w:widowControl/>
        <w:adjustRightInd w:val="0"/>
        <w:spacing w:line="360" w:lineRule="auto"/>
        <w:ind w:firstLine="4960" w:firstLineChars="2362"/>
        <w:jc w:val="left"/>
        <w:rPr>
          <w:rFonts w:ascii="宋体" w:hAnsi="宋体" w:cs="宋体"/>
        </w:rPr>
      </w:pPr>
      <w:r>
        <w:rPr>
          <w:rFonts w:hint="eastAsia" w:ascii="宋体" w:hAnsi="宋体" w:cs="宋体"/>
        </w:rPr>
        <w:t>投标人（盖章）：</w:t>
      </w:r>
    </w:p>
    <w:p>
      <w:pPr>
        <w:widowControl/>
        <w:adjustRightInd w:val="0"/>
        <w:spacing w:line="360" w:lineRule="auto"/>
        <w:ind w:firstLine="4960" w:firstLineChars="2362"/>
        <w:jc w:val="left"/>
        <w:rPr>
          <w:rFonts w:ascii="宋体" w:hAnsi="宋体" w:cs="宋体"/>
        </w:rPr>
      </w:pPr>
      <w:r>
        <w:rPr>
          <w:rFonts w:hint="eastAsia" w:ascii="宋体" w:hAnsi="宋体" w:cs="宋体"/>
          <w:bCs/>
          <w:szCs w:val="21"/>
        </w:rPr>
        <w:t>法定代表人或授权代表（签字或盖章）：</w:t>
      </w:r>
    </w:p>
    <w:p>
      <w:pPr>
        <w:widowControl/>
        <w:adjustRightInd w:val="0"/>
        <w:spacing w:line="360" w:lineRule="auto"/>
        <w:ind w:firstLine="4960" w:firstLineChars="2362"/>
        <w:jc w:val="left"/>
        <w:rPr>
          <w:rFonts w:ascii="宋体" w:hAnsi="宋体" w:cs="宋体"/>
        </w:rPr>
      </w:pPr>
      <w:r>
        <w:rPr>
          <w:rFonts w:hint="eastAsia" w:ascii="宋体" w:hAnsi="宋体" w:cs="宋体"/>
        </w:rPr>
        <w:t>日  期：</w:t>
      </w:r>
    </w:p>
    <w:p>
      <w:pPr>
        <w:widowControl/>
        <w:adjustRightInd w:val="0"/>
        <w:spacing w:line="360" w:lineRule="auto"/>
        <w:jc w:val="center"/>
        <w:rPr>
          <w:b/>
          <w:color w:val="000000"/>
        </w:rPr>
      </w:pPr>
      <w:r>
        <w:rPr>
          <w:rFonts w:ascii="宋体" w:hAnsi="宋体"/>
          <w:b/>
          <w:color w:val="000000"/>
          <w:szCs w:val="21"/>
        </w:rPr>
        <w:br w:type="page"/>
      </w:r>
    </w:p>
    <w:p>
      <w:pPr>
        <w:rPr>
          <w:color w:val="000000"/>
          <w:szCs w:val="21"/>
        </w:rPr>
      </w:pPr>
      <w:r>
        <w:rPr>
          <w:b/>
          <w:color w:val="000000"/>
        </w:rPr>
        <w:t>格式</w:t>
      </w:r>
      <w:r>
        <w:rPr>
          <w:rFonts w:hint="eastAsia"/>
          <w:b/>
          <w:color w:val="000000"/>
        </w:rPr>
        <w:t>二</w:t>
      </w:r>
      <w:r>
        <w:rPr>
          <w:b/>
          <w:color w:val="000000"/>
        </w:rPr>
        <w:t>：</w:t>
      </w:r>
      <w:r>
        <w:rPr>
          <w:color w:val="000000"/>
          <w:szCs w:val="21"/>
        </w:rPr>
        <w:t>法定代表人的身份证明</w:t>
      </w:r>
    </w:p>
    <w:p>
      <w:pPr>
        <w:adjustRightInd w:val="0"/>
        <w:snapToGrid w:val="0"/>
        <w:spacing w:line="440" w:lineRule="exact"/>
        <w:rPr>
          <w:szCs w:val="21"/>
        </w:rPr>
      </w:pPr>
    </w:p>
    <w:p>
      <w:pPr>
        <w:jc w:val="center"/>
        <w:rPr>
          <w:b/>
          <w:color w:val="000000"/>
          <w:sz w:val="32"/>
          <w:szCs w:val="32"/>
        </w:rPr>
      </w:pPr>
      <w:r>
        <w:rPr>
          <w:b/>
          <w:color w:val="000000"/>
          <w:sz w:val="32"/>
          <w:szCs w:val="32"/>
        </w:rPr>
        <w:t>法定代表人身份证明</w:t>
      </w:r>
    </w:p>
    <w:p>
      <w:pPr>
        <w:spacing w:line="480" w:lineRule="auto"/>
        <w:ind w:firstLine="420" w:firstLineChars="200"/>
        <w:rPr>
          <w:color w:val="000000"/>
          <w:szCs w:val="21"/>
        </w:rPr>
      </w:pPr>
    </w:p>
    <w:p>
      <w:pPr>
        <w:spacing w:line="400" w:lineRule="exact"/>
        <w:ind w:left="420" w:leftChars="200" w:firstLine="630" w:firstLineChars="300"/>
        <w:rPr>
          <w:rFonts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r>
        <w:rPr>
          <w:rFonts w:hint="eastAsia" w:ascii="宋体" w:hAnsi="宋体"/>
          <w:b/>
          <w:bCs/>
          <w:szCs w:val="21"/>
        </w:rPr>
        <w:t xml:space="preserve"> </w:t>
      </w:r>
      <w:r>
        <w:rPr>
          <w:rFonts w:hint="eastAsia" w:ascii="宋体" w:hAnsi="宋体"/>
          <w:b/>
          <w:bCs/>
          <w:szCs w:val="21"/>
          <w:u w:val="single"/>
        </w:rPr>
        <w:t xml:space="preserve">                                   </w:t>
      </w:r>
    </w:p>
    <w:p>
      <w:pPr>
        <w:spacing w:line="400" w:lineRule="exact"/>
        <w:ind w:left="420"/>
        <w:rPr>
          <w:rFonts w:ascii="宋体" w:hAnsi="宋体"/>
          <w:szCs w:val="21"/>
        </w:rPr>
      </w:pPr>
    </w:p>
    <w:p>
      <w:pPr>
        <w:spacing w:line="400" w:lineRule="exact"/>
        <w:ind w:left="420" w:leftChars="200" w:firstLine="630" w:firstLineChars="300"/>
        <w:rPr>
          <w:rFonts w:ascii="宋体" w:hAnsi="宋体"/>
          <w:szCs w:val="21"/>
        </w:rPr>
      </w:pPr>
      <w:r>
        <w:rPr>
          <w:rFonts w:hint="eastAsia" w:ascii="宋体" w:hAnsi="宋体"/>
          <w:szCs w:val="21"/>
        </w:rPr>
        <w:t>地址：</w:t>
      </w:r>
      <w:r>
        <w:rPr>
          <w:rFonts w:hint="eastAsia" w:ascii="宋体" w:hAnsi="宋体"/>
          <w:b/>
          <w:bCs/>
          <w:szCs w:val="21"/>
        </w:rPr>
        <w:t xml:space="preserve"> </w:t>
      </w:r>
      <w:r>
        <w:rPr>
          <w:rFonts w:hint="eastAsia" w:ascii="宋体" w:hAnsi="宋体"/>
          <w:b/>
          <w:bCs/>
          <w:szCs w:val="21"/>
          <w:u w:val="single"/>
        </w:rPr>
        <w:t xml:space="preserve">                                   </w:t>
      </w:r>
    </w:p>
    <w:p>
      <w:pPr>
        <w:spacing w:line="400" w:lineRule="exact"/>
        <w:ind w:left="420"/>
        <w:rPr>
          <w:rFonts w:ascii="宋体" w:hAnsi="宋体"/>
          <w:szCs w:val="21"/>
        </w:rPr>
      </w:pPr>
    </w:p>
    <w:p>
      <w:pPr>
        <w:spacing w:line="400" w:lineRule="exact"/>
        <w:ind w:left="420" w:leftChars="200" w:firstLine="630" w:firstLineChars="300"/>
        <w:rPr>
          <w:rFonts w:ascii="宋体" w:hAns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u w:val="single"/>
        </w:rPr>
        <w:t xml:space="preserve">           </w:t>
      </w:r>
      <w:r>
        <w:rPr>
          <w:rFonts w:ascii="宋体" w:hAnsi="宋体"/>
          <w:szCs w:val="21"/>
        </w:rPr>
        <w:t xml:space="preserve"> 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spacing w:line="400" w:lineRule="exact"/>
        <w:ind w:left="420"/>
        <w:rPr>
          <w:rFonts w:ascii="宋体" w:hAnsi="宋体"/>
          <w:szCs w:val="21"/>
        </w:rPr>
      </w:pPr>
    </w:p>
    <w:p>
      <w:pPr>
        <w:spacing w:line="400" w:lineRule="exact"/>
        <w:ind w:left="525" w:leftChars="250" w:firstLine="525" w:firstLineChars="250"/>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&lt;投标人名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w:t>
      </w:r>
      <w:r>
        <w:rPr>
          <w:rFonts w:hint="eastAsia" w:ascii="宋体" w:hAnsi="宋体"/>
          <w:szCs w:val="21"/>
          <w:u w:val="single"/>
        </w:rPr>
        <w:t xml:space="preserve">    [采购人名称]        </w:t>
      </w:r>
      <w:r>
        <w:rPr>
          <w:rFonts w:ascii="宋体" w:hAnsi="宋体"/>
          <w:szCs w:val="21"/>
        </w:rPr>
        <w:t>组织的</w:t>
      </w:r>
      <w:r>
        <w:rPr>
          <w:rFonts w:hint="eastAsia" w:ascii="宋体" w:hAnsi="宋体"/>
          <w:szCs w:val="21"/>
        </w:rPr>
        <w:t>采购</w:t>
      </w:r>
      <w:r>
        <w:rPr>
          <w:rFonts w:ascii="宋体" w:hAnsi="宋体"/>
          <w:szCs w:val="21"/>
        </w:rPr>
        <w:t>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采购</w:t>
      </w:r>
      <w:r>
        <w:rPr>
          <w:rFonts w:ascii="宋体" w:hAnsi="宋体"/>
          <w:szCs w:val="21"/>
        </w:rPr>
        <w:t>项目</w:t>
      </w:r>
      <w:r>
        <w:rPr>
          <w:rFonts w:hint="eastAsia" w:ascii="宋体" w:hAnsi="宋体"/>
          <w:szCs w:val="21"/>
        </w:rPr>
        <w:t>的投</w:t>
      </w:r>
      <w:r>
        <w:rPr>
          <w:rFonts w:ascii="宋体" w:hAnsi="宋体"/>
          <w:szCs w:val="21"/>
        </w:rPr>
        <w:t>标</w:t>
      </w:r>
      <w:r>
        <w:rPr>
          <w:rFonts w:hint="eastAsia" w:ascii="宋体" w:hAnsi="宋体"/>
          <w:szCs w:val="21"/>
        </w:rPr>
        <w:t>、</w:t>
      </w:r>
      <w:r>
        <w:rPr>
          <w:rFonts w:ascii="宋体" w:hAnsi="宋体"/>
          <w:szCs w:val="21"/>
        </w:rPr>
        <w:t>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pPr>
        <w:spacing w:line="400" w:lineRule="exact"/>
        <w:ind w:left="420" w:leftChars="200" w:firstLine="420" w:firstLineChars="20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spacing w:line="400" w:lineRule="exact"/>
        <w:ind w:left="420"/>
        <w:rPr>
          <w:rFonts w:ascii="宋体" w:hAnsi="宋体"/>
          <w:szCs w:val="21"/>
        </w:rPr>
      </w:pPr>
    </w:p>
    <w:p>
      <w:pPr>
        <w:spacing w:line="400" w:lineRule="exact"/>
        <w:ind w:left="420"/>
        <w:rPr>
          <w:rFonts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法定代表人身份</w:t>
      </w:r>
      <w:r>
        <w:rPr>
          <w:rFonts w:ascii="宋体" w:hAnsi="宋体"/>
          <w:b/>
          <w:szCs w:val="21"/>
        </w:rPr>
        <w:t>证复</w:t>
      </w:r>
      <w:r>
        <w:rPr>
          <w:rFonts w:hint="eastAsia" w:ascii="宋体" w:hAnsi="宋体"/>
          <w:b/>
          <w:szCs w:val="21"/>
        </w:rPr>
        <w:t>印件）</w:t>
      </w:r>
    </w:p>
    <w:p>
      <w:pPr>
        <w:spacing w:line="400" w:lineRule="exact"/>
        <w:ind w:left="420"/>
        <w:rPr>
          <w:rFonts w:ascii="宋体" w:hAnsi="宋体"/>
          <w:szCs w:val="21"/>
        </w:rPr>
      </w:pPr>
    </w:p>
    <w:p>
      <w:pPr>
        <w:pStyle w:val="9"/>
        <w:tabs>
          <w:tab w:val="left" w:pos="4820"/>
        </w:tabs>
        <w:spacing w:line="360" w:lineRule="auto"/>
        <w:ind w:firstLine="440"/>
        <w:jc w:val="right"/>
        <w:rPr>
          <w:sz w:val="22"/>
          <w:szCs w:val="21"/>
        </w:rPr>
      </w:pPr>
    </w:p>
    <w:p>
      <w:pPr>
        <w:pStyle w:val="9"/>
        <w:tabs>
          <w:tab w:val="left" w:pos="5180"/>
          <w:tab w:val="left" w:pos="5921"/>
        </w:tabs>
        <w:spacing w:line="360" w:lineRule="auto"/>
        <w:ind w:right="840" w:firstLine="420"/>
        <w:rPr>
          <w:rFonts w:hAnsi="宋体"/>
          <w:kern w:val="2"/>
          <w:sz w:val="21"/>
          <w:szCs w:val="21"/>
        </w:rPr>
      </w:pPr>
      <w:r>
        <w:rPr>
          <w:rFonts w:hint="eastAsia" w:hAnsi="宋体"/>
          <w:kern w:val="2"/>
          <w:sz w:val="21"/>
          <w:szCs w:val="21"/>
        </w:rPr>
        <w:t>投标人： （盖章）</w:t>
      </w:r>
    </w:p>
    <w:p>
      <w:pPr>
        <w:pStyle w:val="9"/>
        <w:tabs>
          <w:tab w:val="left" w:pos="4841"/>
        </w:tabs>
        <w:spacing w:line="360" w:lineRule="auto"/>
        <w:ind w:left="5250" w:right="824" w:firstLine="4515" w:firstLineChars="2150"/>
        <w:jc w:val="right"/>
        <w:rPr>
          <w:rFonts w:hAnsi="宋体"/>
          <w:kern w:val="2"/>
          <w:sz w:val="21"/>
          <w:szCs w:val="21"/>
        </w:rPr>
      </w:pPr>
    </w:p>
    <w:p>
      <w:pPr>
        <w:pStyle w:val="9"/>
        <w:tabs>
          <w:tab w:val="left" w:pos="4841"/>
        </w:tabs>
        <w:wordWrap w:val="0"/>
        <w:spacing w:line="360" w:lineRule="auto"/>
        <w:ind w:right="824"/>
        <w:jc w:val="right"/>
        <w:rPr>
          <w:rFonts w:hAnsi="宋体"/>
          <w:kern w:val="2"/>
          <w:sz w:val="21"/>
          <w:szCs w:val="21"/>
        </w:rPr>
      </w:pPr>
      <w:r>
        <w:rPr>
          <w:rFonts w:hint="eastAsia" w:hAnsi="宋体"/>
          <w:kern w:val="2"/>
          <w:sz w:val="21"/>
          <w:szCs w:val="21"/>
        </w:rPr>
        <w:t xml:space="preserve">日期：  </w:t>
      </w:r>
      <w:r>
        <w:rPr>
          <w:rFonts w:hAnsi="宋体"/>
          <w:kern w:val="2"/>
          <w:sz w:val="21"/>
          <w:szCs w:val="21"/>
        </w:rPr>
        <w:t xml:space="preserve">  </w:t>
      </w:r>
      <w:r>
        <w:rPr>
          <w:rFonts w:hint="eastAsia" w:hAnsi="宋体"/>
          <w:kern w:val="2"/>
          <w:sz w:val="21"/>
          <w:szCs w:val="21"/>
        </w:rPr>
        <w:t>年   月   日</w:t>
      </w:r>
    </w:p>
    <w:p>
      <w:pPr>
        <w:pStyle w:val="9"/>
        <w:tabs>
          <w:tab w:val="left" w:pos="4841"/>
        </w:tabs>
        <w:spacing w:line="360" w:lineRule="auto"/>
        <w:ind w:left="5250" w:right="824" w:firstLine="4300" w:firstLineChars="2150"/>
        <w:rPr>
          <w:szCs w:val="21"/>
        </w:rPr>
      </w:pPr>
    </w:p>
    <w:p>
      <w:pPr>
        <w:spacing w:line="400" w:lineRule="exact"/>
        <w:ind w:left="420"/>
        <w:rPr>
          <w:rFonts w:ascii="宋体" w:hAnsi="宋体"/>
          <w:szCs w:val="21"/>
        </w:rPr>
      </w:pPr>
    </w:p>
    <w:p>
      <w:pPr>
        <w:spacing w:line="480" w:lineRule="exact"/>
        <w:jc w:val="center"/>
        <w:rPr>
          <w:rFonts w:ascii="宋体" w:hAnsi="宋体"/>
          <w:b/>
          <w:kern w:val="12"/>
          <w:sz w:val="24"/>
        </w:rPr>
      </w:pPr>
    </w:p>
    <w:p>
      <w:pPr>
        <w:spacing w:line="320" w:lineRule="exact"/>
        <w:ind w:left="413" w:hanging="413" w:hangingChars="196"/>
        <w:rPr>
          <w:rFonts w:ascii="宋体" w:hAnsi="宋体"/>
          <w:b/>
          <w:kern w:val="12"/>
          <w:szCs w:val="21"/>
        </w:rPr>
      </w:pPr>
      <w:r>
        <w:rPr>
          <w:rFonts w:hint="eastAsia"/>
          <w:b/>
          <w:kern w:val="12"/>
          <w:szCs w:val="21"/>
        </w:rPr>
        <w:t>注：</w:t>
      </w:r>
      <w:r>
        <w:rPr>
          <w:rFonts w:hint="eastAsia" w:ascii="宋体" w:hAnsi="宋体"/>
          <w:b/>
          <w:kern w:val="12"/>
          <w:szCs w:val="21"/>
        </w:rPr>
        <w:t>法定代表人参加本招标项目投标的，仅须提供此证明书。</w:t>
      </w:r>
    </w:p>
    <w:p>
      <w:pPr>
        <w:spacing w:line="320" w:lineRule="exact"/>
        <w:ind w:left="413" w:hanging="413" w:hangingChars="196"/>
        <w:rPr>
          <w:rFonts w:ascii="宋体" w:hAnsi="宋体"/>
          <w:b/>
          <w:kern w:val="12"/>
          <w:szCs w:val="21"/>
        </w:rPr>
      </w:pPr>
    </w:p>
    <w:p>
      <w:pPr>
        <w:rPr>
          <w:color w:val="000000"/>
        </w:rPr>
      </w:pPr>
      <w:r>
        <w:rPr>
          <w:rFonts w:ascii="宋体" w:hAnsi="宋体"/>
          <w:b/>
          <w:kern w:val="12"/>
          <w:szCs w:val="21"/>
        </w:rPr>
        <w:br w:type="page"/>
      </w:r>
      <w:r>
        <w:rPr>
          <w:b/>
          <w:color w:val="000000"/>
        </w:rPr>
        <w:t>格式</w:t>
      </w:r>
      <w:r>
        <w:rPr>
          <w:rFonts w:hint="eastAsia"/>
          <w:b/>
          <w:color w:val="000000"/>
        </w:rPr>
        <w:t>三</w:t>
      </w:r>
      <w:r>
        <w:rPr>
          <w:b/>
          <w:color w:val="000000"/>
        </w:rPr>
        <w:t>：</w:t>
      </w:r>
      <w:r>
        <w:rPr>
          <w:color w:val="000000"/>
          <w:szCs w:val="21"/>
        </w:rPr>
        <w:t>法定代表人授权书</w:t>
      </w:r>
    </w:p>
    <w:p>
      <w:pPr>
        <w:jc w:val="left"/>
        <w:rPr>
          <w:b/>
          <w:color w:val="000000"/>
          <w:szCs w:val="21"/>
        </w:rPr>
      </w:pPr>
    </w:p>
    <w:p>
      <w:pPr>
        <w:spacing w:before="120" w:beforeLines="50"/>
        <w:jc w:val="center"/>
        <w:rPr>
          <w:b/>
          <w:color w:val="000000"/>
          <w:sz w:val="32"/>
          <w:szCs w:val="32"/>
        </w:rPr>
      </w:pPr>
      <w:r>
        <w:rPr>
          <w:b/>
          <w:color w:val="000000"/>
          <w:sz w:val="32"/>
          <w:szCs w:val="32"/>
        </w:rPr>
        <w:t>法定代表人授权委托书</w:t>
      </w:r>
    </w:p>
    <w:p>
      <w:pPr>
        <w:snapToGrid w:val="0"/>
        <w:spacing w:line="360" w:lineRule="auto"/>
        <w:rPr>
          <w:bCs/>
          <w:color w:val="000000"/>
          <w:szCs w:val="21"/>
        </w:rPr>
      </w:pPr>
    </w:p>
    <w:p>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r>
        <w:rPr>
          <w:b/>
          <w:bCs/>
          <w:color w:val="000000"/>
          <w:szCs w:val="21"/>
        </w:rPr>
        <w:t xml:space="preserve"> </w:t>
      </w:r>
      <w:r>
        <w:rPr>
          <w:color w:val="000000"/>
          <w:szCs w:val="21"/>
        </w:rPr>
        <w:t>：</w:t>
      </w:r>
    </w:p>
    <w:p>
      <w:pPr>
        <w:snapToGrid w:val="0"/>
        <w:spacing w:line="360" w:lineRule="auto"/>
        <w:ind w:firstLine="525" w:firstLineChars="250"/>
        <w:rPr>
          <w:color w:val="000000"/>
          <w:szCs w:val="21"/>
          <w:u w:val="single"/>
        </w:rPr>
      </w:pPr>
      <w:r>
        <w:rPr>
          <w:color w:val="000000"/>
          <w:szCs w:val="21"/>
        </w:rPr>
        <w:t>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 xml:space="preserve">（供应商名称）的法定代表人，现授权委托本单位在职职工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pPr>
        <w:snapToGrid w:val="0"/>
        <w:spacing w:line="360" w:lineRule="auto"/>
        <w:ind w:firstLine="420" w:firstLineChars="200"/>
        <w:rPr>
          <w:color w:val="000000"/>
          <w:szCs w:val="21"/>
          <w:u w:val="single"/>
        </w:rPr>
      </w:pPr>
      <w:r>
        <w:rPr>
          <w:color w:val="000000"/>
          <w:szCs w:val="21"/>
        </w:rPr>
        <w:t>我方对被授权人的签名事项负全部责任。</w:t>
      </w:r>
    </w:p>
    <w:p>
      <w:pPr>
        <w:snapToGrid w:val="0"/>
        <w:spacing w:line="360" w:lineRule="auto"/>
        <w:ind w:firstLine="420" w:firstLineChars="200"/>
        <w:rPr>
          <w:color w:val="000000"/>
          <w:szCs w:val="21"/>
        </w:rPr>
      </w:pPr>
      <w:r>
        <w:rPr>
          <w:color w:val="000000"/>
          <w:szCs w:val="21"/>
        </w:rPr>
        <w:t>在撤销授权的书面通知以前，本授权书一直有效。被授权人在授权书有效期内签署的所有文件不因授权的撤销而失效。</w:t>
      </w:r>
    </w:p>
    <w:p>
      <w:pPr>
        <w:snapToGrid w:val="0"/>
        <w:spacing w:line="360" w:lineRule="auto"/>
        <w:ind w:firstLine="480"/>
        <w:rPr>
          <w:color w:val="000000"/>
          <w:szCs w:val="21"/>
        </w:rPr>
      </w:pPr>
      <w:r>
        <w:rPr>
          <w:color w:val="000000"/>
          <w:szCs w:val="21"/>
        </w:rPr>
        <w:t>被授权人无转委托权，特此委托。</w:t>
      </w:r>
    </w:p>
    <w:p>
      <w:pPr>
        <w:snapToGrid w:val="0"/>
        <w:spacing w:line="360" w:lineRule="auto"/>
        <w:rPr>
          <w:color w:val="000000"/>
          <w:szCs w:val="21"/>
        </w:rPr>
      </w:pPr>
    </w:p>
    <w:p>
      <w:pPr>
        <w:snapToGrid w:val="0"/>
        <w:spacing w:line="360" w:lineRule="auto"/>
        <w:rPr>
          <w:color w:val="000000"/>
          <w:szCs w:val="21"/>
        </w:rPr>
      </w:pPr>
    </w:p>
    <w:p>
      <w:pPr>
        <w:snapToGrid w:val="0"/>
        <w:spacing w:line="360" w:lineRule="auto"/>
        <w:rPr>
          <w:color w:val="000000"/>
          <w:szCs w:val="21"/>
          <w:u w:val="single"/>
        </w:rPr>
      </w:pPr>
      <w:r>
        <w:rPr>
          <w:color w:val="000000"/>
          <w:szCs w:val="21"/>
        </w:rPr>
        <w:t>被授权人签名：</w:t>
      </w:r>
      <w:r>
        <w:rPr>
          <w:color w:val="000000"/>
          <w:szCs w:val="21"/>
          <w:u w:val="single"/>
        </w:rPr>
        <w:t xml:space="preserve">          </w:t>
      </w:r>
      <w:r>
        <w:rPr>
          <w:color w:val="000000"/>
          <w:szCs w:val="21"/>
        </w:rPr>
        <w:t xml:space="preserve">                 法定代表人</w:t>
      </w:r>
      <w:r>
        <w:rPr>
          <w:rFonts w:hint="eastAsia"/>
          <w:color w:val="000000"/>
          <w:szCs w:val="21"/>
        </w:rPr>
        <w:t>（</w:t>
      </w:r>
      <w:r>
        <w:rPr>
          <w:color w:val="000000"/>
          <w:szCs w:val="21"/>
        </w:rPr>
        <w:t>签名</w:t>
      </w:r>
      <w:r>
        <w:rPr>
          <w:rFonts w:hint="eastAsia"/>
          <w:color w:val="000000"/>
          <w:szCs w:val="21"/>
        </w:rPr>
        <w:t>或盖章）</w:t>
      </w:r>
      <w:r>
        <w:rPr>
          <w:color w:val="000000"/>
          <w:szCs w:val="21"/>
        </w:rPr>
        <w:t>：</w:t>
      </w:r>
      <w:r>
        <w:rPr>
          <w:color w:val="000000"/>
          <w:szCs w:val="21"/>
          <w:u w:val="single"/>
        </w:rPr>
        <w:t xml:space="preserve">          </w:t>
      </w:r>
    </w:p>
    <w:p>
      <w:pPr>
        <w:snapToGrid w:val="0"/>
        <w:spacing w:line="360" w:lineRule="auto"/>
        <w:ind w:firstLine="840" w:firstLineChars="400"/>
        <w:rPr>
          <w:color w:val="000000"/>
          <w:szCs w:val="21"/>
        </w:rPr>
      </w:pPr>
      <w:r>
        <w:rPr>
          <w:color w:val="000000"/>
          <w:szCs w:val="21"/>
        </w:rPr>
        <w:t>职务：</w:t>
      </w:r>
      <w:r>
        <w:rPr>
          <w:color w:val="000000"/>
          <w:szCs w:val="21"/>
          <w:u w:val="single"/>
        </w:rPr>
        <w:t xml:space="preserve">           </w:t>
      </w:r>
      <w:r>
        <w:rPr>
          <w:color w:val="000000"/>
          <w:szCs w:val="21"/>
        </w:rPr>
        <w:t xml:space="preserve">                          职务：</w:t>
      </w:r>
      <w:r>
        <w:rPr>
          <w:color w:val="000000"/>
          <w:szCs w:val="21"/>
          <w:u w:val="single"/>
        </w:rPr>
        <w:t xml:space="preserve">           </w:t>
      </w:r>
    </w:p>
    <w:p>
      <w:pPr>
        <w:snapToGrid w:val="0"/>
        <w:spacing w:line="360" w:lineRule="auto"/>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p>
    <w:p>
      <w:pPr>
        <w:spacing w:line="460" w:lineRule="exact"/>
        <w:ind w:firstLine="3373" w:firstLineChars="1600"/>
        <w:rPr>
          <w:rFonts w:ascii="宋体" w:hAnsi="宋体"/>
          <w:b/>
          <w:bCs/>
          <w:szCs w:val="21"/>
        </w:rPr>
      </w:pPr>
    </w:p>
    <w:p>
      <w:pPr>
        <w:spacing w:line="380" w:lineRule="exact"/>
        <w:ind w:firstLine="5527" w:firstLineChars="2632"/>
        <w:rPr>
          <w:color w:val="000000"/>
          <w:szCs w:val="21"/>
        </w:rPr>
      </w:pPr>
      <w:r>
        <w:rPr>
          <w:rFonts w:hint="eastAsia"/>
          <w:color w:val="000000"/>
          <w:szCs w:val="21"/>
        </w:rPr>
        <w:t>投标人：       （盖章）</w:t>
      </w:r>
    </w:p>
    <w:p>
      <w:pPr>
        <w:spacing w:line="380" w:lineRule="exact"/>
        <w:ind w:firstLine="5527" w:firstLineChars="2632"/>
        <w:rPr>
          <w:color w:val="000000"/>
          <w:szCs w:val="21"/>
        </w:rPr>
      </w:pPr>
      <w:r>
        <w:rPr>
          <w:rFonts w:hint="eastAsia"/>
          <w:color w:val="000000"/>
          <w:szCs w:val="21"/>
        </w:rPr>
        <w:t>日期：</w:t>
      </w:r>
      <w:bookmarkStart w:id="37" w:name="_Toc48981993"/>
      <w:bookmarkEnd w:id="37"/>
    </w:p>
    <w:p>
      <w:pPr>
        <w:spacing w:line="360" w:lineRule="auto"/>
        <w:rPr>
          <w:b/>
          <w:color w:val="000000"/>
          <w:szCs w:val="21"/>
        </w:rPr>
      </w:pPr>
    </w:p>
    <w:p>
      <w:pPr>
        <w:spacing w:line="360" w:lineRule="auto"/>
        <w:rPr>
          <w:b/>
          <w:color w:val="000000"/>
          <w:szCs w:val="21"/>
        </w:rPr>
      </w:pPr>
    </w:p>
    <w:p>
      <w:pPr>
        <w:spacing w:line="400" w:lineRule="exact"/>
        <w:ind w:left="420"/>
        <w:rPr>
          <w:rFonts w:ascii="宋体" w:hAnsi="宋体"/>
          <w:b/>
          <w:bCs/>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法定代表人和被授</w:t>
      </w:r>
      <w:r>
        <w:rPr>
          <w:rFonts w:ascii="宋体" w:hAnsi="宋体"/>
          <w:b/>
          <w:szCs w:val="21"/>
        </w:rPr>
        <w:t>权人</w:t>
      </w:r>
      <w:r>
        <w:rPr>
          <w:rFonts w:hint="eastAsia" w:ascii="宋体" w:hAnsi="宋体"/>
          <w:b/>
          <w:szCs w:val="21"/>
        </w:rPr>
        <w:t>身份</w:t>
      </w:r>
      <w:r>
        <w:rPr>
          <w:rFonts w:ascii="宋体" w:hAnsi="宋体"/>
          <w:b/>
          <w:szCs w:val="21"/>
        </w:rPr>
        <w:t>证复</w:t>
      </w:r>
      <w:r>
        <w:rPr>
          <w:rFonts w:hint="eastAsia" w:ascii="宋体" w:hAnsi="宋体"/>
          <w:b/>
          <w:szCs w:val="21"/>
        </w:rPr>
        <w:t>印件）</w:t>
      </w:r>
    </w:p>
    <w:p>
      <w:pPr>
        <w:spacing w:before="120" w:beforeLines="50" w:line="320" w:lineRule="exact"/>
        <w:ind w:firstLine="843" w:firstLineChars="400"/>
        <w:rPr>
          <w:b/>
          <w:color w:val="000000"/>
          <w:szCs w:val="21"/>
        </w:rPr>
      </w:pPr>
      <w:r>
        <w:rPr>
          <w:b/>
          <w:color w:val="000000"/>
          <w:szCs w:val="21"/>
        </w:rPr>
        <w:br w:type="page"/>
      </w:r>
    </w:p>
    <w:p>
      <w:pPr>
        <w:rPr>
          <w:color w:val="000000"/>
          <w:szCs w:val="21"/>
        </w:rPr>
      </w:pPr>
      <w:r>
        <w:rPr>
          <w:b/>
          <w:color w:val="000000"/>
          <w:szCs w:val="21"/>
        </w:rPr>
        <w:t>格式</w:t>
      </w:r>
      <w:r>
        <w:rPr>
          <w:rFonts w:hint="eastAsia"/>
          <w:b/>
          <w:color w:val="000000"/>
          <w:szCs w:val="21"/>
        </w:rPr>
        <w:t>四</w:t>
      </w:r>
      <w:r>
        <w:rPr>
          <w:b/>
          <w:color w:val="000000"/>
          <w:szCs w:val="21"/>
        </w:rPr>
        <w:t>：</w:t>
      </w:r>
      <w:r>
        <w:rPr>
          <w:rFonts w:hint="eastAsia"/>
          <w:color w:val="000000"/>
          <w:szCs w:val="21"/>
        </w:rPr>
        <w:t>评分索引表</w:t>
      </w:r>
    </w:p>
    <w:p>
      <w:pPr>
        <w:jc w:val="center"/>
        <w:rPr>
          <w:rFonts w:ascii="宋体" w:hAnsi="宋体" w:cs="宋体"/>
          <w:b/>
          <w:sz w:val="32"/>
          <w:szCs w:val="32"/>
        </w:rPr>
      </w:pPr>
      <w:bookmarkStart w:id="38" w:name="_Hlk117691679"/>
      <w:r>
        <w:rPr>
          <w:rFonts w:hint="eastAsia" w:ascii="宋体" w:hAnsi="宋体" w:cs="宋体"/>
          <w:b/>
          <w:sz w:val="32"/>
          <w:szCs w:val="32"/>
        </w:rPr>
        <w:t>评分索引表</w:t>
      </w:r>
      <w:bookmarkEnd w:id="38"/>
    </w:p>
    <w:p>
      <w:pPr>
        <w:snapToGrid w:val="0"/>
        <w:spacing w:before="50" w:after="50"/>
        <w:rPr>
          <w:rFonts w:ascii="宋体" w:hAnsi="宋体"/>
          <w:b/>
          <w:sz w:val="24"/>
        </w:rPr>
      </w:pPr>
    </w:p>
    <w:p>
      <w:pPr>
        <w:snapToGrid w:val="0"/>
        <w:spacing w:before="50" w:after="50" w:line="360" w:lineRule="auto"/>
        <w:rPr>
          <w:rFonts w:ascii="宋体" w:hAnsi="宋体"/>
          <w:b/>
          <w:sz w:val="24"/>
          <w:u w:val="single"/>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tbl>
      <w:tblPr>
        <w:tblStyle w:val="24"/>
        <w:tblW w:w="92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Layout w:type="fixed"/>
        <w:tblCellMar>
          <w:top w:w="0" w:type="dxa"/>
          <w:left w:w="108" w:type="dxa"/>
          <w:bottom w:w="0" w:type="dxa"/>
          <w:right w:w="108" w:type="dxa"/>
        </w:tblCellMar>
      </w:tblPr>
      <w:tblGrid>
        <w:gridCol w:w="993"/>
        <w:gridCol w:w="5913"/>
        <w:gridCol w:w="1276"/>
        <w:gridCol w:w="101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trHeight w:val="466" w:hRule="atLeast"/>
          <w:jc w:val="center"/>
        </w:trPr>
        <w:tc>
          <w:tcPr>
            <w:tcW w:w="993" w:type="dxa"/>
            <w:vAlign w:val="center"/>
          </w:tcPr>
          <w:p>
            <w:pPr>
              <w:pStyle w:val="18"/>
              <w:spacing w:after="0"/>
              <w:ind w:left="0" w:leftChars="0"/>
              <w:jc w:val="center"/>
              <w:rPr>
                <w:rFonts w:ascii="宋体"/>
                <w:b/>
                <w:bCs/>
                <w:sz w:val="24"/>
                <w:szCs w:val="24"/>
              </w:rPr>
            </w:pPr>
            <w:r>
              <w:rPr>
                <w:rFonts w:hint="eastAsia" w:ascii="宋体"/>
                <w:b/>
                <w:bCs/>
                <w:sz w:val="24"/>
                <w:szCs w:val="24"/>
              </w:rPr>
              <w:t>序号</w:t>
            </w:r>
          </w:p>
        </w:tc>
        <w:tc>
          <w:tcPr>
            <w:tcW w:w="5913" w:type="dxa"/>
            <w:vAlign w:val="center"/>
          </w:tcPr>
          <w:p>
            <w:pPr>
              <w:pStyle w:val="18"/>
              <w:spacing w:after="0"/>
              <w:ind w:left="0" w:leftChars="0"/>
              <w:jc w:val="center"/>
              <w:rPr>
                <w:rFonts w:ascii="宋体"/>
                <w:b/>
                <w:bCs/>
                <w:sz w:val="24"/>
                <w:szCs w:val="24"/>
              </w:rPr>
            </w:pPr>
            <w:r>
              <w:rPr>
                <w:rFonts w:hint="eastAsia" w:ascii="宋体"/>
                <w:b/>
                <w:bCs/>
                <w:sz w:val="24"/>
                <w:szCs w:val="24"/>
              </w:rPr>
              <w:t>评分标准</w:t>
            </w:r>
          </w:p>
        </w:tc>
        <w:tc>
          <w:tcPr>
            <w:tcW w:w="1276" w:type="dxa"/>
            <w:vAlign w:val="center"/>
          </w:tcPr>
          <w:p>
            <w:pPr>
              <w:pStyle w:val="18"/>
              <w:spacing w:after="0"/>
              <w:ind w:left="0" w:leftChars="0"/>
              <w:jc w:val="center"/>
              <w:rPr>
                <w:rFonts w:ascii="宋体"/>
                <w:b/>
                <w:bCs/>
                <w:sz w:val="24"/>
                <w:szCs w:val="24"/>
              </w:rPr>
            </w:pPr>
            <w:r>
              <w:rPr>
                <w:rFonts w:hint="eastAsia" w:ascii="宋体"/>
                <w:b/>
                <w:bCs/>
                <w:sz w:val="24"/>
                <w:szCs w:val="24"/>
              </w:rPr>
              <w:t>页码</w:t>
            </w:r>
          </w:p>
        </w:tc>
        <w:tc>
          <w:tcPr>
            <w:tcW w:w="1018" w:type="dxa"/>
            <w:vAlign w:val="center"/>
          </w:tcPr>
          <w:p>
            <w:pPr>
              <w:pStyle w:val="18"/>
              <w:spacing w:after="0"/>
              <w:ind w:left="0" w:leftChars="0"/>
              <w:jc w:val="center"/>
              <w:rPr>
                <w:rFonts w:ascii="宋体"/>
                <w:b/>
                <w:bCs/>
                <w:sz w:val="24"/>
                <w:szCs w:val="24"/>
              </w:rPr>
            </w:pPr>
            <w:r>
              <w:rPr>
                <w:rFonts w:hint="eastAsia" w:ascii="宋体"/>
                <w:b/>
                <w:bCs/>
                <w:sz w:val="24"/>
                <w:szCs w:val="24"/>
              </w:rPr>
              <w:t>自评分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widowControl/>
              <w:jc w:val="center"/>
              <w:rPr>
                <w:rFonts w:ascii="宋体" w:hAnsi="宋体"/>
                <w:sz w:val="24"/>
              </w:rPr>
            </w:pPr>
            <w:r>
              <w:rPr>
                <w:rFonts w:hint="eastAsia" w:ascii="宋体" w:hAnsi="宋体"/>
                <w:sz w:val="24"/>
              </w:rPr>
              <w:t>1</w:t>
            </w:r>
          </w:p>
        </w:tc>
        <w:tc>
          <w:tcPr>
            <w:tcW w:w="5913"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018" w:type="dxa"/>
            <w:vAlign w:val="center"/>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widowControl/>
              <w:jc w:val="center"/>
              <w:rPr>
                <w:rFonts w:ascii="宋体" w:hAnsi="宋体"/>
                <w:sz w:val="24"/>
              </w:rPr>
            </w:pPr>
            <w:r>
              <w:rPr>
                <w:rFonts w:hint="eastAsia" w:ascii="宋体" w:hAnsi="宋体"/>
                <w:sz w:val="24"/>
              </w:rPr>
              <w:t>2</w:t>
            </w:r>
          </w:p>
        </w:tc>
        <w:tc>
          <w:tcPr>
            <w:tcW w:w="5913" w:type="dxa"/>
            <w:vAlign w:val="center"/>
          </w:tcPr>
          <w:p>
            <w:pPr>
              <w:widowControl/>
              <w:jc w:val="center"/>
              <w:rPr>
                <w:rFonts w:ascii="宋体" w:hAnsi="宋体" w:cs="宋体"/>
                <w:kern w:val="0"/>
                <w:sz w:val="24"/>
              </w:rPr>
            </w:pPr>
          </w:p>
        </w:tc>
        <w:tc>
          <w:tcPr>
            <w:tcW w:w="1276" w:type="dxa"/>
            <w:vAlign w:val="center"/>
          </w:tcPr>
          <w:p>
            <w:pPr>
              <w:jc w:val="center"/>
              <w:rPr>
                <w:rFonts w:ascii="宋体" w:hAnsi="宋体"/>
                <w:sz w:val="24"/>
              </w:rPr>
            </w:pPr>
          </w:p>
        </w:tc>
        <w:tc>
          <w:tcPr>
            <w:tcW w:w="1018" w:type="dxa"/>
            <w:vAlign w:val="center"/>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jc w:val="center"/>
              <w:rPr>
                <w:rFonts w:ascii="宋体" w:hAnsi="宋体"/>
                <w:sz w:val="24"/>
              </w:rPr>
            </w:pPr>
            <w:r>
              <w:rPr>
                <w:rFonts w:hint="eastAsia" w:ascii="宋体" w:hAnsi="宋体"/>
                <w:sz w:val="24"/>
              </w:rPr>
              <w:t>3</w:t>
            </w:r>
          </w:p>
        </w:tc>
        <w:tc>
          <w:tcPr>
            <w:tcW w:w="5913"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018" w:type="dxa"/>
            <w:vAlign w:val="center"/>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jc w:val="center"/>
              <w:rPr>
                <w:rFonts w:ascii="宋体" w:hAnsi="宋体"/>
                <w:sz w:val="24"/>
              </w:rPr>
            </w:pPr>
            <w:r>
              <w:rPr>
                <w:rFonts w:hint="eastAsia" w:ascii="宋体" w:hAnsi="宋体"/>
                <w:sz w:val="24"/>
              </w:rPr>
              <w:t>4</w:t>
            </w:r>
          </w:p>
        </w:tc>
        <w:tc>
          <w:tcPr>
            <w:tcW w:w="5913"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018" w:type="dxa"/>
            <w:vAlign w:val="center"/>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jc w:val="center"/>
              <w:rPr>
                <w:rFonts w:ascii="宋体" w:hAnsi="宋体"/>
                <w:sz w:val="24"/>
              </w:rPr>
            </w:pPr>
          </w:p>
        </w:tc>
        <w:tc>
          <w:tcPr>
            <w:tcW w:w="5913"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018" w:type="dxa"/>
            <w:vAlign w:val="center"/>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jc w:val="center"/>
              <w:rPr>
                <w:rFonts w:ascii="宋体" w:hAnsi="宋体"/>
                <w:sz w:val="24"/>
              </w:rPr>
            </w:pPr>
          </w:p>
        </w:tc>
        <w:tc>
          <w:tcPr>
            <w:tcW w:w="5913"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018" w:type="dxa"/>
            <w:vAlign w:val="center"/>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jc w:val="center"/>
              <w:rPr>
                <w:rFonts w:ascii="宋体" w:hAnsi="宋体"/>
                <w:sz w:val="24"/>
              </w:rPr>
            </w:pPr>
          </w:p>
        </w:tc>
        <w:tc>
          <w:tcPr>
            <w:tcW w:w="5913"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018" w:type="dxa"/>
            <w:vAlign w:val="center"/>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jc w:val="center"/>
              <w:rPr>
                <w:rFonts w:ascii="宋体" w:hAnsi="宋体"/>
                <w:sz w:val="24"/>
              </w:rPr>
            </w:pPr>
          </w:p>
        </w:tc>
        <w:tc>
          <w:tcPr>
            <w:tcW w:w="5913"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018" w:type="dxa"/>
            <w:vAlign w:val="center"/>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jc w:val="center"/>
              <w:rPr>
                <w:rFonts w:ascii="宋体" w:hAnsi="宋体"/>
                <w:sz w:val="24"/>
              </w:rPr>
            </w:pPr>
          </w:p>
        </w:tc>
        <w:tc>
          <w:tcPr>
            <w:tcW w:w="5913"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018" w:type="dxa"/>
            <w:vAlign w:val="center"/>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jc w:val="center"/>
              <w:rPr>
                <w:rFonts w:ascii="宋体" w:hAnsi="宋体"/>
                <w:sz w:val="24"/>
              </w:rPr>
            </w:pPr>
          </w:p>
        </w:tc>
        <w:tc>
          <w:tcPr>
            <w:tcW w:w="5913"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018" w:type="dxa"/>
            <w:vAlign w:val="center"/>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jc w:val="center"/>
              <w:rPr>
                <w:rFonts w:ascii="宋体" w:hAnsi="宋体"/>
                <w:sz w:val="24"/>
              </w:rPr>
            </w:pPr>
          </w:p>
        </w:tc>
        <w:tc>
          <w:tcPr>
            <w:tcW w:w="5913" w:type="dxa"/>
            <w:vAlign w:val="center"/>
          </w:tcPr>
          <w:p>
            <w:pPr>
              <w:rPr>
                <w:rFonts w:ascii="宋体" w:hAnsi="宋体"/>
                <w:bCs/>
                <w:sz w:val="24"/>
              </w:rPr>
            </w:pPr>
            <w:r>
              <w:rPr>
                <w:rFonts w:hint="eastAsia" w:ascii="宋体" w:hAnsi="宋体"/>
                <w:sz w:val="24"/>
              </w:rPr>
              <w:t>（报价除外）</w:t>
            </w:r>
          </w:p>
        </w:tc>
        <w:tc>
          <w:tcPr>
            <w:tcW w:w="1276" w:type="dxa"/>
            <w:vAlign w:val="center"/>
          </w:tcPr>
          <w:p>
            <w:pPr>
              <w:jc w:val="center"/>
              <w:rPr>
                <w:rFonts w:ascii="宋体" w:hAnsi="宋体"/>
                <w:bCs/>
                <w:sz w:val="24"/>
              </w:rPr>
            </w:pPr>
          </w:p>
        </w:tc>
        <w:tc>
          <w:tcPr>
            <w:tcW w:w="1018" w:type="dxa"/>
            <w:vAlign w:val="center"/>
          </w:tcPr>
          <w:p>
            <w:pPr>
              <w:jc w:val="center"/>
              <w:rPr>
                <w:rFonts w:ascii="宋体" w:hAnsi="宋体"/>
                <w:sz w:val="24"/>
              </w:rPr>
            </w:pPr>
          </w:p>
        </w:tc>
      </w:tr>
    </w:tbl>
    <w:p>
      <w:pPr>
        <w:spacing w:line="360" w:lineRule="auto"/>
        <w:rPr>
          <w:rFonts w:ascii="宋体" w:hAnsi="宋体" w:cs="宋体"/>
          <w:b/>
          <w:bCs/>
          <w:sz w:val="24"/>
        </w:rPr>
      </w:pPr>
      <w:r>
        <w:rPr>
          <w:rFonts w:hint="eastAsia" w:ascii="宋体" w:hAnsi="宋体" w:cs="宋体"/>
          <w:b/>
          <w:bCs/>
          <w:sz w:val="24"/>
        </w:rPr>
        <w:t>注：1）根据评分标准中技术内容逐条填写，并针对客观分部分进行自评。</w:t>
      </w:r>
    </w:p>
    <w:p>
      <w:pPr>
        <w:spacing w:line="360" w:lineRule="auto"/>
        <w:rPr>
          <w:rFonts w:ascii="宋体" w:hAnsi="宋体" w:cs="宋体"/>
          <w:sz w:val="24"/>
        </w:rPr>
      </w:pPr>
      <w:r>
        <w:rPr>
          <w:rFonts w:hint="eastAsia" w:ascii="宋体" w:hAnsi="宋体" w:cs="宋体"/>
          <w:b/>
          <w:bCs/>
          <w:sz w:val="24"/>
        </w:rPr>
        <w:t>2）请将此表编制在目录页前。</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5527" w:firstLineChars="2303"/>
        <w:rPr>
          <w:rFonts w:ascii="宋体" w:hAnsi="宋体" w:cs="宋体"/>
          <w:sz w:val="24"/>
        </w:rPr>
      </w:pPr>
      <w:r>
        <w:rPr>
          <w:rFonts w:hint="eastAsia" w:ascii="宋体" w:hAnsi="宋体" w:cs="宋体"/>
          <w:sz w:val="24"/>
        </w:rPr>
        <w:t xml:space="preserve">投标人： </w:t>
      </w:r>
      <w:r>
        <w:rPr>
          <w:rFonts w:ascii="宋体" w:hAnsi="宋体" w:cs="宋体"/>
          <w:sz w:val="24"/>
        </w:rPr>
        <w:t xml:space="preserve">         </w:t>
      </w:r>
      <w:r>
        <w:rPr>
          <w:rFonts w:hint="eastAsia" w:ascii="宋体" w:hAnsi="宋体" w:cs="宋体"/>
          <w:sz w:val="24"/>
        </w:rPr>
        <w:t xml:space="preserve">（盖章） </w:t>
      </w:r>
    </w:p>
    <w:p>
      <w:pPr>
        <w:spacing w:line="360" w:lineRule="auto"/>
        <w:ind w:firstLine="5527" w:firstLineChars="2303"/>
        <w:rPr>
          <w:rFonts w:ascii="宋体" w:hAnsi="宋体" w:cs="宋体"/>
          <w:sz w:val="24"/>
        </w:rPr>
      </w:pPr>
    </w:p>
    <w:p>
      <w:pPr>
        <w:spacing w:line="360" w:lineRule="auto"/>
        <w:ind w:firstLine="5527" w:firstLineChars="2303"/>
        <w:rPr>
          <w:rFonts w:ascii="宋体" w:hAnsi="宋体" w:cs="宋体"/>
          <w:sz w:val="24"/>
        </w:rPr>
      </w:pPr>
      <w:r>
        <w:rPr>
          <w:rFonts w:hint="eastAsia" w:ascii="宋体" w:hAnsi="宋体" w:cs="宋体"/>
          <w:sz w:val="24"/>
        </w:rPr>
        <w:t>日  期：</w:t>
      </w:r>
    </w:p>
    <w:p>
      <w:pPr>
        <w:widowControl/>
        <w:jc w:val="left"/>
        <w:rPr>
          <w:b/>
          <w:color w:val="000000"/>
          <w:szCs w:val="21"/>
        </w:rPr>
      </w:pPr>
      <w:r>
        <w:rPr>
          <w:b/>
          <w:color w:val="000000"/>
          <w:szCs w:val="21"/>
        </w:rPr>
        <w:br w:type="page"/>
      </w:r>
    </w:p>
    <w:p>
      <w:pPr>
        <w:widowControl/>
        <w:jc w:val="left"/>
        <w:rPr>
          <w:b/>
          <w:color w:val="000000"/>
          <w:szCs w:val="21"/>
        </w:rPr>
      </w:pPr>
    </w:p>
    <w:p>
      <w:pPr>
        <w:rPr>
          <w:color w:val="000000"/>
        </w:rPr>
      </w:pPr>
      <w:r>
        <w:rPr>
          <w:b/>
          <w:color w:val="000000"/>
          <w:szCs w:val="21"/>
        </w:rPr>
        <w:t>格式</w:t>
      </w:r>
      <w:r>
        <w:rPr>
          <w:rFonts w:hint="eastAsia"/>
          <w:b/>
          <w:color w:val="000000"/>
          <w:szCs w:val="21"/>
        </w:rPr>
        <w:t>五</w:t>
      </w:r>
      <w:r>
        <w:rPr>
          <w:b/>
          <w:color w:val="000000"/>
          <w:szCs w:val="21"/>
        </w:rPr>
        <w:t>：</w:t>
      </w:r>
      <w:r>
        <w:rPr>
          <w:color w:val="000000"/>
          <w:szCs w:val="21"/>
        </w:rPr>
        <w:t>投标人基本情况说明</w:t>
      </w:r>
    </w:p>
    <w:p>
      <w:pPr>
        <w:spacing w:line="360" w:lineRule="auto"/>
        <w:jc w:val="center"/>
        <w:rPr>
          <w:b/>
          <w:color w:val="000000"/>
          <w:szCs w:val="21"/>
        </w:rPr>
      </w:pPr>
    </w:p>
    <w:p>
      <w:pPr>
        <w:spacing w:after="120" w:afterLines="50"/>
        <w:jc w:val="center"/>
        <w:rPr>
          <w:b/>
          <w:color w:val="000000"/>
          <w:sz w:val="32"/>
          <w:szCs w:val="32"/>
        </w:rPr>
      </w:pPr>
      <w:r>
        <w:rPr>
          <w:b/>
          <w:color w:val="000000"/>
          <w:sz w:val="32"/>
          <w:szCs w:val="32"/>
        </w:rPr>
        <w:t>投标人基本情况说明</w:t>
      </w:r>
    </w:p>
    <w:tbl>
      <w:tblPr>
        <w:tblStyle w:val="2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单位名称</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组织机构代码</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注册地址</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注册登记号</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经营地址</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pacing w:val="30"/>
                <w:szCs w:val="21"/>
              </w:rPr>
            </w:pPr>
            <w:r>
              <w:rPr>
                <w:color w:val="000000"/>
                <w:szCs w:val="21"/>
              </w:rPr>
              <w:t>税务登记证号</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单位性质</w:t>
            </w:r>
          </w:p>
        </w:tc>
        <w:tc>
          <w:tcPr>
            <w:tcW w:w="3675" w:type="dxa"/>
            <w:gridSpan w:val="3"/>
            <w:vAlign w:val="center"/>
          </w:tcPr>
          <w:p>
            <w:pPr>
              <w:pStyle w:val="50"/>
              <w:widowControl w:val="0"/>
              <w:spacing w:before="0" w:beforeAutospacing="0" w:after="0" w:afterAutospacing="0" w:line="360" w:lineRule="auto"/>
              <w:ind w:left="1320" w:firstLine="420"/>
              <w:rPr>
                <w:rFonts w:ascii="Times New Roman" w:hAnsi="Times New Roman"/>
                <w:color w:val="000000"/>
                <w:kern w:val="2"/>
                <w:sz w:val="21"/>
                <w:szCs w:val="21"/>
              </w:rPr>
            </w:pPr>
          </w:p>
        </w:tc>
        <w:tc>
          <w:tcPr>
            <w:tcW w:w="1785" w:type="dxa"/>
            <w:vAlign w:val="center"/>
          </w:tcPr>
          <w:p>
            <w:pPr>
              <w:spacing w:line="360" w:lineRule="auto"/>
              <w:jc w:val="center"/>
              <w:rPr>
                <w:color w:val="000000"/>
                <w:spacing w:val="34"/>
                <w:szCs w:val="21"/>
              </w:rPr>
            </w:pPr>
            <w:r>
              <w:rPr>
                <w:color w:val="000000"/>
                <w:spacing w:val="34"/>
                <w:szCs w:val="21"/>
              </w:rPr>
              <w:t>注册资本</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经营范围</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营业期限</w:t>
            </w:r>
          </w:p>
        </w:tc>
        <w:tc>
          <w:tcPr>
            <w:tcW w:w="2234" w:type="dxa"/>
            <w:vAlign w:val="center"/>
          </w:tcPr>
          <w:p>
            <w:pPr>
              <w:spacing w:line="360" w:lineRule="auto"/>
              <w:jc w:val="center"/>
              <w:rPr>
                <w:color w:val="000000"/>
                <w:szCs w:val="21"/>
              </w:rPr>
            </w:pPr>
            <w:r>
              <w:rPr>
                <w:color w:val="000000"/>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资质情况</w:t>
            </w:r>
          </w:p>
        </w:tc>
        <w:tc>
          <w:tcPr>
            <w:tcW w:w="7694" w:type="dxa"/>
            <w:gridSpan w:val="5"/>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员工数量</w:t>
            </w:r>
          </w:p>
        </w:tc>
        <w:tc>
          <w:tcPr>
            <w:tcW w:w="7694" w:type="dxa"/>
            <w:gridSpan w:val="5"/>
            <w:vAlign w:val="center"/>
          </w:tcPr>
          <w:p>
            <w:pPr>
              <w:spacing w:line="360" w:lineRule="auto"/>
              <w:rPr>
                <w:color w:val="000000"/>
                <w:szCs w:val="21"/>
              </w:rPr>
            </w:pPr>
            <w:r>
              <w:rPr>
                <w:color w:val="000000"/>
                <w:szCs w:val="21"/>
              </w:rPr>
              <w:t>共</w:t>
            </w:r>
            <w:r>
              <w:rPr>
                <w:color w:val="000000"/>
                <w:szCs w:val="21"/>
                <w:u w:val="single"/>
              </w:rPr>
              <w:t xml:space="preserve">  </w:t>
            </w:r>
            <w:r>
              <w:rPr>
                <w:color w:val="000000"/>
                <w:szCs w:val="21"/>
              </w:rPr>
              <w:t>人，其中，高级职称</w:t>
            </w:r>
            <w:r>
              <w:rPr>
                <w:color w:val="000000"/>
                <w:szCs w:val="21"/>
                <w:u w:val="single"/>
              </w:rPr>
              <w:t xml:space="preserve">   </w:t>
            </w:r>
            <w:r>
              <w:rPr>
                <w:color w:val="000000"/>
                <w:szCs w:val="21"/>
              </w:rPr>
              <w:t>人，中级职称</w:t>
            </w:r>
            <w:r>
              <w:rPr>
                <w:color w:val="000000"/>
                <w:szCs w:val="21"/>
                <w:u w:val="single"/>
              </w:rPr>
              <w:t xml:space="preserve">  </w:t>
            </w:r>
            <w:r>
              <w:rPr>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联系电话</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传真</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360" w:lineRule="auto"/>
              <w:jc w:val="center"/>
              <w:rPr>
                <w:color w:val="000000"/>
                <w:szCs w:val="21"/>
              </w:rPr>
            </w:pPr>
            <w:r>
              <w:rPr>
                <w:color w:val="000000"/>
                <w:szCs w:val="21"/>
              </w:rPr>
              <w:t>主要业绩</w:t>
            </w:r>
          </w:p>
        </w:tc>
        <w:tc>
          <w:tcPr>
            <w:tcW w:w="7694" w:type="dxa"/>
            <w:gridSpan w:val="5"/>
            <w:vAlign w:val="center"/>
          </w:tcPr>
          <w:p>
            <w:pPr>
              <w:spacing w:line="360" w:lineRule="auto"/>
              <w:rPr>
                <w:color w:val="000000"/>
                <w:szCs w:val="21"/>
              </w:rPr>
            </w:pPr>
          </w:p>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pPr>
              <w:spacing w:line="360" w:lineRule="auto"/>
              <w:jc w:val="center"/>
              <w:rPr>
                <w:color w:val="000000"/>
                <w:szCs w:val="21"/>
              </w:rPr>
            </w:pPr>
            <w:r>
              <w:rPr>
                <w:color w:val="000000"/>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姓  名</w:t>
            </w:r>
          </w:p>
        </w:tc>
        <w:tc>
          <w:tcPr>
            <w:tcW w:w="3675" w:type="dxa"/>
            <w:gridSpan w:val="3"/>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身份证号码</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color w:val="000000"/>
                <w:szCs w:val="21"/>
              </w:rPr>
            </w:pPr>
            <w:r>
              <w:rPr>
                <w:color w:val="000000"/>
                <w:szCs w:val="21"/>
              </w:rPr>
              <w:t>职  务</w:t>
            </w:r>
          </w:p>
        </w:tc>
        <w:tc>
          <w:tcPr>
            <w:tcW w:w="1680" w:type="dxa"/>
            <w:vAlign w:val="center"/>
          </w:tcPr>
          <w:p>
            <w:pPr>
              <w:spacing w:line="360" w:lineRule="auto"/>
              <w:jc w:val="center"/>
              <w:rPr>
                <w:color w:val="000000"/>
                <w:szCs w:val="21"/>
              </w:rPr>
            </w:pPr>
          </w:p>
        </w:tc>
        <w:tc>
          <w:tcPr>
            <w:tcW w:w="1050" w:type="dxa"/>
            <w:vAlign w:val="center"/>
          </w:tcPr>
          <w:p>
            <w:pPr>
              <w:spacing w:line="360" w:lineRule="auto"/>
              <w:jc w:val="center"/>
              <w:rPr>
                <w:color w:val="000000"/>
                <w:szCs w:val="21"/>
              </w:rPr>
            </w:pPr>
            <w:r>
              <w:rPr>
                <w:color w:val="000000"/>
                <w:szCs w:val="21"/>
              </w:rPr>
              <w:t>职称</w:t>
            </w:r>
          </w:p>
        </w:tc>
        <w:tc>
          <w:tcPr>
            <w:tcW w:w="945" w:type="dxa"/>
            <w:vAlign w:val="center"/>
          </w:tcPr>
          <w:p>
            <w:pPr>
              <w:spacing w:line="360" w:lineRule="auto"/>
              <w:jc w:val="center"/>
              <w:rPr>
                <w:color w:val="000000"/>
                <w:szCs w:val="21"/>
              </w:rPr>
            </w:pPr>
          </w:p>
        </w:tc>
        <w:tc>
          <w:tcPr>
            <w:tcW w:w="1785" w:type="dxa"/>
            <w:vAlign w:val="center"/>
          </w:tcPr>
          <w:p>
            <w:pPr>
              <w:spacing w:line="360" w:lineRule="auto"/>
              <w:jc w:val="center"/>
              <w:rPr>
                <w:color w:val="000000"/>
                <w:szCs w:val="21"/>
              </w:rPr>
            </w:pPr>
            <w:r>
              <w:rPr>
                <w:color w:val="000000"/>
                <w:szCs w:val="21"/>
              </w:rPr>
              <w:t>学    历</w:t>
            </w:r>
          </w:p>
        </w:tc>
        <w:tc>
          <w:tcPr>
            <w:tcW w:w="22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pPr>
              <w:spacing w:line="360" w:lineRule="auto"/>
              <w:rPr>
                <w:color w:val="000000"/>
                <w:szCs w:val="21"/>
              </w:rPr>
            </w:pPr>
            <w:r>
              <w:rPr>
                <w:color w:val="000000"/>
                <w:szCs w:val="21"/>
              </w:rPr>
              <w:t>备注:</w:t>
            </w:r>
          </w:p>
        </w:tc>
      </w:tr>
    </w:tbl>
    <w:p>
      <w:pPr>
        <w:spacing w:line="360" w:lineRule="auto"/>
        <w:rPr>
          <w:b/>
          <w:color w:val="000000"/>
          <w:szCs w:val="21"/>
        </w:rPr>
      </w:pPr>
      <w:r>
        <w:rPr>
          <w:color w:val="000000"/>
          <w:szCs w:val="21"/>
        </w:rPr>
        <w:t xml:space="preserve"> </w:t>
      </w:r>
      <w:r>
        <w:rPr>
          <w:rFonts w:hint="eastAsia"/>
          <w:color w:val="000000"/>
          <w:szCs w:val="21"/>
        </w:rPr>
        <w:t xml:space="preserve">  </w:t>
      </w:r>
      <w:r>
        <w:rPr>
          <w:b/>
          <w:color w:val="000000"/>
          <w:szCs w:val="21"/>
        </w:rPr>
        <w:t>兹证明上述声明是真实、正确的，并提供了全部能提供的资料和数据，我们同意遵照贵方要求出示有关证明文件。</w:t>
      </w:r>
    </w:p>
    <w:p>
      <w:pPr>
        <w:spacing w:line="360" w:lineRule="auto"/>
        <w:rPr>
          <w:b/>
          <w:color w:val="000000"/>
        </w:rPr>
      </w:pPr>
    </w:p>
    <w:p>
      <w:pPr>
        <w:spacing w:line="360" w:lineRule="auto"/>
        <w:rPr>
          <w:b/>
          <w:color w:val="000000"/>
        </w:rPr>
      </w:pPr>
    </w:p>
    <w:p>
      <w:pPr>
        <w:rPr>
          <w:color w:val="000000"/>
        </w:rPr>
      </w:pPr>
    </w:p>
    <w:p>
      <w:pPr>
        <w:pStyle w:val="9"/>
        <w:snapToGrid w:val="0"/>
        <w:spacing w:line="360" w:lineRule="auto"/>
        <w:ind w:firstLine="440"/>
        <w:rPr>
          <w:color w:val="000000"/>
          <w:sz w:val="22"/>
          <w:szCs w:val="24"/>
        </w:rPr>
      </w:pPr>
      <w:r>
        <w:rPr>
          <w:color w:val="000000"/>
          <w:sz w:val="22"/>
          <w:szCs w:val="24"/>
        </w:rPr>
        <w:t>投 标 人（盖章）：</w:t>
      </w:r>
    </w:p>
    <w:p>
      <w:pPr>
        <w:pStyle w:val="9"/>
        <w:snapToGrid w:val="0"/>
        <w:spacing w:line="360" w:lineRule="auto"/>
        <w:ind w:firstLine="440"/>
        <w:rPr>
          <w:color w:val="000000"/>
          <w:sz w:val="22"/>
          <w:szCs w:val="24"/>
        </w:rPr>
      </w:pPr>
      <w:r>
        <w:rPr>
          <w:color w:val="000000"/>
          <w:sz w:val="22"/>
          <w:szCs w:val="24"/>
        </w:rPr>
        <w:t>法定代表人或其授权代表（签字或盖章）：</w:t>
      </w:r>
    </w:p>
    <w:p>
      <w:pPr>
        <w:pStyle w:val="9"/>
        <w:widowControl/>
        <w:spacing w:line="360" w:lineRule="auto"/>
        <w:ind w:firstLine="440"/>
        <w:jc w:val="left"/>
        <w:rPr>
          <w:color w:val="000000"/>
          <w:sz w:val="22"/>
          <w:szCs w:val="24"/>
        </w:rPr>
      </w:pPr>
      <w:r>
        <w:rPr>
          <w:color w:val="000000"/>
          <w:sz w:val="22"/>
          <w:szCs w:val="24"/>
        </w:rPr>
        <w:t>日期：</w:t>
      </w:r>
    </w:p>
    <w:p>
      <w:pPr>
        <w:rPr>
          <w:color w:val="000000"/>
        </w:rPr>
      </w:pPr>
    </w:p>
    <w:p>
      <w:pPr>
        <w:rPr>
          <w:b/>
          <w:color w:val="000000"/>
        </w:rPr>
      </w:pPr>
      <w:r>
        <w:rPr>
          <w:rFonts w:ascii="宋体" w:hAnsi="宋体"/>
          <w:b/>
          <w:kern w:val="12"/>
          <w:szCs w:val="21"/>
        </w:rPr>
        <w:br w:type="page"/>
      </w:r>
      <w:r>
        <w:rPr>
          <w:b/>
          <w:color w:val="000000"/>
        </w:rPr>
        <w:t>格式</w:t>
      </w:r>
      <w:r>
        <w:rPr>
          <w:rFonts w:hint="eastAsia"/>
          <w:b/>
          <w:color w:val="000000"/>
        </w:rPr>
        <w:t>六</w:t>
      </w:r>
      <w:r>
        <w:rPr>
          <w:b/>
          <w:color w:val="000000"/>
        </w:rPr>
        <w:t>：</w:t>
      </w:r>
      <w:r>
        <w:rPr>
          <w:bCs/>
          <w:color w:val="000000"/>
          <w:szCs w:val="21"/>
        </w:rPr>
        <w:t>同类</w:t>
      </w:r>
      <w:r>
        <w:rPr>
          <w:color w:val="000000"/>
          <w:szCs w:val="21"/>
        </w:rPr>
        <w:t>项目业绩表</w:t>
      </w:r>
    </w:p>
    <w:p>
      <w:pPr>
        <w:spacing w:line="360" w:lineRule="auto"/>
        <w:rPr>
          <w:color w:val="000000"/>
          <w:u w:val="single"/>
        </w:rPr>
      </w:pPr>
    </w:p>
    <w:p>
      <w:pPr>
        <w:spacing w:before="120" w:after="120"/>
        <w:jc w:val="center"/>
        <w:rPr>
          <w:b/>
          <w:bCs/>
          <w:color w:val="000000"/>
          <w:spacing w:val="20"/>
          <w:sz w:val="24"/>
        </w:rPr>
      </w:pPr>
      <w:r>
        <w:rPr>
          <w:b/>
          <w:bCs/>
          <w:color w:val="000000"/>
          <w:spacing w:val="20"/>
          <w:sz w:val="24"/>
        </w:rPr>
        <w:t>同类项目业绩表</w:t>
      </w: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序号</w:t>
            </w:r>
          </w:p>
        </w:tc>
        <w:tc>
          <w:tcPr>
            <w:tcW w:w="1932" w:type="dxa"/>
            <w:tcBorders>
              <w:top w:val="single" w:color="auto" w:sz="4" w:space="0"/>
              <w:bottom w:val="single" w:color="auto" w:sz="4" w:space="0"/>
            </w:tcBorders>
            <w:tcMar>
              <w:left w:w="0" w:type="dxa"/>
              <w:right w:w="0" w:type="dxa"/>
            </w:tcMar>
            <w:vAlign w:val="center"/>
          </w:tcPr>
          <w:p>
            <w:pPr>
              <w:spacing w:line="0" w:lineRule="atLeast"/>
              <w:jc w:val="center"/>
              <w:rPr>
                <w:color w:val="000000"/>
                <w:szCs w:val="21"/>
              </w:rPr>
            </w:pPr>
            <w:r>
              <w:rPr>
                <w:color w:val="000000"/>
                <w:szCs w:val="21"/>
              </w:rPr>
              <w:t>项目名称</w:t>
            </w:r>
          </w:p>
        </w:tc>
        <w:tc>
          <w:tcPr>
            <w:tcW w:w="2028"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用户名称</w:t>
            </w:r>
          </w:p>
        </w:tc>
        <w:tc>
          <w:tcPr>
            <w:tcW w:w="1143"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合同金额</w:t>
            </w:r>
          </w:p>
        </w:tc>
        <w:tc>
          <w:tcPr>
            <w:tcW w:w="1260"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合同签订时间</w:t>
            </w:r>
          </w:p>
        </w:tc>
        <w:tc>
          <w:tcPr>
            <w:tcW w:w="2052" w:type="dxa"/>
            <w:tcBorders>
              <w:top w:val="single" w:color="auto" w:sz="4" w:space="0"/>
              <w:bottom w:val="single" w:color="auto" w:sz="4" w:space="0"/>
            </w:tcBorders>
            <w:tcMar>
              <w:left w:w="0" w:type="dxa"/>
              <w:right w:w="0" w:type="dxa"/>
            </w:tcMar>
            <w:vAlign w:val="center"/>
          </w:tcPr>
          <w:p>
            <w:pPr>
              <w:spacing w:line="0" w:lineRule="atLeast"/>
              <w:ind w:left="-115" w:right="-107"/>
              <w:jc w:val="center"/>
              <w:rPr>
                <w:color w:val="000000"/>
                <w:szCs w:val="21"/>
              </w:rPr>
            </w:pPr>
            <w:r>
              <w:rPr>
                <w:color w:val="000000"/>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tcMar>
              <w:left w:w="0" w:type="dxa"/>
              <w:right w:w="0" w:type="dxa"/>
            </w:tcMar>
            <w:vAlign w:val="center"/>
          </w:tcPr>
          <w:p>
            <w:pPr>
              <w:spacing w:line="0" w:lineRule="atLeast"/>
              <w:jc w:val="center"/>
              <w:rPr>
                <w:color w:val="000000"/>
                <w:szCs w:val="21"/>
              </w:rPr>
            </w:pPr>
          </w:p>
        </w:tc>
        <w:tc>
          <w:tcPr>
            <w:tcW w:w="1932" w:type="dxa"/>
            <w:tcBorders>
              <w:top w:val="single" w:color="auto" w:sz="4" w:space="0"/>
            </w:tcBorders>
            <w:tcMar>
              <w:left w:w="0" w:type="dxa"/>
              <w:right w:w="0" w:type="dxa"/>
            </w:tcMar>
            <w:vAlign w:val="center"/>
          </w:tcPr>
          <w:p>
            <w:pPr>
              <w:spacing w:line="0" w:lineRule="atLeast"/>
              <w:jc w:val="center"/>
              <w:rPr>
                <w:color w:val="000000"/>
                <w:szCs w:val="21"/>
              </w:rPr>
            </w:pPr>
          </w:p>
        </w:tc>
        <w:tc>
          <w:tcPr>
            <w:tcW w:w="2028" w:type="dxa"/>
            <w:tcBorders>
              <w:top w:val="single" w:color="auto" w:sz="4" w:space="0"/>
            </w:tcBorders>
            <w:tcMar>
              <w:left w:w="0" w:type="dxa"/>
              <w:right w:w="0" w:type="dxa"/>
            </w:tcMar>
            <w:vAlign w:val="center"/>
          </w:tcPr>
          <w:p>
            <w:pPr>
              <w:spacing w:line="0" w:lineRule="atLeast"/>
              <w:jc w:val="center"/>
              <w:rPr>
                <w:color w:val="000000"/>
                <w:szCs w:val="21"/>
              </w:rPr>
            </w:pPr>
          </w:p>
        </w:tc>
        <w:tc>
          <w:tcPr>
            <w:tcW w:w="1143" w:type="dxa"/>
            <w:tcBorders>
              <w:top w:val="single" w:color="auto" w:sz="4" w:space="0"/>
            </w:tcBorders>
            <w:tcMar>
              <w:left w:w="0" w:type="dxa"/>
              <w:right w:w="0" w:type="dxa"/>
            </w:tcMar>
            <w:vAlign w:val="center"/>
          </w:tcPr>
          <w:p>
            <w:pPr>
              <w:spacing w:line="0" w:lineRule="atLeast"/>
              <w:jc w:val="center"/>
              <w:rPr>
                <w:color w:val="000000"/>
                <w:szCs w:val="21"/>
              </w:rPr>
            </w:pPr>
          </w:p>
        </w:tc>
        <w:tc>
          <w:tcPr>
            <w:tcW w:w="1260" w:type="dxa"/>
            <w:tcBorders>
              <w:top w:val="single" w:color="auto" w:sz="4" w:space="0"/>
            </w:tcBorders>
            <w:tcMar>
              <w:left w:w="0" w:type="dxa"/>
              <w:right w:w="0" w:type="dxa"/>
            </w:tcMar>
            <w:vAlign w:val="center"/>
          </w:tcPr>
          <w:p>
            <w:pPr>
              <w:spacing w:line="0" w:lineRule="atLeast"/>
              <w:jc w:val="center"/>
              <w:rPr>
                <w:color w:val="000000"/>
                <w:szCs w:val="21"/>
              </w:rPr>
            </w:pPr>
          </w:p>
        </w:tc>
        <w:tc>
          <w:tcPr>
            <w:tcW w:w="2052" w:type="dxa"/>
            <w:tcBorders>
              <w:top w:val="single" w:color="auto" w:sz="4" w:space="0"/>
            </w:tcBorders>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color w:val="000000"/>
                <w:szCs w:val="21"/>
              </w:rPr>
            </w:pPr>
          </w:p>
        </w:tc>
        <w:tc>
          <w:tcPr>
            <w:tcW w:w="1932" w:type="dxa"/>
            <w:tcMar>
              <w:left w:w="0" w:type="dxa"/>
              <w:right w:w="0" w:type="dxa"/>
            </w:tcMar>
            <w:vAlign w:val="center"/>
          </w:tcPr>
          <w:p>
            <w:pPr>
              <w:spacing w:line="0" w:lineRule="atLeast"/>
              <w:jc w:val="center"/>
              <w:rPr>
                <w:color w:val="000000"/>
                <w:szCs w:val="21"/>
              </w:rPr>
            </w:pPr>
          </w:p>
        </w:tc>
        <w:tc>
          <w:tcPr>
            <w:tcW w:w="2028" w:type="dxa"/>
            <w:tcMar>
              <w:left w:w="0" w:type="dxa"/>
              <w:right w:w="0" w:type="dxa"/>
            </w:tcMar>
            <w:vAlign w:val="center"/>
          </w:tcPr>
          <w:p>
            <w:pPr>
              <w:spacing w:line="0" w:lineRule="atLeast"/>
              <w:jc w:val="center"/>
              <w:rPr>
                <w:color w:val="000000"/>
                <w:szCs w:val="21"/>
              </w:rPr>
            </w:pPr>
          </w:p>
        </w:tc>
        <w:tc>
          <w:tcPr>
            <w:tcW w:w="1143" w:type="dxa"/>
            <w:tcMar>
              <w:left w:w="0" w:type="dxa"/>
              <w:right w:w="0" w:type="dxa"/>
            </w:tcMar>
            <w:vAlign w:val="center"/>
          </w:tcPr>
          <w:p>
            <w:pPr>
              <w:spacing w:line="0" w:lineRule="atLeast"/>
              <w:jc w:val="center"/>
              <w:rPr>
                <w:color w:val="000000"/>
                <w:szCs w:val="21"/>
              </w:rPr>
            </w:pPr>
          </w:p>
        </w:tc>
        <w:tc>
          <w:tcPr>
            <w:tcW w:w="1260" w:type="dxa"/>
            <w:tcMar>
              <w:left w:w="0" w:type="dxa"/>
              <w:right w:w="0" w:type="dxa"/>
            </w:tcMar>
            <w:vAlign w:val="center"/>
          </w:tcPr>
          <w:p>
            <w:pPr>
              <w:spacing w:line="0" w:lineRule="atLeast"/>
              <w:jc w:val="center"/>
              <w:rPr>
                <w:color w:val="000000"/>
                <w:szCs w:val="21"/>
              </w:rPr>
            </w:pPr>
          </w:p>
        </w:tc>
        <w:tc>
          <w:tcPr>
            <w:tcW w:w="2052" w:type="dxa"/>
            <w:tcMar>
              <w:left w:w="0" w:type="dxa"/>
              <w:right w:w="0" w:type="dxa"/>
            </w:tcMar>
            <w:vAlign w:val="center"/>
          </w:tcPr>
          <w:p>
            <w:pPr>
              <w:spacing w:line="0" w:lineRule="atLeast"/>
              <w:jc w:val="center"/>
              <w:rPr>
                <w:color w:val="000000"/>
                <w:szCs w:val="21"/>
              </w:rPr>
            </w:pPr>
          </w:p>
        </w:tc>
      </w:tr>
    </w:tbl>
    <w:p>
      <w:pPr>
        <w:spacing w:line="0" w:lineRule="atLeast"/>
        <w:rPr>
          <w:color w:val="000000"/>
          <w:sz w:val="24"/>
        </w:rPr>
      </w:pPr>
    </w:p>
    <w:p>
      <w:pPr>
        <w:spacing w:line="0" w:lineRule="atLeast"/>
        <w:rPr>
          <w:color w:val="000000"/>
          <w:sz w:val="24"/>
        </w:rPr>
      </w:pPr>
    </w:p>
    <w:p>
      <w:pPr>
        <w:pStyle w:val="9"/>
        <w:snapToGrid w:val="0"/>
        <w:spacing w:line="360" w:lineRule="auto"/>
        <w:rPr>
          <w:color w:val="000000"/>
          <w:sz w:val="24"/>
          <w:szCs w:val="24"/>
        </w:rPr>
      </w:pPr>
      <w:r>
        <w:rPr>
          <w:color w:val="000000"/>
          <w:sz w:val="24"/>
          <w:szCs w:val="24"/>
        </w:rPr>
        <w:t>投标人（盖章）：</w:t>
      </w:r>
    </w:p>
    <w:p>
      <w:pPr>
        <w:pStyle w:val="9"/>
        <w:snapToGrid w:val="0"/>
        <w:spacing w:line="360" w:lineRule="auto"/>
        <w:rPr>
          <w:color w:val="000000"/>
          <w:sz w:val="24"/>
          <w:szCs w:val="24"/>
        </w:rPr>
      </w:pPr>
      <w:r>
        <w:rPr>
          <w:color w:val="000000"/>
          <w:sz w:val="24"/>
          <w:szCs w:val="24"/>
        </w:rPr>
        <w:t>法定代表人或其授权代表（签字或盖章）：</w:t>
      </w:r>
    </w:p>
    <w:p>
      <w:pPr>
        <w:pStyle w:val="9"/>
        <w:snapToGrid w:val="0"/>
        <w:spacing w:line="360" w:lineRule="auto"/>
        <w:rPr>
          <w:color w:val="000000"/>
          <w:sz w:val="24"/>
          <w:szCs w:val="24"/>
        </w:rPr>
      </w:pPr>
      <w:r>
        <w:rPr>
          <w:color w:val="000000"/>
          <w:sz w:val="24"/>
          <w:szCs w:val="24"/>
        </w:rPr>
        <w:t>日期：</w:t>
      </w:r>
    </w:p>
    <w:p>
      <w:pPr>
        <w:spacing w:line="540" w:lineRule="exact"/>
        <w:ind w:left="560"/>
        <w:rPr>
          <w:rFonts w:ascii="宋体" w:hAnsi="宋体"/>
          <w:b/>
          <w:kern w:val="12"/>
          <w:szCs w:val="21"/>
        </w:rPr>
      </w:pPr>
    </w:p>
    <w:p>
      <w:pPr>
        <w:spacing w:line="360" w:lineRule="auto"/>
        <w:ind w:firstLine="103" w:firstLineChars="49"/>
        <w:rPr>
          <w:b/>
          <w:color w:val="000000"/>
          <w:szCs w:val="21"/>
        </w:rPr>
      </w:pPr>
    </w:p>
    <w:p>
      <w:pPr>
        <w:snapToGrid w:val="0"/>
        <w:spacing w:line="360" w:lineRule="auto"/>
        <w:rPr>
          <w:color w:val="000000"/>
          <w:szCs w:val="21"/>
        </w:rPr>
      </w:pPr>
    </w:p>
    <w:p>
      <w:pPr>
        <w:spacing w:line="360" w:lineRule="auto"/>
        <w:rPr>
          <w:color w:val="000000"/>
          <w:sz w:val="24"/>
          <w:szCs w:val="21"/>
        </w:rPr>
        <w:sectPr>
          <w:headerReference r:id="rId12" w:type="default"/>
          <w:footerReference r:id="rId13" w:type="default"/>
          <w:pgSz w:w="11907" w:h="16840"/>
          <w:pgMar w:top="1276" w:right="1474" w:bottom="1242" w:left="1474" w:header="720" w:footer="720" w:gutter="0"/>
          <w:cols w:space="720" w:num="1"/>
          <w:docGrid w:linePitch="285" w:charSpace="0"/>
        </w:sectPr>
      </w:pPr>
    </w:p>
    <w:p>
      <w:pPr>
        <w:spacing w:line="360" w:lineRule="auto"/>
        <w:jc w:val="left"/>
        <w:rPr>
          <w:b/>
          <w:color w:val="000000"/>
          <w:sz w:val="24"/>
          <w:szCs w:val="21"/>
        </w:rPr>
      </w:pPr>
      <w:bookmarkStart w:id="39" w:name="_Toc460857952"/>
      <w:r>
        <w:rPr>
          <w:b/>
          <w:color w:val="000000"/>
        </w:rPr>
        <w:t>格式</w:t>
      </w:r>
      <w:bookmarkEnd w:id="39"/>
      <w:r>
        <w:rPr>
          <w:rFonts w:hint="eastAsia"/>
          <w:b/>
          <w:color w:val="000000"/>
        </w:rPr>
        <w:t>七</w:t>
      </w:r>
      <w:r>
        <w:rPr>
          <w:b/>
          <w:color w:val="000000"/>
        </w:rPr>
        <w:t>：</w:t>
      </w:r>
      <w:r>
        <w:rPr>
          <w:color w:val="000000"/>
          <w:szCs w:val="21"/>
        </w:rPr>
        <w:t>商务条款偏离表</w:t>
      </w:r>
    </w:p>
    <w:p>
      <w:pPr>
        <w:spacing w:line="360" w:lineRule="auto"/>
        <w:jc w:val="center"/>
        <w:rPr>
          <w:b/>
          <w:color w:val="000000"/>
          <w:sz w:val="24"/>
          <w:szCs w:val="21"/>
        </w:rPr>
      </w:pPr>
      <w:r>
        <w:rPr>
          <w:b/>
          <w:color w:val="000000"/>
          <w:sz w:val="24"/>
          <w:szCs w:val="21"/>
        </w:rPr>
        <w:t>商务条款偏离表</w:t>
      </w:r>
    </w:p>
    <w:p>
      <w:pPr>
        <w:spacing w:line="360" w:lineRule="auto"/>
        <w:jc w:val="left"/>
        <w:rPr>
          <w:b/>
          <w:color w:val="000000"/>
          <w:sz w:val="24"/>
          <w:szCs w:val="21"/>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tbl>
      <w:tblPr>
        <w:tblStyle w:val="24"/>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3"/>
        <w:gridCol w:w="1483"/>
        <w:gridCol w:w="5264"/>
        <w:gridCol w:w="18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643" w:type="dxa"/>
            <w:vAlign w:val="center"/>
          </w:tcPr>
          <w:p>
            <w:pPr>
              <w:pStyle w:val="11"/>
              <w:jc w:val="center"/>
              <w:rPr>
                <w:rFonts w:ascii="Arial" w:hAnsi="Arial"/>
                <w:sz w:val="21"/>
              </w:rPr>
            </w:pPr>
            <w:r>
              <w:rPr>
                <w:rFonts w:hint="eastAsia" w:ascii="Arial" w:hAnsi="Arial"/>
                <w:sz w:val="21"/>
              </w:rPr>
              <w:t>序号</w:t>
            </w:r>
          </w:p>
        </w:tc>
        <w:tc>
          <w:tcPr>
            <w:tcW w:w="1483" w:type="dxa"/>
            <w:vAlign w:val="center"/>
          </w:tcPr>
          <w:p>
            <w:pPr>
              <w:pStyle w:val="11"/>
              <w:jc w:val="center"/>
              <w:rPr>
                <w:rFonts w:ascii="Arial" w:hAnsi="Arial"/>
                <w:sz w:val="21"/>
              </w:rPr>
            </w:pPr>
            <w:r>
              <w:rPr>
                <w:rFonts w:hint="eastAsia" w:ascii="Arial" w:hAnsi="Arial"/>
                <w:sz w:val="21"/>
              </w:rPr>
              <w:t>采购文件的商务条款</w:t>
            </w:r>
          </w:p>
        </w:tc>
        <w:tc>
          <w:tcPr>
            <w:tcW w:w="5264" w:type="dxa"/>
            <w:vAlign w:val="center"/>
          </w:tcPr>
          <w:p>
            <w:pPr>
              <w:pStyle w:val="11"/>
              <w:jc w:val="center"/>
              <w:rPr>
                <w:rFonts w:ascii="Arial" w:hAnsi="Arial"/>
                <w:sz w:val="21"/>
              </w:rPr>
            </w:pPr>
            <w:r>
              <w:rPr>
                <w:rFonts w:hint="eastAsia" w:ascii="Arial" w:hAnsi="Arial"/>
                <w:sz w:val="21"/>
              </w:rPr>
              <w:t>投标文件的商务条款</w:t>
            </w:r>
          </w:p>
        </w:tc>
        <w:tc>
          <w:tcPr>
            <w:tcW w:w="1823" w:type="dxa"/>
            <w:vAlign w:val="center"/>
          </w:tcPr>
          <w:p>
            <w:pPr>
              <w:pStyle w:val="11"/>
              <w:jc w:val="center"/>
              <w:rPr>
                <w:rFonts w:ascii="Arial" w:hAnsi="Arial"/>
                <w:sz w:val="21"/>
              </w:rPr>
            </w:pPr>
            <w:r>
              <w:rPr>
                <w:rFonts w:hint="eastAsia" w:ascii="Arial" w:hAnsi="Arial"/>
                <w:sz w:val="21"/>
              </w:rPr>
              <w:t>说明（填写：正偏离/负偏离/响应）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3" w:hRule="atLeast"/>
        </w:trPr>
        <w:tc>
          <w:tcPr>
            <w:tcW w:w="643" w:type="dxa"/>
            <w:vAlign w:val="center"/>
          </w:tcPr>
          <w:p>
            <w:pPr>
              <w:pStyle w:val="11"/>
              <w:snapToGrid w:val="0"/>
              <w:spacing w:before="120" w:after="120" w:line="0" w:lineRule="atLeast"/>
              <w:jc w:val="center"/>
              <w:rPr>
                <w:kern w:val="2"/>
                <w:sz w:val="21"/>
                <w:szCs w:val="21"/>
              </w:rPr>
            </w:pPr>
            <w:r>
              <w:rPr>
                <w:rFonts w:hint="eastAsia"/>
                <w:kern w:val="2"/>
                <w:sz w:val="21"/>
                <w:szCs w:val="21"/>
              </w:rPr>
              <w:t>1</w:t>
            </w:r>
          </w:p>
        </w:tc>
        <w:tc>
          <w:tcPr>
            <w:tcW w:w="1483" w:type="dxa"/>
            <w:vAlign w:val="center"/>
          </w:tcPr>
          <w:p>
            <w:pPr>
              <w:spacing w:line="0" w:lineRule="atLeast"/>
              <w:jc w:val="center"/>
              <w:rPr>
                <w:rFonts w:ascii="宋体" w:hAnsi="宋体"/>
                <w:sz w:val="22"/>
                <w:szCs w:val="21"/>
              </w:rPr>
            </w:pPr>
            <w:r>
              <w:rPr>
                <w:rFonts w:hint="eastAsia" w:ascii="宋体" w:hAnsi="宋体"/>
                <w:szCs w:val="21"/>
              </w:rPr>
              <w:t>合同履行期限</w:t>
            </w:r>
            <w:r>
              <w:rPr>
                <w:rFonts w:hint="eastAsia" w:ascii="宋体" w:hAnsi="宋体"/>
                <w:sz w:val="22"/>
                <w:szCs w:val="21"/>
              </w:rPr>
              <w:t>及地点</w:t>
            </w:r>
          </w:p>
        </w:tc>
        <w:tc>
          <w:tcPr>
            <w:tcW w:w="5264" w:type="dxa"/>
            <w:vAlign w:val="center"/>
          </w:tcPr>
          <w:p>
            <w:pPr>
              <w:spacing w:line="400" w:lineRule="exact"/>
              <w:rPr>
                <w:rFonts w:ascii="宋体" w:hAnsi="宋体"/>
                <w:szCs w:val="21"/>
              </w:rPr>
            </w:pPr>
          </w:p>
        </w:tc>
        <w:tc>
          <w:tcPr>
            <w:tcW w:w="1823" w:type="dxa"/>
          </w:tcPr>
          <w:p>
            <w:pPr>
              <w:pStyle w:val="11"/>
              <w:snapToGrid w:val="0"/>
              <w:spacing w:before="120" w:after="120"/>
              <w:rPr>
                <w:rFonts w:ascii="Arial" w:hAnsi="Arial"/>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4" w:hRule="atLeast"/>
        </w:trPr>
        <w:tc>
          <w:tcPr>
            <w:tcW w:w="643" w:type="dxa"/>
            <w:vAlign w:val="center"/>
          </w:tcPr>
          <w:p>
            <w:pPr>
              <w:pStyle w:val="11"/>
              <w:snapToGrid w:val="0"/>
              <w:spacing w:before="120" w:after="120" w:line="0" w:lineRule="atLeast"/>
              <w:jc w:val="center"/>
              <w:rPr>
                <w:kern w:val="2"/>
                <w:sz w:val="21"/>
                <w:szCs w:val="21"/>
              </w:rPr>
            </w:pPr>
            <w:r>
              <w:rPr>
                <w:rFonts w:hint="eastAsia"/>
                <w:kern w:val="2"/>
                <w:sz w:val="21"/>
                <w:szCs w:val="21"/>
              </w:rPr>
              <w:t>2</w:t>
            </w:r>
          </w:p>
        </w:tc>
        <w:tc>
          <w:tcPr>
            <w:tcW w:w="1483" w:type="dxa"/>
            <w:vAlign w:val="center"/>
          </w:tcPr>
          <w:p>
            <w:pPr>
              <w:spacing w:line="0" w:lineRule="atLeast"/>
              <w:jc w:val="center"/>
              <w:rPr>
                <w:rFonts w:ascii="宋体" w:hAnsi="宋体"/>
                <w:sz w:val="22"/>
                <w:szCs w:val="21"/>
              </w:rPr>
            </w:pPr>
            <w:r>
              <w:rPr>
                <w:rFonts w:hint="eastAsia" w:ascii="宋体" w:hAnsi="宋体"/>
                <w:sz w:val="22"/>
                <w:szCs w:val="21"/>
              </w:rPr>
              <w:t>付款方式</w:t>
            </w:r>
          </w:p>
        </w:tc>
        <w:tc>
          <w:tcPr>
            <w:tcW w:w="5264" w:type="dxa"/>
            <w:vAlign w:val="center"/>
          </w:tcPr>
          <w:p>
            <w:pPr>
              <w:spacing w:line="400" w:lineRule="exact"/>
              <w:rPr>
                <w:rFonts w:ascii="宋体" w:hAnsi="宋体"/>
                <w:szCs w:val="21"/>
              </w:rPr>
            </w:pPr>
          </w:p>
        </w:tc>
        <w:tc>
          <w:tcPr>
            <w:tcW w:w="1823" w:type="dxa"/>
          </w:tcPr>
          <w:p>
            <w:pPr>
              <w:pStyle w:val="11"/>
              <w:snapToGrid w:val="0"/>
              <w:spacing w:before="120" w:after="120"/>
              <w:rPr>
                <w:rFonts w:ascii="Arial" w:hAnsi="Arial"/>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643" w:type="dxa"/>
            <w:vAlign w:val="center"/>
          </w:tcPr>
          <w:p>
            <w:pPr>
              <w:pStyle w:val="11"/>
              <w:snapToGrid w:val="0"/>
              <w:spacing w:before="120" w:after="120" w:line="0" w:lineRule="atLeast"/>
              <w:jc w:val="center"/>
              <w:rPr>
                <w:kern w:val="2"/>
                <w:sz w:val="21"/>
                <w:szCs w:val="21"/>
              </w:rPr>
            </w:pPr>
            <w:r>
              <w:rPr>
                <w:rFonts w:hint="eastAsia"/>
                <w:kern w:val="2"/>
                <w:sz w:val="21"/>
                <w:szCs w:val="21"/>
              </w:rPr>
              <w:t>3</w:t>
            </w:r>
          </w:p>
        </w:tc>
        <w:tc>
          <w:tcPr>
            <w:tcW w:w="1483" w:type="dxa"/>
            <w:vAlign w:val="center"/>
          </w:tcPr>
          <w:p>
            <w:pPr>
              <w:spacing w:line="0" w:lineRule="atLeast"/>
              <w:jc w:val="center"/>
              <w:rPr>
                <w:rFonts w:ascii="宋体" w:hAnsi="宋体"/>
                <w:sz w:val="22"/>
                <w:szCs w:val="21"/>
              </w:rPr>
            </w:pPr>
            <w:r>
              <w:rPr>
                <w:rFonts w:hint="eastAsia" w:ascii="宋体" w:hAnsi="宋体"/>
                <w:sz w:val="22"/>
                <w:szCs w:val="21"/>
              </w:rPr>
              <w:t>签订合同时间</w:t>
            </w:r>
          </w:p>
        </w:tc>
        <w:tc>
          <w:tcPr>
            <w:tcW w:w="5264" w:type="dxa"/>
            <w:vAlign w:val="center"/>
          </w:tcPr>
          <w:p>
            <w:pPr>
              <w:spacing w:line="0" w:lineRule="atLeast"/>
              <w:rPr>
                <w:rFonts w:ascii="宋体" w:hAnsi="宋体"/>
                <w:sz w:val="22"/>
                <w:szCs w:val="21"/>
              </w:rPr>
            </w:pPr>
          </w:p>
        </w:tc>
        <w:tc>
          <w:tcPr>
            <w:tcW w:w="1823" w:type="dxa"/>
          </w:tcPr>
          <w:p>
            <w:pPr>
              <w:pStyle w:val="11"/>
              <w:snapToGrid w:val="0"/>
              <w:spacing w:before="120" w:after="120"/>
              <w:rPr>
                <w:rFonts w:ascii="Arial" w:hAnsi="Arial"/>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643" w:type="dxa"/>
            <w:vAlign w:val="center"/>
          </w:tcPr>
          <w:p>
            <w:pPr>
              <w:pStyle w:val="11"/>
              <w:snapToGrid w:val="0"/>
              <w:spacing w:before="120" w:after="120" w:line="0" w:lineRule="atLeast"/>
              <w:jc w:val="center"/>
              <w:rPr>
                <w:kern w:val="2"/>
                <w:sz w:val="21"/>
                <w:szCs w:val="21"/>
              </w:rPr>
            </w:pPr>
            <w:r>
              <w:rPr>
                <w:rFonts w:hint="eastAsia"/>
                <w:kern w:val="2"/>
                <w:sz w:val="21"/>
                <w:szCs w:val="21"/>
              </w:rPr>
              <w:t>4</w:t>
            </w:r>
          </w:p>
        </w:tc>
        <w:tc>
          <w:tcPr>
            <w:tcW w:w="1483" w:type="dxa"/>
            <w:vAlign w:val="center"/>
          </w:tcPr>
          <w:p>
            <w:pPr>
              <w:spacing w:line="0" w:lineRule="atLeast"/>
              <w:jc w:val="center"/>
              <w:rPr>
                <w:rFonts w:ascii="宋体" w:hAnsi="宋体"/>
                <w:sz w:val="22"/>
                <w:szCs w:val="21"/>
              </w:rPr>
            </w:pPr>
            <w:r>
              <w:rPr>
                <w:color w:val="000000"/>
                <w:sz w:val="22"/>
                <w:szCs w:val="21"/>
              </w:rPr>
              <w:t>履约保证金</w:t>
            </w:r>
          </w:p>
        </w:tc>
        <w:tc>
          <w:tcPr>
            <w:tcW w:w="5264" w:type="dxa"/>
            <w:vAlign w:val="center"/>
          </w:tcPr>
          <w:p>
            <w:pPr>
              <w:spacing w:line="0" w:lineRule="atLeast"/>
              <w:rPr>
                <w:rFonts w:ascii="Arial" w:hAnsi="Arial"/>
                <w:bCs/>
                <w:sz w:val="22"/>
                <w:szCs w:val="21"/>
              </w:rPr>
            </w:pPr>
          </w:p>
        </w:tc>
        <w:tc>
          <w:tcPr>
            <w:tcW w:w="1823" w:type="dxa"/>
          </w:tcPr>
          <w:p>
            <w:pPr>
              <w:pStyle w:val="11"/>
              <w:snapToGrid w:val="0"/>
              <w:spacing w:before="120" w:after="120"/>
              <w:rPr>
                <w:rFonts w:ascii="Arial" w:hAnsi="Arial"/>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643" w:type="dxa"/>
            <w:vAlign w:val="center"/>
          </w:tcPr>
          <w:p>
            <w:pPr>
              <w:pStyle w:val="11"/>
              <w:snapToGrid w:val="0"/>
              <w:spacing w:before="120" w:after="120" w:line="0" w:lineRule="atLeast"/>
              <w:jc w:val="center"/>
              <w:rPr>
                <w:kern w:val="2"/>
                <w:sz w:val="21"/>
                <w:szCs w:val="21"/>
              </w:rPr>
            </w:pPr>
            <w:r>
              <w:rPr>
                <w:rFonts w:hint="eastAsia"/>
                <w:kern w:val="2"/>
                <w:sz w:val="21"/>
                <w:szCs w:val="21"/>
              </w:rPr>
              <w:t>5</w:t>
            </w:r>
          </w:p>
        </w:tc>
        <w:tc>
          <w:tcPr>
            <w:tcW w:w="1483" w:type="dxa"/>
            <w:vAlign w:val="center"/>
          </w:tcPr>
          <w:p>
            <w:pPr>
              <w:spacing w:line="0" w:lineRule="atLeast"/>
              <w:jc w:val="center"/>
              <w:rPr>
                <w:rFonts w:ascii="宋体" w:hAnsi="宋体"/>
                <w:sz w:val="22"/>
                <w:szCs w:val="21"/>
              </w:rPr>
            </w:pPr>
            <w:r>
              <w:rPr>
                <w:rFonts w:hint="eastAsia" w:ascii="宋体" w:hAnsi="宋体"/>
                <w:sz w:val="22"/>
                <w:szCs w:val="21"/>
              </w:rPr>
              <w:t>投标文件有效期</w:t>
            </w:r>
          </w:p>
        </w:tc>
        <w:tc>
          <w:tcPr>
            <w:tcW w:w="5264" w:type="dxa"/>
            <w:vAlign w:val="center"/>
          </w:tcPr>
          <w:p>
            <w:pPr>
              <w:spacing w:line="0" w:lineRule="atLeast"/>
              <w:rPr>
                <w:rFonts w:ascii="宋体" w:hAnsi="宋体"/>
                <w:sz w:val="22"/>
                <w:szCs w:val="21"/>
              </w:rPr>
            </w:pPr>
          </w:p>
        </w:tc>
        <w:tc>
          <w:tcPr>
            <w:tcW w:w="1823" w:type="dxa"/>
          </w:tcPr>
          <w:p>
            <w:pPr>
              <w:pStyle w:val="11"/>
              <w:snapToGrid w:val="0"/>
              <w:spacing w:before="120" w:after="120"/>
              <w:rPr>
                <w:rFonts w:ascii="Arial" w:hAnsi="Arial"/>
                <w:u w:val="single"/>
              </w:rPr>
            </w:pPr>
          </w:p>
        </w:tc>
      </w:tr>
    </w:tbl>
    <w:p>
      <w:pPr>
        <w:pStyle w:val="9"/>
        <w:snapToGrid w:val="0"/>
        <w:spacing w:before="120" w:beforeLines="50" w:line="360" w:lineRule="auto"/>
        <w:ind w:firstLine="440"/>
        <w:rPr>
          <w:color w:val="000000"/>
          <w:sz w:val="22"/>
          <w:szCs w:val="24"/>
        </w:rPr>
      </w:pPr>
      <w:r>
        <w:rPr>
          <w:color w:val="000000"/>
          <w:sz w:val="22"/>
          <w:szCs w:val="24"/>
        </w:rPr>
        <w:t>投 标 人（盖章）：</w:t>
      </w:r>
    </w:p>
    <w:p>
      <w:pPr>
        <w:pStyle w:val="9"/>
        <w:snapToGrid w:val="0"/>
        <w:spacing w:before="120" w:beforeLines="50" w:line="360" w:lineRule="auto"/>
        <w:ind w:firstLine="440"/>
        <w:rPr>
          <w:color w:val="000000"/>
          <w:sz w:val="22"/>
          <w:szCs w:val="24"/>
        </w:rPr>
      </w:pPr>
      <w:r>
        <w:rPr>
          <w:color w:val="000000"/>
          <w:sz w:val="22"/>
          <w:szCs w:val="24"/>
        </w:rPr>
        <w:t>法定代表人或其授权代表（签字或盖章）：</w:t>
      </w:r>
    </w:p>
    <w:p>
      <w:pPr>
        <w:pStyle w:val="9"/>
        <w:widowControl/>
        <w:spacing w:before="120" w:beforeLines="50" w:line="360" w:lineRule="auto"/>
        <w:ind w:firstLine="440"/>
        <w:jc w:val="left"/>
        <w:rPr>
          <w:color w:val="000000"/>
          <w:sz w:val="22"/>
          <w:szCs w:val="24"/>
        </w:rPr>
      </w:pPr>
      <w:r>
        <w:rPr>
          <w:color w:val="000000"/>
          <w:sz w:val="22"/>
          <w:szCs w:val="24"/>
        </w:rPr>
        <w:t>日期：</w:t>
      </w:r>
    </w:p>
    <w:p>
      <w:pPr>
        <w:spacing w:line="360" w:lineRule="auto"/>
        <w:jc w:val="left"/>
        <w:rPr>
          <w:b/>
          <w:color w:val="000000"/>
          <w:sz w:val="24"/>
          <w:szCs w:val="21"/>
        </w:rPr>
      </w:pPr>
      <w:r>
        <w:rPr>
          <w:color w:val="000000"/>
          <w:sz w:val="24"/>
        </w:rPr>
        <w:br w:type="page"/>
      </w:r>
      <w:r>
        <w:rPr>
          <w:b/>
          <w:color w:val="000000"/>
        </w:rPr>
        <w:t>格式</w:t>
      </w:r>
      <w:r>
        <w:rPr>
          <w:rFonts w:hint="eastAsia"/>
          <w:b/>
          <w:color w:val="000000"/>
        </w:rPr>
        <w:t>八</w:t>
      </w:r>
      <w:r>
        <w:rPr>
          <w:b/>
          <w:color w:val="000000"/>
        </w:rPr>
        <w:t>：</w:t>
      </w:r>
      <w:r>
        <w:rPr>
          <w:rFonts w:hint="eastAsia"/>
          <w:color w:val="000000"/>
          <w:szCs w:val="21"/>
        </w:rPr>
        <w:t>技术</w:t>
      </w:r>
      <w:r>
        <w:rPr>
          <w:color w:val="000000"/>
          <w:szCs w:val="21"/>
        </w:rPr>
        <w:t>条款偏离表</w:t>
      </w:r>
    </w:p>
    <w:p>
      <w:pPr>
        <w:snapToGrid w:val="0"/>
        <w:spacing w:line="360" w:lineRule="auto"/>
        <w:jc w:val="center"/>
        <w:rPr>
          <w:b/>
          <w:color w:val="000000"/>
          <w:sz w:val="24"/>
          <w:szCs w:val="21"/>
        </w:rPr>
      </w:pPr>
    </w:p>
    <w:p>
      <w:pPr>
        <w:widowControl/>
        <w:adjustRightInd w:val="0"/>
        <w:spacing w:line="360" w:lineRule="auto"/>
        <w:jc w:val="center"/>
        <w:rPr>
          <w:rFonts w:ascii="宋体" w:hAnsi="宋体"/>
          <w:b/>
          <w:sz w:val="24"/>
        </w:rPr>
      </w:pPr>
      <w:r>
        <w:rPr>
          <w:rFonts w:hint="eastAsia" w:ascii="宋体" w:hAnsi="宋体"/>
          <w:b/>
          <w:sz w:val="24"/>
        </w:rPr>
        <w:t>技术</w:t>
      </w:r>
      <w:r>
        <w:rPr>
          <w:rFonts w:ascii="宋体" w:hAnsi="宋体"/>
          <w:b/>
          <w:sz w:val="24"/>
        </w:rPr>
        <w:t>条款偏离表</w:t>
      </w:r>
    </w:p>
    <w:p>
      <w:pPr>
        <w:widowControl/>
        <w:adjustRightInd w:val="0"/>
        <w:spacing w:line="360" w:lineRule="auto"/>
        <w:jc w:val="left"/>
        <w:rPr>
          <w:rFonts w:ascii="宋体" w:hAnsi="宋体"/>
          <w:b/>
          <w:sz w:val="24"/>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58"/>
        <w:gridCol w:w="3217"/>
        <w:gridCol w:w="3296"/>
        <w:gridCol w:w="1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bCs/>
                <w:szCs w:val="21"/>
              </w:rPr>
            </w:pPr>
            <w:r>
              <w:rPr>
                <w:rFonts w:hint="eastAsia" w:ascii="Arial" w:hAnsi="Arial"/>
                <w:bCs/>
                <w:szCs w:val="21"/>
              </w:rPr>
              <w:t>序号</w:t>
            </w:r>
          </w:p>
        </w:tc>
        <w:tc>
          <w:tcPr>
            <w:tcW w:w="3217" w:type="dxa"/>
            <w:vAlign w:val="center"/>
          </w:tcPr>
          <w:p>
            <w:pPr>
              <w:autoSpaceDN w:val="0"/>
              <w:spacing w:line="400" w:lineRule="exact"/>
              <w:jc w:val="center"/>
              <w:rPr>
                <w:rFonts w:ascii="Arial" w:hAnsi="Arial"/>
                <w:bCs/>
                <w:szCs w:val="21"/>
              </w:rPr>
            </w:pPr>
            <w:r>
              <w:rPr>
                <w:rFonts w:hint="eastAsia" w:ascii="Arial" w:hAnsi="Arial"/>
                <w:bCs/>
                <w:szCs w:val="21"/>
              </w:rPr>
              <w:t>招标要求</w:t>
            </w:r>
          </w:p>
        </w:tc>
        <w:tc>
          <w:tcPr>
            <w:tcW w:w="3296" w:type="dxa"/>
            <w:vAlign w:val="center"/>
          </w:tcPr>
          <w:p>
            <w:pPr>
              <w:autoSpaceDN w:val="0"/>
              <w:spacing w:line="400" w:lineRule="exact"/>
              <w:jc w:val="center"/>
              <w:rPr>
                <w:rFonts w:ascii="Arial" w:hAnsi="Arial"/>
                <w:bCs/>
                <w:szCs w:val="21"/>
              </w:rPr>
            </w:pPr>
            <w:r>
              <w:rPr>
                <w:rFonts w:hint="eastAsia" w:ascii="Arial" w:hAnsi="Arial"/>
                <w:bCs/>
                <w:szCs w:val="21"/>
              </w:rPr>
              <w:t>投标响应</w:t>
            </w:r>
          </w:p>
        </w:tc>
        <w:tc>
          <w:tcPr>
            <w:tcW w:w="1275" w:type="dxa"/>
            <w:vAlign w:val="center"/>
          </w:tcPr>
          <w:p>
            <w:pPr>
              <w:autoSpaceDN w:val="0"/>
              <w:spacing w:line="400" w:lineRule="exact"/>
              <w:jc w:val="center"/>
              <w:rPr>
                <w:rFonts w:ascii="Arial" w:hAnsi="Arial"/>
                <w:bCs/>
                <w:szCs w:val="21"/>
              </w:rPr>
            </w:pPr>
            <w:r>
              <w:rPr>
                <w:rFonts w:hint="eastAsia" w:ascii="Arial" w:hAnsi="Arial"/>
                <w:bCs/>
                <w:szCs w:val="2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pPr>
              <w:autoSpaceDN w:val="0"/>
              <w:spacing w:line="400" w:lineRule="exact"/>
              <w:jc w:val="center"/>
              <w:rPr>
                <w:rFonts w:ascii="Arial" w:hAnsi="Arial"/>
                <w:szCs w:val="21"/>
              </w:rPr>
            </w:pPr>
          </w:p>
        </w:tc>
        <w:tc>
          <w:tcPr>
            <w:tcW w:w="3217" w:type="dxa"/>
            <w:vAlign w:val="center"/>
          </w:tcPr>
          <w:p>
            <w:pPr>
              <w:autoSpaceDN w:val="0"/>
              <w:spacing w:line="400" w:lineRule="exact"/>
              <w:jc w:val="center"/>
              <w:rPr>
                <w:rFonts w:ascii="Arial" w:hAnsi="Arial"/>
                <w:szCs w:val="21"/>
              </w:rPr>
            </w:pPr>
          </w:p>
        </w:tc>
        <w:tc>
          <w:tcPr>
            <w:tcW w:w="3296" w:type="dxa"/>
            <w:vAlign w:val="center"/>
          </w:tcPr>
          <w:p>
            <w:pPr>
              <w:autoSpaceDN w:val="0"/>
              <w:spacing w:line="400" w:lineRule="exact"/>
              <w:jc w:val="center"/>
              <w:rPr>
                <w:rFonts w:ascii="Arial" w:hAnsi="Arial"/>
                <w:szCs w:val="21"/>
              </w:rPr>
            </w:pPr>
          </w:p>
        </w:tc>
        <w:tc>
          <w:tcPr>
            <w:tcW w:w="1275" w:type="dxa"/>
            <w:vAlign w:val="center"/>
          </w:tcPr>
          <w:p>
            <w:pPr>
              <w:autoSpaceDN w:val="0"/>
              <w:spacing w:line="400" w:lineRule="exact"/>
              <w:jc w:val="center"/>
              <w:rPr>
                <w:rFonts w:ascii="Arial" w:hAnsi="Arial"/>
                <w:szCs w:val="21"/>
              </w:rPr>
            </w:pPr>
          </w:p>
        </w:tc>
      </w:tr>
    </w:tbl>
    <w:p>
      <w:pPr>
        <w:pStyle w:val="9"/>
        <w:widowControl/>
        <w:spacing w:before="120" w:beforeLines="50" w:line="360" w:lineRule="auto"/>
        <w:ind w:firstLine="420"/>
        <w:jc w:val="left"/>
        <w:rPr>
          <w:rFonts w:ascii="Arial" w:hAnsi="Arial"/>
          <w:sz w:val="21"/>
        </w:rPr>
      </w:pPr>
      <w:r>
        <w:rPr>
          <w:rFonts w:hint="eastAsia" w:ascii="Arial" w:hAnsi="Arial"/>
          <w:sz w:val="21"/>
        </w:rPr>
        <w:t xml:space="preserve">注：由投标人根据第二章 </w:t>
      </w:r>
      <w:r>
        <w:rPr>
          <w:rFonts w:hint="eastAsia" w:ascii="Arial" w:hAnsi="Arial"/>
          <w:b/>
          <w:sz w:val="21"/>
        </w:rPr>
        <w:t>招标需求</w:t>
      </w:r>
      <w:r>
        <w:rPr>
          <w:rFonts w:hint="eastAsia" w:ascii="Arial" w:hAnsi="Arial"/>
          <w:sz w:val="21"/>
        </w:rPr>
        <w:t>进行响应，若均满足招标需求，请填写“招标需求均无偏离”。</w:t>
      </w:r>
    </w:p>
    <w:p>
      <w:pPr>
        <w:snapToGrid w:val="0"/>
        <w:spacing w:line="360" w:lineRule="auto"/>
        <w:jc w:val="center"/>
        <w:rPr>
          <w:b/>
          <w:bCs/>
          <w:color w:val="000000"/>
          <w:sz w:val="24"/>
          <w:szCs w:val="21"/>
        </w:rPr>
      </w:pPr>
    </w:p>
    <w:p>
      <w:pPr>
        <w:snapToGrid w:val="0"/>
        <w:spacing w:line="360" w:lineRule="auto"/>
        <w:jc w:val="center"/>
        <w:rPr>
          <w:b/>
          <w:bCs/>
          <w:color w:val="000000"/>
          <w:sz w:val="24"/>
          <w:szCs w:val="21"/>
        </w:rPr>
      </w:pPr>
    </w:p>
    <w:p>
      <w:pPr>
        <w:pStyle w:val="9"/>
        <w:snapToGrid w:val="0"/>
        <w:spacing w:line="360" w:lineRule="auto"/>
        <w:ind w:firstLine="440"/>
        <w:rPr>
          <w:color w:val="000000"/>
          <w:sz w:val="22"/>
          <w:szCs w:val="24"/>
        </w:rPr>
      </w:pPr>
      <w:r>
        <w:rPr>
          <w:color w:val="000000"/>
          <w:sz w:val="22"/>
          <w:szCs w:val="24"/>
        </w:rPr>
        <w:t>投 标 人（盖章）：</w:t>
      </w:r>
    </w:p>
    <w:p>
      <w:pPr>
        <w:pStyle w:val="9"/>
        <w:snapToGrid w:val="0"/>
        <w:spacing w:line="360" w:lineRule="auto"/>
        <w:ind w:firstLine="440"/>
        <w:rPr>
          <w:color w:val="000000"/>
          <w:sz w:val="22"/>
          <w:szCs w:val="24"/>
        </w:rPr>
      </w:pPr>
      <w:r>
        <w:rPr>
          <w:color w:val="000000"/>
          <w:sz w:val="22"/>
          <w:szCs w:val="24"/>
        </w:rPr>
        <w:t>法定代表人或其授权代表（签字或盖章）：</w:t>
      </w:r>
    </w:p>
    <w:p>
      <w:pPr>
        <w:pStyle w:val="9"/>
        <w:widowControl/>
        <w:spacing w:line="360" w:lineRule="auto"/>
        <w:ind w:firstLine="440"/>
        <w:jc w:val="left"/>
        <w:rPr>
          <w:color w:val="000000"/>
          <w:sz w:val="22"/>
          <w:szCs w:val="24"/>
        </w:rPr>
      </w:pPr>
      <w:r>
        <w:rPr>
          <w:color w:val="000000"/>
          <w:sz w:val="22"/>
          <w:szCs w:val="24"/>
        </w:rPr>
        <w:t>日期：</w:t>
      </w:r>
    </w:p>
    <w:p>
      <w:pPr>
        <w:spacing w:before="120" w:after="120"/>
        <w:jc w:val="left"/>
        <w:rPr>
          <w:color w:val="000000"/>
          <w:sz w:val="24"/>
        </w:rPr>
      </w:pPr>
      <w:r>
        <w:rPr>
          <w:color w:val="000000"/>
          <w:sz w:val="24"/>
        </w:rPr>
        <w:br w:type="page"/>
      </w:r>
      <w:r>
        <w:rPr>
          <w:b/>
          <w:color w:val="000000"/>
        </w:rPr>
        <w:t>格式</w:t>
      </w:r>
      <w:r>
        <w:rPr>
          <w:rFonts w:hint="eastAsia"/>
          <w:b/>
          <w:color w:val="000000"/>
        </w:rPr>
        <w:t>九</w:t>
      </w:r>
      <w:r>
        <w:rPr>
          <w:b/>
          <w:color w:val="000000"/>
        </w:rPr>
        <w:t>：</w:t>
      </w:r>
      <w:r>
        <w:rPr>
          <w:rFonts w:hint="eastAsia"/>
          <w:color w:val="000000"/>
          <w:szCs w:val="21"/>
        </w:rPr>
        <w:t>项目负责人</w:t>
      </w:r>
      <w:r>
        <w:rPr>
          <w:color w:val="000000"/>
          <w:szCs w:val="21"/>
        </w:rPr>
        <w:t>简历表</w:t>
      </w:r>
    </w:p>
    <w:p>
      <w:pPr>
        <w:spacing w:before="120" w:after="120"/>
        <w:jc w:val="center"/>
        <w:rPr>
          <w:b/>
          <w:bCs/>
          <w:color w:val="000000"/>
          <w:spacing w:val="20"/>
          <w:sz w:val="24"/>
        </w:rPr>
      </w:pPr>
      <w:r>
        <w:rPr>
          <w:rFonts w:hint="eastAsia"/>
          <w:b/>
          <w:bCs/>
          <w:color w:val="000000"/>
          <w:spacing w:val="20"/>
          <w:sz w:val="24"/>
        </w:rPr>
        <w:t>项目负责人简历表</w:t>
      </w:r>
    </w:p>
    <w:p>
      <w:pPr>
        <w:spacing w:before="120" w:after="120"/>
        <w:jc w:val="left"/>
        <w:rPr>
          <w:b/>
          <w:bCs/>
          <w:color w:val="000000"/>
          <w:spacing w:val="20"/>
          <w:sz w:val="24"/>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rFonts w:ascii="宋体"/>
                <w:sz w:val="24"/>
              </w:rPr>
            </w:pPr>
            <w:r>
              <w:rPr>
                <w:rFonts w:hint="eastAsia" w:ascii="宋体"/>
                <w:sz w:val="24"/>
              </w:rPr>
              <w:t>姓    名</w:t>
            </w:r>
          </w:p>
        </w:tc>
        <w:tc>
          <w:tcPr>
            <w:tcW w:w="1420" w:type="dxa"/>
          </w:tcPr>
          <w:p>
            <w:pPr>
              <w:spacing w:line="500" w:lineRule="exact"/>
              <w:ind w:right="25" w:rightChars="12"/>
              <w:jc w:val="center"/>
              <w:rPr>
                <w:rFonts w:ascii="宋体"/>
                <w:sz w:val="24"/>
              </w:rPr>
            </w:pPr>
          </w:p>
        </w:tc>
        <w:tc>
          <w:tcPr>
            <w:tcW w:w="1421" w:type="dxa"/>
            <w:gridSpan w:val="3"/>
          </w:tcPr>
          <w:p>
            <w:pPr>
              <w:spacing w:line="500" w:lineRule="exact"/>
              <w:ind w:right="25" w:rightChars="12"/>
              <w:jc w:val="center"/>
              <w:rPr>
                <w:rFonts w:ascii="宋体"/>
                <w:sz w:val="24"/>
              </w:rPr>
            </w:pPr>
            <w:r>
              <w:rPr>
                <w:rFonts w:hint="eastAsia" w:ascii="宋体"/>
                <w:sz w:val="24"/>
              </w:rPr>
              <w:t>性   别</w:t>
            </w:r>
          </w:p>
        </w:tc>
        <w:tc>
          <w:tcPr>
            <w:tcW w:w="1420" w:type="dxa"/>
          </w:tcPr>
          <w:p>
            <w:pPr>
              <w:spacing w:line="500" w:lineRule="exact"/>
              <w:ind w:right="25" w:rightChars="12"/>
              <w:jc w:val="center"/>
              <w:rPr>
                <w:rFonts w:ascii="宋体"/>
                <w:sz w:val="24"/>
              </w:rPr>
            </w:pPr>
          </w:p>
        </w:tc>
        <w:tc>
          <w:tcPr>
            <w:tcW w:w="1420" w:type="dxa"/>
          </w:tcPr>
          <w:p>
            <w:pPr>
              <w:spacing w:line="500" w:lineRule="exact"/>
              <w:ind w:right="25" w:rightChars="12"/>
              <w:jc w:val="center"/>
              <w:rPr>
                <w:rFonts w:ascii="宋体"/>
                <w:sz w:val="24"/>
              </w:rPr>
            </w:pPr>
            <w:r>
              <w:rPr>
                <w:rFonts w:hint="eastAsia" w:ascii="宋体"/>
                <w:sz w:val="24"/>
              </w:rPr>
              <w:t>出生年月</w:t>
            </w:r>
          </w:p>
        </w:tc>
        <w:tc>
          <w:tcPr>
            <w:tcW w:w="1421" w:type="dxa"/>
          </w:tcPr>
          <w:p>
            <w:pPr>
              <w:spacing w:line="500" w:lineRule="exact"/>
              <w:ind w:right="25" w:rightChars="12"/>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rFonts w:ascii="宋体"/>
                <w:sz w:val="24"/>
              </w:rPr>
            </w:pPr>
            <w:r>
              <w:rPr>
                <w:rFonts w:hint="eastAsia" w:ascii="宋体"/>
                <w:sz w:val="24"/>
              </w:rPr>
              <w:t>专    业</w:t>
            </w:r>
          </w:p>
        </w:tc>
        <w:tc>
          <w:tcPr>
            <w:tcW w:w="1420" w:type="dxa"/>
          </w:tcPr>
          <w:p>
            <w:pPr>
              <w:spacing w:line="500" w:lineRule="exact"/>
              <w:ind w:right="25" w:rightChars="12"/>
              <w:jc w:val="center"/>
              <w:rPr>
                <w:rFonts w:ascii="宋体"/>
                <w:sz w:val="24"/>
              </w:rPr>
            </w:pPr>
          </w:p>
        </w:tc>
        <w:tc>
          <w:tcPr>
            <w:tcW w:w="1421" w:type="dxa"/>
            <w:gridSpan w:val="3"/>
          </w:tcPr>
          <w:p>
            <w:pPr>
              <w:spacing w:line="500" w:lineRule="exact"/>
              <w:ind w:right="25" w:rightChars="12"/>
              <w:jc w:val="center"/>
              <w:rPr>
                <w:rFonts w:ascii="宋体"/>
                <w:sz w:val="24"/>
              </w:rPr>
            </w:pPr>
            <w:r>
              <w:rPr>
                <w:rFonts w:hint="eastAsia" w:ascii="宋体"/>
                <w:sz w:val="24"/>
              </w:rPr>
              <w:t>学   历</w:t>
            </w:r>
          </w:p>
        </w:tc>
        <w:tc>
          <w:tcPr>
            <w:tcW w:w="1420" w:type="dxa"/>
          </w:tcPr>
          <w:p>
            <w:pPr>
              <w:spacing w:line="500" w:lineRule="exact"/>
              <w:ind w:right="25" w:rightChars="12"/>
              <w:jc w:val="center"/>
              <w:rPr>
                <w:rFonts w:ascii="宋体"/>
                <w:sz w:val="24"/>
              </w:rPr>
            </w:pPr>
          </w:p>
        </w:tc>
        <w:tc>
          <w:tcPr>
            <w:tcW w:w="1420" w:type="dxa"/>
          </w:tcPr>
          <w:p>
            <w:pPr>
              <w:spacing w:line="500" w:lineRule="exact"/>
              <w:ind w:right="25" w:rightChars="12"/>
              <w:jc w:val="center"/>
              <w:rPr>
                <w:rFonts w:ascii="宋体"/>
                <w:sz w:val="24"/>
              </w:rPr>
            </w:pPr>
            <w:r>
              <w:rPr>
                <w:rFonts w:hint="eastAsia" w:ascii="宋体"/>
                <w:sz w:val="24"/>
              </w:rPr>
              <w:t>职     称</w:t>
            </w:r>
          </w:p>
        </w:tc>
        <w:tc>
          <w:tcPr>
            <w:tcW w:w="1421" w:type="dxa"/>
          </w:tcPr>
          <w:p>
            <w:pPr>
              <w:spacing w:line="500" w:lineRule="exact"/>
              <w:ind w:right="25" w:rightChars="12"/>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rFonts w:ascii="宋体"/>
                <w:sz w:val="18"/>
                <w:szCs w:val="18"/>
              </w:rPr>
            </w:pPr>
            <w:r>
              <w:rPr>
                <w:rFonts w:hint="eastAsia" w:ascii="宋体"/>
                <w:sz w:val="18"/>
                <w:szCs w:val="18"/>
              </w:rPr>
              <w:t>何时参加工作</w:t>
            </w:r>
          </w:p>
        </w:tc>
        <w:tc>
          <w:tcPr>
            <w:tcW w:w="7102" w:type="dxa"/>
            <w:gridSpan w:val="7"/>
          </w:tcPr>
          <w:p>
            <w:pPr>
              <w:spacing w:line="500" w:lineRule="exact"/>
              <w:ind w:right="25" w:rightChars="12"/>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rFonts w:ascii="宋体"/>
                <w:sz w:val="18"/>
                <w:szCs w:val="18"/>
              </w:rPr>
            </w:pPr>
            <w:r>
              <w:rPr>
                <w:rFonts w:hint="eastAsia" w:ascii="宋体"/>
                <w:sz w:val="18"/>
                <w:szCs w:val="18"/>
              </w:rPr>
              <w:t>何时进入公司</w:t>
            </w:r>
          </w:p>
        </w:tc>
        <w:tc>
          <w:tcPr>
            <w:tcW w:w="7102" w:type="dxa"/>
            <w:gridSpan w:val="7"/>
          </w:tcPr>
          <w:p>
            <w:pPr>
              <w:spacing w:line="500" w:lineRule="exact"/>
              <w:ind w:right="25" w:rightChars="12"/>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rFonts w:ascii="宋体"/>
                <w:sz w:val="18"/>
                <w:szCs w:val="18"/>
              </w:rPr>
            </w:pPr>
            <w:r>
              <w:rPr>
                <w:rFonts w:hint="eastAsia" w:ascii="宋体"/>
                <w:sz w:val="18"/>
                <w:szCs w:val="18"/>
              </w:rPr>
              <w:t>从事项目年限</w:t>
            </w:r>
          </w:p>
        </w:tc>
        <w:tc>
          <w:tcPr>
            <w:tcW w:w="7102" w:type="dxa"/>
            <w:gridSpan w:val="7"/>
          </w:tcPr>
          <w:p>
            <w:pPr>
              <w:spacing w:line="500" w:lineRule="exact"/>
              <w:ind w:right="25" w:rightChars="12"/>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pPr>
              <w:spacing w:line="500" w:lineRule="exact"/>
              <w:ind w:right="25" w:rightChars="12"/>
              <w:jc w:val="center"/>
              <w:rPr>
                <w:rFonts w:ascii="仿宋_GB2312" w:eastAsia="仿宋_GB2312"/>
                <w:b/>
                <w:szCs w:val="21"/>
              </w:rPr>
            </w:pPr>
            <w:r>
              <w:rPr>
                <w:rFonts w:hint="eastAsia" w:ascii="宋体"/>
                <w:szCs w:val="21"/>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00" w:lineRule="exact"/>
              <w:ind w:right="25" w:rightChars="12"/>
              <w:jc w:val="center"/>
              <w:rPr>
                <w:rFonts w:ascii="宋体"/>
                <w:szCs w:val="21"/>
              </w:rPr>
            </w:pPr>
            <w:r>
              <w:rPr>
                <w:rFonts w:hint="eastAsia" w:ascii="宋体"/>
                <w:szCs w:val="21"/>
              </w:rPr>
              <w:t>业主单位</w:t>
            </w:r>
          </w:p>
        </w:tc>
        <w:tc>
          <w:tcPr>
            <w:tcW w:w="1928" w:type="dxa"/>
            <w:gridSpan w:val="2"/>
          </w:tcPr>
          <w:p>
            <w:pPr>
              <w:spacing w:line="500" w:lineRule="exact"/>
              <w:ind w:right="25" w:rightChars="12"/>
              <w:jc w:val="center"/>
              <w:rPr>
                <w:rFonts w:ascii="宋体"/>
                <w:szCs w:val="21"/>
              </w:rPr>
            </w:pPr>
            <w:r>
              <w:rPr>
                <w:rFonts w:hint="eastAsia" w:ascii="宋体"/>
                <w:szCs w:val="21"/>
              </w:rPr>
              <w:t>项目名称</w:t>
            </w:r>
          </w:p>
        </w:tc>
        <w:tc>
          <w:tcPr>
            <w:tcW w:w="720" w:type="dxa"/>
          </w:tcPr>
          <w:p>
            <w:pPr>
              <w:spacing w:line="500" w:lineRule="exact"/>
              <w:ind w:right="25" w:rightChars="12"/>
              <w:jc w:val="center"/>
              <w:rPr>
                <w:rFonts w:ascii="宋体"/>
                <w:szCs w:val="21"/>
              </w:rPr>
            </w:pPr>
            <w:r>
              <w:rPr>
                <w:rFonts w:hint="eastAsia" w:ascii="宋体"/>
                <w:szCs w:val="21"/>
              </w:rPr>
              <w:t>规模</w:t>
            </w:r>
          </w:p>
        </w:tc>
        <w:tc>
          <w:tcPr>
            <w:tcW w:w="1613" w:type="dxa"/>
            <w:gridSpan w:val="2"/>
          </w:tcPr>
          <w:p>
            <w:pPr>
              <w:spacing w:line="500" w:lineRule="exact"/>
              <w:ind w:right="25" w:rightChars="12"/>
              <w:jc w:val="center"/>
              <w:rPr>
                <w:rFonts w:ascii="宋体"/>
                <w:szCs w:val="21"/>
              </w:rPr>
            </w:pPr>
            <w:r>
              <w:rPr>
                <w:rFonts w:hint="eastAsia" w:ascii="宋体"/>
                <w:szCs w:val="21"/>
              </w:rPr>
              <w:t>合同时间</w:t>
            </w:r>
          </w:p>
        </w:tc>
        <w:tc>
          <w:tcPr>
            <w:tcW w:w="2841" w:type="dxa"/>
            <w:gridSpan w:val="2"/>
          </w:tcPr>
          <w:p>
            <w:pPr>
              <w:spacing w:line="500" w:lineRule="exact"/>
              <w:ind w:right="25" w:rightChars="12"/>
              <w:jc w:val="center"/>
              <w:rPr>
                <w:rFonts w:ascii="宋体"/>
                <w:szCs w:val="21"/>
              </w:rPr>
            </w:pPr>
            <w:r>
              <w:rPr>
                <w:rFonts w:hint="eastAsia" w:ascii="宋体"/>
                <w:szCs w:val="21"/>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360" w:lineRule="auto"/>
              <w:ind w:right="25" w:rightChars="12"/>
              <w:jc w:val="center"/>
              <w:rPr>
                <w:rFonts w:ascii="仿宋_GB2312" w:eastAsia="仿宋_GB2312"/>
                <w:b/>
                <w:sz w:val="24"/>
              </w:rPr>
            </w:pPr>
          </w:p>
        </w:tc>
        <w:tc>
          <w:tcPr>
            <w:tcW w:w="1928" w:type="dxa"/>
            <w:gridSpan w:val="2"/>
          </w:tcPr>
          <w:p>
            <w:pPr>
              <w:spacing w:line="360" w:lineRule="auto"/>
              <w:ind w:right="25" w:rightChars="12"/>
              <w:jc w:val="center"/>
              <w:rPr>
                <w:rFonts w:ascii="仿宋_GB2312" w:eastAsia="仿宋_GB2312"/>
                <w:b/>
                <w:sz w:val="24"/>
              </w:rPr>
            </w:pPr>
          </w:p>
        </w:tc>
        <w:tc>
          <w:tcPr>
            <w:tcW w:w="720" w:type="dxa"/>
          </w:tcPr>
          <w:p>
            <w:pPr>
              <w:spacing w:line="360" w:lineRule="auto"/>
              <w:ind w:right="25" w:rightChars="12"/>
              <w:jc w:val="center"/>
              <w:rPr>
                <w:rFonts w:ascii="仿宋_GB2312" w:eastAsia="仿宋_GB2312"/>
                <w:b/>
                <w:sz w:val="24"/>
              </w:rPr>
            </w:pPr>
          </w:p>
        </w:tc>
        <w:tc>
          <w:tcPr>
            <w:tcW w:w="1613" w:type="dxa"/>
            <w:gridSpan w:val="2"/>
          </w:tcPr>
          <w:p>
            <w:pPr>
              <w:spacing w:line="360" w:lineRule="auto"/>
              <w:ind w:right="25" w:rightChars="12"/>
              <w:jc w:val="center"/>
              <w:rPr>
                <w:rFonts w:ascii="仿宋_GB2312" w:eastAsia="仿宋_GB2312"/>
                <w:b/>
                <w:sz w:val="24"/>
              </w:rPr>
            </w:pPr>
          </w:p>
        </w:tc>
        <w:tc>
          <w:tcPr>
            <w:tcW w:w="2841" w:type="dxa"/>
            <w:gridSpan w:val="2"/>
          </w:tcPr>
          <w:p>
            <w:pPr>
              <w:spacing w:line="360" w:lineRule="auto"/>
              <w:ind w:right="25" w:rightChars="12"/>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rFonts w:ascii="仿宋_GB2312" w:eastAsia="仿宋_GB2312"/>
                <w:b/>
                <w:sz w:val="24"/>
              </w:rPr>
            </w:pPr>
          </w:p>
        </w:tc>
        <w:tc>
          <w:tcPr>
            <w:tcW w:w="1928" w:type="dxa"/>
            <w:gridSpan w:val="2"/>
          </w:tcPr>
          <w:p>
            <w:pPr>
              <w:spacing w:line="580" w:lineRule="exact"/>
              <w:ind w:right="25" w:rightChars="12"/>
              <w:jc w:val="center"/>
              <w:rPr>
                <w:rFonts w:ascii="仿宋_GB2312" w:eastAsia="仿宋_GB2312"/>
                <w:b/>
                <w:sz w:val="24"/>
              </w:rPr>
            </w:pPr>
          </w:p>
        </w:tc>
        <w:tc>
          <w:tcPr>
            <w:tcW w:w="720" w:type="dxa"/>
          </w:tcPr>
          <w:p>
            <w:pPr>
              <w:spacing w:line="580" w:lineRule="exact"/>
              <w:ind w:right="25" w:rightChars="12"/>
              <w:jc w:val="center"/>
              <w:rPr>
                <w:rFonts w:ascii="仿宋_GB2312" w:eastAsia="仿宋_GB2312"/>
                <w:b/>
                <w:sz w:val="24"/>
              </w:rPr>
            </w:pPr>
          </w:p>
        </w:tc>
        <w:tc>
          <w:tcPr>
            <w:tcW w:w="1613" w:type="dxa"/>
            <w:gridSpan w:val="2"/>
          </w:tcPr>
          <w:p>
            <w:pPr>
              <w:spacing w:line="580" w:lineRule="exact"/>
              <w:ind w:right="25" w:rightChars="12"/>
              <w:jc w:val="center"/>
              <w:rPr>
                <w:rFonts w:ascii="仿宋_GB2312" w:eastAsia="仿宋_GB2312"/>
                <w:b/>
                <w:sz w:val="24"/>
              </w:rPr>
            </w:pPr>
          </w:p>
        </w:tc>
        <w:tc>
          <w:tcPr>
            <w:tcW w:w="2841" w:type="dxa"/>
            <w:gridSpan w:val="2"/>
          </w:tcPr>
          <w:p>
            <w:pPr>
              <w:spacing w:line="580" w:lineRule="exact"/>
              <w:ind w:right="25" w:rightChars="12"/>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rFonts w:ascii="仿宋_GB2312" w:eastAsia="仿宋_GB2312"/>
                <w:b/>
                <w:sz w:val="24"/>
              </w:rPr>
            </w:pPr>
          </w:p>
        </w:tc>
        <w:tc>
          <w:tcPr>
            <w:tcW w:w="1928" w:type="dxa"/>
            <w:gridSpan w:val="2"/>
          </w:tcPr>
          <w:p>
            <w:pPr>
              <w:spacing w:line="580" w:lineRule="exact"/>
              <w:ind w:right="25" w:rightChars="12"/>
              <w:jc w:val="center"/>
              <w:rPr>
                <w:rFonts w:ascii="仿宋_GB2312" w:eastAsia="仿宋_GB2312"/>
                <w:b/>
                <w:sz w:val="24"/>
              </w:rPr>
            </w:pPr>
          </w:p>
        </w:tc>
        <w:tc>
          <w:tcPr>
            <w:tcW w:w="720" w:type="dxa"/>
          </w:tcPr>
          <w:p>
            <w:pPr>
              <w:spacing w:line="580" w:lineRule="exact"/>
              <w:ind w:right="25" w:rightChars="12"/>
              <w:jc w:val="center"/>
              <w:rPr>
                <w:rFonts w:ascii="仿宋_GB2312" w:eastAsia="仿宋_GB2312"/>
                <w:b/>
                <w:sz w:val="24"/>
              </w:rPr>
            </w:pPr>
          </w:p>
        </w:tc>
        <w:tc>
          <w:tcPr>
            <w:tcW w:w="1613" w:type="dxa"/>
            <w:gridSpan w:val="2"/>
          </w:tcPr>
          <w:p>
            <w:pPr>
              <w:spacing w:line="580" w:lineRule="exact"/>
              <w:ind w:right="25" w:rightChars="12"/>
              <w:jc w:val="center"/>
              <w:rPr>
                <w:rFonts w:ascii="仿宋_GB2312" w:eastAsia="仿宋_GB2312"/>
                <w:b/>
                <w:sz w:val="24"/>
              </w:rPr>
            </w:pPr>
          </w:p>
        </w:tc>
        <w:tc>
          <w:tcPr>
            <w:tcW w:w="2841" w:type="dxa"/>
            <w:gridSpan w:val="2"/>
          </w:tcPr>
          <w:p>
            <w:pPr>
              <w:spacing w:line="580" w:lineRule="exact"/>
              <w:ind w:right="25" w:rightChars="12"/>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rFonts w:ascii="仿宋_GB2312" w:eastAsia="仿宋_GB2312"/>
                <w:b/>
                <w:sz w:val="24"/>
              </w:rPr>
            </w:pPr>
          </w:p>
        </w:tc>
        <w:tc>
          <w:tcPr>
            <w:tcW w:w="1928" w:type="dxa"/>
            <w:gridSpan w:val="2"/>
          </w:tcPr>
          <w:p>
            <w:pPr>
              <w:spacing w:line="580" w:lineRule="exact"/>
              <w:ind w:right="25" w:rightChars="12"/>
              <w:jc w:val="center"/>
              <w:rPr>
                <w:rFonts w:ascii="仿宋_GB2312" w:eastAsia="仿宋_GB2312"/>
                <w:b/>
                <w:sz w:val="24"/>
              </w:rPr>
            </w:pPr>
          </w:p>
        </w:tc>
        <w:tc>
          <w:tcPr>
            <w:tcW w:w="720" w:type="dxa"/>
          </w:tcPr>
          <w:p>
            <w:pPr>
              <w:spacing w:line="580" w:lineRule="exact"/>
              <w:ind w:right="25" w:rightChars="12"/>
              <w:jc w:val="center"/>
              <w:rPr>
                <w:rFonts w:ascii="仿宋_GB2312" w:eastAsia="仿宋_GB2312"/>
                <w:b/>
                <w:sz w:val="24"/>
              </w:rPr>
            </w:pPr>
          </w:p>
        </w:tc>
        <w:tc>
          <w:tcPr>
            <w:tcW w:w="1613" w:type="dxa"/>
            <w:gridSpan w:val="2"/>
          </w:tcPr>
          <w:p>
            <w:pPr>
              <w:spacing w:line="580" w:lineRule="exact"/>
              <w:ind w:right="25" w:rightChars="12"/>
              <w:jc w:val="center"/>
              <w:rPr>
                <w:rFonts w:ascii="仿宋_GB2312" w:eastAsia="仿宋_GB2312"/>
                <w:b/>
                <w:sz w:val="24"/>
              </w:rPr>
            </w:pPr>
          </w:p>
        </w:tc>
        <w:tc>
          <w:tcPr>
            <w:tcW w:w="2841" w:type="dxa"/>
            <w:gridSpan w:val="2"/>
          </w:tcPr>
          <w:p>
            <w:pPr>
              <w:spacing w:line="580" w:lineRule="exact"/>
              <w:ind w:right="25" w:rightChars="12"/>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rFonts w:ascii="仿宋_GB2312" w:eastAsia="仿宋_GB2312"/>
                <w:b/>
                <w:sz w:val="24"/>
              </w:rPr>
            </w:pPr>
          </w:p>
        </w:tc>
        <w:tc>
          <w:tcPr>
            <w:tcW w:w="1928" w:type="dxa"/>
            <w:gridSpan w:val="2"/>
          </w:tcPr>
          <w:p>
            <w:pPr>
              <w:spacing w:line="580" w:lineRule="exact"/>
              <w:ind w:right="25" w:rightChars="12"/>
              <w:jc w:val="center"/>
              <w:rPr>
                <w:rFonts w:ascii="仿宋_GB2312" w:eastAsia="仿宋_GB2312"/>
                <w:b/>
                <w:sz w:val="24"/>
              </w:rPr>
            </w:pPr>
          </w:p>
        </w:tc>
        <w:tc>
          <w:tcPr>
            <w:tcW w:w="720" w:type="dxa"/>
          </w:tcPr>
          <w:p>
            <w:pPr>
              <w:spacing w:line="580" w:lineRule="exact"/>
              <w:ind w:right="25" w:rightChars="12"/>
              <w:jc w:val="center"/>
              <w:rPr>
                <w:rFonts w:ascii="仿宋_GB2312" w:eastAsia="仿宋_GB2312"/>
                <w:b/>
                <w:sz w:val="24"/>
              </w:rPr>
            </w:pPr>
          </w:p>
        </w:tc>
        <w:tc>
          <w:tcPr>
            <w:tcW w:w="1613" w:type="dxa"/>
            <w:gridSpan w:val="2"/>
          </w:tcPr>
          <w:p>
            <w:pPr>
              <w:spacing w:line="580" w:lineRule="exact"/>
              <w:ind w:right="25" w:rightChars="12"/>
              <w:jc w:val="center"/>
              <w:rPr>
                <w:rFonts w:ascii="仿宋_GB2312" w:eastAsia="仿宋_GB2312"/>
                <w:b/>
                <w:sz w:val="24"/>
              </w:rPr>
            </w:pPr>
          </w:p>
        </w:tc>
        <w:tc>
          <w:tcPr>
            <w:tcW w:w="2841" w:type="dxa"/>
            <w:gridSpan w:val="2"/>
          </w:tcPr>
          <w:p>
            <w:pPr>
              <w:spacing w:line="580" w:lineRule="exact"/>
              <w:ind w:right="25" w:rightChars="12"/>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rFonts w:ascii="仿宋_GB2312" w:eastAsia="仿宋_GB2312"/>
                <w:b/>
                <w:sz w:val="24"/>
              </w:rPr>
            </w:pPr>
          </w:p>
        </w:tc>
        <w:tc>
          <w:tcPr>
            <w:tcW w:w="1928" w:type="dxa"/>
            <w:gridSpan w:val="2"/>
          </w:tcPr>
          <w:p>
            <w:pPr>
              <w:spacing w:line="580" w:lineRule="exact"/>
              <w:ind w:right="25" w:rightChars="12"/>
              <w:jc w:val="center"/>
              <w:rPr>
                <w:rFonts w:ascii="仿宋_GB2312" w:eastAsia="仿宋_GB2312"/>
                <w:b/>
                <w:sz w:val="24"/>
              </w:rPr>
            </w:pPr>
          </w:p>
        </w:tc>
        <w:tc>
          <w:tcPr>
            <w:tcW w:w="720" w:type="dxa"/>
          </w:tcPr>
          <w:p>
            <w:pPr>
              <w:spacing w:line="580" w:lineRule="exact"/>
              <w:ind w:right="25" w:rightChars="12"/>
              <w:jc w:val="center"/>
              <w:rPr>
                <w:rFonts w:ascii="仿宋_GB2312" w:eastAsia="仿宋_GB2312"/>
                <w:b/>
                <w:sz w:val="24"/>
              </w:rPr>
            </w:pPr>
          </w:p>
        </w:tc>
        <w:tc>
          <w:tcPr>
            <w:tcW w:w="1613" w:type="dxa"/>
            <w:gridSpan w:val="2"/>
          </w:tcPr>
          <w:p>
            <w:pPr>
              <w:spacing w:line="580" w:lineRule="exact"/>
              <w:ind w:right="25" w:rightChars="12"/>
              <w:jc w:val="center"/>
              <w:rPr>
                <w:rFonts w:ascii="仿宋_GB2312" w:eastAsia="仿宋_GB2312"/>
                <w:b/>
                <w:sz w:val="24"/>
              </w:rPr>
            </w:pPr>
          </w:p>
        </w:tc>
        <w:tc>
          <w:tcPr>
            <w:tcW w:w="2841" w:type="dxa"/>
            <w:gridSpan w:val="2"/>
          </w:tcPr>
          <w:p>
            <w:pPr>
              <w:spacing w:line="580" w:lineRule="exact"/>
              <w:ind w:right="25" w:rightChars="12"/>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pPr>
              <w:spacing w:line="580" w:lineRule="exact"/>
              <w:ind w:right="25" w:rightChars="12"/>
              <w:jc w:val="center"/>
              <w:rPr>
                <w:rFonts w:ascii="仿宋_GB2312" w:eastAsia="仿宋_GB2312"/>
                <w:b/>
                <w:sz w:val="24"/>
              </w:rPr>
            </w:pPr>
          </w:p>
        </w:tc>
        <w:tc>
          <w:tcPr>
            <w:tcW w:w="1928" w:type="dxa"/>
            <w:gridSpan w:val="2"/>
          </w:tcPr>
          <w:p>
            <w:pPr>
              <w:spacing w:line="580" w:lineRule="exact"/>
              <w:ind w:right="25" w:rightChars="12"/>
              <w:jc w:val="center"/>
              <w:rPr>
                <w:rFonts w:ascii="仿宋_GB2312" w:eastAsia="仿宋_GB2312"/>
                <w:b/>
                <w:sz w:val="24"/>
              </w:rPr>
            </w:pPr>
          </w:p>
        </w:tc>
        <w:tc>
          <w:tcPr>
            <w:tcW w:w="720" w:type="dxa"/>
          </w:tcPr>
          <w:p>
            <w:pPr>
              <w:spacing w:line="580" w:lineRule="exact"/>
              <w:ind w:right="25" w:rightChars="12"/>
              <w:jc w:val="center"/>
              <w:rPr>
                <w:rFonts w:ascii="仿宋_GB2312" w:eastAsia="仿宋_GB2312"/>
                <w:b/>
                <w:sz w:val="24"/>
              </w:rPr>
            </w:pPr>
          </w:p>
        </w:tc>
        <w:tc>
          <w:tcPr>
            <w:tcW w:w="1613" w:type="dxa"/>
            <w:gridSpan w:val="2"/>
          </w:tcPr>
          <w:p>
            <w:pPr>
              <w:spacing w:line="580" w:lineRule="exact"/>
              <w:ind w:right="25" w:rightChars="12"/>
              <w:jc w:val="center"/>
              <w:rPr>
                <w:rFonts w:ascii="仿宋_GB2312" w:eastAsia="仿宋_GB2312"/>
                <w:b/>
                <w:sz w:val="24"/>
              </w:rPr>
            </w:pPr>
          </w:p>
        </w:tc>
        <w:tc>
          <w:tcPr>
            <w:tcW w:w="2841" w:type="dxa"/>
            <w:gridSpan w:val="2"/>
          </w:tcPr>
          <w:p>
            <w:pPr>
              <w:spacing w:line="580" w:lineRule="exact"/>
              <w:ind w:right="25" w:rightChars="12"/>
              <w:jc w:val="center"/>
              <w:rPr>
                <w:rFonts w:ascii="仿宋_GB2312" w:eastAsia="仿宋_GB2312"/>
                <w:b/>
                <w:sz w:val="24"/>
              </w:rPr>
            </w:pPr>
          </w:p>
        </w:tc>
      </w:tr>
    </w:tbl>
    <w:p>
      <w:pPr>
        <w:rPr>
          <w:color w:val="000000"/>
          <w:sz w:val="24"/>
        </w:rPr>
      </w:pPr>
    </w:p>
    <w:p>
      <w:pPr>
        <w:spacing w:line="0" w:lineRule="atLeast"/>
        <w:rPr>
          <w:rFonts w:eastAsia="仿宋_GB2312"/>
          <w:color w:val="000000"/>
          <w:sz w:val="24"/>
        </w:rPr>
      </w:pPr>
    </w:p>
    <w:p>
      <w:pPr>
        <w:widowControl/>
        <w:spacing w:line="360" w:lineRule="auto"/>
        <w:ind w:left="283" w:leftChars="135"/>
        <w:jc w:val="left"/>
        <w:rPr>
          <w:color w:val="000000"/>
          <w:sz w:val="22"/>
        </w:rPr>
      </w:pPr>
      <w:r>
        <w:rPr>
          <w:color w:val="000000"/>
          <w:sz w:val="22"/>
        </w:rPr>
        <w:t>投 标 人（盖章）：</w:t>
      </w:r>
    </w:p>
    <w:p>
      <w:pPr>
        <w:widowControl/>
        <w:spacing w:line="360" w:lineRule="auto"/>
        <w:ind w:left="283" w:leftChars="135"/>
        <w:jc w:val="left"/>
        <w:rPr>
          <w:color w:val="000000"/>
          <w:sz w:val="22"/>
        </w:rPr>
      </w:pPr>
      <w:r>
        <w:rPr>
          <w:color w:val="000000"/>
          <w:sz w:val="22"/>
        </w:rPr>
        <w:t>法定代表人或其授权代表（签字或盖章）：</w:t>
      </w:r>
    </w:p>
    <w:p>
      <w:pPr>
        <w:widowControl/>
        <w:spacing w:line="360" w:lineRule="auto"/>
        <w:ind w:left="283" w:leftChars="135"/>
        <w:jc w:val="left"/>
        <w:rPr>
          <w:color w:val="000000"/>
          <w:sz w:val="22"/>
        </w:rPr>
      </w:pPr>
      <w:r>
        <w:rPr>
          <w:color w:val="000000"/>
          <w:sz w:val="22"/>
        </w:rPr>
        <w:t>日期：</w:t>
      </w:r>
    </w:p>
    <w:p>
      <w:pPr>
        <w:spacing w:line="540" w:lineRule="exact"/>
        <w:ind w:left="560" w:firstLine="700" w:firstLineChars="250"/>
        <w:rPr>
          <w:rFonts w:ascii="宋体" w:hAnsi="宋体"/>
          <w:sz w:val="28"/>
        </w:rPr>
      </w:pPr>
    </w:p>
    <w:p>
      <w:pPr>
        <w:spacing w:before="120" w:after="120"/>
        <w:jc w:val="left"/>
        <w:rPr>
          <w:color w:val="000000"/>
          <w:szCs w:val="21"/>
        </w:rPr>
      </w:pPr>
      <w:r>
        <w:rPr>
          <w:rStyle w:val="47"/>
          <w:color w:val="000000"/>
          <w:szCs w:val="21"/>
        </w:rPr>
        <w:br w:type="page"/>
      </w:r>
      <w:r>
        <w:rPr>
          <w:b/>
          <w:color w:val="000000"/>
        </w:rPr>
        <w:t>格式</w:t>
      </w:r>
      <w:r>
        <w:rPr>
          <w:rFonts w:hint="eastAsia"/>
          <w:b/>
          <w:color w:val="000000"/>
        </w:rPr>
        <w:t>十</w:t>
      </w:r>
      <w:r>
        <w:rPr>
          <w:b/>
          <w:color w:val="000000"/>
        </w:rPr>
        <w:t>：</w:t>
      </w:r>
      <w:r>
        <w:rPr>
          <w:rFonts w:hint="eastAsia"/>
          <w:color w:val="000000"/>
        </w:rPr>
        <w:t>项目人员配置表</w:t>
      </w:r>
    </w:p>
    <w:p>
      <w:pPr>
        <w:spacing w:before="120" w:after="120"/>
        <w:jc w:val="center"/>
        <w:rPr>
          <w:b/>
          <w:bCs/>
          <w:color w:val="000000"/>
          <w:spacing w:val="20"/>
          <w:sz w:val="24"/>
        </w:rPr>
      </w:pPr>
      <w:r>
        <w:rPr>
          <w:rFonts w:hint="eastAsia"/>
          <w:b/>
          <w:bCs/>
          <w:color w:val="000000"/>
          <w:spacing w:val="20"/>
          <w:sz w:val="24"/>
        </w:rPr>
        <w:t>项目人员配置表</w:t>
      </w:r>
    </w:p>
    <w:p>
      <w:pPr>
        <w:spacing w:before="120" w:after="120"/>
        <w:jc w:val="left"/>
        <w:rPr>
          <w:b/>
          <w:bCs/>
          <w:color w:val="000000"/>
          <w:spacing w:val="20"/>
          <w:sz w:val="24"/>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tbl>
      <w:tblPr>
        <w:tblStyle w:val="24"/>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序号</w:t>
            </w:r>
          </w:p>
        </w:tc>
        <w:tc>
          <w:tcPr>
            <w:tcW w:w="1134"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姓名</w:t>
            </w:r>
          </w:p>
        </w:tc>
        <w:tc>
          <w:tcPr>
            <w:tcW w:w="709"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性别</w:t>
            </w:r>
          </w:p>
        </w:tc>
        <w:tc>
          <w:tcPr>
            <w:tcW w:w="1418"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职称</w:t>
            </w:r>
          </w:p>
        </w:tc>
        <w:tc>
          <w:tcPr>
            <w:tcW w:w="1559"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专业</w:t>
            </w:r>
          </w:p>
        </w:tc>
        <w:tc>
          <w:tcPr>
            <w:tcW w:w="1984"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sz w:val="24"/>
              </w:rPr>
              <w:t>联系电话</w:t>
            </w:r>
          </w:p>
        </w:tc>
        <w:tc>
          <w:tcPr>
            <w:tcW w:w="1560" w:type="dxa"/>
            <w:tcBorders>
              <w:top w:val="single" w:color="auto" w:sz="4" w:space="0"/>
              <w:bottom w:val="single" w:color="auto" w:sz="4" w:space="0"/>
            </w:tcBorders>
            <w:tcMar>
              <w:left w:w="28" w:type="dxa"/>
              <w:right w:w="28" w:type="dxa"/>
            </w:tcMar>
            <w:vAlign w:val="center"/>
          </w:tcPr>
          <w:p>
            <w:pPr>
              <w:spacing w:line="500" w:lineRule="exact"/>
              <w:ind w:right="25" w:rightChars="12"/>
              <w:jc w:val="center"/>
              <w:rPr>
                <w:sz w:val="24"/>
              </w:rPr>
            </w:pPr>
            <w:r>
              <w:rPr>
                <w:rFonts w:hint="eastAsia"/>
                <w:sz w:val="24"/>
              </w:rPr>
              <w:t>分工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tcMar>
              <w:left w:w="28" w:type="dxa"/>
              <w:right w:w="28" w:type="dxa"/>
            </w:tcMar>
            <w:vAlign w:val="center"/>
          </w:tcPr>
          <w:p>
            <w:pPr>
              <w:spacing w:line="500" w:lineRule="exact"/>
              <w:ind w:right="25" w:rightChars="12"/>
              <w:jc w:val="center"/>
              <w:rPr>
                <w:sz w:val="24"/>
              </w:rPr>
            </w:pPr>
            <w:r>
              <w:rPr>
                <w:sz w:val="24"/>
              </w:rPr>
              <w:t>1</w:t>
            </w:r>
          </w:p>
        </w:tc>
        <w:tc>
          <w:tcPr>
            <w:tcW w:w="1134" w:type="dxa"/>
            <w:tcBorders>
              <w:top w:val="single" w:color="auto" w:sz="4" w:space="0"/>
            </w:tcBorders>
            <w:tcMar>
              <w:left w:w="28" w:type="dxa"/>
              <w:right w:w="28" w:type="dxa"/>
            </w:tcMar>
            <w:vAlign w:val="center"/>
          </w:tcPr>
          <w:p>
            <w:pPr>
              <w:spacing w:line="500" w:lineRule="exact"/>
              <w:ind w:right="25" w:rightChars="12"/>
              <w:jc w:val="center"/>
              <w:rPr>
                <w:sz w:val="24"/>
              </w:rPr>
            </w:pPr>
          </w:p>
        </w:tc>
        <w:tc>
          <w:tcPr>
            <w:tcW w:w="709" w:type="dxa"/>
            <w:tcBorders>
              <w:top w:val="single" w:color="auto" w:sz="4" w:space="0"/>
            </w:tcBorders>
            <w:tcMar>
              <w:left w:w="28" w:type="dxa"/>
              <w:right w:w="28" w:type="dxa"/>
            </w:tcMar>
            <w:vAlign w:val="center"/>
          </w:tcPr>
          <w:p>
            <w:pPr>
              <w:spacing w:line="500" w:lineRule="exact"/>
              <w:ind w:right="25" w:rightChars="12"/>
              <w:jc w:val="center"/>
              <w:rPr>
                <w:sz w:val="24"/>
              </w:rPr>
            </w:pPr>
          </w:p>
        </w:tc>
        <w:tc>
          <w:tcPr>
            <w:tcW w:w="1418" w:type="dxa"/>
            <w:tcBorders>
              <w:top w:val="single" w:color="auto" w:sz="4" w:space="0"/>
            </w:tcBorders>
            <w:tcMar>
              <w:left w:w="28" w:type="dxa"/>
              <w:right w:w="28" w:type="dxa"/>
            </w:tcMar>
            <w:vAlign w:val="center"/>
          </w:tcPr>
          <w:p>
            <w:pPr>
              <w:spacing w:line="500" w:lineRule="exact"/>
              <w:ind w:right="25" w:rightChars="12"/>
              <w:jc w:val="center"/>
              <w:rPr>
                <w:sz w:val="24"/>
              </w:rPr>
            </w:pPr>
          </w:p>
        </w:tc>
        <w:tc>
          <w:tcPr>
            <w:tcW w:w="1559" w:type="dxa"/>
            <w:tcBorders>
              <w:top w:val="single" w:color="auto" w:sz="4" w:space="0"/>
            </w:tcBorders>
            <w:tcMar>
              <w:left w:w="28" w:type="dxa"/>
              <w:right w:w="28" w:type="dxa"/>
            </w:tcMar>
            <w:vAlign w:val="center"/>
          </w:tcPr>
          <w:p>
            <w:pPr>
              <w:spacing w:line="500" w:lineRule="exact"/>
              <w:ind w:right="25" w:rightChars="12"/>
              <w:jc w:val="center"/>
              <w:rPr>
                <w:sz w:val="24"/>
              </w:rPr>
            </w:pPr>
          </w:p>
        </w:tc>
        <w:tc>
          <w:tcPr>
            <w:tcW w:w="1984" w:type="dxa"/>
            <w:tcBorders>
              <w:top w:val="single" w:color="auto" w:sz="4" w:space="0"/>
            </w:tcBorders>
            <w:tcMar>
              <w:left w:w="28" w:type="dxa"/>
              <w:right w:w="28" w:type="dxa"/>
            </w:tcMar>
            <w:vAlign w:val="center"/>
          </w:tcPr>
          <w:p>
            <w:pPr>
              <w:spacing w:line="500" w:lineRule="exact"/>
              <w:ind w:right="25" w:rightChars="12"/>
              <w:jc w:val="center"/>
              <w:rPr>
                <w:sz w:val="24"/>
              </w:rPr>
            </w:pPr>
          </w:p>
        </w:tc>
        <w:tc>
          <w:tcPr>
            <w:tcW w:w="1560" w:type="dxa"/>
            <w:tcBorders>
              <w:top w:val="single" w:color="auto" w:sz="4" w:space="0"/>
            </w:tcBorders>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2</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3</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4</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5</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6</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r>
              <w:rPr>
                <w:sz w:val="24"/>
              </w:rPr>
              <w:t>7</w:t>
            </w: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spacing w:line="500" w:lineRule="exact"/>
              <w:ind w:right="25" w:rightChars="12"/>
              <w:jc w:val="center"/>
              <w:rPr>
                <w:sz w:val="24"/>
              </w:rPr>
            </w:pPr>
          </w:p>
        </w:tc>
        <w:tc>
          <w:tcPr>
            <w:tcW w:w="1134" w:type="dxa"/>
            <w:tcMar>
              <w:left w:w="28" w:type="dxa"/>
              <w:right w:w="28" w:type="dxa"/>
            </w:tcMar>
            <w:vAlign w:val="center"/>
          </w:tcPr>
          <w:p>
            <w:pPr>
              <w:spacing w:line="500" w:lineRule="exact"/>
              <w:ind w:right="25" w:rightChars="12"/>
              <w:jc w:val="center"/>
              <w:rPr>
                <w:sz w:val="24"/>
              </w:rPr>
            </w:pPr>
          </w:p>
        </w:tc>
        <w:tc>
          <w:tcPr>
            <w:tcW w:w="709" w:type="dxa"/>
            <w:tcMar>
              <w:left w:w="28" w:type="dxa"/>
              <w:right w:w="28" w:type="dxa"/>
            </w:tcMar>
            <w:vAlign w:val="center"/>
          </w:tcPr>
          <w:p>
            <w:pPr>
              <w:spacing w:line="500" w:lineRule="exact"/>
              <w:ind w:right="25" w:rightChars="12"/>
              <w:jc w:val="center"/>
              <w:rPr>
                <w:sz w:val="24"/>
              </w:rPr>
            </w:pPr>
          </w:p>
        </w:tc>
        <w:tc>
          <w:tcPr>
            <w:tcW w:w="1418" w:type="dxa"/>
            <w:tcMar>
              <w:left w:w="28" w:type="dxa"/>
              <w:right w:w="28" w:type="dxa"/>
            </w:tcMar>
            <w:vAlign w:val="center"/>
          </w:tcPr>
          <w:p>
            <w:pPr>
              <w:spacing w:line="500" w:lineRule="exact"/>
              <w:ind w:right="25" w:rightChars="12"/>
              <w:jc w:val="center"/>
              <w:rPr>
                <w:sz w:val="24"/>
              </w:rPr>
            </w:pPr>
          </w:p>
        </w:tc>
        <w:tc>
          <w:tcPr>
            <w:tcW w:w="1559" w:type="dxa"/>
            <w:tcMar>
              <w:left w:w="28" w:type="dxa"/>
              <w:right w:w="28" w:type="dxa"/>
            </w:tcMar>
            <w:vAlign w:val="center"/>
          </w:tcPr>
          <w:p>
            <w:pPr>
              <w:spacing w:line="500" w:lineRule="exact"/>
              <w:ind w:right="25" w:rightChars="12"/>
              <w:jc w:val="center"/>
              <w:rPr>
                <w:sz w:val="24"/>
              </w:rPr>
            </w:pPr>
          </w:p>
        </w:tc>
        <w:tc>
          <w:tcPr>
            <w:tcW w:w="1984" w:type="dxa"/>
            <w:tcMar>
              <w:left w:w="28" w:type="dxa"/>
              <w:right w:w="28" w:type="dxa"/>
            </w:tcMar>
            <w:vAlign w:val="center"/>
          </w:tcPr>
          <w:p>
            <w:pPr>
              <w:spacing w:line="500" w:lineRule="exact"/>
              <w:ind w:right="25" w:rightChars="12"/>
              <w:jc w:val="center"/>
              <w:rPr>
                <w:sz w:val="24"/>
              </w:rPr>
            </w:pPr>
          </w:p>
        </w:tc>
        <w:tc>
          <w:tcPr>
            <w:tcW w:w="1560" w:type="dxa"/>
            <w:tcMar>
              <w:left w:w="28" w:type="dxa"/>
              <w:right w:w="28" w:type="dxa"/>
            </w:tcMar>
            <w:vAlign w:val="center"/>
          </w:tcPr>
          <w:p>
            <w:pPr>
              <w:spacing w:line="500" w:lineRule="exact"/>
              <w:ind w:right="25" w:rightChars="12"/>
              <w:jc w:val="center"/>
              <w:rPr>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rFonts w:eastAsia="仿宋_GB2312"/>
                <w:w w:val="80"/>
              </w:rPr>
            </w:pPr>
          </w:p>
        </w:tc>
        <w:tc>
          <w:tcPr>
            <w:tcW w:w="1134" w:type="dxa"/>
            <w:tcMar>
              <w:left w:w="28" w:type="dxa"/>
              <w:right w:w="28" w:type="dxa"/>
            </w:tcMar>
            <w:vAlign w:val="center"/>
          </w:tcPr>
          <w:p>
            <w:pPr>
              <w:jc w:val="center"/>
              <w:rPr>
                <w:rFonts w:eastAsia="仿宋_GB2312"/>
                <w:w w:val="80"/>
              </w:rPr>
            </w:pPr>
          </w:p>
        </w:tc>
        <w:tc>
          <w:tcPr>
            <w:tcW w:w="709" w:type="dxa"/>
            <w:tcMar>
              <w:left w:w="28" w:type="dxa"/>
              <w:right w:w="28" w:type="dxa"/>
            </w:tcMar>
            <w:vAlign w:val="center"/>
          </w:tcPr>
          <w:p>
            <w:pPr>
              <w:jc w:val="center"/>
              <w:rPr>
                <w:rFonts w:eastAsia="仿宋_GB2312"/>
                <w:w w:val="80"/>
              </w:rPr>
            </w:pPr>
          </w:p>
        </w:tc>
        <w:tc>
          <w:tcPr>
            <w:tcW w:w="1418" w:type="dxa"/>
            <w:tcMar>
              <w:left w:w="28" w:type="dxa"/>
              <w:right w:w="28" w:type="dxa"/>
            </w:tcMar>
            <w:vAlign w:val="center"/>
          </w:tcPr>
          <w:p>
            <w:pPr>
              <w:jc w:val="center"/>
              <w:rPr>
                <w:rFonts w:eastAsia="仿宋_GB2312"/>
                <w:w w:val="80"/>
              </w:rPr>
            </w:pPr>
          </w:p>
        </w:tc>
        <w:tc>
          <w:tcPr>
            <w:tcW w:w="1559" w:type="dxa"/>
            <w:tcMar>
              <w:left w:w="28" w:type="dxa"/>
              <w:right w:w="28" w:type="dxa"/>
            </w:tcMar>
            <w:vAlign w:val="center"/>
          </w:tcPr>
          <w:p>
            <w:pPr>
              <w:jc w:val="center"/>
              <w:rPr>
                <w:rFonts w:eastAsia="仿宋_GB2312"/>
                <w:w w:val="80"/>
              </w:rPr>
            </w:pPr>
          </w:p>
        </w:tc>
        <w:tc>
          <w:tcPr>
            <w:tcW w:w="1984" w:type="dxa"/>
            <w:tcMar>
              <w:left w:w="28" w:type="dxa"/>
              <w:right w:w="28" w:type="dxa"/>
            </w:tcMar>
            <w:vAlign w:val="center"/>
          </w:tcPr>
          <w:p>
            <w:pPr>
              <w:jc w:val="center"/>
              <w:rPr>
                <w:rFonts w:eastAsia="仿宋_GB2312"/>
                <w:w w:val="80"/>
              </w:rPr>
            </w:pPr>
          </w:p>
        </w:tc>
        <w:tc>
          <w:tcPr>
            <w:tcW w:w="1560" w:type="dxa"/>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rFonts w:eastAsia="仿宋_GB2312"/>
                <w:w w:val="80"/>
              </w:rPr>
            </w:pPr>
          </w:p>
        </w:tc>
        <w:tc>
          <w:tcPr>
            <w:tcW w:w="1134" w:type="dxa"/>
            <w:tcMar>
              <w:left w:w="28" w:type="dxa"/>
              <w:right w:w="28" w:type="dxa"/>
            </w:tcMar>
            <w:vAlign w:val="center"/>
          </w:tcPr>
          <w:p>
            <w:pPr>
              <w:jc w:val="center"/>
              <w:rPr>
                <w:rFonts w:eastAsia="仿宋_GB2312"/>
                <w:w w:val="80"/>
              </w:rPr>
            </w:pPr>
          </w:p>
        </w:tc>
        <w:tc>
          <w:tcPr>
            <w:tcW w:w="709" w:type="dxa"/>
            <w:tcMar>
              <w:left w:w="28" w:type="dxa"/>
              <w:right w:w="28" w:type="dxa"/>
            </w:tcMar>
            <w:vAlign w:val="center"/>
          </w:tcPr>
          <w:p>
            <w:pPr>
              <w:jc w:val="center"/>
              <w:rPr>
                <w:rFonts w:eastAsia="仿宋_GB2312"/>
                <w:w w:val="80"/>
              </w:rPr>
            </w:pPr>
          </w:p>
        </w:tc>
        <w:tc>
          <w:tcPr>
            <w:tcW w:w="1418" w:type="dxa"/>
            <w:tcMar>
              <w:left w:w="28" w:type="dxa"/>
              <w:right w:w="28" w:type="dxa"/>
            </w:tcMar>
            <w:vAlign w:val="center"/>
          </w:tcPr>
          <w:p>
            <w:pPr>
              <w:jc w:val="center"/>
              <w:rPr>
                <w:rFonts w:eastAsia="仿宋_GB2312"/>
                <w:w w:val="80"/>
              </w:rPr>
            </w:pPr>
          </w:p>
        </w:tc>
        <w:tc>
          <w:tcPr>
            <w:tcW w:w="1559" w:type="dxa"/>
            <w:tcMar>
              <w:left w:w="28" w:type="dxa"/>
              <w:right w:w="28" w:type="dxa"/>
            </w:tcMar>
            <w:vAlign w:val="center"/>
          </w:tcPr>
          <w:p>
            <w:pPr>
              <w:jc w:val="center"/>
              <w:rPr>
                <w:rFonts w:eastAsia="仿宋_GB2312"/>
                <w:w w:val="80"/>
              </w:rPr>
            </w:pPr>
          </w:p>
        </w:tc>
        <w:tc>
          <w:tcPr>
            <w:tcW w:w="1984" w:type="dxa"/>
            <w:tcMar>
              <w:left w:w="28" w:type="dxa"/>
              <w:right w:w="28" w:type="dxa"/>
            </w:tcMar>
            <w:vAlign w:val="center"/>
          </w:tcPr>
          <w:p>
            <w:pPr>
              <w:jc w:val="center"/>
              <w:rPr>
                <w:rFonts w:eastAsia="仿宋_GB2312"/>
                <w:w w:val="80"/>
              </w:rPr>
            </w:pPr>
          </w:p>
        </w:tc>
        <w:tc>
          <w:tcPr>
            <w:tcW w:w="1560" w:type="dxa"/>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rFonts w:eastAsia="仿宋_GB2312"/>
                <w:w w:val="80"/>
              </w:rPr>
            </w:pPr>
          </w:p>
        </w:tc>
        <w:tc>
          <w:tcPr>
            <w:tcW w:w="1134" w:type="dxa"/>
            <w:tcMar>
              <w:left w:w="28" w:type="dxa"/>
              <w:right w:w="28" w:type="dxa"/>
            </w:tcMar>
            <w:vAlign w:val="center"/>
          </w:tcPr>
          <w:p>
            <w:pPr>
              <w:jc w:val="center"/>
              <w:rPr>
                <w:rFonts w:eastAsia="仿宋_GB2312"/>
                <w:w w:val="80"/>
              </w:rPr>
            </w:pPr>
          </w:p>
        </w:tc>
        <w:tc>
          <w:tcPr>
            <w:tcW w:w="709" w:type="dxa"/>
            <w:tcMar>
              <w:left w:w="28" w:type="dxa"/>
              <w:right w:w="28" w:type="dxa"/>
            </w:tcMar>
            <w:vAlign w:val="center"/>
          </w:tcPr>
          <w:p>
            <w:pPr>
              <w:jc w:val="center"/>
              <w:rPr>
                <w:rFonts w:eastAsia="仿宋_GB2312"/>
                <w:w w:val="80"/>
              </w:rPr>
            </w:pPr>
          </w:p>
        </w:tc>
        <w:tc>
          <w:tcPr>
            <w:tcW w:w="1418" w:type="dxa"/>
            <w:tcMar>
              <w:left w:w="28" w:type="dxa"/>
              <w:right w:w="28" w:type="dxa"/>
            </w:tcMar>
            <w:vAlign w:val="center"/>
          </w:tcPr>
          <w:p>
            <w:pPr>
              <w:jc w:val="center"/>
              <w:rPr>
                <w:rFonts w:eastAsia="仿宋_GB2312"/>
                <w:w w:val="80"/>
              </w:rPr>
            </w:pPr>
          </w:p>
        </w:tc>
        <w:tc>
          <w:tcPr>
            <w:tcW w:w="1559" w:type="dxa"/>
            <w:tcMar>
              <w:left w:w="28" w:type="dxa"/>
              <w:right w:w="28" w:type="dxa"/>
            </w:tcMar>
            <w:vAlign w:val="center"/>
          </w:tcPr>
          <w:p>
            <w:pPr>
              <w:jc w:val="center"/>
              <w:rPr>
                <w:rFonts w:eastAsia="仿宋_GB2312"/>
                <w:w w:val="80"/>
              </w:rPr>
            </w:pPr>
          </w:p>
        </w:tc>
        <w:tc>
          <w:tcPr>
            <w:tcW w:w="1984" w:type="dxa"/>
            <w:tcMar>
              <w:left w:w="28" w:type="dxa"/>
              <w:right w:w="28" w:type="dxa"/>
            </w:tcMar>
            <w:vAlign w:val="center"/>
          </w:tcPr>
          <w:p>
            <w:pPr>
              <w:jc w:val="center"/>
              <w:rPr>
                <w:rFonts w:eastAsia="仿宋_GB2312"/>
                <w:w w:val="80"/>
              </w:rPr>
            </w:pPr>
          </w:p>
        </w:tc>
        <w:tc>
          <w:tcPr>
            <w:tcW w:w="1560" w:type="dxa"/>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rFonts w:eastAsia="仿宋_GB2312"/>
                <w:w w:val="80"/>
              </w:rPr>
            </w:pPr>
          </w:p>
        </w:tc>
        <w:tc>
          <w:tcPr>
            <w:tcW w:w="1134" w:type="dxa"/>
            <w:tcMar>
              <w:left w:w="28" w:type="dxa"/>
              <w:right w:w="28" w:type="dxa"/>
            </w:tcMar>
            <w:vAlign w:val="center"/>
          </w:tcPr>
          <w:p>
            <w:pPr>
              <w:jc w:val="center"/>
              <w:rPr>
                <w:rFonts w:eastAsia="仿宋_GB2312"/>
                <w:w w:val="80"/>
              </w:rPr>
            </w:pPr>
          </w:p>
        </w:tc>
        <w:tc>
          <w:tcPr>
            <w:tcW w:w="709" w:type="dxa"/>
            <w:tcMar>
              <w:left w:w="28" w:type="dxa"/>
              <w:right w:w="28" w:type="dxa"/>
            </w:tcMar>
            <w:vAlign w:val="center"/>
          </w:tcPr>
          <w:p>
            <w:pPr>
              <w:jc w:val="center"/>
              <w:rPr>
                <w:rFonts w:eastAsia="仿宋_GB2312"/>
                <w:w w:val="80"/>
              </w:rPr>
            </w:pPr>
          </w:p>
        </w:tc>
        <w:tc>
          <w:tcPr>
            <w:tcW w:w="1418" w:type="dxa"/>
            <w:tcMar>
              <w:left w:w="28" w:type="dxa"/>
              <w:right w:w="28" w:type="dxa"/>
            </w:tcMar>
            <w:vAlign w:val="center"/>
          </w:tcPr>
          <w:p>
            <w:pPr>
              <w:jc w:val="center"/>
              <w:rPr>
                <w:rFonts w:eastAsia="仿宋_GB2312"/>
                <w:w w:val="80"/>
              </w:rPr>
            </w:pPr>
          </w:p>
        </w:tc>
        <w:tc>
          <w:tcPr>
            <w:tcW w:w="1559" w:type="dxa"/>
            <w:tcMar>
              <w:left w:w="28" w:type="dxa"/>
              <w:right w:w="28" w:type="dxa"/>
            </w:tcMar>
            <w:vAlign w:val="center"/>
          </w:tcPr>
          <w:p>
            <w:pPr>
              <w:jc w:val="center"/>
              <w:rPr>
                <w:rFonts w:eastAsia="仿宋_GB2312"/>
                <w:w w:val="80"/>
              </w:rPr>
            </w:pPr>
          </w:p>
        </w:tc>
        <w:tc>
          <w:tcPr>
            <w:tcW w:w="1984" w:type="dxa"/>
            <w:tcMar>
              <w:left w:w="28" w:type="dxa"/>
              <w:right w:w="28" w:type="dxa"/>
            </w:tcMar>
            <w:vAlign w:val="center"/>
          </w:tcPr>
          <w:p>
            <w:pPr>
              <w:jc w:val="center"/>
              <w:rPr>
                <w:rFonts w:eastAsia="仿宋_GB2312"/>
                <w:w w:val="80"/>
              </w:rPr>
            </w:pPr>
          </w:p>
        </w:tc>
        <w:tc>
          <w:tcPr>
            <w:tcW w:w="1560" w:type="dxa"/>
            <w:tcMar>
              <w:left w:w="28" w:type="dxa"/>
              <w:right w:w="28" w:type="dxa"/>
            </w:tcMar>
            <w:vAlign w:val="center"/>
          </w:tcPr>
          <w:p>
            <w:pPr>
              <w:jc w:val="center"/>
              <w:rPr>
                <w:rFonts w:eastAsia="仿宋_GB2312"/>
                <w:w w:val="8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pPr>
              <w:jc w:val="center"/>
              <w:rPr>
                <w:rFonts w:eastAsia="仿宋_GB2312"/>
                <w:w w:val="80"/>
              </w:rPr>
            </w:pPr>
          </w:p>
        </w:tc>
        <w:tc>
          <w:tcPr>
            <w:tcW w:w="1134" w:type="dxa"/>
            <w:tcMar>
              <w:left w:w="28" w:type="dxa"/>
              <w:right w:w="28" w:type="dxa"/>
            </w:tcMar>
            <w:vAlign w:val="center"/>
          </w:tcPr>
          <w:p>
            <w:pPr>
              <w:jc w:val="center"/>
              <w:rPr>
                <w:rFonts w:eastAsia="仿宋_GB2312"/>
                <w:w w:val="80"/>
              </w:rPr>
            </w:pPr>
          </w:p>
        </w:tc>
        <w:tc>
          <w:tcPr>
            <w:tcW w:w="709" w:type="dxa"/>
            <w:tcMar>
              <w:left w:w="28" w:type="dxa"/>
              <w:right w:w="28" w:type="dxa"/>
            </w:tcMar>
            <w:vAlign w:val="center"/>
          </w:tcPr>
          <w:p>
            <w:pPr>
              <w:jc w:val="center"/>
              <w:rPr>
                <w:rFonts w:eastAsia="仿宋_GB2312"/>
                <w:w w:val="80"/>
              </w:rPr>
            </w:pPr>
          </w:p>
        </w:tc>
        <w:tc>
          <w:tcPr>
            <w:tcW w:w="1418" w:type="dxa"/>
            <w:tcMar>
              <w:left w:w="28" w:type="dxa"/>
              <w:right w:w="28" w:type="dxa"/>
            </w:tcMar>
            <w:vAlign w:val="center"/>
          </w:tcPr>
          <w:p>
            <w:pPr>
              <w:jc w:val="center"/>
              <w:rPr>
                <w:rFonts w:eastAsia="仿宋_GB2312"/>
                <w:w w:val="80"/>
              </w:rPr>
            </w:pPr>
          </w:p>
        </w:tc>
        <w:tc>
          <w:tcPr>
            <w:tcW w:w="1559" w:type="dxa"/>
            <w:tcMar>
              <w:left w:w="28" w:type="dxa"/>
              <w:right w:w="28" w:type="dxa"/>
            </w:tcMar>
            <w:vAlign w:val="center"/>
          </w:tcPr>
          <w:p>
            <w:pPr>
              <w:jc w:val="center"/>
              <w:rPr>
                <w:rFonts w:eastAsia="仿宋_GB2312"/>
                <w:w w:val="80"/>
              </w:rPr>
            </w:pPr>
          </w:p>
        </w:tc>
        <w:tc>
          <w:tcPr>
            <w:tcW w:w="1984" w:type="dxa"/>
            <w:tcMar>
              <w:left w:w="28" w:type="dxa"/>
              <w:right w:w="28" w:type="dxa"/>
            </w:tcMar>
            <w:vAlign w:val="center"/>
          </w:tcPr>
          <w:p>
            <w:pPr>
              <w:jc w:val="center"/>
              <w:rPr>
                <w:rFonts w:eastAsia="仿宋_GB2312"/>
                <w:w w:val="80"/>
              </w:rPr>
            </w:pPr>
          </w:p>
        </w:tc>
        <w:tc>
          <w:tcPr>
            <w:tcW w:w="1560" w:type="dxa"/>
            <w:tcMar>
              <w:left w:w="28" w:type="dxa"/>
              <w:right w:w="28" w:type="dxa"/>
            </w:tcMar>
            <w:vAlign w:val="center"/>
          </w:tcPr>
          <w:p>
            <w:pPr>
              <w:jc w:val="center"/>
              <w:rPr>
                <w:rFonts w:eastAsia="仿宋_GB2312"/>
                <w:w w:val="80"/>
              </w:rPr>
            </w:pPr>
          </w:p>
        </w:tc>
      </w:tr>
    </w:tbl>
    <w:p>
      <w:pPr>
        <w:pStyle w:val="9"/>
        <w:widowControl/>
        <w:spacing w:line="360" w:lineRule="auto"/>
        <w:ind w:firstLine="482"/>
        <w:jc w:val="left"/>
        <w:rPr>
          <w:b/>
          <w:color w:val="000000"/>
        </w:rPr>
      </w:pPr>
    </w:p>
    <w:p>
      <w:pPr>
        <w:pStyle w:val="9"/>
        <w:snapToGrid w:val="0"/>
        <w:spacing w:line="360" w:lineRule="auto"/>
        <w:ind w:firstLine="440"/>
        <w:rPr>
          <w:color w:val="000000"/>
          <w:sz w:val="22"/>
          <w:szCs w:val="24"/>
        </w:rPr>
      </w:pPr>
      <w:r>
        <w:rPr>
          <w:color w:val="000000"/>
          <w:sz w:val="22"/>
          <w:szCs w:val="24"/>
        </w:rPr>
        <w:t>投 标 人（盖章）：</w:t>
      </w:r>
    </w:p>
    <w:p>
      <w:pPr>
        <w:pStyle w:val="9"/>
        <w:snapToGrid w:val="0"/>
        <w:spacing w:line="360" w:lineRule="auto"/>
        <w:ind w:firstLine="440"/>
        <w:rPr>
          <w:color w:val="000000"/>
          <w:sz w:val="22"/>
          <w:szCs w:val="24"/>
        </w:rPr>
      </w:pPr>
      <w:r>
        <w:rPr>
          <w:color w:val="000000"/>
          <w:sz w:val="22"/>
          <w:szCs w:val="24"/>
        </w:rPr>
        <w:t>法定代表人或其授权代表（签字或盖章）：</w:t>
      </w:r>
    </w:p>
    <w:p>
      <w:pPr>
        <w:pStyle w:val="9"/>
        <w:widowControl/>
        <w:spacing w:line="360" w:lineRule="auto"/>
        <w:ind w:firstLine="440"/>
        <w:jc w:val="left"/>
        <w:rPr>
          <w:color w:val="000000"/>
          <w:sz w:val="22"/>
          <w:szCs w:val="24"/>
        </w:rPr>
      </w:pPr>
      <w:r>
        <w:rPr>
          <w:color w:val="000000"/>
          <w:sz w:val="22"/>
          <w:szCs w:val="24"/>
        </w:rPr>
        <w:t>日期：</w:t>
      </w:r>
    </w:p>
    <w:p>
      <w:pPr>
        <w:spacing w:line="540" w:lineRule="exact"/>
        <w:ind w:leftChars="-63" w:hanging="132" w:hangingChars="63"/>
      </w:pPr>
      <w:r>
        <w:br w:type="page"/>
      </w:r>
    </w:p>
    <w:p>
      <w:pPr>
        <w:spacing w:line="540" w:lineRule="exact"/>
        <w:ind w:left="560" w:firstLine="700" w:firstLineChars="250"/>
        <w:rPr>
          <w:rFonts w:ascii="宋体" w:hAnsi="宋体"/>
          <w:sz w:val="28"/>
        </w:rPr>
      </w:pPr>
    </w:p>
    <w:p>
      <w:pPr>
        <w:widowControl/>
        <w:jc w:val="left"/>
        <w:rPr>
          <w:rStyle w:val="47"/>
          <w:color w:val="000000"/>
          <w:szCs w:val="21"/>
        </w:rPr>
      </w:pPr>
      <w:r>
        <w:rPr>
          <w:b/>
          <w:color w:val="000000"/>
        </w:rPr>
        <w:t>格式</w:t>
      </w:r>
      <w:r>
        <w:rPr>
          <w:rFonts w:hint="eastAsia"/>
          <w:b/>
          <w:color w:val="000000"/>
        </w:rPr>
        <w:t>十一</w:t>
      </w:r>
      <w:r>
        <w:rPr>
          <w:b/>
          <w:color w:val="000000"/>
        </w:rPr>
        <w:t>：</w:t>
      </w:r>
      <w:r>
        <w:rPr>
          <w:rFonts w:hint="eastAsia"/>
          <w:color w:val="000000"/>
        </w:rPr>
        <w:t>网点情况表</w:t>
      </w:r>
    </w:p>
    <w:p>
      <w:pPr>
        <w:widowControl/>
        <w:snapToGrid w:val="0"/>
        <w:spacing w:line="360" w:lineRule="auto"/>
        <w:jc w:val="center"/>
        <w:rPr>
          <w:b/>
          <w:color w:val="000000"/>
          <w:sz w:val="24"/>
          <w:szCs w:val="21"/>
        </w:rPr>
      </w:pPr>
    </w:p>
    <w:p>
      <w:pPr>
        <w:widowControl/>
        <w:snapToGrid w:val="0"/>
        <w:spacing w:line="360" w:lineRule="auto"/>
        <w:jc w:val="center"/>
        <w:rPr>
          <w:b/>
          <w:color w:val="000000"/>
          <w:sz w:val="24"/>
          <w:szCs w:val="21"/>
        </w:rPr>
      </w:pPr>
      <w:r>
        <w:rPr>
          <w:b/>
          <w:color w:val="000000"/>
          <w:sz w:val="24"/>
          <w:szCs w:val="21"/>
        </w:rPr>
        <w:t>距采购单位最近或者能为本项目提供最优服务的网点情况表</w:t>
      </w:r>
    </w:p>
    <w:p>
      <w:pPr>
        <w:widowControl/>
        <w:snapToGrid w:val="0"/>
        <w:spacing w:line="360" w:lineRule="auto"/>
        <w:jc w:val="center"/>
        <w:rPr>
          <w:b/>
          <w:color w:val="000000"/>
          <w:sz w:val="24"/>
          <w:szCs w:val="21"/>
        </w:rPr>
      </w:pPr>
    </w:p>
    <w:tbl>
      <w:tblPr>
        <w:tblStyle w:val="2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6"/>
        <w:gridCol w:w="1622"/>
        <w:gridCol w:w="191"/>
        <w:gridCol w:w="1439"/>
        <w:gridCol w:w="888"/>
        <w:gridCol w:w="1435"/>
        <w:gridCol w:w="14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服务网点名称</w:t>
            </w:r>
          </w:p>
        </w:tc>
        <w:tc>
          <w:tcPr>
            <w:tcW w:w="5575" w:type="dxa"/>
            <w:gridSpan w:val="5"/>
          </w:tcPr>
          <w:p>
            <w:pPr>
              <w:snapToGrid w:val="0"/>
              <w:spacing w:before="50" w:after="120" w:afterLines="50" w:line="400" w:lineRule="exact"/>
              <w:jc w:val="left"/>
              <w:rPr>
                <w:color w:val="000000"/>
                <w:sz w:val="24"/>
                <w:szCs w:val="21"/>
              </w:rPr>
            </w:pPr>
          </w:p>
        </w:tc>
        <w:tc>
          <w:tcPr>
            <w:tcW w:w="1450" w:type="dxa"/>
            <w:vMerge w:val="restart"/>
            <w:vAlign w:val="center"/>
          </w:tcPr>
          <w:p>
            <w:pPr>
              <w:snapToGrid w:val="0"/>
              <w:spacing w:before="50" w:after="120" w:afterLines="50" w:line="400" w:lineRule="exact"/>
              <w:jc w:val="center"/>
              <w:rPr>
                <w:color w:val="000000"/>
                <w:sz w:val="24"/>
                <w:szCs w:val="21"/>
              </w:rPr>
            </w:pPr>
          </w:p>
          <w:p>
            <w:pPr>
              <w:snapToGrid w:val="0"/>
              <w:spacing w:before="50" w:after="120" w:afterLines="50" w:line="400" w:lineRule="exact"/>
              <w:jc w:val="center"/>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地址</w:t>
            </w:r>
          </w:p>
        </w:tc>
        <w:tc>
          <w:tcPr>
            <w:tcW w:w="5575" w:type="dxa"/>
            <w:gridSpan w:val="5"/>
          </w:tcPr>
          <w:p>
            <w:pPr>
              <w:snapToGrid w:val="0"/>
              <w:spacing w:before="50" w:after="120" w:afterLines="50" w:line="400" w:lineRule="exact"/>
              <w:jc w:val="left"/>
              <w:rPr>
                <w:color w:val="000000"/>
                <w:sz w:val="24"/>
                <w:szCs w:val="21"/>
              </w:rPr>
            </w:pPr>
          </w:p>
        </w:tc>
        <w:tc>
          <w:tcPr>
            <w:tcW w:w="1450" w:type="dxa"/>
            <w:vMerge w:val="continue"/>
            <w:vAlign w:val="center"/>
          </w:tcPr>
          <w:p>
            <w:pPr>
              <w:rPr>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注册资本金</w:t>
            </w:r>
          </w:p>
        </w:tc>
        <w:tc>
          <w:tcPr>
            <w:tcW w:w="1622" w:type="dxa"/>
          </w:tcPr>
          <w:p>
            <w:pPr>
              <w:snapToGrid w:val="0"/>
              <w:spacing w:before="50" w:after="120" w:afterLines="50" w:line="400" w:lineRule="exact"/>
              <w:jc w:val="left"/>
              <w:rPr>
                <w:color w:val="000000"/>
                <w:sz w:val="24"/>
                <w:szCs w:val="21"/>
              </w:rPr>
            </w:pPr>
          </w:p>
        </w:tc>
        <w:tc>
          <w:tcPr>
            <w:tcW w:w="2518" w:type="dxa"/>
            <w:gridSpan w:val="3"/>
          </w:tcPr>
          <w:p>
            <w:pPr>
              <w:snapToGrid w:val="0"/>
              <w:spacing w:before="50" w:after="120" w:afterLines="50" w:line="400" w:lineRule="exact"/>
              <w:jc w:val="left"/>
              <w:rPr>
                <w:color w:val="000000"/>
                <w:sz w:val="24"/>
                <w:szCs w:val="21"/>
              </w:rPr>
            </w:pPr>
            <w:r>
              <w:rPr>
                <w:color w:val="000000"/>
                <w:sz w:val="24"/>
                <w:szCs w:val="21"/>
              </w:rPr>
              <w:t>其中：投标人出资比例</w:t>
            </w:r>
          </w:p>
        </w:tc>
        <w:tc>
          <w:tcPr>
            <w:tcW w:w="1435" w:type="dxa"/>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员工总人数</w:t>
            </w:r>
          </w:p>
        </w:tc>
        <w:tc>
          <w:tcPr>
            <w:tcW w:w="1622" w:type="dxa"/>
          </w:tcPr>
          <w:p>
            <w:pPr>
              <w:snapToGrid w:val="0"/>
              <w:spacing w:before="50" w:after="120" w:afterLines="50" w:line="400" w:lineRule="exact"/>
              <w:jc w:val="left"/>
              <w:rPr>
                <w:color w:val="000000"/>
                <w:sz w:val="24"/>
                <w:szCs w:val="21"/>
              </w:rPr>
            </w:pPr>
          </w:p>
        </w:tc>
        <w:tc>
          <w:tcPr>
            <w:tcW w:w="2518" w:type="dxa"/>
            <w:gridSpan w:val="3"/>
          </w:tcPr>
          <w:p>
            <w:pPr>
              <w:snapToGrid w:val="0"/>
              <w:spacing w:before="50" w:after="120" w:afterLines="50" w:line="400" w:lineRule="exact"/>
              <w:ind w:left="60"/>
              <w:jc w:val="left"/>
              <w:rPr>
                <w:color w:val="000000"/>
                <w:sz w:val="24"/>
                <w:szCs w:val="21"/>
              </w:rPr>
            </w:pPr>
            <w:r>
              <w:rPr>
                <w:color w:val="000000"/>
                <w:sz w:val="24"/>
                <w:szCs w:val="21"/>
              </w:rPr>
              <w:t>其中：技术人员数</w:t>
            </w:r>
          </w:p>
        </w:tc>
        <w:tc>
          <w:tcPr>
            <w:tcW w:w="1435" w:type="dxa"/>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经营期限</w:t>
            </w:r>
          </w:p>
        </w:tc>
        <w:tc>
          <w:tcPr>
            <w:tcW w:w="5575" w:type="dxa"/>
            <w:gridSpan w:val="5"/>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售后服务协议</w:t>
            </w:r>
          </w:p>
        </w:tc>
        <w:tc>
          <w:tcPr>
            <w:tcW w:w="5575" w:type="dxa"/>
            <w:gridSpan w:val="5"/>
          </w:tcPr>
          <w:p>
            <w:pPr>
              <w:snapToGrid w:val="0"/>
              <w:spacing w:before="50" w:after="120" w:afterLines="50" w:line="400" w:lineRule="exact"/>
              <w:ind w:firstLine="120" w:firstLineChars="50"/>
              <w:jc w:val="left"/>
              <w:rPr>
                <w:color w:val="000000"/>
                <w:sz w:val="24"/>
                <w:szCs w:val="21"/>
              </w:rPr>
            </w:pPr>
            <w:r>
              <w:rPr>
                <w:rFonts w:hint="eastAsia"/>
                <w:color w:val="000000"/>
                <w:sz w:val="24"/>
                <w:szCs w:val="21"/>
              </w:rPr>
              <w:t>如有，后附协议</w:t>
            </w: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售后服务内容</w:t>
            </w:r>
          </w:p>
        </w:tc>
        <w:tc>
          <w:tcPr>
            <w:tcW w:w="5575" w:type="dxa"/>
            <w:gridSpan w:val="5"/>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工作业绩</w:t>
            </w:r>
          </w:p>
        </w:tc>
        <w:tc>
          <w:tcPr>
            <w:tcW w:w="5575" w:type="dxa"/>
            <w:gridSpan w:val="5"/>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服务承诺</w:t>
            </w:r>
          </w:p>
        </w:tc>
        <w:tc>
          <w:tcPr>
            <w:tcW w:w="5575" w:type="dxa"/>
            <w:gridSpan w:val="5"/>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业务咨询电话</w:t>
            </w:r>
          </w:p>
        </w:tc>
        <w:tc>
          <w:tcPr>
            <w:tcW w:w="1813" w:type="dxa"/>
            <w:gridSpan w:val="2"/>
          </w:tcPr>
          <w:p>
            <w:pPr>
              <w:snapToGrid w:val="0"/>
              <w:spacing w:before="50" w:after="120" w:afterLines="50" w:line="400" w:lineRule="exact"/>
              <w:jc w:val="left"/>
              <w:rPr>
                <w:color w:val="000000"/>
                <w:sz w:val="24"/>
                <w:szCs w:val="21"/>
              </w:rPr>
            </w:pPr>
          </w:p>
        </w:tc>
        <w:tc>
          <w:tcPr>
            <w:tcW w:w="1439" w:type="dxa"/>
          </w:tcPr>
          <w:p>
            <w:pPr>
              <w:snapToGrid w:val="0"/>
              <w:spacing w:before="50" w:after="120" w:afterLines="50" w:line="400" w:lineRule="exact"/>
              <w:ind w:firstLine="240" w:firstLineChars="100"/>
              <w:jc w:val="left"/>
              <w:rPr>
                <w:color w:val="000000"/>
                <w:sz w:val="24"/>
                <w:szCs w:val="21"/>
              </w:rPr>
            </w:pPr>
            <w:r>
              <w:rPr>
                <w:color w:val="000000"/>
                <w:sz w:val="24"/>
                <w:szCs w:val="21"/>
              </w:rPr>
              <w:t>传 真</w:t>
            </w:r>
          </w:p>
        </w:tc>
        <w:tc>
          <w:tcPr>
            <w:tcW w:w="2323" w:type="dxa"/>
            <w:gridSpan w:val="2"/>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color w:val="000000"/>
                <w:sz w:val="24"/>
                <w:szCs w:val="21"/>
              </w:rPr>
            </w:pPr>
            <w:r>
              <w:rPr>
                <w:color w:val="000000"/>
                <w:sz w:val="24"/>
                <w:szCs w:val="21"/>
              </w:rPr>
              <w:t>负责人</w:t>
            </w:r>
          </w:p>
        </w:tc>
        <w:tc>
          <w:tcPr>
            <w:tcW w:w="1813" w:type="dxa"/>
            <w:gridSpan w:val="2"/>
          </w:tcPr>
          <w:p>
            <w:pPr>
              <w:snapToGrid w:val="0"/>
              <w:spacing w:before="50" w:after="120" w:afterLines="50" w:line="400" w:lineRule="exact"/>
              <w:jc w:val="left"/>
              <w:rPr>
                <w:color w:val="000000"/>
                <w:sz w:val="24"/>
                <w:szCs w:val="21"/>
              </w:rPr>
            </w:pPr>
          </w:p>
        </w:tc>
        <w:tc>
          <w:tcPr>
            <w:tcW w:w="1439" w:type="dxa"/>
          </w:tcPr>
          <w:p>
            <w:pPr>
              <w:snapToGrid w:val="0"/>
              <w:spacing w:before="50" w:after="120" w:afterLines="50" w:line="400" w:lineRule="exact"/>
              <w:jc w:val="left"/>
              <w:rPr>
                <w:color w:val="000000"/>
                <w:sz w:val="24"/>
                <w:szCs w:val="21"/>
              </w:rPr>
            </w:pPr>
            <w:r>
              <w:rPr>
                <w:color w:val="000000"/>
                <w:sz w:val="24"/>
                <w:szCs w:val="21"/>
              </w:rPr>
              <w:t>联系电话</w:t>
            </w:r>
          </w:p>
        </w:tc>
        <w:tc>
          <w:tcPr>
            <w:tcW w:w="2323" w:type="dxa"/>
            <w:gridSpan w:val="2"/>
          </w:tcPr>
          <w:p>
            <w:pPr>
              <w:snapToGrid w:val="0"/>
              <w:spacing w:before="50" w:after="120" w:afterLines="50" w:line="400" w:lineRule="exact"/>
              <w:jc w:val="left"/>
              <w:rPr>
                <w:color w:val="000000"/>
                <w:sz w:val="24"/>
                <w:szCs w:val="21"/>
              </w:rPr>
            </w:pPr>
          </w:p>
        </w:tc>
        <w:tc>
          <w:tcPr>
            <w:tcW w:w="1450" w:type="dxa"/>
          </w:tcPr>
          <w:p>
            <w:pPr>
              <w:snapToGrid w:val="0"/>
              <w:spacing w:before="50" w:after="120" w:afterLines="50" w:line="400" w:lineRule="exact"/>
              <w:jc w:val="left"/>
              <w:rPr>
                <w:color w:val="000000"/>
                <w:sz w:val="24"/>
                <w:szCs w:val="21"/>
              </w:rPr>
            </w:pPr>
          </w:p>
        </w:tc>
      </w:tr>
    </w:tbl>
    <w:p>
      <w:pPr>
        <w:pStyle w:val="6"/>
        <w:numPr>
          <w:ilvl w:val="0"/>
          <w:numId w:val="0"/>
        </w:numPr>
        <w:snapToGrid w:val="0"/>
        <w:rPr>
          <w:rFonts w:ascii="Times New Roman" w:hAnsi="Times New Roman" w:eastAsia="宋体" w:cs="Times New Roman"/>
          <w:color w:val="000000"/>
          <w:sz w:val="24"/>
          <w:szCs w:val="21"/>
        </w:rPr>
      </w:pPr>
    </w:p>
    <w:p>
      <w:pPr>
        <w:pStyle w:val="9"/>
        <w:snapToGrid w:val="0"/>
        <w:spacing w:line="360" w:lineRule="auto"/>
        <w:ind w:firstLine="440"/>
        <w:rPr>
          <w:color w:val="000000"/>
          <w:sz w:val="22"/>
          <w:szCs w:val="24"/>
        </w:rPr>
      </w:pPr>
      <w:r>
        <w:rPr>
          <w:color w:val="000000"/>
          <w:sz w:val="22"/>
          <w:szCs w:val="24"/>
        </w:rPr>
        <w:t>投 标 人（盖章）：</w:t>
      </w:r>
    </w:p>
    <w:p>
      <w:pPr>
        <w:pStyle w:val="9"/>
        <w:snapToGrid w:val="0"/>
        <w:spacing w:line="360" w:lineRule="auto"/>
        <w:ind w:firstLine="440"/>
        <w:rPr>
          <w:color w:val="000000"/>
          <w:sz w:val="22"/>
          <w:szCs w:val="24"/>
        </w:rPr>
      </w:pPr>
      <w:r>
        <w:rPr>
          <w:color w:val="000000"/>
          <w:sz w:val="22"/>
          <w:szCs w:val="24"/>
        </w:rPr>
        <w:t>法定代表人或其授权代表（签字或盖章）：</w:t>
      </w:r>
    </w:p>
    <w:p>
      <w:pPr>
        <w:pStyle w:val="9"/>
        <w:widowControl/>
        <w:spacing w:line="360" w:lineRule="auto"/>
        <w:ind w:firstLine="440"/>
        <w:jc w:val="left"/>
        <w:rPr>
          <w:color w:val="000000"/>
          <w:sz w:val="22"/>
          <w:szCs w:val="24"/>
        </w:rPr>
      </w:pPr>
      <w:r>
        <w:rPr>
          <w:color w:val="000000"/>
          <w:sz w:val="22"/>
          <w:szCs w:val="24"/>
        </w:rPr>
        <w:t>日期：</w:t>
      </w:r>
    </w:p>
    <w:p>
      <w:pPr>
        <w:widowControl/>
        <w:jc w:val="left"/>
        <w:rPr>
          <w:color w:val="000000"/>
          <w:sz w:val="24"/>
          <w:szCs w:val="21"/>
        </w:rPr>
      </w:pPr>
    </w:p>
    <w:p>
      <w:pPr>
        <w:tabs>
          <w:tab w:val="left" w:pos="606"/>
        </w:tabs>
        <w:rPr>
          <w:color w:val="000000"/>
          <w:szCs w:val="21"/>
        </w:rPr>
      </w:pPr>
    </w:p>
    <w:p>
      <w:pPr>
        <w:snapToGrid w:val="0"/>
        <w:spacing w:before="50" w:after="50"/>
        <w:rPr>
          <w:color w:val="000000"/>
          <w:szCs w:val="21"/>
        </w:rPr>
      </w:pPr>
    </w:p>
    <w:p>
      <w:pPr>
        <w:tabs>
          <w:tab w:val="left" w:pos="606"/>
        </w:tabs>
        <w:rPr>
          <w:color w:val="000000"/>
          <w:szCs w:val="21"/>
        </w:rPr>
      </w:pPr>
    </w:p>
    <w:p>
      <w:pPr>
        <w:tabs>
          <w:tab w:val="left" w:pos="606"/>
        </w:tabs>
        <w:rPr>
          <w:color w:val="000000"/>
          <w:szCs w:val="21"/>
        </w:rPr>
      </w:pPr>
    </w:p>
    <w:p>
      <w:pPr>
        <w:widowControl/>
        <w:jc w:val="left"/>
        <w:rPr>
          <w:rStyle w:val="47"/>
          <w:color w:val="000000"/>
          <w:szCs w:val="21"/>
        </w:rPr>
      </w:pPr>
      <w:r>
        <w:rPr>
          <w:color w:val="000000"/>
        </w:rPr>
        <w:br w:type="page"/>
      </w:r>
      <w:r>
        <w:rPr>
          <w:b/>
          <w:color w:val="000000"/>
        </w:rPr>
        <w:t>格式</w:t>
      </w:r>
      <w:r>
        <w:rPr>
          <w:rFonts w:hint="eastAsia"/>
          <w:b/>
          <w:color w:val="000000"/>
        </w:rPr>
        <w:t>十二</w:t>
      </w:r>
      <w:r>
        <w:rPr>
          <w:b/>
          <w:color w:val="000000"/>
        </w:rPr>
        <w:t>：</w:t>
      </w:r>
      <w:r>
        <w:rPr>
          <w:rFonts w:hint="eastAsia"/>
          <w:color w:val="000000"/>
        </w:rPr>
        <w:t>投标函</w:t>
      </w:r>
    </w:p>
    <w:p>
      <w:pPr>
        <w:widowControl/>
        <w:spacing w:line="400" w:lineRule="exact"/>
        <w:jc w:val="center"/>
        <w:rPr>
          <w:b/>
          <w:color w:val="000000"/>
          <w:sz w:val="24"/>
          <w:szCs w:val="21"/>
        </w:rPr>
      </w:pPr>
      <w:r>
        <w:rPr>
          <w:b/>
          <w:color w:val="000000"/>
          <w:sz w:val="24"/>
          <w:szCs w:val="21"/>
        </w:rPr>
        <w:t>投标函</w:t>
      </w:r>
    </w:p>
    <w:p>
      <w:pPr>
        <w:pStyle w:val="9"/>
        <w:widowControl/>
        <w:spacing w:line="360" w:lineRule="auto"/>
        <w:ind w:firstLine="0"/>
        <w:jc w:val="left"/>
        <w:rPr>
          <w:color w:val="000000"/>
          <w:sz w:val="21"/>
          <w:szCs w:val="21"/>
        </w:rPr>
      </w:pPr>
      <w:r>
        <w:rPr>
          <w:color w:val="000000"/>
          <w:sz w:val="21"/>
          <w:szCs w:val="21"/>
        </w:rPr>
        <w:t>致：</w:t>
      </w:r>
      <w:r>
        <w:rPr>
          <w:rFonts w:hint="eastAsia"/>
          <w:color w:val="000000"/>
          <w:sz w:val="21"/>
          <w:szCs w:val="21"/>
        </w:rPr>
        <w:t>浙江嘉源工程项目管理有限公司</w:t>
      </w:r>
    </w:p>
    <w:p>
      <w:pPr>
        <w:pStyle w:val="9"/>
        <w:widowControl/>
        <w:spacing w:line="360" w:lineRule="auto"/>
        <w:ind w:firstLine="420"/>
        <w:jc w:val="left"/>
        <w:rPr>
          <w:color w:val="000000"/>
          <w:sz w:val="21"/>
          <w:szCs w:val="21"/>
        </w:rPr>
      </w:pPr>
      <w:r>
        <w:rPr>
          <w:color w:val="000000"/>
          <w:sz w:val="21"/>
          <w:szCs w:val="21"/>
        </w:rPr>
        <w:t xml:space="preserve">    </w:t>
      </w:r>
      <w:r>
        <w:rPr>
          <w:color w:val="000000"/>
          <w:sz w:val="21"/>
          <w:szCs w:val="21"/>
          <w:u w:val="single"/>
        </w:rPr>
        <w:t xml:space="preserve">   （投标人全称）   </w:t>
      </w:r>
      <w:r>
        <w:rPr>
          <w:color w:val="000000"/>
          <w:sz w:val="21"/>
          <w:szCs w:val="21"/>
        </w:rPr>
        <w:t xml:space="preserve"> 授权</w:t>
      </w:r>
      <w:r>
        <w:rPr>
          <w:color w:val="000000"/>
          <w:sz w:val="21"/>
          <w:szCs w:val="21"/>
          <w:u w:val="single"/>
        </w:rPr>
        <w:t xml:space="preserve"> （授权代表姓名、职务）   </w:t>
      </w:r>
      <w:r>
        <w:rPr>
          <w:color w:val="000000"/>
          <w:sz w:val="21"/>
          <w:szCs w:val="21"/>
        </w:rPr>
        <w:t xml:space="preserve">为本公司合法代理人，参加贵方组织的 </w:t>
      </w:r>
      <w:r>
        <w:rPr>
          <w:color w:val="000000"/>
          <w:sz w:val="21"/>
          <w:szCs w:val="21"/>
          <w:u w:val="single"/>
        </w:rPr>
        <w:t xml:space="preserve">   （项目编号、项目名称） </w:t>
      </w:r>
      <w:r>
        <w:rPr>
          <w:color w:val="000000"/>
          <w:sz w:val="21"/>
          <w:szCs w:val="21"/>
        </w:rPr>
        <w:t>招投标活动，代表本公司（单位）处理招投标活动中的一切事宜，在此：</w:t>
      </w:r>
    </w:p>
    <w:p>
      <w:pPr>
        <w:pStyle w:val="9"/>
        <w:widowControl/>
        <w:numPr>
          <w:ilvl w:val="0"/>
          <w:numId w:val="10"/>
        </w:numPr>
        <w:spacing w:line="240" w:lineRule="auto"/>
        <w:ind w:firstLine="420"/>
        <w:jc w:val="left"/>
        <w:rPr>
          <w:color w:val="000000"/>
          <w:sz w:val="21"/>
          <w:szCs w:val="21"/>
        </w:rPr>
      </w:pPr>
      <w:r>
        <w:rPr>
          <w:color w:val="000000"/>
          <w:sz w:val="21"/>
          <w:szCs w:val="21"/>
        </w:rPr>
        <w:t>提供采购文件中“投标须知”规定的全部投标文件：</w:t>
      </w:r>
    </w:p>
    <w:p>
      <w:pPr>
        <w:pStyle w:val="9"/>
        <w:spacing w:line="360" w:lineRule="exact"/>
        <w:ind w:firstLine="514"/>
        <w:rPr>
          <w:color w:val="000000"/>
          <w:sz w:val="21"/>
          <w:szCs w:val="21"/>
        </w:rPr>
      </w:pPr>
      <w:r>
        <w:rPr>
          <w:rFonts w:hint="eastAsia"/>
          <w:color w:val="000000"/>
          <w:sz w:val="21"/>
          <w:szCs w:val="21"/>
        </w:rPr>
        <w:t>（1）上传到政府采购云平台的电子投标文件（含资格证明文件、商务技术文件、报价文件）1份。</w:t>
      </w:r>
    </w:p>
    <w:p>
      <w:pPr>
        <w:pStyle w:val="9"/>
        <w:spacing w:line="360" w:lineRule="exact"/>
        <w:ind w:firstLine="514"/>
        <w:rPr>
          <w:color w:val="FF0000"/>
          <w:sz w:val="21"/>
          <w:szCs w:val="21"/>
        </w:rPr>
      </w:pPr>
      <w:r>
        <w:rPr>
          <w:rFonts w:hint="eastAsia"/>
          <w:color w:val="FF0000"/>
          <w:sz w:val="21"/>
          <w:szCs w:val="21"/>
        </w:rPr>
        <w:t>（2）以U盘形式提供的由政采云系统导出的电子备份投标文件 1份。（</w:t>
      </w:r>
      <w:r>
        <w:rPr>
          <w:rFonts w:hint="eastAsia"/>
          <w:color w:val="FF0000"/>
          <w:sz w:val="21"/>
          <w:szCs w:val="21"/>
          <w:u w:val="single"/>
        </w:rPr>
        <w:t>是/否</w:t>
      </w:r>
      <w:r>
        <w:rPr>
          <w:rFonts w:hint="eastAsia"/>
          <w:color w:val="FF0000"/>
          <w:sz w:val="21"/>
          <w:szCs w:val="21"/>
        </w:rPr>
        <w:t>，本项可选）</w:t>
      </w:r>
    </w:p>
    <w:p>
      <w:pPr>
        <w:pStyle w:val="9"/>
        <w:widowControl/>
        <w:numPr>
          <w:ilvl w:val="0"/>
          <w:numId w:val="10"/>
        </w:numPr>
        <w:spacing w:line="240" w:lineRule="auto"/>
        <w:ind w:firstLine="420"/>
        <w:jc w:val="left"/>
        <w:rPr>
          <w:color w:val="000000"/>
          <w:sz w:val="21"/>
          <w:szCs w:val="21"/>
        </w:rPr>
      </w:pPr>
      <w:r>
        <w:rPr>
          <w:rFonts w:hint="eastAsia"/>
          <w:color w:val="000000"/>
          <w:sz w:val="21"/>
          <w:szCs w:val="21"/>
        </w:rPr>
        <w:t>据此函，签字代表宣布并承诺如下：</w:t>
      </w:r>
    </w:p>
    <w:p>
      <w:pPr>
        <w:pStyle w:val="9"/>
        <w:spacing w:line="360" w:lineRule="exact"/>
        <w:ind w:firstLine="514"/>
        <w:rPr>
          <w:sz w:val="21"/>
          <w:szCs w:val="21"/>
        </w:rPr>
      </w:pPr>
      <w:r>
        <w:rPr>
          <w:rFonts w:hint="eastAsia"/>
          <w:sz w:val="21"/>
          <w:szCs w:val="21"/>
        </w:rPr>
        <w:t>（1）投标报价为开标一览表载明的投标报价。</w:t>
      </w:r>
    </w:p>
    <w:p>
      <w:pPr>
        <w:pStyle w:val="9"/>
        <w:spacing w:line="360" w:lineRule="exact"/>
        <w:ind w:left="1077" w:leftChars="513" w:firstLine="0"/>
        <w:rPr>
          <w:sz w:val="21"/>
          <w:szCs w:val="21"/>
        </w:rPr>
      </w:pPr>
      <w:r>
        <w:rPr>
          <w:rFonts w:hint="eastAsia"/>
          <w:sz w:val="21"/>
          <w:szCs w:val="21"/>
        </w:rPr>
        <w:t>本报价已经包含了投标项目应纳的税金及采购文件规定的报价方式应包含的其它费用。本报价在投标有效期内固定不变，并在合同有效期内不受利率波动的影响。</w:t>
      </w:r>
    </w:p>
    <w:p>
      <w:pPr>
        <w:pStyle w:val="9"/>
        <w:spacing w:line="360" w:lineRule="exact"/>
        <w:ind w:firstLine="514"/>
        <w:rPr>
          <w:sz w:val="21"/>
          <w:szCs w:val="21"/>
        </w:rPr>
      </w:pPr>
      <w:r>
        <w:rPr>
          <w:rFonts w:hint="eastAsia"/>
          <w:sz w:val="21"/>
          <w:szCs w:val="21"/>
        </w:rPr>
        <w:t>（2）本投标文件自开标之日起 90天内有效。</w:t>
      </w:r>
    </w:p>
    <w:p>
      <w:pPr>
        <w:pStyle w:val="9"/>
        <w:spacing w:line="360" w:lineRule="exact"/>
        <w:ind w:firstLine="514"/>
        <w:rPr>
          <w:sz w:val="21"/>
          <w:szCs w:val="21"/>
        </w:rPr>
      </w:pPr>
      <w:r>
        <w:rPr>
          <w:rFonts w:hint="eastAsia"/>
          <w:sz w:val="21"/>
          <w:szCs w:val="21"/>
        </w:rPr>
        <w:t>（3）我们已详细审查全部采购文件及有关的澄清/修改文件(若有)，我们完全理解并同意放弃对这方面提出任何异议的权利。</w:t>
      </w:r>
    </w:p>
    <w:p>
      <w:pPr>
        <w:pStyle w:val="9"/>
        <w:spacing w:line="360" w:lineRule="exact"/>
        <w:ind w:firstLine="514"/>
        <w:rPr>
          <w:sz w:val="21"/>
          <w:szCs w:val="21"/>
        </w:rPr>
      </w:pPr>
      <w:r>
        <w:rPr>
          <w:rFonts w:hint="eastAsia"/>
          <w:sz w:val="21"/>
          <w:szCs w:val="21"/>
        </w:rPr>
        <w:t>（4）保证遵守采购文件有关条款规定。</w:t>
      </w:r>
    </w:p>
    <w:p>
      <w:pPr>
        <w:pStyle w:val="9"/>
        <w:spacing w:line="360" w:lineRule="exact"/>
        <w:ind w:firstLine="514"/>
        <w:rPr>
          <w:sz w:val="21"/>
          <w:szCs w:val="21"/>
        </w:rPr>
      </w:pPr>
      <w:r>
        <w:rPr>
          <w:rFonts w:hint="eastAsia"/>
          <w:sz w:val="21"/>
          <w:szCs w:val="21"/>
        </w:rPr>
        <w:t>（</w:t>
      </w:r>
      <w:r>
        <w:rPr>
          <w:sz w:val="21"/>
          <w:szCs w:val="21"/>
        </w:rPr>
        <w:t>5</w:t>
      </w:r>
      <w:r>
        <w:rPr>
          <w:rFonts w:hint="eastAsia"/>
          <w:sz w:val="21"/>
          <w:szCs w:val="21"/>
        </w:rPr>
        <w:t>）保证在中标后忠实地执行与采购人所签署的合同，并承担合同规定的责任义务。</w:t>
      </w:r>
    </w:p>
    <w:p>
      <w:pPr>
        <w:pStyle w:val="9"/>
        <w:spacing w:line="360" w:lineRule="exact"/>
        <w:ind w:firstLine="514"/>
        <w:rPr>
          <w:sz w:val="21"/>
          <w:szCs w:val="21"/>
        </w:rPr>
      </w:pPr>
      <w:r>
        <w:rPr>
          <w:rFonts w:hint="eastAsia"/>
          <w:sz w:val="21"/>
          <w:szCs w:val="21"/>
        </w:rPr>
        <w:t>（</w:t>
      </w:r>
      <w:r>
        <w:rPr>
          <w:sz w:val="21"/>
          <w:szCs w:val="21"/>
        </w:rPr>
        <w:t>6</w:t>
      </w:r>
      <w:r>
        <w:rPr>
          <w:rFonts w:hint="eastAsia"/>
          <w:sz w:val="21"/>
          <w:szCs w:val="21"/>
        </w:rPr>
        <w:t>）完全同意采购文件中有关招标代理服务费的条款。</w:t>
      </w:r>
    </w:p>
    <w:p>
      <w:pPr>
        <w:pStyle w:val="9"/>
        <w:spacing w:line="360" w:lineRule="exact"/>
        <w:ind w:firstLine="514"/>
        <w:rPr>
          <w:sz w:val="21"/>
          <w:szCs w:val="21"/>
        </w:rPr>
      </w:pPr>
      <w:r>
        <w:rPr>
          <w:rFonts w:hint="eastAsia"/>
          <w:sz w:val="21"/>
          <w:szCs w:val="21"/>
        </w:rPr>
        <w:t>（</w:t>
      </w:r>
      <w:r>
        <w:rPr>
          <w:sz w:val="21"/>
          <w:szCs w:val="21"/>
        </w:rPr>
        <w:t>7</w:t>
      </w:r>
      <w:r>
        <w:rPr>
          <w:rFonts w:hint="eastAsia"/>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9"/>
        <w:widowControl/>
        <w:numPr>
          <w:ilvl w:val="0"/>
          <w:numId w:val="10"/>
        </w:numPr>
        <w:spacing w:line="240" w:lineRule="auto"/>
        <w:ind w:firstLine="420"/>
        <w:jc w:val="left"/>
        <w:rPr>
          <w:color w:val="000000"/>
          <w:sz w:val="21"/>
          <w:szCs w:val="21"/>
        </w:rPr>
      </w:pPr>
      <w:r>
        <w:rPr>
          <w:rFonts w:hint="eastAsia"/>
          <w:color w:val="000000"/>
          <w:sz w:val="21"/>
          <w:szCs w:val="21"/>
        </w:rPr>
        <w:t>与本项目投标有关的一切往来通讯请寄：</w:t>
      </w:r>
    </w:p>
    <w:p>
      <w:pPr>
        <w:pStyle w:val="9"/>
        <w:spacing w:line="360" w:lineRule="exact"/>
        <w:ind w:left="480" w:firstLine="0"/>
        <w:rPr>
          <w:sz w:val="21"/>
          <w:szCs w:val="21"/>
        </w:rPr>
      </w:pPr>
      <w:r>
        <w:rPr>
          <w:rFonts w:hint="eastAsia"/>
          <w:sz w:val="21"/>
          <w:szCs w:val="21"/>
        </w:rPr>
        <w:t>地址：</w:t>
      </w:r>
      <w:r>
        <w:rPr>
          <w:rFonts w:hint="eastAsia"/>
          <w:sz w:val="21"/>
          <w:szCs w:val="21"/>
          <w:u w:val="single"/>
        </w:rPr>
        <w:t xml:space="preserve">                                                   </w:t>
      </w:r>
    </w:p>
    <w:p>
      <w:pPr>
        <w:pStyle w:val="9"/>
        <w:spacing w:line="360" w:lineRule="exact"/>
        <w:ind w:left="480" w:firstLine="0"/>
        <w:rPr>
          <w:sz w:val="21"/>
          <w:szCs w:val="21"/>
          <w:u w:val="single"/>
        </w:rPr>
      </w:pPr>
      <w:r>
        <w:rPr>
          <w:rFonts w:hint="eastAsia"/>
          <w:sz w:val="21"/>
          <w:szCs w:val="21"/>
        </w:rPr>
        <w:t>邮编：</w:t>
      </w:r>
      <w:r>
        <w:rPr>
          <w:rFonts w:hint="eastAsia"/>
          <w:sz w:val="21"/>
          <w:szCs w:val="21"/>
          <w:u w:val="single"/>
        </w:rPr>
        <w:t xml:space="preserve">            </w:t>
      </w:r>
      <w:r>
        <w:rPr>
          <w:rFonts w:hint="eastAsia"/>
          <w:sz w:val="21"/>
          <w:szCs w:val="21"/>
        </w:rPr>
        <w:t>电话：</w:t>
      </w:r>
      <w:r>
        <w:rPr>
          <w:rFonts w:hint="eastAsia"/>
          <w:sz w:val="21"/>
          <w:szCs w:val="21"/>
          <w:u w:val="single"/>
        </w:rPr>
        <w:t xml:space="preserve">              </w:t>
      </w:r>
      <w:r>
        <w:rPr>
          <w:rFonts w:hint="eastAsia"/>
          <w:sz w:val="21"/>
          <w:szCs w:val="21"/>
        </w:rPr>
        <w:t>传真：</w:t>
      </w:r>
      <w:r>
        <w:rPr>
          <w:rFonts w:hint="eastAsia"/>
          <w:sz w:val="21"/>
          <w:szCs w:val="21"/>
          <w:u w:val="single"/>
        </w:rPr>
        <w:t xml:space="preserve">             </w:t>
      </w:r>
    </w:p>
    <w:p>
      <w:pPr>
        <w:spacing w:line="400" w:lineRule="exact"/>
        <w:rPr>
          <w:color w:val="000000"/>
          <w:szCs w:val="21"/>
        </w:rPr>
      </w:pPr>
    </w:p>
    <w:p>
      <w:pPr>
        <w:pStyle w:val="9"/>
        <w:snapToGrid w:val="0"/>
        <w:spacing w:line="360" w:lineRule="auto"/>
        <w:ind w:firstLine="0"/>
        <w:rPr>
          <w:color w:val="000000"/>
          <w:sz w:val="22"/>
          <w:szCs w:val="24"/>
        </w:rPr>
      </w:pPr>
      <w:r>
        <w:rPr>
          <w:color w:val="000000"/>
          <w:sz w:val="22"/>
          <w:szCs w:val="24"/>
        </w:rPr>
        <w:t>投 标 人（盖章）：</w:t>
      </w:r>
    </w:p>
    <w:p>
      <w:pPr>
        <w:pStyle w:val="9"/>
        <w:snapToGrid w:val="0"/>
        <w:spacing w:line="360" w:lineRule="auto"/>
        <w:ind w:firstLine="0"/>
        <w:rPr>
          <w:color w:val="000000"/>
          <w:sz w:val="22"/>
          <w:szCs w:val="24"/>
        </w:rPr>
      </w:pPr>
      <w:r>
        <w:rPr>
          <w:color w:val="000000"/>
          <w:sz w:val="22"/>
          <w:szCs w:val="24"/>
        </w:rPr>
        <w:t>法定代表人或其授权代表（签字或盖章）：</w:t>
      </w:r>
    </w:p>
    <w:p>
      <w:pPr>
        <w:pStyle w:val="9"/>
        <w:widowControl/>
        <w:spacing w:line="360" w:lineRule="auto"/>
        <w:ind w:firstLine="0"/>
        <w:jc w:val="left"/>
        <w:rPr>
          <w:color w:val="000000"/>
          <w:sz w:val="22"/>
          <w:szCs w:val="24"/>
        </w:rPr>
      </w:pPr>
      <w:r>
        <w:rPr>
          <w:color w:val="000000"/>
          <w:sz w:val="22"/>
          <w:szCs w:val="24"/>
        </w:rPr>
        <w:t>日期：</w:t>
      </w:r>
    </w:p>
    <w:p>
      <w:pPr>
        <w:spacing w:line="360" w:lineRule="auto"/>
        <w:jc w:val="left"/>
      </w:pPr>
      <w:r>
        <w:rPr>
          <w:color w:val="000000"/>
          <w:sz w:val="24"/>
        </w:rPr>
        <w:br w:type="page"/>
      </w:r>
    </w:p>
    <w:p>
      <w:pPr>
        <w:rPr>
          <w:b/>
          <w:color w:val="0000FF"/>
        </w:rPr>
      </w:pPr>
      <w:r>
        <w:rPr>
          <w:b/>
          <w:color w:val="0000FF"/>
        </w:rPr>
        <w:t>格式十</w:t>
      </w:r>
      <w:r>
        <w:rPr>
          <w:rFonts w:hint="eastAsia"/>
          <w:b/>
          <w:color w:val="0000FF"/>
        </w:rPr>
        <w:t>三</w:t>
      </w:r>
      <w:r>
        <w:rPr>
          <w:b/>
          <w:color w:val="0000FF"/>
        </w:rPr>
        <w:t>：</w:t>
      </w:r>
      <w:r>
        <w:rPr>
          <w:rFonts w:hint="eastAsia"/>
          <w:b/>
          <w:color w:val="0000FF"/>
        </w:rPr>
        <w:t>开标一览表</w:t>
      </w:r>
    </w:p>
    <w:p>
      <w:pPr>
        <w:snapToGrid w:val="0"/>
        <w:spacing w:before="120" w:beforeLines="50" w:after="50"/>
        <w:jc w:val="center"/>
        <w:rPr>
          <w:rFonts w:ascii="宋体" w:hAnsi="宋体" w:cs="宋体"/>
          <w:b/>
          <w:color w:val="0000FF"/>
          <w:sz w:val="32"/>
          <w:szCs w:val="32"/>
        </w:rPr>
      </w:pPr>
      <w:r>
        <w:rPr>
          <w:rFonts w:hint="eastAsia" w:ascii="宋体" w:hAnsi="宋体" w:cs="宋体"/>
          <w:b/>
          <w:color w:val="0000FF"/>
          <w:sz w:val="32"/>
          <w:szCs w:val="32"/>
        </w:rPr>
        <w:t>开标一览表</w:t>
      </w:r>
    </w:p>
    <w:p>
      <w:pPr>
        <w:snapToGrid w:val="0"/>
        <w:spacing w:before="120" w:beforeLines="50" w:after="50"/>
        <w:jc w:val="left"/>
        <w:rPr>
          <w:rFonts w:ascii="宋体" w:hAnsi="宋体" w:cs="宋体"/>
          <w:color w:val="0000FF"/>
          <w:szCs w:val="21"/>
        </w:rPr>
      </w:pPr>
      <w:r>
        <w:rPr>
          <w:rFonts w:hint="eastAsia" w:ascii="宋体" w:hAnsi="宋体" w:cs="宋体"/>
          <w:color w:val="0000FF"/>
          <w:sz w:val="24"/>
        </w:rPr>
        <w:t>项目名称：</w:t>
      </w:r>
      <w:r>
        <w:rPr>
          <w:rFonts w:hint="eastAsia" w:ascii="宋体" w:hAnsi="宋体" w:cs="宋体"/>
          <w:color w:val="0000FF"/>
          <w:sz w:val="24"/>
          <w:u w:val="single"/>
        </w:rPr>
        <w:t xml:space="preserve">  </w:t>
      </w:r>
      <w:r>
        <w:rPr>
          <w:rFonts w:ascii="宋体" w:hAnsi="宋体" w:cs="宋体"/>
          <w:color w:val="0000FF"/>
          <w:sz w:val="24"/>
          <w:u w:val="single"/>
        </w:rPr>
        <w:t xml:space="preserve">                                  </w:t>
      </w:r>
      <w:r>
        <w:rPr>
          <w:rFonts w:hint="eastAsia" w:ascii="宋体" w:hAnsi="宋体" w:cs="宋体"/>
          <w:color w:val="0000FF"/>
          <w:sz w:val="24"/>
          <w:u w:val="single"/>
        </w:rPr>
        <w:t xml:space="preserve"> </w:t>
      </w:r>
      <w:r>
        <w:rPr>
          <w:rFonts w:hint="eastAsia" w:ascii="宋体" w:hAnsi="宋体" w:cs="宋体"/>
          <w:color w:val="0000FF"/>
          <w:sz w:val="24"/>
        </w:rPr>
        <w:t xml:space="preserve">  项目编号：</w:t>
      </w:r>
      <w:r>
        <w:rPr>
          <w:rFonts w:hint="eastAsia" w:ascii="宋体" w:hAnsi="宋体" w:cs="宋体"/>
          <w:color w:val="0000FF"/>
          <w:sz w:val="24"/>
          <w:u w:val="single"/>
        </w:rPr>
        <w:t xml:space="preserve"> </w:t>
      </w:r>
      <w:r>
        <w:rPr>
          <w:rFonts w:ascii="宋体" w:hAnsi="宋体" w:cs="宋体"/>
          <w:color w:val="0000FF"/>
          <w:sz w:val="24"/>
          <w:u w:val="single"/>
        </w:rPr>
        <w:t xml:space="preserve">            </w:t>
      </w:r>
      <w:r>
        <w:rPr>
          <w:rFonts w:hint="eastAsia" w:ascii="宋体" w:hAnsi="宋体" w:cs="宋体"/>
          <w:color w:val="0000FF"/>
          <w:sz w:val="24"/>
          <w:u w:val="single"/>
        </w:rPr>
        <w:t xml:space="preserve">   </w:t>
      </w:r>
    </w:p>
    <w:tbl>
      <w:tblPr>
        <w:tblStyle w:val="2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693"/>
        <w:gridCol w:w="255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0000FF"/>
                <w:szCs w:val="21"/>
              </w:rPr>
            </w:pPr>
            <w:r>
              <w:rPr>
                <w:rFonts w:hint="eastAsia" w:ascii="宋体" w:hAnsi="宋体" w:cs="宋体"/>
                <w:color w:val="0000FF"/>
                <w:szCs w:val="21"/>
              </w:rPr>
              <w:t>标项号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FF"/>
                <w:szCs w:val="21"/>
              </w:rPr>
            </w:pPr>
            <w:r>
              <w:rPr>
                <w:rFonts w:hint="eastAsia" w:ascii="宋体" w:hAnsi="宋体" w:cs="宋体"/>
                <w:color w:val="0000FF"/>
                <w:szCs w:val="21"/>
              </w:rPr>
              <w:t>采购内容</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FF"/>
                <w:szCs w:val="21"/>
              </w:rPr>
            </w:pPr>
            <w:r>
              <w:rPr>
                <w:rFonts w:hint="eastAsia" w:ascii="宋体" w:hAnsi="宋体" w:cs="宋体"/>
                <w:color w:val="0000FF"/>
                <w:szCs w:val="21"/>
              </w:rPr>
              <w:t>投标折扣系数</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0000FF"/>
                <w:szCs w:val="21"/>
              </w:rPr>
            </w:pPr>
            <w:r>
              <w:rPr>
                <w:rFonts w:hint="eastAsia" w:ascii="宋体" w:hAnsi="宋体" w:cs="宋体"/>
                <w:color w:val="0000FF"/>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jc w:val="center"/>
        </w:trPr>
        <w:tc>
          <w:tcPr>
            <w:tcW w:w="1271" w:type="dxa"/>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color w:val="0000FF"/>
                <w:szCs w:val="21"/>
              </w:rPr>
            </w:pPr>
            <w:r>
              <w:rPr>
                <w:rFonts w:hint="eastAsia" w:ascii="宋体" w:hAnsi="宋体" w:cs="宋体"/>
                <w:color w:val="0000FF"/>
                <w:szCs w:val="21"/>
              </w:rPr>
              <w:t>1</w:t>
            </w:r>
          </w:p>
        </w:tc>
        <w:tc>
          <w:tcPr>
            <w:tcW w:w="269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FF"/>
                <w:szCs w:val="21"/>
              </w:rPr>
            </w:pPr>
            <w:r>
              <w:rPr>
                <w:rFonts w:hint="eastAsia" w:ascii="宋体" w:hAnsi="宋体" w:cs="宋体"/>
                <w:color w:val="0000FF"/>
                <w:szCs w:val="21"/>
              </w:rPr>
              <w:t>鄞州区政府投资项目概算协审评审服务项目（2023~2024年度）</w:t>
            </w:r>
          </w:p>
        </w:tc>
        <w:tc>
          <w:tcPr>
            <w:tcW w:w="2552"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0000FF"/>
                <w:szCs w:val="21"/>
              </w:rPr>
            </w:pPr>
          </w:p>
        </w:tc>
        <w:tc>
          <w:tcPr>
            <w:tcW w:w="2551" w:type="dxa"/>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color w:val="0000FF"/>
                <w:szCs w:val="21"/>
              </w:rPr>
            </w:pPr>
            <w:r>
              <w:rPr>
                <w:rFonts w:hint="eastAsia" w:ascii="宋体" w:hAnsi="宋体" w:cs="宋体"/>
                <w:color w:val="0000FF"/>
                <w:szCs w:val="21"/>
              </w:rPr>
              <w:t>投标声明</w:t>
            </w:r>
          </w:p>
        </w:tc>
        <w:tc>
          <w:tcPr>
            <w:tcW w:w="7796" w:type="dxa"/>
            <w:gridSpan w:val="3"/>
            <w:tcBorders>
              <w:top w:val="single" w:color="auto" w:sz="4" w:space="0"/>
              <w:left w:val="single" w:color="auto" w:sz="4" w:space="0"/>
              <w:bottom w:val="single" w:color="auto" w:sz="4" w:space="0"/>
            </w:tcBorders>
            <w:vAlign w:val="center"/>
          </w:tcPr>
          <w:p>
            <w:pPr>
              <w:pStyle w:val="2"/>
              <w:spacing w:before="0"/>
              <w:rPr>
                <w:rFonts w:ascii="宋体" w:hAnsi="宋体" w:eastAsia="宋体" w:cs="宋体"/>
                <w:color w:val="0000FF"/>
              </w:rPr>
            </w:pPr>
          </w:p>
        </w:tc>
      </w:tr>
    </w:tbl>
    <w:p>
      <w:pPr>
        <w:snapToGrid w:val="0"/>
        <w:spacing w:before="50" w:after="50"/>
        <w:ind w:firstLine="210" w:firstLineChars="100"/>
        <w:rPr>
          <w:rFonts w:ascii="宋体" w:hAnsi="宋体" w:cs="宋体"/>
          <w:color w:val="0000FF"/>
          <w:szCs w:val="21"/>
        </w:rPr>
      </w:pPr>
      <w:r>
        <w:rPr>
          <w:rFonts w:hint="eastAsia" w:ascii="宋体" w:hAnsi="宋体" w:cs="宋体"/>
          <w:color w:val="0000FF"/>
          <w:szCs w:val="21"/>
        </w:rPr>
        <w:t xml:space="preserve">注: 1、按浙江省物价局《关于进一步完善工程造价咨询服务收费的通知》(浙价服〔2009〕84号)的文件规定，执行设计概算编制或审核标准，在基准收费标准打七五折的基础上自报投标折扣系数。       </w:t>
      </w:r>
    </w:p>
    <w:p>
      <w:pPr>
        <w:snapToGrid w:val="0"/>
        <w:spacing w:before="50" w:after="50" w:line="360" w:lineRule="auto"/>
        <w:rPr>
          <w:rFonts w:ascii="宋体" w:hAnsi="宋体" w:cs="宋体"/>
          <w:color w:val="0000FF"/>
          <w:szCs w:val="21"/>
        </w:rPr>
      </w:pPr>
      <w:r>
        <w:rPr>
          <w:rFonts w:hint="eastAsia" w:ascii="宋体" w:hAnsi="宋体" w:cs="宋体"/>
          <w:color w:val="0000FF"/>
          <w:szCs w:val="21"/>
        </w:rPr>
        <w:t>2、报价一经涂改，应在涂改处加盖单位公章或者由法定代表人或授权委托人签字或盖章，否则其投标作无效标处理。</w:t>
      </w:r>
    </w:p>
    <w:p>
      <w:pPr>
        <w:snapToGrid w:val="0"/>
        <w:spacing w:before="50" w:after="50" w:line="360" w:lineRule="auto"/>
        <w:ind w:left="-21" w:leftChars="-72" w:right="-817" w:rightChars="-389" w:hanging="130" w:hangingChars="62"/>
        <w:rPr>
          <w:rFonts w:ascii="宋体" w:hAnsi="宋体" w:cs="宋体"/>
          <w:szCs w:val="21"/>
        </w:rPr>
      </w:pPr>
    </w:p>
    <w:p>
      <w:pPr>
        <w:snapToGrid w:val="0"/>
        <w:spacing w:before="50" w:after="50" w:line="360" w:lineRule="auto"/>
        <w:ind w:left="-21" w:leftChars="-72" w:right="-817" w:rightChars="-389" w:hanging="130" w:hangingChars="62"/>
        <w:rPr>
          <w:rFonts w:ascii="宋体" w:hAnsi="宋体" w:cs="宋体"/>
          <w:szCs w:val="21"/>
        </w:rPr>
      </w:pPr>
    </w:p>
    <w:p>
      <w:pPr>
        <w:widowControl/>
        <w:snapToGrid w:val="0"/>
        <w:spacing w:before="50" w:after="50" w:line="360" w:lineRule="auto"/>
        <w:ind w:left="-21" w:leftChars="-72" w:right="-817" w:rightChars="-389" w:hanging="130" w:hangingChars="62"/>
        <w:jc w:val="left"/>
        <w:rPr>
          <w:rFonts w:ascii="宋体" w:hAnsi="宋体" w:cs="宋体"/>
          <w:szCs w:val="21"/>
        </w:rPr>
      </w:pPr>
      <w:r>
        <w:rPr>
          <w:rFonts w:hint="eastAsia" w:ascii="宋体" w:hAnsi="宋体" w:cs="宋体"/>
          <w:szCs w:val="21"/>
        </w:rPr>
        <w:t xml:space="preserve">法定代表人或授权代表（签名或盖章）：                    </w:t>
      </w:r>
    </w:p>
    <w:p>
      <w:pPr>
        <w:widowControl/>
        <w:snapToGrid w:val="0"/>
        <w:spacing w:before="50" w:after="50" w:line="360" w:lineRule="auto"/>
        <w:ind w:left="-21" w:leftChars="-72" w:right="-817" w:rightChars="-389" w:hanging="130" w:hangingChars="62"/>
        <w:jc w:val="left"/>
        <w:rPr>
          <w:rFonts w:ascii="宋体" w:hAnsi="宋体" w:cs="宋体"/>
          <w:kern w:val="0"/>
          <w:szCs w:val="21"/>
        </w:rPr>
      </w:pPr>
      <w:r>
        <w:rPr>
          <w:rFonts w:hint="eastAsia" w:ascii="宋体" w:hAnsi="宋体" w:cs="宋体"/>
          <w:kern w:val="0"/>
          <w:szCs w:val="21"/>
        </w:rPr>
        <w:t>供应商名称（盖章）：                                     日期：    年   月   日</w:t>
      </w:r>
    </w:p>
    <w:p>
      <w:pPr>
        <w:widowControl/>
        <w:jc w:val="left"/>
        <w:rPr>
          <w:b/>
          <w:color w:val="000000"/>
        </w:rPr>
      </w:pPr>
      <w:r>
        <w:rPr>
          <w:b/>
          <w:color w:val="000000"/>
        </w:rPr>
        <w:br w:type="page"/>
      </w:r>
    </w:p>
    <w:p>
      <w:pPr>
        <w:rPr>
          <w:b/>
          <w:color w:val="000000"/>
        </w:rPr>
      </w:pPr>
      <w:r>
        <w:rPr>
          <w:b/>
          <w:color w:val="000000"/>
        </w:rPr>
        <w:t>格式十</w:t>
      </w:r>
      <w:r>
        <w:rPr>
          <w:rFonts w:hint="eastAsia"/>
          <w:b/>
          <w:color w:val="000000"/>
        </w:rPr>
        <w:t>四</w:t>
      </w:r>
      <w:r>
        <w:rPr>
          <w:b/>
          <w:color w:val="000000"/>
        </w:rPr>
        <w:t>：中小企业声明函</w:t>
      </w:r>
    </w:p>
    <w:p>
      <w:pPr>
        <w:rPr>
          <w:b/>
          <w:color w:val="000000"/>
          <w:szCs w:val="21"/>
        </w:rPr>
      </w:pPr>
    </w:p>
    <w:p>
      <w:pPr>
        <w:spacing w:line="360" w:lineRule="auto"/>
        <w:jc w:val="center"/>
        <w:rPr>
          <w:b/>
          <w:color w:val="000000"/>
          <w:szCs w:val="21"/>
        </w:rPr>
      </w:pPr>
      <w:r>
        <w:rPr>
          <w:b/>
          <w:color w:val="000000"/>
          <w:szCs w:val="21"/>
        </w:rPr>
        <w:t>中小企业声明函（工程、服务）</w:t>
      </w:r>
    </w:p>
    <w:p>
      <w:pPr>
        <w:spacing w:line="318" w:lineRule="exact"/>
        <w:rPr>
          <w:rFonts w:eastAsia="Times New Roman"/>
        </w:rPr>
      </w:pPr>
    </w:p>
    <w:p>
      <w:pPr>
        <w:spacing w:line="492" w:lineRule="exact"/>
        <w:ind w:left="360" w:right="366" w:firstLine="641"/>
        <w:rPr>
          <w:rFonts w:ascii="仿宋" w:hAnsi="仿宋" w:eastAsia="仿宋"/>
          <w:sz w:val="28"/>
          <w:szCs w:val="28"/>
        </w:rPr>
      </w:pPr>
      <w:r>
        <w:rPr>
          <w:color w:val="000000"/>
          <w:sz w:val="22"/>
        </w:rPr>
        <w:t>本公司郑重声明，根据《政府采购促进中小企业发展管理办法》（财库﹝2020﹞46 号）的规定，本公司参加</w:t>
      </w:r>
      <w:r>
        <w:rPr>
          <w:color w:val="000000"/>
          <w:sz w:val="22"/>
          <w:u w:val="single"/>
        </w:rPr>
        <w:t>（单位名称）</w:t>
      </w:r>
      <w:r>
        <w:rPr>
          <w:color w:val="000000"/>
          <w:sz w:val="22"/>
        </w:rPr>
        <w:t>的</w:t>
      </w:r>
      <w:r>
        <w:rPr>
          <w:color w:val="000000"/>
          <w:sz w:val="22"/>
          <w:u w:val="single"/>
        </w:rPr>
        <w:t>（项目名称）</w:t>
      </w:r>
      <w:r>
        <w:rPr>
          <w:color w:val="000000"/>
          <w:sz w:val="22"/>
        </w:rPr>
        <w:t>采购活动，工程的施工单位全部为符合政策要求的中小企业（或者：服务全部由符合政策要求的中小企业承接）。相关企业的具体情况如下：</w:t>
      </w:r>
    </w:p>
    <w:p>
      <w:pPr>
        <w:spacing w:line="492" w:lineRule="exact"/>
        <w:ind w:left="360" w:right="366" w:firstLine="641"/>
        <w:rPr>
          <w:color w:val="000000"/>
          <w:sz w:val="22"/>
        </w:rPr>
      </w:pPr>
      <w:r>
        <w:rPr>
          <w:rFonts w:hint="eastAsia"/>
          <w:color w:val="000000"/>
          <w:sz w:val="22"/>
        </w:rPr>
        <w:t>1.</w:t>
      </w:r>
      <w:r>
        <w:rPr>
          <w:rFonts w:hint="eastAsia"/>
          <w:color w:val="000000"/>
          <w:sz w:val="22"/>
          <w:u w:val="single"/>
        </w:rPr>
        <w:t xml:space="preserve">（标的名称）                 </w:t>
      </w:r>
      <w:r>
        <w:rPr>
          <w:rFonts w:hint="eastAsia"/>
          <w:color w:val="000000"/>
          <w:sz w:val="22"/>
        </w:rPr>
        <w:t>，属于</w:t>
      </w:r>
      <w:r>
        <w:rPr>
          <w:rFonts w:hint="eastAsia"/>
          <w:color w:val="000000"/>
          <w:sz w:val="22"/>
          <w:u w:val="single"/>
        </w:rPr>
        <w:t xml:space="preserve">（采购文件中明确的所属行业）                 </w:t>
      </w:r>
      <w:r>
        <w:rPr>
          <w:rFonts w:hint="eastAsia"/>
          <w:color w:val="000000"/>
          <w:sz w:val="22"/>
        </w:rPr>
        <w:t>；承建（承接）企业为</w:t>
      </w:r>
      <w:r>
        <w:rPr>
          <w:rFonts w:hint="eastAsia"/>
          <w:color w:val="000000"/>
          <w:sz w:val="22"/>
          <w:u w:val="single"/>
        </w:rPr>
        <w:t xml:space="preserve">（企业名称）                  </w:t>
      </w:r>
      <w:r>
        <w:rPr>
          <w:rFonts w:hint="eastAsia"/>
          <w:color w:val="000000"/>
          <w:sz w:val="22"/>
        </w:rPr>
        <w:t>，从业人员</w:t>
      </w:r>
      <w:r>
        <w:rPr>
          <w:rFonts w:hint="eastAsia"/>
          <w:color w:val="000000"/>
          <w:sz w:val="22"/>
          <w:u w:val="single"/>
        </w:rPr>
        <w:t xml:space="preserve">     </w:t>
      </w:r>
      <w:r>
        <w:rPr>
          <w:rFonts w:hint="eastAsia"/>
          <w:color w:val="000000"/>
          <w:sz w:val="22"/>
        </w:rPr>
        <w:t>人，营业收入为</w:t>
      </w:r>
      <w:r>
        <w:rPr>
          <w:rFonts w:hint="eastAsia"/>
          <w:color w:val="000000"/>
          <w:sz w:val="22"/>
          <w:u w:val="single"/>
        </w:rPr>
        <w:t xml:space="preserve">        </w:t>
      </w:r>
      <w:r>
        <w:rPr>
          <w:rFonts w:hint="eastAsia"/>
          <w:color w:val="000000"/>
          <w:sz w:val="22"/>
        </w:rPr>
        <w:t>万元，资产总额为</w:t>
      </w:r>
      <w:r>
        <w:rPr>
          <w:rFonts w:hint="eastAsia"/>
          <w:i/>
          <w:color w:val="000000"/>
          <w:sz w:val="22"/>
          <w:u w:val="single"/>
        </w:rPr>
        <w:tab/>
      </w:r>
      <w:r>
        <w:rPr>
          <w:rFonts w:hint="eastAsia"/>
          <w:i/>
          <w:color w:val="000000"/>
          <w:sz w:val="22"/>
          <w:u w:val="single"/>
        </w:rPr>
        <w:tab/>
      </w:r>
      <w:r>
        <w:rPr>
          <w:rFonts w:hint="eastAsia"/>
          <w:i/>
          <w:color w:val="000000"/>
          <w:sz w:val="22"/>
          <w:u w:val="single"/>
        </w:rPr>
        <w:t xml:space="preserve">         </w:t>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p>
    <w:p>
      <w:pPr>
        <w:spacing w:line="492" w:lineRule="exact"/>
        <w:ind w:left="360" w:right="366" w:firstLine="641"/>
        <w:rPr>
          <w:color w:val="000000"/>
          <w:sz w:val="22"/>
        </w:rPr>
      </w:pPr>
      <w:r>
        <w:rPr>
          <w:rFonts w:hint="eastAsia"/>
          <w:color w:val="000000"/>
          <w:sz w:val="22"/>
        </w:rPr>
        <w:t xml:space="preserve">2. </w:t>
      </w:r>
      <w:r>
        <w:rPr>
          <w:rFonts w:hint="eastAsia"/>
          <w:color w:val="000000"/>
          <w:sz w:val="22"/>
          <w:u w:val="single"/>
        </w:rPr>
        <w:t xml:space="preserve">（标的名称）                 </w:t>
      </w:r>
      <w:r>
        <w:rPr>
          <w:rFonts w:hint="eastAsia"/>
          <w:color w:val="000000"/>
          <w:sz w:val="22"/>
        </w:rPr>
        <w:t>，属于</w:t>
      </w:r>
      <w:r>
        <w:rPr>
          <w:rFonts w:hint="eastAsia"/>
          <w:color w:val="000000"/>
          <w:sz w:val="22"/>
          <w:u w:val="single"/>
        </w:rPr>
        <w:t xml:space="preserve">（采购文件中明确的所属行业）                 </w:t>
      </w:r>
      <w:r>
        <w:rPr>
          <w:rFonts w:hint="eastAsia"/>
          <w:color w:val="000000"/>
          <w:sz w:val="22"/>
        </w:rPr>
        <w:t>；承建（承接）企业为</w:t>
      </w:r>
      <w:r>
        <w:rPr>
          <w:rFonts w:hint="eastAsia"/>
          <w:color w:val="000000"/>
          <w:sz w:val="22"/>
          <w:u w:val="single"/>
        </w:rPr>
        <w:t xml:space="preserve">（企业名称）                  </w:t>
      </w:r>
      <w:r>
        <w:rPr>
          <w:rFonts w:hint="eastAsia"/>
          <w:color w:val="000000"/>
          <w:sz w:val="22"/>
        </w:rPr>
        <w:t>，从业人员</w:t>
      </w:r>
      <w:r>
        <w:rPr>
          <w:rFonts w:hint="eastAsia"/>
          <w:color w:val="000000"/>
          <w:sz w:val="22"/>
          <w:u w:val="single"/>
        </w:rPr>
        <w:t xml:space="preserve">     </w:t>
      </w:r>
      <w:r>
        <w:rPr>
          <w:rFonts w:hint="eastAsia"/>
          <w:color w:val="000000"/>
          <w:sz w:val="22"/>
        </w:rPr>
        <w:t>人，营业收入为</w:t>
      </w:r>
      <w:r>
        <w:rPr>
          <w:rFonts w:hint="eastAsia"/>
          <w:color w:val="000000"/>
          <w:sz w:val="22"/>
          <w:u w:val="single"/>
        </w:rPr>
        <w:t xml:space="preserve">        </w:t>
      </w:r>
      <w:r>
        <w:rPr>
          <w:rFonts w:hint="eastAsia"/>
          <w:color w:val="000000"/>
          <w:sz w:val="22"/>
        </w:rPr>
        <w:t>万元，资产总额为</w:t>
      </w:r>
      <w:r>
        <w:rPr>
          <w:rFonts w:hint="eastAsia"/>
          <w:color w:val="000000"/>
          <w:sz w:val="22"/>
          <w:u w:val="single"/>
        </w:rPr>
        <w:tab/>
      </w:r>
      <w:r>
        <w:rPr>
          <w:rFonts w:hint="eastAsia"/>
          <w:color w:val="000000"/>
          <w:sz w:val="22"/>
          <w:u w:val="single"/>
        </w:rPr>
        <w:tab/>
      </w:r>
      <w:r>
        <w:rPr>
          <w:rFonts w:hint="eastAsia"/>
          <w:color w:val="000000"/>
          <w:sz w:val="22"/>
          <w:u w:val="single"/>
        </w:rPr>
        <w:t xml:space="preserve">         </w:t>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r>
        <w:rPr>
          <w:color w:val="000000"/>
          <w:sz w:val="22"/>
        </w:rPr>
        <w:t xml:space="preserve"> </w:t>
      </w:r>
    </w:p>
    <w:p>
      <w:pPr>
        <w:spacing w:line="366" w:lineRule="exact"/>
        <w:ind w:left="1000"/>
        <w:rPr>
          <w:rFonts w:ascii="仿宋" w:hAnsi="仿宋" w:eastAsia="仿宋"/>
          <w:sz w:val="28"/>
          <w:szCs w:val="28"/>
        </w:rPr>
      </w:pPr>
      <w:r>
        <w:rPr>
          <w:rFonts w:ascii="仿宋" w:hAnsi="仿宋" w:eastAsia="仿宋"/>
          <w:sz w:val="28"/>
          <w:szCs w:val="28"/>
        </w:rPr>
        <w:t>……</w:t>
      </w:r>
    </w:p>
    <w:p>
      <w:pPr>
        <w:spacing w:line="455" w:lineRule="exact"/>
        <w:ind w:left="360" w:right="366" w:firstLine="646"/>
        <w:rPr>
          <w:color w:val="000000"/>
          <w:sz w:val="22"/>
        </w:rPr>
      </w:pPr>
      <w:r>
        <w:rPr>
          <w:color w:val="000000"/>
          <w:sz w:val="22"/>
        </w:rPr>
        <w:t>以上企业，不属于大企业的分支机构，不存在控股股东为大企业的情形，也不存在与大企业的负责人为同一人的情形。</w:t>
      </w:r>
    </w:p>
    <w:p>
      <w:pPr>
        <w:spacing w:line="423" w:lineRule="exact"/>
        <w:ind w:left="360" w:right="366" w:firstLine="641"/>
        <w:rPr>
          <w:color w:val="000000"/>
          <w:sz w:val="22"/>
        </w:rPr>
      </w:pPr>
      <w:r>
        <w:rPr>
          <w:color w:val="000000"/>
          <w:sz w:val="22"/>
        </w:rPr>
        <w:t>本企业对上述声明内容的真实性负责。如有虚假，将依法承担相应责任。</w:t>
      </w:r>
    </w:p>
    <w:p>
      <w:pPr>
        <w:spacing w:line="423" w:lineRule="exact"/>
        <w:ind w:left="360" w:right="366" w:firstLine="4176"/>
        <w:rPr>
          <w:rFonts w:ascii="仿宋" w:hAnsi="仿宋" w:eastAsia="仿宋"/>
          <w:sz w:val="28"/>
          <w:szCs w:val="28"/>
        </w:rPr>
      </w:pPr>
    </w:p>
    <w:p>
      <w:pPr>
        <w:spacing w:line="423" w:lineRule="exact"/>
        <w:ind w:left="360" w:right="366" w:firstLine="4176"/>
        <w:rPr>
          <w:color w:val="000000"/>
          <w:sz w:val="22"/>
        </w:rPr>
      </w:pPr>
      <w:r>
        <w:rPr>
          <w:rFonts w:hint="eastAsia"/>
          <w:color w:val="000000"/>
          <w:sz w:val="22"/>
        </w:rPr>
        <w:t>企业名称（盖章）：</w:t>
      </w:r>
    </w:p>
    <w:p>
      <w:pPr>
        <w:spacing w:line="423" w:lineRule="exact"/>
        <w:ind w:left="360" w:right="366" w:firstLine="4176"/>
        <w:rPr>
          <w:color w:val="000000"/>
          <w:sz w:val="22"/>
        </w:rPr>
      </w:pPr>
      <w:r>
        <w:rPr>
          <w:rFonts w:hint="eastAsia"/>
          <w:color w:val="000000"/>
          <w:sz w:val="22"/>
        </w:rPr>
        <w:t>日期：</w:t>
      </w:r>
    </w:p>
    <w:p>
      <w:pPr>
        <w:widowControl/>
        <w:jc w:val="left"/>
        <w:rPr>
          <w:b/>
          <w:color w:val="000000"/>
          <w:szCs w:val="21"/>
        </w:rPr>
      </w:pPr>
      <w:r>
        <w:rPr>
          <w:b/>
          <w:color w:val="000000"/>
          <w:szCs w:val="21"/>
        </w:rPr>
        <w:br w:type="page"/>
      </w:r>
    </w:p>
    <w:p>
      <w:pPr>
        <w:widowControl/>
        <w:spacing w:line="360" w:lineRule="auto"/>
        <w:jc w:val="left"/>
        <w:rPr>
          <w:b/>
          <w:color w:val="000000"/>
        </w:rPr>
      </w:pPr>
      <w:r>
        <w:rPr>
          <w:b/>
          <w:color w:val="000000"/>
        </w:rPr>
        <w:t>格式十</w:t>
      </w:r>
      <w:r>
        <w:rPr>
          <w:rFonts w:hint="eastAsia"/>
          <w:b/>
          <w:color w:val="000000"/>
        </w:rPr>
        <w:t>五</w:t>
      </w:r>
      <w:r>
        <w:rPr>
          <w:b/>
          <w:color w:val="000000"/>
        </w:rPr>
        <w:t>：</w:t>
      </w:r>
      <w:r>
        <w:rPr>
          <w:color w:val="000000"/>
          <w:szCs w:val="21"/>
        </w:rPr>
        <w:t>残疾人福利性单位声明函</w:t>
      </w:r>
    </w:p>
    <w:p>
      <w:pPr>
        <w:spacing w:line="360" w:lineRule="auto"/>
        <w:jc w:val="center"/>
        <w:rPr>
          <w:color w:val="000000"/>
          <w:sz w:val="24"/>
        </w:rPr>
      </w:pPr>
    </w:p>
    <w:p>
      <w:pPr>
        <w:pStyle w:val="9"/>
        <w:spacing w:line="520" w:lineRule="exact"/>
        <w:ind w:firstLine="422"/>
        <w:jc w:val="center"/>
        <w:rPr>
          <w:b/>
          <w:color w:val="000000"/>
          <w:sz w:val="21"/>
          <w:szCs w:val="21"/>
        </w:rPr>
      </w:pPr>
      <w:r>
        <w:rPr>
          <w:b/>
          <w:color w:val="000000"/>
          <w:sz w:val="21"/>
          <w:szCs w:val="21"/>
        </w:rPr>
        <w:t>残疾人福利性单位声明函</w:t>
      </w:r>
    </w:p>
    <w:p>
      <w:pPr>
        <w:spacing w:line="588" w:lineRule="exact"/>
        <w:rPr>
          <w:b/>
          <w:color w:val="000000"/>
          <w:spacing w:val="6"/>
          <w:szCs w:val="21"/>
        </w:rPr>
      </w:pPr>
    </w:p>
    <w:p>
      <w:pPr>
        <w:spacing w:line="588" w:lineRule="exact"/>
        <w:ind w:firstLine="444" w:firstLineChars="200"/>
        <w:rPr>
          <w:color w:val="000000"/>
          <w:spacing w:val="6"/>
          <w:szCs w:val="21"/>
        </w:rPr>
      </w:pPr>
      <w:r>
        <w:rPr>
          <w:color w:val="000000"/>
          <w:spacing w:val="6"/>
          <w:szCs w:val="21"/>
        </w:rPr>
        <w:t>本单位郑重声明，根据《财政部民政部中国残疾人联合会关于促进残疾人就业政府采购政策的通知》（财库</w:t>
      </w:r>
      <w:r>
        <w:rPr>
          <w:color w:val="000000"/>
          <w:szCs w:val="21"/>
        </w:rPr>
        <w:t>〔2017〕 141</w:t>
      </w:r>
      <w:r>
        <w:rPr>
          <w:color w:val="000000"/>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color w:val="000000"/>
          <w:spacing w:val="6"/>
          <w:szCs w:val="21"/>
        </w:rPr>
      </w:pPr>
      <w:r>
        <w:rPr>
          <w:color w:val="000000"/>
          <w:spacing w:val="6"/>
          <w:szCs w:val="21"/>
        </w:rPr>
        <w:t>本单位对上述声明的真实性负责。如有虚假，将依法承担相应责任。</w:t>
      </w:r>
    </w:p>
    <w:p>
      <w:pPr>
        <w:spacing w:line="588" w:lineRule="exact"/>
        <w:ind w:firstLine="444" w:firstLineChars="200"/>
        <w:rPr>
          <w:color w:val="000000"/>
          <w:spacing w:val="6"/>
          <w:szCs w:val="21"/>
        </w:rPr>
      </w:pPr>
    </w:p>
    <w:p>
      <w:pPr>
        <w:spacing w:line="588" w:lineRule="exact"/>
        <w:ind w:firstLine="444" w:firstLineChars="200"/>
        <w:rPr>
          <w:color w:val="000000"/>
          <w:spacing w:val="6"/>
          <w:szCs w:val="21"/>
        </w:rPr>
      </w:pPr>
    </w:p>
    <w:p>
      <w:pPr>
        <w:tabs>
          <w:tab w:val="left" w:pos="4860"/>
        </w:tabs>
        <w:spacing w:line="588" w:lineRule="exact"/>
        <w:ind w:right="1560" w:firstLine="504" w:firstLineChars="200"/>
        <w:jc w:val="center"/>
        <w:rPr>
          <w:color w:val="000000"/>
          <w:spacing w:val="6"/>
          <w:sz w:val="24"/>
        </w:rPr>
      </w:pPr>
      <w:r>
        <w:rPr>
          <w:color w:val="000000"/>
          <w:spacing w:val="6"/>
          <w:sz w:val="24"/>
        </w:rPr>
        <w:t>单位名称（盖章）：</w:t>
      </w:r>
    </w:p>
    <w:p>
      <w:pPr>
        <w:tabs>
          <w:tab w:val="left" w:pos="4860"/>
        </w:tabs>
        <w:spacing w:line="588" w:lineRule="exact"/>
        <w:ind w:right="1560" w:firstLine="504" w:firstLineChars="200"/>
        <w:jc w:val="center"/>
        <w:rPr>
          <w:color w:val="000000"/>
          <w:spacing w:val="6"/>
          <w:sz w:val="24"/>
        </w:rPr>
      </w:pPr>
      <w:r>
        <w:rPr>
          <w:color w:val="000000"/>
          <w:spacing w:val="6"/>
          <w:sz w:val="24"/>
        </w:rPr>
        <w:t>日期：</w:t>
      </w:r>
    </w:p>
    <w:p>
      <w:pPr>
        <w:spacing w:line="423" w:lineRule="exact"/>
        <w:ind w:left="360" w:right="366" w:firstLine="641"/>
        <w:rPr>
          <w:rFonts w:ascii="宋体" w:hAnsi="宋体"/>
          <w:b/>
          <w:szCs w:val="21"/>
        </w:rPr>
      </w:pPr>
    </w:p>
    <w:p>
      <w:pPr>
        <w:spacing w:line="423" w:lineRule="exact"/>
        <w:ind w:left="360" w:right="366" w:firstLine="641"/>
        <w:rPr>
          <w:rFonts w:ascii="宋体" w:hAnsi="宋体"/>
          <w:b/>
          <w:szCs w:val="21"/>
        </w:rPr>
      </w:pPr>
    </w:p>
    <w:p>
      <w:pPr>
        <w:rPr>
          <w:b/>
          <w:color w:val="000000"/>
          <w:szCs w:val="21"/>
        </w:rPr>
        <w:sectPr>
          <w:headerReference r:id="rId14" w:type="default"/>
          <w:footerReference r:id="rId15" w:type="default"/>
          <w:pgSz w:w="11907" w:h="16840"/>
          <w:pgMar w:top="1276" w:right="1474" w:bottom="1242" w:left="1474" w:header="720" w:footer="720" w:gutter="0"/>
          <w:cols w:space="720" w:num="1"/>
          <w:docGrid w:linePitch="285" w:charSpace="0"/>
        </w:sectPr>
      </w:pPr>
    </w:p>
    <w:tbl>
      <w:tblPr>
        <w:tblStyle w:val="24"/>
        <w:tblW w:w="0" w:type="auto"/>
        <w:tblInd w:w="-176" w:type="dxa"/>
        <w:tblLayout w:type="fixed"/>
        <w:tblCellMar>
          <w:top w:w="0" w:type="dxa"/>
          <w:left w:w="108" w:type="dxa"/>
          <w:bottom w:w="0" w:type="dxa"/>
          <w:right w:w="108" w:type="dxa"/>
        </w:tblCellMar>
      </w:tblPr>
      <w:tblGrid>
        <w:gridCol w:w="1985"/>
        <w:gridCol w:w="1498"/>
        <w:gridCol w:w="1763"/>
        <w:gridCol w:w="1660"/>
        <w:gridCol w:w="1458"/>
        <w:gridCol w:w="1480"/>
        <w:gridCol w:w="1520"/>
        <w:gridCol w:w="1285"/>
        <w:gridCol w:w="1275"/>
        <w:gridCol w:w="1221"/>
      </w:tblGrid>
      <w:tr>
        <w:tblPrEx>
          <w:tblCellMar>
            <w:top w:w="0" w:type="dxa"/>
            <w:left w:w="108" w:type="dxa"/>
            <w:bottom w:w="0" w:type="dxa"/>
            <w:right w:w="108" w:type="dxa"/>
          </w:tblCellMar>
        </w:tblPrEx>
        <w:trPr>
          <w:trHeight w:val="420" w:hRule="atLeast"/>
        </w:trPr>
        <w:tc>
          <w:tcPr>
            <w:tcW w:w="15145" w:type="dxa"/>
            <w:gridSpan w:val="10"/>
            <w:tcBorders>
              <w:top w:val="nil"/>
              <w:left w:val="nil"/>
              <w:bottom w:val="nil"/>
              <w:right w:val="nil"/>
            </w:tcBorders>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trHeight w:val="410"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458"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kern w:val="0"/>
                <w:sz w:val="24"/>
              </w:rPr>
            </w:pPr>
          </w:p>
        </w:tc>
        <w:tc>
          <w:tcPr>
            <w:tcW w:w="1498"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763"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458"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480"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520"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275" w:type="dxa"/>
            <w:tcBorders>
              <w:top w:val="nil"/>
              <w:left w:val="nil"/>
              <w:bottom w:val="single" w:color="auto" w:sz="4" w:space="0"/>
              <w:right w:val="single" w:color="auto" w:sz="4" w:space="0"/>
            </w:tcBorders>
            <w:vAlign w:val="bottom"/>
          </w:tcPr>
          <w:p>
            <w:pPr>
              <w:widowControl/>
              <w:jc w:val="center"/>
              <w:rPr>
                <w:rFonts w:ascii="宋体" w:hAnsi="宋体" w:cs="宋体"/>
                <w:kern w:val="0"/>
                <w:sz w:val="20"/>
              </w:rPr>
            </w:pPr>
            <w:r>
              <w:rPr>
                <w:rFonts w:hint="eastAsia" w:ascii="宋体" w:hAnsi="宋体" w:cs="宋体"/>
                <w:kern w:val="0"/>
                <w:sz w:val="20"/>
              </w:rPr>
              <w:t>营业收入Y（万元）</w:t>
            </w:r>
          </w:p>
        </w:tc>
        <w:tc>
          <w:tcPr>
            <w:tcW w:w="1221" w:type="dxa"/>
            <w:tcBorders>
              <w:top w:val="nil"/>
              <w:left w:val="nil"/>
              <w:bottom w:val="single" w:color="auto" w:sz="4" w:space="0"/>
              <w:right w:val="single" w:color="auto" w:sz="8" w:space="0"/>
            </w:tcBorders>
            <w:vAlign w:val="bottom"/>
          </w:tcPr>
          <w:p>
            <w:pPr>
              <w:widowControl/>
              <w:jc w:val="center"/>
              <w:rPr>
                <w:rFonts w:ascii="宋体" w:hAnsi="宋体" w:cs="宋体"/>
                <w:kern w:val="0"/>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50≤Y＜500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2、工业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3、建筑业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5000≤Z＜80000</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300≤Y＜6000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300≤Z＜5000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4、批发业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20≤X＜200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5≤X＜20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1000≤Y＜5000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X＜5</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5、零售业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10≤X＜50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100≤Y＜500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200≤Y＜3000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V＜200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7、仓储业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100≤X＜200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8、邮政业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9、住宿业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10、餐饮业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V＜100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11、信息传输业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100≤X＜2000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12、软件和信息技术服务业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xml:space="preserve"> 50≤Y＜1000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13、房地产开发经营</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5000≤Z＜10000</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2000≤Z＜5000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14、物业管理</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500≤Y＜1000</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Y＜500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15、租赁和商务服务业</w:t>
            </w:r>
          </w:p>
        </w:tc>
        <w:tc>
          <w:tcPr>
            <w:tcW w:w="149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8000≤Z＜120000</w:t>
            </w:r>
          </w:p>
        </w:tc>
        <w:tc>
          <w:tcPr>
            <w:tcW w:w="1458"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xml:space="preserve"> 100≤Z＜8000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16、其他未列明行业</w:t>
            </w:r>
          </w:p>
        </w:tc>
        <w:tc>
          <w:tcPr>
            <w:tcW w:w="1498"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8"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8"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8" w:space="0"/>
              <w:right w:val="single" w:color="auto" w:sz="4" w:space="0"/>
            </w:tcBorders>
            <w:vAlign w:val="bottom"/>
          </w:tcPr>
          <w:p>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8" w:space="0"/>
            </w:tcBorders>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752" w:hRule="atLeast"/>
        </w:trPr>
        <w:tc>
          <w:tcPr>
            <w:tcW w:w="15145" w:type="dxa"/>
            <w:gridSpan w:val="10"/>
            <w:tcBorders>
              <w:top w:val="nil"/>
              <w:left w:val="nil"/>
              <w:bottom w:val="nil"/>
              <w:right w:val="nil"/>
            </w:tcBorders>
            <w:vAlign w:val="bottom"/>
          </w:tcPr>
          <w:p>
            <w:pPr>
              <w:widowControl/>
              <w:jc w:val="left"/>
              <w:rPr>
                <w:rFonts w:ascii="宋体" w:hAnsi="宋体" w:cs="宋体"/>
                <w:kern w:val="0"/>
                <w:sz w:val="20"/>
              </w:rPr>
            </w:pPr>
            <w:r>
              <w:rPr>
                <w:rFonts w:hint="eastAsia" w:ascii="宋体" w:hAnsi="宋体" w:cs="宋体"/>
                <w:kern w:val="0"/>
                <w:sz w:val="20"/>
              </w:rPr>
              <w:t>说明　1、企业类型的划分以统计部门的统计数据为依据。</w:t>
            </w:r>
          </w:p>
          <w:p>
            <w:pPr>
              <w:widowControl/>
              <w:ind w:firstLine="600" w:firstLineChars="300"/>
              <w:jc w:val="left"/>
              <w:rPr>
                <w:rFonts w:ascii="宋体" w:hAnsi="宋体" w:cs="宋体"/>
                <w:kern w:val="0"/>
                <w:sz w:val="20"/>
              </w:rPr>
            </w:pPr>
            <w:r>
              <w:rPr>
                <w:rFonts w:hint="eastAsia" w:ascii="宋体" w:hAnsi="宋体" w:cs="宋体"/>
                <w:kern w:val="0"/>
                <w:sz w:val="20"/>
              </w:rPr>
              <w:t>2、个体工商户和本规定以外的行业，参照本规定进行划型。</w:t>
            </w:r>
          </w:p>
          <w:p>
            <w:pPr>
              <w:widowControl/>
              <w:ind w:firstLine="600" w:firstLineChars="300"/>
              <w:jc w:val="left"/>
            </w:pPr>
            <w:r>
              <w:rPr>
                <w:rFonts w:hint="eastAsia" w:ascii="宋体" w:hAnsi="宋体" w:cs="宋体"/>
                <w:kern w:val="0"/>
                <w:sz w:val="20"/>
              </w:rPr>
              <w:t>3、本规定的中型企业标准上限即为大型企业标准的下限。</w:t>
            </w:r>
          </w:p>
        </w:tc>
      </w:tr>
    </w:tbl>
    <w:p>
      <w:pPr>
        <w:widowControl/>
        <w:jc w:val="left"/>
      </w:pPr>
    </w:p>
    <w:sectPr>
      <w:pgSz w:w="16840" w:h="11907" w:orient="landscape"/>
      <w:pgMar w:top="1134" w:right="1138" w:bottom="1588" w:left="1135" w:header="285" w:footer="99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Malgun Gothic Semilight"/>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方正隶变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fldChar w:fldCharType="begin"/>
    </w:r>
    <w:r>
      <w:rPr>
        <w:rStyle w:val="28"/>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posOffset>2611120</wp:posOffset>
              </wp:positionH>
              <wp:positionV relativeFrom="paragraph">
                <wp:posOffset>-635</wp:posOffset>
              </wp:positionV>
              <wp:extent cx="172085" cy="131445"/>
              <wp:effectExtent l="0" t="0" r="18415" b="1905"/>
              <wp:wrapNone/>
              <wp:docPr id="3" name="文本框 2069"/>
              <wp:cNvGraphicFramePr/>
              <a:graphic xmlns:a="http://schemas.openxmlformats.org/drawingml/2006/main">
                <a:graphicData uri="http://schemas.microsoft.com/office/word/2010/wordprocessingShape">
                  <wps:wsp>
                    <wps:cNvSpPr txBox="1">
                      <a:spLocks noChangeArrowheads="1"/>
                    </wps:cNvSpPr>
                    <wps:spPr bwMode="auto">
                      <a:xfrm>
                        <a:off x="0" y="0"/>
                        <a:ext cx="172192" cy="131445"/>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 id="文本框 2069" o:spid="_x0000_s1026" o:spt="202" type="#_x0000_t202" style="position:absolute;left:0pt;margin-left:205.6pt;margin-top:-0.05pt;height:10.35pt;width:13.55pt;mso-position-horizontal-relative:margin;z-index:251660288;mso-width-relative:page;mso-height-relative:page;" filled="f" stroked="f" coordsize="21600,21600" o:gfxdata="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ht199UAAAAIAQAADwAAAAAAAAABACAAAAAiAAAAZHJzL2Rvd25yZXYueG1sUEsB&#10;AhQAFAAAAAgAh07iQP5cnvP4AQAAxwMAAA4AAAAAAAAAAQAgAAAAJAEAAGRycy9lMm9Eb2MueG1s&#10;UEsFBgAAAAAGAAYAWQEAAI4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posOffset>2996565</wp:posOffset>
              </wp:positionH>
              <wp:positionV relativeFrom="paragraph">
                <wp:posOffset>1905</wp:posOffset>
              </wp:positionV>
              <wp:extent cx="154305" cy="1828800"/>
              <wp:effectExtent l="0" t="0" r="4445" b="14605"/>
              <wp:wrapNone/>
              <wp:docPr id="12" name="文本框 12"/>
              <wp:cNvGraphicFramePr/>
              <a:graphic xmlns:a="http://schemas.openxmlformats.org/drawingml/2006/main">
                <a:graphicData uri="http://schemas.microsoft.com/office/word/2010/wordprocessingShape">
                  <wps:wsp>
                    <wps:cNvSpPr txBox="1"/>
                    <wps:spPr>
                      <a:xfrm>
                        <a:off x="0" y="0"/>
                        <a:ext cx="15437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5.95pt;margin-top:0.15pt;height:144pt;width:12.15pt;mso-position-horizontal-relative:margin;z-index:251661312;mso-width-relative:page;mso-height-relative:page;" filled="f" stroked="f" coordsize="21600,21600" o:gfxdata="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S6+YdgAAAAIAQAADwAA&#10;AAAAAAABACAAAAAiAAAAZHJzL2Rvd25yZXYueG1sUEsBAhQAFAAAAAgAh07iQND/OgMWAgAACgQA&#10;AA4AAAAAAAAAAQAgAAAAJwEAAGRycy9lMm9Eb2MueG1sUEsFBgAAAAAGAAYAWQEAAK8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2336" behindDoc="0" locked="0" layoutInCell="1" allowOverlap="1">
              <wp:simplePos x="0" y="0"/>
              <wp:positionH relativeFrom="margin">
                <wp:posOffset>2680970</wp:posOffset>
              </wp:positionH>
              <wp:positionV relativeFrom="paragraph">
                <wp:posOffset>-28575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both"/>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1.1pt;margin-top:-2.25pt;height:144pt;width:144pt;mso-position-horizontal-relative:margin;mso-wrap-style:none;z-index:251662336;mso-width-relative:page;mso-height-relative:page;" filled="f" stroked="f" coordsize="21600,21600" o:gfxdata="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BK+K1wAAAAoBAAAPAAAAAAAAAAEA&#10;IAAAACIAAABkcnMvZG93bnJldi54bWxQSwECFAAUAAAACACHTuJAU/5dJhACAAAJBAAADgAAAAAA&#10;AAABACAAAAAmAQAAZHJzL2Uyb0RvYy54bWxQSwUGAAAAAAYABgBZAQAAqAUAAAAA&#10;">
              <v:fill on="f" focussize="0,0"/>
              <v:stroke on="f" weight="0.5pt"/>
              <v:imagedata o:title=""/>
              <o:lock v:ext="edit" aspectratio="f"/>
              <v:textbox inset="0mm,0mm,0mm,0mm" style="mso-fit-shape-to-text:t;">
                <w:txbxContent>
                  <w:p>
                    <w:pPr>
                      <w:pStyle w:val="14"/>
                      <w:jc w:val="both"/>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28</w:t>
    </w:r>
    <w:r>
      <w:rPr>
        <w:lang w:val="zh-CN"/>
      </w:rPr>
      <w:fldChar w:fldCharType="end"/>
    </w:r>
  </w:p>
  <w:p>
    <w:pPr>
      <w:pStyle w:val="1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t>50</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2" w:space="1"/>
      </w:pBdr>
      <w:tabs>
        <w:tab w:val="right" w:pos="9813"/>
        <w:tab w:val="clear" w:pos="4153"/>
        <w:tab w:val="clear" w:pos="8306"/>
      </w:tabs>
      <w:spacing w:line="0" w:lineRule="atLeast"/>
      <w:ind w:left="-964" w:right="-970"/>
      <w:jc w:val="left"/>
      <w:rPr>
        <w:rFonts w:ascii="方正隶变简体" w:hAnsi="宋体" w:eastAsia="方正隶变简体" w:cs="宋体"/>
        <w:w w:val="80"/>
        <w:sz w:val="15"/>
        <w:szCs w:val="15"/>
      </w:rPr>
    </w:pPr>
    <w:r>
      <w:rPr>
        <w:rFonts w:hint="eastAsia" w:ascii="方正隶变简体" w:hAnsi="宋体" w:eastAsia="方正隶变简体" w:cs="宋体"/>
        <w:w w:val="80"/>
        <w:sz w:val="15"/>
        <w:szCs w:val="15"/>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EEA99"/>
    <w:multiLevelType w:val="singleLevel"/>
    <w:tmpl w:val="BD5EEA99"/>
    <w:lvl w:ilvl="0" w:tentative="0">
      <w:start w:val="1"/>
      <w:numFmt w:val="chineseCounting"/>
      <w:suff w:val="nothing"/>
      <w:lvlText w:val="%1、"/>
      <w:lvlJc w:val="left"/>
      <w:pPr>
        <w:ind w:left="0" w:firstLine="420"/>
      </w:pPr>
      <w:rPr>
        <w:rFonts w:hint="eastAsia"/>
      </w:rPr>
    </w:lvl>
  </w:abstractNum>
  <w:abstractNum w:abstractNumId="1">
    <w:nsid w:val="BFF04FEE"/>
    <w:multiLevelType w:val="singleLevel"/>
    <w:tmpl w:val="BFF04FEE"/>
    <w:lvl w:ilvl="0" w:tentative="0">
      <w:start w:val="3"/>
      <w:numFmt w:val="chineseCounting"/>
      <w:suff w:val="space"/>
      <w:lvlText w:val="第%1章"/>
      <w:lvlJc w:val="left"/>
      <w:rPr>
        <w:rFonts w:hint="eastAsia"/>
      </w:rPr>
    </w:lvl>
  </w:abstractNum>
  <w:abstractNum w:abstractNumId="2">
    <w:nsid w:val="00000007"/>
    <w:multiLevelType w:val="singleLevel"/>
    <w:tmpl w:val="00000007"/>
    <w:lvl w:ilvl="0" w:tentative="0">
      <w:start w:val="1"/>
      <w:numFmt w:val="decimal"/>
      <w:pStyle w:val="44"/>
      <w:suff w:val="nothing"/>
      <w:lvlText w:val="（%1）"/>
      <w:lvlJc w:val="left"/>
      <w:pPr>
        <w:ind w:left="0" w:firstLine="400"/>
      </w:pPr>
      <w:rPr>
        <w:rFonts w:hint="default"/>
      </w:rPr>
    </w:lvl>
  </w:abstractNum>
  <w:abstractNum w:abstractNumId="3">
    <w:nsid w:val="00000011"/>
    <w:multiLevelType w:val="singleLevel"/>
    <w:tmpl w:val="00000011"/>
    <w:lvl w:ilvl="0" w:tentative="0">
      <w:start w:val="1"/>
      <w:numFmt w:val="decimal"/>
      <w:suff w:val="nothing"/>
      <w:lvlText w:val="%1、"/>
      <w:lvlJc w:val="left"/>
      <w:pPr>
        <w:tabs>
          <w:tab w:val="left" w:pos="0"/>
        </w:tabs>
        <w:ind w:left="0" w:firstLine="0"/>
      </w:pPr>
    </w:lvl>
  </w:abstractNum>
  <w:abstractNum w:abstractNumId="4">
    <w:nsid w:val="00000023"/>
    <w:multiLevelType w:val="multilevel"/>
    <w:tmpl w:val="00000023"/>
    <w:lvl w:ilvl="0" w:tentative="0">
      <w:start w:val="1"/>
      <w:numFmt w:val="decimal"/>
      <w:lvlText w:val="(%1)"/>
      <w:lvlJc w:val="left"/>
      <w:pPr>
        <w:ind w:left="2160" w:hanging="2160"/>
      </w:pPr>
      <w:rPr>
        <w:rFonts w:hint="default"/>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F"/>
    <w:multiLevelType w:val="singleLevel"/>
    <w:tmpl w:val="0000002F"/>
    <w:lvl w:ilvl="0" w:tentative="0">
      <w:start w:val="1"/>
      <w:numFmt w:val="decimal"/>
      <w:suff w:val="nothing"/>
      <w:lvlText w:val="（%1）"/>
      <w:lvlJc w:val="left"/>
      <w:pPr>
        <w:ind w:left="0" w:firstLine="400"/>
      </w:pPr>
      <w:rPr>
        <w:rFonts w:hint="default"/>
      </w:rPr>
    </w:lvl>
  </w:abstractNum>
  <w:abstractNum w:abstractNumId="6">
    <w:nsid w:val="29D120CC"/>
    <w:multiLevelType w:val="singleLevel"/>
    <w:tmpl w:val="29D120CC"/>
    <w:lvl w:ilvl="0" w:tentative="0">
      <w:start w:val="1"/>
      <w:numFmt w:val="decimal"/>
      <w:suff w:val="nothing"/>
      <w:lvlText w:val="（%1）"/>
      <w:lvlJc w:val="left"/>
      <w:pPr>
        <w:ind w:left="0" w:firstLine="0"/>
      </w:pPr>
    </w:lvl>
  </w:abstractNum>
  <w:abstractNum w:abstractNumId="7">
    <w:nsid w:val="567CFDD7"/>
    <w:multiLevelType w:val="singleLevel"/>
    <w:tmpl w:val="567CFDD7"/>
    <w:lvl w:ilvl="0" w:tentative="0">
      <w:start w:val="1"/>
      <w:numFmt w:val="decimal"/>
      <w:suff w:val="nothing"/>
      <w:lvlText w:val="%1、"/>
      <w:lvlJc w:val="left"/>
    </w:lvl>
  </w:abstractNum>
  <w:abstractNum w:abstractNumId="8">
    <w:nsid w:val="5E7D3963"/>
    <w:multiLevelType w:val="singleLevel"/>
    <w:tmpl w:val="5E7D3963"/>
    <w:lvl w:ilvl="0" w:tentative="0">
      <w:start w:val="1"/>
      <w:numFmt w:val="decimal"/>
      <w:pStyle w:val="6"/>
      <w:suff w:val="nothing"/>
      <w:lvlText w:val="（%1）"/>
      <w:lvlJc w:val="left"/>
      <w:pPr>
        <w:ind w:left="0" w:firstLine="400"/>
      </w:pPr>
      <w:rPr>
        <w:rFonts w:hint="default"/>
      </w:rPr>
    </w:lvl>
  </w:abstractNum>
  <w:abstractNum w:abstractNumId="9">
    <w:nsid w:val="6E9754E4"/>
    <w:multiLevelType w:val="multilevel"/>
    <w:tmpl w:val="6E9754E4"/>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2"/>
  </w:num>
  <w:num w:numId="3">
    <w:abstractNumId w:val="1"/>
  </w:num>
  <w:num w:numId="4">
    <w:abstractNumId w:val="9"/>
  </w:num>
  <w:num w:numId="5">
    <w:abstractNumId w:val="4"/>
  </w:num>
  <w:num w:numId="6">
    <w:abstractNumId w:val="6"/>
    <w:lvlOverride w:ilvl="0">
      <w:startOverride w:val="1"/>
    </w:lvlOverride>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xZGZhYjc5NDhkOTAzNTgxODBkYWY2NjQ1Zjk5YmMifQ=="/>
  </w:docVars>
  <w:rsids>
    <w:rsidRoot w:val="25552225"/>
    <w:rsid w:val="00000050"/>
    <w:rsid w:val="0001381D"/>
    <w:rsid w:val="00015668"/>
    <w:rsid w:val="0002394B"/>
    <w:rsid w:val="00031E0B"/>
    <w:rsid w:val="000440CE"/>
    <w:rsid w:val="000477CF"/>
    <w:rsid w:val="00052C39"/>
    <w:rsid w:val="0006462C"/>
    <w:rsid w:val="000708F4"/>
    <w:rsid w:val="0007496A"/>
    <w:rsid w:val="00092DE8"/>
    <w:rsid w:val="000A701A"/>
    <w:rsid w:val="000A7FD1"/>
    <w:rsid w:val="000B24D4"/>
    <w:rsid w:val="000C3905"/>
    <w:rsid w:val="000C64B0"/>
    <w:rsid w:val="000D15CE"/>
    <w:rsid w:val="000E2701"/>
    <w:rsid w:val="001072D4"/>
    <w:rsid w:val="0011596C"/>
    <w:rsid w:val="001217A0"/>
    <w:rsid w:val="00121926"/>
    <w:rsid w:val="0012354E"/>
    <w:rsid w:val="001352D7"/>
    <w:rsid w:val="00162BF2"/>
    <w:rsid w:val="00183840"/>
    <w:rsid w:val="00183FB0"/>
    <w:rsid w:val="001A5EF9"/>
    <w:rsid w:val="001B29BF"/>
    <w:rsid w:val="001B56BF"/>
    <w:rsid w:val="001D76AB"/>
    <w:rsid w:val="001E4D46"/>
    <w:rsid w:val="001F3445"/>
    <w:rsid w:val="001F5270"/>
    <w:rsid w:val="0021393F"/>
    <w:rsid w:val="0022525D"/>
    <w:rsid w:val="002320ED"/>
    <w:rsid w:val="00235431"/>
    <w:rsid w:val="00241453"/>
    <w:rsid w:val="002511B4"/>
    <w:rsid w:val="00254A18"/>
    <w:rsid w:val="00260042"/>
    <w:rsid w:val="00261E96"/>
    <w:rsid w:val="0028199A"/>
    <w:rsid w:val="00286E66"/>
    <w:rsid w:val="00297517"/>
    <w:rsid w:val="002C100C"/>
    <w:rsid w:val="002D2511"/>
    <w:rsid w:val="002D2B75"/>
    <w:rsid w:val="002D6D33"/>
    <w:rsid w:val="002F08A7"/>
    <w:rsid w:val="002F0ECD"/>
    <w:rsid w:val="002F3D12"/>
    <w:rsid w:val="002F738C"/>
    <w:rsid w:val="00303C5A"/>
    <w:rsid w:val="00346A12"/>
    <w:rsid w:val="00352F98"/>
    <w:rsid w:val="00376A32"/>
    <w:rsid w:val="00390AEF"/>
    <w:rsid w:val="003917E6"/>
    <w:rsid w:val="003B2A2E"/>
    <w:rsid w:val="003B71CB"/>
    <w:rsid w:val="003D3948"/>
    <w:rsid w:val="003E4CD9"/>
    <w:rsid w:val="003F2333"/>
    <w:rsid w:val="003F7321"/>
    <w:rsid w:val="00403702"/>
    <w:rsid w:val="00422AA9"/>
    <w:rsid w:val="004447B1"/>
    <w:rsid w:val="00450671"/>
    <w:rsid w:val="004529CA"/>
    <w:rsid w:val="00463673"/>
    <w:rsid w:val="00467510"/>
    <w:rsid w:val="004712B3"/>
    <w:rsid w:val="00485732"/>
    <w:rsid w:val="004860CD"/>
    <w:rsid w:val="00486912"/>
    <w:rsid w:val="00492406"/>
    <w:rsid w:val="0049776D"/>
    <w:rsid w:val="004A3D44"/>
    <w:rsid w:val="004B27DA"/>
    <w:rsid w:val="004C18F8"/>
    <w:rsid w:val="004D20C8"/>
    <w:rsid w:val="004E2062"/>
    <w:rsid w:val="004E6CB5"/>
    <w:rsid w:val="004E7EC7"/>
    <w:rsid w:val="004E7F36"/>
    <w:rsid w:val="004F7163"/>
    <w:rsid w:val="004F7F4A"/>
    <w:rsid w:val="005002AB"/>
    <w:rsid w:val="005016B3"/>
    <w:rsid w:val="00506585"/>
    <w:rsid w:val="00527F80"/>
    <w:rsid w:val="00530993"/>
    <w:rsid w:val="005A7F39"/>
    <w:rsid w:val="005B1D07"/>
    <w:rsid w:val="005C188D"/>
    <w:rsid w:val="005D0D4D"/>
    <w:rsid w:val="005D1175"/>
    <w:rsid w:val="005E6BE5"/>
    <w:rsid w:val="00615A4B"/>
    <w:rsid w:val="00625F7B"/>
    <w:rsid w:val="00631889"/>
    <w:rsid w:val="006328FF"/>
    <w:rsid w:val="00654A89"/>
    <w:rsid w:val="0065597E"/>
    <w:rsid w:val="00663062"/>
    <w:rsid w:val="006635FD"/>
    <w:rsid w:val="00670256"/>
    <w:rsid w:val="00670606"/>
    <w:rsid w:val="00670AB8"/>
    <w:rsid w:val="00673CE6"/>
    <w:rsid w:val="00683527"/>
    <w:rsid w:val="0068354C"/>
    <w:rsid w:val="00686AE8"/>
    <w:rsid w:val="00693CCA"/>
    <w:rsid w:val="00694650"/>
    <w:rsid w:val="006B2405"/>
    <w:rsid w:val="006B33C4"/>
    <w:rsid w:val="006D220C"/>
    <w:rsid w:val="006E31C7"/>
    <w:rsid w:val="006E609E"/>
    <w:rsid w:val="006F13B4"/>
    <w:rsid w:val="006F5508"/>
    <w:rsid w:val="007011E3"/>
    <w:rsid w:val="00704411"/>
    <w:rsid w:val="00713444"/>
    <w:rsid w:val="00727765"/>
    <w:rsid w:val="007339DB"/>
    <w:rsid w:val="00737BBF"/>
    <w:rsid w:val="0075434F"/>
    <w:rsid w:val="00763968"/>
    <w:rsid w:val="0078475B"/>
    <w:rsid w:val="0078769A"/>
    <w:rsid w:val="007A162A"/>
    <w:rsid w:val="007C1BD6"/>
    <w:rsid w:val="007D3961"/>
    <w:rsid w:val="007D7E3B"/>
    <w:rsid w:val="007F0A89"/>
    <w:rsid w:val="007F3CCD"/>
    <w:rsid w:val="00817A87"/>
    <w:rsid w:val="008309BA"/>
    <w:rsid w:val="00834CAC"/>
    <w:rsid w:val="00835F94"/>
    <w:rsid w:val="0085071F"/>
    <w:rsid w:val="00855771"/>
    <w:rsid w:val="00866412"/>
    <w:rsid w:val="00876D65"/>
    <w:rsid w:val="00884265"/>
    <w:rsid w:val="0089000A"/>
    <w:rsid w:val="008A7C14"/>
    <w:rsid w:val="008E1767"/>
    <w:rsid w:val="008E7852"/>
    <w:rsid w:val="00911B66"/>
    <w:rsid w:val="00914F45"/>
    <w:rsid w:val="00916EC2"/>
    <w:rsid w:val="00931E69"/>
    <w:rsid w:val="00937831"/>
    <w:rsid w:val="00941595"/>
    <w:rsid w:val="00942BD5"/>
    <w:rsid w:val="00944400"/>
    <w:rsid w:val="0096411A"/>
    <w:rsid w:val="00965F7C"/>
    <w:rsid w:val="00966A06"/>
    <w:rsid w:val="00971327"/>
    <w:rsid w:val="00973F7F"/>
    <w:rsid w:val="009745DC"/>
    <w:rsid w:val="009A58EF"/>
    <w:rsid w:val="009B121D"/>
    <w:rsid w:val="009D42C1"/>
    <w:rsid w:val="009D6C60"/>
    <w:rsid w:val="009E62C7"/>
    <w:rsid w:val="009F1F72"/>
    <w:rsid w:val="00A036BF"/>
    <w:rsid w:val="00A04E79"/>
    <w:rsid w:val="00A125DD"/>
    <w:rsid w:val="00A15C9B"/>
    <w:rsid w:val="00A22244"/>
    <w:rsid w:val="00A25921"/>
    <w:rsid w:val="00A31602"/>
    <w:rsid w:val="00A34069"/>
    <w:rsid w:val="00A73DBE"/>
    <w:rsid w:val="00A7425E"/>
    <w:rsid w:val="00A879A8"/>
    <w:rsid w:val="00A87E0B"/>
    <w:rsid w:val="00AA0F75"/>
    <w:rsid w:val="00AB370F"/>
    <w:rsid w:val="00AB5897"/>
    <w:rsid w:val="00AC140B"/>
    <w:rsid w:val="00AD2BF3"/>
    <w:rsid w:val="00AD652C"/>
    <w:rsid w:val="00AE3817"/>
    <w:rsid w:val="00AE7F46"/>
    <w:rsid w:val="00B0500B"/>
    <w:rsid w:val="00B123F3"/>
    <w:rsid w:val="00B223E8"/>
    <w:rsid w:val="00B27975"/>
    <w:rsid w:val="00B31757"/>
    <w:rsid w:val="00B510DC"/>
    <w:rsid w:val="00B75B81"/>
    <w:rsid w:val="00B802C0"/>
    <w:rsid w:val="00BA3300"/>
    <w:rsid w:val="00BA40DB"/>
    <w:rsid w:val="00BA4496"/>
    <w:rsid w:val="00BB1953"/>
    <w:rsid w:val="00BB3171"/>
    <w:rsid w:val="00BB4E44"/>
    <w:rsid w:val="00BC471E"/>
    <w:rsid w:val="00C063CD"/>
    <w:rsid w:val="00C101AB"/>
    <w:rsid w:val="00C12B46"/>
    <w:rsid w:val="00C239F7"/>
    <w:rsid w:val="00C36656"/>
    <w:rsid w:val="00C72B43"/>
    <w:rsid w:val="00C76B61"/>
    <w:rsid w:val="00C8207A"/>
    <w:rsid w:val="00CA6DDC"/>
    <w:rsid w:val="00CE475B"/>
    <w:rsid w:val="00CE5806"/>
    <w:rsid w:val="00D21659"/>
    <w:rsid w:val="00D31FC8"/>
    <w:rsid w:val="00D47981"/>
    <w:rsid w:val="00D65AAC"/>
    <w:rsid w:val="00D85DB2"/>
    <w:rsid w:val="00D9048D"/>
    <w:rsid w:val="00DC0F0B"/>
    <w:rsid w:val="00DC480E"/>
    <w:rsid w:val="00DD7878"/>
    <w:rsid w:val="00DF429F"/>
    <w:rsid w:val="00E0232B"/>
    <w:rsid w:val="00E03B37"/>
    <w:rsid w:val="00E042AA"/>
    <w:rsid w:val="00E11541"/>
    <w:rsid w:val="00E163A5"/>
    <w:rsid w:val="00E271DF"/>
    <w:rsid w:val="00E67D5D"/>
    <w:rsid w:val="00E8164A"/>
    <w:rsid w:val="00E86550"/>
    <w:rsid w:val="00EA17F7"/>
    <w:rsid w:val="00EA5A1B"/>
    <w:rsid w:val="00EB5A3D"/>
    <w:rsid w:val="00EC5E1A"/>
    <w:rsid w:val="00EC6E78"/>
    <w:rsid w:val="00EF72CC"/>
    <w:rsid w:val="00F0062D"/>
    <w:rsid w:val="00F06932"/>
    <w:rsid w:val="00F15B86"/>
    <w:rsid w:val="00F34048"/>
    <w:rsid w:val="00F3647D"/>
    <w:rsid w:val="00F46BBE"/>
    <w:rsid w:val="00F50AAC"/>
    <w:rsid w:val="00F61AC5"/>
    <w:rsid w:val="00F734CC"/>
    <w:rsid w:val="00F749FD"/>
    <w:rsid w:val="00F802DE"/>
    <w:rsid w:val="00F9563A"/>
    <w:rsid w:val="00FC7409"/>
    <w:rsid w:val="00FE3AB8"/>
    <w:rsid w:val="02B30326"/>
    <w:rsid w:val="03B41CD7"/>
    <w:rsid w:val="05662A2A"/>
    <w:rsid w:val="060730C4"/>
    <w:rsid w:val="082F6F0C"/>
    <w:rsid w:val="09864F47"/>
    <w:rsid w:val="0A9F5076"/>
    <w:rsid w:val="0AB36DEE"/>
    <w:rsid w:val="0CB46464"/>
    <w:rsid w:val="0FAA7844"/>
    <w:rsid w:val="108448E2"/>
    <w:rsid w:val="11010BCF"/>
    <w:rsid w:val="12103BCB"/>
    <w:rsid w:val="13661AB0"/>
    <w:rsid w:val="146704D7"/>
    <w:rsid w:val="167E4E80"/>
    <w:rsid w:val="16C8710F"/>
    <w:rsid w:val="18F002B2"/>
    <w:rsid w:val="1B444EC4"/>
    <w:rsid w:val="1B8A73CC"/>
    <w:rsid w:val="1DDC45FE"/>
    <w:rsid w:val="1F9D0919"/>
    <w:rsid w:val="21F9731A"/>
    <w:rsid w:val="23FF0099"/>
    <w:rsid w:val="243F2D6E"/>
    <w:rsid w:val="24587E6D"/>
    <w:rsid w:val="248A7EDB"/>
    <w:rsid w:val="25552225"/>
    <w:rsid w:val="25D770AE"/>
    <w:rsid w:val="26EE5CFE"/>
    <w:rsid w:val="27C073E4"/>
    <w:rsid w:val="28450F06"/>
    <w:rsid w:val="2A683426"/>
    <w:rsid w:val="2E9136CD"/>
    <w:rsid w:val="2F3445FD"/>
    <w:rsid w:val="30014EEF"/>
    <w:rsid w:val="319F4FC4"/>
    <w:rsid w:val="336E6208"/>
    <w:rsid w:val="33A948CC"/>
    <w:rsid w:val="36362319"/>
    <w:rsid w:val="3A325BDD"/>
    <w:rsid w:val="3B293484"/>
    <w:rsid w:val="3B8B6663"/>
    <w:rsid w:val="3BB77F7D"/>
    <w:rsid w:val="3BE22732"/>
    <w:rsid w:val="3C7805E8"/>
    <w:rsid w:val="3CB90165"/>
    <w:rsid w:val="402E7347"/>
    <w:rsid w:val="449553E1"/>
    <w:rsid w:val="46F76827"/>
    <w:rsid w:val="48163855"/>
    <w:rsid w:val="48E607B9"/>
    <w:rsid w:val="4A324B28"/>
    <w:rsid w:val="4A9763E5"/>
    <w:rsid w:val="4C0B7D17"/>
    <w:rsid w:val="4EC97EA1"/>
    <w:rsid w:val="4EFD45B3"/>
    <w:rsid w:val="4FA93FCC"/>
    <w:rsid w:val="4FF709DD"/>
    <w:rsid w:val="5020513E"/>
    <w:rsid w:val="51730B5D"/>
    <w:rsid w:val="53CA2D4B"/>
    <w:rsid w:val="53FB5E2D"/>
    <w:rsid w:val="54693B20"/>
    <w:rsid w:val="55A65FB2"/>
    <w:rsid w:val="57844F66"/>
    <w:rsid w:val="57983F4B"/>
    <w:rsid w:val="58FE4D49"/>
    <w:rsid w:val="5D906992"/>
    <w:rsid w:val="5E13369B"/>
    <w:rsid w:val="5F165030"/>
    <w:rsid w:val="61D135C8"/>
    <w:rsid w:val="655138C6"/>
    <w:rsid w:val="6AEA1A38"/>
    <w:rsid w:val="725065B0"/>
    <w:rsid w:val="746C36AC"/>
    <w:rsid w:val="76876CD5"/>
    <w:rsid w:val="7C835994"/>
    <w:rsid w:val="7D3B2674"/>
    <w:rsid w:val="7D95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80" w:lineRule="exact"/>
      <w:jc w:val="center"/>
      <w:outlineLvl w:val="0"/>
    </w:pPr>
    <w:rPr>
      <w:rFonts w:ascii="宋体"/>
      <w:b/>
      <w:bCs/>
      <w:kern w:val="0"/>
      <w:sz w:val="20"/>
    </w:rPr>
  </w:style>
  <w:style w:type="paragraph" w:styleId="2">
    <w:name w:val="heading 2"/>
    <w:basedOn w:val="1"/>
    <w:next w:val="1"/>
    <w:link w:val="4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pPr>
  </w:style>
  <w:style w:type="paragraph" w:styleId="6">
    <w:name w:val="caption"/>
    <w:basedOn w:val="1"/>
    <w:next w:val="1"/>
    <w:qFormat/>
    <w:uiPriority w:val="0"/>
    <w:pPr>
      <w:numPr>
        <w:ilvl w:val="0"/>
        <w:numId w:val="1"/>
      </w:numPr>
      <w:tabs>
        <w:tab w:val="left" w:pos="780"/>
      </w:tabs>
      <w:spacing w:before="152" w:after="160"/>
    </w:pPr>
    <w:rPr>
      <w:rFonts w:ascii="Arial" w:hAnsi="Arial" w:eastAsia="黑体" w:cs="Arial"/>
      <w:sz w:val="20"/>
    </w:rPr>
  </w:style>
  <w:style w:type="paragraph" w:styleId="7">
    <w:name w:val="annotation text"/>
    <w:basedOn w:val="1"/>
    <w:link w:val="54"/>
    <w:qFormat/>
    <w:uiPriority w:val="0"/>
    <w:pPr>
      <w:jc w:val="left"/>
    </w:pPr>
  </w:style>
  <w:style w:type="paragraph" w:styleId="8">
    <w:name w:val="Body Text"/>
    <w:basedOn w:val="1"/>
    <w:next w:val="1"/>
    <w:qFormat/>
    <w:uiPriority w:val="0"/>
    <w:rPr>
      <w:i/>
      <w:kern w:val="0"/>
      <w:sz w:val="20"/>
    </w:rPr>
  </w:style>
  <w:style w:type="paragraph" w:styleId="9">
    <w:name w:val="Body Text Indent"/>
    <w:basedOn w:val="1"/>
    <w:next w:val="1"/>
    <w:link w:val="51"/>
    <w:qFormat/>
    <w:uiPriority w:val="99"/>
    <w:pPr>
      <w:spacing w:line="380" w:lineRule="exact"/>
      <w:ind w:firstLine="480"/>
    </w:pPr>
    <w:rPr>
      <w:rFonts w:eastAsia="方正书宋简体"/>
      <w:kern w:val="0"/>
      <w:sz w:val="20"/>
    </w:rPr>
  </w:style>
  <w:style w:type="paragraph" w:styleId="10">
    <w:name w:val="index 4"/>
    <w:basedOn w:val="1"/>
    <w:next w:val="1"/>
    <w:unhideWhenUsed/>
    <w:qFormat/>
    <w:uiPriority w:val="99"/>
    <w:pPr>
      <w:ind w:left="600" w:leftChars="600"/>
    </w:pPr>
  </w:style>
  <w:style w:type="paragraph" w:styleId="11">
    <w:name w:val="Plain Text"/>
    <w:basedOn w:val="1"/>
    <w:link w:val="41"/>
    <w:qFormat/>
    <w:uiPriority w:val="0"/>
    <w:pPr>
      <w:widowControl/>
      <w:spacing w:before="100" w:beforeAutospacing="1" w:after="100" w:afterAutospacing="1"/>
      <w:jc w:val="left"/>
    </w:pPr>
    <w:rPr>
      <w:rFonts w:ascii="宋体" w:hAnsi="宋体"/>
      <w:color w:val="000000"/>
      <w:kern w:val="0"/>
      <w:sz w:val="24"/>
      <w:szCs w:val="24"/>
    </w:rPr>
  </w:style>
  <w:style w:type="paragraph" w:styleId="12">
    <w:name w:val="Date"/>
    <w:basedOn w:val="1"/>
    <w:next w:val="1"/>
    <w:qFormat/>
    <w:uiPriority w:val="0"/>
    <w:pPr>
      <w:adjustRightInd w:val="0"/>
      <w:spacing w:line="312" w:lineRule="atLeast"/>
      <w:jc w:val="right"/>
      <w:textAlignment w:val="baseline"/>
    </w:pPr>
    <w:rPr>
      <w:rFonts w:ascii="宋体"/>
      <w:kern w:val="0"/>
      <w:sz w:val="20"/>
    </w:rPr>
  </w:style>
  <w:style w:type="paragraph" w:styleId="13">
    <w:name w:val="Body Text Indent 2"/>
    <w:basedOn w:val="1"/>
    <w:qFormat/>
    <w:uiPriority w:val="0"/>
    <w:pPr>
      <w:snapToGrid w:val="0"/>
      <w:ind w:firstLine="542" w:firstLineChars="225"/>
    </w:pPr>
    <w:rPr>
      <w:rFonts w:ascii="仿宋_GB2312" w:hAnsi="宋体"/>
      <w:b/>
      <w:bCs/>
      <w:color w:val="000000"/>
      <w:sz w:val="24"/>
    </w:rPr>
  </w:style>
  <w:style w:type="paragraph" w:styleId="14">
    <w:name w:val="footer"/>
    <w:basedOn w:val="1"/>
    <w:link w:val="45"/>
    <w:qFormat/>
    <w:uiPriority w:val="99"/>
    <w:pPr>
      <w:tabs>
        <w:tab w:val="center" w:pos="4153"/>
        <w:tab w:val="right" w:pos="8306"/>
      </w:tabs>
      <w:snapToGrid w:val="0"/>
      <w:jc w:val="left"/>
    </w:pPr>
    <w:rPr>
      <w:kern w:val="0"/>
      <w:sz w:val="18"/>
      <w:szCs w:val="18"/>
    </w:rPr>
  </w:style>
  <w:style w:type="paragraph" w:styleId="15">
    <w:name w:val="header"/>
    <w:basedOn w:val="1"/>
    <w:link w:val="46"/>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17">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8">
    <w:name w:val="Body Text Indent 3"/>
    <w:basedOn w:val="1"/>
    <w:link w:val="53"/>
    <w:qFormat/>
    <w:uiPriority w:val="0"/>
    <w:pPr>
      <w:spacing w:after="120"/>
      <w:ind w:left="420" w:leftChars="200"/>
    </w:pPr>
    <w:rPr>
      <w:sz w:val="16"/>
      <w:szCs w:val="16"/>
    </w:rPr>
  </w:style>
  <w:style w:type="paragraph" w:styleId="19">
    <w:name w:val="toc 2"/>
    <w:basedOn w:val="1"/>
    <w:next w:val="1"/>
    <w:unhideWhenUsed/>
    <w:qFormat/>
    <w:uiPriority w:val="39"/>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55"/>
    <w:semiHidden/>
    <w:unhideWhenUsed/>
    <w:qFormat/>
    <w:uiPriority w:val="0"/>
    <w:rPr>
      <w:b/>
      <w:bCs/>
    </w:rPr>
  </w:style>
  <w:style w:type="paragraph" w:styleId="22">
    <w:name w:val="Body Text First Indent"/>
    <w:basedOn w:val="8"/>
    <w:next w:val="1"/>
    <w:qFormat/>
    <w:uiPriority w:val="0"/>
    <w:pPr>
      <w:spacing w:after="120"/>
      <w:ind w:firstLine="420" w:firstLineChars="100"/>
    </w:pPr>
    <w:rPr>
      <w:sz w:val="24"/>
      <w:szCs w:val="24"/>
    </w:rPr>
  </w:style>
  <w:style w:type="paragraph" w:styleId="23">
    <w:name w:val="Body Text First Indent 2"/>
    <w:basedOn w:val="9"/>
    <w:qFormat/>
    <w:uiPriority w:val="0"/>
    <w:pPr>
      <w:spacing w:after="120" w:line="240" w:lineRule="auto"/>
      <w:ind w:left="420" w:leftChars="200" w:firstLine="420" w:firstLineChars="200"/>
    </w:pPr>
    <w:rPr>
      <w:sz w:val="21"/>
    </w:rPr>
  </w:style>
  <w:style w:type="table" w:styleId="25">
    <w:name w:val="Table Grid"/>
    <w:basedOn w:val="24"/>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rPr>
      <w:rFonts w:cs="Times New Roman"/>
    </w:rPr>
  </w:style>
  <w:style w:type="character" w:styleId="29">
    <w:name w:val="Hyperlink"/>
    <w:qFormat/>
    <w:uiPriority w:val="99"/>
    <w:rPr>
      <w:rFonts w:cs="Times New Roman"/>
      <w:color w:val="0000FF"/>
      <w:u w:val="single"/>
    </w:rPr>
  </w:style>
  <w:style w:type="character" w:styleId="30">
    <w:name w:val="annotation reference"/>
    <w:basedOn w:val="26"/>
    <w:semiHidden/>
    <w:unhideWhenUsed/>
    <w:qFormat/>
    <w:uiPriority w:val="0"/>
    <w:rPr>
      <w:sz w:val="21"/>
      <w:szCs w:val="21"/>
    </w:rPr>
  </w:style>
  <w:style w:type="paragraph" w:customStyle="1" w:styleId="31">
    <w:name w:val="*正文"/>
    <w:basedOn w:val="1"/>
    <w:qFormat/>
    <w:uiPriority w:val="0"/>
    <w:pPr>
      <w:widowControl/>
      <w:ind w:firstLine="200" w:firstLineChars="200"/>
    </w:pPr>
    <w:rPr>
      <w:rFonts w:ascii="仿宋_GB2312" w:eastAsia="仿宋_GB2312"/>
      <w:sz w:val="24"/>
      <w:szCs w:val="28"/>
    </w:rPr>
  </w:style>
  <w:style w:type="paragraph" w:customStyle="1" w:styleId="32">
    <w:name w:val="Table Paragraph"/>
    <w:basedOn w:val="1"/>
    <w:qFormat/>
    <w:uiPriority w:val="1"/>
    <w:rPr>
      <w:rFonts w:ascii="宋体" w:hAnsi="宋体" w:cs="宋体"/>
      <w:lang w:val="zh-CN" w:bidi="zh-CN"/>
    </w:rPr>
  </w:style>
  <w:style w:type="character" w:customStyle="1" w:styleId="33">
    <w:name w:val="标题 1 Char Char"/>
    <w:qFormat/>
    <w:uiPriority w:val="0"/>
    <w:rPr>
      <w:rFonts w:eastAsia="宋体" w:cs="Times New Roman"/>
      <w:b/>
      <w:spacing w:val="-2"/>
      <w:sz w:val="24"/>
      <w:lang w:val="en-US" w:eastAsia="zh-CN" w:bidi="ar-SA"/>
    </w:rPr>
  </w:style>
  <w:style w:type="paragraph" w:styleId="3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35">
    <w:name w:val="List Paragraph"/>
    <w:basedOn w:val="1"/>
    <w:link w:val="39"/>
    <w:qFormat/>
    <w:uiPriority w:val="34"/>
    <w:pPr>
      <w:ind w:firstLine="420" w:firstLineChars="200"/>
    </w:pPr>
  </w:style>
  <w:style w:type="paragraph" w:customStyle="1" w:styleId="36">
    <w:name w:val="纯文本1"/>
    <w:basedOn w:val="1"/>
    <w:qFormat/>
    <w:uiPriority w:val="0"/>
    <w:pPr>
      <w:spacing w:before="156" w:beforeLines="50" w:after="156" w:afterLines="50" w:line="400" w:lineRule="exact"/>
    </w:pPr>
    <w:rPr>
      <w:rFonts w:ascii="宋体" w:hAnsi="Courier New"/>
      <w:sz w:val="24"/>
      <w:szCs w:val="24"/>
    </w:rPr>
  </w:style>
  <w:style w:type="paragraph" w:customStyle="1" w:styleId="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8">
    <w:name w:val="标题 4 字符"/>
    <w:basedOn w:val="26"/>
    <w:link w:val="4"/>
    <w:semiHidden/>
    <w:qFormat/>
    <w:uiPriority w:val="0"/>
    <w:rPr>
      <w:rFonts w:asciiTheme="majorHAnsi" w:hAnsiTheme="majorHAnsi" w:eastAsiaTheme="majorEastAsia" w:cstheme="majorBidi"/>
      <w:b/>
      <w:bCs/>
      <w:kern w:val="2"/>
      <w:sz w:val="28"/>
      <w:szCs w:val="28"/>
    </w:rPr>
  </w:style>
  <w:style w:type="character" w:customStyle="1" w:styleId="39">
    <w:name w:val="列表段落 字符"/>
    <w:link w:val="35"/>
    <w:qFormat/>
    <w:uiPriority w:val="34"/>
    <w:rPr>
      <w:kern w:val="2"/>
      <w:sz w:val="21"/>
    </w:rPr>
  </w:style>
  <w:style w:type="character" w:customStyle="1" w:styleId="40">
    <w:name w:val="未处理的提及1"/>
    <w:basedOn w:val="26"/>
    <w:semiHidden/>
    <w:unhideWhenUsed/>
    <w:qFormat/>
    <w:uiPriority w:val="99"/>
    <w:rPr>
      <w:color w:val="605E5C"/>
      <w:shd w:val="clear" w:color="auto" w:fill="E1DFDD"/>
    </w:rPr>
  </w:style>
  <w:style w:type="character" w:customStyle="1" w:styleId="41">
    <w:name w:val="纯文本 字符"/>
    <w:link w:val="11"/>
    <w:qFormat/>
    <w:uiPriority w:val="0"/>
    <w:rPr>
      <w:rFonts w:ascii="宋体" w:hAnsi="宋体"/>
      <w:color w:val="000000"/>
      <w:sz w:val="24"/>
      <w:szCs w:val="24"/>
    </w:rPr>
  </w:style>
  <w:style w:type="character" w:customStyle="1" w:styleId="42">
    <w:name w:val="标题 2 字符"/>
    <w:basedOn w:val="26"/>
    <w:link w:val="2"/>
    <w:qFormat/>
    <w:uiPriority w:val="0"/>
    <w:rPr>
      <w:rFonts w:asciiTheme="majorHAnsi" w:hAnsiTheme="majorHAnsi" w:eastAsiaTheme="majorEastAsia" w:cstheme="majorBidi"/>
      <w:b/>
      <w:bCs/>
      <w:kern w:val="2"/>
      <w:sz w:val="32"/>
      <w:szCs w:val="32"/>
    </w:rPr>
  </w:style>
  <w:style w:type="character" w:customStyle="1" w:styleId="43">
    <w:name w:val="纯文本 Char2"/>
    <w:qFormat/>
    <w:uiPriority w:val="0"/>
    <w:rPr>
      <w:rFonts w:ascii="宋体" w:hAnsi="Times New Roman"/>
      <w:sz w:val="24"/>
      <w:szCs w:val="24"/>
    </w:rPr>
  </w:style>
  <w:style w:type="paragraph" w:customStyle="1" w:styleId="44">
    <w:name w:val="_Style 36"/>
    <w:basedOn w:val="1"/>
    <w:next w:val="35"/>
    <w:qFormat/>
    <w:uiPriority w:val="34"/>
    <w:pPr>
      <w:numPr>
        <w:ilvl w:val="0"/>
        <w:numId w:val="2"/>
      </w:numPr>
      <w:tabs>
        <w:tab w:val="left" w:pos="360"/>
      </w:tabs>
    </w:pPr>
    <w:rPr>
      <w:rFonts w:ascii="Calibri" w:hAnsi="Calibri"/>
      <w:szCs w:val="22"/>
    </w:rPr>
  </w:style>
  <w:style w:type="character" w:customStyle="1" w:styleId="45">
    <w:name w:val="页脚 字符"/>
    <w:link w:val="14"/>
    <w:qFormat/>
    <w:uiPriority w:val="99"/>
    <w:rPr>
      <w:sz w:val="18"/>
      <w:szCs w:val="18"/>
    </w:rPr>
  </w:style>
  <w:style w:type="character" w:customStyle="1" w:styleId="46">
    <w:name w:val="页眉 字符"/>
    <w:link w:val="15"/>
    <w:qFormat/>
    <w:uiPriority w:val="99"/>
    <w:rPr>
      <w:sz w:val="18"/>
      <w:szCs w:val="18"/>
    </w:rPr>
  </w:style>
  <w:style w:type="character" w:customStyle="1" w:styleId="47">
    <w:name w:val="标题 1 Char"/>
    <w:qFormat/>
    <w:uiPriority w:val="0"/>
    <w:rPr>
      <w:rFonts w:ascii="Times New Roman" w:hAnsi="Times New Roman" w:eastAsia="宋体" w:cs="Times New Roman"/>
      <w:b/>
      <w:bCs/>
      <w:kern w:val="44"/>
      <w:sz w:val="44"/>
      <w:szCs w:val="44"/>
    </w:rPr>
  </w:style>
  <w:style w:type="character" w:customStyle="1" w:styleId="48">
    <w:name w:val="页眉 Char1"/>
    <w:qFormat/>
    <w:uiPriority w:val="99"/>
    <w:rPr>
      <w:sz w:val="18"/>
      <w:szCs w:val="18"/>
    </w:rPr>
  </w:style>
  <w:style w:type="character" w:customStyle="1" w:styleId="49">
    <w:name w:val="页脚 Char1"/>
    <w:qFormat/>
    <w:uiPriority w:val="99"/>
    <w:rPr>
      <w:sz w:val="18"/>
      <w:szCs w:val="18"/>
    </w:rPr>
  </w:style>
  <w:style w:type="paragraph" w:customStyle="1" w:styleId="50">
    <w:name w:val="xl29"/>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character" w:customStyle="1" w:styleId="51">
    <w:name w:val="正文文本缩进 字符"/>
    <w:basedOn w:val="26"/>
    <w:link w:val="9"/>
    <w:qFormat/>
    <w:uiPriority w:val="99"/>
    <w:rPr>
      <w:rFonts w:eastAsia="方正书宋简体"/>
    </w:rPr>
  </w:style>
  <w:style w:type="character" w:customStyle="1" w:styleId="52">
    <w:name w:val="未处理的提及2"/>
    <w:basedOn w:val="26"/>
    <w:semiHidden/>
    <w:unhideWhenUsed/>
    <w:uiPriority w:val="99"/>
    <w:rPr>
      <w:color w:val="605E5C"/>
      <w:shd w:val="clear" w:color="auto" w:fill="E1DFDD"/>
    </w:rPr>
  </w:style>
  <w:style w:type="character" w:customStyle="1" w:styleId="53">
    <w:name w:val="正文文本缩进 3 字符"/>
    <w:basedOn w:val="26"/>
    <w:link w:val="18"/>
    <w:uiPriority w:val="0"/>
    <w:rPr>
      <w:kern w:val="2"/>
      <w:sz w:val="16"/>
      <w:szCs w:val="16"/>
    </w:rPr>
  </w:style>
  <w:style w:type="character" w:customStyle="1" w:styleId="54">
    <w:name w:val="批注文字 字符"/>
    <w:basedOn w:val="26"/>
    <w:link w:val="7"/>
    <w:uiPriority w:val="0"/>
    <w:rPr>
      <w:kern w:val="2"/>
      <w:sz w:val="21"/>
    </w:rPr>
  </w:style>
  <w:style w:type="character" w:customStyle="1" w:styleId="55">
    <w:name w:val="批注主题 字符"/>
    <w:basedOn w:val="54"/>
    <w:link w:val="21"/>
    <w:semiHidden/>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606D4-3760-4D96-A764-F3995BC13A20}">
  <ds:schemaRefs/>
</ds:datastoreItem>
</file>

<file path=docProps/app.xml><?xml version="1.0" encoding="utf-8"?>
<Properties xmlns="http://schemas.openxmlformats.org/officeDocument/2006/extended-properties" xmlns:vt="http://schemas.openxmlformats.org/officeDocument/2006/docPropsVTypes">
  <Template>Normal</Template>
  <Pages>45</Pages>
  <Words>4657</Words>
  <Characters>26551</Characters>
  <Lines>221</Lines>
  <Paragraphs>62</Paragraphs>
  <TotalTime>6</TotalTime>
  <ScaleCrop>false</ScaleCrop>
  <LinksUpToDate>false</LinksUpToDate>
  <CharactersWithSpaces>31146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2023-02-21T03:17:00Z</dcterms:created>
  <dc:creator>Wilhelm 戎</dc:creator>
  <cp:lastModifiedBy>Administrator</cp:lastModifiedBy>
  <cp:lastPrinted>2023-02-17T03:49:00Z</cp:lastPrinted>
  <dcterms:modified xsi:type="dcterms:W3CDTF">2023-02-21T06:11:07Z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2F2321A633C4424E97D060BD24E7B612</vt:lpwstr>
  </property>
</Properties>
</file>