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20E1B4">
      <w:pPr>
        <w:spacing w:after="120" w:line="360" w:lineRule="auto"/>
        <w:jc w:val="center"/>
        <w:rPr>
          <w:rFonts w:ascii="宋体" w:hAnsi="宋体"/>
          <w:b/>
          <w:color w:val="auto"/>
          <w:sz w:val="52"/>
          <w:highlight w:val="none"/>
        </w:rPr>
      </w:pPr>
    </w:p>
    <w:p w14:paraId="6A95920C">
      <w:pPr>
        <w:spacing w:after="120" w:line="360" w:lineRule="auto"/>
        <w:jc w:val="center"/>
        <w:rPr>
          <w:rFonts w:ascii="宋体" w:hAnsi="宋体"/>
          <w:b/>
          <w:color w:val="auto"/>
          <w:sz w:val="48"/>
          <w:highlight w:val="none"/>
        </w:rPr>
      </w:pPr>
      <w:r>
        <w:rPr>
          <w:rFonts w:hint="eastAsia" w:ascii="宋体" w:hAnsi="宋体"/>
          <w:b/>
          <w:color w:val="auto"/>
          <w:sz w:val="48"/>
          <w:highlight w:val="none"/>
        </w:rPr>
        <w:t>政府采购项目</w:t>
      </w:r>
    </w:p>
    <w:p w14:paraId="6A59E006">
      <w:pPr>
        <w:spacing w:after="120" w:line="360" w:lineRule="auto"/>
        <w:jc w:val="center"/>
        <w:rPr>
          <w:rFonts w:ascii="宋体" w:hAnsi="宋体"/>
          <w:b/>
          <w:color w:val="auto"/>
          <w:sz w:val="72"/>
          <w:highlight w:val="none"/>
        </w:rPr>
      </w:pPr>
      <w:r>
        <w:rPr>
          <w:rFonts w:hint="eastAsia" w:ascii="宋体" w:hAnsi="宋体"/>
          <w:b/>
          <w:color w:val="auto"/>
          <w:sz w:val="72"/>
          <w:highlight w:val="none"/>
        </w:rPr>
        <w:t>公开招标招标文件</w:t>
      </w:r>
    </w:p>
    <w:p w14:paraId="7E90A88F">
      <w:pPr>
        <w:spacing w:line="360" w:lineRule="auto"/>
        <w:rPr>
          <w:rFonts w:ascii="宋体" w:hAnsi="宋体"/>
          <w:b/>
          <w:color w:val="auto"/>
          <w:highlight w:val="none"/>
        </w:rPr>
      </w:pPr>
    </w:p>
    <w:p w14:paraId="2B23B8FA">
      <w:pPr>
        <w:spacing w:line="360" w:lineRule="auto"/>
        <w:rPr>
          <w:rFonts w:ascii="宋体" w:hAnsi="宋体"/>
          <w:b/>
          <w:color w:val="auto"/>
          <w:highlight w:val="none"/>
        </w:rPr>
      </w:pPr>
    </w:p>
    <w:p w14:paraId="3F6E6B22">
      <w:pPr>
        <w:spacing w:line="360" w:lineRule="auto"/>
        <w:rPr>
          <w:rFonts w:ascii="宋体" w:hAnsi="宋体"/>
          <w:b/>
          <w:color w:val="auto"/>
          <w:highlight w:val="none"/>
        </w:rPr>
      </w:pPr>
    </w:p>
    <w:p w14:paraId="178BDCDE">
      <w:pPr>
        <w:spacing w:line="360" w:lineRule="auto"/>
        <w:rPr>
          <w:rFonts w:ascii="宋体" w:hAnsi="宋体"/>
          <w:b/>
          <w:color w:val="auto"/>
          <w:highlight w:val="none"/>
        </w:rPr>
      </w:pPr>
    </w:p>
    <w:p w14:paraId="0D1EDDC3">
      <w:pPr>
        <w:spacing w:line="360" w:lineRule="auto"/>
        <w:rPr>
          <w:rFonts w:ascii="宋体" w:hAnsi="宋体"/>
          <w:b/>
          <w:color w:val="auto"/>
          <w:highlight w:val="none"/>
        </w:rPr>
      </w:pPr>
    </w:p>
    <w:p w14:paraId="5179B31D">
      <w:pPr>
        <w:spacing w:line="360" w:lineRule="auto"/>
        <w:ind w:firstLine="529" w:firstLineChars="147"/>
        <w:rPr>
          <w:rFonts w:ascii="宋体" w:hAnsi="宋体"/>
          <w:b/>
          <w:color w:val="auto"/>
          <w:sz w:val="36"/>
          <w:szCs w:val="36"/>
          <w:highlight w:val="none"/>
        </w:rPr>
      </w:pPr>
    </w:p>
    <w:p w14:paraId="6128D978">
      <w:pPr>
        <w:spacing w:line="360" w:lineRule="auto"/>
        <w:ind w:firstLine="529" w:firstLineChars="147"/>
        <w:rPr>
          <w:rFonts w:ascii="宋体" w:hAnsi="宋体"/>
          <w:b/>
          <w:color w:val="auto"/>
          <w:sz w:val="36"/>
          <w:szCs w:val="36"/>
          <w:highlight w:val="none"/>
        </w:rPr>
      </w:pPr>
    </w:p>
    <w:p w14:paraId="4C07F76C">
      <w:pPr>
        <w:spacing w:line="360" w:lineRule="auto"/>
        <w:ind w:firstLine="529" w:firstLineChars="147"/>
        <w:rPr>
          <w:rFonts w:hint="eastAsia"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eastAsia="zh-CN"/>
        </w:rPr>
        <w:t>项目编号</w:t>
      </w:r>
      <w:r>
        <w:rPr>
          <w:rFonts w:hint="eastAsia" w:ascii="宋体" w:hAnsi="宋体"/>
          <w:b/>
          <w:color w:val="auto"/>
          <w:sz w:val="36"/>
          <w:szCs w:val="36"/>
          <w:highlight w:val="none"/>
        </w:rPr>
        <w:t>：</w:t>
      </w:r>
      <w:r>
        <w:rPr>
          <w:rFonts w:hint="eastAsia" w:ascii="宋体" w:hAnsi="宋体"/>
          <w:b/>
          <w:color w:val="auto"/>
          <w:sz w:val="36"/>
          <w:szCs w:val="36"/>
          <w:highlight w:val="none"/>
          <w:u w:val="single"/>
          <w:lang w:eastAsia="zh-CN"/>
        </w:rPr>
        <w:t>ZJCY-20250603</w:t>
      </w:r>
    </w:p>
    <w:p w14:paraId="70301ECA">
      <w:pPr>
        <w:spacing w:line="360" w:lineRule="auto"/>
        <w:rPr>
          <w:rFonts w:ascii="宋体" w:hAnsi="宋体"/>
          <w:b/>
          <w:color w:val="auto"/>
          <w:sz w:val="36"/>
          <w:szCs w:val="36"/>
          <w:highlight w:val="none"/>
        </w:rPr>
      </w:pPr>
    </w:p>
    <w:p w14:paraId="2400A36F">
      <w:pPr>
        <w:tabs>
          <w:tab w:val="left" w:pos="0"/>
        </w:tabs>
        <w:spacing w:line="360" w:lineRule="auto"/>
        <w:ind w:left="2299" w:leftChars="238" w:hanging="1800" w:hangingChars="500"/>
        <w:rPr>
          <w:rFonts w:hint="eastAsia" w:ascii="宋体" w:hAnsi="宋体" w:eastAsia="宋体"/>
          <w:b/>
          <w:color w:val="auto"/>
          <w:sz w:val="36"/>
          <w:szCs w:val="36"/>
          <w:highlight w:val="none"/>
          <w:u w:val="single"/>
          <w:lang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eastAsia="zh-CN"/>
        </w:rPr>
        <w:t>宁波市北仑区东海实验学校庐南校区2025年度预算执行审计协审服务</w:t>
      </w:r>
    </w:p>
    <w:p w14:paraId="29EA547F">
      <w:pPr>
        <w:spacing w:line="360" w:lineRule="auto"/>
        <w:ind w:firstLine="360" w:firstLineChars="100"/>
        <w:rPr>
          <w:rFonts w:ascii="宋体" w:hAnsi="宋体"/>
          <w:b/>
          <w:color w:val="auto"/>
          <w:sz w:val="36"/>
          <w:szCs w:val="36"/>
          <w:highlight w:val="none"/>
        </w:rPr>
      </w:pPr>
    </w:p>
    <w:p w14:paraId="2BEC3310">
      <w:pPr>
        <w:spacing w:line="360" w:lineRule="auto"/>
        <w:ind w:left="361" w:leftChars="172" w:firstLine="180" w:firstLineChars="50"/>
        <w:rPr>
          <w:rFonts w:ascii="宋体" w:hAnsi="宋体"/>
          <w:b/>
          <w:color w:val="auto"/>
          <w:sz w:val="36"/>
          <w:szCs w:val="36"/>
          <w:highlight w:val="none"/>
        </w:rPr>
      </w:pPr>
    </w:p>
    <w:p w14:paraId="7FABFCE0">
      <w:pPr>
        <w:spacing w:line="360" w:lineRule="auto"/>
        <w:ind w:left="361" w:leftChars="172" w:firstLine="180" w:firstLineChars="50"/>
        <w:rPr>
          <w:rFonts w:ascii="宋体" w:hAnsi="宋体"/>
          <w:b/>
          <w:color w:val="auto"/>
          <w:sz w:val="36"/>
          <w:szCs w:val="36"/>
          <w:highlight w:val="none"/>
        </w:rPr>
      </w:pPr>
    </w:p>
    <w:p w14:paraId="3A46FBBD">
      <w:pPr>
        <w:spacing w:line="360" w:lineRule="auto"/>
        <w:ind w:left="361" w:leftChars="172" w:firstLine="180" w:firstLineChars="50"/>
        <w:rPr>
          <w:rFonts w:ascii="宋体" w:hAnsi="宋体"/>
          <w:b/>
          <w:color w:val="auto"/>
          <w:sz w:val="36"/>
          <w:szCs w:val="36"/>
          <w:highlight w:val="none"/>
        </w:rPr>
      </w:pPr>
    </w:p>
    <w:p w14:paraId="3BAA28BB">
      <w:pPr>
        <w:keepNext w:val="0"/>
        <w:keepLines w:val="0"/>
        <w:pageBreakBefore w:val="0"/>
        <w:widowControl w:val="0"/>
        <w:kinsoku/>
        <w:wordWrap/>
        <w:overflowPunct/>
        <w:topLinePunct w:val="0"/>
        <w:autoSpaceDE/>
        <w:autoSpaceDN/>
        <w:bidi w:val="0"/>
        <w:adjustRightInd/>
        <w:snapToGrid/>
        <w:spacing w:line="780" w:lineRule="exact"/>
        <w:ind w:left="361" w:leftChars="172" w:firstLine="160" w:firstLineChars="50"/>
        <w:jc w:val="left"/>
        <w:textAlignment w:val="auto"/>
        <w:rPr>
          <w:rFonts w:hint="eastAsia" w:ascii="宋体" w:hAnsi="宋体" w:eastAsia="宋体"/>
          <w:b/>
          <w:color w:val="auto"/>
          <w:sz w:val="32"/>
          <w:szCs w:val="32"/>
          <w:highlight w:val="none"/>
          <w:u w:val="none"/>
          <w:lang w:eastAsia="zh-CN"/>
        </w:rPr>
      </w:pPr>
      <w:r>
        <w:rPr>
          <w:rFonts w:hint="eastAsia" w:ascii="宋体" w:hAnsi="宋体"/>
          <w:b/>
          <w:color w:val="auto"/>
          <w:sz w:val="32"/>
          <w:szCs w:val="32"/>
          <w:highlight w:val="none"/>
          <w:u w:val="none"/>
        </w:rPr>
        <w:t>采 购 人：</w:t>
      </w:r>
      <w:r>
        <w:rPr>
          <w:rFonts w:hint="eastAsia" w:ascii="宋体" w:hAnsi="宋体"/>
          <w:b/>
          <w:color w:val="auto"/>
          <w:sz w:val="32"/>
          <w:szCs w:val="32"/>
          <w:highlight w:val="none"/>
          <w:u w:val="none"/>
          <w:lang w:eastAsia="zh-CN"/>
        </w:rPr>
        <w:t>宁波市北仑区审计局</w:t>
      </w:r>
    </w:p>
    <w:p w14:paraId="08300A93">
      <w:pPr>
        <w:keepNext w:val="0"/>
        <w:keepLines w:val="0"/>
        <w:pageBreakBefore w:val="0"/>
        <w:widowControl w:val="0"/>
        <w:kinsoku/>
        <w:wordWrap/>
        <w:overflowPunct/>
        <w:topLinePunct w:val="0"/>
        <w:autoSpaceDE/>
        <w:autoSpaceDN/>
        <w:bidi w:val="0"/>
        <w:adjustRightInd/>
        <w:snapToGrid/>
        <w:spacing w:line="780" w:lineRule="exact"/>
        <w:ind w:firstLine="480" w:firstLineChars="150"/>
        <w:jc w:val="left"/>
        <w:textAlignment w:val="auto"/>
        <w:rPr>
          <w:rFonts w:hint="eastAsia" w:ascii="宋体" w:hAnsi="宋体" w:eastAsia="宋体"/>
          <w:b/>
          <w:color w:val="auto"/>
          <w:sz w:val="32"/>
          <w:szCs w:val="32"/>
          <w:highlight w:val="none"/>
          <w:u w:val="none"/>
          <w:lang w:eastAsia="zh-CN"/>
        </w:rPr>
      </w:pPr>
      <w:r>
        <w:rPr>
          <w:rFonts w:hint="eastAsia" w:ascii="宋体" w:hAnsi="宋体"/>
          <w:b/>
          <w:color w:val="auto"/>
          <w:sz w:val="32"/>
          <w:szCs w:val="32"/>
          <w:highlight w:val="none"/>
          <w:u w:val="none"/>
        </w:rPr>
        <w:t>采购代理机构：</w:t>
      </w:r>
      <w:r>
        <w:rPr>
          <w:rFonts w:hint="eastAsia" w:ascii="宋体" w:hAnsi="宋体"/>
          <w:b/>
          <w:color w:val="auto"/>
          <w:sz w:val="32"/>
          <w:szCs w:val="32"/>
          <w:highlight w:val="none"/>
          <w:u w:val="none"/>
          <w:lang w:eastAsia="zh-CN"/>
        </w:rPr>
        <w:t>浙江诚源工程管理咨询有限公司</w:t>
      </w:r>
    </w:p>
    <w:p w14:paraId="5E44F074">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ascii="宋体" w:hAnsi="宋体"/>
          <w:b/>
          <w:color w:val="auto"/>
          <w:sz w:val="32"/>
          <w:szCs w:val="32"/>
          <w:highlight w:val="none"/>
          <w:u w:val="none"/>
        </w:rPr>
      </w:pPr>
      <w:r>
        <w:rPr>
          <w:rFonts w:hint="eastAsia" w:ascii="宋体" w:hAnsi="宋体"/>
          <w:b/>
          <w:color w:val="auto"/>
          <w:sz w:val="32"/>
          <w:szCs w:val="32"/>
          <w:highlight w:val="none"/>
          <w:u w:val="none"/>
        </w:rPr>
        <w:t>202</w:t>
      </w:r>
      <w:r>
        <w:rPr>
          <w:rFonts w:hint="eastAsia" w:ascii="宋体" w:hAnsi="宋体"/>
          <w:b/>
          <w:color w:val="auto"/>
          <w:sz w:val="32"/>
          <w:szCs w:val="32"/>
          <w:highlight w:val="none"/>
          <w:u w:val="none"/>
          <w:lang w:val="en-US" w:eastAsia="zh-CN"/>
        </w:rPr>
        <w:t>5</w:t>
      </w:r>
      <w:r>
        <w:rPr>
          <w:rFonts w:hint="eastAsia" w:ascii="宋体" w:hAnsi="宋体"/>
          <w:b/>
          <w:color w:val="auto"/>
          <w:sz w:val="32"/>
          <w:szCs w:val="32"/>
          <w:highlight w:val="none"/>
          <w:u w:val="none"/>
        </w:rPr>
        <w:t>年</w:t>
      </w:r>
      <w:r>
        <w:rPr>
          <w:rFonts w:hint="eastAsia" w:ascii="宋体" w:hAnsi="宋体"/>
          <w:b/>
          <w:color w:val="auto"/>
          <w:sz w:val="32"/>
          <w:szCs w:val="32"/>
          <w:highlight w:val="none"/>
          <w:u w:val="none"/>
          <w:lang w:val="en-US" w:eastAsia="zh-CN"/>
        </w:rPr>
        <w:t>7</w:t>
      </w:r>
      <w:r>
        <w:rPr>
          <w:rFonts w:hint="eastAsia" w:ascii="宋体" w:hAnsi="宋体"/>
          <w:b/>
          <w:color w:val="auto"/>
          <w:sz w:val="32"/>
          <w:szCs w:val="32"/>
          <w:highlight w:val="none"/>
          <w:u w:val="none"/>
        </w:rPr>
        <w:t>月</w:t>
      </w:r>
    </w:p>
    <w:p w14:paraId="5A5677B8">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hAnsi="宋体"/>
          <w:b/>
          <w:color w:val="auto"/>
          <w:sz w:val="36"/>
          <w:highlight w:val="none"/>
        </w:rPr>
      </w:pPr>
    </w:p>
    <w:p w14:paraId="68775D2E">
      <w:pPr>
        <w:spacing w:line="360" w:lineRule="auto"/>
        <w:jc w:val="center"/>
        <w:rPr>
          <w:rFonts w:ascii="宋体" w:hAnsi="宋体"/>
          <w:b/>
          <w:color w:val="auto"/>
          <w:sz w:val="36"/>
          <w:highlight w:val="none"/>
        </w:rPr>
      </w:pPr>
    </w:p>
    <w:p w14:paraId="57210D52">
      <w:pPr>
        <w:spacing w:line="360" w:lineRule="auto"/>
        <w:jc w:val="center"/>
        <w:rPr>
          <w:rFonts w:ascii="宋体" w:hAnsi="宋体"/>
          <w:b/>
          <w:color w:val="auto"/>
          <w:sz w:val="36"/>
          <w:highlight w:val="none"/>
        </w:rPr>
      </w:pPr>
    </w:p>
    <w:p w14:paraId="75DC522A">
      <w:pPr>
        <w:spacing w:line="360" w:lineRule="auto"/>
        <w:jc w:val="center"/>
        <w:rPr>
          <w:rFonts w:ascii="宋体" w:hAnsi="宋体"/>
          <w:b/>
          <w:color w:val="auto"/>
          <w:sz w:val="36"/>
          <w:highlight w:val="none"/>
        </w:rPr>
      </w:pPr>
      <w:r>
        <w:rPr>
          <w:rFonts w:hint="eastAsia" w:ascii="宋体" w:hAnsi="宋体"/>
          <w:b/>
          <w:color w:val="auto"/>
          <w:sz w:val="36"/>
          <w:highlight w:val="none"/>
        </w:rPr>
        <w:t>目    录</w:t>
      </w:r>
    </w:p>
    <w:p w14:paraId="7AEE66A0">
      <w:pPr>
        <w:spacing w:line="360" w:lineRule="auto"/>
        <w:jc w:val="center"/>
        <w:rPr>
          <w:rFonts w:ascii="宋体" w:hAnsi="宋体"/>
          <w:b/>
          <w:color w:val="auto"/>
          <w:sz w:val="36"/>
          <w:highlight w:val="none"/>
        </w:rPr>
      </w:pPr>
    </w:p>
    <w:p w14:paraId="2A9E4D05">
      <w:pPr>
        <w:pStyle w:val="25"/>
        <w:tabs>
          <w:tab w:val="right" w:leader="dot" w:pos="8930"/>
        </w:tabs>
        <w:rPr>
          <w:b w:val="0"/>
          <w:bCs w:val="0"/>
          <w:color w:val="auto"/>
          <w:sz w:val="28"/>
          <w:szCs w:val="28"/>
          <w:highlight w:val="none"/>
        </w:rPr>
      </w:pPr>
      <w:r>
        <w:rPr>
          <w:rFonts w:ascii="宋体" w:hAnsi="宋体"/>
          <w:b/>
          <w:bCs/>
          <w:color w:val="auto"/>
          <w:highlight w:val="none"/>
        </w:rPr>
        <w:fldChar w:fldCharType="begin"/>
      </w:r>
      <w:r>
        <w:rPr>
          <w:rFonts w:ascii="宋体" w:hAnsi="宋体"/>
          <w:b/>
          <w:bCs/>
          <w:color w:val="auto"/>
          <w:highlight w:val="none"/>
        </w:rPr>
        <w:instrText xml:space="preserve"> TOC \o "1-3" \h \z \u </w:instrText>
      </w:r>
      <w:r>
        <w:rPr>
          <w:rFonts w:ascii="宋体" w:hAnsi="宋体"/>
          <w:b/>
          <w:bCs/>
          <w:color w:val="auto"/>
          <w:highlight w:val="none"/>
        </w:rPr>
        <w:fldChar w:fldCharType="separate"/>
      </w:r>
      <w:r>
        <w:rPr>
          <w:b w:val="0"/>
          <w:bCs w:val="0"/>
          <w:color w:val="auto"/>
          <w:highlight w:val="none"/>
        </w:rPr>
        <w:fldChar w:fldCharType="begin"/>
      </w:r>
      <w:r>
        <w:rPr>
          <w:b w:val="0"/>
          <w:bCs w:val="0"/>
          <w:color w:val="auto"/>
          <w:highlight w:val="none"/>
        </w:rPr>
        <w:instrText xml:space="preserve"> HYPERLINK \l "_Toc17296" </w:instrText>
      </w:r>
      <w:r>
        <w:rPr>
          <w:b w:val="0"/>
          <w:bCs w:val="0"/>
          <w:color w:val="auto"/>
          <w:highlight w:val="none"/>
        </w:rPr>
        <w:fldChar w:fldCharType="separate"/>
      </w:r>
      <w:r>
        <w:rPr>
          <w:rFonts w:hint="eastAsia" w:ascii="宋体" w:hAnsi="宋体"/>
          <w:b w:val="0"/>
          <w:bCs w:val="0"/>
          <w:color w:val="auto"/>
          <w:sz w:val="28"/>
          <w:szCs w:val="28"/>
          <w:highlight w:val="none"/>
        </w:rPr>
        <w:t>第一部分  采购公告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_Toc17296 \h </w:instrText>
      </w:r>
      <w:r>
        <w:rPr>
          <w:b w:val="0"/>
          <w:bCs w:val="0"/>
          <w:color w:val="auto"/>
          <w:sz w:val="28"/>
          <w:szCs w:val="28"/>
          <w:highlight w:val="none"/>
        </w:rPr>
        <w:fldChar w:fldCharType="separate"/>
      </w:r>
      <w:r>
        <w:rPr>
          <w:b w:val="0"/>
          <w:bCs w:val="0"/>
          <w:color w:val="auto"/>
          <w:sz w:val="28"/>
          <w:szCs w:val="28"/>
          <w:highlight w:val="none"/>
        </w:rPr>
        <w:t>1</w:t>
      </w:r>
      <w:r>
        <w:rPr>
          <w:b w:val="0"/>
          <w:bCs w:val="0"/>
          <w:color w:val="auto"/>
          <w:sz w:val="28"/>
          <w:szCs w:val="28"/>
          <w:highlight w:val="none"/>
        </w:rPr>
        <w:fldChar w:fldCharType="end"/>
      </w:r>
      <w:r>
        <w:rPr>
          <w:b w:val="0"/>
          <w:bCs w:val="0"/>
          <w:color w:val="auto"/>
          <w:sz w:val="28"/>
          <w:szCs w:val="28"/>
          <w:highlight w:val="none"/>
        </w:rPr>
        <w:fldChar w:fldCharType="end"/>
      </w:r>
    </w:p>
    <w:p w14:paraId="0DD39576">
      <w:pPr>
        <w:pStyle w:val="25"/>
        <w:tabs>
          <w:tab w:val="right" w:leader="dot" w:pos="8930"/>
        </w:tabs>
        <w:rPr>
          <w:b w:val="0"/>
          <w:bCs w:val="0"/>
          <w:color w:val="auto"/>
          <w:sz w:val="28"/>
          <w:szCs w:val="28"/>
          <w:highlight w:val="none"/>
        </w:rPr>
      </w:pPr>
      <w:r>
        <w:rPr>
          <w:b w:val="0"/>
          <w:bCs w:val="0"/>
          <w:color w:val="auto"/>
          <w:highlight w:val="none"/>
        </w:rPr>
        <w:fldChar w:fldCharType="begin"/>
      </w:r>
      <w:r>
        <w:rPr>
          <w:b w:val="0"/>
          <w:bCs w:val="0"/>
          <w:color w:val="auto"/>
          <w:highlight w:val="none"/>
        </w:rPr>
        <w:instrText xml:space="preserve"> HYPERLINK \l "_Toc6697" </w:instrText>
      </w:r>
      <w:r>
        <w:rPr>
          <w:b w:val="0"/>
          <w:bCs w:val="0"/>
          <w:color w:val="auto"/>
          <w:highlight w:val="none"/>
        </w:rPr>
        <w:fldChar w:fldCharType="separate"/>
      </w:r>
      <w:r>
        <w:rPr>
          <w:rFonts w:hint="eastAsia" w:ascii="宋体" w:hAnsi="宋体"/>
          <w:b w:val="0"/>
          <w:bCs w:val="0"/>
          <w:color w:val="auto"/>
          <w:sz w:val="28"/>
          <w:szCs w:val="28"/>
          <w:highlight w:val="none"/>
        </w:rPr>
        <w:t>第二部分  招标项目需求</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_Toc6697 \h </w:instrText>
      </w:r>
      <w:r>
        <w:rPr>
          <w:b w:val="0"/>
          <w:bCs w:val="0"/>
          <w:color w:val="auto"/>
          <w:sz w:val="28"/>
          <w:szCs w:val="28"/>
          <w:highlight w:val="none"/>
        </w:rPr>
        <w:fldChar w:fldCharType="separate"/>
      </w:r>
      <w:r>
        <w:rPr>
          <w:b w:val="0"/>
          <w:bCs w:val="0"/>
          <w:color w:val="auto"/>
          <w:sz w:val="28"/>
          <w:szCs w:val="28"/>
          <w:highlight w:val="none"/>
        </w:rPr>
        <w:t>5</w:t>
      </w:r>
      <w:r>
        <w:rPr>
          <w:b w:val="0"/>
          <w:bCs w:val="0"/>
          <w:color w:val="auto"/>
          <w:sz w:val="28"/>
          <w:szCs w:val="28"/>
          <w:highlight w:val="none"/>
        </w:rPr>
        <w:fldChar w:fldCharType="end"/>
      </w:r>
      <w:r>
        <w:rPr>
          <w:b w:val="0"/>
          <w:bCs w:val="0"/>
          <w:color w:val="auto"/>
          <w:sz w:val="28"/>
          <w:szCs w:val="28"/>
          <w:highlight w:val="none"/>
        </w:rPr>
        <w:fldChar w:fldCharType="end"/>
      </w:r>
    </w:p>
    <w:p w14:paraId="0209E451">
      <w:pPr>
        <w:pStyle w:val="25"/>
        <w:tabs>
          <w:tab w:val="right" w:leader="dot" w:pos="8930"/>
        </w:tabs>
        <w:rPr>
          <w:b w:val="0"/>
          <w:bCs w:val="0"/>
          <w:color w:val="auto"/>
          <w:sz w:val="28"/>
          <w:szCs w:val="28"/>
          <w:highlight w:val="none"/>
        </w:rPr>
      </w:pPr>
      <w:r>
        <w:rPr>
          <w:b w:val="0"/>
          <w:bCs w:val="0"/>
          <w:color w:val="auto"/>
          <w:highlight w:val="none"/>
        </w:rPr>
        <w:fldChar w:fldCharType="begin"/>
      </w:r>
      <w:r>
        <w:rPr>
          <w:b w:val="0"/>
          <w:bCs w:val="0"/>
          <w:color w:val="auto"/>
          <w:highlight w:val="none"/>
        </w:rPr>
        <w:instrText xml:space="preserve"> HYPERLINK \l "_Toc14705" </w:instrText>
      </w:r>
      <w:r>
        <w:rPr>
          <w:b w:val="0"/>
          <w:bCs w:val="0"/>
          <w:color w:val="auto"/>
          <w:highlight w:val="none"/>
        </w:rPr>
        <w:fldChar w:fldCharType="separate"/>
      </w:r>
      <w:r>
        <w:rPr>
          <w:rFonts w:hint="eastAsia" w:ascii="宋体" w:hAnsi="宋体"/>
          <w:b w:val="0"/>
          <w:bCs w:val="0"/>
          <w:color w:val="auto"/>
          <w:sz w:val="28"/>
          <w:szCs w:val="28"/>
          <w:highlight w:val="none"/>
        </w:rPr>
        <w:t>第三部分  投标资料表</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_Toc14705 \h </w:instrText>
      </w:r>
      <w:r>
        <w:rPr>
          <w:b w:val="0"/>
          <w:bCs w:val="0"/>
          <w:color w:val="auto"/>
          <w:sz w:val="28"/>
          <w:szCs w:val="28"/>
          <w:highlight w:val="none"/>
        </w:rPr>
        <w:fldChar w:fldCharType="separate"/>
      </w:r>
      <w:r>
        <w:rPr>
          <w:b w:val="0"/>
          <w:bCs w:val="0"/>
          <w:color w:val="auto"/>
          <w:sz w:val="28"/>
          <w:szCs w:val="28"/>
          <w:highlight w:val="none"/>
        </w:rPr>
        <w:t>9</w:t>
      </w:r>
      <w:r>
        <w:rPr>
          <w:b w:val="0"/>
          <w:bCs w:val="0"/>
          <w:color w:val="auto"/>
          <w:sz w:val="28"/>
          <w:szCs w:val="28"/>
          <w:highlight w:val="none"/>
        </w:rPr>
        <w:fldChar w:fldCharType="end"/>
      </w:r>
      <w:r>
        <w:rPr>
          <w:b w:val="0"/>
          <w:bCs w:val="0"/>
          <w:color w:val="auto"/>
          <w:sz w:val="28"/>
          <w:szCs w:val="28"/>
          <w:highlight w:val="none"/>
        </w:rPr>
        <w:fldChar w:fldCharType="end"/>
      </w:r>
    </w:p>
    <w:p w14:paraId="591ADA9F">
      <w:pPr>
        <w:pStyle w:val="25"/>
        <w:tabs>
          <w:tab w:val="right" w:leader="dot" w:pos="8930"/>
        </w:tabs>
        <w:rPr>
          <w:rFonts w:hint="default" w:eastAsia="宋体"/>
          <w:b w:val="0"/>
          <w:bCs w:val="0"/>
          <w:color w:val="auto"/>
          <w:sz w:val="28"/>
          <w:szCs w:val="28"/>
          <w:highlight w:val="none"/>
          <w:lang w:val="en-US" w:eastAsia="zh-CN"/>
        </w:rPr>
      </w:pPr>
      <w:r>
        <w:rPr>
          <w:b w:val="0"/>
          <w:bCs w:val="0"/>
          <w:color w:val="auto"/>
          <w:highlight w:val="none"/>
        </w:rPr>
        <w:fldChar w:fldCharType="begin"/>
      </w:r>
      <w:r>
        <w:rPr>
          <w:b w:val="0"/>
          <w:bCs w:val="0"/>
          <w:color w:val="auto"/>
          <w:highlight w:val="none"/>
        </w:rPr>
        <w:instrText xml:space="preserve"> HYPERLINK \l "_Toc22855" </w:instrText>
      </w:r>
      <w:r>
        <w:rPr>
          <w:b w:val="0"/>
          <w:bCs w:val="0"/>
          <w:color w:val="auto"/>
          <w:highlight w:val="none"/>
        </w:rPr>
        <w:fldChar w:fldCharType="separate"/>
      </w:r>
      <w:r>
        <w:rPr>
          <w:rFonts w:hint="eastAsia"/>
          <w:b w:val="0"/>
          <w:bCs w:val="0"/>
          <w:color w:val="auto"/>
          <w:sz w:val="28"/>
          <w:szCs w:val="28"/>
          <w:highlight w:val="none"/>
        </w:rPr>
        <w:t>第四部分  投标人须知</w:t>
      </w:r>
      <w:r>
        <w:rPr>
          <w:b w:val="0"/>
          <w:bCs w:val="0"/>
          <w:color w:val="auto"/>
          <w:sz w:val="28"/>
          <w:szCs w:val="28"/>
          <w:highlight w:val="none"/>
        </w:rPr>
        <w:tab/>
      </w:r>
      <w:r>
        <w:rPr>
          <w:b w:val="0"/>
          <w:bCs w:val="0"/>
          <w:color w:val="auto"/>
          <w:sz w:val="28"/>
          <w:szCs w:val="28"/>
          <w:highlight w:val="none"/>
        </w:rPr>
        <w:fldChar w:fldCharType="end"/>
      </w:r>
      <w:r>
        <w:rPr>
          <w:rFonts w:hint="eastAsia"/>
          <w:b w:val="0"/>
          <w:bCs w:val="0"/>
          <w:color w:val="auto"/>
          <w:sz w:val="28"/>
          <w:szCs w:val="28"/>
          <w:highlight w:val="none"/>
          <w:lang w:val="en-US" w:eastAsia="zh-CN"/>
        </w:rPr>
        <w:t>12</w:t>
      </w:r>
    </w:p>
    <w:p w14:paraId="7399C0A3">
      <w:pPr>
        <w:pStyle w:val="25"/>
        <w:tabs>
          <w:tab w:val="right" w:leader="dot" w:pos="8930"/>
        </w:tabs>
        <w:rPr>
          <w:b w:val="0"/>
          <w:bCs w:val="0"/>
          <w:color w:val="auto"/>
          <w:sz w:val="28"/>
          <w:szCs w:val="28"/>
          <w:highlight w:val="none"/>
        </w:rPr>
      </w:pPr>
      <w:r>
        <w:rPr>
          <w:b w:val="0"/>
          <w:bCs w:val="0"/>
          <w:color w:val="auto"/>
          <w:highlight w:val="none"/>
        </w:rPr>
        <w:fldChar w:fldCharType="begin"/>
      </w:r>
      <w:r>
        <w:rPr>
          <w:b w:val="0"/>
          <w:bCs w:val="0"/>
          <w:color w:val="auto"/>
          <w:highlight w:val="none"/>
        </w:rPr>
        <w:instrText xml:space="preserve"> HYPERLINK \l "_Toc26275" </w:instrText>
      </w:r>
      <w:r>
        <w:rPr>
          <w:b w:val="0"/>
          <w:bCs w:val="0"/>
          <w:color w:val="auto"/>
          <w:highlight w:val="none"/>
        </w:rPr>
        <w:fldChar w:fldCharType="separate"/>
      </w:r>
      <w:r>
        <w:rPr>
          <w:rFonts w:hint="eastAsia" w:ascii="宋体" w:hAnsi="宋体"/>
          <w:b w:val="0"/>
          <w:bCs w:val="0"/>
          <w:color w:val="auto"/>
          <w:sz w:val="28"/>
          <w:szCs w:val="28"/>
          <w:highlight w:val="none"/>
        </w:rPr>
        <w:t>第五部分  评标办法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_Toc26275 \h </w:instrText>
      </w:r>
      <w:r>
        <w:rPr>
          <w:b w:val="0"/>
          <w:bCs w:val="0"/>
          <w:color w:val="auto"/>
          <w:sz w:val="28"/>
          <w:szCs w:val="28"/>
          <w:highlight w:val="none"/>
        </w:rPr>
        <w:fldChar w:fldCharType="separate"/>
      </w:r>
      <w:r>
        <w:rPr>
          <w:b w:val="0"/>
          <w:bCs w:val="0"/>
          <w:color w:val="auto"/>
          <w:sz w:val="28"/>
          <w:szCs w:val="28"/>
          <w:highlight w:val="none"/>
        </w:rPr>
        <w:t>27</w:t>
      </w:r>
      <w:r>
        <w:rPr>
          <w:b w:val="0"/>
          <w:bCs w:val="0"/>
          <w:color w:val="auto"/>
          <w:sz w:val="28"/>
          <w:szCs w:val="28"/>
          <w:highlight w:val="none"/>
        </w:rPr>
        <w:fldChar w:fldCharType="end"/>
      </w:r>
      <w:r>
        <w:rPr>
          <w:b w:val="0"/>
          <w:bCs w:val="0"/>
          <w:color w:val="auto"/>
          <w:sz w:val="28"/>
          <w:szCs w:val="28"/>
          <w:highlight w:val="none"/>
        </w:rPr>
        <w:fldChar w:fldCharType="end"/>
      </w:r>
    </w:p>
    <w:p w14:paraId="5EF7396A">
      <w:pPr>
        <w:pStyle w:val="25"/>
        <w:tabs>
          <w:tab w:val="right" w:leader="dot" w:pos="8930"/>
        </w:tabs>
        <w:rPr>
          <w:b w:val="0"/>
          <w:bCs w:val="0"/>
          <w:color w:val="auto"/>
          <w:sz w:val="28"/>
          <w:szCs w:val="28"/>
          <w:highlight w:val="none"/>
        </w:rPr>
      </w:pPr>
      <w:r>
        <w:rPr>
          <w:b w:val="0"/>
          <w:bCs w:val="0"/>
          <w:color w:val="auto"/>
          <w:highlight w:val="none"/>
        </w:rPr>
        <w:fldChar w:fldCharType="begin"/>
      </w:r>
      <w:r>
        <w:rPr>
          <w:b w:val="0"/>
          <w:bCs w:val="0"/>
          <w:color w:val="auto"/>
          <w:highlight w:val="none"/>
        </w:rPr>
        <w:instrText xml:space="preserve"> HYPERLINK \l "_Toc21993" </w:instrText>
      </w:r>
      <w:r>
        <w:rPr>
          <w:b w:val="0"/>
          <w:bCs w:val="0"/>
          <w:color w:val="auto"/>
          <w:highlight w:val="none"/>
        </w:rPr>
        <w:fldChar w:fldCharType="separate"/>
      </w:r>
      <w:r>
        <w:rPr>
          <w:rFonts w:hint="eastAsia" w:ascii="宋体" w:hAnsi="宋体"/>
          <w:b w:val="0"/>
          <w:bCs w:val="0"/>
          <w:color w:val="auto"/>
          <w:sz w:val="28"/>
          <w:szCs w:val="28"/>
          <w:highlight w:val="none"/>
        </w:rPr>
        <w:t>第六部分  合同格式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_Toc21993 \h </w:instrText>
      </w:r>
      <w:r>
        <w:rPr>
          <w:b w:val="0"/>
          <w:bCs w:val="0"/>
          <w:color w:val="auto"/>
          <w:sz w:val="28"/>
          <w:szCs w:val="28"/>
          <w:highlight w:val="none"/>
        </w:rPr>
        <w:fldChar w:fldCharType="separate"/>
      </w:r>
      <w:r>
        <w:rPr>
          <w:b w:val="0"/>
          <w:bCs w:val="0"/>
          <w:color w:val="auto"/>
          <w:sz w:val="28"/>
          <w:szCs w:val="28"/>
          <w:highlight w:val="none"/>
        </w:rPr>
        <w:t>35</w:t>
      </w:r>
      <w:r>
        <w:rPr>
          <w:b w:val="0"/>
          <w:bCs w:val="0"/>
          <w:color w:val="auto"/>
          <w:sz w:val="28"/>
          <w:szCs w:val="28"/>
          <w:highlight w:val="none"/>
        </w:rPr>
        <w:fldChar w:fldCharType="end"/>
      </w:r>
      <w:r>
        <w:rPr>
          <w:b w:val="0"/>
          <w:bCs w:val="0"/>
          <w:color w:val="auto"/>
          <w:sz w:val="28"/>
          <w:szCs w:val="28"/>
          <w:highlight w:val="none"/>
        </w:rPr>
        <w:fldChar w:fldCharType="end"/>
      </w:r>
    </w:p>
    <w:p w14:paraId="63F17F8E">
      <w:pPr>
        <w:pStyle w:val="25"/>
        <w:tabs>
          <w:tab w:val="right" w:leader="dot" w:pos="8930"/>
        </w:tabs>
        <w:rPr>
          <w:b/>
          <w:bCs/>
          <w:color w:val="auto"/>
          <w:sz w:val="28"/>
          <w:szCs w:val="28"/>
          <w:highlight w:val="none"/>
        </w:rPr>
      </w:pPr>
      <w:r>
        <w:rPr>
          <w:b w:val="0"/>
          <w:bCs w:val="0"/>
          <w:color w:val="auto"/>
          <w:highlight w:val="none"/>
        </w:rPr>
        <w:fldChar w:fldCharType="begin"/>
      </w:r>
      <w:r>
        <w:rPr>
          <w:b w:val="0"/>
          <w:bCs w:val="0"/>
          <w:color w:val="auto"/>
          <w:highlight w:val="none"/>
        </w:rPr>
        <w:instrText xml:space="preserve"> HYPERLINK \l "_Toc12950" </w:instrText>
      </w:r>
      <w:r>
        <w:rPr>
          <w:b w:val="0"/>
          <w:bCs w:val="0"/>
          <w:color w:val="auto"/>
          <w:highlight w:val="none"/>
        </w:rPr>
        <w:fldChar w:fldCharType="separate"/>
      </w:r>
      <w:r>
        <w:rPr>
          <w:rFonts w:hint="eastAsia" w:ascii="宋体" w:hAnsi="宋体"/>
          <w:b w:val="0"/>
          <w:bCs w:val="0"/>
          <w:color w:val="auto"/>
          <w:sz w:val="28"/>
          <w:szCs w:val="28"/>
          <w:highlight w:val="none"/>
        </w:rPr>
        <w:t>第七部分  投标文件格式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_Toc12950 \h </w:instrText>
      </w:r>
      <w:r>
        <w:rPr>
          <w:b w:val="0"/>
          <w:bCs w:val="0"/>
          <w:color w:val="auto"/>
          <w:sz w:val="28"/>
          <w:szCs w:val="28"/>
          <w:highlight w:val="none"/>
        </w:rPr>
        <w:fldChar w:fldCharType="separate"/>
      </w:r>
      <w:r>
        <w:rPr>
          <w:b w:val="0"/>
          <w:bCs w:val="0"/>
          <w:color w:val="auto"/>
          <w:sz w:val="28"/>
          <w:szCs w:val="28"/>
          <w:highlight w:val="none"/>
        </w:rPr>
        <w:t>40</w:t>
      </w:r>
      <w:r>
        <w:rPr>
          <w:b w:val="0"/>
          <w:bCs w:val="0"/>
          <w:color w:val="auto"/>
          <w:sz w:val="28"/>
          <w:szCs w:val="28"/>
          <w:highlight w:val="none"/>
        </w:rPr>
        <w:fldChar w:fldCharType="end"/>
      </w:r>
      <w:r>
        <w:rPr>
          <w:b w:val="0"/>
          <w:bCs w:val="0"/>
          <w:color w:val="auto"/>
          <w:sz w:val="28"/>
          <w:szCs w:val="28"/>
          <w:highlight w:val="none"/>
        </w:rPr>
        <w:fldChar w:fldCharType="end"/>
      </w:r>
    </w:p>
    <w:p w14:paraId="686D11D8">
      <w:pPr>
        <w:pStyle w:val="27"/>
        <w:tabs>
          <w:tab w:val="right" w:leader="dot" w:pos="8930"/>
        </w:tabs>
        <w:rPr>
          <w:b/>
          <w:bCs/>
          <w:color w:val="auto"/>
          <w:highlight w:val="none"/>
        </w:rPr>
      </w:pPr>
    </w:p>
    <w:p w14:paraId="7CDE38AB">
      <w:pPr>
        <w:spacing w:line="360" w:lineRule="auto"/>
        <w:rPr>
          <w:rFonts w:ascii="宋体" w:hAnsi="宋体"/>
          <w:b/>
          <w:bCs/>
          <w:color w:val="auto"/>
          <w:sz w:val="36"/>
          <w:highlight w:val="none"/>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b/>
          <w:bCs/>
          <w:color w:val="auto"/>
          <w:highlight w:val="none"/>
        </w:rPr>
        <w:fldChar w:fldCharType="end"/>
      </w:r>
    </w:p>
    <w:p w14:paraId="6613741C">
      <w:pPr>
        <w:spacing w:line="360" w:lineRule="auto"/>
        <w:jc w:val="center"/>
        <w:rPr>
          <w:rFonts w:ascii="宋体" w:hAnsi="宋体"/>
          <w:b/>
          <w:bCs/>
          <w:color w:val="auto"/>
          <w:sz w:val="36"/>
          <w:highlight w:val="none"/>
        </w:rPr>
      </w:pPr>
    </w:p>
    <w:p w14:paraId="7A2EF9D7">
      <w:pPr>
        <w:pStyle w:val="2"/>
        <w:spacing w:beforeLines="0" w:afterLines="0" w:line="360" w:lineRule="auto"/>
        <w:rPr>
          <w:rFonts w:ascii="宋体" w:hAnsi="宋体"/>
          <w:color w:val="auto"/>
          <w:sz w:val="32"/>
          <w:szCs w:val="32"/>
          <w:highlight w:val="none"/>
        </w:rPr>
      </w:pPr>
      <w:bookmarkStart w:id="0" w:name="_Toc298230957"/>
      <w:r>
        <w:rPr>
          <w:rFonts w:ascii="宋体" w:hAnsi="宋体"/>
          <w:color w:val="auto"/>
          <w:sz w:val="32"/>
          <w:szCs w:val="32"/>
          <w:highlight w:val="none"/>
        </w:rPr>
        <w:br w:type="page"/>
      </w:r>
    </w:p>
    <w:p w14:paraId="6BE921E8">
      <w:pPr>
        <w:pStyle w:val="2"/>
        <w:spacing w:beforeLines="0" w:afterLines="0" w:line="360" w:lineRule="auto"/>
        <w:rPr>
          <w:rFonts w:ascii="宋体" w:hAnsi="宋体"/>
          <w:color w:val="auto"/>
          <w:sz w:val="32"/>
          <w:szCs w:val="32"/>
          <w:highlight w:val="none"/>
        </w:rPr>
      </w:pPr>
      <w:bookmarkStart w:id="1" w:name="_Toc17296"/>
      <w:r>
        <w:rPr>
          <w:rFonts w:hint="eastAsia" w:ascii="宋体" w:hAnsi="宋体"/>
          <w:color w:val="auto"/>
          <w:sz w:val="32"/>
          <w:szCs w:val="32"/>
          <w:highlight w:val="none"/>
        </w:rPr>
        <w:t>第一部分</w:t>
      </w:r>
      <w:bookmarkEnd w:id="0"/>
      <w:r>
        <w:rPr>
          <w:rFonts w:hint="eastAsia" w:ascii="宋体" w:hAnsi="宋体"/>
          <w:color w:val="auto"/>
          <w:sz w:val="32"/>
          <w:szCs w:val="32"/>
          <w:highlight w:val="none"/>
        </w:rPr>
        <w:t xml:space="preserve">  采购公告</w:t>
      </w:r>
      <w:bookmarkEnd w:id="1"/>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14:paraId="5B50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noWrap w:val="0"/>
            <w:vAlign w:val="top"/>
          </w:tcPr>
          <w:p w14:paraId="665A967B">
            <w:pPr>
              <w:widowControl/>
              <w:spacing w:line="360" w:lineRule="auto"/>
              <w:jc w:val="left"/>
              <w:textAlignment w:val="baseline"/>
              <w:rPr>
                <w:rFonts w:hint="eastAsia"/>
                <w:b/>
                <w:bCs/>
                <w:color w:val="auto"/>
                <w:szCs w:val="21"/>
                <w:highlight w:val="none"/>
              </w:rPr>
            </w:pPr>
            <w:bookmarkStart w:id="2" w:name="_Toc28359081"/>
            <w:bookmarkStart w:id="3" w:name="_Toc28359004"/>
            <w:r>
              <w:rPr>
                <w:b/>
                <w:bCs/>
                <w:color w:val="auto"/>
                <w:szCs w:val="21"/>
                <w:highlight w:val="none"/>
              </w:rPr>
              <w:t>项目概况</w:t>
            </w:r>
            <w:r>
              <w:rPr>
                <w:rFonts w:hint="eastAsia"/>
                <w:b/>
                <w:bCs/>
                <w:color w:val="auto"/>
                <w:szCs w:val="21"/>
                <w:highlight w:val="none"/>
              </w:rPr>
              <w:t>：</w:t>
            </w:r>
          </w:p>
          <w:p w14:paraId="7CF10904">
            <w:pPr>
              <w:snapToGrid w:val="0"/>
              <w:spacing w:line="360" w:lineRule="auto"/>
              <w:ind w:firstLine="420" w:firstLineChars="200"/>
              <w:rPr>
                <w:color w:val="auto"/>
                <w:szCs w:val="21"/>
                <w:highlight w:val="none"/>
              </w:rPr>
            </w:pPr>
            <w:r>
              <w:rPr>
                <w:rFonts w:hint="eastAsia"/>
                <w:color w:val="auto"/>
                <w:szCs w:val="21"/>
                <w:highlight w:val="none"/>
                <w:u w:val="single"/>
                <w:shd w:val="clear" w:color="auto" w:fill="FFFFFF"/>
                <w:lang w:val="en-US" w:eastAsia="zh-CN"/>
              </w:rPr>
              <w:t xml:space="preserve"> 宁波市北仑区东海实验学校庐南校区2025年度预算执行审计协审服务 </w:t>
            </w:r>
            <w:r>
              <w:rPr>
                <w:color w:val="auto"/>
                <w:szCs w:val="21"/>
                <w:highlight w:val="none"/>
                <w:shd w:val="clear" w:color="auto" w:fill="FFFFFF"/>
              </w:rPr>
              <w:t>招标项目的</w:t>
            </w:r>
            <w:r>
              <w:rPr>
                <w:rFonts w:hint="eastAsia" w:ascii="宋体" w:hAnsi="宋体" w:cs="宋体"/>
                <w:color w:val="auto"/>
                <w:szCs w:val="21"/>
                <w:highlight w:val="none"/>
              </w:rPr>
              <w:t>潜在供应商应在</w:t>
            </w:r>
            <w:r>
              <w:rPr>
                <w:rFonts w:hint="eastAsia" w:ascii="宋体" w:hAnsi="宋体" w:cs="宋体"/>
                <w:color w:val="auto"/>
                <w:szCs w:val="21"/>
                <w:highlight w:val="none"/>
                <w:u w:val="single"/>
              </w:rPr>
              <w:t>浙江政府采购云平台（</w:t>
            </w:r>
            <w:r>
              <w:rPr>
                <w:color w:val="auto"/>
                <w:highlight w:val="none"/>
              </w:rPr>
              <w:fldChar w:fldCharType="begin"/>
            </w:r>
            <w:r>
              <w:rPr>
                <w:color w:val="auto"/>
                <w:highlight w:val="none"/>
              </w:rPr>
              <w:instrText xml:space="preserve"> HYPERLINK "http://www.zcy.gov.cn/）获取招标文件，并于2021年" </w:instrText>
            </w:r>
            <w:r>
              <w:rPr>
                <w:color w:val="auto"/>
                <w:highlight w:val="none"/>
              </w:rPr>
              <w:fldChar w:fldCharType="separate"/>
            </w:r>
            <w:r>
              <w:rPr>
                <w:rFonts w:hint="eastAsia" w:ascii="宋体" w:hAnsi="宋体" w:cs="宋体"/>
                <w:color w:val="auto"/>
                <w:szCs w:val="21"/>
                <w:highlight w:val="none"/>
                <w:u w:val="single"/>
                <w:shd w:val="clear" w:color="auto" w:fill="FFFFFF"/>
              </w:rPr>
              <w:t>http://www.zcygov.cn</w:t>
            </w:r>
            <w:r>
              <w:rPr>
                <w:rStyle w:val="41"/>
                <w:rFonts w:hint="eastAsia" w:ascii="宋体" w:hAnsi="宋体" w:cs="宋体"/>
                <w:color w:val="auto"/>
                <w:szCs w:val="21"/>
                <w:highlight w:val="none"/>
              </w:rPr>
              <w:t>/）获取招标文件，并于202</w:t>
            </w:r>
            <w:r>
              <w:rPr>
                <w:rStyle w:val="41"/>
                <w:rFonts w:hint="eastAsia" w:ascii="宋体" w:hAnsi="宋体" w:cs="宋体"/>
                <w:color w:val="auto"/>
                <w:szCs w:val="21"/>
                <w:highlight w:val="none"/>
                <w:lang w:val="en-US" w:eastAsia="zh-CN"/>
              </w:rPr>
              <w:t>5</w:t>
            </w:r>
            <w:r>
              <w:rPr>
                <w:rStyle w:val="41"/>
                <w:rFonts w:hint="eastAsia" w:ascii="宋体" w:hAnsi="宋体" w:cs="宋体"/>
                <w:color w:val="auto"/>
                <w:szCs w:val="21"/>
                <w:highlight w:val="none"/>
              </w:rPr>
              <w:t>年</w:t>
            </w:r>
            <w:r>
              <w:rPr>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分（北京时间，下同）</w:t>
            </w:r>
            <w:r>
              <w:rPr>
                <w:rFonts w:hint="eastAsia" w:ascii="宋体" w:hAnsi="宋体" w:cs="宋体"/>
                <w:color w:val="auto"/>
                <w:szCs w:val="21"/>
                <w:highlight w:val="none"/>
              </w:rPr>
              <w:t>前递交投标文件。</w:t>
            </w:r>
          </w:p>
        </w:tc>
      </w:tr>
    </w:tbl>
    <w:p w14:paraId="228D2307">
      <w:pPr>
        <w:spacing w:line="360" w:lineRule="auto"/>
        <w:rPr>
          <w:b/>
          <w:bCs/>
          <w:color w:val="auto"/>
          <w:szCs w:val="21"/>
          <w:highlight w:val="none"/>
        </w:rPr>
      </w:pPr>
      <w:r>
        <w:rPr>
          <w:b/>
          <w:bCs/>
          <w:color w:val="auto"/>
          <w:szCs w:val="21"/>
          <w:highlight w:val="none"/>
        </w:rPr>
        <w:t>一、项目基本情况</w:t>
      </w:r>
    </w:p>
    <w:p w14:paraId="0632E5F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ZJCY-20250603</w:t>
      </w:r>
      <w:r>
        <w:rPr>
          <w:rFonts w:hint="eastAsia" w:ascii="宋体" w:hAnsi="宋体" w:eastAsia="宋体" w:cs="宋体"/>
          <w:color w:val="auto"/>
          <w:szCs w:val="21"/>
          <w:highlight w:val="none"/>
          <w:lang w:val="en-US" w:eastAsia="zh-CN"/>
        </w:rPr>
        <w:t xml:space="preserve"> </w:t>
      </w:r>
    </w:p>
    <w:p w14:paraId="6F9BE6C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 xml:space="preserve"> </w:t>
      </w:r>
      <w:r>
        <w:rPr>
          <w:rFonts w:hint="eastAsia" w:ascii="宋体" w:hAnsi="宋体" w:cs="宋体"/>
          <w:color w:val="auto"/>
          <w:szCs w:val="21"/>
          <w:highlight w:val="none"/>
          <w:lang w:eastAsia="zh-CN"/>
        </w:rPr>
        <w:t>宁波市北仑区东海实验学校庐南校区2025年度预算执行审计协审服务</w:t>
      </w:r>
    </w:p>
    <w:p w14:paraId="58B827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万</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44.59</w:t>
      </w:r>
    </w:p>
    <w:p w14:paraId="4ABEF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07431ACA">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标项</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w:t>
      </w:r>
    </w:p>
    <w:p w14:paraId="74FDE62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标项名称：</w:t>
      </w:r>
      <w:r>
        <w:rPr>
          <w:rFonts w:hint="eastAsia" w:ascii="宋体" w:hAnsi="宋体" w:eastAsia="宋体" w:cs="宋体"/>
          <w:color w:val="auto"/>
          <w:szCs w:val="21"/>
          <w:highlight w:val="none"/>
          <w:lang w:eastAsia="zh-CN"/>
        </w:rPr>
        <w:t xml:space="preserve"> </w:t>
      </w:r>
      <w:r>
        <w:rPr>
          <w:rFonts w:hint="eastAsia" w:ascii="宋体" w:hAnsi="宋体" w:cs="宋体"/>
          <w:color w:val="auto"/>
          <w:szCs w:val="21"/>
          <w:highlight w:val="none"/>
          <w:lang w:eastAsia="zh-CN"/>
        </w:rPr>
        <w:t>宁波市北仑区东海实验学校庐南校区2025年度预算执行审计协审服务</w:t>
      </w:r>
    </w:p>
    <w:p w14:paraId="44C9DB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w:t>
      </w:r>
    </w:p>
    <w:p w14:paraId="0DCE897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万</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44.59</w:t>
      </w:r>
    </w:p>
    <w:p w14:paraId="208740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eastAsia="zh-CN"/>
        </w:rPr>
        <w:t>万</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44.59</w:t>
      </w:r>
    </w:p>
    <w:p w14:paraId="2F626FE9">
      <w:pPr>
        <w:spacing w:line="360" w:lineRule="auto"/>
        <w:ind w:firstLine="420" w:firstLineChars="200"/>
        <w:rPr>
          <w:rFonts w:hint="eastAsia" w:eastAsia="宋体"/>
          <w:color w:val="auto"/>
          <w:szCs w:val="21"/>
          <w:highlight w:val="none"/>
          <w:lang w:eastAsia="zh-CN"/>
        </w:rPr>
      </w:pPr>
      <w:r>
        <w:rPr>
          <w:rFonts w:hint="eastAsia" w:ascii="宋体" w:hAnsi="宋体" w:eastAsia="宋体" w:cs="宋体"/>
          <w:color w:val="auto"/>
          <w:szCs w:val="21"/>
          <w:highlight w:val="none"/>
        </w:rPr>
        <w:t>简要规格描述或项目基本概况介绍</w:t>
      </w:r>
      <w:r>
        <w:rPr>
          <w:color w:val="auto"/>
          <w:szCs w:val="21"/>
          <w:highlight w:val="none"/>
        </w:rPr>
        <w:t>、用途：</w:t>
      </w:r>
      <w:r>
        <w:rPr>
          <w:rFonts w:hint="eastAsia" w:ascii="宋体" w:hAnsi="宋体" w:eastAsia="宋体" w:cs="宋体"/>
          <w:color w:val="auto"/>
          <w:szCs w:val="21"/>
          <w:highlight w:val="none"/>
          <w:lang w:eastAsia="zh-CN"/>
        </w:rPr>
        <w:t>北仑区东海实验学校庐南校区项目预算执行协助审计</w:t>
      </w:r>
      <w:r>
        <w:rPr>
          <w:rFonts w:hint="eastAsia"/>
          <w:color w:val="auto"/>
          <w:szCs w:val="21"/>
          <w:highlight w:val="none"/>
          <w:lang w:eastAsia="zh-CN"/>
        </w:rPr>
        <w:t>服务，</w:t>
      </w:r>
      <w:r>
        <w:rPr>
          <w:rFonts w:hint="eastAsia"/>
          <w:color w:val="auto"/>
          <w:szCs w:val="21"/>
          <w:highlight w:val="none"/>
          <w:lang w:val="en-US" w:eastAsia="zh-CN"/>
        </w:rPr>
        <w:t>具体详见采购需求</w:t>
      </w:r>
      <w:r>
        <w:rPr>
          <w:rFonts w:hint="eastAsia"/>
          <w:color w:val="auto"/>
          <w:szCs w:val="21"/>
          <w:highlight w:val="none"/>
          <w:lang w:eastAsia="zh-CN"/>
        </w:rPr>
        <w:t>。</w:t>
      </w:r>
    </w:p>
    <w:p w14:paraId="3879D335">
      <w:pPr>
        <w:spacing w:line="360" w:lineRule="auto"/>
        <w:ind w:firstLine="420" w:firstLineChars="200"/>
        <w:rPr>
          <w:rFonts w:hint="eastAsia"/>
          <w:color w:val="auto"/>
          <w:szCs w:val="21"/>
          <w:highlight w:val="none"/>
        </w:rPr>
      </w:pPr>
      <w:r>
        <w:rPr>
          <w:color w:val="auto"/>
          <w:szCs w:val="21"/>
          <w:highlight w:val="none"/>
        </w:rPr>
        <w:t>备</w:t>
      </w:r>
      <w:r>
        <w:rPr>
          <w:rFonts w:hint="eastAsia"/>
          <w:color w:val="auto"/>
          <w:szCs w:val="21"/>
          <w:highlight w:val="none"/>
        </w:rPr>
        <w:t>注：/</w:t>
      </w:r>
    </w:p>
    <w:p w14:paraId="1DBB7359">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合同履行期限：</w:t>
      </w:r>
      <w:r>
        <w:rPr>
          <w:rFonts w:hint="eastAsia" w:ascii="宋体" w:hAnsi="宋体" w:cs="宋体"/>
          <w:color w:val="auto"/>
          <w:szCs w:val="21"/>
          <w:highlight w:val="none"/>
          <w:lang w:eastAsia="zh-CN"/>
        </w:rPr>
        <w:t>合同签订之日起至完成竣工结（决）算审计止，具体实施开始时间以采购人通知时间为准。</w:t>
      </w:r>
    </w:p>
    <w:p w14:paraId="71C7DFB2">
      <w:pPr>
        <w:spacing w:line="360" w:lineRule="auto"/>
        <w:ind w:firstLine="420" w:firstLineChars="200"/>
        <w:rPr>
          <w:rFonts w:hint="eastAsia"/>
          <w:color w:val="auto"/>
          <w:szCs w:val="21"/>
          <w:highlight w:val="none"/>
        </w:rPr>
      </w:pPr>
      <w:r>
        <w:rPr>
          <w:rFonts w:hint="eastAsia"/>
          <w:color w:val="auto"/>
          <w:szCs w:val="21"/>
          <w:highlight w:val="none"/>
        </w:rPr>
        <w:t>本项目（</w:t>
      </w:r>
      <w:r>
        <w:rPr>
          <w:rFonts w:hint="eastAsia"/>
          <w:color w:val="auto"/>
          <w:szCs w:val="21"/>
          <w:highlight w:val="none"/>
          <w:lang w:val="en-US" w:eastAsia="zh-CN"/>
        </w:rPr>
        <w:t>是</w:t>
      </w:r>
      <w:r>
        <w:rPr>
          <w:rFonts w:hint="eastAsia"/>
          <w:color w:val="auto"/>
          <w:szCs w:val="21"/>
          <w:highlight w:val="none"/>
        </w:rPr>
        <w:t>）接受联合体投标。</w:t>
      </w:r>
    </w:p>
    <w:p w14:paraId="5A7B25FF">
      <w:pPr>
        <w:spacing w:line="360" w:lineRule="auto"/>
        <w:rPr>
          <w:b/>
          <w:bCs/>
          <w:color w:val="auto"/>
          <w:szCs w:val="21"/>
          <w:highlight w:val="none"/>
        </w:rPr>
      </w:pPr>
      <w:r>
        <w:rPr>
          <w:b/>
          <w:bCs/>
          <w:color w:val="auto"/>
          <w:szCs w:val="21"/>
          <w:highlight w:val="none"/>
        </w:rPr>
        <w:t>二、</w:t>
      </w:r>
      <w:r>
        <w:rPr>
          <w:rFonts w:hint="eastAsia"/>
          <w:b/>
          <w:bCs/>
          <w:color w:val="auto"/>
          <w:szCs w:val="21"/>
          <w:highlight w:val="none"/>
        </w:rPr>
        <w:t>供应商</w:t>
      </w:r>
      <w:r>
        <w:rPr>
          <w:b/>
          <w:bCs/>
          <w:color w:val="auto"/>
          <w:szCs w:val="21"/>
          <w:highlight w:val="none"/>
        </w:rPr>
        <w:t>的资格要求：</w:t>
      </w:r>
    </w:p>
    <w:p w14:paraId="2060AA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1、满足《中华人民共和国政府采购法》第二十二条规定；未被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信用中国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（www.creditchina.gov.cn)、中国政府采购网（www.ccgp.gov.cn）列入失信被执行人、重大税收违法案件当事人名单、政府采购严重违法失信行为记录名单。</w:t>
      </w:r>
    </w:p>
    <w:p w14:paraId="61A066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highlight w:val="none"/>
        </w:rPr>
        <w:t>本项目属于专门面向</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企业采购的项目，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应为符合《政府采购促进中小企业发展管理办法》（财库﹝2020﹞46 号）规定的</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企业（其中，</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企业包括视同为小型、微型企业的监狱企业、残疾人福利性单位）</w:t>
      </w:r>
      <w:r>
        <w:rPr>
          <w:rFonts w:hint="eastAsia" w:ascii="宋体" w:hAnsi="宋体" w:eastAsia="宋体" w:cs="宋体"/>
          <w:color w:val="auto"/>
          <w:highlight w:val="none"/>
          <w:lang w:eastAsia="zh-CN"/>
        </w:rPr>
        <w:t>。</w:t>
      </w:r>
    </w:p>
    <w:p w14:paraId="38FD63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14:paraId="254FCF8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投标人须具有工程造价咨询服务能力，具有财政部门核发的会计师事务所执业资格证书；若为会计师事务所分所，须具有总所对本项目的的唯一授权；</w:t>
      </w:r>
    </w:p>
    <w:p w14:paraId="0DAEDE3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.2联合体投标的其成员不超过两家单位（含联合体牵头人），</w:t>
      </w:r>
      <w:r>
        <w:rPr>
          <w:rFonts w:hint="eastAsia" w:ascii="宋体" w:hAnsi="宋体" w:eastAsia="宋体" w:cs="宋体"/>
          <w:color w:val="auto"/>
          <w:szCs w:val="21"/>
          <w:highlight w:val="none"/>
          <w:lang w:eastAsia="zh-CN"/>
        </w:rPr>
        <w:t>且联合体牵头人须为工程造价咨询单位</w:t>
      </w:r>
      <w:r>
        <w:rPr>
          <w:rFonts w:hint="eastAsia" w:ascii="宋体" w:hAnsi="宋体" w:cs="宋体"/>
          <w:color w:val="auto"/>
          <w:szCs w:val="21"/>
          <w:highlight w:val="none"/>
          <w:lang w:eastAsia="zh-CN"/>
        </w:rPr>
        <w:t>。</w:t>
      </w:r>
    </w:p>
    <w:p w14:paraId="5ABCF1FA">
      <w:pPr>
        <w:pStyle w:val="3"/>
        <w:spacing w:line="360" w:lineRule="auto"/>
        <w:jc w:val="both"/>
        <w:rPr>
          <w:rFonts w:ascii="宋体" w:hAnsi="宋体" w:cs="宋体"/>
          <w:color w:val="auto"/>
          <w:sz w:val="21"/>
          <w:szCs w:val="21"/>
          <w:highlight w:val="none"/>
        </w:rPr>
      </w:pPr>
      <w:bookmarkStart w:id="4" w:name="_Toc35393792"/>
      <w:bookmarkStart w:id="5" w:name="_Toc10828"/>
      <w:bookmarkStart w:id="6" w:name="_Toc35393623"/>
      <w:bookmarkStart w:id="7" w:name="_Toc136345085"/>
      <w:bookmarkStart w:id="8" w:name="_Toc136017623"/>
      <w:r>
        <w:rPr>
          <w:rFonts w:hint="eastAsia" w:ascii="宋体" w:hAnsi="宋体" w:cs="宋体"/>
          <w:color w:val="auto"/>
          <w:sz w:val="21"/>
          <w:szCs w:val="21"/>
          <w:highlight w:val="none"/>
        </w:rPr>
        <w:t>三、获取招标文件</w:t>
      </w:r>
      <w:bookmarkEnd w:id="2"/>
      <w:bookmarkEnd w:id="3"/>
      <w:bookmarkEnd w:id="4"/>
      <w:bookmarkEnd w:id="5"/>
      <w:bookmarkEnd w:id="6"/>
      <w:bookmarkEnd w:id="7"/>
      <w:bookmarkEnd w:id="8"/>
    </w:p>
    <w:p w14:paraId="2BAAF9B4">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时间：</w:t>
      </w:r>
      <w:r>
        <w:rPr>
          <w:rFonts w:hint="eastAsia" w:ascii="宋体" w:hAnsi="宋体"/>
          <w:color w:val="auto"/>
          <w:highlight w:val="none"/>
          <w:u w:val="none"/>
          <w:lang w:val="en-US" w:eastAsia="zh-CN"/>
        </w:rPr>
        <w:t>/</w:t>
      </w:r>
      <w:r>
        <w:rPr>
          <w:rFonts w:hint="eastAsia" w:ascii="宋体" w:hAnsi="宋体"/>
          <w:color w:val="auto"/>
          <w:highlight w:val="none"/>
        </w:rPr>
        <w:t>至</w:t>
      </w:r>
      <w:r>
        <w:rPr>
          <w:rFonts w:hint="eastAsia" w:ascii="宋体" w:hAnsi="宋体"/>
          <w:color w:val="auto"/>
          <w:highlight w:val="none"/>
          <w:u w:val="single"/>
        </w:rPr>
        <w:t>202</w:t>
      </w:r>
      <w:r>
        <w:rPr>
          <w:rFonts w:hint="eastAsia" w:ascii="宋体" w:hAnsi="宋体"/>
          <w:color w:val="auto"/>
          <w:highlight w:val="none"/>
          <w:u w:val="single"/>
          <w:lang w:val="en-US" w:eastAsia="zh-CN"/>
        </w:rPr>
        <w:t>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7</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10</w:t>
      </w:r>
      <w:r>
        <w:rPr>
          <w:rFonts w:hint="eastAsia" w:ascii="宋体" w:hAnsi="宋体"/>
          <w:bCs/>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（北京时间，线上获取法定节假日均可，线下获取文件法定节假日除外）</w:t>
      </w:r>
    </w:p>
    <w:p w14:paraId="32E607DD">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地点（网址）：</w:t>
      </w:r>
      <w:r>
        <w:rPr>
          <w:rFonts w:hint="eastAsia" w:ascii="宋体" w:hAnsi="宋体"/>
          <w:color w:val="auto"/>
          <w:highlight w:val="none"/>
        </w:rPr>
        <w:t>政府采购云平台（http://www.zcygov.cn/）。</w:t>
      </w:r>
    </w:p>
    <w:p w14:paraId="2B20FD24">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方式：（1）本项目招标文件实行“政府采购云平台”在线获取，不提供招标文件纸质版。投标人获取招标文件前应先完成“政府采购云平台”的账号注册； </w:t>
      </w:r>
    </w:p>
    <w:p w14:paraId="44A4D4F2">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528CB27C">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auto"/>
          <w:szCs w:val="21"/>
          <w:highlight w:val="none"/>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auto"/>
          <w:szCs w:val="21"/>
          <w:highlight w:val="none"/>
        </w:rPr>
        <w:t>文件</w:t>
      </w:r>
      <w:r>
        <w:rPr>
          <w:rFonts w:hint="eastAsia" w:cs="Arial" w:asciiTheme="minorEastAsia" w:hAnsiTheme="minorEastAsia" w:eastAsiaTheme="minorEastAsia"/>
          <w:color w:val="auto"/>
          <w:szCs w:val="21"/>
          <w:highlight w:val="none"/>
        </w:rPr>
        <w:t>的投标人提交的投标文件。</w:t>
      </w:r>
    </w:p>
    <w:p w14:paraId="5656B519">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注：请投标人按上述要求获取招标文件，如未在“政采云”系统内完成相关流程，引起的投标无效责任自负。  </w:t>
      </w:r>
    </w:p>
    <w:p w14:paraId="2327303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售价：0元。</w:t>
      </w:r>
    </w:p>
    <w:p w14:paraId="4C2903EE">
      <w:pPr>
        <w:pStyle w:val="3"/>
        <w:spacing w:line="360" w:lineRule="auto"/>
        <w:jc w:val="both"/>
        <w:rPr>
          <w:rFonts w:ascii="宋体" w:hAnsi="宋体" w:cs="宋体"/>
          <w:color w:val="auto"/>
          <w:sz w:val="21"/>
          <w:szCs w:val="21"/>
          <w:highlight w:val="none"/>
        </w:rPr>
      </w:pPr>
      <w:bookmarkStart w:id="9" w:name="_Toc28359082"/>
      <w:bookmarkStart w:id="10" w:name="_Toc28359005"/>
      <w:bookmarkStart w:id="11" w:name="_Toc35393624"/>
      <w:bookmarkStart w:id="12" w:name="_Toc25361"/>
      <w:bookmarkStart w:id="13" w:name="_Toc136017624"/>
      <w:bookmarkStart w:id="14" w:name="_Toc136345086"/>
      <w:bookmarkStart w:id="15" w:name="_Toc35393793"/>
      <w:r>
        <w:rPr>
          <w:rFonts w:hint="eastAsia" w:ascii="宋体" w:hAnsi="宋体" w:cs="宋体"/>
          <w:color w:val="auto"/>
          <w:sz w:val="21"/>
          <w:szCs w:val="21"/>
          <w:highlight w:val="none"/>
        </w:rPr>
        <w:t>四、提交投标文件</w:t>
      </w:r>
      <w:bookmarkEnd w:id="9"/>
      <w:bookmarkEnd w:id="10"/>
      <w:r>
        <w:rPr>
          <w:rFonts w:hint="eastAsia" w:ascii="宋体" w:hAnsi="宋体" w:cs="宋体"/>
          <w:color w:val="auto"/>
          <w:sz w:val="21"/>
          <w:szCs w:val="21"/>
          <w:highlight w:val="none"/>
        </w:rPr>
        <w:t>截止时间、开标时间和地点</w:t>
      </w:r>
      <w:bookmarkEnd w:id="11"/>
      <w:bookmarkEnd w:id="12"/>
      <w:bookmarkEnd w:id="13"/>
      <w:bookmarkEnd w:id="14"/>
      <w:bookmarkEnd w:id="15"/>
    </w:p>
    <w:p w14:paraId="2905BA22">
      <w:pPr>
        <w:spacing w:line="336" w:lineRule="auto"/>
        <w:ind w:firstLine="420" w:firstLineChars="200"/>
        <w:rPr>
          <w:rFonts w:ascii="宋体" w:hAnsi="宋体" w:cs="宋体"/>
          <w:bCs/>
          <w:color w:val="auto"/>
          <w:szCs w:val="21"/>
          <w:highlight w:val="none"/>
        </w:rPr>
      </w:pPr>
      <w:bookmarkStart w:id="16" w:name="_Toc35393625"/>
      <w:bookmarkStart w:id="17" w:name="_Toc28359007"/>
      <w:bookmarkStart w:id="18" w:name="_Toc136345087"/>
      <w:bookmarkStart w:id="19" w:name="_Toc35393794"/>
      <w:bookmarkStart w:id="20" w:name="_Toc28359084"/>
      <w:bookmarkStart w:id="21" w:name="_Toc136017625"/>
      <w:bookmarkStart w:id="22" w:name="_Toc13461"/>
      <w:r>
        <w:rPr>
          <w:rFonts w:hint="eastAsia" w:ascii="宋体" w:hAnsi="宋体" w:cs="宋体"/>
          <w:bCs/>
          <w:color w:val="auto"/>
          <w:szCs w:val="21"/>
          <w:highlight w:val="none"/>
        </w:rPr>
        <w:t>1.提交投标文件截止时间</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rPr>
        <w:t>日</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30</w:t>
      </w:r>
      <w:r>
        <w:rPr>
          <w:rFonts w:hint="eastAsia" w:ascii="宋体" w:hAnsi="宋体" w:cs="宋体"/>
          <w:bCs/>
          <w:color w:val="auto"/>
          <w:szCs w:val="21"/>
          <w:highlight w:val="none"/>
        </w:rPr>
        <w:t>（北京时间）。</w:t>
      </w:r>
    </w:p>
    <w:p w14:paraId="7C560125">
      <w:pPr>
        <w:spacing w:line="336"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2.投标地点：（网址）：（1）“电子加密投标文件”：政采云平台（</w:t>
      </w:r>
      <w:r>
        <w:rPr>
          <w:rFonts w:hint="eastAsia" w:ascii="宋体" w:hAnsi="宋体"/>
          <w:color w:val="auto"/>
          <w:highlight w:val="none"/>
        </w:rPr>
        <w:t>http://www.zcygov.cn/</w:t>
      </w:r>
      <w:r>
        <w:rPr>
          <w:rFonts w:hint="eastAsia" w:ascii="宋体" w:hAnsi="宋体" w:cs="宋体"/>
          <w:bCs/>
          <w:color w:val="auto"/>
          <w:szCs w:val="21"/>
          <w:highlight w:val="none"/>
        </w:rPr>
        <w:t>）在线提交；（2）现场递交备份投标文件（以U盘存储的电子备份投标文件）：北仑区公共资源交易中心（宁波市北仑区四明山路773号行政大楼B座三楼招投标中心交易厅，具体场所安排详见电子指示屏幕）。</w:t>
      </w:r>
    </w:p>
    <w:p w14:paraId="6E3C13A7">
      <w:pPr>
        <w:spacing w:line="336"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3.开标时间：</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rPr>
        <w:t>日</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30</w:t>
      </w:r>
      <w:r>
        <w:rPr>
          <w:rFonts w:hint="eastAsia" w:ascii="宋体" w:hAnsi="宋体" w:cs="宋体"/>
          <w:bCs/>
          <w:color w:val="auto"/>
          <w:szCs w:val="21"/>
          <w:highlight w:val="none"/>
        </w:rPr>
        <w:t>（北京时间）。</w:t>
      </w:r>
    </w:p>
    <w:p w14:paraId="77BC1481">
      <w:pPr>
        <w:spacing w:line="336"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4.开标地点（网址）：政采云平台（</w:t>
      </w:r>
      <w:r>
        <w:rPr>
          <w:rFonts w:hint="eastAsia" w:ascii="宋体" w:hAnsi="宋体"/>
          <w:color w:val="auto"/>
          <w:highlight w:val="none"/>
        </w:rPr>
        <w:t>http://www.zcygov.cn/</w:t>
      </w:r>
      <w:r>
        <w:rPr>
          <w:rFonts w:hint="eastAsia" w:ascii="宋体" w:hAnsi="宋体" w:cs="宋体"/>
          <w:bCs/>
          <w:color w:val="auto"/>
          <w:szCs w:val="21"/>
          <w:highlight w:val="none"/>
        </w:rPr>
        <w:t>）</w:t>
      </w:r>
    </w:p>
    <w:p w14:paraId="59BCB834">
      <w:pPr>
        <w:pStyle w:val="3"/>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五、公告期限</w:t>
      </w:r>
      <w:bookmarkEnd w:id="16"/>
      <w:bookmarkEnd w:id="17"/>
      <w:bookmarkEnd w:id="18"/>
      <w:bookmarkEnd w:id="19"/>
      <w:bookmarkEnd w:id="20"/>
      <w:bookmarkEnd w:id="21"/>
      <w:bookmarkEnd w:id="22"/>
    </w:p>
    <w:p w14:paraId="6C84BDE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B878840">
      <w:pPr>
        <w:pStyle w:val="3"/>
        <w:spacing w:line="360" w:lineRule="auto"/>
        <w:jc w:val="both"/>
        <w:rPr>
          <w:rFonts w:ascii="宋体" w:hAnsi="宋体" w:cs="宋体"/>
          <w:color w:val="auto"/>
          <w:sz w:val="21"/>
          <w:szCs w:val="21"/>
          <w:highlight w:val="none"/>
        </w:rPr>
      </w:pPr>
      <w:bookmarkStart w:id="23" w:name="_Toc136017626"/>
      <w:bookmarkStart w:id="24" w:name="_Toc35393795"/>
      <w:bookmarkStart w:id="25" w:name="_Toc35393626"/>
      <w:bookmarkStart w:id="26" w:name="_Toc9281"/>
      <w:bookmarkStart w:id="27" w:name="_Toc136345088"/>
      <w:r>
        <w:rPr>
          <w:rFonts w:hint="eastAsia" w:ascii="宋体" w:hAnsi="宋体" w:cs="宋体"/>
          <w:color w:val="auto"/>
          <w:sz w:val="21"/>
          <w:szCs w:val="21"/>
          <w:highlight w:val="none"/>
        </w:rPr>
        <w:t>六、其他补充事宜</w:t>
      </w:r>
      <w:bookmarkEnd w:id="23"/>
      <w:bookmarkEnd w:id="24"/>
      <w:bookmarkEnd w:id="25"/>
      <w:bookmarkEnd w:id="26"/>
      <w:bookmarkEnd w:id="27"/>
    </w:p>
    <w:p w14:paraId="571131E5">
      <w:pPr>
        <w:spacing w:line="336" w:lineRule="auto"/>
        <w:ind w:firstLine="420" w:firstLineChars="200"/>
        <w:rPr>
          <w:rFonts w:hint="eastAsia" w:ascii="宋体" w:hAnsi="宋体" w:eastAsia="宋体" w:cs="宋体"/>
          <w:bCs/>
          <w:color w:val="auto"/>
          <w:szCs w:val="21"/>
          <w:highlight w:val="none"/>
        </w:rPr>
      </w:pPr>
      <w:bookmarkStart w:id="28" w:name="_Toc35393627"/>
      <w:bookmarkStart w:id="29" w:name="_Toc35393796"/>
      <w:bookmarkStart w:id="30" w:name="_Toc28359085"/>
      <w:bookmarkStart w:id="31" w:name="_Toc28359008"/>
      <w:bookmarkStart w:id="32" w:name="_Toc136345089"/>
      <w:bookmarkStart w:id="33" w:name="_Toc136017627"/>
      <w:bookmarkStart w:id="34" w:name="_Toc24960"/>
      <w:r>
        <w:rPr>
          <w:rFonts w:hint="eastAsia" w:ascii="宋体" w:hAnsi="宋体" w:eastAsia="宋体" w:cs="宋体"/>
          <w:bCs/>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6E433CF">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EDECFE">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A5DC69">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4.其他事项：</w:t>
      </w:r>
    </w:p>
    <w:p w14:paraId="4EC2C58A">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4.1本次政府采购活动有关信息在“浙江政府采购网（https://zfcg.czt.zj.gov.cn/）”、“宁波政府采购网（http://www.nbzfcg.cn）”、“宁波市公共资源交易电子服务系统（https://jyxt.zwb.ningbo.gov.cn:4011/website/home）”网站上公布，公布信息视同送达所有潜在投标人。</w:t>
      </w:r>
    </w:p>
    <w:p w14:paraId="451815B8">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4.2单位负责人为同一人或者存在直接控股、管理关系的不同供应商，不得参加同一标项的投标。为采购项目提供整体设计、规范编制或者项目管理、监理、检测等服务的供应商，不得再参加本项目投标。</w:t>
      </w:r>
    </w:p>
    <w:p w14:paraId="61AA0F46">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4.3落实的政策：《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p>
    <w:p w14:paraId="22909E8F">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4.4投标与开标注意事项：</w:t>
      </w:r>
    </w:p>
    <w:p w14:paraId="2986FAA7">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（1）本项目实行网上投标，采用电子投标文件。若供应商参与投标，自行承担投标一切费用。</w:t>
      </w:r>
    </w:p>
    <w:p w14:paraId="4F2D3865">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（2）标前准备：各供应商应在开标前确保成为浙江省政府采购网正式注册入库供应商，并完成CA数字证书办理。因未注册入库、未办理CA数字证书等原因造成无法投标或投标失败等后果由供应商自行承担。</w:t>
      </w:r>
    </w:p>
    <w:p w14:paraId="02B6A4C8">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标文件制作应按照本项目采购文件和政采云平台的要求编制、加密并递交投标文件。供应商在使用系统进行投标的过程中遇到涉及平台使用的任何问题，可致电政采云平台技术支持热线咨询，联系方式：400-881-7190。投标人通过“政采云”平台电子投标工具制作投标文件，电子投标工具请供应商自行前往浙江省政府采购网下载并安装，投标文件制作具体流程详见政府采购云平台。</w:t>
      </w:r>
    </w:p>
    <w:p w14:paraId="38DB64A0">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以U盘介质存储的数据电文形式的备份投标文件1份（电子备份投标文件不作强制要求，投标人自行决定是否提供），即电子投标文件按“政采云供应商项目采购-电子招投标操作指南”制作的备份文件，以用于异常情况处理。</w:t>
      </w:r>
    </w:p>
    <w:p w14:paraId="6004643B">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14:paraId="4A1A490B">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.5 供应商递交备份电子投标文件方式：</w:t>
      </w:r>
    </w:p>
    <w:p w14:paraId="2D5AA5E9">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用邮寄方式递交投标文件，需按以下要求递交：供应商须在本项目开标时间前一日16:00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宁波市北仑区灵江路378号仑江大厦14F，收件人：李</w:t>
      </w:r>
      <w:r>
        <w:rPr>
          <w:rFonts w:hint="eastAsia" w:ascii="宋体" w:hAnsi="宋体" w:cs="宋体"/>
          <w:bCs/>
          <w:color w:val="auto"/>
          <w:szCs w:val="21"/>
          <w:highlight w:val="none"/>
          <w:lang w:eastAsia="zh-CN"/>
        </w:rPr>
        <w:t>工</w:t>
      </w:r>
      <w:r>
        <w:rPr>
          <w:rFonts w:hint="eastAsia" w:ascii="宋体" w:hAnsi="宋体" w:eastAsia="宋体" w:cs="宋体"/>
          <w:bCs/>
          <w:color w:val="auto"/>
          <w:szCs w:val="21"/>
          <w:highlight w:val="none"/>
        </w:rPr>
        <w:t>，联系方式：0574-26896671。</w:t>
      </w:r>
    </w:p>
    <w:p w14:paraId="3AC32287">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用现场递交投标文件，供应商代表供应商代表在投标截止时间前进入开标现场（宁波市北仑区四明山路773号行政大楼B座三楼招投标中心交易厅，具体场所安排详见电子指示屏幕）递交备份电子投标文件，参与现场开标活动的人员应自觉遵守和服从交易现场管理。</w:t>
      </w:r>
    </w:p>
    <w:p w14:paraId="243DFFBD">
      <w:pPr>
        <w:pStyle w:val="3"/>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七、</w:t>
      </w:r>
      <w:bookmarkEnd w:id="28"/>
      <w:bookmarkEnd w:id="29"/>
      <w:bookmarkEnd w:id="30"/>
      <w:bookmarkEnd w:id="31"/>
      <w:r>
        <w:rPr>
          <w:rFonts w:hint="eastAsia" w:ascii="宋体" w:hAnsi="宋体" w:cs="宋体"/>
          <w:color w:val="auto"/>
          <w:sz w:val="21"/>
          <w:szCs w:val="21"/>
          <w:highlight w:val="none"/>
        </w:rPr>
        <w:t>对本次招标提出询问、质疑、投诉，请按以下方式联系。</w:t>
      </w:r>
      <w:bookmarkEnd w:id="32"/>
      <w:bookmarkEnd w:id="33"/>
      <w:bookmarkEnd w:id="34"/>
    </w:p>
    <w:p w14:paraId="1DC2A2D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1.采购人信息</w:t>
      </w:r>
    </w:p>
    <w:p w14:paraId="1B1F0DCB">
      <w:pPr>
        <w:widowControl/>
        <w:spacing w:line="360" w:lineRule="auto"/>
        <w:ind w:firstLine="420" w:firstLineChars="200"/>
        <w:jc w:val="left"/>
        <w:rPr>
          <w:rFonts w:hint="eastAsia" w:ascii="宋体" w:hAnsi="宋体" w:eastAsia="宋体" w:cs="宋体"/>
          <w:color w:val="auto"/>
          <w:highlight w:val="none"/>
          <w:u w:val="none"/>
          <w:lang w:eastAsia="zh-CN"/>
        </w:rPr>
      </w:pPr>
      <w:r>
        <w:rPr>
          <w:rFonts w:hint="eastAsia" w:ascii="宋体" w:hAnsi="宋体" w:cs="宋体"/>
          <w:color w:val="auto"/>
          <w:highlight w:val="none"/>
          <w:u w:val="none"/>
        </w:rPr>
        <w:t>名    称：</w:t>
      </w:r>
      <w:r>
        <w:rPr>
          <w:rFonts w:hint="eastAsia" w:ascii="宋体" w:hAnsi="宋体" w:cs="宋体"/>
          <w:color w:val="auto"/>
          <w:highlight w:val="none"/>
          <w:u w:val="none"/>
          <w:lang w:eastAsia="zh-CN"/>
        </w:rPr>
        <w:t>宁波市北仑区审计局</w:t>
      </w:r>
    </w:p>
    <w:p w14:paraId="0A6124F2">
      <w:pPr>
        <w:widowControl/>
        <w:spacing w:line="360" w:lineRule="auto"/>
        <w:ind w:firstLine="420" w:firstLineChars="200"/>
        <w:jc w:val="left"/>
        <w:rPr>
          <w:rFonts w:hint="eastAsia" w:ascii="宋体" w:hAnsi="宋体" w:cs="宋体"/>
          <w:color w:val="auto"/>
          <w:highlight w:val="none"/>
          <w:u w:val="none"/>
        </w:rPr>
      </w:pPr>
      <w:r>
        <w:rPr>
          <w:rFonts w:hint="eastAsia" w:ascii="宋体" w:hAnsi="宋体" w:cs="宋体"/>
          <w:color w:val="auto"/>
          <w:highlight w:val="none"/>
          <w:u w:val="none"/>
        </w:rPr>
        <w:t>地    址：宁波市北仑区新矸街道四明山路775号A座</w:t>
      </w:r>
    </w:p>
    <w:p w14:paraId="55C5225D">
      <w:pPr>
        <w:widowControl/>
        <w:spacing w:line="360" w:lineRule="auto"/>
        <w:ind w:firstLine="420" w:firstLineChars="200"/>
        <w:jc w:val="left"/>
        <w:rPr>
          <w:rFonts w:hint="default" w:ascii="宋体" w:hAnsi="宋体" w:eastAsia="宋体" w:cs="宋体"/>
          <w:color w:val="auto"/>
          <w:highlight w:val="none"/>
          <w:u w:val="none"/>
          <w:lang w:val="en-US" w:eastAsia="zh-CN"/>
        </w:rPr>
      </w:pPr>
      <w:r>
        <w:rPr>
          <w:rFonts w:hint="default" w:ascii="宋体" w:hAnsi="宋体" w:eastAsia="宋体" w:cs="宋体"/>
          <w:color w:val="auto"/>
          <w:highlight w:val="none"/>
          <w:u w:val="none"/>
          <w:lang w:val="en-US" w:eastAsia="zh-CN"/>
        </w:rPr>
        <w:t>项目联系人（询问）：付老师</w:t>
      </w:r>
    </w:p>
    <w:p w14:paraId="11A46E63">
      <w:pPr>
        <w:widowControl/>
        <w:spacing w:line="360" w:lineRule="auto"/>
        <w:ind w:firstLine="420" w:firstLineChars="200"/>
        <w:jc w:val="left"/>
        <w:rPr>
          <w:rFonts w:hint="default" w:ascii="宋体" w:hAnsi="宋体" w:eastAsia="宋体" w:cs="宋体"/>
          <w:color w:val="auto"/>
          <w:highlight w:val="none"/>
          <w:u w:val="none"/>
          <w:lang w:val="en-US" w:eastAsia="zh-CN"/>
        </w:rPr>
      </w:pPr>
      <w:r>
        <w:rPr>
          <w:rFonts w:hint="default" w:ascii="宋体" w:hAnsi="宋体" w:eastAsia="宋体" w:cs="宋体"/>
          <w:color w:val="auto"/>
          <w:highlight w:val="none"/>
          <w:u w:val="none"/>
          <w:lang w:val="en-US" w:eastAsia="zh-CN"/>
        </w:rPr>
        <w:t>项目联系方式（询问）：0574-89381353</w:t>
      </w:r>
    </w:p>
    <w:p w14:paraId="6431CE81">
      <w:pPr>
        <w:widowControl/>
        <w:spacing w:line="360" w:lineRule="auto"/>
        <w:ind w:firstLine="420" w:firstLineChars="200"/>
        <w:jc w:val="left"/>
        <w:rPr>
          <w:rFonts w:hint="default" w:ascii="宋体" w:hAnsi="宋体" w:eastAsia="宋体" w:cs="宋体"/>
          <w:color w:val="auto"/>
          <w:highlight w:val="none"/>
          <w:u w:val="none"/>
          <w:lang w:val="en-US" w:eastAsia="zh-CN"/>
        </w:rPr>
      </w:pPr>
      <w:r>
        <w:rPr>
          <w:rFonts w:hint="default" w:ascii="宋体" w:hAnsi="宋体" w:eastAsia="宋体" w:cs="宋体"/>
          <w:color w:val="auto"/>
          <w:highlight w:val="none"/>
          <w:u w:val="none"/>
          <w:lang w:val="en-US" w:eastAsia="zh-CN"/>
        </w:rPr>
        <w:t>质疑联系人：朱老师</w:t>
      </w:r>
    </w:p>
    <w:p w14:paraId="25985527">
      <w:pPr>
        <w:widowControl/>
        <w:spacing w:line="360" w:lineRule="auto"/>
        <w:ind w:firstLine="420" w:firstLineChars="200"/>
        <w:jc w:val="left"/>
        <w:rPr>
          <w:rFonts w:hint="default" w:ascii="宋体" w:hAnsi="宋体" w:eastAsia="宋体" w:cs="宋体"/>
          <w:color w:val="auto"/>
          <w:highlight w:val="none"/>
          <w:u w:val="none"/>
          <w:lang w:val="en-US" w:eastAsia="zh-CN"/>
        </w:rPr>
      </w:pPr>
      <w:r>
        <w:rPr>
          <w:rFonts w:hint="default" w:ascii="宋体" w:hAnsi="宋体" w:eastAsia="宋体" w:cs="宋体"/>
          <w:color w:val="auto"/>
          <w:highlight w:val="none"/>
          <w:u w:val="none"/>
          <w:lang w:val="en-US" w:eastAsia="zh-CN"/>
        </w:rPr>
        <w:t>质疑联系方式：0574-89383703</w:t>
      </w:r>
    </w:p>
    <w:p w14:paraId="57925D1D">
      <w:pPr>
        <w:widowControl/>
        <w:spacing w:line="360" w:lineRule="auto"/>
        <w:ind w:firstLine="420" w:firstLineChars="200"/>
        <w:jc w:val="left"/>
        <w:rPr>
          <w:rFonts w:ascii="宋体" w:hAnsi="宋体" w:cs="宋体"/>
          <w:color w:val="auto"/>
          <w:highlight w:val="none"/>
          <w:u w:val="none"/>
        </w:rPr>
      </w:pPr>
    </w:p>
    <w:p w14:paraId="6D65C751">
      <w:pPr>
        <w:widowControl/>
        <w:spacing w:line="360" w:lineRule="auto"/>
        <w:ind w:firstLine="420" w:firstLineChars="200"/>
        <w:jc w:val="left"/>
        <w:rPr>
          <w:rFonts w:ascii="宋体" w:hAnsi="宋体" w:cs="宋体"/>
          <w:color w:val="auto"/>
          <w:highlight w:val="none"/>
          <w:u w:val="none"/>
        </w:rPr>
      </w:pPr>
      <w:r>
        <w:rPr>
          <w:rFonts w:hint="eastAsia" w:ascii="宋体" w:hAnsi="宋体" w:cs="宋体"/>
          <w:color w:val="auto"/>
          <w:highlight w:val="none"/>
          <w:u w:val="none"/>
        </w:rPr>
        <w:t>2.采购代理机构信息</w:t>
      </w:r>
    </w:p>
    <w:p w14:paraId="686FD9FD">
      <w:pPr>
        <w:widowControl/>
        <w:spacing w:line="360" w:lineRule="auto"/>
        <w:ind w:firstLine="420" w:firstLineChars="200"/>
        <w:jc w:val="left"/>
        <w:rPr>
          <w:rFonts w:hint="eastAsia" w:ascii="宋体" w:hAnsi="宋体" w:cs="宋体"/>
          <w:color w:val="auto"/>
          <w:highlight w:val="none"/>
          <w:u w:val="none"/>
          <w:lang w:eastAsia="zh-CN"/>
        </w:rPr>
      </w:pPr>
      <w:r>
        <w:rPr>
          <w:rFonts w:hint="eastAsia" w:ascii="宋体" w:hAnsi="宋体" w:cs="宋体"/>
          <w:color w:val="auto"/>
          <w:highlight w:val="none"/>
          <w:u w:val="none"/>
        </w:rPr>
        <w:t>名    称：</w:t>
      </w:r>
      <w:r>
        <w:rPr>
          <w:rFonts w:hint="eastAsia" w:ascii="宋体" w:hAnsi="宋体" w:cs="宋体"/>
          <w:color w:val="auto"/>
          <w:highlight w:val="none"/>
          <w:u w:val="none"/>
          <w:lang w:eastAsia="zh-CN"/>
        </w:rPr>
        <w:t>浙江诚源工程管理咨询有限公司</w:t>
      </w:r>
    </w:p>
    <w:p w14:paraId="190CB1B2">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地址：宁波市北仑区灵江路378号仑江大厦14F</w:t>
      </w:r>
    </w:p>
    <w:p w14:paraId="4D5F95D4">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传真：/</w:t>
      </w:r>
    </w:p>
    <w:p w14:paraId="1702969D">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项目联系人（询问）：李</w:t>
      </w:r>
      <w:r>
        <w:rPr>
          <w:rFonts w:hint="eastAsia" w:ascii="宋体" w:hAnsi="宋体" w:cs="宋体"/>
          <w:color w:val="auto"/>
          <w:highlight w:val="none"/>
          <w:lang w:eastAsia="zh-CN"/>
        </w:rPr>
        <w:t>工</w:t>
      </w:r>
      <w:r>
        <w:rPr>
          <w:rFonts w:hint="eastAsia" w:ascii="宋体" w:hAnsi="宋体" w:cs="宋体"/>
          <w:color w:val="auto"/>
          <w:highlight w:val="none"/>
        </w:rPr>
        <w:t xml:space="preserve"> </w:t>
      </w:r>
    </w:p>
    <w:p w14:paraId="3DF50930">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项目联系方式（询问）：0574-26896671</w:t>
      </w:r>
    </w:p>
    <w:p w14:paraId="3C96F4F4">
      <w:pPr>
        <w:widowControl/>
        <w:spacing w:line="360" w:lineRule="auto"/>
        <w:ind w:firstLine="420" w:firstLineChars="200"/>
        <w:jc w:val="left"/>
        <w:rPr>
          <w:rFonts w:hint="default" w:ascii="宋体" w:hAnsi="宋体" w:cs="宋体"/>
          <w:color w:val="auto"/>
          <w:highlight w:val="none"/>
          <w:lang w:val="en-US" w:eastAsia="zh-CN"/>
        </w:rPr>
      </w:pPr>
      <w:r>
        <w:rPr>
          <w:rFonts w:hint="eastAsia" w:ascii="宋体" w:hAnsi="宋体" w:cs="宋体"/>
          <w:color w:val="auto"/>
          <w:highlight w:val="none"/>
        </w:rPr>
        <w:t>质疑联系人：</w:t>
      </w:r>
      <w:r>
        <w:rPr>
          <w:rFonts w:hint="eastAsia" w:ascii="宋体" w:hAnsi="宋体" w:cs="宋体"/>
          <w:color w:val="auto"/>
          <w:highlight w:val="none"/>
          <w:lang w:val="en-US" w:eastAsia="zh-CN"/>
        </w:rPr>
        <w:t>柴工</w:t>
      </w:r>
    </w:p>
    <w:p w14:paraId="1A35DA17">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质疑联系方式：0574-26896691</w:t>
      </w:r>
    </w:p>
    <w:p w14:paraId="77DE7FEA">
      <w:pPr>
        <w:widowControl/>
        <w:spacing w:line="360" w:lineRule="auto"/>
        <w:ind w:firstLine="420" w:firstLineChars="200"/>
        <w:jc w:val="left"/>
        <w:rPr>
          <w:rFonts w:ascii="宋体" w:hAnsi="宋体" w:cs="宋体"/>
          <w:color w:val="auto"/>
          <w:highlight w:val="none"/>
        </w:rPr>
      </w:pPr>
    </w:p>
    <w:p w14:paraId="42EC9BDE">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监管部门：</w:t>
      </w:r>
      <w:r>
        <w:rPr>
          <w:rFonts w:hint="eastAsia" w:ascii="宋体" w:hAnsi="宋体" w:cs="宋体"/>
          <w:color w:val="auto"/>
          <w:sz w:val="21"/>
          <w:szCs w:val="21"/>
          <w:highlight w:val="none"/>
        </w:rPr>
        <w:t>北仑区财政局政府采购办公室</w:t>
      </w:r>
    </w:p>
    <w:p w14:paraId="00DE028E">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地址：宁波市北仑区长江路1166号</w:t>
      </w:r>
    </w:p>
    <w:p w14:paraId="5C85B725">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sz w:val="21"/>
          <w:szCs w:val="21"/>
          <w:highlight w:val="none"/>
        </w:rPr>
        <w:t>严老师</w:t>
      </w:r>
    </w:p>
    <w:p w14:paraId="5A01FE86">
      <w:pPr>
        <w:widowControl/>
        <w:spacing w:line="360" w:lineRule="auto"/>
        <w:ind w:firstLine="420" w:firstLineChars="200"/>
        <w:jc w:val="left"/>
        <w:rPr>
          <w:rFonts w:ascii="宋体" w:hAnsi="宋体"/>
          <w:color w:val="auto"/>
          <w:highlight w:val="none"/>
        </w:rPr>
      </w:pPr>
      <w:r>
        <w:rPr>
          <w:rFonts w:hint="eastAsia" w:ascii="宋体" w:hAnsi="宋体" w:cs="宋体"/>
          <w:color w:val="auto"/>
          <w:highlight w:val="none"/>
        </w:rPr>
        <w:t>联系电话：</w:t>
      </w:r>
      <w:r>
        <w:rPr>
          <w:rFonts w:hint="eastAsia" w:ascii="宋体" w:hAnsi="宋体" w:cs="宋体"/>
          <w:color w:val="auto"/>
          <w:sz w:val="21"/>
          <w:szCs w:val="21"/>
          <w:highlight w:val="none"/>
        </w:rPr>
        <w:t>0574-89383756</w:t>
      </w:r>
    </w:p>
    <w:p w14:paraId="2584DED5">
      <w:pPr>
        <w:spacing w:line="360" w:lineRule="auto"/>
        <w:rPr>
          <w:rFonts w:hint="eastAsia" w:ascii="宋体" w:hAnsi="宋体"/>
          <w:color w:val="auto"/>
          <w:szCs w:val="21"/>
          <w:highlight w:val="none"/>
        </w:rPr>
      </w:pPr>
    </w:p>
    <w:p w14:paraId="0D4B53A3">
      <w:pPr>
        <w:spacing w:line="360" w:lineRule="auto"/>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5DFE6DE6">
      <w:pPr>
        <w:spacing w:line="360" w:lineRule="auto"/>
        <w:ind w:firstLine="420" w:firstLineChars="200"/>
        <w:rPr>
          <w:rFonts w:ascii="宋体" w:hAnsi="宋体"/>
          <w:color w:val="auto"/>
          <w:szCs w:val="21"/>
          <w:highlight w:val="none"/>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s="宋体"/>
          <w:b/>
          <w:bCs/>
          <w:color w:val="auto"/>
          <w:szCs w:val="21"/>
          <w:highlight w:val="none"/>
        </w:rPr>
        <w:t>CA问题联系电话（人工）：汇信CA 400-888-4636；天谷CA 400-087-8198。</w:t>
      </w:r>
    </w:p>
    <w:p w14:paraId="2EFFF8E7">
      <w:pPr>
        <w:pStyle w:val="2"/>
        <w:spacing w:beforeLines="0" w:afterLines="0" w:line="360" w:lineRule="auto"/>
        <w:rPr>
          <w:rFonts w:ascii="宋体" w:hAnsi="宋体"/>
          <w:color w:val="auto"/>
          <w:sz w:val="32"/>
          <w:szCs w:val="32"/>
          <w:highlight w:val="none"/>
        </w:rPr>
      </w:pPr>
      <w:bookmarkStart w:id="35" w:name="_Toc6697"/>
      <w:r>
        <w:rPr>
          <w:rFonts w:hint="eastAsia" w:ascii="宋体" w:hAnsi="宋体"/>
          <w:color w:val="auto"/>
          <w:sz w:val="32"/>
          <w:szCs w:val="32"/>
          <w:highlight w:val="none"/>
        </w:rPr>
        <w:t>第二部分 招标项目需求</w:t>
      </w:r>
      <w:bookmarkEnd w:id="35"/>
    </w:p>
    <w:p w14:paraId="093A8402">
      <w:pPr>
        <w:jc w:val="center"/>
        <w:rPr>
          <w:b/>
          <w:bCs/>
          <w:color w:val="auto"/>
          <w:sz w:val="28"/>
          <w:szCs w:val="28"/>
          <w:highlight w:val="none"/>
        </w:rPr>
      </w:pPr>
      <w:r>
        <w:rPr>
          <w:rFonts w:hint="eastAsia"/>
          <w:b/>
          <w:bCs/>
          <w:color w:val="auto"/>
          <w:sz w:val="28"/>
          <w:szCs w:val="28"/>
          <w:highlight w:val="none"/>
        </w:rPr>
        <w:t>项目需求前附表</w:t>
      </w:r>
    </w:p>
    <w:tbl>
      <w:tblPr>
        <w:tblStyle w:val="34"/>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458"/>
        <w:gridCol w:w="5334"/>
      </w:tblGrid>
      <w:tr w14:paraId="4354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667" w:type="dxa"/>
            <w:vAlign w:val="center"/>
          </w:tcPr>
          <w:p w14:paraId="0BB6216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458" w:type="dxa"/>
            <w:vAlign w:val="center"/>
          </w:tcPr>
          <w:p w14:paraId="56224A3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5334" w:type="dxa"/>
            <w:vAlign w:val="center"/>
          </w:tcPr>
          <w:p w14:paraId="3277B6C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采购需求内容</w:t>
            </w:r>
          </w:p>
        </w:tc>
      </w:tr>
      <w:tr w14:paraId="42B0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7" w:type="dxa"/>
            <w:vAlign w:val="center"/>
          </w:tcPr>
          <w:p w14:paraId="5218E2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458" w:type="dxa"/>
            <w:vAlign w:val="center"/>
          </w:tcPr>
          <w:p w14:paraId="58981FC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5334" w:type="dxa"/>
            <w:vAlign w:val="center"/>
          </w:tcPr>
          <w:p w14:paraId="2E7A274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w:t>
            </w:r>
          </w:p>
        </w:tc>
      </w:tr>
      <w:tr w14:paraId="05B0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7" w:type="dxa"/>
            <w:vAlign w:val="center"/>
          </w:tcPr>
          <w:p w14:paraId="03BBA9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458" w:type="dxa"/>
            <w:vAlign w:val="center"/>
          </w:tcPr>
          <w:p w14:paraId="38C2FE3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单位及数量</w:t>
            </w:r>
          </w:p>
        </w:tc>
        <w:tc>
          <w:tcPr>
            <w:tcW w:w="5334" w:type="dxa"/>
            <w:vAlign w:val="center"/>
          </w:tcPr>
          <w:p w14:paraId="18C2515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w:t>
            </w:r>
          </w:p>
        </w:tc>
      </w:tr>
      <w:tr w14:paraId="48B9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67" w:type="dxa"/>
            <w:vAlign w:val="center"/>
          </w:tcPr>
          <w:p w14:paraId="0F7931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458" w:type="dxa"/>
            <w:vAlign w:val="center"/>
          </w:tcPr>
          <w:p w14:paraId="141A639E">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334" w:type="dxa"/>
            <w:vAlign w:val="center"/>
          </w:tcPr>
          <w:p w14:paraId="572451C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详见商务要求</w:t>
            </w:r>
          </w:p>
        </w:tc>
      </w:tr>
      <w:tr w14:paraId="663C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7" w:type="dxa"/>
            <w:vAlign w:val="center"/>
          </w:tcPr>
          <w:p w14:paraId="561494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458" w:type="dxa"/>
            <w:vAlign w:val="center"/>
          </w:tcPr>
          <w:p w14:paraId="63EB86F7">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5334" w:type="dxa"/>
            <w:vAlign w:val="center"/>
          </w:tcPr>
          <w:p w14:paraId="4C9BE39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详见技术要求</w:t>
            </w:r>
          </w:p>
        </w:tc>
      </w:tr>
      <w:tr w14:paraId="5AE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67" w:type="dxa"/>
            <w:vAlign w:val="center"/>
          </w:tcPr>
          <w:p w14:paraId="60F413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458" w:type="dxa"/>
            <w:vAlign w:val="center"/>
          </w:tcPr>
          <w:p w14:paraId="5CD45CC3">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采购标的需执行的标准</w:t>
            </w:r>
          </w:p>
        </w:tc>
        <w:tc>
          <w:tcPr>
            <w:tcW w:w="5334" w:type="dxa"/>
            <w:vAlign w:val="center"/>
          </w:tcPr>
          <w:p w14:paraId="44C302A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执行国家、地方、有关机构所有相关的技术规范与标准，且确保所采用的技术规范、标准必须是国家或有关机构发布的最新版本，无论此版本在此有无提及。</w:t>
            </w:r>
          </w:p>
        </w:tc>
      </w:tr>
      <w:tr w14:paraId="49A1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7" w:type="dxa"/>
            <w:vAlign w:val="center"/>
          </w:tcPr>
          <w:p w14:paraId="0DD660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458" w:type="dxa"/>
            <w:vAlign w:val="center"/>
          </w:tcPr>
          <w:p w14:paraId="096C1C5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5334" w:type="dxa"/>
            <w:vAlign w:val="center"/>
          </w:tcPr>
          <w:p w14:paraId="0F057BD0">
            <w:pPr>
              <w:spacing w:line="360" w:lineRule="auto"/>
              <w:rPr>
                <w:rFonts w:ascii="宋体" w:hAnsi="宋体" w:cs="宋体"/>
                <w:color w:val="auto"/>
                <w:highlight w:val="none"/>
              </w:rPr>
            </w:pPr>
            <w:r>
              <w:rPr>
                <w:rFonts w:hint="eastAsia" w:ascii="宋体" w:hAnsi="宋体" w:cs="宋体"/>
                <w:color w:val="auto"/>
                <w:highlight w:val="none"/>
              </w:rPr>
              <w:t>/</w:t>
            </w:r>
          </w:p>
        </w:tc>
      </w:tr>
      <w:tr w14:paraId="7D45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7" w:type="dxa"/>
            <w:vAlign w:val="center"/>
          </w:tcPr>
          <w:p w14:paraId="3E30A8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458" w:type="dxa"/>
            <w:vAlign w:val="center"/>
          </w:tcPr>
          <w:p w14:paraId="25EC23C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5334" w:type="dxa"/>
            <w:vAlign w:val="center"/>
          </w:tcPr>
          <w:p w14:paraId="51E79B29">
            <w:pPr>
              <w:spacing w:line="360" w:lineRule="auto"/>
              <w:rPr>
                <w:rFonts w:ascii="宋体" w:hAnsi="宋体" w:cs="宋体"/>
                <w:color w:val="auto"/>
                <w:highlight w:val="none"/>
              </w:rPr>
            </w:pPr>
            <w:r>
              <w:rPr>
                <w:rFonts w:hint="eastAsia" w:ascii="宋体" w:hAnsi="宋体" w:cs="宋体"/>
                <w:color w:val="auto"/>
                <w:highlight w:val="none"/>
              </w:rPr>
              <w:t>/</w:t>
            </w:r>
          </w:p>
        </w:tc>
      </w:tr>
      <w:tr w14:paraId="2EFA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7" w:type="dxa"/>
            <w:vAlign w:val="center"/>
          </w:tcPr>
          <w:p w14:paraId="30DBFA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458" w:type="dxa"/>
            <w:vAlign w:val="center"/>
          </w:tcPr>
          <w:p w14:paraId="1442577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5334" w:type="dxa"/>
            <w:vAlign w:val="center"/>
          </w:tcPr>
          <w:p w14:paraId="743FA689">
            <w:pPr>
              <w:spacing w:line="360" w:lineRule="auto"/>
              <w:rPr>
                <w:rFonts w:ascii="宋体" w:hAnsi="宋体" w:cs="宋体"/>
                <w:color w:val="auto"/>
                <w:highlight w:val="none"/>
              </w:rPr>
            </w:pPr>
            <w:r>
              <w:rPr>
                <w:rFonts w:hint="eastAsia" w:ascii="宋体" w:hAnsi="宋体" w:cs="宋体"/>
                <w:color w:val="auto"/>
                <w:highlight w:val="none"/>
              </w:rPr>
              <w:t>/</w:t>
            </w:r>
          </w:p>
        </w:tc>
      </w:tr>
      <w:tr w14:paraId="34A3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67" w:type="dxa"/>
            <w:vAlign w:val="center"/>
          </w:tcPr>
          <w:p w14:paraId="728DCB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458" w:type="dxa"/>
            <w:vAlign w:val="center"/>
          </w:tcPr>
          <w:p w14:paraId="694EAF8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5334" w:type="dxa"/>
            <w:vAlign w:val="center"/>
          </w:tcPr>
          <w:p w14:paraId="1699B2BD">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详见本部分内容</w:t>
            </w:r>
          </w:p>
        </w:tc>
      </w:tr>
      <w:tr w14:paraId="1E7B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67" w:type="dxa"/>
            <w:vAlign w:val="center"/>
          </w:tcPr>
          <w:p w14:paraId="4E8537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458" w:type="dxa"/>
            <w:vAlign w:val="center"/>
          </w:tcPr>
          <w:p w14:paraId="7FD2394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5334" w:type="dxa"/>
            <w:vAlign w:val="center"/>
          </w:tcPr>
          <w:p w14:paraId="27BFEB7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按照招标文件要求、中标人的投标文件（承诺）及签订的合同约定标准进行验收，验收过程涉及的论证、评估等全部费用由中标人承担。</w:t>
            </w:r>
          </w:p>
        </w:tc>
      </w:tr>
      <w:tr w14:paraId="2899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667" w:type="dxa"/>
            <w:vAlign w:val="center"/>
          </w:tcPr>
          <w:p w14:paraId="1632D9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458" w:type="dxa"/>
            <w:vAlign w:val="center"/>
          </w:tcPr>
          <w:p w14:paraId="34F3433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5334" w:type="dxa"/>
            <w:vAlign w:val="center"/>
          </w:tcPr>
          <w:p w14:paraId="46C591E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0C8D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67" w:type="dxa"/>
            <w:vAlign w:val="center"/>
          </w:tcPr>
          <w:p w14:paraId="12DD1C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458" w:type="dxa"/>
            <w:vAlign w:val="center"/>
          </w:tcPr>
          <w:p w14:paraId="1851C1B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5334" w:type="dxa"/>
            <w:vAlign w:val="center"/>
          </w:tcPr>
          <w:p w14:paraId="7EFCCFE3">
            <w:pPr>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bl>
    <w:p w14:paraId="17779876">
      <w:pPr>
        <w:spacing w:line="360" w:lineRule="auto"/>
        <w:rPr>
          <w:rFonts w:ascii="宋体" w:hAnsi="宋体" w:cs="宋体"/>
          <w:color w:val="auto"/>
          <w:sz w:val="24"/>
          <w:szCs w:val="24"/>
          <w:highlight w:val="none"/>
        </w:rPr>
      </w:pPr>
    </w:p>
    <w:p w14:paraId="6430A155">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14:paraId="02A23CBD">
      <w:pPr>
        <w:spacing w:line="360" w:lineRule="auto"/>
        <w:rPr>
          <w:rFonts w:ascii="宋体" w:hAnsi="宋体" w:cs="宋体"/>
          <w:color w:val="auto"/>
          <w:sz w:val="24"/>
          <w:szCs w:val="24"/>
          <w:highlight w:val="none"/>
        </w:rPr>
      </w:pPr>
    </w:p>
    <w:p w14:paraId="3893C11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一、商务要求：</w:t>
      </w:r>
    </w:p>
    <w:tbl>
      <w:tblPr>
        <w:tblStyle w:val="34"/>
        <w:tblW w:w="8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7"/>
        <w:gridCol w:w="6342"/>
      </w:tblGrid>
      <w:tr w14:paraId="6EA7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2137" w:type="dxa"/>
            <w:tcBorders>
              <w:top w:val="single" w:color="auto" w:sz="4" w:space="0"/>
              <w:left w:val="single" w:color="auto" w:sz="4" w:space="0"/>
              <w:bottom w:val="single" w:color="auto" w:sz="4" w:space="0"/>
              <w:right w:val="single" w:color="auto" w:sz="4" w:space="0"/>
            </w:tcBorders>
            <w:vAlign w:val="center"/>
          </w:tcPr>
          <w:p w14:paraId="0B48CE2A">
            <w:pPr>
              <w:spacing w:line="264"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342" w:type="dxa"/>
            <w:tcBorders>
              <w:top w:val="single" w:color="auto" w:sz="4" w:space="0"/>
              <w:left w:val="single" w:color="auto" w:sz="4" w:space="0"/>
              <w:bottom w:val="single" w:color="auto" w:sz="4" w:space="0"/>
              <w:right w:val="single" w:color="auto" w:sz="4" w:space="0"/>
            </w:tcBorders>
            <w:vAlign w:val="center"/>
          </w:tcPr>
          <w:p w14:paraId="5EC21D32">
            <w:pPr>
              <w:spacing w:line="264" w:lineRule="auto"/>
              <w:jc w:val="center"/>
              <w:rPr>
                <w:rFonts w:ascii="宋体" w:hAnsi="宋体" w:cs="宋体"/>
                <w:b/>
                <w:bCs/>
                <w:color w:val="auto"/>
                <w:szCs w:val="21"/>
                <w:highlight w:val="none"/>
              </w:rPr>
            </w:pPr>
            <w:r>
              <w:rPr>
                <w:rFonts w:hint="eastAsia" w:ascii="宋体" w:hAnsi="宋体" w:cs="宋体"/>
                <w:b/>
                <w:bCs/>
                <w:color w:val="auto"/>
                <w:szCs w:val="21"/>
                <w:highlight w:val="none"/>
              </w:rPr>
              <w:t>要 求</w:t>
            </w:r>
          </w:p>
        </w:tc>
      </w:tr>
      <w:tr w14:paraId="3044A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2137" w:type="dxa"/>
            <w:tcBorders>
              <w:top w:val="single" w:color="auto" w:sz="4" w:space="0"/>
              <w:left w:val="single" w:color="auto" w:sz="4" w:space="0"/>
              <w:bottom w:val="single" w:color="auto" w:sz="4" w:space="0"/>
              <w:right w:val="single" w:color="auto" w:sz="4" w:space="0"/>
            </w:tcBorders>
            <w:vAlign w:val="center"/>
          </w:tcPr>
          <w:p w14:paraId="57245822">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★1、服务期</w:t>
            </w:r>
          </w:p>
        </w:tc>
        <w:tc>
          <w:tcPr>
            <w:tcW w:w="6342" w:type="dxa"/>
            <w:tcBorders>
              <w:top w:val="single" w:color="auto" w:sz="4" w:space="0"/>
              <w:left w:val="single" w:color="auto" w:sz="4" w:space="0"/>
              <w:bottom w:val="single" w:color="auto" w:sz="4" w:space="0"/>
              <w:right w:val="single" w:color="auto" w:sz="4" w:space="0"/>
            </w:tcBorders>
            <w:vAlign w:val="center"/>
          </w:tcPr>
          <w:p w14:paraId="359CC1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合同签订之日起至完成竣工结（决）算审计止，具体实施开始时间以采购人通知时间为准。</w:t>
            </w:r>
          </w:p>
        </w:tc>
      </w:tr>
      <w:tr w14:paraId="2156C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137" w:type="dxa"/>
            <w:tcBorders>
              <w:top w:val="single" w:color="auto" w:sz="4" w:space="0"/>
              <w:left w:val="single" w:color="auto" w:sz="4" w:space="0"/>
              <w:bottom w:val="single" w:color="auto" w:sz="4" w:space="0"/>
              <w:right w:val="single" w:color="auto" w:sz="4" w:space="0"/>
            </w:tcBorders>
            <w:vAlign w:val="center"/>
          </w:tcPr>
          <w:p w14:paraId="34811789">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2、服务地点</w:t>
            </w:r>
          </w:p>
        </w:tc>
        <w:tc>
          <w:tcPr>
            <w:tcW w:w="6342" w:type="dxa"/>
            <w:tcBorders>
              <w:top w:val="single" w:color="auto" w:sz="4" w:space="0"/>
              <w:left w:val="single" w:color="auto" w:sz="4" w:space="0"/>
              <w:bottom w:val="single" w:color="auto" w:sz="4" w:space="0"/>
              <w:right w:val="single" w:color="auto" w:sz="4" w:space="0"/>
            </w:tcBorders>
            <w:vAlign w:val="center"/>
          </w:tcPr>
          <w:p w14:paraId="4D4B186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15D34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5" w:hRule="atLeast"/>
          <w:jc w:val="center"/>
        </w:trPr>
        <w:tc>
          <w:tcPr>
            <w:tcW w:w="2137" w:type="dxa"/>
            <w:tcBorders>
              <w:top w:val="single" w:color="auto" w:sz="4" w:space="0"/>
              <w:left w:val="single" w:color="auto" w:sz="4" w:space="0"/>
              <w:bottom w:val="single" w:color="auto" w:sz="4" w:space="0"/>
              <w:right w:val="single" w:color="auto" w:sz="4" w:space="0"/>
            </w:tcBorders>
            <w:vAlign w:val="center"/>
          </w:tcPr>
          <w:p w14:paraId="01042EE4">
            <w:pPr>
              <w:spacing w:line="264" w:lineRule="auto"/>
              <w:jc w:val="center"/>
              <w:rPr>
                <w:rFonts w:hint="eastAsia" w:ascii="宋体" w:hAnsi="宋体" w:cs="宋体"/>
                <w:color w:val="auto"/>
                <w:szCs w:val="21"/>
                <w:highlight w:val="none"/>
              </w:rPr>
            </w:pPr>
            <w:r>
              <w:rPr>
                <w:rFonts w:hint="eastAsia" w:ascii="宋体" w:hAnsi="宋体" w:cs="宋体"/>
                <w:color w:val="auto"/>
                <w:szCs w:val="21"/>
                <w:highlight w:val="none"/>
              </w:rPr>
              <w:t>★3、付款条件</w:t>
            </w:r>
          </w:p>
          <w:p w14:paraId="1411E6AF">
            <w:pPr>
              <w:spacing w:line="264" w:lineRule="auto"/>
              <w:jc w:val="center"/>
              <w:rPr>
                <w:rFonts w:ascii="宋体" w:hAnsi="宋体" w:cs="宋体"/>
                <w:color w:val="auto"/>
                <w:szCs w:val="21"/>
                <w:highlight w:val="none"/>
              </w:rPr>
            </w:pPr>
          </w:p>
        </w:tc>
        <w:tc>
          <w:tcPr>
            <w:tcW w:w="6342" w:type="dxa"/>
            <w:tcBorders>
              <w:top w:val="single" w:color="auto" w:sz="4" w:space="0"/>
              <w:left w:val="single" w:color="auto" w:sz="4" w:space="0"/>
              <w:bottom w:val="single" w:color="auto" w:sz="4" w:space="0"/>
              <w:right w:val="single" w:color="auto" w:sz="4" w:space="0"/>
            </w:tcBorders>
            <w:vAlign w:val="center"/>
          </w:tcPr>
          <w:p w14:paraId="3E8B94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本项目</w:t>
            </w:r>
            <w:r>
              <w:rPr>
                <w:rFonts w:hint="eastAsia" w:ascii="宋体" w:hAnsi="宋体" w:cs="宋体"/>
                <w:color w:val="auto"/>
                <w:szCs w:val="21"/>
                <w:highlight w:val="none"/>
              </w:rPr>
              <w:t>计划进行</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次预算执行审计</w:t>
            </w:r>
            <w:r>
              <w:rPr>
                <w:rFonts w:hint="eastAsia" w:ascii="宋体" w:hAnsi="宋体" w:cs="宋体"/>
                <w:color w:val="auto"/>
                <w:szCs w:val="21"/>
                <w:highlight w:val="none"/>
                <w:lang w:val="en-US" w:eastAsia="zh-CN"/>
              </w:rPr>
              <w:t>并进行</w:t>
            </w:r>
            <w:r>
              <w:rPr>
                <w:rFonts w:hint="eastAsia" w:ascii="宋体" w:hAnsi="宋体" w:cs="宋体"/>
                <w:color w:val="auto"/>
                <w:szCs w:val="21"/>
                <w:highlight w:val="none"/>
              </w:rPr>
              <w:t>结</w:t>
            </w:r>
            <w:r>
              <w:rPr>
                <w:rFonts w:hint="eastAsia" w:ascii="宋体" w:hAnsi="宋体" w:cs="宋体"/>
                <w:color w:val="auto"/>
                <w:szCs w:val="21"/>
                <w:highlight w:val="none"/>
                <w:lang w:eastAsia="zh-CN"/>
              </w:rPr>
              <w:t>（</w:t>
            </w:r>
            <w:r>
              <w:rPr>
                <w:rFonts w:hint="eastAsia" w:ascii="宋体" w:hAnsi="宋体" w:cs="宋体"/>
                <w:color w:val="auto"/>
                <w:szCs w:val="21"/>
                <w:highlight w:val="none"/>
              </w:rPr>
              <w:t>决</w:t>
            </w:r>
            <w:r>
              <w:rPr>
                <w:rFonts w:hint="eastAsia" w:ascii="宋体" w:hAnsi="宋体" w:cs="宋体"/>
                <w:color w:val="auto"/>
                <w:szCs w:val="21"/>
                <w:highlight w:val="none"/>
                <w:lang w:eastAsia="zh-CN"/>
              </w:rPr>
              <w:t>）</w:t>
            </w:r>
            <w:r>
              <w:rPr>
                <w:rFonts w:hint="eastAsia" w:ascii="宋体" w:hAnsi="宋体" w:cs="宋体"/>
                <w:color w:val="auto"/>
                <w:szCs w:val="21"/>
                <w:highlight w:val="none"/>
              </w:rPr>
              <w:t>算审计</w:t>
            </w:r>
            <w:r>
              <w:rPr>
                <w:rFonts w:hint="eastAsia" w:ascii="宋体" w:hAnsi="宋体" w:cs="宋体"/>
                <w:color w:val="auto"/>
                <w:szCs w:val="21"/>
                <w:highlight w:val="none"/>
                <w:lang w:eastAsia="zh-CN"/>
              </w:rPr>
              <w:t>。</w:t>
            </w:r>
          </w:p>
          <w:p w14:paraId="69D1775B">
            <w:pPr>
              <w:pStyle w:val="43"/>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在合同生效以及具备实施条件后7个工作日内，采购人凭中标人开具的发票及预付款保函支付合同金额的40%（预付款保函应由银行、保险公司等金融机构出具且与预付款同等金额），中标人于合同签订前书面承诺放弃预付款或降低预付款支付比例的，可不适用本条款；</w:t>
            </w:r>
          </w:p>
          <w:p w14:paraId="75B5F034">
            <w:pPr>
              <w:pStyle w:val="43"/>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完成</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次预算执行审计（出具审计报告）后支付合同款的20%</w:t>
            </w:r>
            <w:r>
              <w:rPr>
                <w:rFonts w:hint="eastAsia" w:ascii="宋体" w:hAnsi="宋体" w:cs="宋体"/>
                <w:color w:val="auto"/>
                <w:szCs w:val="21"/>
                <w:highlight w:val="none"/>
                <w:lang w:eastAsia="zh-CN"/>
              </w:rPr>
              <w:t>（若</w:t>
            </w:r>
            <w:r>
              <w:rPr>
                <w:rFonts w:hint="eastAsia" w:ascii="宋体" w:hAnsi="宋体" w:cs="宋体"/>
                <w:color w:val="auto"/>
                <w:szCs w:val="21"/>
                <w:highlight w:val="none"/>
                <w:lang w:val="en-US" w:eastAsia="zh-CN"/>
              </w:rPr>
              <w:t>中标人于合同签订前书面承诺放弃预付款的，本次支付</w:t>
            </w:r>
            <w:r>
              <w:rPr>
                <w:rFonts w:hint="eastAsia" w:ascii="宋体" w:hAnsi="宋体" w:cs="宋体"/>
                <w:color w:val="auto"/>
                <w:szCs w:val="21"/>
                <w:highlight w:val="none"/>
              </w:rPr>
              <w:t>合同款的</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w:t>
            </w:r>
          </w:p>
          <w:p w14:paraId="4E47AB39">
            <w:pPr>
              <w:pStyle w:val="43"/>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完成项目竣工结（决）算，出具竣工决算审计报告后支付合同款的40%</w:t>
            </w:r>
            <w:r>
              <w:rPr>
                <w:rFonts w:hint="eastAsia" w:ascii="宋体" w:hAnsi="宋体" w:cs="宋体"/>
                <w:color w:val="auto"/>
                <w:szCs w:val="21"/>
                <w:highlight w:val="none"/>
                <w:lang w:val="en-US" w:eastAsia="zh-CN"/>
              </w:rPr>
              <w:t>。</w:t>
            </w:r>
          </w:p>
        </w:tc>
      </w:tr>
      <w:tr w14:paraId="55783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2137" w:type="dxa"/>
            <w:tcBorders>
              <w:top w:val="single" w:color="auto" w:sz="4" w:space="0"/>
              <w:left w:val="single" w:color="auto" w:sz="4" w:space="0"/>
              <w:bottom w:val="single" w:color="auto" w:sz="4" w:space="0"/>
              <w:right w:val="single" w:color="auto" w:sz="4" w:space="0"/>
            </w:tcBorders>
            <w:vAlign w:val="center"/>
          </w:tcPr>
          <w:p w14:paraId="476576B4">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、履约保证金</w:t>
            </w:r>
          </w:p>
        </w:tc>
        <w:tc>
          <w:tcPr>
            <w:tcW w:w="6342" w:type="dxa"/>
            <w:tcBorders>
              <w:top w:val="single" w:color="auto" w:sz="4" w:space="0"/>
              <w:left w:val="single" w:color="auto" w:sz="4" w:space="0"/>
              <w:bottom w:val="single" w:color="auto" w:sz="4" w:space="0"/>
              <w:right w:val="single" w:color="auto" w:sz="4" w:space="0"/>
            </w:tcBorders>
            <w:vAlign w:val="center"/>
          </w:tcPr>
          <w:p w14:paraId="141C30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无</w:t>
            </w:r>
          </w:p>
        </w:tc>
      </w:tr>
    </w:tbl>
    <w:p w14:paraId="06DED59D">
      <w:pPr>
        <w:widowControl/>
        <w:jc w:val="left"/>
        <w:rPr>
          <w:rFonts w:cs="仿宋" w:asciiTheme="minorEastAsia" w:hAnsiTheme="minorEastAsia" w:eastAsiaTheme="minorEastAsia"/>
          <w:color w:val="auto"/>
          <w:sz w:val="24"/>
          <w:szCs w:val="28"/>
          <w:highlight w:val="none"/>
        </w:rPr>
      </w:pPr>
      <w:r>
        <w:rPr>
          <w:rFonts w:cs="仿宋" w:asciiTheme="minorEastAsia" w:hAnsiTheme="minorEastAsia" w:eastAsiaTheme="minorEastAsia"/>
          <w:color w:val="auto"/>
          <w:sz w:val="24"/>
          <w:szCs w:val="28"/>
          <w:highlight w:val="none"/>
        </w:rPr>
        <w:br w:type="page"/>
      </w:r>
    </w:p>
    <w:p w14:paraId="11447B7B">
      <w:pPr>
        <w:spacing w:line="360" w:lineRule="auto"/>
        <w:jc w:val="left"/>
        <w:outlineLvl w:val="2"/>
        <w:rPr>
          <w:rFonts w:cs="仿宋" w:asciiTheme="minorEastAsia" w:hAnsiTheme="minorEastAsia" w:eastAsiaTheme="minorEastAsia"/>
          <w:color w:val="auto"/>
          <w:sz w:val="24"/>
          <w:szCs w:val="28"/>
          <w:highlight w:val="none"/>
        </w:rPr>
      </w:pPr>
      <w:bookmarkStart w:id="36" w:name="_Toc136017643"/>
      <w:bookmarkStart w:id="37" w:name="_Toc8046"/>
      <w:bookmarkStart w:id="38" w:name="_Toc136345091"/>
      <w:r>
        <w:rPr>
          <w:rFonts w:hint="eastAsia" w:cs="仿宋" w:asciiTheme="minorEastAsia" w:hAnsiTheme="minorEastAsia" w:eastAsiaTheme="minorEastAsia"/>
          <w:color w:val="auto"/>
          <w:sz w:val="24"/>
          <w:szCs w:val="28"/>
          <w:highlight w:val="none"/>
        </w:rPr>
        <w:t>二、技术要求</w:t>
      </w:r>
      <w:bookmarkEnd w:id="36"/>
      <w:bookmarkEnd w:id="37"/>
      <w:bookmarkEnd w:id="38"/>
    </w:p>
    <w:p w14:paraId="685DB2BE">
      <w:pPr>
        <w:spacing w:line="360" w:lineRule="auto"/>
        <w:outlineLvl w:val="0"/>
        <w:rPr>
          <w:rFonts w:hint="eastAsia" w:ascii="宋体" w:hAnsi="宋体" w:cs="宋体"/>
          <w:b/>
          <w:color w:val="auto"/>
          <w:szCs w:val="21"/>
          <w:highlight w:val="none"/>
        </w:rPr>
      </w:pPr>
      <w:bookmarkStart w:id="39" w:name="_Toc136017644"/>
      <w:bookmarkStart w:id="40" w:name="_Toc136345092"/>
      <w:bookmarkStart w:id="41" w:name="_Toc13053"/>
      <w:r>
        <w:rPr>
          <w:rFonts w:hint="eastAsia" w:ascii="宋体" w:hAnsi="宋体" w:cs="黑体"/>
          <w:b/>
          <w:bCs/>
          <w:color w:val="auto"/>
          <w:szCs w:val="21"/>
          <w:highlight w:val="none"/>
        </w:rPr>
        <w:t>（一）</w:t>
      </w:r>
      <w:bookmarkEnd w:id="39"/>
      <w:bookmarkEnd w:id="40"/>
      <w:bookmarkEnd w:id="41"/>
      <w:bookmarkStart w:id="42" w:name="_Toc136017645"/>
      <w:bookmarkStart w:id="43" w:name="_Toc2390"/>
      <w:bookmarkStart w:id="44" w:name="_Toc136345093"/>
      <w:r>
        <w:rPr>
          <w:rFonts w:hint="eastAsia" w:ascii="宋体" w:hAnsi="宋体" w:cs="宋体"/>
          <w:b/>
          <w:color w:val="auto"/>
          <w:szCs w:val="21"/>
          <w:highlight w:val="none"/>
        </w:rPr>
        <w:t>项目范围</w:t>
      </w:r>
      <w:bookmarkEnd w:id="42"/>
      <w:bookmarkEnd w:id="43"/>
      <w:bookmarkEnd w:id="44"/>
      <w:bookmarkStart w:id="45" w:name="_Toc136017646"/>
      <w:bookmarkStart w:id="46" w:name="_Toc32138"/>
      <w:bookmarkStart w:id="47" w:name="_Toc136345094"/>
    </w:p>
    <w:p w14:paraId="5E2239BD">
      <w:pPr>
        <w:spacing w:line="360" w:lineRule="auto"/>
        <w:ind w:firstLine="420" w:firstLineChars="200"/>
        <w:outlineLvl w:val="0"/>
        <w:rPr>
          <w:rFonts w:hint="default"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北仑区东海实验学校庐南校区项目概算总投资约111470.74万元，其中工程费用约54669.18万元。建设地点：位于北仑区大碶街道庐山西路以南、大浦河北路以西地块，总用地面积约59094平方米（88.6亩）。该项目拟新建15班规模幼儿园一所，54班规模九年一贯制学校一所并预留9班扩班条件，项目总建筑面积约81910平方米（其中幼儿园建筑面积约7300平方米，九年一贯制学校建筑面积约44610平方米，地下停车场建筑面积约30000平方米）。幼儿园主要建设内容为活动及辅助用房、办公及辅助用房，生活用房及相关配套设施。九年一贯制学校主要建设内容为普通教室、专用教室及辅助用房、公共教学用房、行政办公用房、生活服务用房及相关配套设施。   </w:t>
      </w:r>
    </w:p>
    <w:bookmarkEnd w:id="45"/>
    <w:bookmarkEnd w:id="46"/>
    <w:bookmarkEnd w:id="47"/>
    <w:p w14:paraId="18637A40">
      <w:pPr>
        <w:numPr>
          <w:ilvl w:val="0"/>
          <w:numId w:val="0"/>
        </w:numPr>
        <w:spacing w:line="360" w:lineRule="auto"/>
        <w:rPr>
          <w:rFonts w:ascii="宋体" w:hAnsi="宋体" w:cs="宋体"/>
          <w:b/>
          <w:color w:val="auto"/>
          <w:szCs w:val="21"/>
          <w:highlight w:val="none"/>
        </w:rPr>
      </w:pPr>
      <w:r>
        <w:rPr>
          <w:rFonts w:ascii="宋体" w:hAnsi="宋体"/>
          <w:b/>
          <w:color w:val="auto"/>
          <w:sz w:val="21"/>
          <w:szCs w:val="21"/>
          <w:highlight w:val="none"/>
        </w:rPr>
        <w:t>★</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二</w:t>
      </w:r>
      <w:r>
        <w:rPr>
          <w:rFonts w:hint="eastAsia" w:ascii="宋体" w:hAnsi="宋体"/>
          <w:b/>
          <w:color w:val="auto"/>
          <w:sz w:val="21"/>
          <w:szCs w:val="21"/>
          <w:highlight w:val="none"/>
          <w:lang w:eastAsia="zh-CN"/>
        </w:rPr>
        <w:t>）</w:t>
      </w:r>
      <w:r>
        <w:rPr>
          <w:rFonts w:hint="eastAsia" w:ascii="宋体" w:hAnsi="宋体" w:cs="宋体"/>
          <w:b/>
          <w:color w:val="auto"/>
          <w:szCs w:val="21"/>
          <w:highlight w:val="none"/>
        </w:rPr>
        <w:t>人员基本配置</w:t>
      </w:r>
    </w:p>
    <w:tbl>
      <w:tblPr>
        <w:tblStyle w:val="34"/>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742"/>
        <w:gridCol w:w="829"/>
        <w:gridCol w:w="693"/>
        <w:gridCol w:w="1077"/>
        <w:gridCol w:w="1039"/>
        <w:gridCol w:w="2154"/>
        <w:gridCol w:w="743"/>
      </w:tblGrid>
      <w:tr w14:paraId="0F00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033" w:type="dxa"/>
            <w:vMerge w:val="restart"/>
            <w:noWrap w:val="0"/>
            <w:vAlign w:val="center"/>
          </w:tcPr>
          <w:p w14:paraId="28DC8884">
            <w:pPr>
              <w:jc w:val="center"/>
              <w:rPr>
                <w:rFonts w:ascii="宋体" w:hAnsi="宋体" w:cs="宋体"/>
                <w:b/>
                <w:color w:val="auto"/>
                <w:szCs w:val="21"/>
                <w:highlight w:val="none"/>
              </w:rPr>
            </w:pPr>
            <w:r>
              <w:rPr>
                <w:rFonts w:hint="eastAsia" w:ascii="宋体" w:hAnsi="宋体" w:cs="宋体"/>
                <w:b/>
                <w:color w:val="auto"/>
                <w:szCs w:val="21"/>
                <w:highlight w:val="none"/>
              </w:rPr>
              <w:t>建设项目</w:t>
            </w:r>
          </w:p>
        </w:tc>
        <w:tc>
          <w:tcPr>
            <w:tcW w:w="4380" w:type="dxa"/>
            <w:gridSpan w:val="5"/>
            <w:noWrap w:val="0"/>
            <w:vAlign w:val="center"/>
          </w:tcPr>
          <w:p w14:paraId="1E3CA6D1">
            <w:pPr>
              <w:jc w:val="center"/>
              <w:rPr>
                <w:rFonts w:ascii="宋体" w:hAnsi="宋体" w:cs="宋体"/>
                <w:b/>
                <w:color w:val="auto"/>
                <w:szCs w:val="21"/>
                <w:highlight w:val="none"/>
              </w:rPr>
            </w:pPr>
            <w:r>
              <w:rPr>
                <w:rFonts w:hint="eastAsia" w:ascii="宋体" w:hAnsi="宋体" w:cs="宋体"/>
                <w:b/>
                <w:color w:val="auto"/>
                <w:szCs w:val="21"/>
                <w:highlight w:val="none"/>
              </w:rPr>
              <w:t>各专业人员配置要求（单位：人）</w:t>
            </w:r>
          </w:p>
        </w:tc>
        <w:tc>
          <w:tcPr>
            <w:tcW w:w="2154" w:type="dxa"/>
            <w:noWrap w:val="0"/>
            <w:vAlign w:val="center"/>
          </w:tcPr>
          <w:p w14:paraId="23D989DA">
            <w:pPr>
              <w:jc w:val="center"/>
              <w:rPr>
                <w:rFonts w:ascii="宋体" w:hAnsi="宋体" w:cs="宋体"/>
                <w:b/>
                <w:color w:val="auto"/>
                <w:szCs w:val="21"/>
                <w:highlight w:val="none"/>
              </w:rPr>
            </w:pPr>
            <w:r>
              <w:rPr>
                <w:rFonts w:hint="eastAsia" w:ascii="宋体" w:hAnsi="宋体" w:cs="宋体"/>
                <w:b/>
                <w:color w:val="auto"/>
                <w:szCs w:val="21"/>
                <w:highlight w:val="none"/>
              </w:rPr>
              <w:t>其中项目主要审计人员数量及专业要求</w:t>
            </w:r>
          </w:p>
        </w:tc>
        <w:tc>
          <w:tcPr>
            <w:tcW w:w="743" w:type="dxa"/>
            <w:vMerge w:val="restart"/>
            <w:noWrap w:val="0"/>
            <w:vAlign w:val="center"/>
          </w:tcPr>
          <w:p w14:paraId="51CC7D88">
            <w:pPr>
              <w:jc w:val="center"/>
              <w:rPr>
                <w:rFonts w:ascii="宋体" w:hAnsi="宋体" w:cs="宋体"/>
                <w:b/>
                <w:color w:val="auto"/>
                <w:szCs w:val="21"/>
                <w:highlight w:val="none"/>
              </w:rPr>
            </w:pPr>
            <w:r>
              <w:rPr>
                <w:rFonts w:hint="eastAsia" w:ascii="宋体" w:hAnsi="宋体" w:cs="宋体"/>
                <w:b/>
                <w:color w:val="auto"/>
                <w:szCs w:val="21"/>
                <w:highlight w:val="none"/>
              </w:rPr>
              <w:t>人员总数</w:t>
            </w:r>
          </w:p>
        </w:tc>
      </w:tr>
      <w:tr w14:paraId="63BE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033" w:type="dxa"/>
            <w:vMerge w:val="continue"/>
            <w:noWrap w:val="0"/>
            <w:vAlign w:val="center"/>
          </w:tcPr>
          <w:p w14:paraId="1B806524">
            <w:pPr>
              <w:rPr>
                <w:rFonts w:ascii="宋体" w:hAnsi="宋体" w:cs="宋体"/>
                <w:b/>
                <w:color w:val="auto"/>
                <w:szCs w:val="21"/>
                <w:highlight w:val="none"/>
              </w:rPr>
            </w:pPr>
          </w:p>
        </w:tc>
        <w:tc>
          <w:tcPr>
            <w:tcW w:w="742" w:type="dxa"/>
            <w:noWrap w:val="0"/>
            <w:vAlign w:val="center"/>
          </w:tcPr>
          <w:p w14:paraId="65ACE146">
            <w:pPr>
              <w:jc w:val="center"/>
              <w:rPr>
                <w:rFonts w:ascii="宋体" w:hAnsi="宋体" w:cs="宋体"/>
                <w:b/>
                <w:color w:val="auto"/>
                <w:szCs w:val="21"/>
                <w:highlight w:val="none"/>
              </w:rPr>
            </w:pPr>
            <w:r>
              <w:rPr>
                <w:rFonts w:hint="eastAsia" w:ascii="宋体" w:hAnsi="宋体" w:cs="宋体"/>
                <w:b/>
                <w:color w:val="auto"/>
                <w:szCs w:val="21"/>
                <w:highlight w:val="none"/>
              </w:rPr>
              <w:t>建筑</w:t>
            </w:r>
          </w:p>
        </w:tc>
        <w:tc>
          <w:tcPr>
            <w:tcW w:w="829" w:type="dxa"/>
            <w:noWrap w:val="0"/>
            <w:vAlign w:val="center"/>
          </w:tcPr>
          <w:p w14:paraId="4F08A106">
            <w:pPr>
              <w:jc w:val="center"/>
              <w:rPr>
                <w:rFonts w:ascii="宋体" w:hAnsi="宋体" w:cs="宋体"/>
                <w:b/>
                <w:color w:val="auto"/>
                <w:szCs w:val="21"/>
                <w:highlight w:val="none"/>
              </w:rPr>
            </w:pPr>
            <w:r>
              <w:rPr>
                <w:rFonts w:hint="eastAsia" w:ascii="宋体" w:hAnsi="宋体" w:cs="宋体"/>
                <w:b/>
                <w:color w:val="auto"/>
                <w:szCs w:val="21"/>
                <w:highlight w:val="none"/>
              </w:rPr>
              <w:t>安装</w:t>
            </w:r>
          </w:p>
        </w:tc>
        <w:tc>
          <w:tcPr>
            <w:tcW w:w="693" w:type="dxa"/>
            <w:noWrap w:val="0"/>
            <w:vAlign w:val="center"/>
          </w:tcPr>
          <w:p w14:paraId="32CFD458">
            <w:pPr>
              <w:jc w:val="center"/>
              <w:rPr>
                <w:rFonts w:ascii="宋体" w:hAnsi="宋体" w:cs="宋体"/>
                <w:b/>
                <w:color w:val="auto"/>
                <w:szCs w:val="21"/>
                <w:highlight w:val="none"/>
              </w:rPr>
            </w:pPr>
            <w:r>
              <w:rPr>
                <w:rFonts w:hint="eastAsia" w:ascii="宋体" w:hAnsi="宋体" w:cs="宋体"/>
                <w:b/>
                <w:color w:val="auto"/>
                <w:szCs w:val="21"/>
                <w:highlight w:val="none"/>
              </w:rPr>
              <w:t>市政</w:t>
            </w:r>
          </w:p>
        </w:tc>
        <w:tc>
          <w:tcPr>
            <w:tcW w:w="1077" w:type="dxa"/>
            <w:noWrap w:val="0"/>
            <w:vAlign w:val="center"/>
          </w:tcPr>
          <w:p w14:paraId="2C648C42">
            <w:pPr>
              <w:jc w:val="center"/>
              <w:rPr>
                <w:rFonts w:ascii="宋体" w:hAnsi="宋体" w:cs="宋体"/>
                <w:b/>
                <w:color w:val="auto"/>
                <w:szCs w:val="21"/>
                <w:highlight w:val="none"/>
              </w:rPr>
            </w:pPr>
            <w:r>
              <w:rPr>
                <w:rFonts w:hint="eastAsia" w:ascii="宋体" w:hAnsi="宋体" w:cs="宋体"/>
                <w:b/>
                <w:color w:val="auto"/>
                <w:szCs w:val="21"/>
                <w:highlight w:val="none"/>
              </w:rPr>
              <w:t>园林绿化</w:t>
            </w:r>
          </w:p>
        </w:tc>
        <w:tc>
          <w:tcPr>
            <w:tcW w:w="1039" w:type="dxa"/>
            <w:noWrap w:val="0"/>
            <w:vAlign w:val="center"/>
          </w:tcPr>
          <w:p w14:paraId="5F2DCF0D">
            <w:pPr>
              <w:jc w:val="center"/>
              <w:rPr>
                <w:rFonts w:ascii="宋体" w:hAnsi="宋体" w:cs="宋体"/>
                <w:b/>
                <w:color w:val="auto"/>
                <w:szCs w:val="21"/>
                <w:highlight w:val="none"/>
              </w:rPr>
            </w:pPr>
            <w:r>
              <w:rPr>
                <w:rFonts w:hint="eastAsia" w:ascii="宋体" w:hAnsi="宋体" w:cs="宋体"/>
                <w:b/>
                <w:color w:val="auto"/>
                <w:szCs w:val="21"/>
                <w:highlight w:val="none"/>
              </w:rPr>
              <w:t>财务</w:t>
            </w:r>
          </w:p>
        </w:tc>
        <w:tc>
          <w:tcPr>
            <w:tcW w:w="2154" w:type="dxa"/>
            <w:noWrap w:val="0"/>
            <w:vAlign w:val="center"/>
          </w:tcPr>
          <w:p w14:paraId="0C52F898">
            <w:pPr>
              <w:jc w:val="center"/>
              <w:rPr>
                <w:rFonts w:ascii="宋体" w:hAnsi="宋体" w:cs="宋体"/>
                <w:b/>
                <w:color w:val="auto"/>
                <w:szCs w:val="21"/>
                <w:highlight w:val="none"/>
              </w:rPr>
            </w:pPr>
            <w:r>
              <w:rPr>
                <w:rFonts w:hint="eastAsia" w:ascii="宋体" w:hAnsi="宋体" w:cs="宋体"/>
                <w:b/>
                <w:color w:val="auto"/>
                <w:szCs w:val="21"/>
                <w:highlight w:val="none"/>
              </w:rPr>
              <w:t>项目负责人</w:t>
            </w:r>
          </w:p>
        </w:tc>
        <w:tc>
          <w:tcPr>
            <w:tcW w:w="743" w:type="dxa"/>
            <w:vMerge w:val="continue"/>
            <w:noWrap w:val="0"/>
            <w:vAlign w:val="center"/>
          </w:tcPr>
          <w:p w14:paraId="77D1ECEC">
            <w:pPr>
              <w:jc w:val="center"/>
              <w:rPr>
                <w:rFonts w:ascii="宋体" w:hAnsi="宋体" w:cs="宋体"/>
                <w:b/>
                <w:color w:val="auto"/>
                <w:szCs w:val="21"/>
                <w:highlight w:val="none"/>
              </w:rPr>
            </w:pPr>
          </w:p>
        </w:tc>
      </w:tr>
      <w:tr w14:paraId="236A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033" w:type="dxa"/>
            <w:noWrap w:val="0"/>
            <w:vAlign w:val="center"/>
          </w:tcPr>
          <w:p w14:paraId="01E62C56">
            <w:pPr>
              <w:jc w:val="center"/>
              <w:rPr>
                <w:rFonts w:hint="default" w:ascii="宋体" w:hAnsi="宋体" w:cs="宋体"/>
                <w:color w:val="auto"/>
                <w:kern w:val="0"/>
                <w:szCs w:val="21"/>
                <w:highlight w:val="none"/>
                <w:lang w:val="en-US"/>
              </w:rPr>
            </w:pPr>
            <w:r>
              <w:rPr>
                <w:rFonts w:hint="eastAsia" w:ascii="宋体" w:hAnsi="宋体" w:eastAsia="宋体" w:cs="宋体"/>
                <w:color w:val="auto"/>
                <w:szCs w:val="21"/>
                <w:highlight w:val="none"/>
                <w:lang w:eastAsia="zh-CN"/>
              </w:rPr>
              <w:t>北仑区东海实验学校庐南校区项目</w:t>
            </w:r>
          </w:p>
        </w:tc>
        <w:tc>
          <w:tcPr>
            <w:tcW w:w="742" w:type="dxa"/>
            <w:noWrap w:val="0"/>
            <w:vAlign w:val="center"/>
          </w:tcPr>
          <w:p w14:paraId="3F1E9E22">
            <w:pPr>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≥4</w:t>
            </w:r>
          </w:p>
        </w:tc>
        <w:tc>
          <w:tcPr>
            <w:tcW w:w="829" w:type="dxa"/>
            <w:noWrap w:val="0"/>
            <w:vAlign w:val="center"/>
          </w:tcPr>
          <w:p w14:paraId="62832D48">
            <w:pPr>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1</w:t>
            </w:r>
          </w:p>
        </w:tc>
        <w:tc>
          <w:tcPr>
            <w:tcW w:w="693" w:type="dxa"/>
            <w:noWrap w:val="0"/>
            <w:vAlign w:val="center"/>
          </w:tcPr>
          <w:p w14:paraId="45A0C729">
            <w:pPr>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≥1</w:t>
            </w:r>
          </w:p>
        </w:tc>
        <w:tc>
          <w:tcPr>
            <w:tcW w:w="1077" w:type="dxa"/>
            <w:noWrap w:val="0"/>
            <w:vAlign w:val="center"/>
          </w:tcPr>
          <w:p w14:paraId="25D34731">
            <w:pPr>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≥1</w:t>
            </w:r>
          </w:p>
        </w:tc>
        <w:tc>
          <w:tcPr>
            <w:tcW w:w="1039" w:type="dxa"/>
            <w:noWrap w:val="0"/>
            <w:vAlign w:val="bottom"/>
          </w:tcPr>
          <w:p w14:paraId="27459662">
            <w:pPr>
              <w:jc w:val="center"/>
              <w:rPr>
                <w:rFonts w:hint="eastAsia" w:ascii="宋体" w:hAnsi="宋体" w:eastAsia="宋体" w:cs="宋体"/>
                <w:b/>
                <w:bCs/>
                <w:color w:val="auto"/>
                <w:szCs w:val="21"/>
                <w:highlight w:val="none"/>
                <w:lang w:eastAsia="zh-CN"/>
              </w:rPr>
            </w:pPr>
            <w:r>
              <w:rPr>
                <w:rFonts w:hint="eastAsia" w:ascii="宋体" w:hAnsi="宋体" w:cs="宋体"/>
                <w:b/>
                <w:color w:val="auto"/>
                <w:szCs w:val="21"/>
                <w:highlight w:val="none"/>
                <w:lang w:val="en-US" w:eastAsia="zh-CN"/>
              </w:rPr>
              <w:t>≥</w:t>
            </w:r>
            <w:r>
              <w:rPr>
                <w:rFonts w:hint="eastAsia" w:ascii="宋体" w:hAnsi="宋体" w:cs="宋体"/>
                <w:b/>
                <w:bCs/>
                <w:color w:val="auto"/>
                <w:szCs w:val="21"/>
                <w:highlight w:val="none"/>
                <w:lang w:val="en-US" w:eastAsia="zh-CN"/>
              </w:rPr>
              <w:t>2</w:t>
            </w:r>
          </w:p>
          <w:p w14:paraId="6A109194">
            <w:pPr>
              <w:jc w:val="center"/>
              <w:rPr>
                <w:rFonts w:ascii="宋体" w:hAnsi="宋体" w:cs="宋体"/>
                <w:b/>
                <w:bCs/>
                <w:color w:val="auto"/>
                <w:szCs w:val="21"/>
                <w:highlight w:val="none"/>
              </w:rPr>
            </w:pPr>
          </w:p>
        </w:tc>
        <w:tc>
          <w:tcPr>
            <w:tcW w:w="2154" w:type="dxa"/>
            <w:noWrap w:val="0"/>
            <w:vAlign w:val="center"/>
          </w:tcPr>
          <w:p w14:paraId="68D5F2BA">
            <w:pPr>
              <w:jc w:val="center"/>
              <w:rPr>
                <w:rFonts w:ascii="宋体" w:hAnsi="宋体" w:cs="宋体"/>
                <w:b/>
                <w:bCs/>
                <w:color w:val="auto"/>
                <w:szCs w:val="21"/>
                <w:highlight w:val="none"/>
              </w:rPr>
            </w:pPr>
            <w:r>
              <w:rPr>
                <w:rFonts w:hint="eastAsia" w:ascii="宋体" w:hAnsi="宋体" w:cs="宋体"/>
                <w:b/>
                <w:color w:val="auto"/>
                <w:szCs w:val="21"/>
                <w:highlight w:val="none"/>
                <w:lang w:val="en-US" w:eastAsia="zh-CN"/>
              </w:rPr>
              <w:t>≥</w:t>
            </w:r>
            <w:r>
              <w:rPr>
                <w:rFonts w:hint="eastAsia" w:ascii="宋体" w:hAnsi="宋体" w:cs="宋体"/>
                <w:b/>
                <w:bCs/>
                <w:color w:val="auto"/>
                <w:szCs w:val="21"/>
                <w:highlight w:val="none"/>
              </w:rPr>
              <w:t>1名/建筑专业</w:t>
            </w:r>
          </w:p>
        </w:tc>
        <w:tc>
          <w:tcPr>
            <w:tcW w:w="743" w:type="dxa"/>
            <w:noWrap w:val="0"/>
            <w:vAlign w:val="center"/>
          </w:tcPr>
          <w:p w14:paraId="2968BB99">
            <w:pPr>
              <w:jc w:val="center"/>
              <w:rPr>
                <w:rFonts w:hint="eastAsia" w:ascii="宋体" w:hAnsi="宋体" w:eastAsia="宋体" w:cs="宋体"/>
                <w:b/>
                <w:bCs/>
                <w:color w:val="auto"/>
                <w:szCs w:val="21"/>
                <w:highlight w:val="none"/>
                <w:lang w:eastAsia="zh-CN"/>
              </w:rPr>
            </w:pPr>
            <w:r>
              <w:rPr>
                <w:rFonts w:hint="eastAsia" w:ascii="宋体" w:hAnsi="宋体" w:cs="宋体"/>
                <w:b/>
                <w:color w:val="auto"/>
                <w:szCs w:val="21"/>
                <w:highlight w:val="none"/>
                <w:lang w:val="en-US" w:eastAsia="zh-CN"/>
              </w:rPr>
              <w:t>≥</w:t>
            </w:r>
            <w:r>
              <w:rPr>
                <w:rFonts w:hint="eastAsia" w:ascii="宋体" w:hAnsi="宋体" w:cs="宋体"/>
                <w:b/>
                <w:bCs/>
                <w:color w:val="auto"/>
                <w:szCs w:val="21"/>
                <w:highlight w:val="none"/>
                <w:lang w:val="en-US" w:eastAsia="zh-CN"/>
              </w:rPr>
              <w:t>9</w:t>
            </w:r>
          </w:p>
        </w:tc>
      </w:tr>
    </w:tbl>
    <w:p w14:paraId="6F4FD9F6">
      <w:pPr>
        <w:pStyle w:val="43"/>
        <w:ind w:left="0" w:leftChars="0" w:firstLine="0" w:firstLineChars="0"/>
        <w:rPr>
          <w:color w:val="auto"/>
          <w:highlight w:val="none"/>
        </w:rPr>
      </w:pPr>
      <w:r>
        <w:rPr>
          <w:rFonts w:hint="eastAsia" w:ascii="宋体" w:hAnsi="宋体"/>
          <w:b/>
          <w:bCs/>
          <w:color w:val="auto"/>
          <w:szCs w:val="21"/>
          <w:highlight w:val="none"/>
        </w:rPr>
        <w:t>注：</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、以上人员配置为基本要求，人员不得兼任</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人员配备数量不得少于上述要求</w:t>
      </w:r>
      <w:r>
        <w:rPr>
          <w:rFonts w:hint="eastAsia" w:ascii="宋体" w:hAnsi="宋体"/>
          <w:b/>
          <w:bCs/>
          <w:color w:val="auto"/>
          <w:szCs w:val="21"/>
          <w:highlight w:val="none"/>
        </w:rPr>
        <w:t>。</w:t>
      </w:r>
    </w:p>
    <w:p w14:paraId="7330E280">
      <w:pPr>
        <w:spacing w:line="336" w:lineRule="auto"/>
        <w:ind w:firstLine="420" w:firstLineChars="200"/>
        <w:rPr>
          <w:rFonts w:ascii="宋体" w:hAnsi="宋体"/>
          <w:b/>
          <w:bCs/>
          <w:color w:val="auto"/>
          <w:szCs w:val="21"/>
          <w:highlight w:val="none"/>
        </w:rPr>
      </w:pPr>
      <w:r>
        <w:rPr>
          <w:rFonts w:hint="eastAsia" w:ascii="宋体" w:hAnsi="宋体"/>
          <w:b/>
          <w:bCs/>
          <w:color w:val="auto"/>
          <w:szCs w:val="21"/>
          <w:highlight w:val="none"/>
          <w:lang w:val="en-US" w:eastAsia="zh-CN"/>
        </w:rPr>
        <w:t>2</w:t>
      </w:r>
      <w:r>
        <w:rPr>
          <w:rFonts w:hint="eastAsia" w:ascii="宋体" w:hAnsi="宋体"/>
          <w:b/>
          <w:bCs/>
          <w:color w:val="auto"/>
          <w:szCs w:val="21"/>
          <w:highlight w:val="none"/>
        </w:rPr>
        <w:t>、投标人拟投入人员的数量及专业必须与上表要求的一致（项目负责人已包含在上述人员中），拟投入人员人数少报或专业与上表不一致的，则其投标文件按照无效投标处理。</w:t>
      </w:r>
    </w:p>
    <w:p w14:paraId="5D5F9331">
      <w:pPr>
        <w:spacing w:line="360" w:lineRule="auto"/>
        <w:ind w:firstLine="420" w:firstLineChars="200"/>
        <w:jc w:val="left"/>
        <w:rPr>
          <w:rFonts w:hint="eastAsia" w:ascii="宋体" w:hAnsi="宋体"/>
          <w:b/>
          <w:color w:val="auto"/>
          <w:szCs w:val="21"/>
          <w:highlight w:val="none"/>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rPr>
        <w:t>、人员基本要求：</w:t>
      </w:r>
      <w:r>
        <w:rPr>
          <w:rFonts w:hint="eastAsia" w:ascii="宋体" w:hAnsi="宋体"/>
          <w:b/>
          <w:color w:val="auto"/>
          <w:szCs w:val="21"/>
          <w:highlight w:val="none"/>
        </w:rPr>
        <w:t>工程审计人员必须具有二级</w:t>
      </w:r>
      <w:r>
        <w:rPr>
          <w:rFonts w:hint="eastAsia" w:ascii="宋体" w:hAnsi="宋体"/>
          <w:b/>
          <w:color w:val="auto"/>
          <w:szCs w:val="21"/>
          <w:highlight w:val="none"/>
          <w:lang w:val="en-US" w:eastAsia="zh-CN"/>
        </w:rPr>
        <w:t>及以上</w:t>
      </w:r>
      <w:r>
        <w:rPr>
          <w:rFonts w:hint="eastAsia" w:ascii="宋体" w:hAnsi="宋体"/>
          <w:b/>
          <w:color w:val="auto"/>
          <w:szCs w:val="21"/>
          <w:highlight w:val="none"/>
        </w:rPr>
        <w:t>造价工程师证书；财务审计人员必须具有中级会计师专业职称（投标文件中提供审计人员相关证书、证件的复印件以证明审计人员符合上述要求</w:t>
      </w:r>
      <w:r>
        <w:rPr>
          <w:rFonts w:hint="eastAsia" w:ascii="宋体" w:hAnsi="宋体"/>
          <w:b/>
          <w:bCs/>
          <w:color w:val="auto"/>
          <w:szCs w:val="21"/>
          <w:highlight w:val="none"/>
        </w:rPr>
        <w:t>，否则其投标文件按照无效投标处理）</w:t>
      </w:r>
      <w:r>
        <w:rPr>
          <w:rFonts w:hint="eastAsia" w:ascii="宋体" w:hAnsi="宋体"/>
          <w:b/>
          <w:color w:val="auto"/>
          <w:szCs w:val="21"/>
          <w:highlight w:val="none"/>
        </w:rPr>
        <w:t>。</w:t>
      </w:r>
    </w:p>
    <w:p w14:paraId="25A428EE">
      <w:pPr>
        <w:pStyle w:val="43"/>
        <w:rPr>
          <w:rFonts w:hint="default" w:eastAsia="宋体"/>
          <w:color w:val="auto"/>
          <w:highlight w:val="none"/>
          <w:lang w:val="en-US" w:eastAsia="zh-CN"/>
        </w:rPr>
      </w:pPr>
      <w:r>
        <w:rPr>
          <w:rFonts w:hint="eastAsia" w:ascii="宋体" w:hAnsi="宋体"/>
          <w:b/>
          <w:color w:val="auto"/>
          <w:szCs w:val="21"/>
          <w:highlight w:val="none"/>
          <w:lang w:val="en-US" w:eastAsia="zh-CN"/>
        </w:rPr>
        <w:t>4、要求协审单位驻场，具体时间以北仑区审计局通知为准（不少于一个月）。</w:t>
      </w:r>
    </w:p>
    <w:p w14:paraId="53EEADBE">
      <w:pPr>
        <w:numPr>
          <w:ilvl w:val="0"/>
          <w:numId w:val="0"/>
        </w:numPr>
        <w:spacing w:line="360" w:lineRule="auto"/>
        <w:rPr>
          <w:rFonts w:hint="eastAsia" w:ascii="宋体" w:hAnsi="宋体" w:eastAsia="宋体" w:cs="Times New Roman"/>
          <w:b/>
          <w:color w:val="auto"/>
          <w:sz w:val="21"/>
          <w:szCs w:val="21"/>
          <w:highlight w:val="none"/>
          <w:lang w:eastAsia="zh-CN"/>
        </w:rPr>
      </w:pP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三）</w:t>
      </w:r>
      <w:r>
        <w:rPr>
          <w:rFonts w:hint="eastAsia" w:ascii="宋体" w:hAnsi="宋体" w:eastAsia="宋体" w:cs="Times New Roman"/>
          <w:b/>
          <w:color w:val="auto"/>
          <w:sz w:val="21"/>
          <w:szCs w:val="21"/>
          <w:highlight w:val="none"/>
          <w:lang w:eastAsia="zh-CN"/>
        </w:rPr>
        <w:t>审计范围及内容</w:t>
      </w:r>
    </w:p>
    <w:p w14:paraId="28B40E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北仑区</w:t>
      </w:r>
      <w:r>
        <w:rPr>
          <w:rFonts w:hint="eastAsia" w:ascii="宋体" w:hAnsi="宋体"/>
          <w:color w:val="auto"/>
          <w:szCs w:val="21"/>
          <w:highlight w:val="none"/>
        </w:rPr>
        <w:t>审计局组织协审单位成立的审计组，严格按照《浙江省公共投资项目预算执行审计实施细则》</w:t>
      </w:r>
      <w:r>
        <w:rPr>
          <w:rFonts w:hint="eastAsia" w:ascii="宋体" w:hAnsi="宋体"/>
          <w:color w:val="auto"/>
          <w:szCs w:val="21"/>
          <w:highlight w:val="none"/>
          <w:lang w:eastAsia="zh-CN"/>
        </w:rPr>
        <w:t>《</w:t>
      </w:r>
      <w:r>
        <w:rPr>
          <w:rFonts w:hint="eastAsia" w:ascii="宋体" w:hAnsi="宋体"/>
          <w:color w:val="auto"/>
          <w:szCs w:val="21"/>
          <w:highlight w:val="none"/>
        </w:rPr>
        <w:t>浙江省公共投资项目竣工决算审计实施细则</w:t>
      </w:r>
      <w:r>
        <w:rPr>
          <w:rFonts w:hint="eastAsia" w:ascii="宋体" w:hAnsi="宋体"/>
          <w:color w:val="auto"/>
          <w:szCs w:val="21"/>
          <w:highlight w:val="none"/>
          <w:lang w:eastAsia="zh-CN"/>
        </w:rPr>
        <w:t>》</w:t>
      </w:r>
      <w:r>
        <w:rPr>
          <w:rFonts w:hint="eastAsia" w:ascii="宋体" w:hAnsi="宋体"/>
          <w:color w:val="auto"/>
          <w:szCs w:val="21"/>
          <w:highlight w:val="none"/>
        </w:rPr>
        <w:t>以及</w:t>
      </w:r>
      <w:r>
        <w:rPr>
          <w:rFonts w:hint="eastAsia" w:ascii="宋体" w:hAnsi="宋体"/>
          <w:color w:val="auto"/>
          <w:szCs w:val="21"/>
          <w:highlight w:val="none"/>
          <w:lang w:eastAsia="zh-CN"/>
        </w:rPr>
        <w:t>北仑区</w:t>
      </w:r>
      <w:r>
        <w:rPr>
          <w:rFonts w:hint="eastAsia" w:ascii="宋体" w:hAnsi="宋体"/>
          <w:color w:val="auto"/>
          <w:szCs w:val="21"/>
          <w:highlight w:val="none"/>
        </w:rPr>
        <w:t>审计局批准的审计实施方案进行审计。主要内容如下：</w:t>
      </w:r>
    </w:p>
    <w:p w14:paraId="44B16D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（一）投资决策情况；</w:t>
      </w:r>
    </w:p>
    <w:p w14:paraId="10CCAA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（二）项目涉及行业主管部门履职情况；</w:t>
      </w:r>
    </w:p>
    <w:p w14:paraId="0D3D09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（三）基本建设程序执行情况；</w:t>
      </w:r>
    </w:p>
    <w:p w14:paraId="66DCE7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（四）土地利用和征地拆迁情况；</w:t>
      </w:r>
    </w:p>
    <w:p w14:paraId="0C0892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（五）工程招标投标及合同管理情况；</w:t>
      </w:r>
    </w:p>
    <w:p w14:paraId="483E25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（六）工程质量管理情况；</w:t>
      </w:r>
    </w:p>
    <w:p w14:paraId="4009117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（七）甲供材料设备管理情况；</w:t>
      </w:r>
    </w:p>
    <w:p w14:paraId="551CE2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（八）工程进度控制情况；</w:t>
      </w:r>
    </w:p>
    <w:p w14:paraId="41121D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（九）工程投资控制情况；</w:t>
      </w:r>
    </w:p>
    <w:p w14:paraId="1B2621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（十）项目建设资金管理情况； </w:t>
      </w:r>
    </w:p>
    <w:p w14:paraId="5461D6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（十一）建设单位内部控制情况；</w:t>
      </w:r>
    </w:p>
    <w:p w14:paraId="32EECE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（十二）投资绩效和环境保护情况；</w:t>
      </w:r>
    </w:p>
    <w:p w14:paraId="09C8A1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（十三）工程结算情况；</w:t>
      </w:r>
    </w:p>
    <w:p w14:paraId="0F4E38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（十四）竣工财务决算报表；</w:t>
      </w:r>
    </w:p>
    <w:p w14:paraId="01A0BA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（十五）其他需要审计的内容。</w:t>
      </w:r>
    </w:p>
    <w:p w14:paraId="2AFBDC89">
      <w:pPr>
        <w:spacing w:line="360" w:lineRule="auto"/>
        <w:ind w:firstLine="420" w:firstLineChars="200"/>
        <w:rPr>
          <w:rFonts w:ascii="宋体" w:hAnsi="宋体"/>
          <w:color w:val="auto"/>
          <w:szCs w:val="21"/>
          <w:highlight w:val="none"/>
        </w:rPr>
      </w:pPr>
      <w:r>
        <w:rPr>
          <w:rFonts w:ascii="宋体" w:hAnsi="宋体"/>
          <w:color w:val="auto"/>
          <w:szCs w:val="21"/>
          <w:highlight w:val="none"/>
        </w:rPr>
        <w:t>在</w:t>
      </w:r>
      <w:r>
        <w:rPr>
          <w:rFonts w:hint="eastAsia" w:ascii="宋体" w:hAnsi="宋体"/>
          <w:color w:val="auto"/>
          <w:szCs w:val="21"/>
          <w:highlight w:val="none"/>
        </w:rPr>
        <w:t>实施</w:t>
      </w:r>
      <w:r>
        <w:rPr>
          <w:rFonts w:ascii="宋体" w:hAnsi="宋体"/>
          <w:color w:val="auto"/>
          <w:szCs w:val="21"/>
          <w:highlight w:val="none"/>
        </w:rPr>
        <w:t>项目预算执行审计时，</w:t>
      </w:r>
      <w:r>
        <w:rPr>
          <w:rFonts w:hint="eastAsia" w:ascii="宋体" w:hAnsi="宋体"/>
          <w:color w:val="auto"/>
          <w:szCs w:val="21"/>
          <w:highlight w:val="none"/>
        </w:rPr>
        <w:t>由审计机关</w:t>
      </w:r>
      <w:r>
        <w:rPr>
          <w:rFonts w:ascii="宋体" w:hAnsi="宋体"/>
          <w:color w:val="auto"/>
          <w:szCs w:val="21"/>
          <w:highlight w:val="none"/>
        </w:rPr>
        <w:t>根据审计目标、项目实施进度、审计频次等因素</w:t>
      </w:r>
      <w:r>
        <w:rPr>
          <w:rFonts w:hint="eastAsia" w:ascii="宋体" w:hAnsi="宋体"/>
          <w:color w:val="auto"/>
          <w:szCs w:val="21"/>
          <w:highlight w:val="none"/>
        </w:rPr>
        <w:t>选择上述内容，</w:t>
      </w:r>
      <w:r>
        <w:rPr>
          <w:rFonts w:ascii="宋体" w:hAnsi="宋体"/>
          <w:color w:val="auto"/>
          <w:szCs w:val="21"/>
          <w:highlight w:val="none"/>
        </w:rPr>
        <w:t>确定合适的审计内容</w:t>
      </w:r>
      <w:r>
        <w:rPr>
          <w:rFonts w:hint="eastAsia" w:ascii="宋体" w:hAnsi="宋体"/>
          <w:color w:val="auto"/>
          <w:szCs w:val="21"/>
          <w:highlight w:val="none"/>
        </w:rPr>
        <w:t>，实施审计</w:t>
      </w:r>
      <w:r>
        <w:rPr>
          <w:rFonts w:ascii="宋体" w:hAnsi="宋体"/>
          <w:color w:val="auto"/>
          <w:szCs w:val="21"/>
          <w:highlight w:val="none"/>
        </w:rPr>
        <w:t>。</w:t>
      </w:r>
    </w:p>
    <w:p w14:paraId="4C490A57">
      <w:pPr>
        <w:spacing w:line="360" w:lineRule="auto"/>
        <w:ind w:firstLine="420" w:firstLineChars="200"/>
        <w:rPr>
          <w:rFonts w:eastAsiaTheme="minorEastAsia"/>
          <w:b/>
          <w:bCs/>
          <w:snapToGrid w:val="0"/>
          <w:color w:val="auto"/>
          <w:kern w:val="0"/>
          <w:szCs w:val="21"/>
          <w:highlight w:val="none"/>
        </w:rPr>
      </w:pPr>
      <w:r>
        <w:rPr>
          <w:rFonts w:ascii="宋体" w:hAnsi="宋体"/>
          <w:b/>
          <w:color w:val="auto"/>
          <w:szCs w:val="21"/>
          <w:highlight w:val="none"/>
        </w:rPr>
        <w:t>★</w:t>
      </w:r>
      <w:r>
        <w:rPr>
          <w:rFonts w:eastAsiaTheme="minorEastAsia"/>
          <w:b/>
          <w:bCs/>
          <w:snapToGrid w:val="0"/>
          <w:color w:val="auto"/>
          <w:kern w:val="0"/>
          <w:szCs w:val="21"/>
          <w:highlight w:val="none"/>
        </w:rPr>
        <w:t>（</w:t>
      </w:r>
      <w:r>
        <w:rPr>
          <w:rFonts w:hint="eastAsia" w:eastAsiaTheme="minorEastAsia"/>
          <w:b/>
          <w:bCs/>
          <w:snapToGrid w:val="0"/>
          <w:color w:val="auto"/>
          <w:kern w:val="0"/>
          <w:szCs w:val="21"/>
          <w:highlight w:val="none"/>
          <w:lang w:val="en-US" w:eastAsia="zh-CN"/>
        </w:rPr>
        <w:t>四</w:t>
      </w:r>
      <w:r>
        <w:rPr>
          <w:rFonts w:eastAsiaTheme="minorEastAsia"/>
          <w:b/>
          <w:bCs/>
          <w:snapToGrid w:val="0"/>
          <w:color w:val="auto"/>
          <w:kern w:val="0"/>
          <w:szCs w:val="21"/>
          <w:highlight w:val="none"/>
        </w:rPr>
        <w:t>）协审费用</w:t>
      </w:r>
    </w:p>
    <w:p w14:paraId="6FC3BAC6">
      <w:pPr>
        <w:widowControl/>
        <w:numPr>
          <w:ilvl w:val="0"/>
          <w:numId w:val="1"/>
        </w:numPr>
        <w:spacing w:line="348" w:lineRule="auto"/>
        <w:ind w:firstLine="420" w:firstLineChars="200"/>
        <w:rPr>
          <w:rFonts w:hint="eastAsia"/>
          <w:color w:val="auto"/>
          <w:szCs w:val="21"/>
          <w:highlight w:val="none"/>
        </w:rPr>
      </w:pPr>
      <w:r>
        <w:rPr>
          <w:rFonts w:hint="eastAsia"/>
          <w:color w:val="auto"/>
          <w:szCs w:val="21"/>
          <w:highlight w:val="none"/>
        </w:rPr>
        <w:t>本项目的协审费用采用</w:t>
      </w:r>
      <w:r>
        <w:rPr>
          <w:rFonts w:hint="eastAsia"/>
          <w:b/>
          <w:bCs/>
          <w:color w:val="auto"/>
          <w:szCs w:val="21"/>
          <w:highlight w:val="none"/>
        </w:rPr>
        <w:t>固定总价</w:t>
      </w:r>
      <w:r>
        <w:rPr>
          <w:rFonts w:hint="eastAsia"/>
          <w:color w:val="auto"/>
          <w:szCs w:val="21"/>
          <w:highlight w:val="none"/>
        </w:rPr>
        <w:t>计费方式。投标报价是履行合同的最终价格，即购买服务需缴纳的所有税费及其他一切相关费用，包含但不限于参与服务本项目的所有工作人员的工资及相关费用、办公费、办公场地租用费、差旅交通费、劳动保护费、工具用具使用费、固定资产使用费、技术图书资料费（含软件）、业务招待费、施工现场津贴、竣工验收费和其他管理性质开支。</w:t>
      </w:r>
    </w:p>
    <w:p w14:paraId="560D9A7C">
      <w:pPr>
        <w:spacing w:line="360" w:lineRule="auto"/>
        <w:ind w:firstLine="424" w:firstLineChars="202"/>
        <w:jc w:val="left"/>
        <w:rPr>
          <w:rFonts w:hint="eastAsia" w:eastAsiaTheme="minorEastAsia"/>
          <w:b/>
          <w:snapToGrid w:val="0"/>
          <w:color w:val="auto"/>
          <w:sz w:val="21"/>
          <w:szCs w:val="21"/>
          <w:highlight w:val="none"/>
          <w:lang w:val="en-US" w:eastAsia="zh-CN"/>
        </w:rPr>
      </w:pPr>
      <w:r>
        <w:rPr>
          <w:rFonts w:ascii="宋体" w:hAnsi="宋体"/>
          <w:b/>
          <w:color w:val="auto"/>
          <w:szCs w:val="21"/>
          <w:highlight w:val="none"/>
        </w:rPr>
        <w:t>★</w:t>
      </w:r>
      <w:r>
        <w:rPr>
          <w:rFonts w:hint="eastAsia" w:eastAsiaTheme="minorEastAsia"/>
          <w:b/>
          <w:snapToGrid w:val="0"/>
          <w:color w:val="auto"/>
          <w:sz w:val="21"/>
          <w:szCs w:val="21"/>
          <w:highlight w:val="none"/>
          <w:lang w:val="en-US" w:eastAsia="zh-CN"/>
        </w:rPr>
        <w:t>（五）服务响应要求</w:t>
      </w:r>
    </w:p>
    <w:p w14:paraId="59F08F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ascii="宋体" w:hAnsi="宋体"/>
          <w:b w:val="0"/>
          <w:bCs/>
          <w:color w:val="auto"/>
          <w:szCs w:val="21"/>
          <w:highlight w:val="none"/>
        </w:rPr>
      </w:pPr>
      <w:r>
        <w:rPr>
          <w:rFonts w:hint="eastAsia"/>
          <w:color w:val="auto"/>
          <w:highlight w:val="none"/>
          <w:lang w:val="en-US" w:eastAsia="zh-CN"/>
        </w:rPr>
        <w:t>如果招标人有服务要求的情况下，协审单位必须在1小时以内响应，3小时内到达指定服务地点。协审单位2次无正当理由未及时响应招标人要求的，将被解除所有合同关系。</w:t>
      </w:r>
    </w:p>
    <w:p w14:paraId="4AA5AE8F">
      <w:pPr>
        <w:spacing w:line="360" w:lineRule="auto"/>
        <w:ind w:firstLine="420" w:firstLineChars="200"/>
        <w:rPr>
          <w:rFonts w:ascii="宋体" w:hAnsi="宋体" w:cs="仿宋_GB2312"/>
          <w:color w:val="auto"/>
          <w:szCs w:val="21"/>
          <w:highlight w:val="none"/>
        </w:rPr>
      </w:pPr>
      <w:r>
        <w:rPr>
          <w:rFonts w:hint="eastAsia" w:ascii="宋体" w:hAnsi="宋体" w:cs="仿宋_GB2312"/>
          <w:b/>
          <w:bCs/>
          <w:color w:val="auto"/>
          <w:szCs w:val="21"/>
          <w:highlight w:val="none"/>
        </w:rPr>
        <w:t>注</w:t>
      </w:r>
      <w:r>
        <w:rPr>
          <w:rFonts w:hint="eastAsia" w:ascii="宋体" w:hAnsi="宋体" w:cs="仿宋_GB2312"/>
          <w:color w:val="auto"/>
          <w:szCs w:val="21"/>
          <w:highlight w:val="none"/>
        </w:rPr>
        <w:t>：</w:t>
      </w:r>
    </w:p>
    <w:p w14:paraId="0AE4F29C">
      <w:pPr>
        <w:spacing w:line="360" w:lineRule="auto"/>
        <w:ind w:firstLine="420" w:firstLineChars="200"/>
        <w:rPr>
          <w:rFonts w:ascii="宋体" w:hAnsi="宋体" w:cs="宋体"/>
          <w:color w:val="auto"/>
          <w:szCs w:val="21"/>
          <w:highlight w:val="none"/>
        </w:rPr>
      </w:pPr>
      <w:r>
        <w:rPr>
          <w:rFonts w:ascii="宋体" w:hAnsi="宋体"/>
          <w:b/>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Times New Roman" w:hAnsi="Times New Roman" w:eastAsia="宋体" w:cs="Times New Roman"/>
          <w:color w:val="auto"/>
          <w:szCs w:val="21"/>
          <w:highlight w:val="none"/>
        </w:rPr>
        <w:t>参与过投标标项有关业务（包括施工及材料设备供货单位的招标代理、跟踪咨询服务、清单、预算、结算或决算的编制或审核、代建、监理等相关服务）的单位，不得再参加该标项投标（包括组成联合体参与投标）。</w:t>
      </w:r>
    </w:p>
    <w:p w14:paraId="5B29A7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ascii="宋体" w:hAnsi="宋体" w:cs="宋体"/>
          <w:color w:val="auto"/>
          <w:szCs w:val="21"/>
          <w:highlight w:val="none"/>
        </w:rPr>
        <w:t>如预中标公示期间或中标后发现中标人业绩资料不真实的，则取消其中标资格，确定综合得分排名第二的中标候选人为中标单位。</w:t>
      </w:r>
    </w:p>
    <w:p w14:paraId="1C1D2B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 xml:space="preserve">采购人负责监督合同的执行，协调和处理履约过程中的问题。中标人应本着“客观、公正、合理、科学”的原则，遵守国家法律法规和有关文件规定，正确执行计价依据，正确履行审计职责。对中标人滥用职权、徇私舞弊、玩忽职守的行为，采购人有权按照规定进行处理，情节严重的移交有关部门进行处理。 </w:t>
      </w:r>
    </w:p>
    <w:p w14:paraId="4DA6E8F1">
      <w:pPr>
        <w:spacing w:line="360" w:lineRule="auto"/>
        <w:ind w:firstLine="420" w:firstLineChars="200"/>
        <w:rPr>
          <w:rFonts w:ascii="宋体" w:hAnsi="宋体" w:cs="宋体"/>
          <w:color w:val="auto"/>
          <w:szCs w:val="21"/>
          <w:highlight w:val="none"/>
        </w:rPr>
        <w:sectPr>
          <w:headerReference r:id="rId9" w:type="default"/>
          <w:pgSz w:w="11907" w:h="16840"/>
          <w:pgMar w:top="1276" w:right="1701" w:bottom="1276" w:left="1701" w:header="720" w:footer="720" w:gutter="0"/>
          <w:cols w:space="720" w:num="1"/>
          <w:docGrid w:type="linesAndChars" w:linePitch="285" w:charSpace="0"/>
        </w:sect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、在采购及合同执行过程中，投标人应承担由于其行为所造成的人身伤害、财产损失或损坏的责任，无论何种原因所造成，采购人均不负责。</w:t>
      </w:r>
    </w:p>
    <w:p w14:paraId="5BB8ECAD">
      <w:pPr>
        <w:pStyle w:val="2"/>
        <w:spacing w:beforeLines="0" w:afterLines="0" w:line="360" w:lineRule="auto"/>
        <w:rPr>
          <w:rFonts w:ascii="宋体" w:hAnsi="宋体"/>
          <w:color w:val="auto"/>
          <w:sz w:val="32"/>
          <w:szCs w:val="32"/>
          <w:highlight w:val="none"/>
        </w:rPr>
      </w:pPr>
      <w:bookmarkStart w:id="48" w:name="_Toc298230958"/>
      <w:bookmarkStart w:id="49" w:name="_Toc14705"/>
      <w:r>
        <w:rPr>
          <w:rFonts w:hint="eastAsia" w:ascii="宋体" w:hAnsi="宋体"/>
          <w:color w:val="auto"/>
          <w:sz w:val="32"/>
          <w:szCs w:val="32"/>
          <w:highlight w:val="none"/>
        </w:rPr>
        <w:t>第三部分  投标资料表</w:t>
      </w:r>
      <w:bookmarkEnd w:id="48"/>
      <w:bookmarkEnd w:id="49"/>
    </w:p>
    <w:p w14:paraId="27E7CA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本部分关于本次招标项目的具体要求是对 “投标人须知</w:t>
      </w:r>
      <w:r>
        <w:rPr>
          <w:rFonts w:ascii="宋体" w:hAnsi="宋体"/>
          <w:color w:val="auto"/>
          <w:szCs w:val="21"/>
          <w:highlight w:val="none"/>
        </w:rPr>
        <w:t>”</w:t>
      </w:r>
      <w:r>
        <w:rPr>
          <w:rFonts w:hint="eastAsia" w:ascii="宋体" w:hAnsi="宋体"/>
          <w:color w:val="auto"/>
          <w:szCs w:val="21"/>
          <w:highlight w:val="none"/>
        </w:rPr>
        <w:t>和</w:t>
      </w:r>
      <w:r>
        <w:rPr>
          <w:rFonts w:ascii="宋体" w:hAnsi="宋体"/>
          <w:color w:val="auto"/>
          <w:szCs w:val="21"/>
          <w:highlight w:val="none"/>
        </w:rPr>
        <w:t>“</w:t>
      </w:r>
      <w:r>
        <w:rPr>
          <w:rFonts w:hint="eastAsia" w:ascii="宋体" w:hAnsi="宋体"/>
          <w:color w:val="auto"/>
          <w:szCs w:val="21"/>
          <w:highlight w:val="none"/>
        </w:rPr>
        <w:t>合同格式</w:t>
      </w:r>
      <w:r>
        <w:rPr>
          <w:rFonts w:ascii="宋体" w:hAnsi="宋体"/>
          <w:color w:val="auto"/>
          <w:szCs w:val="21"/>
          <w:highlight w:val="none"/>
        </w:rPr>
        <w:t>”</w:t>
      </w:r>
      <w:r>
        <w:rPr>
          <w:rFonts w:hint="eastAsia" w:ascii="宋体" w:hAnsi="宋体"/>
          <w:color w:val="auto"/>
          <w:szCs w:val="21"/>
          <w:highlight w:val="none"/>
        </w:rPr>
        <w:t>的相关条款的补充和修改，如有矛盾，应以此为准。</w:t>
      </w:r>
    </w:p>
    <w:tbl>
      <w:tblPr>
        <w:tblStyle w:val="34"/>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14:paraId="3B3F279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5307E472">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7512" w:type="dxa"/>
            <w:vAlign w:val="center"/>
          </w:tcPr>
          <w:p w14:paraId="5C885383">
            <w:pPr>
              <w:spacing w:before="143"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r>
      <w:tr w14:paraId="01D71B8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2787ACDE">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7512" w:type="dxa"/>
            <w:vAlign w:val="center"/>
          </w:tcPr>
          <w:p w14:paraId="6FB37ABE">
            <w:pPr>
              <w:spacing w:line="360" w:lineRule="auto"/>
              <w:rPr>
                <w:rFonts w:hint="eastAsia" w:ascii="宋体" w:hAnsi="宋体" w:eastAsia="宋体"/>
                <w:color w:val="auto"/>
                <w:highlight w:val="none"/>
                <w:lang w:eastAsia="zh-CN"/>
              </w:rPr>
            </w:pPr>
            <w:r>
              <w:rPr>
                <w:rFonts w:hint="eastAsia" w:ascii="宋体" w:hAnsi="宋体"/>
                <w:color w:val="auto"/>
                <w:highlight w:val="none"/>
              </w:rPr>
              <w:t>采购人：</w:t>
            </w:r>
            <w:r>
              <w:rPr>
                <w:rFonts w:hint="eastAsia" w:ascii="宋体" w:hAnsi="宋体"/>
                <w:color w:val="auto"/>
                <w:highlight w:val="none"/>
                <w:lang w:eastAsia="zh-CN"/>
              </w:rPr>
              <w:t>宁波市北仑区审计局</w:t>
            </w:r>
          </w:p>
          <w:p w14:paraId="78D16A86">
            <w:pPr>
              <w:spacing w:line="360" w:lineRule="auto"/>
              <w:rPr>
                <w:rFonts w:hint="eastAsia" w:ascii="宋体" w:hAnsi="宋体"/>
                <w:color w:val="auto"/>
                <w:highlight w:val="none"/>
              </w:rPr>
            </w:pPr>
            <w:r>
              <w:rPr>
                <w:rFonts w:hint="eastAsia" w:ascii="宋体" w:hAnsi="宋体"/>
                <w:color w:val="auto"/>
                <w:highlight w:val="none"/>
              </w:rPr>
              <w:t>地址：宁波市北仑区新矸街道四明山路775号A座</w:t>
            </w:r>
          </w:p>
          <w:p w14:paraId="0846E63F">
            <w:pPr>
              <w:spacing w:line="360" w:lineRule="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 xml:space="preserve">电话：0574-89381353 </w:t>
            </w:r>
          </w:p>
          <w:p w14:paraId="05DFFC4B">
            <w:pPr>
              <w:spacing w:line="360" w:lineRule="auto"/>
              <w:rPr>
                <w:rFonts w:hint="eastAsia" w:ascii="宋体" w:hAnsi="宋体" w:eastAsia="宋体" w:cs="宋体"/>
                <w:color w:val="auto"/>
                <w:highlight w:val="none"/>
                <w:lang w:eastAsia="zh-CN"/>
              </w:rPr>
            </w:pPr>
            <w:r>
              <w:rPr>
                <w:rFonts w:hint="eastAsia" w:ascii="宋体" w:hAnsi="宋体" w:cs="Arial"/>
                <w:color w:val="auto"/>
                <w:szCs w:val="21"/>
                <w:highlight w:val="none"/>
                <w:lang w:val="en-US" w:eastAsia="zh-CN"/>
              </w:rPr>
              <w:t xml:space="preserve">联系人：付老师 </w:t>
            </w:r>
          </w:p>
        </w:tc>
      </w:tr>
      <w:tr w14:paraId="5A0C306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72" w:hRule="atLeast"/>
        </w:trPr>
        <w:tc>
          <w:tcPr>
            <w:tcW w:w="1101" w:type="dxa"/>
            <w:vMerge w:val="continue"/>
            <w:vAlign w:val="center"/>
          </w:tcPr>
          <w:p w14:paraId="00008395">
            <w:pPr>
              <w:spacing w:before="143" w:beforeLines="50" w:line="360" w:lineRule="auto"/>
              <w:jc w:val="center"/>
              <w:rPr>
                <w:rFonts w:ascii="宋体" w:hAnsi="宋体" w:cs="宋体"/>
                <w:color w:val="auto"/>
                <w:szCs w:val="21"/>
                <w:highlight w:val="none"/>
              </w:rPr>
            </w:pPr>
          </w:p>
        </w:tc>
        <w:tc>
          <w:tcPr>
            <w:tcW w:w="7512" w:type="dxa"/>
            <w:vAlign w:val="center"/>
          </w:tcPr>
          <w:p w14:paraId="5A583F0A">
            <w:pPr>
              <w:spacing w:line="360" w:lineRule="auto"/>
              <w:rPr>
                <w:rFonts w:hint="eastAsia" w:ascii="宋体" w:hAnsi="宋体" w:cs="Times New Roman"/>
                <w:color w:val="auto"/>
                <w:highlight w:val="none"/>
                <w:lang w:eastAsia="zh-CN"/>
              </w:rPr>
            </w:pPr>
            <w:r>
              <w:rPr>
                <w:rFonts w:hint="eastAsia" w:ascii="宋体" w:hAnsi="宋体" w:cs="Times New Roman"/>
                <w:color w:val="auto"/>
                <w:highlight w:val="none"/>
              </w:rPr>
              <w:t>采购代理机构：浙江诚源工程管理咨询有限公司</w:t>
            </w:r>
          </w:p>
          <w:p w14:paraId="1A1B4676">
            <w:pPr>
              <w:spacing w:line="360" w:lineRule="auto"/>
              <w:rPr>
                <w:rFonts w:hint="eastAsia" w:ascii="宋体" w:hAnsi="宋体" w:eastAsia="宋体" w:cs="Times New Roman"/>
                <w:color w:val="auto"/>
                <w:highlight w:val="none"/>
                <w:lang w:eastAsia="zh-CN"/>
              </w:rPr>
            </w:pPr>
            <w:r>
              <w:rPr>
                <w:rFonts w:hint="eastAsia" w:ascii="宋体" w:hAnsi="宋体" w:cs="Times New Roman"/>
                <w:color w:val="auto"/>
                <w:highlight w:val="none"/>
              </w:rPr>
              <w:t>联系人：李</w:t>
            </w:r>
            <w:r>
              <w:rPr>
                <w:rFonts w:hint="eastAsia" w:ascii="宋体" w:hAnsi="宋体" w:cs="Times New Roman"/>
                <w:color w:val="auto"/>
                <w:highlight w:val="none"/>
                <w:lang w:eastAsia="zh-CN"/>
              </w:rPr>
              <w:t>工</w:t>
            </w:r>
          </w:p>
          <w:p w14:paraId="7D3606A9">
            <w:pPr>
              <w:spacing w:line="360" w:lineRule="auto"/>
              <w:rPr>
                <w:rFonts w:hint="eastAsia" w:ascii="宋体" w:hAnsi="宋体" w:cs="Times New Roman"/>
                <w:color w:val="auto"/>
                <w:highlight w:val="none"/>
              </w:rPr>
            </w:pPr>
            <w:r>
              <w:rPr>
                <w:rFonts w:hint="eastAsia" w:ascii="宋体" w:hAnsi="宋体" w:cs="Times New Roman"/>
                <w:color w:val="auto"/>
                <w:highlight w:val="none"/>
              </w:rPr>
              <w:t>电话：0574-26896671</w:t>
            </w:r>
          </w:p>
          <w:p w14:paraId="5A36C96B">
            <w:pPr>
              <w:spacing w:line="360" w:lineRule="auto"/>
              <w:rPr>
                <w:rFonts w:hint="eastAsia" w:ascii="宋体" w:hAnsi="宋体" w:cs="Times New Roman"/>
                <w:color w:val="auto"/>
                <w:highlight w:val="none"/>
              </w:rPr>
            </w:pPr>
            <w:r>
              <w:rPr>
                <w:rFonts w:hint="eastAsia" w:ascii="宋体" w:hAnsi="宋体" w:cs="Times New Roman"/>
                <w:color w:val="auto"/>
                <w:highlight w:val="none"/>
              </w:rPr>
              <w:t xml:space="preserve">地址：宁波市北仑区灵江路378号仑江大厦14F  </w:t>
            </w:r>
          </w:p>
          <w:p w14:paraId="199988D9">
            <w:pPr>
              <w:spacing w:line="360" w:lineRule="auto"/>
              <w:rPr>
                <w:rFonts w:hint="eastAsia" w:ascii="宋体" w:hAnsi="宋体" w:cs="Times New Roman"/>
                <w:color w:val="auto"/>
                <w:highlight w:val="none"/>
                <w:lang w:val="en-US" w:eastAsia="zh-CN"/>
              </w:rPr>
            </w:pPr>
            <w:r>
              <w:rPr>
                <w:rFonts w:hint="eastAsia" w:ascii="宋体" w:hAnsi="宋体" w:cs="Times New Roman"/>
                <w:color w:val="auto"/>
                <w:highlight w:val="none"/>
              </w:rPr>
              <w:t>邮编：315800</w:t>
            </w:r>
          </w:p>
        </w:tc>
      </w:tr>
      <w:tr w14:paraId="7780068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14:paraId="0015BD76">
            <w:pPr>
              <w:spacing w:before="143" w:beforeLines="50" w:line="360" w:lineRule="auto"/>
              <w:jc w:val="center"/>
              <w:rPr>
                <w:rFonts w:ascii="宋体" w:hAnsi="宋体" w:cs="宋体"/>
                <w:color w:val="auto"/>
                <w:szCs w:val="21"/>
                <w:highlight w:val="none"/>
              </w:rPr>
            </w:pPr>
          </w:p>
        </w:tc>
        <w:tc>
          <w:tcPr>
            <w:tcW w:w="7512" w:type="dxa"/>
            <w:vAlign w:val="center"/>
          </w:tcPr>
          <w:p w14:paraId="74852618">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Theme="minorEastAsia" w:hAnsiTheme="minorEastAsia" w:eastAsiaTheme="minorEastAsia"/>
                <w:color w:val="auto"/>
                <w:szCs w:val="21"/>
                <w:highlight w:val="none"/>
                <w:u w:val="none"/>
                <w:lang w:eastAsia="zh-CN"/>
              </w:rPr>
              <w:t>宁波市北仑区东海实验学校庐南校区2025年度预算执行审计协审服务</w:t>
            </w:r>
          </w:p>
        </w:tc>
      </w:tr>
      <w:tr w14:paraId="435FCE37">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7209C3D">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7512" w:type="dxa"/>
            <w:vAlign w:val="center"/>
          </w:tcPr>
          <w:p w14:paraId="1245B831">
            <w:pPr>
              <w:spacing w:line="360" w:lineRule="auto"/>
              <w:jc w:val="left"/>
              <w:rPr>
                <w:rFonts w:ascii="宋体" w:hAnsi="宋体"/>
                <w:color w:val="auto"/>
                <w:szCs w:val="21"/>
                <w:highlight w:val="none"/>
              </w:rPr>
            </w:pPr>
            <w:r>
              <w:rPr>
                <w:rFonts w:hint="eastAsia" w:ascii="宋体" w:hAnsi="宋体"/>
                <w:color w:val="auto"/>
                <w:szCs w:val="21"/>
                <w:highlight w:val="none"/>
              </w:rPr>
              <w:t>招标范围：详见招标文件第二部分“招标项目需求”。</w:t>
            </w:r>
          </w:p>
        </w:tc>
      </w:tr>
      <w:tr w14:paraId="22C6325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A75836B">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7512" w:type="dxa"/>
            <w:vAlign w:val="center"/>
          </w:tcPr>
          <w:p w14:paraId="42CD883D">
            <w:pPr>
              <w:spacing w:line="360" w:lineRule="auto"/>
              <w:jc w:val="left"/>
              <w:rPr>
                <w:rFonts w:ascii="宋体" w:hAnsi="宋体"/>
                <w:color w:val="auto"/>
                <w:szCs w:val="21"/>
                <w:highlight w:val="none"/>
              </w:rPr>
            </w:pPr>
            <w:r>
              <w:rPr>
                <w:rFonts w:hint="eastAsia" w:ascii="宋体" w:hAnsi="宋体"/>
                <w:color w:val="auto"/>
                <w:szCs w:val="21"/>
                <w:highlight w:val="none"/>
              </w:rPr>
              <w:t>本项目不允许转包、分包。</w:t>
            </w:r>
          </w:p>
        </w:tc>
      </w:tr>
      <w:tr w14:paraId="6B78BF2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2373020">
            <w:pPr>
              <w:spacing w:before="143" w:beforeLines="50" w:line="360" w:lineRule="auto"/>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4.1</w:t>
            </w:r>
          </w:p>
        </w:tc>
        <w:tc>
          <w:tcPr>
            <w:tcW w:w="7512" w:type="dxa"/>
            <w:vAlign w:val="center"/>
          </w:tcPr>
          <w:p w14:paraId="3A51CFA6">
            <w:pPr>
              <w:spacing w:line="360" w:lineRule="auto"/>
              <w:rPr>
                <w:rFonts w:ascii="宋体" w:hAnsi="宋体"/>
                <w:color w:val="auto"/>
                <w:highlight w:val="none"/>
              </w:rPr>
            </w:pPr>
            <w:r>
              <w:rPr>
                <w:rFonts w:hint="eastAsia" w:ascii="宋体" w:hAnsi="宋体"/>
                <w:color w:val="auto"/>
                <w:highlight w:val="none"/>
              </w:rPr>
              <w:t xml:space="preserve">合格投标人的资格要求（本项目采用资格后审）：详见采购公告“二、申请人的资格要求”                   </w:t>
            </w:r>
          </w:p>
        </w:tc>
      </w:tr>
      <w:tr w14:paraId="13227C9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9E7D7F6">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8.1</w:t>
            </w:r>
          </w:p>
        </w:tc>
        <w:tc>
          <w:tcPr>
            <w:tcW w:w="7512" w:type="dxa"/>
            <w:vAlign w:val="center"/>
          </w:tcPr>
          <w:p w14:paraId="21F402F3">
            <w:pPr>
              <w:spacing w:line="360" w:lineRule="auto"/>
              <w:jc w:val="left"/>
              <w:rPr>
                <w:rFonts w:ascii="宋体" w:hAnsi="宋体"/>
                <w:color w:val="auto"/>
                <w:szCs w:val="21"/>
                <w:highlight w:val="none"/>
              </w:rPr>
            </w:pPr>
            <w:r>
              <w:rPr>
                <w:rFonts w:hint="eastAsia" w:ascii="宋体" w:hAnsi="宋体"/>
                <w:color w:val="auto"/>
                <w:szCs w:val="21"/>
                <w:highlight w:val="none"/>
              </w:rPr>
              <w:t>现场考察：不组织</w:t>
            </w:r>
          </w:p>
          <w:p w14:paraId="2655B2F7">
            <w:pPr>
              <w:spacing w:line="360" w:lineRule="auto"/>
              <w:jc w:val="left"/>
              <w:rPr>
                <w:rFonts w:ascii="宋体" w:hAnsi="宋体"/>
                <w:color w:val="auto"/>
                <w:szCs w:val="21"/>
                <w:highlight w:val="none"/>
              </w:rPr>
            </w:pPr>
            <w:r>
              <w:rPr>
                <w:rFonts w:hint="eastAsia" w:ascii="宋体" w:hAnsi="宋体"/>
                <w:color w:val="auto"/>
                <w:szCs w:val="21"/>
                <w:highlight w:val="none"/>
              </w:rPr>
              <w:t>答疑会：</w:t>
            </w:r>
            <w:r>
              <w:rPr>
                <w:rFonts w:hint="eastAsia" w:ascii="宋体" w:hAnsi="宋体" w:cs="宋体"/>
                <w:color w:val="auto"/>
                <w:szCs w:val="21"/>
                <w:highlight w:val="none"/>
              </w:rPr>
              <w:t>不组织</w:t>
            </w:r>
          </w:p>
        </w:tc>
      </w:tr>
      <w:tr w14:paraId="7AE0B5A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9E3E1EE">
            <w:pPr>
              <w:spacing w:before="143" w:beforeLines="50" w:line="360" w:lineRule="auto"/>
              <w:jc w:val="center"/>
              <w:rPr>
                <w:rFonts w:hint="eastAsia" w:ascii="宋体" w:hAnsi="宋体" w:eastAsia="宋体" w:cs="宋体"/>
                <w:color w:val="auto"/>
                <w:szCs w:val="21"/>
                <w:highlight w:val="none"/>
              </w:rPr>
            </w:pPr>
            <w:r>
              <w:rPr>
                <w:rFonts w:hint="eastAsia" w:ascii="宋体" w:hAnsi="宋体" w:eastAsia="宋体" w:cs="宋体"/>
                <w:b/>
                <w:color w:val="auto"/>
                <w:highlight w:val="none"/>
              </w:rPr>
              <w:t>★</w:t>
            </w:r>
            <w:r>
              <w:rPr>
                <w:rFonts w:hint="eastAsia" w:ascii="宋体" w:hAnsi="宋体" w:eastAsia="宋体" w:cs="宋体"/>
                <w:color w:val="auto"/>
                <w:szCs w:val="21"/>
                <w:highlight w:val="none"/>
              </w:rPr>
              <w:t>9.1</w:t>
            </w:r>
          </w:p>
        </w:tc>
        <w:tc>
          <w:tcPr>
            <w:tcW w:w="7512" w:type="dxa"/>
            <w:vAlign w:val="center"/>
          </w:tcPr>
          <w:p w14:paraId="6F5BC035">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投标文件组成：本项目实行网上投标，投标人应准备以下投标文件：</w:t>
            </w:r>
          </w:p>
          <w:p w14:paraId="4BB4B22F">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9.1.1.资格文件</w:t>
            </w:r>
          </w:p>
          <w:p w14:paraId="1A32F892">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（1）符合参加政府采购活动应当具备的一般条件的承诺函；</w:t>
            </w:r>
          </w:p>
          <w:p w14:paraId="6705429A">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（2）有效的企业法人营业执照（或事业法人登记证）、其他组织（个体工商户的营业执照或者民办非企业单位登记证书复印件。投标人如果有名称变更的，应提供由行政主管部门出具的变更证明文件；</w:t>
            </w:r>
          </w:p>
          <w:p w14:paraId="3D0B1157">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（3）落实政府采购政策需满足的资格要求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本项目属于专门面向</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企业采购的项目，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应为符合《政府采购促进中小企业发展管理办法》（财库﹝2020﹞46 号）规定的</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企业（其中，</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企业包括视同为小型、微型企业的监狱企业、残疾人福利性单位）。</w:t>
            </w:r>
          </w:p>
          <w:p w14:paraId="5B038042">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（4）投标人的特定条件的证明文件（如有）。</w:t>
            </w:r>
          </w:p>
          <w:p w14:paraId="17D84D17">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9.1.2.商务技术文件</w:t>
            </w:r>
          </w:p>
          <w:p w14:paraId="08278383">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（1）单位负责人的身份证明或单位负责人授权书（投标人的代表若不为单位负责人的，必须提交单位负责人授权书），并提供单位负责人和授权代表的身份证正反两面复印件；</w:t>
            </w:r>
          </w:p>
          <w:p w14:paraId="5225F7A7">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（2）投标人基本情况表；</w:t>
            </w:r>
          </w:p>
          <w:p w14:paraId="749C036B">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（3）联合协议（如有）；</w:t>
            </w:r>
          </w:p>
          <w:p w14:paraId="23D3CC10">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）技术条款偏离表；</w:t>
            </w:r>
          </w:p>
          <w:p w14:paraId="001AF352">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）商务条款偏离表；</w:t>
            </w:r>
          </w:p>
          <w:p w14:paraId="1667B79D">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）第五部分“评标办法”中“评分标准”要求提供的资料（如有需提供）。</w:t>
            </w:r>
          </w:p>
          <w:p w14:paraId="1A51A539">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9.1.3.报价文件</w:t>
            </w:r>
          </w:p>
          <w:p w14:paraId="32886A82">
            <w:pPr>
              <w:tabs>
                <w:tab w:val="left" w:pos="1418"/>
              </w:tabs>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（1）投标函；</w:t>
            </w:r>
          </w:p>
          <w:p w14:paraId="5D519B5A">
            <w:pPr>
              <w:tabs>
                <w:tab w:val="left" w:pos="1418"/>
              </w:tabs>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（2）开标一览表；</w:t>
            </w:r>
          </w:p>
          <w:p w14:paraId="4A8E6E42">
            <w:pPr>
              <w:tabs>
                <w:tab w:val="left" w:pos="1418"/>
              </w:tabs>
              <w:spacing w:line="360" w:lineRule="auto"/>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zCs w:val="24"/>
                <w:highlight w:val="none"/>
                <w:lang w:eastAsia="zh-CN"/>
              </w:rPr>
              <w:t>廉政责任书</w:t>
            </w:r>
            <w:r>
              <w:rPr>
                <w:rFonts w:hint="eastAsia" w:ascii="宋体" w:hAnsi="宋体" w:eastAsia="宋体" w:cs="宋体"/>
                <w:color w:val="auto"/>
                <w:highlight w:val="none"/>
              </w:rPr>
              <w:t>；</w:t>
            </w:r>
          </w:p>
          <w:p w14:paraId="54F6158D">
            <w:pPr>
              <w:tabs>
                <w:tab w:val="left" w:pos="1418"/>
              </w:tabs>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（4）享受政府采购价格优惠政策需提供的证明资料（如有）</w:t>
            </w:r>
          </w:p>
          <w:p w14:paraId="7F100A87">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附件1：中小企业声明函</w:t>
            </w:r>
          </w:p>
          <w:p w14:paraId="05441075">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附件2：残疾人福利性单位声明函</w:t>
            </w:r>
          </w:p>
          <w:p w14:paraId="25D1CF5B">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9.1.4.注意事项</w:t>
            </w:r>
          </w:p>
          <w:p w14:paraId="1FB29FB4">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★（1）电子投标文件中所须加盖公章部分均采用 CA 签章。</w:t>
            </w:r>
          </w:p>
          <w:p w14:paraId="475FAAB6">
            <w:pPr>
              <w:numPr>
                <w:ilvl w:val="0"/>
                <w:numId w:val="2"/>
              </w:num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上述组成投标文件的各项资料中本招标文件的有规定格式的，应统一按本招标文件的规定格式填写。未有规定格式的资料，投标人应自行编制，但至少要包含以上要求的内容。</w:t>
            </w:r>
          </w:p>
          <w:p w14:paraId="195468A2">
            <w:pPr>
              <w:numPr>
                <w:ilvl w:val="0"/>
                <w:numId w:val="2"/>
              </w:num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14:paraId="43D62150">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7214C64">
            <w:pPr>
              <w:spacing w:before="143" w:beforeLines="50" w:line="360" w:lineRule="auto"/>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10.1</w:t>
            </w:r>
          </w:p>
        </w:tc>
        <w:tc>
          <w:tcPr>
            <w:tcW w:w="7512" w:type="dxa"/>
            <w:vAlign w:val="center"/>
          </w:tcPr>
          <w:p w14:paraId="4CB5B0E8">
            <w:pPr>
              <w:spacing w:line="360" w:lineRule="auto"/>
              <w:rPr>
                <w:rFonts w:ascii="宋体" w:hAnsi="宋体" w:cs="宋体"/>
                <w:color w:val="auto"/>
                <w:szCs w:val="21"/>
                <w:highlight w:val="none"/>
              </w:rPr>
            </w:pPr>
            <w:r>
              <w:rPr>
                <w:rFonts w:hint="eastAsia" w:ascii="宋体" w:hAnsi="宋体" w:cs="宋体"/>
                <w:color w:val="auto"/>
                <w:szCs w:val="21"/>
                <w:highlight w:val="none"/>
              </w:rPr>
              <w:t>本项目为固定总价方式</w:t>
            </w:r>
            <w:r>
              <w:rPr>
                <w:rFonts w:hint="eastAsia" w:ascii="宋体" w:hAnsi="宋体" w:cs="宋体"/>
                <w:b/>
                <w:bCs/>
                <w:iCs/>
                <w:color w:val="auto"/>
                <w:szCs w:val="21"/>
                <w:highlight w:val="none"/>
              </w:rPr>
              <w:t>。</w:t>
            </w:r>
          </w:p>
          <w:p w14:paraId="7E41B82D">
            <w:pPr>
              <w:spacing w:line="360" w:lineRule="auto"/>
              <w:rPr>
                <w:rFonts w:ascii="宋体" w:hAnsi="宋体" w:cs="宋体"/>
                <w:iCs/>
                <w:color w:val="auto"/>
                <w:szCs w:val="21"/>
                <w:highlight w:val="none"/>
              </w:rPr>
            </w:pPr>
            <w:r>
              <w:rPr>
                <w:rFonts w:hint="eastAsia" w:ascii="宋体" w:hAnsi="宋体" w:cs="宋体"/>
                <w:iCs/>
                <w:color w:val="auto"/>
                <w:szCs w:val="21"/>
                <w:highlight w:val="none"/>
              </w:rPr>
              <w:t>投标报价应是招标文件确定的招标范围内的全部服务内容的价格体现，</w:t>
            </w:r>
            <w:r>
              <w:rPr>
                <w:rFonts w:hint="eastAsia"/>
                <w:color w:val="auto"/>
                <w:szCs w:val="21"/>
                <w:highlight w:val="none"/>
              </w:rPr>
              <w:t>包含但不限于参与服务本项目的所有工作人员的工资及相关费用、办公费、办公场地租用费、差旅交通费、劳动保护费、工具用具使用费、固定资产使用费、技术图书资料费（含软件）、业务招待费、施工现场津贴、竣工验收费和其他管理性质开支</w:t>
            </w:r>
            <w:r>
              <w:rPr>
                <w:rFonts w:hint="eastAsia" w:ascii="宋体" w:hAnsi="宋体" w:cs="宋体"/>
                <w:iCs/>
                <w:color w:val="auto"/>
                <w:szCs w:val="21"/>
                <w:highlight w:val="none"/>
              </w:rPr>
              <w:t>等与此有关的一切费用。</w:t>
            </w:r>
          </w:p>
          <w:p w14:paraId="06A7903B">
            <w:pPr>
              <w:spacing w:line="360" w:lineRule="auto"/>
              <w:rPr>
                <w:rFonts w:ascii="宋体" w:hAnsi="宋体" w:cs="宋体"/>
                <w:iCs/>
                <w:color w:val="auto"/>
                <w:szCs w:val="21"/>
                <w:highlight w:val="none"/>
              </w:rPr>
            </w:pPr>
            <w:r>
              <w:rPr>
                <w:rFonts w:hint="eastAsia" w:ascii="宋体" w:hAnsi="宋体" w:cs="宋体"/>
                <w:iCs/>
                <w:color w:val="auto"/>
                <w:szCs w:val="21"/>
                <w:highlight w:val="none"/>
              </w:rPr>
              <w:t>投标人应承担其参加本招标活动自身所发生的费用。</w:t>
            </w:r>
          </w:p>
          <w:p w14:paraId="04B78C7D">
            <w:pPr>
              <w:spacing w:line="360" w:lineRule="auto"/>
              <w:rPr>
                <w:rFonts w:ascii="宋体" w:hAnsi="宋体" w:cs="宋体"/>
                <w:color w:val="auto"/>
                <w:szCs w:val="21"/>
                <w:highlight w:val="none"/>
              </w:rPr>
            </w:pPr>
            <w:r>
              <w:rPr>
                <w:rFonts w:hint="eastAsia" w:ascii="宋体" w:hAnsi="宋体" w:cs="宋体"/>
                <w:iCs/>
                <w:color w:val="auto"/>
                <w:szCs w:val="21"/>
                <w:highlight w:val="none"/>
              </w:rPr>
              <w:t>项目实施过程中可能发生的风险和费用均由中标人承担。</w:t>
            </w:r>
          </w:p>
        </w:tc>
      </w:tr>
      <w:tr w14:paraId="7F7F5FD3">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3DAB685">
            <w:pPr>
              <w:spacing w:before="143" w:beforeLines="50" w:line="360" w:lineRule="auto"/>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10.5</w:t>
            </w:r>
          </w:p>
        </w:tc>
        <w:tc>
          <w:tcPr>
            <w:tcW w:w="7512" w:type="dxa"/>
            <w:vAlign w:val="center"/>
          </w:tcPr>
          <w:p w14:paraId="439C1042">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本项目采用最高投标限价，超过最高限价的投标将被判定为无效投标。</w:t>
            </w:r>
          </w:p>
          <w:p w14:paraId="61B0688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本次招标的预算金额：人民币44.59</w:t>
            </w:r>
            <w:r>
              <w:rPr>
                <w:rFonts w:hint="eastAsia" w:ascii="宋体" w:hAnsi="宋体" w:eastAsia="宋体" w:cs="宋体"/>
                <w:b/>
                <w:color w:val="auto"/>
                <w:szCs w:val="21"/>
                <w:highlight w:val="none"/>
                <w:lang w:eastAsia="zh-CN"/>
              </w:rPr>
              <w:t>万元</w:t>
            </w:r>
            <w:r>
              <w:rPr>
                <w:rFonts w:hint="eastAsia" w:ascii="宋体" w:hAnsi="宋体" w:eastAsia="宋体" w:cs="宋体"/>
                <w:b/>
                <w:color w:val="auto"/>
                <w:szCs w:val="21"/>
                <w:highlight w:val="none"/>
              </w:rPr>
              <w:t>；最高限价（招标控制价）：人民币44.59</w:t>
            </w:r>
            <w:r>
              <w:rPr>
                <w:rFonts w:hint="eastAsia" w:ascii="宋体" w:hAnsi="宋体" w:eastAsia="宋体" w:cs="宋体"/>
                <w:b/>
                <w:color w:val="auto"/>
                <w:szCs w:val="21"/>
                <w:highlight w:val="none"/>
                <w:lang w:eastAsia="zh-CN"/>
              </w:rPr>
              <w:t>万元</w:t>
            </w:r>
            <w:r>
              <w:rPr>
                <w:rFonts w:hint="eastAsia" w:ascii="宋体" w:hAnsi="宋体" w:eastAsia="宋体" w:cs="宋体"/>
                <w:b/>
                <w:color w:val="auto"/>
                <w:szCs w:val="21"/>
                <w:highlight w:val="none"/>
              </w:rPr>
              <w:t>。</w:t>
            </w:r>
          </w:p>
        </w:tc>
      </w:tr>
      <w:tr w14:paraId="395EEA0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60D2026">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7512" w:type="dxa"/>
            <w:vAlign w:val="center"/>
          </w:tcPr>
          <w:p w14:paraId="74B7E5A2">
            <w:pPr>
              <w:widowControl/>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投标文件数量要求：</w:t>
            </w:r>
          </w:p>
          <w:p w14:paraId="2716E1F5">
            <w:pPr>
              <w:widowControl/>
              <w:spacing w:line="360" w:lineRule="auto"/>
              <w:rPr>
                <w:rFonts w:cs="宋体" w:asciiTheme="minorEastAsia" w:hAnsiTheme="minorEastAsia" w:eastAsiaTheme="minorEastAsia"/>
                <w:color w:val="auto"/>
                <w:kern w:val="0"/>
                <w:sz w:val="24"/>
                <w:highlight w:val="none"/>
              </w:rPr>
            </w:pPr>
            <w:r>
              <w:rPr>
                <w:rFonts w:ascii="宋体" w:hAnsi="宋体"/>
                <w:b/>
                <w:color w:val="auto"/>
                <w:highlight w:val="none"/>
              </w:rPr>
              <w:t>★</w:t>
            </w: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lang w:val="en-US" w:eastAsia="zh-CN"/>
              </w:rPr>
              <w:t>.</w:t>
            </w:r>
            <w:r>
              <w:rPr>
                <w:rFonts w:hint="eastAsia" w:cs="宋体" w:asciiTheme="minorEastAsia" w:hAnsiTheme="minorEastAsia" w:eastAsiaTheme="minorEastAsia"/>
                <w:color w:val="auto"/>
                <w:kern w:val="0"/>
                <w:szCs w:val="21"/>
                <w:highlight w:val="none"/>
              </w:rPr>
              <w:t>上传到政府采购云平台的电子投标文件（含资格文件 1 份、商务技术文件 1 份、报价文件 1 份）。</w:t>
            </w:r>
          </w:p>
          <w:p w14:paraId="675904A3">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lang w:val="en-US" w:eastAsia="zh-CN"/>
              </w:rPr>
              <w:t>.</w:t>
            </w:r>
            <w:r>
              <w:rPr>
                <w:rFonts w:hint="eastAsia" w:cs="宋体" w:asciiTheme="minorEastAsia" w:hAnsiTheme="minorEastAsia" w:eastAsiaTheme="minorEastAsia"/>
                <w:color w:val="auto"/>
                <w:kern w:val="0"/>
                <w:szCs w:val="21"/>
                <w:highlight w:val="none"/>
              </w:rPr>
              <w:t>以 U 盘形式存储的电子备份投标文件（含资格文件 1 份、商务技术文件 1 份、报价文件1 份）。</w:t>
            </w:r>
          </w:p>
          <w:p w14:paraId="3275A19F">
            <w:pPr>
              <w:widowControl/>
              <w:spacing w:line="360" w:lineRule="auto"/>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注：（1）电子备份投标文件不作实质性要求，是否提交由投标人自行决定。</w:t>
            </w:r>
          </w:p>
          <w:p w14:paraId="6A5504D5">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（2）中标人在收到中标通知书后3天内向采购代理机构提供通过电子加密投标文件全套打印装订成册的纸质投标文件2份（加盖公章）。</w:t>
            </w:r>
          </w:p>
        </w:tc>
      </w:tr>
      <w:tr w14:paraId="2053D75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1C59E6E">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7512" w:type="dxa"/>
            <w:vAlign w:val="center"/>
          </w:tcPr>
          <w:p w14:paraId="0E37A789">
            <w:pPr>
              <w:spacing w:before="143" w:beforeLines="50" w:line="360" w:lineRule="auto"/>
              <w:rPr>
                <w:rFonts w:ascii="宋体" w:hAnsi="宋体" w:cs="宋体"/>
                <w:color w:val="auto"/>
                <w:szCs w:val="21"/>
                <w:highlight w:val="none"/>
              </w:rPr>
            </w:pPr>
            <w:r>
              <w:rPr>
                <w:rFonts w:hint="eastAsia" w:ascii="宋体" w:hAnsi="宋体" w:cs="宋体"/>
                <w:b/>
                <w:color w:val="auto"/>
                <w:szCs w:val="21"/>
                <w:highlight w:val="none"/>
              </w:rPr>
              <w:t>投标有效期</w:t>
            </w:r>
            <w:r>
              <w:rPr>
                <w:rFonts w:hint="eastAsia" w:ascii="宋体" w:hAnsi="宋体" w:cs="宋体"/>
                <w:color w:val="auto"/>
                <w:szCs w:val="21"/>
                <w:highlight w:val="none"/>
              </w:rPr>
              <w:t>： 90 天</w:t>
            </w:r>
          </w:p>
        </w:tc>
      </w:tr>
      <w:tr w14:paraId="5F934FC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1F676E1">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7512" w:type="dxa"/>
            <w:vAlign w:val="center"/>
          </w:tcPr>
          <w:p w14:paraId="0EB4EC1E">
            <w:pPr>
              <w:spacing w:line="360" w:lineRule="auto"/>
              <w:rPr>
                <w:rFonts w:ascii="宋体" w:hAnsi="宋体"/>
                <w:b/>
                <w:color w:val="auto"/>
                <w:highlight w:val="none"/>
              </w:rPr>
            </w:pPr>
            <w:r>
              <w:rPr>
                <w:rFonts w:hint="eastAsia" w:ascii="宋体" w:hAnsi="宋体"/>
                <w:b/>
                <w:color w:val="auto"/>
                <w:highlight w:val="none"/>
              </w:rPr>
              <w:t>投标保证金金额：</w:t>
            </w:r>
            <w:r>
              <w:rPr>
                <w:rFonts w:hint="eastAsia" w:ascii="宋体" w:hAnsi="宋体"/>
                <w:b w:val="0"/>
                <w:bCs/>
                <w:color w:val="auto"/>
                <w:highlight w:val="none"/>
              </w:rPr>
              <w:t>无</w:t>
            </w:r>
          </w:p>
        </w:tc>
      </w:tr>
      <w:tr w14:paraId="2093B03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37024E9">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7512" w:type="dxa"/>
            <w:vAlign w:val="center"/>
          </w:tcPr>
          <w:p w14:paraId="5735C1EC">
            <w:pPr>
              <w:spacing w:before="143" w:beforeLines="50" w:line="360" w:lineRule="auto"/>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none"/>
                <w:lang w:eastAsia="zh-CN"/>
              </w:rPr>
              <w:t>详见招标公告</w:t>
            </w:r>
            <w:r>
              <w:rPr>
                <w:rFonts w:hint="eastAsia" w:ascii="宋体" w:hAnsi="宋体" w:cs="宋体"/>
                <w:color w:val="auto"/>
                <w:szCs w:val="21"/>
                <w:highlight w:val="none"/>
              </w:rPr>
              <w:t>。</w:t>
            </w:r>
          </w:p>
        </w:tc>
      </w:tr>
      <w:tr w14:paraId="119AFEA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2F9FFAA">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512" w:type="dxa"/>
            <w:vAlign w:val="center"/>
          </w:tcPr>
          <w:p w14:paraId="021BD28F">
            <w:pPr>
              <w:spacing w:line="360" w:lineRule="auto"/>
              <w:jc w:val="both"/>
              <w:rPr>
                <w:rFonts w:hAnsi="宋体"/>
                <w:color w:val="auto"/>
                <w:highlight w:val="none"/>
              </w:rPr>
            </w:pPr>
            <w:r>
              <w:rPr>
                <w:rFonts w:hint="eastAsia" w:hAnsi="宋体"/>
                <w:color w:val="auto"/>
                <w:highlight w:val="none"/>
              </w:rPr>
              <w:t>代理机构服务费</w:t>
            </w:r>
            <w:r>
              <w:rPr>
                <w:rFonts w:hint="eastAsia" w:hAnsi="宋体"/>
                <w:color w:val="auto"/>
                <w:highlight w:val="none"/>
                <w:lang w:eastAsia="zh-CN"/>
              </w:rPr>
              <w:t>：</w:t>
            </w:r>
            <w:r>
              <w:rPr>
                <w:rFonts w:hint="eastAsia" w:hAnsi="宋体"/>
                <w:color w:val="auto"/>
                <w:highlight w:val="none"/>
              </w:rPr>
              <w:t>采购代理机构参照中介超市成交金额</w:t>
            </w:r>
            <w:r>
              <w:rPr>
                <w:rFonts w:hint="eastAsia" w:hAnsi="宋体"/>
                <w:color w:val="auto"/>
                <w:highlight w:val="none"/>
                <w:lang w:eastAsia="zh-CN"/>
              </w:rPr>
              <w:t>，</w:t>
            </w:r>
            <w:r>
              <w:rPr>
                <w:rFonts w:hint="eastAsia" w:hAnsi="宋体"/>
                <w:color w:val="auto"/>
                <w:highlight w:val="none"/>
                <w:lang w:val="en-US" w:eastAsia="zh-CN"/>
              </w:rPr>
              <w:t>向招标人</w:t>
            </w:r>
            <w:r>
              <w:rPr>
                <w:rFonts w:hint="eastAsia" w:hAnsi="宋体"/>
                <w:color w:val="auto"/>
                <w:highlight w:val="none"/>
              </w:rPr>
              <w:t>收取。</w:t>
            </w:r>
          </w:p>
        </w:tc>
      </w:tr>
      <w:tr w14:paraId="17F53AE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F295310">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29</w:t>
            </w:r>
          </w:p>
        </w:tc>
        <w:tc>
          <w:tcPr>
            <w:tcW w:w="7512" w:type="dxa"/>
            <w:vAlign w:val="center"/>
          </w:tcPr>
          <w:p w14:paraId="2D94A7E5">
            <w:pPr>
              <w:spacing w:line="360" w:lineRule="auto"/>
              <w:ind w:left="788" w:hanging="787" w:hangingChars="375"/>
              <w:rPr>
                <w:rFonts w:ascii="宋体" w:hAnsi="宋体" w:cs="宋体"/>
                <w:color w:val="auto"/>
                <w:szCs w:val="21"/>
                <w:highlight w:val="none"/>
              </w:rPr>
            </w:pPr>
            <w:r>
              <w:rPr>
                <w:rFonts w:hint="eastAsia" w:ascii="宋体" w:hAnsi="宋体" w:cs="宋体"/>
                <w:color w:val="auto"/>
                <w:szCs w:val="21"/>
                <w:highlight w:val="none"/>
              </w:rPr>
              <w:t>发布本项目招标公告、中标公示的媒体：</w:t>
            </w:r>
          </w:p>
          <w:p w14:paraId="3075BC3F">
            <w:pPr>
              <w:spacing w:line="360" w:lineRule="auto"/>
              <w:ind w:left="788" w:hanging="787" w:hangingChars="37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浙江政府采购网</w:t>
            </w:r>
            <w:r>
              <w:rPr>
                <w:rFonts w:hint="eastAsia" w:ascii="宋体" w:hAnsi="宋体" w:eastAsia="宋体" w:cs="宋体"/>
                <w:bCs/>
                <w:color w:val="auto"/>
                <w:szCs w:val="21"/>
                <w:highlight w:val="none"/>
              </w:rPr>
              <w:t>https://zfcg.czt.zj.gov.cn/</w:t>
            </w:r>
          </w:p>
          <w:p w14:paraId="49AE7956">
            <w:pPr>
              <w:spacing w:line="360" w:lineRule="auto"/>
              <w:rPr>
                <w:color w:val="auto"/>
                <w:highlight w:val="none"/>
              </w:rPr>
            </w:pPr>
            <w:r>
              <w:rPr>
                <w:rFonts w:hint="eastAsia" w:asciiTheme="minorEastAsia" w:hAnsiTheme="minorEastAsia" w:eastAsiaTheme="minorEastAsia"/>
                <w:color w:val="auto"/>
                <w:szCs w:val="21"/>
                <w:highlight w:val="none"/>
              </w:rPr>
              <w:t>宁波政府采购网</w:t>
            </w:r>
            <w:r>
              <w:rPr>
                <w:rFonts w:hint="eastAsia" w:ascii="宋体" w:hAnsi="宋体" w:eastAsia="宋体" w:cs="宋体"/>
                <w:bCs/>
                <w:color w:val="auto"/>
                <w:szCs w:val="21"/>
                <w:highlight w:val="none"/>
              </w:rPr>
              <w:t>http://www.nbzfcg.cn</w:t>
            </w:r>
          </w:p>
        </w:tc>
      </w:tr>
      <w:tr w14:paraId="52DAB0A3">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47F7C724">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31.1</w:t>
            </w:r>
          </w:p>
        </w:tc>
        <w:tc>
          <w:tcPr>
            <w:tcW w:w="7512" w:type="dxa"/>
            <w:tcBorders>
              <w:bottom w:val="single" w:color="auto" w:sz="12" w:space="0"/>
            </w:tcBorders>
            <w:vAlign w:val="center"/>
          </w:tcPr>
          <w:p w14:paraId="40814AB9">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本项目对应的中小企业划分标准所属行业：</w:t>
            </w:r>
            <w:r>
              <w:rPr>
                <w:rFonts w:hint="eastAsia" w:ascii="宋体" w:hAnsi="宋体" w:cs="宋体"/>
                <w:color w:val="auto"/>
                <w:szCs w:val="21"/>
                <w:highlight w:val="none"/>
                <w:lang w:eastAsia="zh-CN"/>
              </w:rPr>
              <w:t>租赁和商务服务业</w:t>
            </w:r>
          </w:p>
        </w:tc>
      </w:tr>
    </w:tbl>
    <w:p w14:paraId="3106B398">
      <w:pPr>
        <w:widowControl/>
        <w:spacing w:line="360" w:lineRule="auto"/>
        <w:ind w:firstLine="420" w:firstLineChars="200"/>
        <w:jc w:val="left"/>
        <w:rPr>
          <w:rFonts w:ascii="宋体" w:hAnsi="宋体" w:cs="宋体"/>
          <w:color w:val="auto"/>
          <w:szCs w:val="21"/>
          <w:highlight w:val="none"/>
          <w:u w:val="single"/>
        </w:rPr>
        <w:sectPr>
          <w:headerReference r:id="rId10" w:type="default"/>
          <w:footerReference r:id="rId12" w:type="default"/>
          <w:headerReference r:id="rId11" w:type="even"/>
          <w:pgSz w:w="11907" w:h="16840"/>
          <w:pgMar w:top="1276" w:right="1701" w:bottom="1560" w:left="1701" w:header="720" w:footer="720" w:gutter="0"/>
          <w:cols w:space="720" w:num="1"/>
          <w:docGrid w:type="linesAndChars" w:linePitch="286" w:charSpace="0"/>
        </w:sectPr>
      </w:pPr>
    </w:p>
    <w:p w14:paraId="7D743050">
      <w:pPr>
        <w:pStyle w:val="2"/>
        <w:spacing w:before="286" w:after="286"/>
        <w:rPr>
          <w:color w:val="auto"/>
          <w:sz w:val="32"/>
          <w:szCs w:val="32"/>
          <w:highlight w:val="none"/>
        </w:rPr>
        <w:sectPr>
          <w:headerReference r:id="rId13" w:type="default"/>
          <w:type w:val="continuous"/>
          <w:pgSz w:w="11907" w:h="16840"/>
          <w:pgMar w:top="1111" w:right="1701" w:bottom="1428" w:left="1701" w:header="720" w:footer="720" w:gutter="0"/>
          <w:cols w:space="720" w:num="1"/>
          <w:docGrid w:type="linesAndChars" w:linePitch="286" w:charSpace="0"/>
        </w:sectPr>
      </w:pPr>
      <w:bookmarkStart w:id="50" w:name="_Toc316649292"/>
    </w:p>
    <w:p w14:paraId="2DAA7B11">
      <w:pPr>
        <w:pStyle w:val="2"/>
        <w:spacing w:before="286" w:after="286"/>
        <w:rPr>
          <w:color w:val="auto"/>
          <w:sz w:val="32"/>
          <w:szCs w:val="32"/>
          <w:highlight w:val="none"/>
        </w:rPr>
      </w:pPr>
    </w:p>
    <w:bookmarkEnd w:id="50"/>
    <w:p w14:paraId="16393822">
      <w:pPr>
        <w:pStyle w:val="2"/>
        <w:spacing w:before="286" w:after="286"/>
        <w:rPr>
          <w:color w:val="auto"/>
          <w:sz w:val="32"/>
          <w:szCs w:val="32"/>
          <w:highlight w:val="none"/>
        </w:rPr>
      </w:pPr>
      <w:bookmarkStart w:id="51" w:name="_Toc11708"/>
      <w:bookmarkStart w:id="52" w:name="_Toc481153623"/>
      <w:bookmarkStart w:id="53" w:name="_Toc497935707"/>
      <w:bookmarkStart w:id="54" w:name="_Toc501721427"/>
      <w:bookmarkStart w:id="55" w:name="_Toc502819341"/>
      <w:bookmarkStart w:id="56" w:name="_Toc316649293"/>
      <w:bookmarkStart w:id="57" w:name="_Toc481153658"/>
      <w:bookmarkStart w:id="58" w:name="_Toc501721316"/>
      <w:bookmarkStart w:id="59" w:name="_Toc501721199"/>
      <w:r>
        <w:rPr>
          <w:rFonts w:hint="eastAsia"/>
          <w:color w:val="auto"/>
          <w:sz w:val="32"/>
          <w:szCs w:val="32"/>
          <w:highlight w:val="none"/>
        </w:rPr>
        <w:t>第四部分  投标人须知</w:t>
      </w:r>
      <w:bookmarkEnd w:id="51"/>
    </w:p>
    <w:p w14:paraId="16584CFE">
      <w:pPr>
        <w:jc w:val="center"/>
        <w:outlineLvl w:val="1"/>
        <w:rPr>
          <w:rFonts w:ascii="宋体" w:hAnsi="宋体" w:cs="宋体"/>
          <w:b/>
          <w:color w:val="auto"/>
          <w:sz w:val="28"/>
          <w:highlight w:val="none"/>
        </w:rPr>
      </w:pPr>
      <w:bookmarkStart w:id="60" w:name="_Toc26589"/>
      <w:bookmarkStart w:id="61" w:name="_Toc513799071"/>
      <w:bookmarkStart w:id="62" w:name="_Toc136017630"/>
      <w:bookmarkStart w:id="63" w:name="_Toc136345101"/>
      <w:bookmarkStart w:id="64" w:name="_Toc513798900"/>
      <w:bookmarkStart w:id="65" w:name="_Toc440276561"/>
      <w:bookmarkStart w:id="66" w:name="_Toc520902394"/>
      <w:r>
        <w:rPr>
          <w:rFonts w:hint="eastAsia" w:ascii="宋体" w:hAnsi="宋体" w:cs="宋体"/>
          <w:b/>
          <w:color w:val="auto"/>
          <w:sz w:val="28"/>
          <w:highlight w:val="none"/>
        </w:rPr>
        <w:t>A  总则</w:t>
      </w:r>
      <w:bookmarkEnd w:id="60"/>
      <w:bookmarkEnd w:id="61"/>
      <w:bookmarkEnd w:id="62"/>
      <w:bookmarkEnd w:id="63"/>
      <w:bookmarkEnd w:id="64"/>
      <w:bookmarkEnd w:id="65"/>
      <w:bookmarkEnd w:id="66"/>
    </w:p>
    <w:p w14:paraId="368558B9">
      <w:pPr>
        <w:spacing w:line="360" w:lineRule="auto"/>
        <w:rPr>
          <w:rFonts w:ascii="宋体" w:hAnsi="宋体" w:cs="宋体"/>
          <w:b/>
          <w:color w:val="auto"/>
          <w:szCs w:val="21"/>
          <w:highlight w:val="none"/>
        </w:rPr>
      </w:pPr>
      <w:r>
        <w:rPr>
          <w:rFonts w:hint="eastAsia" w:ascii="宋体" w:hAnsi="宋体" w:cs="宋体"/>
          <w:b/>
          <w:color w:val="auto"/>
          <w:szCs w:val="21"/>
          <w:highlight w:val="none"/>
        </w:rPr>
        <w:t>1.   适用范围</w:t>
      </w:r>
    </w:p>
    <w:p w14:paraId="42737C12">
      <w:pPr>
        <w:spacing w:line="360" w:lineRule="auto"/>
        <w:ind w:firstLine="420" w:firstLineChars="200"/>
        <w:rPr>
          <w:rFonts w:ascii="宋体" w:hAnsi="宋体"/>
          <w:color w:val="auto"/>
          <w:highlight w:val="none"/>
        </w:rPr>
      </w:pPr>
      <w:r>
        <w:rPr>
          <w:rFonts w:hint="eastAsia" w:ascii="宋体" w:hAnsi="宋体"/>
          <w:color w:val="auto"/>
          <w:highlight w:val="none"/>
        </w:rPr>
        <w:t>本招标文件适用于本项目的招标、投标、开标、资格审查及信用信息查询、评标、定标、合同、验收等行为（法律、法规另有规定的，从其规定）。</w:t>
      </w:r>
    </w:p>
    <w:p w14:paraId="2B11E129">
      <w:pPr>
        <w:spacing w:line="360" w:lineRule="auto"/>
        <w:rPr>
          <w:rFonts w:ascii="宋体" w:hAnsi="宋体" w:cs="宋体"/>
          <w:b/>
          <w:color w:val="auto"/>
          <w:szCs w:val="21"/>
          <w:highlight w:val="none"/>
        </w:rPr>
      </w:pPr>
    </w:p>
    <w:p w14:paraId="24523FB7">
      <w:pPr>
        <w:spacing w:line="360" w:lineRule="auto"/>
        <w:rPr>
          <w:rFonts w:ascii="宋体" w:hAnsi="宋体" w:cs="宋体"/>
          <w:b/>
          <w:color w:val="auto"/>
          <w:szCs w:val="21"/>
          <w:highlight w:val="none"/>
        </w:rPr>
      </w:pPr>
      <w:r>
        <w:rPr>
          <w:rFonts w:hint="eastAsia" w:ascii="宋体" w:hAnsi="宋体" w:cs="宋体"/>
          <w:b/>
          <w:color w:val="auto"/>
          <w:szCs w:val="21"/>
          <w:highlight w:val="none"/>
        </w:rPr>
        <w:t>2.   定义</w:t>
      </w:r>
    </w:p>
    <w:p w14:paraId="659AF189">
      <w:pPr>
        <w:spacing w:line="360" w:lineRule="auto"/>
        <w:rPr>
          <w:rFonts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 xml:space="preserve">  “采购人”、“采购代理机构”和“项目名称”：</w:t>
      </w:r>
      <w:r>
        <w:rPr>
          <w:rFonts w:ascii="宋体" w:hAnsi="宋体" w:cs="宋体"/>
          <w:color w:val="auto"/>
          <w:szCs w:val="21"/>
          <w:highlight w:val="none"/>
        </w:rPr>
        <w:t>见</w:t>
      </w:r>
      <w:r>
        <w:rPr>
          <w:rFonts w:hint="eastAsia" w:ascii="宋体" w:hAnsi="宋体" w:cs="宋体"/>
          <w:color w:val="auto"/>
          <w:szCs w:val="21"/>
          <w:highlight w:val="none"/>
        </w:rPr>
        <w:t>“投标资料表”</w:t>
      </w:r>
      <w:r>
        <w:rPr>
          <w:rFonts w:ascii="宋体" w:hAnsi="宋体" w:cs="宋体"/>
          <w:color w:val="auto"/>
          <w:szCs w:val="21"/>
          <w:highlight w:val="none"/>
        </w:rPr>
        <w:t>。</w:t>
      </w:r>
    </w:p>
    <w:p w14:paraId="5D1B9AFF">
      <w:pPr>
        <w:spacing w:line="360" w:lineRule="auto"/>
        <w:rPr>
          <w:rFonts w:ascii="宋体" w:hAnsi="宋体" w:cs="宋体"/>
          <w:bCs/>
          <w:color w:val="auto"/>
          <w:szCs w:val="21"/>
          <w:highlight w:val="none"/>
        </w:rPr>
      </w:pPr>
      <w:r>
        <w:rPr>
          <w:rFonts w:hint="eastAsia" w:ascii="宋体" w:hAnsi="宋体" w:cs="宋体"/>
          <w:b/>
          <w:color w:val="auto"/>
          <w:szCs w:val="21"/>
          <w:highlight w:val="none"/>
        </w:rPr>
        <w:t>2.2</w:t>
      </w:r>
      <w:r>
        <w:rPr>
          <w:rFonts w:hint="eastAsia" w:ascii="宋体" w:hAnsi="宋体" w:cs="宋体"/>
          <w:bCs/>
          <w:color w:val="auto"/>
          <w:szCs w:val="21"/>
          <w:highlight w:val="none"/>
        </w:rPr>
        <w:t xml:space="preserve">  “供应商”系指采购人发布招标公告后，所有对招标项目有意向、并有可能参加本项目投标的法人、其他组织或者自然人。</w:t>
      </w:r>
    </w:p>
    <w:p w14:paraId="587F3AEE">
      <w:pPr>
        <w:spacing w:line="360" w:lineRule="auto"/>
        <w:rPr>
          <w:rFonts w:ascii="宋体" w:hAnsi="宋体" w:cs="宋体"/>
          <w:bCs/>
          <w:color w:val="auto"/>
          <w:szCs w:val="21"/>
          <w:highlight w:val="none"/>
        </w:rPr>
      </w:pPr>
      <w:r>
        <w:rPr>
          <w:rFonts w:hint="eastAsia" w:ascii="宋体" w:hAnsi="宋体" w:cs="宋体"/>
          <w:b/>
          <w:color w:val="auto"/>
          <w:szCs w:val="21"/>
          <w:highlight w:val="none"/>
        </w:rPr>
        <w:t>2.3</w:t>
      </w:r>
      <w:r>
        <w:rPr>
          <w:rFonts w:hint="eastAsia" w:ascii="宋体" w:hAnsi="宋体" w:cs="宋体"/>
          <w:bCs/>
          <w:color w:val="auto"/>
          <w:szCs w:val="21"/>
          <w:highlight w:val="none"/>
        </w:rPr>
        <w:t xml:space="preserve">  “投标人”系指响应招标、参加投标竞争的法人、其他组织或者自然人。</w:t>
      </w:r>
    </w:p>
    <w:p w14:paraId="675C9419">
      <w:pPr>
        <w:spacing w:line="360" w:lineRule="auto"/>
        <w:rPr>
          <w:rFonts w:ascii="宋体" w:hAnsi="宋体" w:cs="宋体"/>
          <w:bCs/>
          <w:color w:val="auto"/>
          <w:szCs w:val="21"/>
          <w:highlight w:val="none"/>
        </w:rPr>
      </w:pPr>
      <w:r>
        <w:rPr>
          <w:rFonts w:hint="eastAsia" w:ascii="宋体" w:hAnsi="宋体" w:cs="宋体"/>
          <w:b/>
          <w:color w:val="auto"/>
          <w:szCs w:val="21"/>
          <w:highlight w:val="none"/>
        </w:rPr>
        <w:t xml:space="preserve">2.4  </w:t>
      </w:r>
      <w:r>
        <w:rPr>
          <w:rFonts w:hint="eastAsia" w:ascii="宋体" w:hAnsi="宋体" w:cs="宋体"/>
          <w:bCs/>
          <w:color w:val="auto"/>
          <w:szCs w:val="21"/>
          <w:highlight w:val="none"/>
        </w:rPr>
        <w:t>“负责人”系指法人企业的法定负责人，或其他组织为法律、行政法规规定代表单位行使职权的主要负责人，或自然人本人。</w:t>
      </w:r>
    </w:p>
    <w:p w14:paraId="6D4AA8DE">
      <w:pPr>
        <w:spacing w:line="360" w:lineRule="auto"/>
        <w:rPr>
          <w:rFonts w:ascii="宋体" w:hAnsi="宋体" w:cs="宋体"/>
          <w:color w:val="auto"/>
          <w:szCs w:val="21"/>
          <w:highlight w:val="none"/>
        </w:rPr>
      </w:pPr>
      <w:r>
        <w:rPr>
          <w:rFonts w:hint="eastAsia" w:ascii="宋体" w:hAnsi="宋体" w:cs="宋体"/>
          <w:b/>
          <w:color w:val="auto"/>
          <w:szCs w:val="21"/>
          <w:highlight w:val="none"/>
        </w:rPr>
        <w:t>2.5</w:t>
      </w:r>
      <w:r>
        <w:rPr>
          <w:rFonts w:hint="eastAsia" w:ascii="宋体" w:hAnsi="宋体" w:cs="宋体"/>
          <w:color w:val="auto"/>
          <w:szCs w:val="21"/>
          <w:highlight w:val="none"/>
        </w:rPr>
        <w:t xml:space="preserve">  “产品”系指投标人按招标文件规定，须向采购人提供的一切设备、保险、税金、备品备件、工具、手册及其它有关技术资料和材料。</w:t>
      </w:r>
    </w:p>
    <w:p w14:paraId="21A4F817">
      <w:pPr>
        <w:spacing w:line="360" w:lineRule="auto"/>
        <w:rPr>
          <w:rFonts w:ascii="宋体" w:hAnsi="宋体" w:cs="宋体"/>
          <w:color w:val="auto"/>
          <w:szCs w:val="21"/>
          <w:highlight w:val="none"/>
        </w:rPr>
      </w:pPr>
      <w:r>
        <w:rPr>
          <w:rFonts w:hint="eastAsia" w:ascii="宋体" w:hAnsi="宋体" w:cs="宋体"/>
          <w:b/>
          <w:color w:val="auto"/>
          <w:szCs w:val="21"/>
          <w:highlight w:val="none"/>
        </w:rPr>
        <w:t>2.6</w:t>
      </w:r>
      <w:r>
        <w:rPr>
          <w:rFonts w:hint="eastAsia" w:ascii="宋体" w:hAnsi="宋体" w:cs="宋体"/>
          <w:color w:val="auto"/>
          <w:szCs w:val="21"/>
          <w:highlight w:val="none"/>
        </w:rPr>
        <w:t xml:space="preserve">  “服务”系指招标文件规定投标人须承担的安装、调试、技术协助、校准、培训、技术指导以及其它类似的义务。</w:t>
      </w:r>
    </w:p>
    <w:p w14:paraId="0040389B">
      <w:pPr>
        <w:spacing w:line="360" w:lineRule="auto"/>
        <w:rPr>
          <w:rFonts w:ascii="宋体" w:hAnsi="宋体" w:cs="宋体"/>
          <w:color w:val="auto"/>
          <w:szCs w:val="21"/>
          <w:highlight w:val="none"/>
        </w:rPr>
      </w:pPr>
      <w:r>
        <w:rPr>
          <w:rFonts w:hint="eastAsia" w:ascii="宋体" w:hAnsi="宋体" w:cs="宋体"/>
          <w:b/>
          <w:color w:val="auto"/>
          <w:szCs w:val="21"/>
          <w:highlight w:val="none"/>
        </w:rPr>
        <w:t>2.7</w:t>
      </w:r>
      <w:r>
        <w:rPr>
          <w:rFonts w:hint="eastAsia" w:ascii="宋体" w:hAnsi="宋体" w:cs="宋体"/>
          <w:color w:val="auto"/>
          <w:szCs w:val="21"/>
          <w:highlight w:val="none"/>
        </w:rPr>
        <w:t xml:space="preserve">  “项目”系指投标人按招标文件规定向采购人提供的货物或服务。</w:t>
      </w:r>
    </w:p>
    <w:p w14:paraId="6E7DC6CE">
      <w:pPr>
        <w:spacing w:line="360" w:lineRule="auto"/>
        <w:rPr>
          <w:rFonts w:ascii="宋体" w:hAnsi="宋体" w:cs="宋体"/>
          <w:color w:val="auto"/>
          <w:szCs w:val="21"/>
          <w:highlight w:val="none"/>
        </w:rPr>
      </w:pPr>
      <w:r>
        <w:rPr>
          <w:rFonts w:hint="eastAsia" w:ascii="宋体" w:hAnsi="宋体" w:cs="宋体"/>
          <w:b/>
          <w:color w:val="auto"/>
          <w:szCs w:val="21"/>
          <w:highlight w:val="none"/>
        </w:rPr>
        <w:t>2.8</w:t>
      </w:r>
      <w:r>
        <w:rPr>
          <w:rFonts w:hint="eastAsia" w:ascii="宋体" w:hAnsi="宋体" w:cs="宋体"/>
          <w:color w:val="auto"/>
          <w:szCs w:val="21"/>
          <w:highlight w:val="none"/>
        </w:rPr>
        <w:t xml:space="preserve">  “书面形式”包括信函、传真、邮件等。</w:t>
      </w:r>
    </w:p>
    <w:p w14:paraId="2A07215B">
      <w:pPr>
        <w:spacing w:line="360" w:lineRule="auto"/>
        <w:ind w:left="632" w:hanging="630" w:hangingChars="300"/>
        <w:rPr>
          <w:rFonts w:ascii="宋体" w:hAnsi="宋体" w:cs="宋体"/>
          <w:b/>
          <w:color w:val="auto"/>
          <w:szCs w:val="21"/>
          <w:highlight w:val="none"/>
        </w:rPr>
      </w:pPr>
      <w:r>
        <w:rPr>
          <w:rFonts w:hint="eastAsia" w:ascii="宋体" w:hAnsi="宋体" w:cs="宋体"/>
          <w:b/>
          <w:color w:val="auto"/>
          <w:szCs w:val="21"/>
          <w:highlight w:val="none"/>
        </w:rPr>
        <w:t>2.9</w:t>
      </w:r>
      <w:r>
        <w:rPr>
          <w:rFonts w:hint="eastAsia" w:ascii="宋体" w:hAnsi="宋体" w:cs="宋体"/>
          <w:color w:val="auto"/>
          <w:szCs w:val="21"/>
          <w:highlight w:val="none"/>
        </w:rPr>
        <w:t xml:space="preserve">  “★”系指实质性要求条款。投标文件对这些条款的任何负偏离将导致投标无效。  “</w:t>
      </w:r>
      <w:sdt>
        <w:sdtPr>
          <w:rPr>
            <w:rFonts w:hint="eastAsia" w:cs="Arial" w:asciiTheme="minorEastAsia" w:hAnsiTheme="minorEastAsia" w:eastAsiaTheme="minorEastAsia"/>
            <w:color w:val="auto"/>
            <w:kern w:val="0"/>
            <w:sz w:val="24"/>
            <w:highlight w:val="none"/>
          </w:rPr>
          <w:id w:val="147471816"/>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szCs w:val="24"/>
              <w:highlight w:val="none"/>
            </w:rPr>
            <w:t></w:t>
          </w:r>
        </w:sdtContent>
      </w:sdt>
      <w:r>
        <w:rPr>
          <w:rFonts w:hint="eastAsia" w:ascii="宋体" w:hAnsi="宋体" w:cs="宋体"/>
          <w:color w:val="auto"/>
          <w:szCs w:val="21"/>
          <w:highlight w:val="none"/>
        </w:rPr>
        <w:t>” 系指适用本项目的要求，“☐” 系指不适用本项目的要求。</w:t>
      </w:r>
    </w:p>
    <w:p w14:paraId="711BEB37">
      <w:pPr>
        <w:spacing w:line="360" w:lineRule="auto"/>
        <w:rPr>
          <w:rFonts w:ascii="宋体" w:hAnsi="宋体" w:cs="宋体"/>
          <w:b/>
          <w:color w:val="auto"/>
          <w:szCs w:val="21"/>
          <w:highlight w:val="none"/>
        </w:rPr>
      </w:pPr>
    </w:p>
    <w:p w14:paraId="2F0BE4F0">
      <w:pPr>
        <w:spacing w:line="360" w:lineRule="auto"/>
        <w:rPr>
          <w:rFonts w:ascii="宋体" w:hAnsi="宋体" w:cs="宋体"/>
          <w:b/>
          <w:color w:val="auto"/>
          <w:szCs w:val="21"/>
          <w:highlight w:val="none"/>
        </w:rPr>
      </w:pPr>
      <w:r>
        <w:rPr>
          <w:rFonts w:hint="eastAsia" w:ascii="宋体" w:hAnsi="宋体" w:cs="宋体"/>
          <w:b/>
          <w:color w:val="auto"/>
          <w:szCs w:val="21"/>
          <w:highlight w:val="none"/>
        </w:rPr>
        <w:t>3.   招标范围</w:t>
      </w:r>
    </w:p>
    <w:p w14:paraId="4D874CD0">
      <w:pPr>
        <w:spacing w:line="360" w:lineRule="auto"/>
        <w:rPr>
          <w:rFonts w:ascii="宋体" w:hAnsi="宋体"/>
          <w:color w:val="auto"/>
          <w:highlight w:val="none"/>
        </w:rPr>
      </w:pPr>
      <w:r>
        <w:rPr>
          <w:rFonts w:hint="eastAsia" w:ascii="宋体" w:hAnsi="宋体" w:cs="宋体"/>
          <w:b/>
          <w:color w:val="auto"/>
          <w:szCs w:val="21"/>
          <w:highlight w:val="none"/>
        </w:rPr>
        <w:t xml:space="preserve">3.1  </w:t>
      </w:r>
      <w:r>
        <w:rPr>
          <w:rFonts w:hint="eastAsia" w:ascii="宋体" w:hAnsi="宋体"/>
          <w:color w:val="auto"/>
          <w:highlight w:val="none"/>
        </w:rPr>
        <w:t>招标范围：</w:t>
      </w:r>
      <w:r>
        <w:rPr>
          <w:rFonts w:ascii="宋体" w:hAnsi="宋体"/>
          <w:color w:val="auto"/>
          <w:highlight w:val="none"/>
        </w:rPr>
        <w:t>见</w:t>
      </w:r>
      <w:r>
        <w:rPr>
          <w:rFonts w:hint="eastAsia" w:ascii="宋体" w:hAnsi="宋体"/>
          <w:color w:val="auto"/>
          <w:highlight w:val="none"/>
        </w:rPr>
        <w:t>“投标资料表”</w:t>
      </w:r>
      <w:r>
        <w:rPr>
          <w:rFonts w:ascii="宋体" w:hAnsi="宋体"/>
          <w:color w:val="auto"/>
          <w:highlight w:val="none"/>
        </w:rPr>
        <w:t>。</w:t>
      </w:r>
    </w:p>
    <w:p w14:paraId="2AA9444E">
      <w:pPr>
        <w:spacing w:line="360" w:lineRule="auto"/>
        <w:rPr>
          <w:rFonts w:ascii="宋体" w:hAnsi="宋体"/>
          <w:color w:val="auto"/>
          <w:highlight w:val="none"/>
        </w:rPr>
      </w:pPr>
      <w:r>
        <w:rPr>
          <w:rFonts w:hint="eastAsia" w:ascii="宋体" w:hAnsi="宋体" w:cs="宋体"/>
          <w:b/>
          <w:color w:val="auto"/>
          <w:szCs w:val="21"/>
          <w:highlight w:val="none"/>
        </w:rPr>
        <w:t>3.2</w:t>
      </w:r>
      <w:r>
        <w:rPr>
          <w:rFonts w:hint="eastAsia" w:ascii="宋体" w:hAnsi="宋体"/>
          <w:color w:val="auto"/>
          <w:highlight w:val="none"/>
        </w:rPr>
        <w:t xml:space="preserve">  本项目转包、分包具体要求在招标文件“投标资料表”中做出规定。</w:t>
      </w:r>
    </w:p>
    <w:p w14:paraId="23150A99">
      <w:pPr>
        <w:spacing w:line="360" w:lineRule="auto"/>
        <w:ind w:firstLine="210" w:firstLineChars="100"/>
        <w:rPr>
          <w:rFonts w:ascii="宋体" w:hAnsi="宋体" w:cs="宋体"/>
          <w:b/>
          <w:color w:val="auto"/>
          <w:szCs w:val="21"/>
          <w:highlight w:val="none"/>
        </w:rPr>
      </w:pPr>
    </w:p>
    <w:p w14:paraId="7C5BCF01">
      <w:pPr>
        <w:spacing w:line="360" w:lineRule="auto"/>
        <w:rPr>
          <w:rFonts w:ascii="宋体" w:hAnsi="宋体" w:cs="宋体"/>
          <w:b/>
          <w:color w:val="auto"/>
          <w:szCs w:val="21"/>
          <w:highlight w:val="none"/>
        </w:rPr>
      </w:pPr>
      <w:r>
        <w:rPr>
          <w:rFonts w:hint="eastAsia" w:ascii="宋体" w:hAnsi="宋体" w:cs="宋体"/>
          <w:b/>
          <w:color w:val="auto"/>
          <w:szCs w:val="21"/>
          <w:highlight w:val="none"/>
        </w:rPr>
        <w:t>4.   合格的投标人</w:t>
      </w:r>
    </w:p>
    <w:p w14:paraId="44571AF4">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4.1  </w:t>
      </w:r>
      <w:r>
        <w:rPr>
          <w:rFonts w:hint="eastAsia" w:ascii="宋体" w:hAnsi="宋体" w:cs="宋体"/>
          <w:color w:val="auto"/>
          <w:szCs w:val="21"/>
          <w:highlight w:val="none"/>
        </w:rPr>
        <w:t>合格的投标人应该是：</w:t>
      </w:r>
    </w:p>
    <w:p w14:paraId="407E462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44E8938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35EC83A">
      <w:pPr>
        <w:spacing w:line="440" w:lineRule="exact"/>
        <w:ind w:firstLine="420" w:firstLineChars="200"/>
        <w:rPr>
          <w:rFonts w:ascii="宋体" w:hAnsi="宋体"/>
          <w:b/>
          <w:color w:val="auto"/>
          <w:szCs w:val="21"/>
          <w:highlight w:val="none"/>
        </w:rPr>
      </w:pPr>
      <w:r>
        <w:rPr>
          <w:rFonts w:hint="eastAsia" w:ascii="宋体" w:hAnsi="宋体"/>
          <w:b/>
          <w:color w:val="auto"/>
          <w:szCs w:val="21"/>
          <w:highlight w:val="none"/>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5EB61B4C">
      <w:pPr>
        <w:spacing w:line="400" w:lineRule="exact"/>
        <w:rPr>
          <w:rFonts w:ascii="宋体" w:hAnsi="宋体" w:cs="宋体"/>
          <w:color w:val="auto"/>
          <w:szCs w:val="21"/>
          <w:highlight w:val="none"/>
        </w:rPr>
      </w:pPr>
      <w:r>
        <w:rPr>
          <w:rFonts w:hint="eastAsia" w:ascii="宋体" w:hAnsi="宋体" w:cs="宋体"/>
          <w:b/>
          <w:color w:val="auto"/>
          <w:szCs w:val="21"/>
          <w:highlight w:val="none"/>
        </w:rPr>
        <w:t>4.2</w:t>
      </w:r>
      <w:r>
        <w:rPr>
          <w:rFonts w:hint="eastAsia" w:ascii="宋体" w:hAnsi="宋体" w:cs="宋体"/>
          <w:color w:val="auto"/>
          <w:szCs w:val="21"/>
          <w:highlight w:val="none"/>
        </w:rPr>
        <w:t xml:space="preserve">  符合本招标文件载明的对上述</w:t>
      </w:r>
      <w:r>
        <w:rPr>
          <w:rFonts w:hint="eastAsia" w:ascii="宋体" w:hAnsi="宋体" w:cs="宋体"/>
          <w:b/>
          <w:color w:val="auto"/>
          <w:szCs w:val="21"/>
          <w:highlight w:val="none"/>
        </w:rPr>
        <w:t>4.1</w:t>
      </w:r>
      <w:r>
        <w:rPr>
          <w:rFonts w:hint="eastAsia" w:ascii="宋体" w:hAnsi="宋体" w:cs="宋体"/>
          <w:color w:val="auto"/>
          <w:szCs w:val="21"/>
          <w:highlight w:val="none"/>
        </w:rPr>
        <w:t>条的例外的规定或对投标人资格的其他补充要求：详见招标公告。</w:t>
      </w:r>
    </w:p>
    <w:p w14:paraId="14D1EC35">
      <w:pPr>
        <w:spacing w:line="400" w:lineRule="exact"/>
        <w:rPr>
          <w:rFonts w:ascii="宋体" w:hAnsi="宋体" w:cs="宋体"/>
          <w:color w:val="auto"/>
          <w:szCs w:val="21"/>
          <w:highlight w:val="none"/>
        </w:rPr>
      </w:pPr>
    </w:p>
    <w:p w14:paraId="5ECE395F">
      <w:pPr>
        <w:spacing w:line="400" w:lineRule="exact"/>
        <w:rPr>
          <w:rFonts w:ascii="宋体" w:hAnsi="宋体" w:cs="宋体"/>
          <w:b/>
          <w:color w:val="auto"/>
          <w:szCs w:val="21"/>
          <w:highlight w:val="none"/>
        </w:rPr>
      </w:pPr>
      <w:r>
        <w:rPr>
          <w:rFonts w:hint="eastAsia" w:ascii="宋体" w:hAnsi="宋体" w:cs="宋体"/>
          <w:b/>
          <w:color w:val="auto"/>
          <w:szCs w:val="21"/>
          <w:highlight w:val="none"/>
        </w:rPr>
        <w:t>5.投标人代表</w:t>
      </w:r>
    </w:p>
    <w:p w14:paraId="74A26409">
      <w:pPr>
        <w:spacing w:line="400" w:lineRule="exact"/>
        <w:rPr>
          <w:rFonts w:ascii="宋体" w:hAnsi="宋体" w:cs="宋体"/>
          <w:color w:val="auto"/>
          <w:szCs w:val="21"/>
          <w:highlight w:val="none"/>
        </w:rPr>
      </w:pPr>
      <w:r>
        <w:rPr>
          <w:rFonts w:hint="eastAsia" w:ascii="宋体" w:hAnsi="宋体" w:cs="宋体"/>
          <w:b/>
          <w:color w:val="auto"/>
          <w:szCs w:val="21"/>
          <w:highlight w:val="none"/>
        </w:rPr>
        <w:t>5.1</w:t>
      </w:r>
      <w:r>
        <w:rPr>
          <w:rFonts w:hint="eastAsia" w:ascii="宋体" w:hAnsi="宋体" w:cs="宋体"/>
          <w:color w:val="auto"/>
          <w:szCs w:val="21"/>
          <w:highlight w:val="none"/>
        </w:rPr>
        <w:t xml:space="preserve">  投标人代表须持有“单位负责人授权书”。单位负责人是指单位法定代表人或者法律、行政法规规定代表单位行使职权的主要负责人（下同）。</w:t>
      </w:r>
    </w:p>
    <w:p w14:paraId="65A0BB0E">
      <w:pPr>
        <w:spacing w:line="400" w:lineRule="exact"/>
        <w:rPr>
          <w:rFonts w:ascii="宋体" w:hAnsi="宋体" w:cs="宋体"/>
          <w:color w:val="auto"/>
          <w:szCs w:val="21"/>
          <w:highlight w:val="none"/>
          <w:shd w:val="pct10" w:color="auto" w:fill="FFFFFF"/>
        </w:rPr>
      </w:pPr>
      <w:r>
        <w:rPr>
          <w:rFonts w:hint="eastAsia" w:ascii="宋体" w:hAnsi="宋体" w:cs="宋体"/>
          <w:b/>
          <w:color w:val="auto"/>
          <w:szCs w:val="21"/>
          <w:highlight w:val="none"/>
        </w:rPr>
        <w:t xml:space="preserve">5.2  </w:t>
      </w:r>
      <w:r>
        <w:rPr>
          <w:rFonts w:hint="eastAsia" w:ascii="宋体" w:hAnsi="宋体" w:cs="宋体"/>
          <w:color w:val="auto"/>
          <w:szCs w:val="21"/>
          <w:highlight w:val="none"/>
        </w:rPr>
        <w:t>若投标人代表是单位负责人的，则须符合本须知第</w:t>
      </w:r>
      <w:r>
        <w:rPr>
          <w:rFonts w:hint="eastAsia" w:ascii="宋体" w:hAnsi="宋体" w:cs="宋体"/>
          <w:b/>
          <w:color w:val="auto"/>
          <w:szCs w:val="21"/>
          <w:highlight w:val="none"/>
        </w:rPr>
        <w:t>9.1</w:t>
      </w:r>
      <w:r>
        <w:rPr>
          <w:rFonts w:hint="eastAsia" w:ascii="宋体" w:hAnsi="宋体" w:cs="宋体"/>
          <w:color w:val="auto"/>
          <w:szCs w:val="21"/>
          <w:highlight w:val="none"/>
        </w:rPr>
        <w:t>条的要求。</w:t>
      </w:r>
    </w:p>
    <w:p w14:paraId="27661038">
      <w:pPr>
        <w:spacing w:line="400" w:lineRule="exact"/>
        <w:rPr>
          <w:rFonts w:ascii="宋体" w:hAnsi="宋体" w:cs="宋体"/>
          <w:color w:val="auto"/>
          <w:szCs w:val="21"/>
          <w:highlight w:val="none"/>
        </w:rPr>
      </w:pPr>
    </w:p>
    <w:p w14:paraId="2675E216">
      <w:pPr>
        <w:spacing w:line="400" w:lineRule="exact"/>
        <w:rPr>
          <w:rFonts w:ascii="宋体" w:hAnsi="宋体" w:cs="宋体"/>
          <w:color w:val="auto"/>
          <w:szCs w:val="21"/>
          <w:highlight w:val="none"/>
        </w:rPr>
      </w:pPr>
      <w:r>
        <w:rPr>
          <w:rFonts w:hint="eastAsia" w:ascii="宋体" w:hAnsi="宋体" w:cs="宋体"/>
          <w:b/>
          <w:color w:val="auto"/>
          <w:szCs w:val="21"/>
          <w:highlight w:val="none"/>
        </w:rPr>
        <w:t>6.投标费用</w:t>
      </w:r>
    </w:p>
    <w:p w14:paraId="612B14CD">
      <w:pPr>
        <w:spacing w:line="400" w:lineRule="exact"/>
        <w:rPr>
          <w:rFonts w:ascii="宋体" w:hAnsi="宋体" w:cs="宋体"/>
          <w:color w:val="auto"/>
          <w:szCs w:val="21"/>
          <w:highlight w:val="none"/>
        </w:rPr>
      </w:pPr>
      <w:r>
        <w:rPr>
          <w:rFonts w:hint="eastAsia" w:ascii="宋体" w:hAnsi="宋体" w:cs="宋体"/>
          <w:b/>
          <w:color w:val="auto"/>
          <w:szCs w:val="21"/>
          <w:highlight w:val="none"/>
        </w:rPr>
        <w:t>6.1</w:t>
      </w:r>
      <w:r>
        <w:rPr>
          <w:rFonts w:hint="eastAsia" w:ascii="宋体" w:hAnsi="宋体" w:cs="宋体"/>
          <w:color w:val="auto"/>
          <w:szCs w:val="21"/>
          <w:highlight w:val="none"/>
        </w:rPr>
        <w:t xml:space="preserve">  不论招标的结果如何，投标人自行承担其参加本次投标有关的全部费用。</w:t>
      </w:r>
    </w:p>
    <w:p w14:paraId="17AAF0CB">
      <w:pPr>
        <w:spacing w:line="400" w:lineRule="exact"/>
        <w:jc w:val="center"/>
        <w:rPr>
          <w:rFonts w:ascii="宋体" w:hAnsi="宋体" w:cs="宋体"/>
          <w:b/>
          <w:color w:val="auto"/>
          <w:sz w:val="28"/>
          <w:highlight w:val="none"/>
        </w:rPr>
      </w:pPr>
    </w:p>
    <w:p w14:paraId="45229420">
      <w:pPr>
        <w:jc w:val="center"/>
        <w:outlineLvl w:val="1"/>
        <w:rPr>
          <w:rFonts w:ascii="宋体" w:hAnsi="宋体" w:cs="宋体"/>
          <w:b/>
          <w:color w:val="auto"/>
          <w:sz w:val="28"/>
          <w:highlight w:val="none"/>
        </w:rPr>
      </w:pPr>
      <w:bookmarkStart w:id="67" w:name="_Toc513799072"/>
      <w:bookmarkStart w:id="68" w:name="_Toc2094"/>
      <w:bookmarkStart w:id="69" w:name="_Toc136345102"/>
      <w:bookmarkStart w:id="70" w:name="_Toc136017631"/>
      <w:bookmarkStart w:id="71" w:name="_Toc520902395"/>
      <w:bookmarkStart w:id="72" w:name="_Toc440276562"/>
      <w:bookmarkStart w:id="73" w:name="_Toc513798901"/>
      <w:r>
        <w:rPr>
          <w:rFonts w:hint="eastAsia" w:ascii="宋体" w:hAnsi="宋体" w:cs="宋体"/>
          <w:b/>
          <w:color w:val="auto"/>
          <w:sz w:val="28"/>
          <w:highlight w:val="none"/>
        </w:rPr>
        <w:t>B  招标文件</w:t>
      </w:r>
      <w:bookmarkEnd w:id="67"/>
      <w:bookmarkEnd w:id="68"/>
      <w:bookmarkEnd w:id="69"/>
      <w:bookmarkEnd w:id="70"/>
      <w:bookmarkEnd w:id="71"/>
      <w:bookmarkEnd w:id="72"/>
      <w:bookmarkEnd w:id="73"/>
    </w:p>
    <w:p w14:paraId="76074AF0">
      <w:pPr>
        <w:spacing w:line="400" w:lineRule="exact"/>
        <w:rPr>
          <w:rFonts w:ascii="宋体" w:hAnsi="宋体" w:cs="宋体"/>
          <w:color w:val="auto"/>
          <w:szCs w:val="21"/>
          <w:highlight w:val="none"/>
        </w:rPr>
      </w:pPr>
      <w:r>
        <w:rPr>
          <w:rFonts w:hint="eastAsia" w:ascii="宋体" w:hAnsi="宋体" w:cs="宋体"/>
          <w:b/>
          <w:color w:val="auto"/>
          <w:szCs w:val="21"/>
          <w:highlight w:val="none"/>
        </w:rPr>
        <w:t>7.招标文件的构成</w:t>
      </w:r>
    </w:p>
    <w:p w14:paraId="754DD66E">
      <w:pPr>
        <w:spacing w:line="400" w:lineRule="exact"/>
        <w:rPr>
          <w:rFonts w:ascii="宋体" w:hAnsi="宋体" w:cs="宋体"/>
          <w:color w:val="auto"/>
          <w:szCs w:val="21"/>
          <w:highlight w:val="none"/>
        </w:rPr>
      </w:pPr>
      <w:r>
        <w:rPr>
          <w:rFonts w:hint="eastAsia" w:ascii="宋体" w:hAnsi="宋体" w:cs="宋体"/>
          <w:b/>
          <w:color w:val="auto"/>
          <w:szCs w:val="21"/>
          <w:highlight w:val="none"/>
        </w:rPr>
        <w:t>7.1</w:t>
      </w:r>
      <w:r>
        <w:rPr>
          <w:rFonts w:hint="eastAsia" w:ascii="宋体" w:hAnsi="宋体" w:cs="宋体"/>
          <w:color w:val="auto"/>
          <w:szCs w:val="21"/>
          <w:highlight w:val="none"/>
        </w:rPr>
        <w:t xml:space="preserve"> 招标文件共有七部分。内容如下：</w:t>
      </w:r>
    </w:p>
    <w:p w14:paraId="1EFB1121">
      <w:pPr>
        <w:spacing w:line="40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第一部分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招标公告</w:t>
      </w:r>
    </w:p>
    <w:p w14:paraId="50A1EA5F">
      <w:pPr>
        <w:spacing w:line="40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第二部分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招标项目需求</w:t>
      </w:r>
    </w:p>
    <w:p w14:paraId="2B0D97B5">
      <w:pPr>
        <w:spacing w:line="40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第三部分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投标资料表</w:t>
      </w:r>
    </w:p>
    <w:p w14:paraId="178600CF">
      <w:pPr>
        <w:spacing w:line="40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第四部分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投标人须知</w:t>
      </w:r>
    </w:p>
    <w:p w14:paraId="3ADF5323">
      <w:pPr>
        <w:spacing w:line="40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第五部分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评标办法</w:t>
      </w:r>
    </w:p>
    <w:p w14:paraId="6D128BE1">
      <w:pPr>
        <w:spacing w:line="40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第六部分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合同格式</w:t>
      </w:r>
    </w:p>
    <w:p w14:paraId="296C9C2B">
      <w:pPr>
        <w:spacing w:line="40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第七部分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投标文件格式</w:t>
      </w:r>
    </w:p>
    <w:p w14:paraId="7422543B">
      <w:pPr>
        <w:spacing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投标人应详细阅读招标文件的全部内容和要求，不按招标文件的要求提供投标文件和资料导致的风险由投标人承担。</w:t>
      </w:r>
    </w:p>
    <w:p w14:paraId="6A950DA2">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7.2 </w:t>
      </w:r>
      <w:r>
        <w:rPr>
          <w:rFonts w:hint="eastAsia" w:ascii="宋体" w:hAnsi="宋体" w:cs="宋体"/>
          <w:color w:val="auto"/>
          <w:szCs w:val="21"/>
          <w:highlight w:val="none"/>
        </w:rPr>
        <w:t>与本项目有关的澄清或者修改的内容为招标文件的组成部分。</w:t>
      </w:r>
    </w:p>
    <w:p w14:paraId="70C28926">
      <w:pPr>
        <w:spacing w:line="400" w:lineRule="exact"/>
        <w:ind w:firstLine="210" w:firstLineChars="100"/>
        <w:rPr>
          <w:rFonts w:ascii="宋体" w:hAnsi="宋体" w:cs="宋体"/>
          <w:b/>
          <w:color w:val="auto"/>
          <w:szCs w:val="21"/>
          <w:highlight w:val="none"/>
        </w:rPr>
      </w:pPr>
    </w:p>
    <w:p w14:paraId="004A7E7E">
      <w:pPr>
        <w:spacing w:line="400" w:lineRule="exact"/>
        <w:rPr>
          <w:rFonts w:ascii="宋体" w:hAnsi="宋体" w:cs="宋体"/>
          <w:b/>
          <w:color w:val="auto"/>
          <w:szCs w:val="21"/>
          <w:highlight w:val="none"/>
        </w:rPr>
      </w:pPr>
      <w:r>
        <w:rPr>
          <w:rFonts w:hint="eastAsia" w:ascii="宋体" w:hAnsi="宋体" w:cs="宋体"/>
          <w:b/>
          <w:color w:val="auto"/>
          <w:szCs w:val="21"/>
          <w:highlight w:val="none"/>
        </w:rPr>
        <w:t>8.招标文件的澄清和修改</w:t>
      </w:r>
    </w:p>
    <w:p w14:paraId="25C34711">
      <w:pPr>
        <w:spacing w:line="400" w:lineRule="exact"/>
        <w:rPr>
          <w:rFonts w:ascii="宋体" w:hAnsi="宋体" w:cs="宋体"/>
          <w:color w:val="auto"/>
          <w:szCs w:val="21"/>
          <w:highlight w:val="none"/>
        </w:rPr>
      </w:pPr>
      <w:r>
        <w:rPr>
          <w:rFonts w:hint="eastAsia" w:ascii="宋体" w:hAnsi="宋体" w:cs="宋体"/>
          <w:b/>
          <w:color w:val="auto"/>
          <w:szCs w:val="21"/>
          <w:highlight w:val="none"/>
        </w:rPr>
        <w:t>8.1</w:t>
      </w:r>
      <w:r>
        <w:rPr>
          <w:rFonts w:hint="eastAsia" w:ascii="宋体" w:hAnsi="宋体" w:cs="宋体"/>
          <w:color w:val="auto"/>
          <w:szCs w:val="21"/>
          <w:highlight w:val="none"/>
        </w:rPr>
        <w:t>采购人或者采购代理机构可以在招标文件提供期限截止后，组织已获取招标文件的潜在投标人现场考察或者召开开标前答疑会。组织现场考察或者召开答疑会的在招标文件“投标资料表”中载明。</w:t>
      </w:r>
    </w:p>
    <w:p w14:paraId="5EDF8FD0">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8.2  </w:t>
      </w:r>
      <w:r>
        <w:rPr>
          <w:rFonts w:hint="eastAsia" w:ascii="宋体" w:hAnsi="宋体" w:cs="宋体"/>
          <w:color w:val="auto"/>
          <w:szCs w:val="21"/>
          <w:highlight w:val="none"/>
        </w:rPr>
        <w:t>若潜在投标人对招标文件有疑点，要求采购人澄清的，应以书面形式通知采购代理机构，要求澄清的截止时间同有效质疑的截止时间。</w:t>
      </w:r>
    </w:p>
    <w:p w14:paraId="15F607D3">
      <w:pPr>
        <w:spacing w:line="400" w:lineRule="exact"/>
        <w:rPr>
          <w:rFonts w:ascii="宋体" w:hAnsi="宋体" w:cs="宋体"/>
          <w:color w:val="auto"/>
          <w:szCs w:val="21"/>
          <w:highlight w:val="none"/>
        </w:rPr>
      </w:pPr>
      <w:r>
        <w:rPr>
          <w:rFonts w:hint="eastAsia" w:ascii="宋体" w:hAnsi="宋体" w:cs="宋体"/>
          <w:b/>
          <w:color w:val="auto"/>
          <w:szCs w:val="21"/>
          <w:highlight w:val="none"/>
        </w:rPr>
        <w:t>8.3</w:t>
      </w:r>
      <w:r>
        <w:rPr>
          <w:rFonts w:hint="eastAsia" w:ascii="宋体" w:hAnsi="宋体" w:cs="宋体"/>
          <w:color w:val="auto"/>
          <w:szCs w:val="21"/>
          <w:highlight w:val="none"/>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6F36F991">
      <w:pPr>
        <w:spacing w:line="400" w:lineRule="exact"/>
        <w:rPr>
          <w:rFonts w:ascii="宋体" w:hAnsi="宋体" w:cs="宋体"/>
          <w:color w:val="auto"/>
          <w:szCs w:val="21"/>
          <w:highlight w:val="none"/>
        </w:rPr>
      </w:pPr>
      <w:r>
        <w:rPr>
          <w:rFonts w:hint="eastAsia" w:ascii="宋体" w:hAnsi="宋体" w:cs="宋体"/>
          <w:b/>
          <w:color w:val="auto"/>
          <w:szCs w:val="21"/>
          <w:highlight w:val="none"/>
        </w:rPr>
        <w:t>8.4</w:t>
      </w:r>
      <w:r>
        <w:rPr>
          <w:rFonts w:hint="eastAsia" w:ascii="宋体" w:hAnsi="宋体" w:cs="宋体"/>
          <w:color w:val="auto"/>
          <w:szCs w:val="21"/>
          <w:highlight w:val="none"/>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27A81686">
      <w:pPr>
        <w:spacing w:line="400" w:lineRule="exact"/>
        <w:rPr>
          <w:rFonts w:ascii="宋体" w:hAnsi="宋体" w:cs="宋体"/>
          <w:color w:val="auto"/>
          <w:szCs w:val="24"/>
          <w:highlight w:val="none"/>
          <w:u w:val="single"/>
        </w:rPr>
      </w:pPr>
    </w:p>
    <w:p w14:paraId="3A2ECB44">
      <w:pPr>
        <w:jc w:val="center"/>
        <w:outlineLvl w:val="1"/>
        <w:rPr>
          <w:rFonts w:ascii="宋体" w:hAnsi="宋体" w:cs="宋体"/>
          <w:b/>
          <w:color w:val="auto"/>
          <w:sz w:val="28"/>
          <w:highlight w:val="none"/>
        </w:rPr>
      </w:pPr>
      <w:bookmarkStart w:id="74" w:name="_Toc136345103"/>
      <w:bookmarkStart w:id="75" w:name="_Toc513798902"/>
      <w:bookmarkStart w:id="76" w:name="_Toc440276563"/>
      <w:bookmarkStart w:id="77" w:name="_Toc513799073"/>
      <w:bookmarkStart w:id="78" w:name="_Toc5520"/>
      <w:bookmarkStart w:id="79" w:name="_Toc136017632"/>
      <w:bookmarkStart w:id="80" w:name="_Toc520902396"/>
      <w:r>
        <w:rPr>
          <w:rFonts w:hint="eastAsia" w:ascii="宋体" w:hAnsi="宋体" w:cs="宋体"/>
          <w:b/>
          <w:color w:val="auto"/>
          <w:sz w:val="28"/>
          <w:highlight w:val="none"/>
        </w:rPr>
        <w:t>C  投标文件</w:t>
      </w:r>
      <w:bookmarkEnd w:id="74"/>
      <w:bookmarkEnd w:id="75"/>
      <w:bookmarkEnd w:id="76"/>
      <w:bookmarkEnd w:id="77"/>
      <w:bookmarkEnd w:id="78"/>
      <w:bookmarkEnd w:id="79"/>
      <w:bookmarkEnd w:id="80"/>
    </w:p>
    <w:p w14:paraId="569C2DFA">
      <w:pPr>
        <w:spacing w:line="360" w:lineRule="auto"/>
        <w:rPr>
          <w:rFonts w:ascii="宋体" w:hAnsi="宋体" w:cs="宋体"/>
          <w:b/>
          <w:color w:val="auto"/>
          <w:szCs w:val="21"/>
          <w:highlight w:val="none"/>
        </w:rPr>
      </w:pPr>
      <w:r>
        <w:rPr>
          <w:rFonts w:hint="eastAsia" w:ascii="宋体" w:hAnsi="宋体" w:cs="宋体"/>
          <w:b/>
          <w:color w:val="auto"/>
          <w:szCs w:val="21"/>
          <w:highlight w:val="none"/>
        </w:rPr>
        <w:t>9. 投标文件的组成</w:t>
      </w:r>
    </w:p>
    <w:p w14:paraId="53267DED">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9.1</w:t>
      </w:r>
      <w:r>
        <w:rPr>
          <w:rFonts w:hint="eastAsia" w:cs="宋体" w:asciiTheme="minorEastAsia" w:hAnsiTheme="minorEastAsia" w:eastAsiaTheme="minorEastAsia"/>
          <w:b/>
          <w:bCs/>
          <w:color w:val="auto"/>
          <w:kern w:val="0"/>
          <w:szCs w:val="21"/>
          <w:highlight w:val="none"/>
        </w:rPr>
        <w:t xml:space="preserve">投标文件的形式和效力 </w:t>
      </w:r>
    </w:p>
    <w:p w14:paraId="40E0FDA8">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（1）投标文件分为电子投标文件以及备份投标文件，备份投标文件为以 U 盘存储的电子备份投标文件。</w:t>
      </w:r>
    </w:p>
    <w:p w14:paraId="63E69DC1">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（2）电子投标文件，按“政采云供应商项目采购-电子招投标操作指南”及本招标文件要求制作、加密并递交。 </w:t>
      </w:r>
    </w:p>
    <w:p w14:paraId="26AB18AC">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38623396">
      <w:pPr>
        <w:spacing w:line="400" w:lineRule="exact"/>
        <w:ind w:firstLine="420" w:firstLineChars="200"/>
        <w:rPr>
          <w:rFonts w:ascii="宋体" w:hAnsi="宋体" w:cs="宋体"/>
          <w:color w:val="auto"/>
          <w:szCs w:val="21"/>
          <w:highlight w:val="none"/>
        </w:rPr>
      </w:pPr>
      <w:r>
        <w:rPr>
          <w:rFonts w:hint="eastAsia" w:cs="宋体" w:asciiTheme="minorEastAsia" w:hAnsiTheme="minorEastAsia" w:eastAsiaTheme="minorEastAsia"/>
          <w:b/>
          <w:color w:val="auto"/>
          <w:kern w:val="0"/>
          <w:szCs w:val="21"/>
          <w:highlight w:val="none"/>
        </w:rPr>
        <w:t>（</w:t>
      </w:r>
      <w:r>
        <w:rPr>
          <w:rFonts w:hint="eastAsia" w:cs="宋体" w:asciiTheme="minorEastAsia" w:hAnsiTheme="minorEastAsia" w:eastAsiaTheme="minorEastAsia"/>
          <w:b/>
          <w:bCs/>
          <w:color w:val="auto"/>
          <w:kern w:val="0"/>
          <w:szCs w:val="21"/>
          <w:highlight w:val="none"/>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68479230">
      <w:pPr>
        <w:spacing w:line="400" w:lineRule="exact"/>
        <w:rPr>
          <w:rFonts w:ascii="宋体" w:hAnsi="宋体" w:cs="宋体"/>
          <w:color w:val="auto"/>
          <w:szCs w:val="21"/>
          <w:highlight w:val="none"/>
        </w:rPr>
      </w:pPr>
      <w:r>
        <w:rPr>
          <w:rFonts w:hint="eastAsia" w:ascii="宋体" w:hAnsi="宋体" w:cs="宋体"/>
          <w:b/>
          <w:color w:val="auto"/>
          <w:szCs w:val="21"/>
          <w:highlight w:val="none"/>
        </w:rPr>
        <w:t>9.2</w:t>
      </w:r>
      <w:r>
        <w:rPr>
          <w:rFonts w:hint="eastAsia" w:cs="宋体" w:asciiTheme="minorEastAsia" w:hAnsiTheme="minorEastAsia" w:eastAsiaTheme="minorEastAsia"/>
          <w:bCs/>
          <w:color w:val="auto"/>
          <w:kern w:val="0"/>
          <w:szCs w:val="21"/>
          <w:highlight w:val="none"/>
        </w:rPr>
        <w:t>投标文件由资格文件、商务技术文件和报价文件三部分组成，资格文件、商务技术文件、报价文件分别编制；电子投标文件中所须加盖公章部分均采用 CA 签章。</w:t>
      </w:r>
      <w:r>
        <w:rPr>
          <w:rFonts w:hint="eastAsia" w:ascii="宋体" w:hAnsi="宋体" w:cs="宋体"/>
          <w:color w:val="auto"/>
          <w:szCs w:val="21"/>
          <w:highlight w:val="none"/>
        </w:rPr>
        <w:t>具体组成内容在本招标文件“投标资料表”中做出规定。</w:t>
      </w:r>
    </w:p>
    <w:p w14:paraId="46CF1785">
      <w:pPr>
        <w:spacing w:line="440" w:lineRule="exact"/>
        <w:rPr>
          <w:rFonts w:ascii="宋体" w:hAnsi="宋体"/>
          <w:color w:val="auto"/>
          <w:szCs w:val="21"/>
          <w:highlight w:val="none"/>
        </w:rPr>
      </w:pPr>
      <w:r>
        <w:rPr>
          <w:rFonts w:hint="eastAsia" w:ascii="宋体" w:hAnsi="宋体"/>
          <w:b/>
          <w:color w:val="auto"/>
          <w:szCs w:val="21"/>
          <w:highlight w:val="none"/>
        </w:rPr>
        <w:t>9.3</w:t>
      </w:r>
      <w:r>
        <w:rPr>
          <w:rFonts w:hint="eastAsia" w:ascii="宋体" w:hAnsi="宋体"/>
          <w:color w:val="auto"/>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14:paraId="5A5CC952">
      <w:pPr>
        <w:spacing w:line="440" w:lineRule="exact"/>
        <w:rPr>
          <w:rFonts w:ascii="宋体" w:hAnsi="宋体"/>
          <w:color w:val="auto"/>
          <w:szCs w:val="21"/>
          <w:highlight w:val="none"/>
        </w:rPr>
      </w:pPr>
    </w:p>
    <w:p w14:paraId="08BD0000">
      <w:pPr>
        <w:spacing w:line="400" w:lineRule="exact"/>
        <w:rPr>
          <w:rFonts w:ascii="宋体" w:hAnsi="宋体" w:cs="宋体"/>
          <w:b/>
          <w:color w:val="auto"/>
          <w:szCs w:val="21"/>
          <w:highlight w:val="none"/>
        </w:rPr>
      </w:pPr>
      <w:r>
        <w:rPr>
          <w:rFonts w:hint="eastAsia" w:ascii="宋体" w:hAnsi="宋体" w:cs="宋体"/>
          <w:b/>
          <w:color w:val="auto"/>
          <w:szCs w:val="21"/>
          <w:highlight w:val="none"/>
        </w:rPr>
        <w:t>10.  投标报价</w:t>
      </w:r>
    </w:p>
    <w:p w14:paraId="1A4D003C">
      <w:pPr>
        <w:spacing w:line="400" w:lineRule="exact"/>
        <w:rPr>
          <w:rFonts w:ascii="宋体" w:hAnsi="宋体" w:cs="宋体"/>
          <w:color w:val="auto"/>
          <w:szCs w:val="21"/>
          <w:highlight w:val="none"/>
        </w:rPr>
      </w:pPr>
      <w:r>
        <w:rPr>
          <w:rFonts w:hint="eastAsia" w:ascii="宋体" w:hAnsi="宋体" w:cs="宋体"/>
          <w:b/>
          <w:color w:val="auto"/>
          <w:szCs w:val="21"/>
          <w:highlight w:val="none"/>
        </w:rPr>
        <w:t>10.1</w:t>
      </w:r>
      <w:r>
        <w:rPr>
          <w:rFonts w:hint="eastAsia" w:ascii="宋体" w:hAnsi="宋体" w:cs="宋体"/>
          <w:color w:val="auto"/>
          <w:szCs w:val="21"/>
          <w:highlight w:val="none"/>
        </w:rPr>
        <w:t xml:space="preserve">  本次招标对投标报价组成的具体要求在招标文件“投标资料表”中做出规定。</w:t>
      </w:r>
    </w:p>
    <w:p w14:paraId="7AAFB374">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10.2  </w:t>
      </w:r>
      <w:r>
        <w:rPr>
          <w:rFonts w:hint="eastAsia" w:ascii="宋体" w:hAnsi="宋体" w:cs="宋体"/>
          <w:color w:val="auto"/>
          <w:szCs w:val="21"/>
          <w:highlight w:val="none"/>
        </w:rPr>
        <w:t>投标人要按照招标文件中的“开标一览表”格式和内容完整填写投标总价及其他事项。</w:t>
      </w:r>
    </w:p>
    <w:p w14:paraId="12502D24">
      <w:pPr>
        <w:spacing w:line="400" w:lineRule="exact"/>
        <w:rPr>
          <w:rFonts w:ascii="宋体" w:hAnsi="宋体" w:cs="宋体"/>
          <w:color w:val="auto"/>
          <w:szCs w:val="21"/>
          <w:highlight w:val="none"/>
        </w:rPr>
      </w:pPr>
      <w:r>
        <w:rPr>
          <w:rFonts w:hint="eastAsia" w:ascii="宋体" w:hAnsi="宋体" w:cs="宋体"/>
          <w:b/>
          <w:color w:val="auto"/>
          <w:szCs w:val="21"/>
          <w:highlight w:val="none"/>
        </w:rPr>
        <w:t>10.3</w:t>
      </w:r>
      <w:r>
        <w:rPr>
          <w:rFonts w:hint="eastAsia" w:ascii="宋体" w:hAnsi="宋体" w:cs="宋体"/>
          <w:color w:val="auto"/>
          <w:szCs w:val="21"/>
          <w:highlight w:val="none"/>
        </w:rPr>
        <w:t xml:space="preserve">  除非招标文件另有备选投标方案的规定，投标应该只有一个投标报价。投标人若有投标声明，应载明在“开标一览表”中，供开标时唱出，未经唱出的声明在评标时不作考虑。</w:t>
      </w:r>
    </w:p>
    <w:p w14:paraId="68235154">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10.4  </w:t>
      </w:r>
      <w:r>
        <w:rPr>
          <w:rFonts w:hint="eastAsia" w:ascii="宋体" w:hAnsi="宋体" w:cs="宋体"/>
          <w:color w:val="auto"/>
          <w:szCs w:val="21"/>
          <w:highlight w:val="none"/>
        </w:rPr>
        <w:t>开标后以及在评标及中标后的合同执行过程中，投标人不得以任何理由变更投标价格。</w:t>
      </w:r>
      <w:r>
        <w:rPr>
          <w:rFonts w:hint="eastAsia" w:ascii="宋体" w:hAnsi="宋体" w:cs="宋体"/>
          <w:b/>
          <w:color w:val="auto"/>
          <w:szCs w:val="21"/>
          <w:highlight w:val="none"/>
        </w:rPr>
        <w:t>若投标人在中标以后做出任何改变投标价格的决定，将被视作撤标而失去中标资格。</w:t>
      </w:r>
    </w:p>
    <w:p w14:paraId="1CFA89CC">
      <w:pPr>
        <w:spacing w:line="400" w:lineRule="exact"/>
        <w:rPr>
          <w:rFonts w:ascii="宋体" w:hAnsi="宋体" w:cs="宋体"/>
          <w:b/>
          <w:color w:val="auto"/>
          <w:szCs w:val="21"/>
          <w:highlight w:val="none"/>
        </w:rPr>
      </w:pPr>
      <w:r>
        <w:rPr>
          <w:rFonts w:hint="eastAsia" w:ascii="宋体" w:hAnsi="宋体" w:cs="宋体"/>
          <w:b/>
          <w:color w:val="auto"/>
          <w:szCs w:val="21"/>
          <w:highlight w:val="none"/>
        </w:rPr>
        <w:t>10.5  本项目采用最高投标限价，超过最高限价的投标文件无效。</w:t>
      </w:r>
    </w:p>
    <w:p w14:paraId="1CEF1A49">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10.6  </w:t>
      </w:r>
      <w:r>
        <w:rPr>
          <w:rFonts w:hint="eastAsia" w:ascii="宋体" w:hAnsi="宋体" w:cs="宋体"/>
          <w:color w:val="auto"/>
          <w:szCs w:val="21"/>
          <w:highlight w:val="none"/>
        </w:rPr>
        <w:t>本项目的投标货币为人民币。</w:t>
      </w:r>
    </w:p>
    <w:p w14:paraId="75E48D15">
      <w:pPr>
        <w:spacing w:line="400" w:lineRule="exact"/>
        <w:rPr>
          <w:rFonts w:ascii="宋体" w:hAnsi="宋体" w:cs="宋体"/>
          <w:b/>
          <w:color w:val="auto"/>
          <w:szCs w:val="21"/>
          <w:highlight w:val="none"/>
        </w:rPr>
      </w:pPr>
    </w:p>
    <w:p w14:paraId="40F0E0ED">
      <w:pPr>
        <w:spacing w:line="400" w:lineRule="exact"/>
        <w:rPr>
          <w:rFonts w:ascii="宋体" w:hAnsi="宋体" w:cs="宋体"/>
          <w:color w:val="auto"/>
          <w:szCs w:val="21"/>
          <w:highlight w:val="none"/>
        </w:rPr>
      </w:pPr>
      <w:r>
        <w:rPr>
          <w:rFonts w:hint="eastAsia" w:ascii="宋体" w:hAnsi="宋体" w:cs="宋体"/>
          <w:b/>
          <w:color w:val="auto"/>
          <w:szCs w:val="21"/>
          <w:highlight w:val="none"/>
        </w:rPr>
        <w:t>11.  投标文件的格式和编写</w:t>
      </w:r>
    </w:p>
    <w:p w14:paraId="3019418E">
      <w:pPr>
        <w:spacing w:line="400" w:lineRule="exact"/>
        <w:rPr>
          <w:rFonts w:ascii="宋体" w:hAnsi="宋体" w:cs="宋体"/>
          <w:color w:val="auto"/>
          <w:szCs w:val="21"/>
          <w:highlight w:val="none"/>
        </w:rPr>
      </w:pPr>
      <w:r>
        <w:rPr>
          <w:rFonts w:hint="eastAsia" w:ascii="宋体" w:hAnsi="宋体" w:cs="宋体"/>
          <w:b/>
          <w:color w:val="auto"/>
          <w:szCs w:val="21"/>
          <w:highlight w:val="none"/>
        </w:rPr>
        <w:t>11.1</w:t>
      </w:r>
      <w:r>
        <w:rPr>
          <w:rFonts w:hint="eastAsia" w:ascii="宋体" w:hAnsi="宋体" w:cs="宋体"/>
          <w:color w:val="auto"/>
          <w:szCs w:val="21"/>
          <w:highlight w:val="none"/>
        </w:rPr>
        <w:t xml:space="preserve">  投标文件须按“投标文件的有关格式”提供的统一格式填写、签署和加盖公章。</w:t>
      </w:r>
    </w:p>
    <w:p w14:paraId="69959EA9">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11.2 </w:t>
      </w:r>
      <w:r>
        <w:rPr>
          <w:rFonts w:hint="eastAsia" w:ascii="宋体" w:hAnsi="宋体" w:cs="宋体"/>
          <w:color w:val="auto"/>
          <w:szCs w:val="21"/>
          <w:highlight w:val="none"/>
        </w:rPr>
        <w:t xml:space="preserve"> “开标一览表”应按照统一格式填写，不得自行增减内容。</w:t>
      </w:r>
    </w:p>
    <w:p w14:paraId="6968A485">
      <w:pPr>
        <w:widowControl/>
        <w:spacing w:line="360" w:lineRule="auto"/>
        <w:rPr>
          <w:rFonts w:ascii="宋体" w:hAnsi="宋体" w:cs="宋体"/>
          <w:color w:val="auto"/>
          <w:szCs w:val="21"/>
          <w:highlight w:val="none"/>
        </w:rPr>
      </w:pPr>
      <w:r>
        <w:rPr>
          <w:rFonts w:hint="eastAsia" w:cs="宋体" w:asciiTheme="minorEastAsia" w:hAnsiTheme="minorEastAsia" w:eastAsiaTheme="minorEastAsia"/>
          <w:b/>
          <w:color w:val="auto"/>
          <w:szCs w:val="21"/>
          <w:highlight w:val="none"/>
        </w:rPr>
        <w:t xml:space="preserve">11.3  </w:t>
      </w:r>
      <w:r>
        <w:rPr>
          <w:rFonts w:hint="eastAsia" w:cs="宋体" w:asciiTheme="minorEastAsia" w:hAnsiTheme="minorEastAsia" w:eastAsiaTheme="minorEastAsia"/>
          <w:bCs/>
          <w:color w:val="auto"/>
          <w:szCs w:val="21"/>
          <w:highlight w:val="none"/>
        </w:rPr>
        <w:t>投标书文件数量</w:t>
      </w:r>
      <w:r>
        <w:rPr>
          <w:rFonts w:hint="eastAsia" w:ascii="宋体" w:hAnsi="宋体" w:cs="宋体"/>
          <w:color w:val="auto"/>
          <w:szCs w:val="21"/>
          <w:highlight w:val="none"/>
        </w:rPr>
        <w:t>的具体要求在招标文件“投标资料表”中做出规定。</w:t>
      </w:r>
    </w:p>
    <w:p w14:paraId="6E14988F">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 xml:space="preserve">1.4  </w:t>
      </w:r>
      <w:r>
        <w:rPr>
          <w:rFonts w:hint="eastAsia" w:cs="宋体" w:asciiTheme="minorEastAsia" w:hAnsiTheme="minorEastAsia" w:eastAsiaTheme="minorEastAsia"/>
          <w:b/>
          <w:bCs/>
          <w:color w:val="auto"/>
          <w:kern w:val="0"/>
          <w:szCs w:val="21"/>
          <w:highlight w:val="none"/>
        </w:rPr>
        <w:t>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w:t>
      </w:r>
    </w:p>
    <w:p w14:paraId="4A224A01">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11.5 </w:t>
      </w:r>
      <w:r>
        <w:rPr>
          <w:rFonts w:hint="eastAsia" w:ascii="宋体" w:hAnsi="宋体" w:cs="宋体"/>
          <w:color w:val="auto"/>
          <w:szCs w:val="21"/>
          <w:highlight w:val="none"/>
        </w:rPr>
        <w:t>除招标文件有特殊要求外，投标文件中所使用的计量单位应采用国家法定计量单位。</w:t>
      </w:r>
    </w:p>
    <w:p w14:paraId="2BCDE6DE">
      <w:pPr>
        <w:spacing w:line="400" w:lineRule="exact"/>
        <w:rPr>
          <w:rFonts w:ascii="宋体" w:hAnsi="宋体" w:cs="宋体"/>
          <w:color w:val="auto"/>
          <w:szCs w:val="21"/>
          <w:highlight w:val="none"/>
        </w:rPr>
      </w:pPr>
    </w:p>
    <w:p w14:paraId="5193FD77">
      <w:pPr>
        <w:spacing w:line="400" w:lineRule="exact"/>
        <w:rPr>
          <w:rFonts w:ascii="宋体" w:hAnsi="宋体" w:cs="宋体"/>
          <w:color w:val="auto"/>
          <w:szCs w:val="21"/>
          <w:highlight w:val="none"/>
        </w:rPr>
      </w:pPr>
      <w:r>
        <w:rPr>
          <w:rFonts w:hint="eastAsia" w:ascii="宋体" w:hAnsi="宋体" w:cs="宋体"/>
          <w:b/>
          <w:color w:val="auto"/>
          <w:szCs w:val="21"/>
          <w:highlight w:val="none"/>
        </w:rPr>
        <w:t>12. 投标有效期</w:t>
      </w:r>
    </w:p>
    <w:p w14:paraId="1690141E">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12.1 </w:t>
      </w:r>
      <w:r>
        <w:rPr>
          <w:rFonts w:hint="eastAsia" w:ascii="宋体" w:hAnsi="宋体" w:cs="宋体"/>
          <w:color w:val="auto"/>
          <w:szCs w:val="21"/>
          <w:highlight w:val="none"/>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715D13EB">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12.2  </w:t>
      </w:r>
      <w:r>
        <w:rPr>
          <w:rFonts w:hint="eastAsia" w:ascii="宋体" w:hAnsi="宋体" w:cs="宋体"/>
          <w:color w:val="auto"/>
          <w:szCs w:val="21"/>
          <w:highlight w:val="none"/>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4A750766">
      <w:pPr>
        <w:spacing w:line="400" w:lineRule="exact"/>
        <w:rPr>
          <w:rFonts w:ascii="宋体" w:hAnsi="宋体" w:cs="宋体"/>
          <w:b/>
          <w:color w:val="auto"/>
          <w:szCs w:val="21"/>
          <w:highlight w:val="none"/>
        </w:rPr>
      </w:pPr>
    </w:p>
    <w:p w14:paraId="0DDCBCFC">
      <w:pPr>
        <w:spacing w:line="400" w:lineRule="exact"/>
        <w:rPr>
          <w:rFonts w:ascii="宋体" w:hAnsi="宋体" w:cs="宋体"/>
          <w:color w:val="auto"/>
          <w:szCs w:val="21"/>
          <w:highlight w:val="none"/>
        </w:rPr>
      </w:pPr>
      <w:r>
        <w:rPr>
          <w:rFonts w:hint="eastAsia" w:ascii="宋体" w:hAnsi="宋体" w:cs="宋体"/>
          <w:b/>
          <w:color w:val="auto"/>
          <w:szCs w:val="21"/>
          <w:highlight w:val="none"/>
        </w:rPr>
        <w:t>13  投标保证金</w:t>
      </w:r>
    </w:p>
    <w:p w14:paraId="43CE6765">
      <w:pPr>
        <w:spacing w:line="400" w:lineRule="exact"/>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14:paraId="159B632B">
      <w:pPr>
        <w:spacing w:line="400" w:lineRule="exact"/>
        <w:rPr>
          <w:rFonts w:ascii="宋体" w:hAnsi="宋体" w:cs="宋体"/>
          <w:color w:val="auto"/>
          <w:sz w:val="24"/>
          <w:highlight w:val="none"/>
          <w:u w:val="single"/>
        </w:rPr>
      </w:pPr>
    </w:p>
    <w:p w14:paraId="0EC07822">
      <w:pPr>
        <w:jc w:val="center"/>
        <w:outlineLvl w:val="1"/>
        <w:rPr>
          <w:rFonts w:ascii="宋体" w:hAnsi="宋体" w:cs="宋体"/>
          <w:b/>
          <w:color w:val="auto"/>
          <w:sz w:val="28"/>
          <w:highlight w:val="none"/>
        </w:rPr>
      </w:pPr>
      <w:bookmarkStart w:id="81" w:name="_Toc136345104"/>
      <w:bookmarkStart w:id="82" w:name="_Toc136017633"/>
      <w:bookmarkStart w:id="83" w:name="_Toc520902397"/>
      <w:bookmarkStart w:id="84" w:name="_Toc513799074"/>
      <w:bookmarkStart w:id="85" w:name="_Toc513798903"/>
      <w:bookmarkStart w:id="86" w:name="_Toc440276564"/>
      <w:bookmarkStart w:id="87" w:name="_Toc21277"/>
      <w:r>
        <w:rPr>
          <w:rFonts w:hint="eastAsia" w:ascii="宋体" w:hAnsi="宋体" w:cs="宋体"/>
          <w:b/>
          <w:color w:val="auto"/>
          <w:sz w:val="28"/>
          <w:highlight w:val="none"/>
        </w:rPr>
        <w:t>D  投标文件的递交</w:t>
      </w:r>
      <w:bookmarkEnd w:id="81"/>
      <w:bookmarkEnd w:id="82"/>
      <w:bookmarkEnd w:id="83"/>
      <w:bookmarkEnd w:id="84"/>
      <w:bookmarkEnd w:id="85"/>
      <w:bookmarkEnd w:id="86"/>
      <w:bookmarkEnd w:id="87"/>
    </w:p>
    <w:p w14:paraId="4AD4A90F">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14.投标文件的装订、密封、标记和递送</w:t>
      </w:r>
    </w:p>
    <w:p w14:paraId="43769CE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 xml:space="preserve">14.1  </w:t>
      </w:r>
      <w:r>
        <w:rPr>
          <w:rFonts w:hint="eastAsia" w:cs="宋体" w:asciiTheme="minorEastAsia" w:hAnsiTheme="minorEastAsia" w:eastAsiaTheme="minorEastAsia"/>
          <w:color w:val="auto"/>
          <w:kern w:val="0"/>
          <w:szCs w:val="21"/>
          <w:highlight w:val="none"/>
        </w:rPr>
        <w:t xml:space="preserve">电子投标文件：投标人应根据“项目采购-电子招投标操作指南”及本招标文件规定的格式和顺序编制电子投标文件并进行关联定位。 </w:t>
      </w:r>
    </w:p>
    <w:p w14:paraId="60363F9A">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14.</w:t>
      </w:r>
      <w:r>
        <w:rPr>
          <w:rFonts w:hint="eastAsia" w:cs="宋体" w:asciiTheme="minorEastAsia" w:hAnsiTheme="minorEastAsia" w:eastAsiaTheme="minorEastAsia"/>
          <w:b/>
          <w:bCs/>
          <w:color w:val="auto"/>
          <w:kern w:val="0"/>
          <w:szCs w:val="21"/>
          <w:highlight w:val="none"/>
        </w:rPr>
        <w:t xml:space="preserve">2  电子备份投标文件：单独包封，外包装封面上应注明投标人名称、投标人地址、投标文件名称（电子投标文件的备份文件）、投标项目名称、项目编号及“开标时启封”字样，并加盖投标人公章。 </w:t>
      </w:r>
    </w:p>
    <w:p w14:paraId="0F489002">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14.</w:t>
      </w:r>
      <w:r>
        <w:rPr>
          <w:rFonts w:hint="eastAsia" w:cs="宋体" w:asciiTheme="minorEastAsia" w:hAnsiTheme="minorEastAsia" w:eastAsiaTheme="minorEastAsia"/>
          <w:b/>
          <w:bCs/>
          <w:color w:val="auto"/>
          <w:kern w:val="0"/>
          <w:szCs w:val="21"/>
          <w:highlight w:val="none"/>
        </w:rPr>
        <w:t xml:space="preserve">3  未按规定密封或标记的电子备份投标文件，采购人有权拒绝接受其投标。 </w:t>
      </w:r>
    </w:p>
    <w:p w14:paraId="0E18248C">
      <w:pPr>
        <w:spacing w:line="400" w:lineRule="exac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14.</w:t>
      </w:r>
      <w:r>
        <w:rPr>
          <w:rFonts w:hint="eastAsia" w:cs="宋体" w:asciiTheme="minorEastAsia" w:hAnsiTheme="minorEastAsia" w:eastAsiaTheme="minorEastAsia"/>
          <w:color w:val="auto"/>
          <w:kern w:val="0"/>
          <w:szCs w:val="21"/>
          <w:highlight w:val="none"/>
        </w:rPr>
        <w:t>4  如果投标人未按上述要求密封或标记而造成投标文件被误投或提前拆封的风险由投标人承担。</w:t>
      </w:r>
    </w:p>
    <w:p w14:paraId="4E163508">
      <w:pPr>
        <w:spacing w:line="400" w:lineRule="exact"/>
        <w:rPr>
          <w:rFonts w:ascii="宋体" w:hAnsi="宋体" w:cs="宋体"/>
          <w:color w:val="auto"/>
          <w:szCs w:val="21"/>
          <w:highlight w:val="none"/>
        </w:rPr>
      </w:pPr>
    </w:p>
    <w:p w14:paraId="252EC2A8">
      <w:pPr>
        <w:spacing w:line="400" w:lineRule="exact"/>
        <w:rPr>
          <w:rFonts w:ascii="宋体" w:hAnsi="宋体" w:cs="宋体"/>
          <w:color w:val="auto"/>
          <w:szCs w:val="21"/>
          <w:highlight w:val="none"/>
        </w:rPr>
      </w:pPr>
      <w:r>
        <w:rPr>
          <w:rFonts w:hint="eastAsia" w:ascii="宋体" w:hAnsi="宋体" w:cs="宋体"/>
          <w:b/>
          <w:color w:val="auto"/>
          <w:szCs w:val="21"/>
          <w:highlight w:val="none"/>
        </w:rPr>
        <w:t>15. 投标截止时间</w:t>
      </w:r>
    </w:p>
    <w:p w14:paraId="79933CC3">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15.1 </w:t>
      </w:r>
      <w:r>
        <w:rPr>
          <w:rFonts w:hint="eastAsia" w:ascii="宋体" w:hAnsi="宋体" w:cs="宋体"/>
          <w:color w:val="auto"/>
          <w:szCs w:val="21"/>
          <w:highlight w:val="none"/>
        </w:rPr>
        <w:t xml:space="preserve"> 投标人应在招标文件要求提交（上传）投标文件的截止时间前，将投标文件上传至政府采购云平台。采购代理机构</w:t>
      </w:r>
      <w:r>
        <w:rPr>
          <w:rFonts w:hint="eastAsia" w:ascii="宋体" w:hAnsi="宋体" w:cs="宋体"/>
          <w:b/>
          <w:color w:val="auto"/>
          <w:szCs w:val="21"/>
          <w:highlight w:val="none"/>
        </w:rPr>
        <w:t>拒绝接收在投标截止时间以后提交（上传）的投标文件</w:t>
      </w:r>
      <w:r>
        <w:rPr>
          <w:rFonts w:hint="eastAsia" w:ascii="宋体" w:hAnsi="宋体" w:cs="宋体"/>
          <w:color w:val="auto"/>
          <w:szCs w:val="21"/>
          <w:highlight w:val="none"/>
        </w:rPr>
        <w:t>。</w:t>
      </w:r>
    </w:p>
    <w:p w14:paraId="7AB25682">
      <w:pPr>
        <w:spacing w:line="400" w:lineRule="exact"/>
        <w:rPr>
          <w:rFonts w:ascii="宋体" w:hAnsi="宋体" w:cs="宋体"/>
          <w:color w:val="auto"/>
          <w:szCs w:val="21"/>
          <w:highlight w:val="none"/>
        </w:rPr>
      </w:pPr>
      <w:r>
        <w:rPr>
          <w:rFonts w:hint="eastAsia" w:ascii="宋体" w:hAnsi="宋体" w:cs="宋体"/>
          <w:b/>
          <w:color w:val="auto"/>
          <w:szCs w:val="21"/>
          <w:highlight w:val="none"/>
        </w:rPr>
        <w:t>15.2</w:t>
      </w:r>
      <w:r>
        <w:rPr>
          <w:rFonts w:hint="eastAsia" w:ascii="宋体" w:hAnsi="宋体" w:cs="宋体"/>
          <w:color w:val="auto"/>
          <w:szCs w:val="21"/>
          <w:highlight w:val="none"/>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04D88EFC">
      <w:pPr>
        <w:spacing w:line="400" w:lineRule="exact"/>
        <w:rPr>
          <w:rFonts w:ascii="宋体" w:hAnsi="宋体" w:cs="宋体"/>
          <w:color w:val="auto"/>
          <w:szCs w:val="21"/>
          <w:highlight w:val="none"/>
        </w:rPr>
      </w:pPr>
    </w:p>
    <w:p w14:paraId="5DEF1990">
      <w:pPr>
        <w:spacing w:line="400" w:lineRule="exact"/>
        <w:rPr>
          <w:rFonts w:ascii="宋体" w:hAnsi="宋体" w:cs="宋体"/>
          <w:color w:val="auto"/>
          <w:szCs w:val="21"/>
          <w:highlight w:val="none"/>
        </w:rPr>
      </w:pPr>
      <w:r>
        <w:rPr>
          <w:rFonts w:hint="eastAsia" w:ascii="宋体" w:hAnsi="宋体" w:cs="宋体"/>
          <w:b/>
          <w:color w:val="auto"/>
          <w:szCs w:val="21"/>
          <w:highlight w:val="none"/>
        </w:rPr>
        <w:t>16.投标文件的修改和撤回</w:t>
      </w:r>
    </w:p>
    <w:p w14:paraId="45E2BD08">
      <w:pPr>
        <w:spacing w:line="400" w:lineRule="exact"/>
        <w:rPr>
          <w:rFonts w:ascii="宋体" w:hAnsi="宋体" w:cs="宋体"/>
          <w:color w:val="auto"/>
          <w:szCs w:val="21"/>
          <w:highlight w:val="none"/>
        </w:rPr>
      </w:pPr>
      <w:r>
        <w:rPr>
          <w:rFonts w:hint="eastAsia" w:ascii="宋体" w:hAnsi="宋体" w:cs="宋体"/>
          <w:b/>
          <w:color w:val="auto"/>
          <w:szCs w:val="21"/>
          <w:highlight w:val="none"/>
        </w:rPr>
        <w:t>16.1</w:t>
      </w:r>
      <w:r>
        <w:rPr>
          <w:rFonts w:hint="eastAsia" w:ascii="宋体" w:hAnsi="宋体" w:cs="宋体"/>
          <w:color w:val="auto"/>
          <w:szCs w:val="21"/>
          <w:highlight w:val="none"/>
        </w:rPr>
        <w:t xml:space="preserve">  投标人在投标截止时间前，可以对已经提交的投标文件进行补充、修改或者撤回。</w:t>
      </w:r>
    </w:p>
    <w:p w14:paraId="0A795E55">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32D0982D">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投标人在投标截止时间前递交了需要补充或修改的电子加密投标文件的备份投标文件，可以重新提交补充或修改后的备份投标文件。</w:t>
      </w:r>
    </w:p>
    <w:p w14:paraId="00F33A80">
      <w:pPr>
        <w:spacing w:line="400" w:lineRule="exact"/>
        <w:rPr>
          <w:rFonts w:ascii="宋体" w:hAnsi="宋体" w:cs="宋体"/>
          <w:color w:val="auto"/>
          <w:szCs w:val="21"/>
          <w:highlight w:val="none"/>
        </w:rPr>
      </w:pPr>
      <w:r>
        <w:rPr>
          <w:rFonts w:hint="eastAsia" w:ascii="宋体" w:hAnsi="宋体" w:cs="宋体"/>
          <w:b/>
          <w:color w:val="auto"/>
          <w:szCs w:val="21"/>
          <w:highlight w:val="none"/>
        </w:rPr>
        <w:t>16.2</w:t>
      </w:r>
      <w:r>
        <w:rPr>
          <w:rFonts w:hint="eastAsia" w:ascii="宋体" w:hAnsi="宋体" w:cs="宋体"/>
          <w:color w:val="auto"/>
          <w:szCs w:val="21"/>
          <w:highlight w:val="none"/>
        </w:rPr>
        <w:t xml:space="preserve">  投标截止时间后，投标人不得对其投标文件进行补充、修改。</w:t>
      </w:r>
    </w:p>
    <w:p w14:paraId="3D1EEE04">
      <w:pPr>
        <w:spacing w:line="400" w:lineRule="exact"/>
        <w:rPr>
          <w:rFonts w:ascii="宋体" w:hAnsi="宋体" w:cs="宋体"/>
          <w:color w:val="auto"/>
          <w:szCs w:val="21"/>
          <w:highlight w:val="none"/>
        </w:rPr>
      </w:pPr>
    </w:p>
    <w:p w14:paraId="04AC9737">
      <w:pPr>
        <w:jc w:val="center"/>
        <w:outlineLvl w:val="1"/>
        <w:rPr>
          <w:rFonts w:ascii="宋体" w:hAnsi="宋体" w:cs="宋体"/>
          <w:b/>
          <w:color w:val="auto"/>
          <w:sz w:val="28"/>
          <w:highlight w:val="none"/>
        </w:rPr>
      </w:pPr>
      <w:bookmarkStart w:id="88" w:name="_Toc520902398"/>
      <w:bookmarkStart w:id="89" w:name="_Toc136017634"/>
      <w:bookmarkStart w:id="90" w:name="_Toc136345105"/>
      <w:bookmarkStart w:id="91" w:name="_Toc5966"/>
      <w:bookmarkStart w:id="92" w:name="_Toc440276565"/>
      <w:bookmarkStart w:id="93" w:name="_Toc513798904"/>
      <w:bookmarkStart w:id="94" w:name="_Toc513799075"/>
      <w:r>
        <w:rPr>
          <w:rFonts w:hint="eastAsia" w:ascii="宋体" w:hAnsi="宋体" w:cs="宋体"/>
          <w:b/>
          <w:color w:val="auto"/>
          <w:sz w:val="28"/>
          <w:highlight w:val="none"/>
        </w:rPr>
        <w:t>E  开标</w:t>
      </w:r>
      <w:bookmarkEnd w:id="88"/>
      <w:bookmarkEnd w:id="89"/>
      <w:bookmarkEnd w:id="90"/>
      <w:bookmarkEnd w:id="91"/>
      <w:bookmarkEnd w:id="92"/>
      <w:bookmarkEnd w:id="93"/>
      <w:bookmarkEnd w:id="94"/>
    </w:p>
    <w:p w14:paraId="2FE0B1DE">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17</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开标</w:t>
      </w:r>
    </w:p>
    <w:p w14:paraId="6CEA3A9F">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 xml:space="preserve">17.1  </w:t>
      </w:r>
      <w:r>
        <w:rPr>
          <w:rFonts w:hint="eastAsia" w:cs="宋体" w:asciiTheme="minorEastAsia" w:hAnsiTheme="minorEastAsia" w:eastAsiaTheme="minorEastAsia"/>
          <w:color w:val="auto"/>
          <w:szCs w:val="21"/>
          <w:highlight w:val="none"/>
        </w:rPr>
        <w:t>采购代理机构按招标文件规定的时间、地点主持公开开标。</w:t>
      </w:r>
    </w:p>
    <w:p w14:paraId="361A0579">
      <w:pPr>
        <w:widowControl/>
        <w:spacing w:line="360" w:lineRule="auto"/>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color w:val="auto"/>
          <w:szCs w:val="21"/>
          <w:highlight w:val="none"/>
        </w:rPr>
        <w:t xml:space="preserve">17.2  </w:t>
      </w:r>
      <w:r>
        <w:rPr>
          <w:rFonts w:hint="eastAsia" w:cs="宋体" w:asciiTheme="minorEastAsia" w:hAnsiTheme="minorEastAsia" w:eastAsiaTheme="minorEastAsia"/>
          <w:b/>
          <w:bCs/>
          <w:color w:val="auto"/>
          <w:kern w:val="0"/>
          <w:szCs w:val="21"/>
          <w:highlight w:val="none"/>
        </w:rPr>
        <w:t>电子投标开标及评审程序</w:t>
      </w:r>
    </w:p>
    <w:p w14:paraId="5CF40C9E">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auto"/>
          <w:kern w:val="0"/>
          <w:szCs w:val="21"/>
          <w:highlight w:val="none"/>
          <w:u w:val="single"/>
        </w:rPr>
        <w:t>30分钟</w:t>
      </w:r>
      <w:r>
        <w:rPr>
          <w:rFonts w:hint="eastAsia" w:cs="宋体" w:asciiTheme="minorEastAsia" w:hAnsiTheme="minorEastAsia" w:eastAsiaTheme="minorEastAsia"/>
          <w:b/>
          <w:color w:val="auto"/>
          <w:kern w:val="0"/>
          <w:szCs w:val="21"/>
          <w:highlight w:val="none"/>
        </w:rPr>
        <w:t>内。</w:t>
      </w:r>
    </w:p>
    <w:p w14:paraId="59E76A57">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（2）采购人或代理机构对投标人的资格进行审查。 </w:t>
      </w:r>
    </w:p>
    <w:p w14:paraId="595BE423">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（3）在系统上公开报价开标情况。 </w:t>
      </w:r>
    </w:p>
    <w:p w14:paraId="501B40C3">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（4）评标委员会对商务技术文件、报价文件进行评审。 </w:t>
      </w:r>
    </w:p>
    <w:p w14:paraId="00B0013A">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（5）在系统上公布评审结果。 </w:t>
      </w:r>
    </w:p>
    <w:p w14:paraId="10108F5C">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注：政采云公司如对电子化开标及评审程序有调整的，按调整后的程序操作。</w:t>
      </w:r>
    </w:p>
    <w:p w14:paraId="6B50DC3E">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 xml:space="preserve">17.4  </w:t>
      </w:r>
      <w:r>
        <w:rPr>
          <w:rFonts w:hint="eastAsia" w:cs="宋体" w:asciiTheme="minorEastAsia" w:hAnsiTheme="minorEastAsia" w:eastAsiaTheme="minorEastAsia"/>
          <w:b/>
          <w:bCs/>
          <w:color w:val="auto"/>
          <w:kern w:val="0"/>
          <w:szCs w:val="21"/>
          <w:highlight w:val="none"/>
        </w:rPr>
        <w:t xml:space="preserve">特别说明 </w:t>
      </w:r>
    </w:p>
    <w:p w14:paraId="5469CABB">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本项目采用政采云电子投标开标及评审程序，但有下情形之一的，按以下情况处理： </w:t>
      </w:r>
    </w:p>
    <w:p w14:paraId="39C238EC">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1.若投标人在规定时间内无法解密或解密失败，代理机构将开启所有投标人递交的以U 盘存储的电子备份投标文件，上传至政采云平台项目采购模块，以完成开标，电子投标文件自动失效。 </w:t>
      </w:r>
    </w:p>
    <w:p w14:paraId="21BE9F27">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2.采购过程中出现以下情形，导致电子交易平台无法正常运行，或者无法保证电子交易的公平、公正和安全时，采购人（或代理机构）可中止电子交易活动： </w:t>
      </w:r>
    </w:p>
    <w:p w14:paraId="4CFC10B0">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（1）电子交易平台发生故障而无法登录访问的； </w:t>
      </w:r>
    </w:p>
    <w:p w14:paraId="3770F7DE">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（2）电子交易平台应用或数据库出现错误，不能进行正常操作的； </w:t>
      </w:r>
    </w:p>
    <w:p w14:paraId="4EE02296">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（3）电子交易平台发现严重安全漏洞，有潜在泄密危险的； </w:t>
      </w:r>
    </w:p>
    <w:p w14:paraId="54DC6CA1">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（4）病毒发作导致不能进行正常操作的； </w:t>
      </w:r>
    </w:p>
    <w:p w14:paraId="75A8CF1E">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（5）其他无法保证电子交易的公平、公正和安全的情况。 </w:t>
      </w:r>
    </w:p>
    <w:p w14:paraId="79453E76">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出现前款规定情形，不影响采购公平、公正性的，采购人（或代理机构）可以待上述情形消除后继续组织电子交易活动。 </w:t>
      </w:r>
    </w:p>
    <w:p w14:paraId="28723F50">
      <w:pPr>
        <w:spacing w:line="400" w:lineRule="exact"/>
        <w:rPr>
          <w:rFonts w:ascii="宋体" w:hAnsi="宋体" w:cs="宋体"/>
          <w:color w:val="auto"/>
          <w:szCs w:val="21"/>
          <w:highlight w:val="none"/>
          <w:u w:val="single"/>
        </w:rPr>
      </w:pPr>
      <w:r>
        <w:rPr>
          <w:rFonts w:hint="eastAsia" w:asciiTheme="minorEastAsia" w:hAnsiTheme="minorEastAsia" w:eastAsiaTheme="minorEastAsia"/>
          <w:b/>
          <w:color w:val="auto"/>
          <w:szCs w:val="21"/>
          <w:highlight w:val="none"/>
        </w:rPr>
        <w:t xml:space="preserve">17.5  </w:t>
      </w:r>
      <w:r>
        <w:rPr>
          <w:rFonts w:hint="eastAsia" w:asciiTheme="minorEastAsia" w:hAnsiTheme="minorEastAsia" w:eastAsiaTheme="minorEastAsia"/>
          <w:color w:val="auto"/>
          <w:szCs w:val="21"/>
          <w:highlight w:val="none"/>
        </w:rPr>
        <w:t>投标截止时间止，投标人不足3家的，不开启招标文件，终止本次采购活动。</w:t>
      </w:r>
    </w:p>
    <w:p w14:paraId="27EE4F12">
      <w:pPr>
        <w:spacing w:line="400" w:lineRule="exact"/>
        <w:rPr>
          <w:rFonts w:ascii="宋体" w:hAnsi="宋体" w:cs="宋体"/>
          <w:color w:val="auto"/>
          <w:sz w:val="24"/>
          <w:szCs w:val="24"/>
          <w:highlight w:val="none"/>
        </w:rPr>
      </w:pPr>
    </w:p>
    <w:p w14:paraId="4FAD17E6">
      <w:pPr>
        <w:spacing w:before="143" w:beforeLines="50" w:after="143" w:afterLines="50"/>
        <w:jc w:val="center"/>
        <w:outlineLvl w:val="1"/>
        <w:rPr>
          <w:rFonts w:ascii="宋体" w:hAnsi="宋体" w:cs="宋体"/>
          <w:b/>
          <w:color w:val="auto"/>
          <w:sz w:val="28"/>
          <w:highlight w:val="none"/>
        </w:rPr>
      </w:pPr>
      <w:bookmarkStart w:id="95" w:name="_Toc513799076"/>
      <w:bookmarkStart w:id="96" w:name="_Toc440276566"/>
      <w:bookmarkStart w:id="97" w:name="_Toc2659"/>
      <w:bookmarkStart w:id="98" w:name="_Toc136017635"/>
      <w:bookmarkStart w:id="99" w:name="_Toc513798905"/>
      <w:bookmarkStart w:id="100" w:name="_Toc520902399"/>
      <w:bookmarkStart w:id="101" w:name="_Toc136345106"/>
      <w:r>
        <w:rPr>
          <w:rFonts w:hint="eastAsia" w:ascii="宋体" w:hAnsi="宋体" w:cs="宋体"/>
          <w:b/>
          <w:color w:val="auto"/>
          <w:sz w:val="28"/>
          <w:highlight w:val="none"/>
        </w:rPr>
        <w:t>F  评标和定标</w:t>
      </w:r>
      <w:bookmarkEnd w:id="95"/>
      <w:bookmarkEnd w:id="96"/>
      <w:bookmarkEnd w:id="97"/>
      <w:bookmarkEnd w:id="98"/>
      <w:bookmarkEnd w:id="99"/>
      <w:bookmarkEnd w:id="100"/>
      <w:bookmarkEnd w:id="101"/>
    </w:p>
    <w:p w14:paraId="7D8596D9">
      <w:pPr>
        <w:spacing w:line="400" w:lineRule="exact"/>
        <w:rPr>
          <w:rFonts w:ascii="宋体" w:hAnsi="宋体" w:cs="宋体"/>
          <w:color w:val="auto"/>
          <w:szCs w:val="21"/>
          <w:highlight w:val="none"/>
        </w:rPr>
      </w:pPr>
      <w:r>
        <w:rPr>
          <w:rFonts w:hint="eastAsia" w:ascii="宋体" w:hAnsi="宋体" w:cs="宋体"/>
          <w:b/>
          <w:color w:val="auto"/>
          <w:szCs w:val="21"/>
          <w:highlight w:val="none"/>
        </w:rPr>
        <w:t>18. 评标委员会及评标</w:t>
      </w:r>
    </w:p>
    <w:p w14:paraId="186118EB">
      <w:pPr>
        <w:spacing w:line="400" w:lineRule="exact"/>
        <w:rPr>
          <w:rFonts w:ascii="宋体" w:hAnsi="宋体" w:cs="宋体"/>
          <w:color w:val="auto"/>
          <w:szCs w:val="21"/>
          <w:highlight w:val="none"/>
        </w:rPr>
      </w:pPr>
      <w:r>
        <w:rPr>
          <w:rFonts w:hint="eastAsia" w:ascii="宋体" w:hAnsi="宋体" w:cs="宋体"/>
          <w:b/>
          <w:color w:val="auto"/>
          <w:szCs w:val="21"/>
          <w:highlight w:val="none"/>
        </w:rPr>
        <w:t>18.1</w:t>
      </w:r>
      <w:r>
        <w:rPr>
          <w:rFonts w:hint="eastAsia" w:ascii="宋体" w:hAnsi="宋体" w:cs="宋体"/>
          <w:color w:val="auto"/>
          <w:szCs w:val="21"/>
          <w:highlight w:val="none"/>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auto"/>
          <w:szCs w:val="21"/>
          <w:highlight w:val="none"/>
          <w:u w:val="single"/>
        </w:rPr>
        <w:t>评标委员会成员名单在招标结果确定之前依法保密</w:t>
      </w:r>
      <w:r>
        <w:rPr>
          <w:rFonts w:hint="eastAsia" w:ascii="宋体" w:hAnsi="宋体" w:cs="宋体"/>
          <w:color w:val="auto"/>
          <w:szCs w:val="21"/>
          <w:highlight w:val="none"/>
        </w:rPr>
        <w:t>。</w:t>
      </w:r>
    </w:p>
    <w:p w14:paraId="3D0D349A">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18.2 </w:t>
      </w:r>
      <w:r>
        <w:rPr>
          <w:rFonts w:hint="eastAsia" w:ascii="宋体" w:hAnsi="宋体" w:cs="宋体"/>
          <w:color w:val="auto"/>
          <w:szCs w:val="21"/>
          <w:highlight w:val="none"/>
        </w:rPr>
        <w:t xml:space="preserve"> 评标委员会将遵循公平、公正、科学、廉洁的原则和法定的程序进行评标，并且只依据招标文件要求和投标文件的响应情况进行评审，不依据任何来自开标后的补充声明、修正方案。</w:t>
      </w:r>
    </w:p>
    <w:p w14:paraId="5246EC79">
      <w:pPr>
        <w:spacing w:line="400" w:lineRule="exact"/>
        <w:rPr>
          <w:rFonts w:ascii="宋体" w:hAnsi="宋体" w:cs="宋体"/>
          <w:color w:val="auto"/>
          <w:szCs w:val="21"/>
          <w:highlight w:val="none"/>
        </w:rPr>
      </w:pPr>
    </w:p>
    <w:p w14:paraId="794444A2">
      <w:pPr>
        <w:spacing w:line="400" w:lineRule="exact"/>
        <w:rPr>
          <w:rFonts w:ascii="宋体" w:hAnsi="宋体" w:cs="宋体"/>
          <w:color w:val="auto"/>
          <w:szCs w:val="21"/>
          <w:highlight w:val="none"/>
        </w:rPr>
      </w:pPr>
      <w:r>
        <w:rPr>
          <w:rFonts w:hint="eastAsia" w:ascii="宋体" w:hAnsi="宋体" w:cs="宋体"/>
          <w:b/>
          <w:color w:val="auto"/>
          <w:szCs w:val="21"/>
          <w:highlight w:val="none"/>
        </w:rPr>
        <w:t>19.投标的澄清</w:t>
      </w:r>
    </w:p>
    <w:p w14:paraId="093BB643">
      <w:pPr>
        <w:spacing w:line="400" w:lineRule="exact"/>
        <w:rPr>
          <w:rFonts w:ascii="宋体" w:hAnsi="宋体" w:cs="宋体"/>
          <w:color w:val="auto"/>
          <w:szCs w:val="21"/>
          <w:highlight w:val="none"/>
        </w:rPr>
      </w:pPr>
      <w:r>
        <w:rPr>
          <w:rFonts w:hint="eastAsia" w:ascii="宋体" w:hAnsi="宋体" w:cs="宋体"/>
          <w:b/>
          <w:color w:val="auto"/>
          <w:szCs w:val="21"/>
          <w:highlight w:val="none"/>
        </w:rPr>
        <w:t>19.1</w:t>
      </w:r>
      <w:r>
        <w:rPr>
          <w:rFonts w:hint="eastAsia" w:ascii="宋体" w:hAnsi="宋体" w:cs="宋体"/>
          <w:color w:val="auto"/>
          <w:szCs w:val="21"/>
          <w:highlight w:val="none"/>
        </w:rPr>
        <w:t xml:space="preserve">  对于投标文件中含义不明确、同类问题表述不一致或者有明显文字和计算错误的内容，评标委员会应当以书面形式要求投标人作出必要的澄清、说明或者补正。</w:t>
      </w:r>
    </w:p>
    <w:p w14:paraId="1DB1BC70">
      <w:pPr>
        <w:spacing w:line="400" w:lineRule="exact"/>
        <w:rPr>
          <w:rFonts w:ascii="宋体" w:hAnsi="宋体" w:cs="宋体"/>
          <w:color w:val="auto"/>
          <w:szCs w:val="21"/>
          <w:highlight w:val="none"/>
        </w:rPr>
      </w:pPr>
      <w:r>
        <w:rPr>
          <w:rFonts w:hint="eastAsia" w:ascii="宋体" w:hAnsi="宋体" w:cs="宋体"/>
          <w:b/>
          <w:color w:val="auto"/>
          <w:szCs w:val="21"/>
          <w:highlight w:val="none"/>
        </w:rPr>
        <w:t>19.2</w:t>
      </w:r>
      <w:r>
        <w:rPr>
          <w:rFonts w:hint="eastAsia" w:ascii="宋体" w:hAnsi="宋体" w:cs="宋体"/>
          <w:color w:val="auto"/>
          <w:szCs w:val="21"/>
          <w:highlight w:val="none"/>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43E5FAF5">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19.3</w:t>
      </w:r>
      <w:r>
        <w:rPr>
          <w:rFonts w:hint="eastAsia" w:ascii="宋体" w:hAnsi="宋体" w:cs="宋体"/>
          <w:color w:val="auto"/>
          <w:szCs w:val="21"/>
          <w:highlight w:val="none"/>
        </w:rPr>
        <w:t xml:space="preserve">  采用</w:t>
      </w:r>
      <w:r>
        <w:rPr>
          <w:rFonts w:hint="eastAsia" w:ascii="宋体" w:hAnsi="宋体" w:cs="宋体"/>
          <w:color w:val="auto"/>
          <w:kern w:val="0"/>
          <w:szCs w:val="21"/>
          <w:highlight w:val="none"/>
        </w:rPr>
        <w:t>电子招投标的，澄清、说明或者补正通过电子交易平台提交电子版文件</w:t>
      </w:r>
      <w:r>
        <w:rPr>
          <w:rFonts w:hint="eastAsia" w:ascii="宋体" w:hAnsi="宋体" w:cs="宋体"/>
          <w:color w:val="auto"/>
          <w:szCs w:val="21"/>
          <w:highlight w:val="none"/>
        </w:rPr>
        <w:t>，并加盖公章，或者由法定代表人或其授权的代表签字</w:t>
      </w:r>
      <w:r>
        <w:rPr>
          <w:rFonts w:hint="eastAsia" w:ascii="宋体" w:hAnsi="宋体" w:cs="宋体"/>
          <w:color w:val="auto"/>
          <w:kern w:val="0"/>
          <w:szCs w:val="21"/>
          <w:highlight w:val="none"/>
        </w:rPr>
        <w:t>。投标人提交澄清说明或补正的时间为</w:t>
      </w:r>
      <w:r>
        <w:rPr>
          <w:rFonts w:hint="eastAsia" w:ascii="宋体" w:hAnsi="宋体" w:cs="宋体"/>
          <w:color w:val="auto"/>
          <w:kern w:val="0"/>
          <w:szCs w:val="21"/>
          <w:highlight w:val="none"/>
          <w:u w:val="single"/>
        </w:rPr>
        <w:t xml:space="preserve"> 30 </w:t>
      </w:r>
      <w:r>
        <w:rPr>
          <w:rFonts w:hint="eastAsia" w:ascii="宋体" w:hAnsi="宋体" w:cs="宋体"/>
          <w:color w:val="auto"/>
          <w:kern w:val="0"/>
          <w:szCs w:val="21"/>
          <w:highlight w:val="none"/>
        </w:rPr>
        <w:t>分钟。</w:t>
      </w:r>
    </w:p>
    <w:p w14:paraId="2E8D98D4">
      <w:pPr>
        <w:spacing w:line="400" w:lineRule="exact"/>
        <w:rPr>
          <w:rFonts w:ascii="宋体" w:hAnsi="宋体" w:cs="宋体"/>
          <w:color w:val="auto"/>
          <w:szCs w:val="21"/>
          <w:highlight w:val="none"/>
        </w:rPr>
      </w:pPr>
      <w:r>
        <w:rPr>
          <w:rFonts w:hint="eastAsia" w:ascii="宋体" w:hAnsi="宋体" w:cs="宋体"/>
          <w:b/>
          <w:color w:val="auto"/>
          <w:szCs w:val="21"/>
          <w:highlight w:val="none"/>
        </w:rPr>
        <w:t>19.4</w:t>
      </w:r>
      <w:r>
        <w:rPr>
          <w:rFonts w:hint="eastAsia" w:ascii="宋体" w:hAnsi="宋体" w:cs="宋体"/>
          <w:b/>
          <w:color w:val="auto"/>
          <w:szCs w:val="21"/>
          <w:highlight w:val="none"/>
          <w:u w:val="single"/>
        </w:rPr>
        <w:t>若投标人未响应澄清安排的通知进行答疑和澄清，将被视作自动放弃。</w:t>
      </w:r>
      <w:r>
        <w:rPr>
          <w:rFonts w:hint="eastAsia" w:ascii="宋体" w:hAnsi="宋体" w:cs="宋体"/>
          <w:b/>
          <w:color w:val="auto"/>
          <w:szCs w:val="21"/>
          <w:highlight w:val="none"/>
        </w:rPr>
        <w:br w:type="textWrapping"/>
      </w:r>
    </w:p>
    <w:p w14:paraId="3998A94E">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20.  评标办法：</w:t>
      </w:r>
      <w:r>
        <w:rPr>
          <w:rFonts w:hint="eastAsia" w:ascii="宋体" w:hAnsi="宋体"/>
          <w:color w:val="auto"/>
          <w:szCs w:val="21"/>
          <w:highlight w:val="none"/>
        </w:rPr>
        <w:t>评标采用的方法有最低评标价法和综合评分法。</w:t>
      </w:r>
      <w:r>
        <w:rPr>
          <w:rFonts w:hint="eastAsia" w:ascii="宋体" w:hAnsi="宋体"/>
          <w:b/>
          <w:color w:val="auto"/>
          <w:szCs w:val="21"/>
          <w:highlight w:val="none"/>
        </w:rPr>
        <w:t>本项目招标采用的评标方法载明在招标文件第五部分“评标办法”中。</w:t>
      </w:r>
    </w:p>
    <w:p w14:paraId="73E7F5A9">
      <w:pPr>
        <w:spacing w:line="400" w:lineRule="exact"/>
        <w:ind w:left="153" w:leftChars="73" w:firstLine="315" w:firstLineChars="150"/>
        <w:rPr>
          <w:rFonts w:ascii="宋体" w:hAnsi="宋体" w:cs="宋体"/>
          <w:color w:val="auto"/>
          <w:szCs w:val="21"/>
          <w:highlight w:val="none"/>
        </w:rPr>
      </w:pPr>
    </w:p>
    <w:p w14:paraId="69C29F92">
      <w:pPr>
        <w:spacing w:line="400" w:lineRule="exact"/>
        <w:rPr>
          <w:rFonts w:ascii="宋体" w:hAnsi="宋体" w:cs="宋体"/>
          <w:color w:val="auto"/>
          <w:szCs w:val="21"/>
          <w:highlight w:val="none"/>
        </w:rPr>
      </w:pPr>
      <w:r>
        <w:rPr>
          <w:rFonts w:hint="eastAsia" w:ascii="宋体" w:hAnsi="宋体" w:cs="宋体"/>
          <w:b/>
          <w:color w:val="auto"/>
          <w:szCs w:val="21"/>
          <w:highlight w:val="none"/>
        </w:rPr>
        <w:t>21.  评标程序和原则</w:t>
      </w:r>
    </w:p>
    <w:p w14:paraId="4906CF7E">
      <w:pPr>
        <w:spacing w:line="440" w:lineRule="exact"/>
        <w:rPr>
          <w:rFonts w:ascii="宋体" w:hAnsi="宋体"/>
          <w:color w:val="auto"/>
          <w:szCs w:val="21"/>
          <w:highlight w:val="none"/>
          <w:shd w:val="pct10" w:color="auto" w:fill="FFFFFF"/>
        </w:rPr>
      </w:pPr>
      <w:r>
        <w:rPr>
          <w:rFonts w:hint="eastAsia" w:ascii="宋体" w:hAnsi="宋体"/>
          <w:b/>
          <w:color w:val="auto"/>
          <w:szCs w:val="21"/>
          <w:highlight w:val="none"/>
        </w:rPr>
        <w:t>21.1</w:t>
      </w:r>
      <w:r>
        <w:rPr>
          <w:rFonts w:hint="eastAsia" w:ascii="宋体" w:hAnsi="宋体"/>
          <w:color w:val="auto"/>
          <w:szCs w:val="21"/>
          <w:highlight w:val="none"/>
          <w:u w:val="thick"/>
        </w:rPr>
        <w:t>评标程序</w:t>
      </w:r>
      <w:r>
        <w:rPr>
          <w:rFonts w:hint="eastAsia" w:ascii="宋体" w:hAnsi="宋体"/>
          <w:color w:val="auto"/>
          <w:szCs w:val="21"/>
          <w:highlight w:val="none"/>
        </w:rPr>
        <w:t>：遵循资格审查、符合性审查、澄清有关问题、比较与评价、推荐中标人（或中标候选人）的程序依次进行。</w:t>
      </w:r>
    </w:p>
    <w:p w14:paraId="23BCF165">
      <w:pPr>
        <w:spacing w:line="440" w:lineRule="exact"/>
        <w:rPr>
          <w:rFonts w:ascii="宋体" w:hAnsi="宋体"/>
          <w:color w:val="auto"/>
          <w:szCs w:val="21"/>
          <w:highlight w:val="none"/>
        </w:rPr>
      </w:pPr>
      <w:r>
        <w:rPr>
          <w:rFonts w:hint="eastAsia" w:ascii="宋体" w:hAnsi="宋体"/>
          <w:b/>
          <w:color w:val="auto"/>
          <w:szCs w:val="21"/>
          <w:highlight w:val="none"/>
        </w:rPr>
        <w:t>21.2</w:t>
      </w:r>
      <w:r>
        <w:rPr>
          <w:rFonts w:hint="eastAsia" w:ascii="宋体" w:hAnsi="宋体"/>
          <w:color w:val="auto"/>
          <w:szCs w:val="21"/>
          <w:highlight w:val="none"/>
          <w:u w:val="thick"/>
        </w:rPr>
        <w:t>资格审查</w:t>
      </w:r>
      <w:r>
        <w:rPr>
          <w:rFonts w:hint="eastAsia" w:ascii="宋体" w:hAnsi="宋体"/>
          <w:color w:val="auto"/>
          <w:szCs w:val="21"/>
          <w:highlight w:val="none"/>
        </w:rPr>
        <w:t>：公开招标采购项目开标结束后，采购人或者采购代理机构应当依法对投标人的资格进行审查。详见招标文件第五部分“评标办法”。</w:t>
      </w:r>
    </w:p>
    <w:p w14:paraId="6E54DAA9">
      <w:pPr>
        <w:spacing w:line="440" w:lineRule="exact"/>
        <w:rPr>
          <w:rFonts w:ascii="宋体" w:hAnsi="宋体"/>
          <w:color w:val="auto"/>
          <w:szCs w:val="21"/>
          <w:highlight w:val="none"/>
        </w:rPr>
      </w:pPr>
      <w:r>
        <w:rPr>
          <w:rFonts w:hint="eastAsia" w:ascii="宋体" w:hAnsi="宋体"/>
          <w:b/>
          <w:color w:val="auto"/>
          <w:szCs w:val="21"/>
          <w:highlight w:val="none"/>
        </w:rPr>
        <w:t>21.3</w:t>
      </w:r>
      <w:r>
        <w:rPr>
          <w:rFonts w:hint="eastAsia" w:ascii="宋体" w:hAnsi="宋体"/>
          <w:color w:val="auto"/>
          <w:szCs w:val="21"/>
          <w:highlight w:val="none"/>
          <w:u w:val="thick"/>
        </w:rPr>
        <w:t>符合性审查</w:t>
      </w:r>
      <w:r>
        <w:rPr>
          <w:rFonts w:hint="eastAsia" w:ascii="宋体" w:hAnsi="宋体"/>
          <w:color w:val="auto"/>
          <w:szCs w:val="21"/>
          <w:highlight w:val="none"/>
        </w:rPr>
        <w:t>：评标委员会应当对符合资格的投标人的投标文件进行符合性审查，以确定其是否满足招标文件的实质性要求。详见招标文件第五部分“评标办法”。</w:t>
      </w:r>
    </w:p>
    <w:p w14:paraId="16082CEF">
      <w:pPr>
        <w:spacing w:line="440" w:lineRule="exact"/>
        <w:rPr>
          <w:rFonts w:ascii="宋体" w:hAnsi="宋体"/>
          <w:color w:val="auto"/>
          <w:szCs w:val="21"/>
          <w:highlight w:val="none"/>
        </w:rPr>
      </w:pPr>
      <w:r>
        <w:rPr>
          <w:rFonts w:hint="eastAsia" w:ascii="宋体" w:hAnsi="宋体"/>
          <w:b/>
          <w:color w:val="auto"/>
          <w:szCs w:val="21"/>
          <w:highlight w:val="none"/>
        </w:rPr>
        <w:t xml:space="preserve">21.4 </w:t>
      </w:r>
      <w:r>
        <w:rPr>
          <w:rFonts w:hint="eastAsia" w:ascii="宋体" w:hAnsi="宋体"/>
          <w:color w:val="auto"/>
          <w:szCs w:val="21"/>
          <w:highlight w:val="none"/>
          <w:u w:val="thick"/>
        </w:rPr>
        <w:t>澄清有关问题</w:t>
      </w:r>
      <w:r>
        <w:rPr>
          <w:rFonts w:hint="eastAsia" w:ascii="宋体" w:hAnsi="宋体"/>
          <w:color w:val="auto"/>
          <w:szCs w:val="21"/>
          <w:highlight w:val="none"/>
        </w:rPr>
        <w:t>：按第</w:t>
      </w:r>
      <w:r>
        <w:rPr>
          <w:rFonts w:hint="eastAsia" w:ascii="宋体" w:hAnsi="宋体"/>
          <w:b/>
          <w:color w:val="auto"/>
          <w:szCs w:val="21"/>
          <w:highlight w:val="none"/>
        </w:rPr>
        <w:t>19</w:t>
      </w:r>
      <w:r>
        <w:rPr>
          <w:rFonts w:hint="eastAsia" w:ascii="宋体" w:hAnsi="宋体"/>
          <w:color w:val="auto"/>
          <w:szCs w:val="21"/>
          <w:highlight w:val="none"/>
        </w:rPr>
        <w:t xml:space="preserve">条规定进行。 </w:t>
      </w:r>
    </w:p>
    <w:p w14:paraId="4710BF8A">
      <w:pPr>
        <w:spacing w:line="440" w:lineRule="exact"/>
        <w:rPr>
          <w:rFonts w:ascii="宋体" w:hAnsi="宋体"/>
          <w:color w:val="auto"/>
          <w:szCs w:val="21"/>
          <w:highlight w:val="none"/>
        </w:rPr>
      </w:pPr>
      <w:r>
        <w:rPr>
          <w:rFonts w:hint="eastAsia" w:ascii="宋体" w:hAnsi="宋体"/>
          <w:b/>
          <w:color w:val="auto"/>
          <w:szCs w:val="21"/>
          <w:highlight w:val="none"/>
        </w:rPr>
        <w:t>21.5</w:t>
      </w:r>
      <w:r>
        <w:rPr>
          <w:rFonts w:hint="eastAsia" w:ascii="宋体" w:hAnsi="宋体"/>
          <w:color w:val="auto"/>
          <w:szCs w:val="21"/>
          <w:highlight w:val="none"/>
          <w:u w:val="thick"/>
        </w:rPr>
        <w:t>综合比较与评价</w:t>
      </w:r>
      <w:r>
        <w:rPr>
          <w:rFonts w:hint="eastAsia" w:ascii="宋体" w:hAnsi="宋体"/>
          <w:color w:val="auto"/>
          <w:szCs w:val="21"/>
          <w:highlight w:val="none"/>
        </w:rPr>
        <w:t>：评标委员会应当按照招标文件中规定的评标方法和标准，对符合性审查合格的投标文件进行商务和技术评估，综合比较与评价。</w:t>
      </w:r>
    </w:p>
    <w:p w14:paraId="4B9ACAAE">
      <w:pPr>
        <w:spacing w:line="440" w:lineRule="exact"/>
        <w:rPr>
          <w:rFonts w:ascii="宋体" w:hAnsi="宋体"/>
          <w:b/>
          <w:color w:val="auto"/>
          <w:szCs w:val="21"/>
          <w:highlight w:val="none"/>
        </w:rPr>
      </w:pPr>
      <w:r>
        <w:rPr>
          <w:rFonts w:hint="eastAsia" w:ascii="宋体" w:hAnsi="宋体"/>
          <w:b/>
          <w:color w:val="auto"/>
          <w:szCs w:val="21"/>
          <w:highlight w:val="none"/>
        </w:rPr>
        <w:t xml:space="preserve">21.5.1 </w:t>
      </w:r>
      <w:r>
        <w:rPr>
          <w:rFonts w:hint="eastAsia" w:ascii="宋体" w:hAnsi="宋体"/>
          <w:color w:val="auto"/>
          <w:szCs w:val="21"/>
          <w:highlight w:val="none"/>
          <w:u w:val="thick"/>
        </w:rPr>
        <w:t>商务评价</w:t>
      </w:r>
      <w:r>
        <w:rPr>
          <w:rFonts w:hint="eastAsia" w:ascii="宋体" w:hAnsi="宋体"/>
          <w:color w:val="auto"/>
          <w:szCs w:val="21"/>
          <w:highlight w:val="none"/>
        </w:rPr>
        <w:t>：按照招标文件的要求和“评标标准”对照投标文件的响应进行商务评价，并对其偏差计算相应的商务评分分值。</w:t>
      </w:r>
    </w:p>
    <w:p w14:paraId="3924AA06">
      <w:pPr>
        <w:spacing w:line="440" w:lineRule="exact"/>
        <w:rPr>
          <w:rFonts w:ascii="宋体" w:hAnsi="宋体"/>
          <w:color w:val="auto"/>
          <w:szCs w:val="21"/>
          <w:highlight w:val="none"/>
        </w:rPr>
      </w:pPr>
      <w:r>
        <w:rPr>
          <w:rFonts w:hint="eastAsia" w:ascii="宋体" w:hAnsi="宋体"/>
          <w:b/>
          <w:color w:val="auto"/>
          <w:szCs w:val="21"/>
          <w:highlight w:val="none"/>
        </w:rPr>
        <w:t>21.5.2</w:t>
      </w:r>
      <w:r>
        <w:rPr>
          <w:rFonts w:hint="eastAsia" w:ascii="宋体" w:hAnsi="宋体"/>
          <w:color w:val="auto"/>
          <w:szCs w:val="21"/>
          <w:highlight w:val="none"/>
          <w:u w:val="thick"/>
        </w:rPr>
        <w:t>技术评价</w:t>
      </w:r>
      <w:r>
        <w:rPr>
          <w:rFonts w:hint="eastAsia" w:ascii="宋体" w:hAnsi="宋体"/>
          <w:color w:val="auto"/>
          <w:szCs w:val="21"/>
          <w:highlight w:val="none"/>
        </w:rPr>
        <w:t>：按照招标文件的要求和“评标标准”对照投标文件的响应进行技术评价，评定其偏差程度，并计算其相应的技术评分分值。</w:t>
      </w:r>
    </w:p>
    <w:p w14:paraId="4F8910D5">
      <w:pPr>
        <w:spacing w:line="440" w:lineRule="exact"/>
        <w:jc w:val="left"/>
        <w:rPr>
          <w:rFonts w:ascii="宋体" w:hAnsi="宋体"/>
          <w:color w:val="auto"/>
          <w:szCs w:val="21"/>
          <w:highlight w:val="none"/>
        </w:rPr>
      </w:pPr>
      <w:r>
        <w:rPr>
          <w:rFonts w:hint="eastAsia" w:ascii="宋体" w:hAnsi="宋体"/>
          <w:b/>
          <w:color w:val="auto"/>
          <w:szCs w:val="21"/>
          <w:highlight w:val="none"/>
        </w:rPr>
        <w:t>21.5.3</w:t>
      </w:r>
      <w:r>
        <w:rPr>
          <w:rFonts w:hint="eastAsia" w:ascii="宋体" w:hAnsi="宋体"/>
          <w:color w:val="auto"/>
          <w:szCs w:val="21"/>
          <w:highlight w:val="none"/>
          <w:u w:val="thick"/>
        </w:rPr>
        <w:t>综合评价</w:t>
      </w:r>
      <w:r>
        <w:rPr>
          <w:rFonts w:hint="eastAsia" w:ascii="宋体" w:hAnsi="宋体"/>
          <w:color w:val="auto"/>
          <w:szCs w:val="21"/>
          <w:highlight w:val="none"/>
        </w:rPr>
        <w:t>：对经过商务评价、技术评价的投标，按“评标标准”规定的评价办法进行综合评价，做出评标结果排序。</w:t>
      </w:r>
    </w:p>
    <w:p w14:paraId="59BDF25D">
      <w:pPr>
        <w:spacing w:line="440" w:lineRule="exact"/>
        <w:jc w:val="left"/>
        <w:rPr>
          <w:rFonts w:ascii="宋体" w:hAnsi="宋体"/>
          <w:color w:val="auto"/>
          <w:szCs w:val="21"/>
          <w:highlight w:val="none"/>
        </w:rPr>
      </w:pPr>
    </w:p>
    <w:p w14:paraId="77BFA343">
      <w:pPr>
        <w:spacing w:line="440" w:lineRule="exact"/>
        <w:rPr>
          <w:rFonts w:ascii="宋体" w:hAnsi="宋体"/>
          <w:b/>
          <w:color w:val="auto"/>
          <w:szCs w:val="21"/>
          <w:highlight w:val="none"/>
        </w:rPr>
      </w:pPr>
      <w:r>
        <w:rPr>
          <w:rFonts w:hint="eastAsia" w:ascii="宋体" w:hAnsi="宋体"/>
          <w:b/>
          <w:color w:val="auto"/>
          <w:szCs w:val="21"/>
          <w:highlight w:val="none"/>
        </w:rPr>
        <w:t>21.6  评标过程处理原则</w:t>
      </w:r>
    </w:p>
    <w:p w14:paraId="35FFDD37">
      <w:pPr>
        <w:spacing w:line="440" w:lineRule="exact"/>
        <w:rPr>
          <w:rFonts w:ascii="宋体" w:hAnsi="宋体"/>
          <w:color w:val="auto"/>
          <w:szCs w:val="21"/>
          <w:highlight w:val="none"/>
        </w:rPr>
      </w:pPr>
      <w:r>
        <w:rPr>
          <w:rFonts w:hint="eastAsia" w:ascii="宋体" w:hAnsi="宋体"/>
          <w:b/>
          <w:color w:val="auto"/>
          <w:szCs w:val="21"/>
          <w:highlight w:val="none"/>
        </w:rPr>
        <w:t>21.6.1</w:t>
      </w:r>
      <w:r>
        <w:rPr>
          <w:rFonts w:hint="eastAsia" w:ascii="宋体" w:hAnsi="宋体"/>
          <w:color w:val="auto"/>
          <w:szCs w:val="21"/>
          <w:highlight w:val="none"/>
        </w:rPr>
        <w:t xml:space="preserve">  通过资格审查的投标人不足3家的，评标终止。</w:t>
      </w:r>
    </w:p>
    <w:p w14:paraId="77A46C22">
      <w:pPr>
        <w:spacing w:line="440" w:lineRule="exact"/>
        <w:rPr>
          <w:rFonts w:ascii="宋体" w:hAnsi="宋体"/>
          <w:b/>
          <w:color w:val="auto"/>
          <w:szCs w:val="21"/>
          <w:highlight w:val="none"/>
        </w:rPr>
      </w:pPr>
      <w:r>
        <w:rPr>
          <w:rFonts w:hint="eastAsia" w:ascii="宋体" w:hAnsi="宋体"/>
          <w:b/>
          <w:color w:val="auto"/>
          <w:szCs w:val="21"/>
          <w:highlight w:val="none"/>
        </w:rPr>
        <w:t xml:space="preserve">21.6.2  </w:t>
      </w:r>
      <w:r>
        <w:rPr>
          <w:rFonts w:hint="eastAsia" w:ascii="宋体" w:hAnsi="宋体"/>
          <w:color w:val="auto"/>
          <w:szCs w:val="21"/>
          <w:highlight w:val="none"/>
        </w:rPr>
        <w:t>信用信息查询</w:t>
      </w:r>
    </w:p>
    <w:p w14:paraId="5EF38B9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（1）信用信息查询渠道及截止时间：采购代理机构将通过“信用中国”网站(www.creditchina.gov.cn)、中国政府采购网(www.ccgp.gov.cn)渠道查询投标人投标截止时间当天的信用记录。</w:t>
      </w:r>
    </w:p>
    <w:p w14:paraId="4520340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（2）信用信息查询记录和证据留存的具体方式：现场查询的投标人的信用记录、查询结果经确认后将与招标文件一起存档。</w:t>
      </w:r>
    </w:p>
    <w:p w14:paraId="1B1C92A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（3）信用信息的使用规则：经查询列入失信被执行人名单、重大税收违法案件当事人名单、政府采购严重违法失信行为记录名单的投标人将被拒绝参与政府采购活动。</w:t>
      </w:r>
    </w:p>
    <w:p w14:paraId="3EB3090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106EDC9D">
      <w:pPr>
        <w:spacing w:line="440" w:lineRule="exact"/>
        <w:rPr>
          <w:rFonts w:ascii="宋体" w:hAnsi="宋体"/>
          <w:color w:val="auto"/>
          <w:szCs w:val="21"/>
          <w:highlight w:val="none"/>
        </w:rPr>
      </w:pPr>
      <w:r>
        <w:rPr>
          <w:rFonts w:hint="eastAsia" w:ascii="宋体" w:hAnsi="宋体"/>
          <w:b/>
          <w:color w:val="auto"/>
          <w:szCs w:val="21"/>
          <w:highlight w:val="none"/>
        </w:rPr>
        <w:t xml:space="preserve">21.6.3  </w:t>
      </w:r>
      <w:r>
        <w:rPr>
          <w:rFonts w:hint="eastAsia" w:ascii="宋体" w:hAnsi="宋体"/>
          <w:color w:val="auto"/>
          <w:szCs w:val="21"/>
          <w:highlight w:val="none"/>
        </w:rPr>
        <w:t>投标文件报价出现前后不一致的，除招标文件另有规定外，按照下列规定修正：</w:t>
      </w:r>
    </w:p>
    <w:p w14:paraId="7988DD27">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（一）投标文件中开标一览表(报价表)内容与投标文件中相应内容不一致的，以开标一览表(报价表)为准；</w:t>
      </w:r>
    </w:p>
    <w:p w14:paraId="4CC3E40B">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（二）大写金额和小写金额不一致的，以大写金额为准；</w:t>
      </w:r>
    </w:p>
    <w:p w14:paraId="60A089D6">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（三）单价金额小数点或者百分比有明显错位的，以开标一览表的总价为准，并修改单价；</w:t>
      </w:r>
    </w:p>
    <w:p w14:paraId="596FB95D">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（四）总价金额与按单价汇总金额不一致的，以单价金额计算结果为准。</w:t>
      </w:r>
    </w:p>
    <w:p w14:paraId="61D7091A">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同时出现两种以上不一致的，按照前款规定的顺序修正。修正后的报价按照本须知19.2条的规定经投标人确认后产生约束力，投标人不确认的，其投标无效。</w:t>
      </w:r>
    </w:p>
    <w:p w14:paraId="7ACDF08C">
      <w:pPr>
        <w:spacing w:line="440" w:lineRule="exact"/>
        <w:rPr>
          <w:rFonts w:ascii="宋体" w:hAnsi="宋体"/>
          <w:color w:val="auto"/>
          <w:szCs w:val="21"/>
          <w:highlight w:val="none"/>
        </w:rPr>
      </w:pPr>
      <w:r>
        <w:rPr>
          <w:rFonts w:hint="eastAsia" w:ascii="宋体" w:hAnsi="宋体"/>
          <w:b/>
          <w:color w:val="auto"/>
          <w:szCs w:val="21"/>
          <w:highlight w:val="none"/>
        </w:rPr>
        <w:t>21.6.4</w:t>
      </w:r>
      <w:r>
        <w:rPr>
          <w:rFonts w:hint="eastAsia" w:ascii="宋体" w:hAnsi="宋体"/>
          <w:color w:val="auto"/>
          <w:szCs w:val="21"/>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0E9FC2">
      <w:pPr>
        <w:spacing w:line="440" w:lineRule="exact"/>
        <w:rPr>
          <w:rFonts w:ascii="宋体" w:hAnsi="宋体"/>
          <w:color w:val="auto"/>
          <w:szCs w:val="21"/>
          <w:highlight w:val="none"/>
        </w:rPr>
      </w:pPr>
      <w:r>
        <w:rPr>
          <w:rFonts w:hint="eastAsia" w:ascii="宋体" w:hAnsi="宋体"/>
          <w:b/>
          <w:color w:val="auto"/>
          <w:szCs w:val="21"/>
          <w:highlight w:val="none"/>
        </w:rPr>
        <w:t>21.6.5</w:t>
      </w:r>
      <w:r>
        <w:rPr>
          <w:rFonts w:hint="eastAsia" w:ascii="宋体" w:hAnsi="宋体"/>
          <w:color w:val="auto"/>
          <w:szCs w:val="21"/>
          <w:highlight w:val="none"/>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08116A1A">
      <w:pPr>
        <w:spacing w:line="440" w:lineRule="exact"/>
        <w:rPr>
          <w:rFonts w:ascii="宋体" w:hAnsi="宋体"/>
          <w:color w:val="auto"/>
          <w:szCs w:val="21"/>
          <w:highlight w:val="none"/>
        </w:rPr>
      </w:pPr>
      <w:r>
        <w:rPr>
          <w:rFonts w:hint="eastAsia" w:ascii="宋体" w:hAnsi="宋体"/>
          <w:b/>
          <w:color w:val="auto"/>
          <w:szCs w:val="21"/>
          <w:highlight w:val="none"/>
        </w:rPr>
        <w:t xml:space="preserve">21.6.6 </w:t>
      </w:r>
      <w:r>
        <w:rPr>
          <w:rFonts w:hint="eastAsia" w:ascii="宋体" w:hAnsi="宋体"/>
          <w:color w:val="auto"/>
          <w:szCs w:val="21"/>
          <w:highlight w:val="none"/>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768BF9B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0FD643F6">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非单一产品采购项目，招标文件中应载明核心产品，多家投标人提供的核心产品品牌相同的，按上述规定处理。</w:t>
      </w:r>
    </w:p>
    <w:p w14:paraId="0B08AB15">
      <w:pPr>
        <w:spacing w:line="440" w:lineRule="exact"/>
        <w:rPr>
          <w:rFonts w:ascii="宋体" w:hAnsi="宋体"/>
          <w:color w:val="auto"/>
          <w:szCs w:val="21"/>
          <w:highlight w:val="none"/>
        </w:rPr>
      </w:pPr>
      <w:r>
        <w:rPr>
          <w:rFonts w:hint="eastAsia" w:ascii="宋体" w:hAnsi="宋体"/>
          <w:b/>
          <w:color w:val="auto"/>
          <w:szCs w:val="21"/>
          <w:highlight w:val="none"/>
        </w:rPr>
        <w:t>21.6.7</w:t>
      </w:r>
      <w:r>
        <w:rPr>
          <w:rFonts w:hint="eastAsia" w:ascii="宋体" w:hAnsi="宋体"/>
          <w:color w:val="auto"/>
          <w:szCs w:val="21"/>
          <w:highlight w:val="none"/>
        </w:rPr>
        <w:t xml:space="preserve">  有下列情形之一的，视为投标人串通投标，其投标无效：</w:t>
      </w:r>
    </w:p>
    <w:p w14:paraId="05EC066E">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14:paraId="55A1EB90">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14:paraId="683B535E">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14:paraId="677B8A69">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14:paraId="41F638D5">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（五）不同投标人的投标文件相互混装；</w:t>
      </w:r>
    </w:p>
    <w:p w14:paraId="25BF61B2">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（六）不同投标人的投标保证金从同一单位或者个人的账户转出。</w:t>
      </w:r>
    </w:p>
    <w:p w14:paraId="10ADA5BF">
      <w:pPr>
        <w:spacing w:line="440" w:lineRule="exact"/>
        <w:rPr>
          <w:rFonts w:ascii="宋体" w:hAnsi="宋体"/>
          <w:color w:val="auto"/>
          <w:szCs w:val="21"/>
          <w:highlight w:val="none"/>
        </w:rPr>
      </w:pPr>
      <w:r>
        <w:rPr>
          <w:rFonts w:hint="eastAsia" w:ascii="宋体" w:hAnsi="宋体"/>
          <w:b/>
          <w:color w:val="auto"/>
          <w:szCs w:val="21"/>
          <w:highlight w:val="none"/>
        </w:rPr>
        <w:t>21.6.8</w:t>
      </w:r>
      <w:r>
        <w:rPr>
          <w:rFonts w:hint="eastAsia" w:ascii="宋体" w:hAnsi="宋体"/>
          <w:color w:val="auto"/>
          <w:szCs w:val="21"/>
          <w:highlight w:val="none"/>
        </w:rPr>
        <w:t xml:space="preserve">  投标人存在下列情况之一的，投标无效：</w:t>
      </w:r>
    </w:p>
    <w:p w14:paraId="14D590AE">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（一）未按照招标文件的规定提交投标保证金的；</w:t>
      </w:r>
    </w:p>
    <w:p w14:paraId="0C7235EE">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（二）投标文件未按招标文件要求签署、盖章的；</w:t>
      </w:r>
    </w:p>
    <w:p w14:paraId="2C460337">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（三）不具备招标文件中规定的资格要求的；</w:t>
      </w:r>
    </w:p>
    <w:p w14:paraId="1DE2F208">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（四）报价超过招标文件中规定的预算金额或者最高限价的；</w:t>
      </w:r>
    </w:p>
    <w:p w14:paraId="36ABC63A">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（五）未对招标文件的实质性条款作出响应的；</w:t>
      </w:r>
    </w:p>
    <w:p w14:paraId="638C3B43">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（六）投标文件含有采购人不能接受的附加条件的；</w:t>
      </w:r>
    </w:p>
    <w:p w14:paraId="7AE5148F">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（七）不同投标人的投标文件出自同一终端设备或在相同Internet主机分配地址（相同IP地址）；</w:t>
      </w:r>
    </w:p>
    <w:p w14:paraId="7F9EDC68">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（八）法律、法规和招标文件规定的其他无效情形。</w:t>
      </w:r>
    </w:p>
    <w:p w14:paraId="4D3AA3DB">
      <w:pPr>
        <w:spacing w:line="440" w:lineRule="exact"/>
        <w:rPr>
          <w:rFonts w:ascii="宋体" w:hAnsi="宋体"/>
          <w:color w:val="auto"/>
          <w:szCs w:val="21"/>
          <w:highlight w:val="none"/>
        </w:rPr>
      </w:pPr>
      <w:r>
        <w:rPr>
          <w:rFonts w:hint="eastAsia" w:ascii="宋体" w:hAnsi="宋体"/>
          <w:b/>
          <w:color w:val="auto"/>
          <w:szCs w:val="21"/>
          <w:highlight w:val="none"/>
        </w:rPr>
        <w:t xml:space="preserve">21.6.9  </w:t>
      </w:r>
      <w:r>
        <w:rPr>
          <w:rFonts w:hint="eastAsia" w:ascii="宋体" w:hAnsi="宋体"/>
          <w:color w:val="auto"/>
          <w:szCs w:val="21"/>
          <w:highlight w:val="none"/>
        </w:rPr>
        <w:t>评标结果汇总完成后，除下列情形外，任何人不得修改评标结果：</w:t>
      </w:r>
    </w:p>
    <w:p w14:paraId="00CBEB28">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（一）分值汇总计算错误的；</w:t>
      </w:r>
    </w:p>
    <w:p w14:paraId="6C8EF9F6">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（二）分项评分超出评分标准范围的；</w:t>
      </w:r>
    </w:p>
    <w:p w14:paraId="11882E77">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（三）评标委员会成员对客观评审因素评分不一致的；</w:t>
      </w:r>
    </w:p>
    <w:p w14:paraId="36A677B9">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（四）经评标委员会认定评分畸高、畸低的。</w:t>
      </w:r>
    </w:p>
    <w:p w14:paraId="31EFD3FA">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552409">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3524D895">
      <w:pPr>
        <w:spacing w:line="440" w:lineRule="exact"/>
        <w:rPr>
          <w:rFonts w:ascii="宋体" w:hAnsi="宋体"/>
          <w:color w:val="auto"/>
          <w:szCs w:val="21"/>
          <w:highlight w:val="none"/>
        </w:rPr>
      </w:pPr>
      <w:r>
        <w:rPr>
          <w:rFonts w:hint="eastAsia" w:ascii="宋体" w:hAnsi="宋体"/>
          <w:b/>
          <w:color w:val="auto"/>
          <w:szCs w:val="21"/>
          <w:highlight w:val="none"/>
        </w:rPr>
        <w:t xml:space="preserve">21.6.10  </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CAA3987">
      <w:pPr>
        <w:spacing w:line="400" w:lineRule="exact"/>
        <w:rPr>
          <w:rFonts w:ascii="宋体" w:hAnsi="宋体" w:cs="宋体"/>
          <w:color w:val="auto"/>
          <w:kern w:val="0"/>
          <w:szCs w:val="21"/>
          <w:highlight w:val="none"/>
        </w:rPr>
      </w:pPr>
    </w:p>
    <w:p w14:paraId="704FD011">
      <w:pPr>
        <w:spacing w:line="400" w:lineRule="exact"/>
        <w:rPr>
          <w:rFonts w:ascii="宋体" w:hAnsi="宋体" w:cs="宋体"/>
          <w:b/>
          <w:color w:val="auto"/>
          <w:szCs w:val="21"/>
          <w:highlight w:val="none"/>
        </w:rPr>
      </w:pPr>
      <w:r>
        <w:rPr>
          <w:rFonts w:hint="eastAsia" w:ascii="宋体" w:hAnsi="宋体" w:cs="宋体"/>
          <w:b/>
          <w:color w:val="auto"/>
          <w:szCs w:val="21"/>
          <w:highlight w:val="none"/>
        </w:rPr>
        <w:t>22.  推荐中标候选人</w:t>
      </w:r>
    </w:p>
    <w:p w14:paraId="64E0EFD4">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22.1</w:t>
      </w:r>
      <w:r>
        <w:rPr>
          <w:rFonts w:hint="eastAsia" w:ascii="宋体" w:hAnsi="宋体" w:cs="宋体"/>
          <w:color w:val="auto"/>
          <w:kern w:val="0"/>
          <w:szCs w:val="21"/>
          <w:highlight w:val="none"/>
        </w:rPr>
        <w:t xml:space="preserve">  评标委员会按照招标文件第五部分“评标办法”推荐中标候选人。</w:t>
      </w:r>
    </w:p>
    <w:p w14:paraId="286D8F31">
      <w:pPr>
        <w:spacing w:line="400" w:lineRule="exact"/>
        <w:rPr>
          <w:rFonts w:ascii="宋体" w:hAnsi="宋体" w:cs="宋体"/>
          <w:color w:val="auto"/>
          <w:kern w:val="0"/>
          <w:szCs w:val="21"/>
          <w:highlight w:val="none"/>
        </w:rPr>
      </w:pPr>
    </w:p>
    <w:p w14:paraId="009AFDD0">
      <w:pPr>
        <w:spacing w:line="400" w:lineRule="exact"/>
        <w:rPr>
          <w:rFonts w:ascii="宋体" w:hAnsi="宋体" w:cs="宋体"/>
          <w:b/>
          <w:color w:val="auto"/>
          <w:szCs w:val="21"/>
          <w:highlight w:val="none"/>
        </w:rPr>
      </w:pPr>
      <w:r>
        <w:rPr>
          <w:rFonts w:hint="eastAsia" w:ascii="宋体" w:hAnsi="宋体" w:cs="宋体"/>
          <w:b/>
          <w:color w:val="auto"/>
          <w:szCs w:val="21"/>
          <w:highlight w:val="none"/>
        </w:rPr>
        <w:t>23.  定标</w:t>
      </w:r>
    </w:p>
    <w:p w14:paraId="3370772E">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color w:val="auto"/>
          <w:szCs w:val="21"/>
          <w:highlight w:val="none"/>
        </w:rPr>
        <w:t>确定中标人。本项目由评标委员会推荐中标候选人，采购人不得在评标委员会推荐的中标候选人以外确定中标候选人。</w:t>
      </w:r>
    </w:p>
    <w:p w14:paraId="3C5FA166">
      <w:pPr>
        <w:spacing w:line="400" w:lineRule="exact"/>
        <w:rPr>
          <w:rFonts w:ascii="宋体" w:hAnsi="宋体" w:cs="宋体"/>
          <w:color w:val="auto"/>
          <w:szCs w:val="21"/>
          <w:highlight w:val="none"/>
        </w:rPr>
      </w:pPr>
      <w:r>
        <w:rPr>
          <w:rFonts w:hint="eastAsia" w:ascii="宋体" w:hAnsi="宋体" w:cs="宋体"/>
          <w:b/>
          <w:color w:val="auto"/>
          <w:szCs w:val="21"/>
          <w:highlight w:val="none"/>
        </w:rPr>
        <w:t>23.2</w:t>
      </w:r>
      <w:r>
        <w:rPr>
          <w:rFonts w:hint="eastAsia" w:ascii="宋体" w:hAnsi="宋体" w:cs="宋体"/>
          <w:color w:val="auto"/>
          <w:szCs w:val="21"/>
          <w:highlight w:val="none"/>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1B2A25AF">
      <w:pPr>
        <w:spacing w:line="400" w:lineRule="exact"/>
        <w:rPr>
          <w:rFonts w:ascii="宋体" w:hAnsi="宋体" w:cs="宋体"/>
          <w:color w:val="auto"/>
          <w:szCs w:val="21"/>
          <w:highlight w:val="none"/>
        </w:rPr>
      </w:pPr>
      <w:r>
        <w:rPr>
          <w:rFonts w:hint="eastAsia" w:ascii="宋体" w:hAnsi="宋体" w:cs="宋体"/>
          <w:b/>
          <w:color w:val="auto"/>
          <w:szCs w:val="21"/>
          <w:highlight w:val="none"/>
        </w:rPr>
        <w:t>23.3</w:t>
      </w:r>
      <w:r>
        <w:rPr>
          <w:rFonts w:hint="eastAsia" w:ascii="宋体" w:hAnsi="宋体" w:cs="宋体"/>
          <w:color w:val="auto"/>
          <w:szCs w:val="21"/>
          <w:highlight w:val="none"/>
        </w:rPr>
        <w:t xml:space="preserve">  采购代理机构自中标人确定之日起2个工作日内，在发布招标公告的网站上对中标结果进行公示，中标结果公告期限为1个工作日。</w:t>
      </w:r>
    </w:p>
    <w:p w14:paraId="35DB1BD3">
      <w:pPr>
        <w:spacing w:line="400" w:lineRule="exact"/>
        <w:rPr>
          <w:rFonts w:ascii="宋体" w:hAnsi="宋体" w:cs="宋体"/>
          <w:color w:val="auto"/>
          <w:kern w:val="0"/>
          <w:szCs w:val="21"/>
          <w:highlight w:val="none"/>
        </w:rPr>
      </w:pPr>
    </w:p>
    <w:p w14:paraId="52B40EBF">
      <w:pPr>
        <w:jc w:val="center"/>
        <w:outlineLvl w:val="1"/>
        <w:rPr>
          <w:rFonts w:ascii="宋体" w:hAnsi="宋体" w:cs="宋体"/>
          <w:b/>
          <w:color w:val="auto"/>
          <w:sz w:val="28"/>
          <w:highlight w:val="none"/>
        </w:rPr>
      </w:pPr>
      <w:bookmarkStart w:id="102" w:name="_Toc136017636"/>
      <w:bookmarkStart w:id="103" w:name="_Toc3994"/>
      <w:bookmarkStart w:id="104" w:name="_Toc136345107"/>
      <w:bookmarkStart w:id="105" w:name="_Toc440276567"/>
      <w:r>
        <w:rPr>
          <w:rFonts w:hint="eastAsia" w:ascii="宋体" w:hAnsi="宋体" w:cs="宋体"/>
          <w:b/>
          <w:color w:val="auto"/>
          <w:sz w:val="28"/>
          <w:highlight w:val="none"/>
        </w:rPr>
        <w:t>G  授予合同</w:t>
      </w:r>
      <w:bookmarkEnd w:id="102"/>
      <w:bookmarkEnd w:id="103"/>
      <w:bookmarkEnd w:id="104"/>
      <w:bookmarkEnd w:id="105"/>
    </w:p>
    <w:p w14:paraId="1F0266D4">
      <w:pPr>
        <w:spacing w:line="400" w:lineRule="exact"/>
        <w:rPr>
          <w:rFonts w:ascii="宋体" w:hAnsi="宋体" w:cs="宋体"/>
          <w:b/>
          <w:color w:val="auto"/>
          <w:szCs w:val="21"/>
          <w:highlight w:val="none"/>
        </w:rPr>
      </w:pPr>
      <w:r>
        <w:rPr>
          <w:rFonts w:hint="eastAsia" w:ascii="宋体" w:hAnsi="宋体" w:cs="宋体"/>
          <w:b/>
          <w:color w:val="auto"/>
          <w:szCs w:val="21"/>
          <w:highlight w:val="none"/>
        </w:rPr>
        <w:t>24.  中标通知</w:t>
      </w:r>
    </w:p>
    <w:p w14:paraId="17361C45">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24.1 </w:t>
      </w:r>
      <w:r>
        <w:rPr>
          <w:rFonts w:hint="eastAsia" w:ascii="宋体" w:hAnsi="宋体" w:cs="宋体"/>
          <w:color w:val="auto"/>
          <w:kern w:val="0"/>
          <w:szCs w:val="21"/>
          <w:highlight w:val="none"/>
        </w:rPr>
        <w:t xml:space="preserve"> 在公告中标结果的同时，采购代理机构应当向中标人发出中标通知书。</w:t>
      </w:r>
    </w:p>
    <w:p w14:paraId="14C92F05">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24.2</w:t>
      </w:r>
      <w:r>
        <w:rPr>
          <w:rFonts w:hint="eastAsia" w:ascii="宋体" w:hAnsi="宋体" w:cs="宋体"/>
          <w:color w:val="auto"/>
          <w:kern w:val="0"/>
          <w:szCs w:val="21"/>
          <w:highlight w:val="none"/>
        </w:rPr>
        <w:t xml:space="preserve">  中标通知书发出后，采购人不得违法改变中标结果，中标人无正当理由不得放弃中标。</w:t>
      </w:r>
    </w:p>
    <w:p w14:paraId="1C00E8ED">
      <w:pPr>
        <w:spacing w:line="400" w:lineRule="exact"/>
        <w:ind w:firstLine="420" w:firstLineChars="200"/>
        <w:rPr>
          <w:rFonts w:ascii="宋体" w:hAnsi="宋体" w:cs="宋体"/>
          <w:color w:val="auto"/>
          <w:kern w:val="0"/>
          <w:szCs w:val="21"/>
          <w:highlight w:val="none"/>
        </w:rPr>
      </w:pPr>
    </w:p>
    <w:p w14:paraId="6993B5B3">
      <w:pPr>
        <w:spacing w:line="400" w:lineRule="exact"/>
        <w:rPr>
          <w:rFonts w:ascii="宋体" w:hAnsi="宋体" w:cs="宋体"/>
          <w:b/>
          <w:color w:val="auto"/>
          <w:szCs w:val="21"/>
          <w:highlight w:val="none"/>
        </w:rPr>
      </w:pPr>
      <w:r>
        <w:rPr>
          <w:rFonts w:hint="eastAsia" w:ascii="宋体" w:hAnsi="宋体" w:cs="宋体"/>
          <w:b/>
          <w:color w:val="auto"/>
          <w:szCs w:val="21"/>
          <w:highlight w:val="none"/>
        </w:rPr>
        <w:t>25.  签订合同</w:t>
      </w:r>
    </w:p>
    <w:p w14:paraId="469D802D">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25.1</w:t>
      </w:r>
      <w:r>
        <w:rPr>
          <w:rFonts w:hint="eastAsia" w:ascii="宋体" w:hAnsi="宋体" w:cs="宋体"/>
          <w:color w:val="auto"/>
          <w:kern w:val="0"/>
          <w:szCs w:val="21"/>
          <w:highlight w:val="none"/>
        </w:rPr>
        <w:t xml:space="preserve">  中标人应在采购代理机构发出中标通知书的30日内，应与采购人签订合同。所签订的合同不得对招标文件确定的事项和中标人投标文件作实质性修改。</w:t>
      </w:r>
    </w:p>
    <w:p w14:paraId="320CA59D">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25.2</w:t>
      </w:r>
      <w:r>
        <w:rPr>
          <w:rFonts w:hint="eastAsia" w:ascii="宋体" w:hAnsi="宋体" w:cs="宋体"/>
          <w:color w:val="auto"/>
          <w:kern w:val="0"/>
          <w:szCs w:val="21"/>
          <w:highlight w:val="none"/>
        </w:rPr>
        <w:t xml:space="preserve">  除中标通知书外，招标文件、中标人的投标文件及评标过程中有关的澄清文件也均应作为合同附件。</w:t>
      </w:r>
    </w:p>
    <w:p w14:paraId="1CB1F26F">
      <w:pPr>
        <w:spacing w:line="400" w:lineRule="exact"/>
        <w:rPr>
          <w:rFonts w:ascii="宋体" w:hAnsi="宋体" w:cs="宋体"/>
          <w:bCs/>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Cs/>
          <w:color w:val="auto"/>
          <w:szCs w:val="21"/>
          <w:highlight w:val="none"/>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388C56AE">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25.4</w:t>
      </w:r>
      <w:r>
        <w:rPr>
          <w:rFonts w:hint="eastAsia" w:ascii="宋体" w:hAnsi="宋体" w:cs="宋体"/>
          <w:color w:val="auto"/>
          <w:kern w:val="0"/>
          <w:szCs w:val="21"/>
          <w:highlight w:val="none"/>
        </w:rPr>
        <w:t xml:space="preserve">  中标人拒绝与采购人签订合同的，采购人可以按照评标报告推荐的中标候选人名单排序，确定下一候选人为中标人，也可以重新开展政府采购活动。</w:t>
      </w:r>
    </w:p>
    <w:p w14:paraId="0A789E28">
      <w:pPr>
        <w:spacing w:line="400" w:lineRule="exact"/>
        <w:rPr>
          <w:rFonts w:ascii="宋体" w:hAnsi="宋体" w:cs="宋体"/>
          <w:color w:val="auto"/>
          <w:kern w:val="0"/>
          <w:szCs w:val="21"/>
          <w:highlight w:val="none"/>
        </w:rPr>
      </w:pPr>
    </w:p>
    <w:p w14:paraId="0172CF00">
      <w:pPr>
        <w:spacing w:line="400" w:lineRule="exact"/>
        <w:rPr>
          <w:rFonts w:ascii="宋体" w:hAnsi="宋体" w:cs="宋体"/>
          <w:b/>
          <w:color w:val="auto"/>
          <w:szCs w:val="21"/>
          <w:highlight w:val="none"/>
        </w:rPr>
      </w:pPr>
      <w:r>
        <w:rPr>
          <w:rFonts w:hint="eastAsia" w:ascii="宋体" w:hAnsi="宋体" w:cs="宋体"/>
          <w:b/>
          <w:color w:val="auto"/>
          <w:szCs w:val="21"/>
          <w:highlight w:val="none"/>
        </w:rPr>
        <w:t>26.  履约保证金</w:t>
      </w:r>
    </w:p>
    <w:p w14:paraId="2A07A3AE">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26.1</w:t>
      </w:r>
      <w:r>
        <w:rPr>
          <w:rFonts w:hint="eastAsia" w:ascii="宋体" w:hAnsi="宋体" w:cs="宋体"/>
          <w:color w:val="auto"/>
          <w:kern w:val="0"/>
          <w:szCs w:val="21"/>
          <w:highlight w:val="none"/>
        </w:rPr>
        <w:t xml:space="preserve">  招标文件若有规定，在签订合同后，采购人按合同支付定金的同时，中标人应向采购人提供履约保证金。</w:t>
      </w:r>
    </w:p>
    <w:p w14:paraId="65168181">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26.2</w:t>
      </w:r>
      <w:r>
        <w:rPr>
          <w:rFonts w:hint="eastAsia" w:ascii="宋体" w:hAnsi="宋体" w:cs="宋体"/>
          <w:color w:val="auto"/>
          <w:kern w:val="0"/>
          <w:szCs w:val="21"/>
          <w:highlight w:val="none"/>
        </w:rPr>
        <w:t xml:space="preserve">  若中标人不按上述第26.1条要求提供，采购代理机构和采购人有权按前述第13.6条规定处理并撤销其中标资格。在这种情况下，采购代理机构和采购人可按本须知第25.3条规定另选中标人。</w:t>
      </w:r>
    </w:p>
    <w:p w14:paraId="330A2C57">
      <w:pPr>
        <w:spacing w:line="400" w:lineRule="exact"/>
        <w:rPr>
          <w:rFonts w:ascii="宋体" w:hAnsi="宋体" w:cs="宋体"/>
          <w:color w:val="auto"/>
          <w:kern w:val="0"/>
          <w:szCs w:val="21"/>
          <w:highlight w:val="none"/>
        </w:rPr>
      </w:pPr>
    </w:p>
    <w:p w14:paraId="4B596ABB">
      <w:pPr>
        <w:spacing w:line="400" w:lineRule="exact"/>
        <w:rPr>
          <w:rFonts w:ascii="宋体" w:hAnsi="宋体" w:cs="宋体"/>
          <w:b/>
          <w:color w:val="auto"/>
          <w:szCs w:val="21"/>
          <w:highlight w:val="none"/>
        </w:rPr>
      </w:pPr>
      <w:r>
        <w:rPr>
          <w:rFonts w:hint="eastAsia" w:ascii="宋体" w:hAnsi="宋体" w:cs="宋体"/>
          <w:b/>
          <w:color w:val="auto"/>
          <w:szCs w:val="21"/>
          <w:highlight w:val="none"/>
        </w:rPr>
        <w:t>27.  履约验收</w:t>
      </w:r>
    </w:p>
    <w:p w14:paraId="426CF22B">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27.1</w:t>
      </w:r>
      <w:r>
        <w:rPr>
          <w:rFonts w:hint="eastAsia" w:ascii="宋体" w:hAnsi="宋体" w:cs="宋体"/>
          <w:color w:val="auto"/>
          <w:kern w:val="0"/>
          <w:szCs w:val="21"/>
          <w:highlight w:val="none"/>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11928F3E">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27.2 </w:t>
      </w:r>
      <w:r>
        <w:rPr>
          <w:rFonts w:hint="eastAsia" w:ascii="宋体" w:hAnsi="宋体" w:cs="宋体"/>
          <w:color w:val="auto"/>
          <w:kern w:val="0"/>
          <w:szCs w:val="21"/>
          <w:highlight w:val="none"/>
        </w:rPr>
        <w:t xml:space="preserve"> 采购人可以邀请参加本项目的其他投标人或者第三方机构参与验收。参与验收的投标人或者第三方机构的意见作为验收书的参考资料一并存档。</w:t>
      </w:r>
    </w:p>
    <w:p w14:paraId="074F5874">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27.3</w:t>
      </w:r>
      <w:r>
        <w:rPr>
          <w:rFonts w:hint="eastAsia" w:ascii="宋体" w:hAnsi="宋体" w:cs="宋体"/>
          <w:color w:val="auto"/>
          <w:kern w:val="0"/>
          <w:szCs w:val="21"/>
          <w:highlight w:val="none"/>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AD5FA7">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27.4</w:t>
      </w:r>
      <w:r>
        <w:rPr>
          <w:rFonts w:hint="eastAsia" w:ascii="宋体" w:hAnsi="宋体" w:cs="宋体"/>
          <w:color w:val="auto"/>
          <w:kern w:val="0"/>
          <w:szCs w:val="21"/>
          <w:highlight w:val="none"/>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8B869C2">
      <w:pPr>
        <w:jc w:val="center"/>
        <w:outlineLvl w:val="1"/>
        <w:rPr>
          <w:rFonts w:ascii="宋体" w:hAnsi="宋体" w:cs="宋体"/>
          <w:b/>
          <w:color w:val="auto"/>
          <w:sz w:val="28"/>
          <w:highlight w:val="none"/>
        </w:rPr>
      </w:pPr>
      <w:bookmarkStart w:id="106" w:name="_Toc440276568"/>
    </w:p>
    <w:p w14:paraId="579AA48E">
      <w:pPr>
        <w:jc w:val="center"/>
        <w:outlineLvl w:val="1"/>
        <w:rPr>
          <w:rFonts w:ascii="宋体" w:hAnsi="宋体" w:cs="宋体"/>
          <w:b/>
          <w:color w:val="auto"/>
          <w:sz w:val="28"/>
          <w:highlight w:val="none"/>
        </w:rPr>
      </w:pPr>
      <w:bookmarkStart w:id="107" w:name="_Toc136017637"/>
      <w:bookmarkStart w:id="108" w:name="_Toc136345108"/>
      <w:bookmarkStart w:id="109" w:name="_Toc19522"/>
      <w:r>
        <w:rPr>
          <w:rFonts w:hint="eastAsia" w:ascii="宋体" w:hAnsi="宋体" w:cs="宋体"/>
          <w:b/>
          <w:color w:val="auto"/>
          <w:sz w:val="28"/>
          <w:highlight w:val="none"/>
        </w:rPr>
        <w:t>H  采购代理机构服务费</w:t>
      </w:r>
      <w:bookmarkEnd w:id="106"/>
      <w:bookmarkEnd w:id="107"/>
      <w:bookmarkEnd w:id="108"/>
      <w:bookmarkEnd w:id="109"/>
    </w:p>
    <w:p w14:paraId="6541362B">
      <w:pPr>
        <w:spacing w:line="400" w:lineRule="exact"/>
        <w:rPr>
          <w:rFonts w:ascii="宋体" w:hAnsi="宋体" w:cs="宋体"/>
          <w:b/>
          <w:color w:val="auto"/>
          <w:szCs w:val="21"/>
          <w:highlight w:val="none"/>
        </w:rPr>
      </w:pPr>
      <w:r>
        <w:rPr>
          <w:rFonts w:hint="eastAsia" w:ascii="宋体" w:hAnsi="宋体" w:cs="宋体"/>
          <w:b/>
          <w:color w:val="auto"/>
          <w:szCs w:val="21"/>
          <w:highlight w:val="none"/>
        </w:rPr>
        <w:t>28.  采购代理机构服务费</w:t>
      </w:r>
    </w:p>
    <w:p w14:paraId="7E772E48">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28.1</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应在中标结果公示结束后向采购代理机构支付采购代理机构服务费。</w:t>
      </w:r>
    </w:p>
    <w:p w14:paraId="6D7736CC">
      <w:pPr>
        <w:spacing w:line="400" w:lineRule="exact"/>
        <w:rPr>
          <w:rFonts w:ascii="宋体" w:hAnsi="宋体" w:cs="宋体"/>
          <w:color w:val="auto"/>
          <w:kern w:val="0"/>
          <w:szCs w:val="21"/>
          <w:highlight w:val="none"/>
        </w:rPr>
      </w:pPr>
    </w:p>
    <w:p w14:paraId="1CE21DE6">
      <w:pPr>
        <w:spacing w:line="400" w:lineRule="exact"/>
        <w:rPr>
          <w:rFonts w:ascii="宋体" w:hAnsi="宋体" w:cs="宋体"/>
          <w:color w:val="auto"/>
          <w:kern w:val="0"/>
          <w:szCs w:val="21"/>
          <w:highlight w:val="none"/>
        </w:rPr>
      </w:pPr>
    </w:p>
    <w:p w14:paraId="1A8822F7">
      <w:pPr>
        <w:jc w:val="center"/>
        <w:outlineLvl w:val="1"/>
        <w:rPr>
          <w:rFonts w:ascii="宋体" w:hAnsi="宋体" w:cs="宋体"/>
          <w:b/>
          <w:color w:val="auto"/>
          <w:sz w:val="28"/>
          <w:highlight w:val="none"/>
        </w:rPr>
      </w:pPr>
      <w:bookmarkStart w:id="110" w:name="_Toc136017638"/>
      <w:bookmarkStart w:id="111" w:name="_Toc136345109"/>
      <w:bookmarkStart w:id="112" w:name="_Toc14931"/>
      <w:r>
        <w:rPr>
          <w:rFonts w:hint="eastAsia" w:ascii="宋体" w:hAnsi="宋体" w:cs="宋体"/>
          <w:b/>
          <w:color w:val="auto"/>
          <w:sz w:val="28"/>
          <w:highlight w:val="none"/>
        </w:rPr>
        <w:t>Ⅰ  信息发布媒体</w:t>
      </w:r>
      <w:bookmarkEnd w:id="110"/>
      <w:bookmarkEnd w:id="111"/>
      <w:bookmarkEnd w:id="112"/>
    </w:p>
    <w:p w14:paraId="08EA4F68">
      <w:pPr>
        <w:spacing w:line="400" w:lineRule="exact"/>
        <w:rPr>
          <w:rFonts w:ascii="宋体" w:hAnsi="宋体" w:cs="宋体"/>
          <w:b/>
          <w:color w:val="auto"/>
          <w:szCs w:val="21"/>
          <w:highlight w:val="none"/>
        </w:rPr>
      </w:pPr>
      <w:r>
        <w:rPr>
          <w:rFonts w:hint="eastAsia" w:ascii="宋体" w:hAnsi="宋体" w:cs="宋体"/>
          <w:b/>
          <w:color w:val="auto"/>
          <w:szCs w:val="21"/>
          <w:highlight w:val="none"/>
        </w:rPr>
        <w:t>29.  有关发布项目招标公告、中标公示的媒体：</w:t>
      </w:r>
    </w:p>
    <w:p w14:paraId="0D277065">
      <w:pPr>
        <w:spacing w:line="360" w:lineRule="auto"/>
        <w:ind w:left="788" w:hanging="787" w:hangingChars="37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浙江政府采购网</w:t>
      </w:r>
      <w:r>
        <w:rPr>
          <w:rFonts w:hint="eastAsia" w:ascii="宋体" w:hAnsi="宋体" w:cs="宋体"/>
          <w:color w:val="auto"/>
          <w:szCs w:val="21"/>
          <w:highlight w:val="none"/>
        </w:rPr>
        <w:t>https://zfcg.czt.zj.gov.cn/</w:t>
      </w:r>
    </w:p>
    <w:p w14:paraId="565A8679">
      <w:pPr>
        <w:spacing w:line="360" w:lineRule="auto"/>
        <w:rPr>
          <w:color w:val="auto"/>
          <w:highlight w:val="none"/>
        </w:rPr>
      </w:pPr>
      <w:r>
        <w:rPr>
          <w:rFonts w:hint="eastAsia" w:asciiTheme="minorEastAsia" w:hAnsiTheme="minorEastAsia" w:eastAsiaTheme="minorEastAsia"/>
          <w:color w:val="auto"/>
          <w:szCs w:val="21"/>
          <w:highlight w:val="none"/>
        </w:rPr>
        <w:t>宁波政府采购网</w:t>
      </w:r>
      <w:r>
        <w:rPr>
          <w:rFonts w:hint="eastAsia" w:ascii="宋体" w:hAnsi="宋体" w:eastAsia="宋体" w:cs="宋体"/>
          <w:bCs/>
          <w:color w:val="auto"/>
          <w:szCs w:val="21"/>
          <w:highlight w:val="none"/>
        </w:rPr>
        <w:t>http://www.nbzfcg.cn</w:t>
      </w:r>
    </w:p>
    <w:p w14:paraId="680AAE19">
      <w:pPr>
        <w:jc w:val="center"/>
        <w:outlineLvl w:val="1"/>
        <w:rPr>
          <w:rFonts w:ascii="宋体" w:hAnsi="宋体" w:cs="宋体"/>
          <w:b/>
          <w:color w:val="auto"/>
          <w:sz w:val="28"/>
          <w:highlight w:val="none"/>
        </w:rPr>
      </w:pPr>
    </w:p>
    <w:p w14:paraId="16F65845">
      <w:pPr>
        <w:jc w:val="center"/>
        <w:outlineLvl w:val="1"/>
        <w:rPr>
          <w:rFonts w:ascii="宋体" w:hAnsi="宋体" w:cs="宋体"/>
          <w:b/>
          <w:color w:val="auto"/>
          <w:sz w:val="28"/>
          <w:highlight w:val="none"/>
        </w:rPr>
      </w:pPr>
      <w:bookmarkStart w:id="113" w:name="_Toc10552"/>
      <w:bookmarkStart w:id="114" w:name="_Toc136345110"/>
      <w:bookmarkStart w:id="115" w:name="_Toc136017639"/>
      <w:r>
        <w:rPr>
          <w:rFonts w:hint="eastAsia" w:ascii="宋体" w:hAnsi="宋体" w:cs="宋体"/>
          <w:b/>
          <w:color w:val="auto"/>
          <w:sz w:val="28"/>
          <w:highlight w:val="none"/>
        </w:rPr>
        <w:t>J  其他规定</w:t>
      </w:r>
      <w:bookmarkEnd w:id="113"/>
      <w:bookmarkEnd w:id="114"/>
      <w:bookmarkEnd w:id="115"/>
    </w:p>
    <w:p w14:paraId="4D2FD006">
      <w:pPr>
        <w:spacing w:line="400" w:lineRule="exact"/>
        <w:rPr>
          <w:rFonts w:ascii="宋体" w:hAnsi="宋体" w:cs="宋体"/>
          <w:b/>
          <w:color w:val="auto"/>
          <w:szCs w:val="21"/>
          <w:highlight w:val="none"/>
        </w:rPr>
      </w:pPr>
      <w:r>
        <w:rPr>
          <w:rFonts w:hint="eastAsia" w:ascii="宋体" w:hAnsi="宋体" w:cs="宋体"/>
          <w:b/>
          <w:color w:val="auto"/>
          <w:szCs w:val="21"/>
          <w:highlight w:val="none"/>
        </w:rPr>
        <w:t>30.  其他规定</w:t>
      </w:r>
    </w:p>
    <w:p w14:paraId="3C989BC8">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30.1</w:t>
      </w:r>
      <w:r>
        <w:rPr>
          <w:rFonts w:hint="eastAsia" w:ascii="宋体" w:hAnsi="宋体" w:cs="宋体"/>
          <w:color w:val="auto"/>
          <w:kern w:val="0"/>
          <w:szCs w:val="21"/>
          <w:highlight w:val="none"/>
        </w:rPr>
        <w:t xml:space="preserve"> 自购买招标文件之日起，投标人应保证其提供的联系方式</w:t>
      </w:r>
      <w:r>
        <w:rPr>
          <w:rFonts w:ascii="宋体" w:hAnsi="宋体" w:cs="宋体"/>
          <w:color w:val="auto"/>
          <w:kern w:val="0"/>
          <w:szCs w:val="21"/>
          <w:highlight w:val="none"/>
        </w:rPr>
        <w:t>(</w:t>
      </w:r>
      <w:r>
        <w:rPr>
          <w:rFonts w:hint="eastAsia" w:ascii="宋体" w:hAnsi="宋体" w:cs="宋体"/>
          <w:color w:val="auto"/>
          <w:kern w:val="0"/>
          <w:szCs w:val="21"/>
          <w:highlight w:val="none"/>
        </w:rPr>
        <w:t>电话、传真、电子邮件</w:t>
      </w:r>
      <w:r>
        <w:rPr>
          <w:rFonts w:ascii="宋体" w:hAnsi="宋体" w:cs="宋体"/>
          <w:color w:val="auto"/>
          <w:kern w:val="0"/>
          <w:szCs w:val="21"/>
          <w:highlight w:val="none"/>
        </w:rPr>
        <w:t>)</w:t>
      </w:r>
      <w:r>
        <w:rPr>
          <w:rFonts w:hint="eastAsia" w:ascii="宋体" w:hAnsi="宋体" w:cs="宋体"/>
          <w:color w:val="auto"/>
          <w:kern w:val="0"/>
          <w:szCs w:val="21"/>
          <w:highlight w:val="none"/>
        </w:rPr>
        <w:t>一直有效，以保证往来函件</w:t>
      </w:r>
      <w:r>
        <w:rPr>
          <w:rFonts w:ascii="宋体" w:hAnsi="宋体" w:cs="宋体"/>
          <w:color w:val="auto"/>
          <w:kern w:val="0"/>
          <w:szCs w:val="21"/>
          <w:highlight w:val="none"/>
        </w:rPr>
        <w:t>(</w:t>
      </w:r>
      <w:r>
        <w:rPr>
          <w:rFonts w:hint="eastAsia" w:ascii="宋体" w:hAnsi="宋体" w:cs="宋体"/>
          <w:color w:val="auto"/>
          <w:kern w:val="0"/>
          <w:szCs w:val="21"/>
          <w:highlight w:val="none"/>
        </w:rPr>
        <w:t>招标文件的澄清、修改等</w:t>
      </w:r>
      <w:r>
        <w:rPr>
          <w:rFonts w:ascii="宋体" w:hAnsi="宋体" w:cs="宋体"/>
          <w:color w:val="auto"/>
          <w:kern w:val="0"/>
          <w:szCs w:val="21"/>
          <w:highlight w:val="none"/>
        </w:rPr>
        <w:t>)</w:t>
      </w:r>
      <w:r>
        <w:rPr>
          <w:rFonts w:hint="eastAsia" w:ascii="宋体" w:hAnsi="宋体" w:cs="宋体"/>
          <w:color w:val="auto"/>
          <w:kern w:val="0"/>
          <w:szCs w:val="21"/>
          <w:highlight w:val="none"/>
        </w:rPr>
        <w:t>能及时通知投标人，并能及时反馈信息，否则采购人不承担由此引起的一切后果。</w:t>
      </w:r>
    </w:p>
    <w:p w14:paraId="3DFDE87F">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w:t>
      </w:r>
      <w:r>
        <w:rPr>
          <w:rFonts w:hint="eastAsia" w:ascii="宋体" w:hAnsi="宋体" w:cs="宋体"/>
          <w:color w:val="auto"/>
          <w:kern w:val="0"/>
          <w:szCs w:val="21"/>
          <w:highlight w:val="none"/>
        </w:rPr>
        <w:t xml:space="preserve"> 知识产权</w:t>
      </w:r>
    </w:p>
    <w:p w14:paraId="0FDF45CC">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30.2.1</w:t>
      </w:r>
      <w:r>
        <w:rPr>
          <w:rFonts w:ascii="宋体" w:hAnsi="宋体" w:cs="宋体"/>
          <w:color w:val="auto"/>
          <w:kern w:val="0"/>
          <w:szCs w:val="21"/>
          <w:highlight w:val="none"/>
        </w:rPr>
        <w:t>投标人应保证提交的全部文件不会侵犯其</w:t>
      </w:r>
      <w:r>
        <w:rPr>
          <w:rFonts w:hint="eastAsia" w:ascii="宋体" w:hAnsi="宋体" w:cs="宋体"/>
          <w:color w:val="auto"/>
          <w:kern w:val="0"/>
          <w:szCs w:val="21"/>
          <w:highlight w:val="none"/>
        </w:rPr>
        <w:t>他</w:t>
      </w:r>
      <w:r>
        <w:rPr>
          <w:rFonts w:ascii="宋体" w:hAnsi="宋体" w:cs="宋体"/>
          <w:color w:val="auto"/>
          <w:kern w:val="0"/>
          <w:szCs w:val="21"/>
          <w:highlight w:val="none"/>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auto"/>
          <w:kern w:val="0"/>
          <w:szCs w:val="21"/>
          <w:highlight w:val="none"/>
        </w:rPr>
        <w:t>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不会侵犯他人的知识产权或专</w:t>
      </w:r>
      <w:r>
        <w:rPr>
          <w:rFonts w:hint="eastAsia" w:ascii="宋体" w:hAnsi="宋体" w:cs="宋体"/>
          <w:color w:val="auto"/>
          <w:kern w:val="0"/>
          <w:szCs w:val="21"/>
          <w:highlight w:val="none"/>
        </w:rPr>
        <w:t>有</w:t>
      </w:r>
      <w:r>
        <w:rPr>
          <w:rFonts w:ascii="宋体" w:hAnsi="宋体" w:cs="宋体"/>
          <w:color w:val="auto"/>
          <w:kern w:val="0"/>
          <w:szCs w:val="21"/>
          <w:highlight w:val="none"/>
        </w:rPr>
        <w:t>技术或商业秘密，并应当使</w:t>
      </w:r>
      <w:r>
        <w:rPr>
          <w:rFonts w:hint="eastAsia" w:ascii="宋体" w:hAnsi="宋体" w:cs="宋体"/>
          <w:color w:val="auto"/>
          <w:kern w:val="0"/>
          <w:szCs w:val="21"/>
          <w:highlight w:val="none"/>
        </w:rPr>
        <w:t>采购人</w:t>
      </w:r>
      <w:r>
        <w:rPr>
          <w:rFonts w:ascii="宋体" w:hAnsi="宋体" w:cs="宋体"/>
          <w:color w:val="auto"/>
          <w:kern w:val="0"/>
          <w:szCs w:val="21"/>
          <w:highlight w:val="none"/>
        </w:rPr>
        <w:t>免于因被指控侵犯上述权利产生的任何责任，</w:t>
      </w:r>
      <w:r>
        <w:rPr>
          <w:rFonts w:hint="eastAsia" w:ascii="宋体" w:hAnsi="宋体" w:cs="宋体"/>
          <w:color w:val="auto"/>
          <w:kern w:val="0"/>
          <w:szCs w:val="21"/>
          <w:highlight w:val="none"/>
        </w:rPr>
        <w:t>若采购人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被指控侵犯上述权利</w:t>
      </w:r>
      <w:r>
        <w:rPr>
          <w:rFonts w:hint="eastAsia" w:ascii="宋体" w:hAnsi="宋体" w:cs="宋体"/>
          <w:color w:val="auto"/>
          <w:kern w:val="0"/>
          <w:szCs w:val="21"/>
          <w:highlight w:val="none"/>
        </w:rPr>
        <w:t>，投标人应</w:t>
      </w:r>
      <w:r>
        <w:rPr>
          <w:rFonts w:ascii="宋体" w:hAnsi="宋体" w:cs="宋体"/>
          <w:color w:val="auto"/>
          <w:kern w:val="0"/>
          <w:szCs w:val="21"/>
          <w:highlight w:val="none"/>
        </w:rPr>
        <w:t>赔偿</w:t>
      </w:r>
      <w:r>
        <w:rPr>
          <w:rFonts w:hint="eastAsia" w:ascii="宋体" w:hAnsi="宋体" w:cs="宋体"/>
          <w:color w:val="auto"/>
          <w:kern w:val="0"/>
          <w:szCs w:val="21"/>
          <w:highlight w:val="none"/>
        </w:rPr>
        <w:t>采购人</w:t>
      </w:r>
      <w:r>
        <w:rPr>
          <w:rFonts w:ascii="宋体" w:hAnsi="宋体" w:cs="宋体"/>
          <w:color w:val="auto"/>
          <w:kern w:val="0"/>
          <w:szCs w:val="21"/>
          <w:highlight w:val="none"/>
        </w:rPr>
        <w:t>由此而产生的费用和损失。</w:t>
      </w:r>
    </w:p>
    <w:p w14:paraId="75A1CBD2">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30.2.2</w:t>
      </w:r>
      <w:r>
        <w:rPr>
          <w:rFonts w:hint="eastAsia" w:ascii="宋体" w:hAnsi="宋体" w:cs="宋体"/>
          <w:color w:val="auto"/>
          <w:kern w:val="0"/>
          <w:szCs w:val="21"/>
          <w:highlight w:val="none"/>
        </w:rPr>
        <w:t xml:space="preserve"> 投标人中标后参与本项目研究的资料、成果等知识产权归采购人，有关的信息未经采购人同意不得向第三方泄露。</w:t>
      </w:r>
    </w:p>
    <w:p w14:paraId="1D26102A">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30.2.3 </w:t>
      </w:r>
      <w:r>
        <w:rPr>
          <w:rFonts w:hint="eastAsia" w:ascii="宋体" w:hAnsi="宋体" w:cs="宋体"/>
          <w:color w:val="auto"/>
          <w:kern w:val="0"/>
          <w:szCs w:val="21"/>
          <w:highlight w:val="none"/>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5046D9DC">
      <w:pPr>
        <w:spacing w:line="400" w:lineRule="exact"/>
        <w:rPr>
          <w:rFonts w:ascii="宋体" w:hAnsi="宋体" w:cs="宋体"/>
          <w:b/>
          <w:color w:val="auto"/>
          <w:szCs w:val="21"/>
          <w:highlight w:val="none"/>
        </w:rPr>
      </w:pPr>
    </w:p>
    <w:p w14:paraId="33090DCA">
      <w:pPr>
        <w:spacing w:line="440" w:lineRule="exact"/>
        <w:rPr>
          <w:rFonts w:ascii="宋体" w:hAnsi="宋体"/>
          <w:b/>
          <w:color w:val="auto"/>
          <w:szCs w:val="21"/>
          <w:highlight w:val="none"/>
        </w:rPr>
      </w:pPr>
      <w:r>
        <w:rPr>
          <w:rFonts w:hint="eastAsia" w:ascii="宋体" w:hAnsi="宋体"/>
          <w:b/>
          <w:color w:val="auto"/>
          <w:szCs w:val="21"/>
          <w:highlight w:val="none"/>
        </w:rPr>
        <w:t>31.  政府采购活动中有关中小企业的相关规定</w:t>
      </w:r>
    </w:p>
    <w:p w14:paraId="020EBA18">
      <w:pPr>
        <w:spacing w:line="400" w:lineRule="exact"/>
        <w:rPr>
          <w:rFonts w:hint="eastAsia" w:ascii="宋体" w:hAnsi="宋体"/>
          <w:b/>
          <w:color w:val="auto"/>
          <w:szCs w:val="21"/>
          <w:highlight w:val="none"/>
        </w:rPr>
      </w:pPr>
      <w:r>
        <w:rPr>
          <w:rFonts w:hint="eastAsia" w:ascii="宋体" w:hAnsi="宋体"/>
          <w:b/>
          <w:color w:val="auto"/>
          <w:szCs w:val="21"/>
          <w:highlight w:val="none"/>
        </w:rPr>
        <w:t>31.1本项目对应的中小企业划分标准所属行业：</w:t>
      </w:r>
    </w:p>
    <w:p w14:paraId="7F5B7373">
      <w:pPr>
        <w:spacing w:line="400" w:lineRule="exact"/>
        <w:rPr>
          <w:rFonts w:ascii="宋体" w:hAnsi="宋体"/>
          <w:color w:val="auto"/>
          <w:szCs w:val="21"/>
          <w:highlight w:val="none"/>
        </w:rPr>
      </w:pPr>
      <w:r>
        <w:rPr>
          <w:rFonts w:hint="eastAsia" w:ascii="宋体" w:hAnsi="宋体"/>
          <w:b/>
          <w:color w:val="auto"/>
          <w:szCs w:val="21"/>
          <w:highlight w:val="none"/>
        </w:rPr>
        <w:t>31.2</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6A4FB1B">
      <w:pPr>
        <w:spacing w:line="400" w:lineRule="exact"/>
        <w:rPr>
          <w:rFonts w:ascii="宋体" w:hAnsi="宋体"/>
          <w:color w:val="auto"/>
          <w:szCs w:val="21"/>
          <w:highlight w:val="none"/>
        </w:rPr>
      </w:pPr>
      <w:r>
        <w:rPr>
          <w:rFonts w:hint="eastAsia" w:ascii="宋体" w:hAnsi="宋体"/>
          <w:b/>
          <w:color w:val="auto"/>
          <w:szCs w:val="21"/>
          <w:highlight w:val="none"/>
        </w:rPr>
        <w:t xml:space="preserve">31.3  </w:t>
      </w:r>
      <w:r>
        <w:rPr>
          <w:rFonts w:hint="eastAsia" w:ascii="宋体" w:hAnsi="宋体"/>
          <w:color w:val="auto"/>
          <w:szCs w:val="21"/>
          <w:highlight w:val="none"/>
        </w:rPr>
        <w:t>在政府采购活动中，投标人提供的货物、工程或者服务符合下列情形的，享受本办法规定的中小企业扶持政策：</w:t>
      </w:r>
    </w:p>
    <w:p w14:paraId="4B40EB4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14:paraId="1442E7B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14:paraId="2B94ED1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14:paraId="6C90507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在货物采购项目中，投标人提供的货物既有中小企业制造货物，也有大型企业制造货物的，不享受本办法规定的中小企业扶持政策。</w:t>
      </w:r>
    </w:p>
    <w:p w14:paraId="0625888B">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1262CC90">
      <w:pPr>
        <w:spacing w:line="400" w:lineRule="exact"/>
        <w:rPr>
          <w:rFonts w:ascii="宋体" w:hAnsi="宋体"/>
          <w:color w:val="auto"/>
          <w:szCs w:val="21"/>
          <w:highlight w:val="none"/>
        </w:rPr>
      </w:pPr>
      <w:r>
        <w:rPr>
          <w:rFonts w:hint="eastAsia" w:ascii="宋体" w:hAnsi="宋体"/>
          <w:b/>
          <w:color w:val="auto"/>
          <w:szCs w:val="21"/>
          <w:highlight w:val="none"/>
        </w:rPr>
        <w:t>31.4</w:t>
      </w:r>
      <w:r>
        <w:rPr>
          <w:rFonts w:hint="eastAsia" w:ascii="宋体" w:hAnsi="宋体"/>
          <w:color w:val="auto"/>
          <w:szCs w:val="21"/>
          <w:highlight w:val="none"/>
        </w:rPr>
        <w:t xml:space="preserve">  中小企业参加政府采购活动，应当出具《中小企业声明函》（格式见附件1），否则不得享受相关中小企业扶持政策。</w:t>
      </w:r>
    </w:p>
    <w:p w14:paraId="7F017683">
      <w:pPr>
        <w:spacing w:line="400" w:lineRule="exact"/>
        <w:rPr>
          <w:rFonts w:hint="eastAsia" w:ascii="宋体" w:hAnsi="宋体"/>
          <w:color w:val="auto"/>
          <w:szCs w:val="21"/>
          <w:highlight w:val="none"/>
        </w:rPr>
      </w:pPr>
      <w:r>
        <w:rPr>
          <w:rFonts w:hint="eastAsia" w:ascii="宋体" w:hAnsi="宋体"/>
          <w:b/>
          <w:color w:val="auto"/>
          <w:szCs w:val="21"/>
          <w:highlight w:val="none"/>
        </w:rPr>
        <w:t>31.5</w:t>
      </w:r>
      <w:r>
        <w:rPr>
          <w:rFonts w:hint="eastAsia" w:ascii="宋体" w:hAnsi="宋体"/>
          <w:color w:val="auto"/>
          <w:szCs w:val="21"/>
          <w:highlight w:val="none"/>
        </w:rPr>
        <w:t xml:space="preserve"> 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703ACE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价格扣除比例对小型企业和微型企业同等对待，不作区分。</w:t>
      </w:r>
    </w:p>
    <w:p w14:paraId="3FF8A87C">
      <w:pPr>
        <w:spacing w:line="400" w:lineRule="exact"/>
        <w:rPr>
          <w:rFonts w:ascii="宋体" w:hAnsi="宋体"/>
          <w:color w:val="auto"/>
          <w:szCs w:val="21"/>
          <w:highlight w:val="none"/>
        </w:rPr>
      </w:pPr>
      <w:r>
        <w:rPr>
          <w:rFonts w:hint="eastAsia" w:ascii="宋体" w:hAnsi="宋体"/>
          <w:b/>
          <w:color w:val="auto"/>
          <w:szCs w:val="21"/>
          <w:highlight w:val="none"/>
        </w:rPr>
        <w:t xml:space="preserve">31.6  </w:t>
      </w:r>
      <w:r>
        <w:rPr>
          <w:rFonts w:hint="eastAsia" w:ascii="宋体" w:hAnsi="宋体"/>
          <w:color w:val="auto"/>
          <w:szCs w:val="21"/>
          <w:highlight w:val="none"/>
        </w:rPr>
        <w:t>享受扶持政策获得政府采购合同的，小微企业不得将合同分包给大中型企业，中型企业不得将合同分包给大型企业。</w:t>
      </w:r>
    </w:p>
    <w:p w14:paraId="0660FC7E">
      <w:pPr>
        <w:spacing w:line="400" w:lineRule="exact"/>
        <w:rPr>
          <w:rFonts w:ascii="宋体" w:hAnsi="宋体"/>
          <w:color w:val="auto"/>
          <w:szCs w:val="21"/>
          <w:highlight w:val="none"/>
        </w:rPr>
      </w:pPr>
      <w:r>
        <w:rPr>
          <w:rFonts w:hint="eastAsia" w:ascii="宋体" w:hAnsi="宋体"/>
          <w:b/>
          <w:color w:val="auto"/>
          <w:szCs w:val="21"/>
          <w:highlight w:val="none"/>
        </w:rPr>
        <w:t xml:space="preserve">31.7  </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46ADA85B">
      <w:pPr>
        <w:spacing w:line="400" w:lineRule="exact"/>
        <w:rPr>
          <w:rFonts w:ascii="宋体" w:hAnsi="宋体"/>
          <w:color w:val="auto"/>
          <w:szCs w:val="21"/>
          <w:highlight w:val="none"/>
        </w:rPr>
      </w:pPr>
      <w:r>
        <w:rPr>
          <w:rFonts w:hint="eastAsia" w:ascii="宋体" w:hAnsi="宋体"/>
          <w:b/>
          <w:color w:val="auto"/>
          <w:szCs w:val="21"/>
          <w:highlight w:val="none"/>
        </w:rPr>
        <w:t>31.8</w:t>
      </w:r>
      <w:r>
        <w:rPr>
          <w:rFonts w:hint="eastAsia" w:ascii="宋体" w:hAnsi="宋体"/>
          <w:color w:val="auto"/>
          <w:szCs w:val="21"/>
          <w:highlight w:val="none"/>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28EC7C06">
      <w:pPr>
        <w:spacing w:line="400" w:lineRule="exact"/>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9</w:t>
      </w:r>
      <w:r>
        <w:rPr>
          <w:rFonts w:hint="eastAsia" w:ascii="宋体" w:hAnsi="宋体"/>
          <w:color w:val="auto"/>
          <w:szCs w:val="21"/>
          <w:highlight w:val="none"/>
        </w:rPr>
        <w:t>执行财政部、国家环保总局《关于环境标志产品政府采购实施的意见》，政府采购优先采购环境标志产品，本项目将对环境标志产品给予一定幅度的价格扣除或技术加分，具体见 “评标标准”说明。</w:t>
      </w:r>
    </w:p>
    <w:p w14:paraId="59C15782">
      <w:pPr>
        <w:spacing w:line="400" w:lineRule="exact"/>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10</w:t>
      </w:r>
      <w:r>
        <w:rPr>
          <w:rFonts w:hint="eastAsia" w:ascii="宋体" w:hAnsi="宋体"/>
          <w:color w:val="auto"/>
          <w:szCs w:val="21"/>
          <w:highlight w:val="none"/>
        </w:rPr>
        <w:t>执行财政部、国家发展改革委员会《节能产品政府采购实施意见》，政府采购优先采购节能产品，本项目将对节能产品给予一定幅度的价格扣除或技术加分，具体见招标文件“评标标准”说明。</w:t>
      </w:r>
    </w:p>
    <w:p w14:paraId="7AFDFD65">
      <w:pPr>
        <w:spacing w:line="400" w:lineRule="exact"/>
        <w:rPr>
          <w:rFonts w:ascii="宋体" w:hAnsi="宋体"/>
          <w:color w:val="auto"/>
          <w:szCs w:val="21"/>
          <w:highlight w:val="none"/>
        </w:rPr>
      </w:pPr>
      <w:r>
        <w:rPr>
          <w:rFonts w:hint="eastAsia" w:ascii="宋体" w:hAnsi="宋体"/>
          <w:b/>
          <w:color w:val="auto"/>
          <w:szCs w:val="21"/>
          <w:highlight w:val="none"/>
        </w:rPr>
        <w:t xml:space="preserve">31.11  </w:t>
      </w:r>
      <w:r>
        <w:rPr>
          <w:rFonts w:hint="eastAsia" w:ascii="宋体" w:hAnsi="宋体"/>
          <w:color w:val="auto"/>
          <w:szCs w:val="21"/>
          <w:highlight w:val="none"/>
        </w:rPr>
        <w:t>进口产品采购需符合“财政部关于印发《政府采购进口产品管理办法》的通知（财库[2007]119号）”第四、八、九、十、十一条的规定。</w:t>
      </w:r>
    </w:p>
    <w:p w14:paraId="162BB7D5">
      <w:pPr>
        <w:spacing w:line="400" w:lineRule="exact"/>
        <w:rPr>
          <w:rFonts w:ascii="宋体" w:hAnsi="宋体"/>
          <w:b/>
          <w:color w:val="auto"/>
          <w:szCs w:val="21"/>
          <w:highlight w:val="none"/>
        </w:rPr>
      </w:pPr>
    </w:p>
    <w:p w14:paraId="5B574690">
      <w:pPr>
        <w:spacing w:line="400" w:lineRule="exact"/>
        <w:rPr>
          <w:rFonts w:ascii="宋体" w:hAnsi="宋体"/>
          <w:b/>
          <w:color w:val="auto"/>
          <w:szCs w:val="21"/>
          <w:highlight w:val="none"/>
        </w:rPr>
      </w:pPr>
      <w:r>
        <w:rPr>
          <w:rFonts w:hint="eastAsia" w:ascii="宋体" w:hAnsi="宋体"/>
          <w:b/>
          <w:color w:val="auto"/>
          <w:szCs w:val="21"/>
          <w:highlight w:val="none"/>
        </w:rPr>
        <w:t>32.询问、质疑、投诉</w:t>
      </w:r>
    </w:p>
    <w:p w14:paraId="76E5F1BE">
      <w:pPr>
        <w:spacing w:line="400" w:lineRule="exact"/>
        <w:rPr>
          <w:rFonts w:ascii="宋体" w:hAnsi="宋体"/>
          <w:b/>
          <w:color w:val="auto"/>
          <w:szCs w:val="21"/>
          <w:highlight w:val="none"/>
        </w:rPr>
      </w:pPr>
      <w:r>
        <w:rPr>
          <w:rFonts w:hint="eastAsia" w:ascii="宋体" w:hAnsi="宋体"/>
          <w:b/>
          <w:color w:val="auto"/>
          <w:szCs w:val="21"/>
          <w:highlight w:val="none"/>
        </w:rPr>
        <w:t>32.1 询问</w:t>
      </w:r>
    </w:p>
    <w:p w14:paraId="32DC4360">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2E65AD">
      <w:pPr>
        <w:spacing w:line="400" w:lineRule="exact"/>
        <w:rPr>
          <w:rFonts w:ascii="宋体" w:hAnsi="宋体"/>
          <w:b/>
          <w:color w:val="auto"/>
          <w:szCs w:val="21"/>
          <w:highlight w:val="none"/>
        </w:rPr>
      </w:pPr>
      <w:r>
        <w:rPr>
          <w:rFonts w:hint="eastAsia" w:ascii="宋体" w:hAnsi="宋体"/>
          <w:b/>
          <w:color w:val="auto"/>
          <w:szCs w:val="21"/>
          <w:highlight w:val="none"/>
        </w:rPr>
        <w:t>32.2 质疑</w:t>
      </w:r>
    </w:p>
    <w:p w14:paraId="7CADC9CA">
      <w:pPr>
        <w:spacing w:line="400" w:lineRule="exact"/>
        <w:rPr>
          <w:rFonts w:ascii="宋体" w:hAnsi="宋体"/>
          <w:bCs/>
          <w:color w:val="auto"/>
          <w:szCs w:val="21"/>
          <w:highlight w:val="none"/>
        </w:rPr>
      </w:pPr>
      <w:r>
        <w:rPr>
          <w:rFonts w:hint="eastAsia" w:ascii="宋体" w:hAnsi="宋体"/>
          <w:b/>
          <w:color w:val="auto"/>
          <w:szCs w:val="21"/>
          <w:highlight w:val="none"/>
        </w:rPr>
        <w:t>32.2.1</w:t>
      </w:r>
      <w:r>
        <w:rPr>
          <w:rFonts w:hint="eastAsia" w:ascii="宋体" w:hAnsi="宋体"/>
          <w:bCs/>
          <w:color w:val="auto"/>
          <w:szCs w:val="21"/>
          <w:highlight w:val="none"/>
        </w:rPr>
        <w:t>提出质疑的供应商应当是参与所质疑项目采购活动的供应商。潜在供应商已依法获取其可质疑的招标文件的，可以对该文件提出质疑。</w:t>
      </w:r>
    </w:p>
    <w:p w14:paraId="410E8B6E">
      <w:pPr>
        <w:spacing w:line="400" w:lineRule="exact"/>
        <w:rPr>
          <w:rFonts w:ascii="宋体" w:hAnsi="宋体"/>
          <w:bCs/>
          <w:color w:val="auto"/>
          <w:szCs w:val="21"/>
          <w:highlight w:val="none"/>
        </w:rPr>
      </w:pPr>
      <w:r>
        <w:rPr>
          <w:rFonts w:hint="eastAsia" w:ascii="宋体" w:hAnsi="宋体"/>
          <w:b/>
          <w:color w:val="auto"/>
          <w:szCs w:val="21"/>
          <w:highlight w:val="none"/>
        </w:rPr>
        <w:t>32.2.2</w:t>
      </w:r>
      <w:r>
        <w:rPr>
          <w:rFonts w:hint="eastAsia" w:ascii="宋体" w:hAnsi="宋体"/>
          <w:bCs/>
          <w:color w:val="auto"/>
          <w:szCs w:val="21"/>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BF4714">
      <w:pPr>
        <w:spacing w:line="400" w:lineRule="exact"/>
        <w:rPr>
          <w:rFonts w:ascii="宋体" w:hAnsi="宋体"/>
          <w:bCs/>
          <w:color w:val="auto"/>
          <w:szCs w:val="21"/>
          <w:highlight w:val="none"/>
        </w:rPr>
      </w:pPr>
      <w:r>
        <w:rPr>
          <w:rFonts w:hint="eastAsia" w:ascii="宋体" w:hAnsi="宋体"/>
          <w:b/>
          <w:color w:val="auto"/>
          <w:szCs w:val="21"/>
          <w:highlight w:val="none"/>
        </w:rPr>
        <w:t>32.2.2.1</w:t>
      </w:r>
      <w:r>
        <w:rPr>
          <w:rFonts w:hint="eastAsia" w:ascii="宋体" w:hAnsi="宋体"/>
          <w:bCs/>
          <w:color w:val="auto"/>
          <w:szCs w:val="21"/>
          <w:highlight w:val="none"/>
        </w:rPr>
        <w:t>对招标文件提出质疑的，质疑期限为供应商获得招标文件之日或者招标文件公告期限届满之日起计算。</w:t>
      </w:r>
    </w:p>
    <w:p w14:paraId="105B5394">
      <w:pPr>
        <w:spacing w:line="400" w:lineRule="exact"/>
        <w:rPr>
          <w:rFonts w:ascii="宋体" w:hAnsi="宋体"/>
          <w:bCs/>
          <w:color w:val="auto"/>
          <w:szCs w:val="21"/>
          <w:highlight w:val="none"/>
        </w:rPr>
      </w:pPr>
      <w:r>
        <w:rPr>
          <w:rFonts w:hint="eastAsia" w:ascii="宋体" w:hAnsi="宋体"/>
          <w:b/>
          <w:color w:val="auto"/>
          <w:szCs w:val="21"/>
          <w:highlight w:val="none"/>
        </w:rPr>
        <w:t>32.2.2.2</w:t>
      </w:r>
      <w:r>
        <w:rPr>
          <w:rFonts w:hint="eastAsia" w:ascii="宋体" w:hAnsi="宋体"/>
          <w:bCs/>
          <w:color w:val="auto"/>
          <w:szCs w:val="21"/>
          <w:highlight w:val="none"/>
        </w:rPr>
        <w:t>对采购过程提出质疑的，质疑期限为各采购程序环节结束之日起计算。对同一采购程序环节的质疑，供应商须一次性提出。</w:t>
      </w:r>
    </w:p>
    <w:p w14:paraId="37FF756B">
      <w:pPr>
        <w:spacing w:line="400" w:lineRule="exact"/>
        <w:rPr>
          <w:rFonts w:ascii="宋体" w:hAnsi="宋体"/>
          <w:bCs/>
          <w:color w:val="auto"/>
          <w:szCs w:val="21"/>
          <w:highlight w:val="none"/>
        </w:rPr>
      </w:pPr>
      <w:r>
        <w:rPr>
          <w:rFonts w:hint="eastAsia" w:ascii="宋体" w:hAnsi="宋体"/>
          <w:b/>
          <w:color w:val="auto"/>
          <w:szCs w:val="21"/>
          <w:highlight w:val="none"/>
        </w:rPr>
        <w:t>32.2.2.3</w:t>
      </w:r>
      <w:r>
        <w:rPr>
          <w:rFonts w:hint="eastAsia" w:ascii="宋体" w:hAnsi="宋体"/>
          <w:bCs/>
          <w:color w:val="auto"/>
          <w:szCs w:val="21"/>
          <w:highlight w:val="none"/>
        </w:rPr>
        <w:t>对采购结果提出质疑的，质疑期限自采购结果公告期限届满之日起计算。</w:t>
      </w:r>
    </w:p>
    <w:p w14:paraId="6CDD94B0">
      <w:pPr>
        <w:spacing w:line="400" w:lineRule="exact"/>
        <w:rPr>
          <w:rFonts w:ascii="宋体" w:hAnsi="宋体"/>
          <w:bCs/>
          <w:color w:val="auto"/>
          <w:szCs w:val="21"/>
          <w:highlight w:val="none"/>
        </w:rPr>
      </w:pPr>
      <w:r>
        <w:rPr>
          <w:rFonts w:hint="eastAsia" w:ascii="宋体" w:hAnsi="宋体"/>
          <w:b/>
          <w:color w:val="auto"/>
          <w:szCs w:val="21"/>
          <w:highlight w:val="none"/>
        </w:rPr>
        <w:t>32.2.3</w:t>
      </w:r>
      <w:r>
        <w:rPr>
          <w:rFonts w:hint="eastAsia" w:ascii="宋体" w:hAnsi="宋体"/>
          <w:bCs/>
          <w:color w:val="auto"/>
          <w:szCs w:val="21"/>
          <w:highlight w:val="none"/>
        </w:rPr>
        <w:t>供应商提出质疑应当提交质疑函和必要的证明材料。质疑函应当包括下列内容：</w:t>
      </w:r>
    </w:p>
    <w:p w14:paraId="1E33FD42">
      <w:pPr>
        <w:spacing w:line="400" w:lineRule="exact"/>
        <w:rPr>
          <w:rFonts w:ascii="宋体" w:hAnsi="宋体"/>
          <w:bCs/>
          <w:color w:val="auto"/>
          <w:szCs w:val="21"/>
          <w:highlight w:val="none"/>
        </w:rPr>
      </w:pPr>
      <w:r>
        <w:rPr>
          <w:rFonts w:hint="eastAsia" w:ascii="宋体" w:hAnsi="宋体"/>
          <w:b/>
          <w:color w:val="auto"/>
          <w:szCs w:val="21"/>
          <w:highlight w:val="none"/>
        </w:rPr>
        <w:t>32.2.3.1</w:t>
      </w:r>
      <w:r>
        <w:rPr>
          <w:rFonts w:hint="eastAsia" w:ascii="宋体" w:hAnsi="宋体"/>
          <w:bCs/>
          <w:color w:val="auto"/>
          <w:szCs w:val="21"/>
          <w:highlight w:val="none"/>
        </w:rPr>
        <w:t>供应商的姓名或者名称、地址、邮编、联系人及联系电话；</w:t>
      </w:r>
    </w:p>
    <w:p w14:paraId="6456DF80">
      <w:pPr>
        <w:spacing w:line="400" w:lineRule="exact"/>
        <w:rPr>
          <w:rFonts w:ascii="宋体" w:hAnsi="宋体"/>
          <w:bCs/>
          <w:color w:val="auto"/>
          <w:szCs w:val="21"/>
          <w:highlight w:val="none"/>
        </w:rPr>
      </w:pPr>
      <w:r>
        <w:rPr>
          <w:rFonts w:hint="eastAsia" w:ascii="宋体" w:hAnsi="宋体"/>
          <w:b/>
          <w:color w:val="auto"/>
          <w:szCs w:val="21"/>
          <w:highlight w:val="none"/>
        </w:rPr>
        <w:t>32.2.3.2</w:t>
      </w:r>
      <w:r>
        <w:rPr>
          <w:rFonts w:hint="eastAsia" w:ascii="宋体" w:hAnsi="宋体"/>
          <w:bCs/>
          <w:color w:val="auto"/>
          <w:szCs w:val="21"/>
          <w:highlight w:val="none"/>
        </w:rPr>
        <w:t>质疑项目的名称、编号；</w:t>
      </w:r>
    </w:p>
    <w:p w14:paraId="3D9F1E1B">
      <w:pPr>
        <w:spacing w:line="400" w:lineRule="exact"/>
        <w:rPr>
          <w:rFonts w:ascii="宋体" w:hAnsi="宋体"/>
          <w:bCs/>
          <w:color w:val="auto"/>
          <w:szCs w:val="21"/>
          <w:highlight w:val="none"/>
        </w:rPr>
      </w:pPr>
      <w:r>
        <w:rPr>
          <w:rFonts w:hint="eastAsia" w:ascii="宋体" w:hAnsi="宋体"/>
          <w:b/>
          <w:color w:val="auto"/>
          <w:szCs w:val="21"/>
          <w:highlight w:val="none"/>
        </w:rPr>
        <w:t>32.2.3.3</w:t>
      </w:r>
      <w:r>
        <w:rPr>
          <w:rFonts w:hint="eastAsia" w:ascii="宋体" w:hAnsi="宋体"/>
          <w:bCs/>
          <w:color w:val="auto"/>
          <w:szCs w:val="21"/>
          <w:highlight w:val="none"/>
        </w:rPr>
        <w:t>具体、明确的质疑事项和与质疑事项相关的请求；</w:t>
      </w:r>
    </w:p>
    <w:p w14:paraId="528ADDFB">
      <w:pPr>
        <w:spacing w:line="400" w:lineRule="exact"/>
        <w:rPr>
          <w:rFonts w:ascii="宋体" w:hAnsi="宋体"/>
          <w:bCs/>
          <w:color w:val="auto"/>
          <w:szCs w:val="21"/>
          <w:highlight w:val="none"/>
        </w:rPr>
      </w:pPr>
      <w:r>
        <w:rPr>
          <w:rFonts w:hint="eastAsia" w:ascii="宋体" w:hAnsi="宋体"/>
          <w:b/>
          <w:color w:val="auto"/>
          <w:szCs w:val="21"/>
          <w:highlight w:val="none"/>
        </w:rPr>
        <w:t>32.2.3.4</w:t>
      </w:r>
      <w:r>
        <w:rPr>
          <w:rFonts w:hint="eastAsia" w:ascii="宋体" w:hAnsi="宋体"/>
          <w:bCs/>
          <w:color w:val="auto"/>
          <w:szCs w:val="21"/>
          <w:highlight w:val="none"/>
        </w:rPr>
        <w:t>事实依据；</w:t>
      </w:r>
    </w:p>
    <w:p w14:paraId="3E3041CE">
      <w:pPr>
        <w:spacing w:line="400" w:lineRule="exact"/>
        <w:rPr>
          <w:rFonts w:ascii="宋体" w:hAnsi="宋体"/>
          <w:bCs/>
          <w:color w:val="auto"/>
          <w:szCs w:val="21"/>
          <w:highlight w:val="none"/>
        </w:rPr>
      </w:pPr>
      <w:r>
        <w:rPr>
          <w:rFonts w:hint="eastAsia" w:ascii="宋体" w:hAnsi="宋体"/>
          <w:b/>
          <w:color w:val="auto"/>
          <w:szCs w:val="21"/>
          <w:highlight w:val="none"/>
        </w:rPr>
        <w:t>32.2.3.5</w:t>
      </w:r>
      <w:r>
        <w:rPr>
          <w:rFonts w:hint="eastAsia" w:ascii="宋体" w:hAnsi="宋体"/>
          <w:bCs/>
          <w:color w:val="auto"/>
          <w:szCs w:val="21"/>
          <w:highlight w:val="none"/>
        </w:rPr>
        <w:t>必要的法律依据；</w:t>
      </w:r>
    </w:p>
    <w:p w14:paraId="4306D9FE">
      <w:pPr>
        <w:spacing w:line="400" w:lineRule="exact"/>
        <w:rPr>
          <w:rFonts w:ascii="宋体" w:hAnsi="宋体"/>
          <w:bCs/>
          <w:color w:val="auto"/>
          <w:szCs w:val="21"/>
          <w:highlight w:val="none"/>
        </w:rPr>
      </w:pPr>
      <w:r>
        <w:rPr>
          <w:rFonts w:hint="eastAsia" w:ascii="宋体" w:hAnsi="宋体"/>
          <w:b/>
          <w:color w:val="auto"/>
          <w:szCs w:val="21"/>
          <w:highlight w:val="none"/>
        </w:rPr>
        <w:t>32.2.3.6</w:t>
      </w:r>
      <w:r>
        <w:rPr>
          <w:rFonts w:hint="eastAsia" w:ascii="宋体" w:hAnsi="宋体"/>
          <w:bCs/>
          <w:color w:val="auto"/>
          <w:szCs w:val="21"/>
          <w:highlight w:val="none"/>
        </w:rPr>
        <w:t>提出质疑的日期。</w:t>
      </w:r>
    </w:p>
    <w:p w14:paraId="1C205EB2">
      <w:pPr>
        <w:spacing w:line="400" w:lineRule="exact"/>
        <w:rPr>
          <w:rFonts w:ascii="宋体" w:hAnsi="宋体"/>
          <w:bCs/>
          <w:color w:val="auto"/>
          <w:szCs w:val="21"/>
          <w:highlight w:val="none"/>
        </w:rPr>
      </w:pPr>
      <w:r>
        <w:rPr>
          <w:rFonts w:hint="eastAsia" w:ascii="宋体" w:hAnsi="宋体"/>
          <w:bCs/>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01A38E5D">
      <w:pPr>
        <w:spacing w:line="400" w:lineRule="exact"/>
        <w:rPr>
          <w:rFonts w:ascii="宋体" w:hAnsi="宋体"/>
          <w:bCs/>
          <w:color w:val="auto"/>
          <w:szCs w:val="21"/>
          <w:highlight w:val="none"/>
        </w:rPr>
      </w:pPr>
      <w:r>
        <w:rPr>
          <w:rFonts w:hint="eastAsia" w:ascii="宋体" w:hAnsi="宋体"/>
          <w:bCs/>
          <w:color w:val="auto"/>
          <w:szCs w:val="21"/>
          <w:highlight w:val="none"/>
        </w:rPr>
        <w:t>质疑函格式和内容须符合财政部《质疑函范本》要求，供应商可到中国政府采购网自行下载财政部《质疑函范本》。</w:t>
      </w:r>
    </w:p>
    <w:p w14:paraId="5909AD1B">
      <w:pPr>
        <w:spacing w:line="400" w:lineRule="exact"/>
        <w:rPr>
          <w:rFonts w:ascii="宋体" w:hAnsi="宋体"/>
          <w:bCs/>
          <w:color w:val="auto"/>
          <w:szCs w:val="21"/>
          <w:highlight w:val="none"/>
        </w:rPr>
      </w:pPr>
      <w:r>
        <w:rPr>
          <w:rFonts w:hint="eastAsia" w:ascii="宋体" w:hAnsi="宋体"/>
          <w:b/>
          <w:color w:val="auto"/>
          <w:szCs w:val="21"/>
          <w:highlight w:val="none"/>
        </w:rPr>
        <w:t>32.2.4</w:t>
      </w:r>
      <w:r>
        <w:rPr>
          <w:rFonts w:hint="eastAsia" w:ascii="宋体" w:hAnsi="宋体"/>
          <w:bCs/>
          <w:color w:val="auto"/>
          <w:szCs w:val="21"/>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0D08993D">
      <w:pPr>
        <w:spacing w:line="400" w:lineRule="exact"/>
        <w:rPr>
          <w:rFonts w:ascii="宋体" w:hAnsi="宋体"/>
          <w:bCs/>
          <w:color w:val="auto"/>
          <w:szCs w:val="21"/>
          <w:highlight w:val="none"/>
        </w:rPr>
      </w:pPr>
      <w:r>
        <w:rPr>
          <w:rFonts w:hint="eastAsia" w:ascii="宋体" w:hAnsi="宋体"/>
          <w:b/>
          <w:color w:val="auto"/>
          <w:szCs w:val="21"/>
          <w:highlight w:val="none"/>
        </w:rPr>
        <w:t>32.2.5</w:t>
      </w:r>
      <w:r>
        <w:rPr>
          <w:rFonts w:hint="eastAsia" w:ascii="宋体" w:hAnsi="宋体"/>
          <w:bCs/>
          <w:color w:val="auto"/>
          <w:szCs w:val="21"/>
          <w:highlight w:val="none"/>
        </w:rPr>
        <w:t>询问或者质疑事项可能影响采购结果的，采购人应当暂停签订合同，已经签订合同的，应当中止履行合同。</w:t>
      </w:r>
    </w:p>
    <w:p w14:paraId="208D154A">
      <w:pPr>
        <w:spacing w:line="400" w:lineRule="exact"/>
        <w:rPr>
          <w:rFonts w:ascii="宋体" w:hAnsi="宋体"/>
          <w:b/>
          <w:color w:val="auto"/>
          <w:szCs w:val="21"/>
          <w:highlight w:val="none"/>
        </w:rPr>
      </w:pPr>
      <w:r>
        <w:rPr>
          <w:rFonts w:hint="eastAsia" w:ascii="宋体" w:hAnsi="宋体"/>
          <w:b/>
          <w:color w:val="auto"/>
          <w:szCs w:val="21"/>
          <w:highlight w:val="none"/>
        </w:rPr>
        <w:t>32.3 投诉</w:t>
      </w:r>
    </w:p>
    <w:p w14:paraId="1E82D687">
      <w:pPr>
        <w:spacing w:line="400" w:lineRule="exact"/>
        <w:rPr>
          <w:rFonts w:ascii="宋体" w:hAnsi="宋体"/>
          <w:bCs/>
          <w:color w:val="auto"/>
          <w:szCs w:val="21"/>
          <w:highlight w:val="none"/>
        </w:rPr>
      </w:pPr>
      <w:r>
        <w:rPr>
          <w:rFonts w:hint="eastAsia" w:ascii="宋体" w:hAnsi="宋体"/>
          <w:b/>
          <w:color w:val="auto"/>
          <w:szCs w:val="21"/>
          <w:highlight w:val="none"/>
        </w:rPr>
        <w:t>32.3.1</w:t>
      </w:r>
      <w:r>
        <w:rPr>
          <w:rFonts w:hint="eastAsia" w:ascii="宋体" w:hAnsi="宋体"/>
          <w:bCs/>
          <w:color w:val="auto"/>
          <w:szCs w:val="21"/>
          <w:highlight w:val="none"/>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auto"/>
          <w:szCs w:val="21"/>
          <w:highlight w:val="none"/>
        </w:rPr>
        <w:t>投诉函格式和内容须符合财政部《投诉函范本》要求，供应商可到中国政府采购网自行下载财政部《投诉函范本》。</w:t>
      </w:r>
    </w:p>
    <w:p w14:paraId="38FC5C8A">
      <w:pPr>
        <w:spacing w:line="400" w:lineRule="exact"/>
        <w:rPr>
          <w:rFonts w:ascii="宋体" w:hAnsi="宋体"/>
          <w:bCs/>
          <w:color w:val="auto"/>
          <w:szCs w:val="21"/>
          <w:highlight w:val="none"/>
        </w:rPr>
      </w:pPr>
      <w:r>
        <w:rPr>
          <w:rFonts w:hint="eastAsia" w:ascii="宋体" w:hAnsi="宋体"/>
          <w:b/>
          <w:color w:val="auto"/>
          <w:szCs w:val="21"/>
          <w:highlight w:val="none"/>
        </w:rPr>
        <w:t>32.3.2</w:t>
      </w:r>
      <w:r>
        <w:rPr>
          <w:rFonts w:hint="eastAsia" w:ascii="宋体" w:hAnsi="宋体"/>
          <w:bCs/>
          <w:color w:val="auto"/>
          <w:szCs w:val="21"/>
          <w:highlight w:val="none"/>
        </w:rPr>
        <w:t>供应商投诉的事项不得超出已质疑事项的范围，基于质疑答复内容提出的投诉事项除外。</w:t>
      </w:r>
    </w:p>
    <w:p w14:paraId="209232F5">
      <w:pPr>
        <w:spacing w:line="400" w:lineRule="exact"/>
        <w:rPr>
          <w:rFonts w:ascii="宋体" w:hAnsi="宋体"/>
          <w:bCs/>
          <w:color w:val="auto"/>
          <w:szCs w:val="21"/>
          <w:highlight w:val="none"/>
        </w:rPr>
      </w:pPr>
      <w:r>
        <w:rPr>
          <w:rFonts w:hint="eastAsia" w:ascii="宋体" w:hAnsi="宋体"/>
          <w:b/>
          <w:color w:val="auto"/>
          <w:szCs w:val="21"/>
          <w:highlight w:val="none"/>
        </w:rPr>
        <w:t>32.3.3</w:t>
      </w:r>
      <w:r>
        <w:rPr>
          <w:rFonts w:hint="eastAsia" w:ascii="宋体" w:hAnsi="宋体"/>
          <w:bCs/>
          <w:color w:val="auto"/>
          <w:szCs w:val="21"/>
          <w:highlight w:val="none"/>
        </w:rPr>
        <w:t>供应商投诉应当有明确的请求和必要的证明材料。</w:t>
      </w:r>
    </w:p>
    <w:p w14:paraId="74409727">
      <w:pPr>
        <w:spacing w:line="400" w:lineRule="exact"/>
        <w:rPr>
          <w:rFonts w:ascii="宋体" w:hAnsi="宋体"/>
          <w:bCs/>
          <w:color w:val="auto"/>
          <w:szCs w:val="21"/>
          <w:highlight w:val="none"/>
        </w:rPr>
      </w:pPr>
      <w:r>
        <w:rPr>
          <w:rFonts w:hint="eastAsia" w:ascii="宋体" w:hAnsi="宋体"/>
          <w:b/>
          <w:color w:val="auto"/>
          <w:szCs w:val="21"/>
          <w:highlight w:val="none"/>
        </w:rPr>
        <w:t>32.3.4</w:t>
      </w:r>
      <w:r>
        <w:rPr>
          <w:rFonts w:hint="eastAsia" w:ascii="宋体" w:hAnsi="宋体"/>
          <w:bCs/>
          <w:color w:val="auto"/>
          <w:szCs w:val="21"/>
          <w:highlight w:val="none"/>
        </w:rPr>
        <w:t xml:space="preserve"> 以联合体形式参加政府采购活动的，其投诉应当由组成联合体的所有供应商共同提出。</w:t>
      </w:r>
    </w:p>
    <w:p w14:paraId="76AC1B55">
      <w:pPr>
        <w:spacing w:line="440" w:lineRule="exact"/>
        <w:ind w:firstLine="105" w:firstLineChars="50"/>
        <w:rPr>
          <w:rFonts w:ascii="宋体" w:hAnsi="宋体"/>
          <w:color w:val="auto"/>
          <w:szCs w:val="21"/>
          <w:highlight w:val="none"/>
        </w:rPr>
      </w:pPr>
    </w:p>
    <w:p w14:paraId="78CCFB92">
      <w:pPr>
        <w:spacing w:line="440" w:lineRule="exact"/>
        <w:rPr>
          <w:rFonts w:ascii="宋体" w:hAnsi="宋体"/>
          <w:color w:val="auto"/>
          <w:szCs w:val="21"/>
          <w:highlight w:val="none"/>
        </w:rPr>
      </w:pPr>
      <w:r>
        <w:rPr>
          <w:rFonts w:hint="eastAsia" w:ascii="宋体" w:hAnsi="宋体"/>
          <w:b/>
          <w:color w:val="auto"/>
          <w:szCs w:val="21"/>
          <w:highlight w:val="none"/>
        </w:rPr>
        <w:t>33.联合体规定</w:t>
      </w:r>
    </w:p>
    <w:p w14:paraId="6737D447">
      <w:pPr>
        <w:spacing w:line="440" w:lineRule="exact"/>
        <w:rPr>
          <w:rFonts w:ascii="宋体" w:hAnsi="宋体"/>
          <w:color w:val="auto"/>
          <w:szCs w:val="21"/>
          <w:highlight w:val="none"/>
        </w:rPr>
      </w:pPr>
      <w:r>
        <w:rPr>
          <w:rFonts w:hint="eastAsia" w:ascii="宋体" w:hAnsi="宋体"/>
          <w:b/>
          <w:color w:val="auto"/>
          <w:szCs w:val="21"/>
          <w:highlight w:val="none"/>
        </w:rPr>
        <w:t>33.1</w:t>
      </w:r>
      <w:r>
        <w:rPr>
          <w:rFonts w:hint="eastAsia" w:ascii="宋体" w:hAnsi="宋体"/>
          <w:color w:val="auto"/>
          <w:szCs w:val="21"/>
          <w:highlight w:val="none"/>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02CD00A8">
      <w:pPr>
        <w:spacing w:line="440" w:lineRule="exact"/>
        <w:rPr>
          <w:rFonts w:ascii="宋体" w:hAnsi="宋体"/>
          <w:color w:val="auto"/>
          <w:szCs w:val="21"/>
          <w:highlight w:val="none"/>
        </w:rPr>
      </w:pPr>
      <w:r>
        <w:rPr>
          <w:rFonts w:hint="eastAsia" w:ascii="宋体" w:hAnsi="宋体"/>
          <w:b/>
          <w:color w:val="auto"/>
          <w:szCs w:val="21"/>
          <w:highlight w:val="none"/>
        </w:rPr>
        <w:t>33.2</w:t>
      </w:r>
      <w:r>
        <w:rPr>
          <w:rFonts w:hint="eastAsia" w:ascii="宋体" w:hAnsi="宋体"/>
          <w:color w:val="auto"/>
          <w:szCs w:val="21"/>
          <w:highlight w:val="none"/>
        </w:rPr>
        <w:t xml:space="preserve">  联合体中有同类资质的投标人按照联合体分工承担相同工作的，按照资质等级较低的投标人认定资质等级。</w:t>
      </w:r>
    </w:p>
    <w:p w14:paraId="50B86C0E">
      <w:pPr>
        <w:spacing w:line="440" w:lineRule="exact"/>
        <w:rPr>
          <w:rFonts w:ascii="宋体" w:hAnsi="宋体"/>
          <w:color w:val="auto"/>
          <w:szCs w:val="21"/>
          <w:highlight w:val="none"/>
        </w:rPr>
      </w:pPr>
      <w:r>
        <w:rPr>
          <w:rFonts w:hint="eastAsia" w:ascii="宋体" w:hAnsi="宋体"/>
          <w:b/>
          <w:color w:val="auto"/>
          <w:szCs w:val="21"/>
          <w:highlight w:val="none"/>
        </w:rPr>
        <w:t xml:space="preserve">33.3 </w:t>
      </w:r>
      <w:r>
        <w:rPr>
          <w:rFonts w:hint="eastAsia" w:ascii="宋体" w:hAnsi="宋体"/>
          <w:color w:val="auto"/>
          <w:szCs w:val="21"/>
          <w:highlight w:val="none"/>
        </w:rPr>
        <w:t xml:space="preserve"> 以联合体形式参加政府采购活动的，联合体各方不得再单独参加或者与其他投标人另外组成联合体参加同一标项号的政府采购活动。</w:t>
      </w:r>
    </w:p>
    <w:p w14:paraId="6033FC27">
      <w:pPr>
        <w:spacing w:line="400" w:lineRule="exact"/>
        <w:ind w:firstLine="102" w:firstLineChars="49"/>
        <w:rPr>
          <w:rFonts w:ascii="宋体" w:hAnsi="宋体" w:cs="宋体"/>
          <w:color w:val="auto"/>
          <w:kern w:val="0"/>
          <w:szCs w:val="21"/>
          <w:highlight w:val="none"/>
        </w:rPr>
      </w:pPr>
      <w:r>
        <w:rPr>
          <w:rFonts w:hint="eastAsia" w:ascii="宋体" w:hAnsi="宋体"/>
          <w:b/>
          <w:bCs/>
          <w:color w:val="auto"/>
          <w:szCs w:val="21"/>
          <w:highlight w:val="none"/>
        </w:rPr>
        <w:t xml:space="preserve">33.4 </w:t>
      </w:r>
      <w:r>
        <w:rPr>
          <w:rFonts w:hint="eastAsia" w:ascii="宋体" w:hAnsi="宋体"/>
          <w:color w:val="auto"/>
          <w:szCs w:val="21"/>
          <w:highlight w:val="none"/>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6BC0E41E">
      <w:pPr>
        <w:pStyle w:val="3"/>
        <w:spacing w:line="440" w:lineRule="exact"/>
        <w:rPr>
          <w:rFonts w:ascii="宋体" w:hAnsi="宋体"/>
          <w:color w:val="auto"/>
          <w:sz w:val="21"/>
          <w:szCs w:val="21"/>
          <w:highlight w:val="none"/>
        </w:rPr>
      </w:pPr>
    </w:p>
    <w:bookmarkEnd w:id="52"/>
    <w:bookmarkEnd w:id="53"/>
    <w:bookmarkEnd w:id="54"/>
    <w:bookmarkEnd w:id="55"/>
    <w:bookmarkEnd w:id="56"/>
    <w:bookmarkEnd w:id="57"/>
    <w:bookmarkEnd w:id="58"/>
    <w:bookmarkEnd w:id="59"/>
    <w:p w14:paraId="4D383F57">
      <w:pPr>
        <w:spacing w:line="440" w:lineRule="exact"/>
        <w:ind w:firstLine="110" w:firstLineChars="50"/>
        <w:rPr>
          <w:rFonts w:ascii="宋体" w:hAnsi="宋体"/>
          <w:color w:val="auto"/>
          <w:sz w:val="22"/>
          <w:szCs w:val="22"/>
          <w:highlight w:val="none"/>
        </w:rPr>
        <w:sectPr>
          <w:headerReference r:id="rId14" w:type="default"/>
          <w:pgSz w:w="11907" w:h="16840"/>
          <w:pgMar w:top="1111" w:right="1701" w:bottom="1428" w:left="1701" w:header="720" w:footer="720" w:gutter="0"/>
          <w:cols w:space="720" w:num="1"/>
          <w:docGrid w:type="linesAndChars" w:linePitch="286" w:charSpace="0"/>
        </w:sectPr>
      </w:pPr>
    </w:p>
    <w:p w14:paraId="2A06E129">
      <w:pPr>
        <w:pStyle w:val="2"/>
        <w:spacing w:beforeLines="0" w:afterLines="0" w:line="360" w:lineRule="auto"/>
        <w:rPr>
          <w:rFonts w:ascii="宋体" w:hAnsi="宋体"/>
          <w:color w:val="auto"/>
          <w:sz w:val="32"/>
          <w:szCs w:val="32"/>
          <w:highlight w:val="none"/>
        </w:rPr>
      </w:pPr>
      <w:bookmarkStart w:id="116" w:name="_Toc26275"/>
      <w:bookmarkStart w:id="117" w:name="_Toc316649302"/>
      <w:r>
        <w:rPr>
          <w:rFonts w:hint="eastAsia" w:ascii="宋体" w:hAnsi="宋体"/>
          <w:color w:val="auto"/>
          <w:sz w:val="32"/>
          <w:szCs w:val="32"/>
          <w:highlight w:val="none"/>
        </w:rPr>
        <w:t>第五部分  评标办法</w:t>
      </w:r>
      <w:bookmarkEnd w:id="116"/>
    </w:p>
    <w:p w14:paraId="46948956">
      <w:pPr>
        <w:tabs>
          <w:tab w:val="left" w:pos="0"/>
          <w:tab w:val="left" w:pos="723"/>
        </w:tabs>
        <w:spacing w:line="360" w:lineRule="auto"/>
        <w:rPr>
          <w:rFonts w:ascii="宋体" w:hAnsi="宋体"/>
          <w:b/>
          <w:color w:val="auto"/>
          <w:szCs w:val="21"/>
          <w:highlight w:val="none"/>
        </w:rPr>
      </w:pPr>
      <w:r>
        <w:rPr>
          <w:rFonts w:hint="eastAsia" w:ascii="宋体" w:hAnsi="宋体"/>
          <w:b/>
          <w:color w:val="auto"/>
          <w:szCs w:val="21"/>
          <w:highlight w:val="none"/>
        </w:rPr>
        <w:t>一、总则：</w:t>
      </w:r>
    </w:p>
    <w:p w14:paraId="13D87D75">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auto"/>
          <w:szCs w:val="21"/>
          <w:highlight w:val="none"/>
        </w:rPr>
        <w:t>本评标标准是对“投标人须知”相关条款的具体表述或补充，如有矛盾，应以本办法为准。</w:t>
      </w:r>
    </w:p>
    <w:p w14:paraId="48C117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2、本项目评标采用综合评分法。</w:t>
      </w:r>
    </w:p>
    <w:p w14:paraId="5BEBE49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3、本次采购为</w:t>
      </w:r>
      <w:r>
        <w:rPr>
          <w:rFonts w:hint="eastAsia" w:ascii="宋体" w:hAnsi="宋体" w:cs="宋体"/>
          <w:color w:val="auto"/>
          <w:szCs w:val="21"/>
          <w:highlight w:val="none"/>
          <w:lang w:val="en-US" w:eastAsia="zh-CN"/>
        </w:rPr>
        <w:t>专门面向中小微企业。在评审时，不考虑价格扣除。</w:t>
      </w:r>
    </w:p>
    <w:p w14:paraId="7D7D8D9A">
      <w:pPr>
        <w:tabs>
          <w:tab w:val="left" w:pos="0"/>
          <w:tab w:val="left" w:pos="723"/>
        </w:tabs>
        <w:spacing w:line="360" w:lineRule="auto"/>
        <w:rPr>
          <w:rFonts w:ascii="宋体" w:hAnsi="宋体"/>
          <w:b/>
          <w:color w:val="auto"/>
          <w:szCs w:val="21"/>
          <w:highlight w:val="none"/>
        </w:rPr>
      </w:pPr>
      <w:r>
        <w:rPr>
          <w:rFonts w:hint="eastAsia" w:ascii="宋体" w:hAnsi="宋体"/>
          <w:b/>
          <w:color w:val="auto"/>
          <w:szCs w:val="21"/>
          <w:highlight w:val="none"/>
        </w:rPr>
        <w:t>二、评标组织</w:t>
      </w:r>
    </w:p>
    <w:p w14:paraId="395610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评标委员会：采购人和采购代理机构根据采购项目的内容和特点，按国家相关规定组建评标委员会。评标委员会由采购人代表、技术、经济方面专家等人员组成。</w:t>
      </w:r>
    </w:p>
    <w:p w14:paraId="4B05E628">
      <w:pPr>
        <w:widowControl/>
        <w:tabs>
          <w:tab w:val="left" w:pos="0"/>
          <w:tab w:val="left" w:pos="723"/>
        </w:tabs>
        <w:spacing w:line="360" w:lineRule="auto"/>
        <w:jc w:val="left"/>
        <w:rPr>
          <w:rFonts w:ascii="宋体" w:hAnsi="宋体"/>
          <w:b/>
          <w:color w:val="auto"/>
          <w:szCs w:val="21"/>
          <w:highlight w:val="none"/>
        </w:rPr>
      </w:pPr>
      <w:r>
        <w:rPr>
          <w:rFonts w:hint="eastAsia" w:ascii="宋体" w:hAnsi="宋体"/>
          <w:b/>
          <w:color w:val="auto"/>
          <w:szCs w:val="21"/>
          <w:highlight w:val="none"/>
        </w:rPr>
        <w:t>三、评标程序</w:t>
      </w:r>
    </w:p>
    <w:p w14:paraId="57753155">
      <w:pPr>
        <w:spacing w:line="360" w:lineRule="auto"/>
        <w:rPr>
          <w:rFonts w:ascii="宋体" w:hAnsi="宋体"/>
          <w:color w:val="auto"/>
          <w:szCs w:val="21"/>
          <w:highlight w:val="none"/>
        </w:rPr>
      </w:pPr>
      <w:r>
        <w:rPr>
          <w:rFonts w:hint="eastAsia" w:ascii="宋体" w:hAnsi="宋体"/>
          <w:color w:val="auto"/>
          <w:szCs w:val="21"/>
          <w:highlight w:val="none"/>
        </w:rPr>
        <w:t>1．资格审查：由采购人或代理机构对投标人的资格进行审查。在资格审查时，如发现有不满足下列情形之一的，将被视为无效投标文件。</w:t>
      </w:r>
    </w:p>
    <w:tbl>
      <w:tblPr>
        <w:tblStyle w:val="34"/>
        <w:tblW w:w="83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14:paraId="246B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23" w:type="dxa"/>
            <w:vAlign w:val="center"/>
          </w:tcPr>
          <w:p w14:paraId="6FF592C4">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805" w:type="dxa"/>
            <w:vAlign w:val="center"/>
          </w:tcPr>
          <w:p w14:paraId="1D307F4C">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14:paraId="5AC8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158075FB">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6805" w:type="dxa"/>
          </w:tcPr>
          <w:p w14:paraId="081E2698">
            <w:pPr>
              <w:widowControl/>
              <w:numPr>
                <w:ilvl w:val="0"/>
                <w:numId w:val="3"/>
              </w:numPr>
              <w:spacing w:line="336" w:lineRule="auto"/>
              <w:jc w:val="left"/>
              <w:rPr>
                <w:rFonts w:ascii="宋体" w:hAnsi="宋体" w:cs="宋体"/>
                <w:color w:val="auto"/>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auto"/>
                <w:szCs w:val="21"/>
                <w:highlight w:val="none"/>
              </w:rPr>
              <w:t>参加政府采购活动应当具备的一般条件的承诺函。</w:t>
            </w:r>
          </w:p>
        </w:tc>
      </w:tr>
      <w:tr w14:paraId="33EB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3057B937">
            <w:pPr>
              <w:spacing w:line="336" w:lineRule="auto"/>
              <w:jc w:val="center"/>
              <w:rPr>
                <w:rFonts w:ascii="宋体" w:hAnsi="宋体" w:cs="宋体"/>
                <w:color w:val="auto"/>
                <w:szCs w:val="21"/>
                <w:highlight w:val="none"/>
              </w:rPr>
            </w:pPr>
          </w:p>
        </w:tc>
        <w:tc>
          <w:tcPr>
            <w:tcW w:w="6805" w:type="dxa"/>
          </w:tcPr>
          <w:p w14:paraId="35C594B7">
            <w:pPr>
              <w:widowControl/>
              <w:numPr>
                <w:ilvl w:val="0"/>
                <w:numId w:val="3"/>
              </w:numPr>
              <w:spacing w:line="336" w:lineRule="auto"/>
              <w:jc w:val="left"/>
              <w:rPr>
                <w:rFonts w:ascii="宋体" w:hAnsi="宋体" w:cs="宋体"/>
                <w:color w:val="auto"/>
                <w:szCs w:val="21"/>
                <w:highlight w:val="none"/>
              </w:rPr>
            </w:pPr>
            <w:r>
              <w:rPr>
                <w:rFonts w:hint="eastAsia" w:ascii="宋体" w:hAnsi="宋体" w:cs="宋体"/>
                <w:color w:val="auto"/>
                <w:szCs w:val="21"/>
                <w:highlight w:val="none"/>
              </w:rPr>
              <w:t>营业执照副本（或事业法人登记证副本或其他登记证明材料）复印件加盖投标人公章（投标人如果有名称变更的，应提供由行政主管部门出具的变更证明文件复印件加盖投标人公章）</w:t>
            </w:r>
            <w:r>
              <w:rPr>
                <w:rFonts w:hint="eastAsia" w:ascii="宋体" w:hAnsi="宋体" w:cs="宋体"/>
                <w:color w:val="auto"/>
                <w:szCs w:val="21"/>
                <w:highlight w:val="none"/>
                <w:lang w:eastAsia="zh-CN"/>
              </w:rPr>
              <w:t>。</w:t>
            </w:r>
          </w:p>
        </w:tc>
      </w:tr>
      <w:tr w14:paraId="7862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6A72C036">
            <w:pPr>
              <w:spacing w:line="336" w:lineRule="auto"/>
              <w:rPr>
                <w:rFonts w:ascii="宋体" w:hAnsi="宋体" w:cs="宋体"/>
                <w:color w:val="auto"/>
                <w:szCs w:val="21"/>
                <w:highlight w:val="none"/>
              </w:rPr>
            </w:pPr>
          </w:p>
        </w:tc>
        <w:tc>
          <w:tcPr>
            <w:tcW w:w="6805" w:type="dxa"/>
          </w:tcPr>
          <w:p w14:paraId="05254751">
            <w:pPr>
              <w:spacing w:line="360" w:lineRule="auto"/>
              <w:rPr>
                <w:rFonts w:ascii="宋体" w:hAnsi="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lang w:eastAsia="zh-CN"/>
              </w:rPr>
              <w:t>）</w:t>
            </w:r>
            <w:r>
              <w:rPr>
                <w:rFonts w:hint="eastAsia" w:ascii="宋体" w:hAnsi="宋体" w:cs="宋体"/>
                <w:color w:val="auto"/>
                <w:szCs w:val="21"/>
                <w:highlight w:val="none"/>
              </w:rPr>
              <w:t>落实政府采购政策需满足的资格要求：</w:t>
            </w:r>
            <w:r>
              <w:rPr>
                <w:rFonts w:hint="eastAsia" w:ascii="宋体" w:hAnsi="宋体" w:eastAsia="宋体" w:cs="宋体"/>
                <w:color w:val="auto"/>
                <w:highlight w:val="none"/>
              </w:rPr>
              <w:t>本项目属于专门面向</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企业采购的项目，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应为符合《政府采购促进中小企业发展管理办法》（财库﹝2020﹞46 号）规定的</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企业（其中，</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企业包括视同为小型、微型企业的监狱企业、残疾人福利性单位）</w:t>
            </w:r>
            <w:r>
              <w:rPr>
                <w:rFonts w:hint="eastAsia" w:ascii="宋体" w:hAnsi="宋体" w:eastAsia="宋体" w:cs="宋体"/>
                <w:color w:val="auto"/>
                <w:highlight w:val="none"/>
                <w:lang w:eastAsia="zh-CN"/>
              </w:rPr>
              <w:t>。</w:t>
            </w:r>
          </w:p>
        </w:tc>
      </w:tr>
      <w:tr w14:paraId="1CDF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622D8C3D">
            <w:pPr>
              <w:spacing w:line="336" w:lineRule="auto"/>
              <w:rPr>
                <w:rFonts w:ascii="宋体" w:hAnsi="宋体" w:cs="宋体"/>
                <w:color w:val="auto"/>
                <w:szCs w:val="21"/>
                <w:highlight w:val="none"/>
              </w:rPr>
            </w:pPr>
          </w:p>
        </w:tc>
        <w:tc>
          <w:tcPr>
            <w:tcW w:w="6805" w:type="dxa"/>
          </w:tcPr>
          <w:p w14:paraId="0E131B56">
            <w:pPr>
              <w:numPr>
                <w:ilvl w:val="0"/>
                <w:numId w:val="0"/>
              </w:numPr>
              <w:spacing w:line="336" w:lineRule="auto"/>
              <w:rPr>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四</w:t>
            </w:r>
            <w:r>
              <w:rPr>
                <w:rFonts w:hint="eastAsia" w:ascii="宋体" w:hAnsi="宋体" w:cs="宋体"/>
                <w:color w:val="auto"/>
                <w:highlight w:val="none"/>
                <w:lang w:eastAsia="zh-CN"/>
              </w:rPr>
              <w:t>）</w:t>
            </w:r>
            <w:r>
              <w:rPr>
                <w:rFonts w:hint="eastAsia" w:ascii="宋体" w:hAnsi="宋体" w:cs="宋体"/>
                <w:color w:val="auto"/>
                <w:highlight w:val="none"/>
              </w:rPr>
              <w:t>特定资格条件：</w:t>
            </w:r>
          </w:p>
          <w:p w14:paraId="28E341A2">
            <w:pPr>
              <w:spacing w:line="336" w:lineRule="auto"/>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default" w:ascii="宋体" w:hAnsi="宋体" w:cs="宋体"/>
                <w:color w:val="auto"/>
                <w:highlight w:val="none"/>
              </w:rPr>
              <w:t>投标人须具有工程造价咨询服务能力，具有财政部门核发的会计师事务所执业资格证书</w:t>
            </w:r>
            <w:r>
              <w:rPr>
                <w:rFonts w:hint="eastAsia" w:ascii="宋体" w:hAnsi="宋体" w:cs="宋体"/>
                <w:color w:val="auto"/>
                <w:highlight w:val="none"/>
              </w:rPr>
              <w:t>；若为会计师事务所分所，须具有总所对本项目的的唯一授权</w:t>
            </w:r>
            <w:r>
              <w:rPr>
                <w:rFonts w:hint="eastAsia" w:ascii="宋体" w:hAnsi="宋体" w:cs="宋体"/>
                <w:color w:val="auto"/>
                <w:highlight w:val="none"/>
                <w:lang w:eastAsia="zh-CN"/>
              </w:rPr>
              <w:t>；</w:t>
            </w:r>
          </w:p>
          <w:p w14:paraId="00CF203D">
            <w:pPr>
              <w:spacing w:line="336" w:lineRule="auto"/>
              <w:rPr>
                <w:rFonts w:hint="eastAsia" w:eastAsia="宋体"/>
                <w:color w:val="auto"/>
                <w:highlight w:val="none"/>
                <w:lang w:eastAsia="zh-CN"/>
              </w:rPr>
            </w:pPr>
            <w:r>
              <w:rPr>
                <w:rFonts w:hint="eastAsia" w:ascii="宋体" w:hAnsi="宋体" w:cs="宋体"/>
                <w:color w:val="auto"/>
                <w:highlight w:val="none"/>
              </w:rPr>
              <w:t>2、</w:t>
            </w:r>
            <w:r>
              <w:rPr>
                <w:color w:val="auto"/>
                <w:highlight w:val="none"/>
              </w:rPr>
              <w:t>本次采购接受联合体投标；联合体投标的需提供联合体协议书，</w:t>
            </w:r>
            <w:r>
              <w:rPr>
                <w:rFonts w:hint="eastAsia" w:ascii="Times New Roman" w:hAnsi="Times New Roman" w:eastAsia="宋体" w:cs="Times New Roman"/>
                <w:color w:val="auto"/>
                <w:szCs w:val="21"/>
                <w:highlight w:val="none"/>
              </w:rPr>
              <w:t>联合体投标的其成员不超过两家单位（含联合体牵头人），</w:t>
            </w:r>
            <w:r>
              <w:rPr>
                <w:rFonts w:hint="eastAsia" w:cs="Times New Roman"/>
                <w:color w:val="auto"/>
                <w:szCs w:val="21"/>
                <w:highlight w:val="none"/>
                <w:lang w:eastAsia="zh-CN"/>
              </w:rPr>
              <w:t>且联合体牵头人须为工程造价咨询单位</w:t>
            </w:r>
            <w:r>
              <w:rPr>
                <w:rFonts w:hint="eastAsia"/>
                <w:color w:val="auto"/>
                <w:highlight w:val="none"/>
                <w:lang w:eastAsia="zh-CN"/>
              </w:rPr>
              <w:t>；</w:t>
            </w:r>
          </w:p>
          <w:p w14:paraId="74222F80">
            <w:pPr>
              <w:spacing w:line="336" w:lineRule="auto"/>
              <w:rPr>
                <w:rFonts w:ascii="宋体" w:hAnsi="宋体" w:cs="宋体"/>
                <w:color w:val="auto"/>
                <w:szCs w:val="21"/>
                <w:highlight w:val="none"/>
              </w:rPr>
            </w:pPr>
            <w:r>
              <w:rPr>
                <w:rFonts w:hint="eastAsia"/>
                <w:color w:val="auto"/>
                <w:highlight w:val="none"/>
              </w:rPr>
              <w:t>3、</w:t>
            </w:r>
            <w:r>
              <w:rPr>
                <w:color w:val="auto"/>
                <w:highlight w:val="none"/>
              </w:rPr>
              <w:t>投标人（包含联合体的任一方）如参与过投标标项的跟踪审计、清单、预算、决（结）算的编制或审核及工程管理咨询等服务的，不得再参加该标项投标（包括组成联合体参与投标），其中仅参与项目的设计、施工、监理、工程项目管理咨询等事项的招标代理工作不在上述限制投标情况之列。</w:t>
            </w:r>
          </w:p>
        </w:tc>
      </w:tr>
    </w:tbl>
    <w:p w14:paraId="456DF7A2">
      <w:pPr>
        <w:spacing w:line="360" w:lineRule="auto"/>
        <w:rPr>
          <w:rFonts w:ascii="宋体" w:hAnsi="宋体"/>
          <w:color w:val="auto"/>
          <w:szCs w:val="21"/>
          <w:highlight w:val="none"/>
        </w:rPr>
      </w:pPr>
    </w:p>
    <w:p w14:paraId="44AFA6C6">
      <w:pPr>
        <w:numPr>
          <w:ilvl w:val="0"/>
          <w:numId w:val="4"/>
        </w:numPr>
        <w:spacing w:line="360" w:lineRule="auto"/>
        <w:rPr>
          <w:rFonts w:ascii="宋体" w:hAnsi="宋体" w:cs="宋体"/>
          <w:color w:val="auto"/>
          <w:kern w:val="0"/>
          <w:szCs w:val="21"/>
          <w:highlight w:val="none"/>
        </w:rPr>
      </w:pPr>
      <w:r>
        <w:rPr>
          <w:rFonts w:hint="eastAsia" w:ascii="宋体" w:hAnsi="宋体"/>
          <w:color w:val="auto"/>
          <w:szCs w:val="21"/>
          <w:highlight w:val="none"/>
        </w:rPr>
        <w:t>符合性检查：</w:t>
      </w:r>
      <w:r>
        <w:rPr>
          <w:rFonts w:hint="eastAsia" w:ascii="宋体" w:hAnsi="宋体" w:cs="宋体"/>
          <w:color w:val="auto"/>
          <w:kern w:val="0"/>
          <w:szCs w:val="21"/>
          <w:highlight w:val="none"/>
        </w:rPr>
        <w:t>评标委员会应当对符合资格审查的投标人的投标文件进行符合性审查，以确定其是否满足招标文件的实质性要求。在符合性审查时，如发现有不满足下列情形之一的，将被视为无效投标文件。</w:t>
      </w:r>
    </w:p>
    <w:tbl>
      <w:tblPr>
        <w:tblStyle w:val="34"/>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14:paraId="54F7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1C961C33">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789" w:type="dxa"/>
            <w:vAlign w:val="center"/>
          </w:tcPr>
          <w:p w14:paraId="2AEC8F44">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14:paraId="501A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7EDC4FDB">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14:paraId="4E4084A6">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789" w:type="dxa"/>
            <w:vAlign w:val="center"/>
          </w:tcPr>
          <w:p w14:paraId="2282C829">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14:paraId="12A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712D52C">
            <w:pPr>
              <w:spacing w:line="336" w:lineRule="auto"/>
              <w:jc w:val="center"/>
              <w:rPr>
                <w:rFonts w:ascii="宋体" w:hAnsi="宋体" w:cs="宋体"/>
                <w:color w:val="auto"/>
                <w:szCs w:val="21"/>
                <w:highlight w:val="none"/>
              </w:rPr>
            </w:pPr>
          </w:p>
        </w:tc>
        <w:tc>
          <w:tcPr>
            <w:tcW w:w="6789" w:type="dxa"/>
            <w:vAlign w:val="center"/>
          </w:tcPr>
          <w:p w14:paraId="19974A3F">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（二）投标文件有法定代表人签署本人姓名（或印盖本人姓名章），或签署人提供有效的法定代表人授权委托书且授权委托书填写项目齐全的；</w:t>
            </w:r>
          </w:p>
        </w:tc>
      </w:tr>
      <w:tr w14:paraId="1F77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7C06B19">
            <w:pPr>
              <w:spacing w:line="336" w:lineRule="auto"/>
              <w:jc w:val="center"/>
              <w:rPr>
                <w:rFonts w:ascii="宋体" w:hAnsi="宋体" w:cs="宋体"/>
                <w:color w:val="auto"/>
                <w:szCs w:val="21"/>
                <w:highlight w:val="none"/>
              </w:rPr>
            </w:pPr>
          </w:p>
        </w:tc>
        <w:tc>
          <w:tcPr>
            <w:tcW w:w="6789" w:type="dxa"/>
            <w:vAlign w:val="center"/>
          </w:tcPr>
          <w:p w14:paraId="2F59A4F3">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（三）投标文件项目齐全；</w:t>
            </w:r>
          </w:p>
        </w:tc>
      </w:tr>
      <w:tr w14:paraId="2BBD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3FA09E7">
            <w:pPr>
              <w:spacing w:line="336" w:lineRule="auto"/>
              <w:jc w:val="center"/>
              <w:rPr>
                <w:rFonts w:ascii="宋体" w:hAnsi="宋体" w:cs="宋体"/>
                <w:color w:val="auto"/>
                <w:szCs w:val="21"/>
                <w:highlight w:val="none"/>
              </w:rPr>
            </w:pPr>
          </w:p>
        </w:tc>
        <w:tc>
          <w:tcPr>
            <w:tcW w:w="6789" w:type="dxa"/>
            <w:vAlign w:val="center"/>
          </w:tcPr>
          <w:p w14:paraId="4879661C">
            <w:pPr>
              <w:tabs>
                <w:tab w:val="left" w:pos="612"/>
              </w:tabs>
              <w:spacing w:line="336" w:lineRule="auto"/>
              <w:rPr>
                <w:rFonts w:ascii="宋体" w:hAnsi="宋体" w:cs="宋体"/>
                <w:color w:val="auto"/>
                <w:kern w:val="0"/>
                <w:szCs w:val="21"/>
                <w:highlight w:val="none"/>
              </w:rPr>
            </w:pPr>
            <w:r>
              <w:rPr>
                <w:rFonts w:hint="eastAsia" w:ascii="宋体" w:hAnsi="宋体" w:cs="宋体"/>
                <w:color w:val="auto"/>
                <w:szCs w:val="21"/>
                <w:highlight w:val="none"/>
              </w:rPr>
              <w:t>（四）投标文件标明的响应或偏离与事实相符且无虚假投标的；</w:t>
            </w:r>
          </w:p>
        </w:tc>
      </w:tr>
      <w:tr w14:paraId="3C3A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DE2B701">
            <w:pPr>
              <w:spacing w:line="336" w:lineRule="auto"/>
              <w:jc w:val="center"/>
              <w:rPr>
                <w:rFonts w:ascii="宋体" w:hAnsi="宋体" w:cs="宋体"/>
                <w:color w:val="auto"/>
                <w:szCs w:val="21"/>
                <w:highlight w:val="none"/>
              </w:rPr>
            </w:pPr>
          </w:p>
        </w:tc>
        <w:tc>
          <w:tcPr>
            <w:tcW w:w="6789" w:type="dxa"/>
            <w:vAlign w:val="center"/>
          </w:tcPr>
          <w:p w14:paraId="0A91C28A">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（五）投标文件的实质性内容使用中文表述且意思表述明确，前后无矛盾且使用计量单位符合招标文件要求的；</w:t>
            </w:r>
          </w:p>
        </w:tc>
      </w:tr>
      <w:tr w14:paraId="4A3E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3D6F7ED">
            <w:pPr>
              <w:spacing w:line="336" w:lineRule="auto"/>
              <w:jc w:val="center"/>
              <w:rPr>
                <w:rFonts w:ascii="宋体" w:hAnsi="宋体" w:cs="宋体"/>
                <w:color w:val="auto"/>
                <w:szCs w:val="21"/>
                <w:highlight w:val="none"/>
              </w:rPr>
            </w:pPr>
          </w:p>
        </w:tc>
        <w:tc>
          <w:tcPr>
            <w:tcW w:w="6789" w:type="dxa"/>
            <w:vAlign w:val="center"/>
          </w:tcPr>
          <w:p w14:paraId="65CB8F7F">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（六）带“★”的条款满足招标文件要求、已实质性响应招标文件要求且投标文件无采购人不能接受的附加条件的；</w:t>
            </w:r>
          </w:p>
        </w:tc>
      </w:tr>
      <w:tr w14:paraId="7179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1AA41D6">
            <w:pPr>
              <w:spacing w:line="336" w:lineRule="auto"/>
              <w:jc w:val="center"/>
              <w:rPr>
                <w:rFonts w:ascii="宋体" w:hAnsi="宋体" w:cs="宋体"/>
                <w:color w:val="auto"/>
                <w:szCs w:val="21"/>
                <w:highlight w:val="none"/>
              </w:rPr>
            </w:pPr>
          </w:p>
        </w:tc>
        <w:tc>
          <w:tcPr>
            <w:tcW w:w="6789" w:type="dxa"/>
            <w:vAlign w:val="center"/>
          </w:tcPr>
          <w:p w14:paraId="7F2BD3D2">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（七）投标技术方案明确，不存在一个或一个以上备选（替代）投标方案的；</w:t>
            </w:r>
          </w:p>
        </w:tc>
      </w:tr>
      <w:tr w14:paraId="1008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49FA0043">
            <w:pPr>
              <w:spacing w:line="336" w:lineRule="auto"/>
              <w:jc w:val="center"/>
              <w:rPr>
                <w:rFonts w:ascii="宋体" w:hAnsi="宋体" w:cs="宋体"/>
                <w:color w:val="auto"/>
                <w:szCs w:val="21"/>
                <w:highlight w:val="none"/>
              </w:rPr>
            </w:pPr>
          </w:p>
        </w:tc>
        <w:tc>
          <w:tcPr>
            <w:tcW w:w="6789" w:type="dxa"/>
            <w:vAlign w:val="center"/>
          </w:tcPr>
          <w:p w14:paraId="4B324FFF">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（八）不存在法律、法规和招标文件规定的其他无效情形；</w:t>
            </w:r>
          </w:p>
        </w:tc>
      </w:tr>
      <w:tr w14:paraId="0EDB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3C9FAC2">
            <w:pPr>
              <w:spacing w:line="336" w:lineRule="auto"/>
              <w:jc w:val="center"/>
              <w:rPr>
                <w:rFonts w:ascii="宋体" w:hAnsi="宋体" w:cs="宋体"/>
                <w:color w:val="auto"/>
                <w:szCs w:val="21"/>
                <w:highlight w:val="none"/>
              </w:rPr>
            </w:pPr>
          </w:p>
        </w:tc>
        <w:tc>
          <w:tcPr>
            <w:tcW w:w="6789" w:type="dxa"/>
            <w:vAlign w:val="center"/>
          </w:tcPr>
          <w:p w14:paraId="45DE6A80">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（九）不存在投标文件的有效期不满足招标文件要求情形；</w:t>
            </w:r>
          </w:p>
        </w:tc>
      </w:tr>
      <w:tr w14:paraId="15DE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18B56325">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14:paraId="4ABAC629">
            <w:pPr>
              <w:spacing w:line="336" w:lineRule="auto"/>
              <w:rPr>
                <w:rFonts w:ascii="宋体" w:hAnsi="宋体" w:cs="宋体"/>
                <w:color w:val="auto"/>
                <w:szCs w:val="21"/>
                <w:highlight w:val="none"/>
              </w:rPr>
            </w:pPr>
            <w:r>
              <w:rPr>
                <w:rFonts w:hint="eastAsia" w:ascii="宋体" w:hAnsi="宋体" w:cs="宋体"/>
                <w:color w:val="auto"/>
                <w:szCs w:val="21"/>
                <w:highlight w:val="none"/>
              </w:rPr>
              <w:t>（报价文件）</w:t>
            </w:r>
          </w:p>
        </w:tc>
        <w:tc>
          <w:tcPr>
            <w:tcW w:w="6789" w:type="dxa"/>
            <w:vAlign w:val="center"/>
          </w:tcPr>
          <w:p w14:paraId="34A1A11F">
            <w:pPr>
              <w:spacing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14:paraId="6519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176A117">
            <w:pPr>
              <w:spacing w:line="336" w:lineRule="auto"/>
              <w:jc w:val="center"/>
              <w:rPr>
                <w:rFonts w:ascii="宋体" w:hAnsi="宋体" w:cs="宋体"/>
                <w:color w:val="auto"/>
                <w:szCs w:val="21"/>
                <w:highlight w:val="none"/>
              </w:rPr>
            </w:pPr>
          </w:p>
        </w:tc>
        <w:tc>
          <w:tcPr>
            <w:tcW w:w="6789" w:type="dxa"/>
            <w:vAlign w:val="center"/>
          </w:tcPr>
          <w:p w14:paraId="469DB916">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14:paraId="652F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3C025FC">
            <w:pPr>
              <w:spacing w:line="336" w:lineRule="auto"/>
              <w:ind w:firstLine="210" w:firstLineChars="100"/>
              <w:rPr>
                <w:rFonts w:ascii="宋体" w:hAnsi="宋体" w:cs="宋体"/>
                <w:color w:val="auto"/>
                <w:szCs w:val="21"/>
                <w:highlight w:val="none"/>
              </w:rPr>
            </w:pPr>
          </w:p>
        </w:tc>
        <w:tc>
          <w:tcPr>
            <w:tcW w:w="6789" w:type="dxa"/>
            <w:vAlign w:val="center"/>
          </w:tcPr>
          <w:p w14:paraId="3EBD43CB">
            <w:pPr>
              <w:spacing w:line="336" w:lineRule="auto"/>
              <w:rPr>
                <w:rFonts w:ascii="宋体" w:hAnsi="宋体" w:cs="宋体"/>
                <w:color w:val="auto"/>
                <w:szCs w:val="21"/>
                <w:highlight w:val="none"/>
              </w:rPr>
            </w:pPr>
            <w:r>
              <w:rPr>
                <w:rFonts w:hint="eastAsia" w:ascii="宋体" w:hAnsi="宋体" w:cs="宋体"/>
                <w:color w:val="auto"/>
                <w:szCs w:val="21"/>
                <w:highlight w:val="none"/>
              </w:rPr>
              <w:t>（三）投标函已提交并符合招标文件要求；</w:t>
            </w:r>
          </w:p>
        </w:tc>
      </w:tr>
      <w:tr w14:paraId="27D4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2E222EB">
            <w:pPr>
              <w:spacing w:line="336" w:lineRule="auto"/>
              <w:ind w:firstLine="210" w:firstLineChars="100"/>
              <w:rPr>
                <w:rFonts w:ascii="宋体" w:hAnsi="宋体" w:cs="宋体"/>
                <w:color w:val="auto"/>
                <w:szCs w:val="21"/>
                <w:highlight w:val="none"/>
              </w:rPr>
            </w:pPr>
          </w:p>
        </w:tc>
        <w:tc>
          <w:tcPr>
            <w:tcW w:w="6789" w:type="dxa"/>
            <w:vAlign w:val="center"/>
          </w:tcPr>
          <w:p w14:paraId="37F19D97">
            <w:pPr>
              <w:spacing w:line="336" w:lineRule="auto"/>
              <w:rPr>
                <w:rFonts w:ascii="宋体" w:hAnsi="宋体" w:cs="宋体"/>
                <w:color w:val="auto"/>
                <w:szCs w:val="21"/>
                <w:highlight w:val="none"/>
              </w:rPr>
            </w:pPr>
            <w:r>
              <w:rPr>
                <w:rFonts w:hint="eastAsia" w:ascii="宋体" w:hAnsi="宋体" w:cs="宋体"/>
                <w:color w:val="auto"/>
                <w:szCs w:val="21"/>
                <w:highlight w:val="none"/>
              </w:rPr>
              <w:t>（四）采用人民币报价或者按照招标文件标明的币种报价的；</w:t>
            </w:r>
          </w:p>
        </w:tc>
      </w:tr>
      <w:tr w14:paraId="16A1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6A18987">
            <w:pPr>
              <w:spacing w:line="336" w:lineRule="auto"/>
              <w:ind w:firstLine="210" w:firstLineChars="100"/>
              <w:rPr>
                <w:rFonts w:ascii="宋体" w:hAnsi="宋体" w:cs="宋体"/>
                <w:color w:val="auto"/>
                <w:szCs w:val="21"/>
                <w:highlight w:val="none"/>
              </w:rPr>
            </w:pPr>
          </w:p>
        </w:tc>
        <w:tc>
          <w:tcPr>
            <w:tcW w:w="6789" w:type="dxa"/>
            <w:vAlign w:val="center"/>
          </w:tcPr>
          <w:p w14:paraId="71808DFE">
            <w:pPr>
              <w:spacing w:line="336" w:lineRule="auto"/>
              <w:rPr>
                <w:rFonts w:ascii="宋体" w:hAnsi="宋体" w:cs="宋体"/>
                <w:color w:val="auto"/>
                <w:szCs w:val="21"/>
                <w:highlight w:val="none"/>
              </w:rPr>
            </w:pPr>
            <w:r>
              <w:rPr>
                <w:rFonts w:hint="eastAsia" w:ascii="宋体" w:hAnsi="宋体" w:cs="宋体"/>
                <w:color w:val="auto"/>
                <w:szCs w:val="21"/>
                <w:highlight w:val="none"/>
              </w:rPr>
              <w:t>（五）不存在报价超出最高限价，或者超出采购预算金额，采购人不能支付的情形。</w:t>
            </w:r>
          </w:p>
        </w:tc>
      </w:tr>
      <w:tr w14:paraId="600C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3A42F19">
            <w:pPr>
              <w:spacing w:line="336" w:lineRule="auto"/>
              <w:ind w:firstLine="210" w:firstLineChars="100"/>
              <w:rPr>
                <w:rFonts w:ascii="宋体" w:hAnsi="宋体" w:cs="宋体"/>
                <w:color w:val="auto"/>
                <w:szCs w:val="21"/>
                <w:highlight w:val="none"/>
              </w:rPr>
            </w:pPr>
          </w:p>
        </w:tc>
        <w:tc>
          <w:tcPr>
            <w:tcW w:w="6789" w:type="dxa"/>
            <w:vAlign w:val="center"/>
          </w:tcPr>
          <w:p w14:paraId="5160ABFB">
            <w:pPr>
              <w:spacing w:line="336" w:lineRule="auto"/>
              <w:rPr>
                <w:rFonts w:ascii="宋体" w:hAnsi="宋体" w:cs="宋体"/>
                <w:color w:val="auto"/>
                <w:szCs w:val="21"/>
                <w:highlight w:val="none"/>
              </w:rPr>
            </w:pPr>
            <w:r>
              <w:rPr>
                <w:rFonts w:hint="eastAsia" w:ascii="宋体" w:hAnsi="宋体" w:cs="宋体"/>
                <w:color w:val="auto"/>
                <w:szCs w:val="21"/>
                <w:highlight w:val="none"/>
              </w:rPr>
              <w:t>（六）不存在投标报价具有选择性的情形；</w:t>
            </w:r>
          </w:p>
        </w:tc>
      </w:tr>
      <w:tr w14:paraId="40D2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F1086C3">
            <w:pPr>
              <w:spacing w:line="336" w:lineRule="auto"/>
              <w:ind w:firstLine="210" w:firstLineChars="100"/>
              <w:rPr>
                <w:rFonts w:ascii="宋体" w:hAnsi="宋体" w:cs="宋体"/>
                <w:color w:val="auto"/>
                <w:szCs w:val="21"/>
                <w:highlight w:val="none"/>
              </w:rPr>
            </w:pPr>
          </w:p>
        </w:tc>
        <w:tc>
          <w:tcPr>
            <w:tcW w:w="6789" w:type="dxa"/>
            <w:vAlign w:val="center"/>
          </w:tcPr>
          <w:p w14:paraId="7D399BF5">
            <w:pPr>
              <w:spacing w:line="336" w:lineRule="auto"/>
              <w:rPr>
                <w:rFonts w:ascii="宋体" w:hAnsi="宋体" w:cs="宋体"/>
                <w:color w:val="auto"/>
                <w:szCs w:val="21"/>
                <w:highlight w:val="none"/>
              </w:rPr>
            </w:pPr>
            <w:r>
              <w:rPr>
                <w:rFonts w:hint="eastAsia" w:ascii="宋体" w:hAnsi="宋体" w:cs="宋体"/>
                <w:color w:val="auto"/>
                <w:szCs w:val="21"/>
                <w:highlight w:val="none"/>
              </w:rPr>
              <w:t>（七）投标报价中未出现重大缺项、漏项；</w:t>
            </w:r>
          </w:p>
        </w:tc>
      </w:tr>
      <w:tr w14:paraId="475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BCA6D2D">
            <w:pPr>
              <w:spacing w:line="336" w:lineRule="auto"/>
              <w:ind w:firstLine="210" w:firstLineChars="100"/>
              <w:rPr>
                <w:rFonts w:ascii="宋体" w:hAnsi="宋体" w:cs="宋体"/>
                <w:color w:val="auto"/>
                <w:szCs w:val="21"/>
                <w:highlight w:val="none"/>
              </w:rPr>
            </w:pPr>
          </w:p>
        </w:tc>
        <w:tc>
          <w:tcPr>
            <w:tcW w:w="6789" w:type="dxa"/>
            <w:vAlign w:val="center"/>
          </w:tcPr>
          <w:p w14:paraId="2351EDE1">
            <w:pPr>
              <w:spacing w:line="336" w:lineRule="auto"/>
              <w:rPr>
                <w:rFonts w:ascii="宋体" w:hAnsi="宋体" w:cs="宋体"/>
                <w:color w:val="auto"/>
                <w:szCs w:val="21"/>
                <w:highlight w:val="none"/>
              </w:rPr>
            </w:pPr>
            <w:r>
              <w:rPr>
                <w:rFonts w:hint="eastAsia" w:ascii="宋体" w:hAnsi="宋体" w:cs="宋体"/>
                <w:color w:val="auto"/>
                <w:szCs w:val="21"/>
                <w:highlight w:val="none"/>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2E06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40E590A">
            <w:pPr>
              <w:spacing w:line="336" w:lineRule="auto"/>
              <w:ind w:firstLine="210" w:firstLineChars="100"/>
              <w:rPr>
                <w:rFonts w:ascii="宋体" w:hAnsi="宋体" w:cs="宋体"/>
                <w:color w:val="auto"/>
                <w:szCs w:val="21"/>
                <w:highlight w:val="none"/>
              </w:rPr>
            </w:pPr>
          </w:p>
        </w:tc>
        <w:tc>
          <w:tcPr>
            <w:tcW w:w="6789" w:type="dxa"/>
            <w:vAlign w:val="center"/>
          </w:tcPr>
          <w:p w14:paraId="7A332F17">
            <w:pPr>
              <w:spacing w:line="336" w:lineRule="auto"/>
              <w:rPr>
                <w:rFonts w:hint="eastAsia" w:ascii="宋体" w:hAnsi="宋体" w:cs="宋体"/>
                <w:color w:val="auto"/>
                <w:szCs w:val="21"/>
                <w:highlight w:val="none"/>
              </w:rPr>
            </w:pPr>
            <w:r>
              <w:rPr>
                <w:rFonts w:hint="eastAsia"/>
                <w:color w:val="auto"/>
                <w:highlight w:val="none"/>
                <w:lang w:eastAsia="zh-CN"/>
              </w:rPr>
              <w:t>（</w:t>
            </w:r>
            <w:r>
              <w:rPr>
                <w:rFonts w:hint="eastAsia"/>
                <w:color w:val="auto"/>
                <w:highlight w:val="none"/>
                <w:lang w:val="en-US" w:eastAsia="zh-CN"/>
              </w:rPr>
              <w:t>九</w:t>
            </w:r>
            <w:r>
              <w:rPr>
                <w:rFonts w:hint="eastAsia"/>
                <w:color w:val="auto"/>
                <w:highlight w:val="none"/>
                <w:lang w:eastAsia="zh-CN"/>
              </w:rPr>
              <w:t>）</w:t>
            </w:r>
            <w:r>
              <w:rPr>
                <w:rFonts w:hint="eastAsia"/>
                <w:color w:val="auto"/>
                <w:highlight w:val="none"/>
              </w:rPr>
              <w:t>经评标委员会认定投标人的投标报价低于成本价的，投标人须当场解释，若当场无法提供详细且依据充分的成本测算资料，或当场虽提供了成本测算资料，但测算内容不完整、或依据不充分，或评标委员会三分之二以上成员分析认为其成本测算依据不合理或明显低于市场价的，该投标报价不得分并不作为评标基准价</w:t>
            </w:r>
          </w:p>
        </w:tc>
      </w:tr>
      <w:tr w14:paraId="3383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D81DB2C">
            <w:pPr>
              <w:spacing w:line="336" w:lineRule="auto"/>
              <w:ind w:firstLine="210" w:firstLineChars="100"/>
              <w:rPr>
                <w:rFonts w:ascii="宋体" w:hAnsi="宋体" w:cs="宋体"/>
                <w:color w:val="auto"/>
                <w:szCs w:val="21"/>
                <w:highlight w:val="none"/>
              </w:rPr>
            </w:pPr>
          </w:p>
        </w:tc>
        <w:tc>
          <w:tcPr>
            <w:tcW w:w="6789" w:type="dxa"/>
            <w:vAlign w:val="center"/>
          </w:tcPr>
          <w:p w14:paraId="0499A159">
            <w:pPr>
              <w:spacing w:line="336"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w:t>
            </w:r>
            <w:r>
              <w:rPr>
                <w:rFonts w:hint="eastAsia" w:ascii="宋体" w:hAnsi="宋体" w:cs="宋体"/>
                <w:color w:val="auto"/>
                <w:szCs w:val="21"/>
                <w:highlight w:val="none"/>
              </w:rPr>
              <w:t>）投标文件（报价文件）内容与投标文件（商务技术文件）内容不存在重大差异的；</w:t>
            </w:r>
          </w:p>
        </w:tc>
      </w:tr>
      <w:tr w14:paraId="4705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841E2D5">
            <w:pPr>
              <w:spacing w:line="336" w:lineRule="auto"/>
              <w:ind w:firstLine="210" w:firstLineChars="100"/>
              <w:rPr>
                <w:rFonts w:ascii="宋体" w:hAnsi="宋体" w:cs="宋体"/>
                <w:color w:val="auto"/>
                <w:szCs w:val="21"/>
                <w:highlight w:val="none"/>
              </w:rPr>
            </w:pPr>
          </w:p>
        </w:tc>
        <w:tc>
          <w:tcPr>
            <w:tcW w:w="6789" w:type="dxa"/>
            <w:vAlign w:val="center"/>
          </w:tcPr>
          <w:p w14:paraId="4234067F">
            <w:pPr>
              <w:spacing w:line="336"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十一</w:t>
            </w:r>
            <w:r>
              <w:rPr>
                <w:rFonts w:hint="eastAsia" w:ascii="宋体" w:hAnsi="宋体" w:cs="宋体"/>
                <w:color w:val="auto"/>
                <w:szCs w:val="21"/>
                <w:highlight w:val="none"/>
              </w:rPr>
              <w:t>）不存在法律、法规和招标文件规定的其他无效情形；</w:t>
            </w:r>
          </w:p>
        </w:tc>
      </w:tr>
    </w:tbl>
    <w:p w14:paraId="71080DF9">
      <w:pPr>
        <w:spacing w:line="360" w:lineRule="auto"/>
        <w:rPr>
          <w:rFonts w:ascii="宋体" w:hAnsi="宋体"/>
          <w:color w:val="auto"/>
          <w:szCs w:val="21"/>
          <w:highlight w:val="none"/>
        </w:rPr>
      </w:pPr>
    </w:p>
    <w:p w14:paraId="797F671E">
      <w:pPr>
        <w:spacing w:line="360" w:lineRule="auto"/>
        <w:rPr>
          <w:rFonts w:ascii="宋体" w:hAnsi="宋体"/>
          <w:color w:val="auto"/>
          <w:szCs w:val="21"/>
          <w:highlight w:val="none"/>
        </w:rPr>
      </w:pPr>
      <w:r>
        <w:rPr>
          <w:rFonts w:hint="eastAsia" w:ascii="宋体" w:hAnsi="宋体"/>
          <w:color w:val="auto"/>
          <w:szCs w:val="21"/>
          <w:highlight w:val="none"/>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4685388E">
      <w:pPr>
        <w:spacing w:line="360" w:lineRule="auto"/>
        <w:rPr>
          <w:rFonts w:ascii="宋体" w:hAnsi="宋体"/>
          <w:color w:val="auto"/>
          <w:szCs w:val="21"/>
          <w:highlight w:val="none"/>
        </w:rPr>
      </w:pPr>
      <w:r>
        <w:rPr>
          <w:rFonts w:hint="eastAsia" w:ascii="宋体" w:hAnsi="宋体"/>
          <w:color w:val="auto"/>
          <w:szCs w:val="21"/>
          <w:highlight w:val="none"/>
        </w:rPr>
        <w:t>4．最终得分及排序：</w:t>
      </w:r>
      <w:r>
        <w:rPr>
          <w:rFonts w:hint="eastAsia" w:ascii="宋体" w:hAnsi="宋体" w:cs="宋体"/>
          <w:color w:val="auto"/>
          <w:szCs w:val="21"/>
          <w:highlight w:val="none"/>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auto"/>
          <w:kern w:val="0"/>
          <w:szCs w:val="21"/>
          <w:highlight w:val="none"/>
        </w:rPr>
        <w:t>评标结果按评审后得分由高到低顺序排列。得分相同的，按投标报价由低到高顺序排列。得分且投标报价相同的并列。</w:t>
      </w:r>
    </w:p>
    <w:p w14:paraId="0989890C">
      <w:pPr>
        <w:spacing w:line="360" w:lineRule="auto"/>
        <w:rPr>
          <w:rFonts w:ascii="宋体" w:hAnsi="宋体"/>
          <w:color w:val="auto"/>
          <w:szCs w:val="21"/>
          <w:highlight w:val="none"/>
        </w:rPr>
      </w:pPr>
      <w:r>
        <w:rPr>
          <w:rFonts w:hint="eastAsia" w:ascii="宋体" w:hAnsi="宋体"/>
          <w:color w:val="auto"/>
          <w:szCs w:val="21"/>
          <w:highlight w:val="none"/>
        </w:rPr>
        <w:t>5．推荐中标候选人原则：</w:t>
      </w:r>
      <w:r>
        <w:rPr>
          <w:rFonts w:hint="eastAsia" w:ascii="宋体" w:hAnsi="宋体" w:cs="宋体"/>
          <w:color w:val="auto"/>
          <w:kern w:val="0"/>
          <w:szCs w:val="21"/>
          <w:highlight w:val="none"/>
        </w:rPr>
        <w:t>投标文件满足招标文件全部实质性要求，且按照评审因素的量化指标评审得分最高的投标人为排名第一的中标候选人。</w:t>
      </w:r>
    </w:p>
    <w:p w14:paraId="1C34F09A">
      <w:pPr>
        <w:spacing w:line="360" w:lineRule="auto"/>
        <w:rPr>
          <w:rFonts w:ascii="宋体" w:hAnsi="宋体"/>
          <w:color w:val="auto"/>
          <w:szCs w:val="21"/>
          <w:highlight w:val="none"/>
        </w:rPr>
      </w:pPr>
      <w:r>
        <w:rPr>
          <w:rFonts w:hint="eastAsia" w:ascii="宋体" w:hAnsi="宋体"/>
          <w:color w:val="auto"/>
          <w:szCs w:val="21"/>
          <w:highlight w:val="none"/>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14:paraId="76EFE66D">
      <w:pPr>
        <w:spacing w:line="360" w:lineRule="exact"/>
        <w:rPr>
          <w:rFonts w:ascii="宋体" w:hAnsi="宋体" w:cs="宋体"/>
          <w:color w:val="auto"/>
          <w:szCs w:val="21"/>
          <w:highlight w:val="none"/>
        </w:rPr>
      </w:pPr>
    </w:p>
    <w:p w14:paraId="583FAC09">
      <w:pPr>
        <w:widowControl/>
        <w:tabs>
          <w:tab w:val="left" w:pos="0"/>
          <w:tab w:val="left" w:pos="723"/>
        </w:tabs>
        <w:spacing w:line="360" w:lineRule="auto"/>
        <w:jc w:val="left"/>
        <w:rPr>
          <w:rFonts w:ascii="宋体" w:hAnsi="宋体"/>
          <w:b/>
          <w:color w:val="auto"/>
          <w:szCs w:val="21"/>
          <w:highlight w:val="none"/>
        </w:rPr>
      </w:pPr>
      <w:r>
        <w:rPr>
          <w:rFonts w:hint="eastAsia" w:ascii="宋体" w:hAnsi="宋体"/>
          <w:b/>
          <w:color w:val="auto"/>
          <w:szCs w:val="21"/>
          <w:highlight w:val="none"/>
        </w:rPr>
        <w:t>四、澄清问题的形式</w:t>
      </w:r>
    </w:p>
    <w:p w14:paraId="68C51C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8CF2055">
      <w:pPr>
        <w:spacing w:line="360" w:lineRule="auto"/>
        <w:ind w:firstLine="420" w:firstLineChars="200"/>
        <w:rPr>
          <w:rFonts w:ascii="宋体" w:hAnsi="宋体"/>
          <w:color w:val="auto"/>
          <w:szCs w:val="21"/>
          <w:highlight w:val="none"/>
        </w:rPr>
      </w:pPr>
    </w:p>
    <w:p w14:paraId="59C2CDB3">
      <w:pPr>
        <w:widowControl/>
        <w:tabs>
          <w:tab w:val="left" w:pos="0"/>
          <w:tab w:val="left" w:pos="723"/>
        </w:tabs>
        <w:spacing w:line="360" w:lineRule="auto"/>
        <w:jc w:val="left"/>
        <w:rPr>
          <w:rFonts w:ascii="宋体" w:hAnsi="宋体"/>
          <w:b/>
          <w:color w:val="auto"/>
          <w:szCs w:val="21"/>
          <w:highlight w:val="none"/>
        </w:rPr>
      </w:pPr>
      <w:r>
        <w:rPr>
          <w:rFonts w:ascii="宋体" w:hAnsi="宋体"/>
          <w:b/>
          <w:color w:val="auto"/>
          <w:szCs w:val="21"/>
          <w:highlight w:val="none"/>
        </w:rPr>
        <w:t>五</w:t>
      </w:r>
      <w:r>
        <w:rPr>
          <w:rFonts w:hint="eastAsia" w:ascii="宋体" w:hAnsi="宋体"/>
          <w:b/>
          <w:color w:val="auto"/>
          <w:szCs w:val="21"/>
          <w:highlight w:val="none"/>
        </w:rPr>
        <w:t>、</w:t>
      </w:r>
      <w:r>
        <w:rPr>
          <w:rFonts w:ascii="宋体" w:hAnsi="宋体"/>
          <w:b/>
          <w:color w:val="auto"/>
          <w:szCs w:val="21"/>
          <w:highlight w:val="none"/>
        </w:rPr>
        <w:t>错误修正</w:t>
      </w:r>
    </w:p>
    <w:p w14:paraId="3C3E09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投标文件报价出现前后不一致的，按照下列规定修正：</w:t>
      </w:r>
    </w:p>
    <w:p w14:paraId="615183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11A4FA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4EABAE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4FFC06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756BAB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同时出现两种以上不一致的，按照前款规定的顺序修正。修正后的报价按照投标文件澄清第二款的规定经投标人确认后产生约束力，投标人不确认的，其投标无效。</w:t>
      </w:r>
    </w:p>
    <w:p w14:paraId="57C1F323">
      <w:pPr>
        <w:spacing w:line="360" w:lineRule="auto"/>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七、评分标准（兼评委打分表）</w:t>
      </w:r>
    </w:p>
    <w:tbl>
      <w:tblPr>
        <w:tblStyle w:val="3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38"/>
        <w:gridCol w:w="1054"/>
        <w:gridCol w:w="6017"/>
        <w:gridCol w:w="525"/>
        <w:gridCol w:w="855"/>
      </w:tblGrid>
      <w:tr w14:paraId="5148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401" w:type="dxa"/>
            <w:gridSpan w:val="4"/>
            <w:tcBorders>
              <w:top w:val="single" w:color="auto" w:sz="4" w:space="0"/>
              <w:left w:val="single" w:color="auto" w:sz="4" w:space="0"/>
              <w:bottom w:val="single" w:color="auto" w:sz="4" w:space="0"/>
              <w:right w:val="single" w:color="auto" w:sz="2" w:space="0"/>
            </w:tcBorders>
            <w:vAlign w:val="center"/>
          </w:tcPr>
          <w:p w14:paraId="2B87E1D6">
            <w:pPr>
              <w:spacing w:before="93" w:beforeLines="30" w:line="276" w:lineRule="auto"/>
              <w:jc w:val="center"/>
              <w:rPr>
                <w:rFonts w:asciiTheme="majorEastAsia" w:hAnsiTheme="majorEastAsia" w:eastAsiaTheme="majorEastAsia"/>
                <w:snapToGrid w:val="0"/>
                <w:color w:val="auto"/>
                <w:spacing w:val="-4"/>
                <w:szCs w:val="21"/>
                <w:highlight w:val="none"/>
              </w:rPr>
            </w:pPr>
            <w:r>
              <w:rPr>
                <w:rFonts w:hint="eastAsia" w:ascii="宋体" w:hAnsi="宋体" w:eastAsia="宋体" w:cs="宋体"/>
                <w:b/>
                <w:bCs/>
                <w:snapToGrid w:val="0"/>
                <w:color w:val="auto"/>
                <w:spacing w:val="-4"/>
                <w:sz w:val="21"/>
                <w:szCs w:val="21"/>
                <w:highlight w:val="none"/>
              </w:rPr>
              <w:t>评分项及分值</w:t>
            </w:r>
          </w:p>
        </w:tc>
        <w:tc>
          <w:tcPr>
            <w:tcW w:w="525" w:type="dxa"/>
            <w:tcBorders>
              <w:top w:val="single" w:color="auto" w:sz="4" w:space="0"/>
              <w:left w:val="single" w:color="auto" w:sz="4" w:space="0"/>
              <w:bottom w:val="single" w:color="auto" w:sz="4" w:space="0"/>
              <w:right w:val="single" w:color="auto" w:sz="2" w:space="0"/>
            </w:tcBorders>
            <w:vAlign w:val="center"/>
          </w:tcPr>
          <w:p w14:paraId="1F7217A8">
            <w:pPr>
              <w:spacing w:before="93" w:beforeLines="30" w:line="276" w:lineRule="auto"/>
              <w:jc w:val="center"/>
              <w:rPr>
                <w:rFonts w:asciiTheme="majorEastAsia" w:hAnsiTheme="majorEastAsia" w:eastAsiaTheme="majorEastAsia"/>
                <w:snapToGrid w:val="0"/>
                <w:color w:val="auto"/>
                <w:spacing w:val="-4"/>
                <w:szCs w:val="21"/>
                <w:highlight w:val="none"/>
              </w:rPr>
            </w:pPr>
            <w:r>
              <w:rPr>
                <w:rFonts w:hint="eastAsia" w:ascii="宋体" w:hAnsi="宋体" w:eastAsia="宋体" w:cs="宋体"/>
                <w:b/>
                <w:bCs/>
                <w:snapToGrid w:val="0"/>
                <w:color w:val="auto"/>
                <w:spacing w:val="-4"/>
                <w:sz w:val="21"/>
                <w:szCs w:val="21"/>
                <w:highlight w:val="none"/>
              </w:rPr>
              <w:t>分值</w:t>
            </w:r>
          </w:p>
        </w:tc>
        <w:tc>
          <w:tcPr>
            <w:tcW w:w="855" w:type="dxa"/>
            <w:tcBorders>
              <w:top w:val="single" w:color="auto" w:sz="4" w:space="0"/>
              <w:left w:val="single" w:color="auto" w:sz="4" w:space="0"/>
              <w:bottom w:val="single" w:color="auto" w:sz="4" w:space="0"/>
              <w:right w:val="single" w:color="auto" w:sz="2" w:space="0"/>
            </w:tcBorders>
            <w:vAlign w:val="center"/>
          </w:tcPr>
          <w:p w14:paraId="4683BA83">
            <w:pPr>
              <w:spacing w:before="93" w:beforeLines="30" w:line="276" w:lineRule="auto"/>
              <w:jc w:val="center"/>
              <w:rPr>
                <w:rFonts w:hint="eastAsia" w:ascii="宋体" w:hAnsi="宋体" w:eastAsia="宋体" w:cs="宋体"/>
                <w:b/>
                <w:bCs/>
                <w:snapToGrid w:val="0"/>
                <w:color w:val="auto"/>
                <w:spacing w:val="-4"/>
                <w:sz w:val="21"/>
                <w:szCs w:val="21"/>
                <w:highlight w:val="none"/>
                <w:lang w:val="en-US" w:eastAsia="zh-CN"/>
              </w:rPr>
            </w:pPr>
            <w:r>
              <w:rPr>
                <w:rFonts w:hint="eastAsia" w:ascii="宋体" w:hAnsi="宋体" w:cs="宋体"/>
                <w:b/>
                <w:bCs/>
                <w:snapToGrid w:val="0"/>
                <w:color w:val="auto"/>
                <w:spacing w:val="-4"/>
                <w:sz w:val="21"/>
                <w:szCs w:val="21"/>
                <w:highlight w:val="none"/>
                <w:lang w:val="en-US" w:eastAsia="zh-CN"/>
              </w:rPr>
              <w:t>属性</w:t>
            </w:r>
          </w:p>
        </w:tc>
      </w:tr>
      <w:tr w14:paraId="6FB2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692" w:type="dxa"/>
            <w:vMerge w:val="restart"/>
            <w:tcBorders>
              <w:top w:val="single" w:color="auto" w:sz="4" w:space="0"/>
              <w:left w:val="single" w:color="auto" w:sz="4" w:space="0"/>
              <w:right w:val="single" w:color="auto" w:sz="2" w:space="0"/>
            </w:tcBorders>
            <w:vAlign w:val="center"/>
          </w:tcPr>
          <w:p w14:paraId="519CF12A">
            <w:pPr>
              <w:widowControl/>
              <w:spacing w:before="93" w:beforeLines="30" w:line="276" w:lineRule="auto"/>
              <w:jc w:val="left"/>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商务技术分</w:t>
            </w:r>
          </w:p>
          <w:p w14:paraId="1042EF97">
            <w:pPr>
              <w:widowControl/>
              <w:spacing w:before="93" w:beforeLines="30" w:line="276" w:lineRule="auto"/>
              <w:jc w:val="left"/>
              <w:rPr>
                <w:rFonts w:asciiTheme="majorEastAsia" w:hAnsiTheme="majorEastAsia" w:eastAsiaTheme="majorEastAsia"/>
                <w:snapToGrid w:val="0"/>
                <w:color w:val="auto"/>
                <w:spacing w:val="-4"/>
                <w:szCs w:val="21"/>
                <w:highlight w:val="none"/>
              </w:rPr>
            </w:pPr>
            <w:r>
              <w:rPr>
                <w:rFonts w:hint="eastAsia" w:ascii="宋体" w:hAnsi="宋体" w:eastAsia="宋体" w:cs="宋体"/>
                <w:snapToGrid w:val="0"/>
                <w:color w:val="auto"/>
                <w:spacing w:val="-4"/>
                <w:sz w:val="21"/>
                <w:szCs w:val="21"/>
                <w:highlight w:val="none"/>
              </w:rPr>
              <w:t>（满分</w:t>
            </w:r>
            <w:r>
              <w:rPr>
                <w:rFonts w:hint="eastAsia" w:ascii="宋体" w:hAnsi="宋体" w:cs="宋体"/>
                <w:snapToGrid w:val="0"/>
                <w:color w:val="auto"/>
                <w:spacing w:val="-4"/>
                <w:sz w:val="21"/>
                <w:szCs w:val="21"/>
                <w:highlight w:val="none"/>
                <w:lang w:val="en-US" w:eastAsia="zh-CN"/>
              </w:rPr>
              <w:t>90</w:t>
            </w:r>
            <w:r>
              <w:rPr>
                <w:rFonts w:hint="eastAsia" w:ascii="宋体" w:hAnsi="宋体" w:eastAsia="宋体" w:cs="宋体"/>
                <w:snapToGrid w:val="0"/>
                <w:color w:val="auto"/>
                <w:spacing w:val="-4"/>
                <w:sz w:val="21"/>
                <w:szCs w:val="21"/>
                <w:highlight w:val="none"/>
              </w:rPr>
              <w:t>分）</w:t>
            </w:r>
          </w:p>
        </w:tc>
        <w:tc>
          <w:tcPr>
            <w:tcW w:w="638" w:type="dxa"/>
            <w:vMerge w:val="restart"/>
            <w:tcBorders>
              <w:top w:val="single" w:color="auto" w:sz="4" w:space="0"/>
              <w:left w:val="single" w:color="auto" w:sz="4" w:space="0"/>
              <w:right w:val="single" w:color="auto" w:sz="2" w:space="0"/>
            </w:tcBorders>
            <w:vAlign w:val="center"/>
          </w:tcPr>
          <w:p w14:paraId="26A7547C">
            <w:pPr>
              <w:widowControl/>
              <w:spacing w:before="93" w:beforeLines="30" w:line="276" w:lineRule="auto"/>
              <w:jc w:val="left"/>
              <w:rPr>
                <w:rFonts w:asciiTheme="majorEastAsia" w:hAnsiTheme="majorEastAsia" w:eastAsiaTheme="majorEastAsia"/>
                <w:snapToGrid w:val="0"/>
                <w:color w:val="auto"/>
                <w:spacing w:val="-4"/>
                <w:szCs w:val="21"/>
                <w:highlight w:val="none"/>
              </w:rPr>
            </w:pPr>
            <w:r>
              <w:rPr>
                <w:rFonts w:hint="eastAsia" w:ascii="宋体" w:hAnsi="宋体" w:eastAsia="宋体" w:cs="宋体"/>
                <w:snapToGrid w:val="0"/>
                <w:color w:val="auto"/>
                <w:spacing w:val="-4"/>
                <w:sz w:val="21"/>
                <w:szCs w:val="21"/>
                <w:highlight w:val="none"/>
              </w:rPr>
              <w:t>商务部分（</w:t>
            </w:r>
            <w:r>
              <w:rPr>
                <w:rFonts w:hint="eastAsia" w:ascii="宋体" w:hAnsi="宋体" w:cs="宋体"/>
                <w:snapToGrid w:val="0"/>
                <w:color w:val="auto"/>
                <w:spacing w:val="-4"/>
                <w:sz w:val="21"/>
                <w:szCs w:val="21"/>
                <w:highlight w:val="none"/>
                <w:lang w:val="en-US" w:eastAsia="zh-CN"/>
              </w:rPr>
              <w:t>22分</w:t>
            </w:r>
            <w:r>
              <w:rPr>
                <w:rFonts w:hint="eastAsia" w:ascii="宋体" w:hAnsi="宋体" w:eastAsia="宋体" w:cs="宋体"/>
                <w:snapToGrid w:val="0"/>
                <w:color w:val="auto"/>
                <w:spacing w:val="-4"/>
                <w:sz w:val="21"/>
                <w:szCs w:val="21"/>
                <w:highlight w:val="none"/>
              </w:rPr>
              <w:t>）</w:t>
            </w:r>
          </w:p>
        </w:tc>
        <w:tc>
          <w:tcPr>
            <w:tcW w:w="1054" w:type="dxa"/>
            <w:tcBorders>
              <w:top w:val="single" w:color="auto" w:sz="4" w:space="0"/>
              <w:left w:val="single" w:color="auto" w:sz="4" w:space="0"/>
              <w:right w:val="single" w:color="auto" w:sz="2" w:space="0"/>
            </w:tcBorders>
            <w:vAlign w:val="center"/>
          </w:tcPr>
          <w:p w14:paraId="3E584686">
            <w:pPr>
              <w:numPr>
                <w:ilvl w:val="0"/>
                <w:numId w:val="0"/>
              </w:numPr>
              <w:spacing w:line="276" w:lineRule="auto"/>
              <w:jc w:val="left"/>
              <w:rPr>
                <w:rFonts w:asciiTheme="majorEastAsia" w:hAnsiTheme="majorEastAsia" w:eastAsiaTheme="majorEastAsia"/>
                <w:snapToGrid w:val="0"/>
                <w:color w:val="auto"/>
                <w:spacing w:val="-4"/>
                <w:szCs w:val="21"/>
                <w:highlight w:val="none"/>
              </w:rPr>
            </w:pPr>
            <w:r>
              <w:rPr>
                <w:rFonts w:hint="eastAsia" w:ascii="宋体" w:hAnsi="宋体" w:eastAsia="宋体" w:cs="宋体"/>
                <w:color w:val="auto"/>
                <w:sz w:val="21"/>
                <w:szCs w:val="21"/>
                <w:highlight w:val="none"/>
              </w:rPr>
              <w:t>投标人与本项目类似的业绩（</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017" w:type="dxa"/>
            <w:tcBorders>
              <w:top w:val="single" w:color="auto" w:sz="4" w:space="0"/>
              <w:left w:val="single" w:color="auto" w:sz="4" w:space="0"/>
              <w:bottom w:val="single" w:color="auto" w:sz="4" w:space="0"/>
              <w:right w:val="single" w:color="auto" w:sz="2" w:space="0"/>
            </w:tcBorders>
            <w:vAlign w:val="center"/>
          </w:tcPr>
          <w:p w14:paraId="7E3A2A95">
            <w:pPr>
              <w:spacing w:line="276"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月1日（含）以来</w:t>
            </w:r>
            <w:r>
              <w:rPr>
                <w:rFonts w:hint="eastAsia" w:ascii="宋体" w:hAnsi="宋体" w:cs="宋体"/>
                <w:color w:val="auto"/>
                <w:sz w:val="21"/>
                <w:szCs w:val="21"/>
                <w:highlight w:val="none"/>
                <w:lang w:eastAsia="zh-CN"/>
              </w:rPr>
              <w:t>承接过</w:t>
            </w:r>
            <w:r>
              <w:rPr>
                <w:rFonts w:hint="eastAsia" w:ascii="宋体" w:hAnsi="宋体" w:cs="宋体"/>
                <w:color w:val="auto"/>
                <w:sz w:val="21"/>
                <w:szCs w:val="21"/>
                <w:highlight w:val="none"/>
                <w:lang w:val="en-US" w:eastAsia="zh-CN"/>
              </w:rPr>
              <w:t>类似</w:t>
            </w:r>
            <w:r>
              <w:rPr>
                <w:rFonts w:hint="eastAsia" w:ascii="宋体" w:hAnsi="宋体" w:eastAsia="宋体" w:cs="宋体"/>
                <w:color w:val="auto"/>
                <w:sz w:val="21"/>
                <w:szCs w:val="21"/>
                <w:highlight w:val="none"/>
              </w:rPr>
              <w:t>项目业绩的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预算执行</w:t>
            </w:r>
            <w:r>
              <w:rPr>
                <w:rFonts w:hint="eastAsia" w:ascii="宋体" w:hAnsi="宋体" w:cs="宋体"/>
                <w:color w:val="auto"/>
                <w:sz w:val="21"/>
                <w:szCs w:val="21"/>
                <w:highlight w:val="none"/>
                <w:lang w:eastAsia="zh-CN"/>
              </w:rPr>
              <w:t>审计</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专项审计调查）</w:t>
            </w:r>
            <w:r>
              <w:rPr>
                <w:rFonts w:hint="eastAsia" w:ascii="宋体" w:hAnsi="宋体" w:eastAsia="宋体" w:cs="宋体"/>
                <w:color w:val="auto"/>
                <w:sz w:val="21"/>
                <w:szCs w:val="21"/>
                <w:highlight w:val="none"/>
              </w:rPr>
              <w:t>，每个业绩得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 xml:space="preserve">                                                  </w:t>
            </w:r>
          </w:p>
          <w:p w14:paraId="56E73061">
            <w:pPr>
              <w:spacing w:line="276" w:lineRule="auto"/>
              <w:jc w:val="left"/>
              <w:rPr>
                <w:rFonts w:ascii="宋体" w:hAnsi="宋体"/>
                <w:color w:val="auto"/>
                <w:highlight w:val="none"/>
              </w:rPr>
            </w:pPr>
            <w:r>
              <w:rPr>
                <w:rFonts w:hint="eastAsia" w:ascii="宋体" w:hAnsi="宋体" w:eastAsia="宋体" w:cs="宋体"/>
                <w:color w:val="auto"/>
                <w:sz w:val="21"/>
                <w:szCs w:val="21"/>
                <w:highlight w:val="none"/>
              </w:rPr>
              <w:t>注：提供合同复印件加盖公章，未提供的或提供资料不全的不得分。</w:t>
            </w:r>
          </w:p>
        </w:tc>
        <w:tc>
          <w:tcPr>
            <w:tcW w:w="525" w:type="dxa"/>
            <w:tcBorders>
              <w:top w:val="single" w:color="auto" w:sz="4" w:space="0"/>
              <w:left w:val="single" w:color="auto" w:sz="4" w:space="0"/>
              <w:bottom w:val="single" w:color="auto" w:sz="4" w:space="0"/>
              <w:right w:val="single" w:color="auto" w:sz="2" w:space="0"/>
            </w:tcBorders>
            <w:vAlign w:val="center"/>
          </w:tcPr>
          <w:p w14:paraId="47376A91">
            <w:pPr>
              <w:spacing w:line="276" w:lineRule="auto"/>
              <w:jc w:val="center"/>
              <w:rPr>
                <w:rFonts w:hint="default" w:asciiTheme="majorEastAsia" w:hAnsiTheme="majorEastAsia" w:eastAsiaTheme="majorEastAsia"/>
                <w:color w:val="auto"/>
                <w:szCs w:val="21"/>
                <w:highlight w:val="none"/>
                <w:lang w:val="en-US"/>
              </w:rPr>
            </w:pPr>
            <w:r>
              <w:rPr>
                <w:rFonts w:hint="eastAsia" w:ascii="宋体" w:hAnsi="宋体" w:cs="宋体"/>
                <w:color w:val="auto"/>
                <w:sz w:val="21"/>
                <w:szCs w:val="21"/>
                <w:highlight w:val="none"/>
                <w:lang w:val="en-US" w:eastAsia="zh-CN"/>
              </w:rPr>
              <w:t>1</w:t>
            </w:r>
          </w:p>
        </w:tc>
        <w:tc>
          <w:tcPr>
            <w:tcW w:w="855" w:type="dxa"/>
            <w:tcBorders>
              <w:top w:val="single" w:color="auto" w:sz="4" w:space="0"/>
              <w:left w:val="single" w:color="auto" w:sz="4" w:space="0"/>
              <w:bottom w:val="single" w:color="auto" w:sz="4" w:space="0"/>
              <w:right w:val="single" w:color="auto" w:sz="2" w:space="0"/>
            </w:tcBorders>
            <w:vAlign w:val="center"/>
          </w:tcPr>
          <w:p w14:paraId="04330925">
            <w:pPr>
              <w:spacing w:line="27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6FDC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692" w:type="dxa"/>
            <w:vMerge w:val="continue"/>
            <w:tcBorders>
              <w:left w:val="single" w:color="auto" w:sz="4" w:space="0"/>
              <w:right w:val="single" w:color="auto" w:sz="2" w:space="0"/>
            </w:tcBorders>
            <w:vAlign w:val="center"/>
          </w:tcPr>
          <w:p w14:paraId="29BB9465">
            <w:pPr>
              <w:widowControl/>
              <w:spacing w:before="93" w:beforeLines="30" w:line="276" w:lineRule="auto"/>
              <w:jc w:val="left"/>
              <w:rPr>
                <w:rFonts w:hint="eastAsia" w:ascii="宋体" w:hAnsi="宋体" w:eastAsia="宋体" w:cs="宋体"/>
                <w:snapToGrid w:val="0"/>
                <w:color w:val="auto"/>
                <w:spacing w:val="-4"/>
                <w:sz w:val="21"/>
                <w:szCs w:val="21"/>
                <w:highlight w:val="none"/>
              </w:rPr>
            </w:pPr>
          </w:p>
        </w:tc>
        <w:tc>
          <w:tcPr>
            <w:tcW w:w="638" w:type="dxa"/>
            <w:vMerge w:val="continue"/>
            <w:tcBorders>
              <w:left w:val="single" w:color="auto" w:sz="4" w:space="0"/>
              <w:right w:val="single" w:color="auto" w:sz="2" w:space="0"/>
            </w:tcBorders>
            <w:vAlign w:val="center"/>
          </w:tcPr>
          <w:p w14:paraId="6F2B3E84">
            <w:pPr>
              <w:widowControl/>
              <w:spacing w:before="93" w:beforeLines="30" w:line="276" w:lineRule="auto"/>
              <w:jc w:val="left"/>
              <w:rPr>
                <w:rFonts w:hint="eastAsia" w:ascii="宋体" w:hAnsi="宋体" w:eastAsia="宋体" w:cs="宋体"/>
                <w:snapToGrid w:val="0"/>
                <w:color w:val="auto"/>
                <w:spacing w:val="-4"/>
                <w:sz w:val="21"/>
                <w:szCs w:val="21"/>
                <w:highlight w:val="none"/>
              </w:rPr>
            </w:pPr>
          </w:p>
        </w:tc>
        <w:tc>
          <w:tcPr>
            <w:tcW w:w="1054" w:type="dxa"/>
            <w:tcBorders>
              <w:top w:val="single" w:color="auto" w:sz="4" w:space="0"/>
              <w:left w:val="single" w:color="auto" w:sz="4" w:space="0"/>
              <w:right w:val="single" w:color="auto" w:sz="2" w:space="0"/>
            </w:tcBorders>
            <w:vAlign w:val="center"/>
          </w:tcPr>
          <w:p w14:paraId="3451DBCB">
            <w:pPr>
              <w:widowControl/>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企业资信实力（</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6017" w:type="dxa"/>
            <w:tcBorders>
              <w:top w:val="single" w:color="auto" w:sz="4" w:space="0"/>
              <w:left w:val="single" w:color="auto" w:sz="4" w:space="0"/>
              <w:bottom w:val="single" w:color="auto" w:sz="4" w:space="0"/>
              <w:right w:val="single" w:color="auto" w:sz="2" w:space="0"/>
            </w:tcBorders>
            <w:vAlign w:val="center"/>
          </w:tcPr>
          <w:p w14:paraId="0A99E32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月1日以来（以证书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奖牌</w:t>
            </w:r>
            <w:r>
              <w:rPr>
                <w:rFonts w:hint="eastAsia" w:ascii="宋体" w:hAnsi="宋体" w:cs="宋体"/>
                <w:color w:val="auto"/>
                <w:szCs w:val="21"/>
                <w:highlight w:val="none"/>
                <w:lang w:eastAsia="zh-CN"/>
              </w:rPr>
              <w:t>、发文</w:t>
            </w:r>
            <w:r>
              <w:rPr>
                <w:rFonts w:hint="eastAsia" w:ascii="宋体" w:hAnsi="宋体" w:eastAsia="宋体" w:cs="宋体"/>
                <w:color w:val="auto"/>
                <w:szCs w:val="21"/>
                <w:highlight w:val="none"/>
              </w:rPr>
              <w:t>的时间为准）投标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获得省级及以上政府行政职能部门或行业主管部门授予的荣誉或奖项的每项得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14:paraId="087FCE3E">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：提供证书</w:t>
            </w:r>
            <w:r>
              <w:rPr>
                <w:rFonts w:hint="eastAsia" w:ascii="宋体" w:hAnsi="宋体" w:cs="宋体"/>
                <w:color w:val="auto"/>
                <w:szCs w:val="21"/>
                <w:highlight w:val="none"/>
                <w:lang w:eastAsia="zh-CN"/>
              </w:rPr>
              <w:t>或</w:t>
            </w:r>
            <w:r>
              <w:rPr>
                <w:rFonts w:hint="eastAsia" w:ascii="宋体" w:hAnsi="宋体" w:eastAsia="宋体" w:cs="宋体"/>
                <w:color w:val="auto"/>
                <w:szCs w:val="21"/>
                <w:highlight w:val="none"/>
              </w:rPr>
              <w:t>奖牌</w:t>
            </w:r>
            <w:r>
              <w:rPr>
                <w:rFonts w:hint="eastAsia" w:ascii="宋体" w:hAnsi="宋体" w:cs="宋体"/>
                <w:color w:val="auto"/>
                <w:szCs w:val="21"/>
                <w:highlight w:val="none"/>
                <w:lang w:eastAsia="zh-CN"/>
              </w:rPr>
              <w:t>或有效文件的</w:t>
            </w:r>
            <w:r>
              <w:rPr>
                <w:rFonts w:hint="eastAsia" w:ascii="宋体" w:hAnsi="宋体" w:eastAsia="宋体" w:cs="宋体"/>
                <w:color w:val="auto"/>
                <w:szCs w:val="21"/>
                <w:highlight w:val="none"/>
              </w:rPr>
              <w:t>扫描件，</w:t>
            </w:r>
            <w:r>
              <w:rPr>
                <w:rFonts w:hint="eastAsia" w:ascii="宋体" w:hAnsi="宋体" w:eastAsia="宋体" w:cs="宋体"/>
                <w:color w:val="auto"/>
                <w:sz w:val="21"/>
                <w:szCs w:val="21"/>
                <w:highlight w:val="none"/>
              </w:rPr>
              <w:t>未提供的或提供资料不全的不得分。</w:t>
            </w:r>
          </w:p>
        </w:tc>
        <w:tc>
          <w:tcPr>
            <w:tcW w:w="525" w:type="dxa"/>
            <w:tcBorders>
              <w:top w:val="single" w:color="auto" w:sz="4" w:space="0"/>
              <w:left w:val="single" w:color="auto" w:sz="4" w:space="0"/>
              <w:bottom w:val="single" w:color="auto" w:sz="4" w:space="0"/>
              <w:right w:val="single" w:color="auto" w:sz="2" w:space="0"/>
            </w:tcBorders>
            <w:vAlign w:val="center"/>
          </w:tcPr>
          <w:p w14:paraId="63E754CB">
            <w:pPr>
              <w:spacing w:line="27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55" w:type="dxa"/>
            <w:tcBorders>
              <w:top w:val="single" w:color="auto" w:sz="4" w:space="0"/>
              <w:left w:val="single" w:color="auto" w:sz="4" w:space="0"/>
              <w:bottom w:val="single" w:color="auto" w:sz="4" w:space="0"/>
              <w:right w:val="single" w:color="auto" w:sz="2" w:space="0"/>
            </w:tcBorders>
            <w:vAlign w:val="center"/>
          </w:tcPr>
          <w:p w14:paraId="6BB94C52">
            <w:pPr>
              <w:spacing w:line="276"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34C0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692" w:type="dxa"/>
            <w:vMerge w:val="continue"/>
            <w:tcBorders>
              <w:left w:val="single" w:color="auto" w:sz="4" w:space="0"/>
              <w:right w:val="single" w:color="auto" w:sz="2" w:space="0"/>
            </w:tcBorders>
            <w:vAlign w:val="center"/>
          </w:tcPr>
          <w:p w14:paraId="5B500CD6">
            <w:pPr>
              <w:widowControl/>
              <w:spacing w:before="93" w:beforeLines="30" w:after="240" w:line="276" w:lineRule="auto"/>
              <w:jc w:val="left"/>
              <w:rPr>
                <w:rFonts w:hint="eastAsia" w:asciiTheme="majorEastAsia" w:hAnsiTheme="majorEastAsia" w:eastAsiaTheme="majorEastAsia"/>
                <w:snapToGrid w:val="0"/>
                <w:color w:val="auto"/>
                <w:spacing w:val="-4"/>
                <w:szCs w:val="21"/>
                <w:highlight w:val="none"/>
              </w:rPr>
            </w:pPr>
          </w:p>
        </w:tc>
        <w:tc>
          <w:tcPr>
            <w:tcW w:w="638" w:type="dxa"/>
            <w:vMerge w:val="continue"/>
            <w:tcBorders>
              <w:left w:val="single" w:color="auto" w:sz="4" w:space="0"/>
              <w:right w:val="single" w:color="auto" w:sz="2" w:space="0"/>
            </w:tcBorders>
            <w:vAlign w:val="center"/>
          </w:tcPr>
          <w:p w14:paraId="21DFA825">
            <w:pPr>
              <w:widowControl/>
              <w:spacing w:before="93" w:beforeLines="30" w:after="240" w:line="276" w:lineRule="auto"/>
              <w:jc w:val="left"/>
              <w:rPr>
                <w:rFonts w:hint="eastAsia" w:asciiTheme="majorEastAsia" w:hAnsiTheme="majorEastAsia" w:eastAsiaTheme="majorEastAsia"/>
                <w:snapToGrid w:val="0"/>
                <w:color w:val="auto"/>
                <w:spacing w:val="-4"/>
                <w:szCs w:val="21"/>
                <w:highlight w:val="none"/>
              </w:rPr>
            </w:pPr>
          </w:p>
        </w:tc>
        <w:tc>
          <w:tcPr>
            <w:tcW w:w="1054" w:type="dxa"/>
            <w:vMerge w:val="restart"/>
            <w:tcBorders>
              <w:left w:val="single" w:color="auto" w:sz="4" w:space="0"/>
              <w:right w:val="single" w:color="auto" w:sz="2" w:space="0"/>
            </w:tcBorders>
            <w:vAlign w:val="center"/>
          </w:tcPr>
          <w:p w14:paraId="71FD886D">
            <w:pPr>
              <w:widowControl/>
              <w:spacing w:line="276" w:lineRule="auto"/>
              <w:rPr>
                <w:rFonts w:hint="eastAsia" w:asciiTheme="majorEastAsia" w:hAnsiTheme="majorEastAsia" w:eastAsiaTheme="majorEastAsia"/>
                <w:snapToGrid w:val="0"/>
                <w:color w:val="auto"/>
                <w:spacing w:val="-4"/>
                <w:szCs w:val="21"/>
                <w:highlight w:val="none"/>
              </w:rPr>
            </w:pPr>
            <w:r>
              <w:rPr>
                <w:rFonts w:hint="eastAsia" w:ascii="宋体" w:hAnsi="宋体" w:eastAsia="宋体" w:cs="宋体"/>
                <w:color w:val="auto"/>
                <w:sz w:val="21"/>
                <w:szCs w:val="21"/>
                <w:highlight w:val="none"/>
              </w:rPr>
              <w:t>拟投入本项目的人员资格和能力（1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6017" w:type="dxa"/>
            <w:tcBorders>
              <w:top w:val="single" w:color="auto" w:sz="4" w:space="0"/>
              <w:left w:val="single" w:color="auto" w:sz="4" w:space="0"/>
              <w:bottom w:val="single" w:color="auto" w:sz="4" w:space="0"/>
              <w:right w:val="single" w:color="auto" w:sz="2" w:space="0"/>
            </w:tcBorders>
            <w:vAlign w:val="center"/>
          </w:tcPr>
          <w:p w14:paraId="6A9B3410">
            <w:pPr>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①项目负责人自</w:t>
            </w:r>
            <w:r>
              <w:rPr>
                <w:rFonts w:hint="eastAsia" w:ascii="宋体" w:hAnsi="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月1日至今</w:t>
            </w:r>
            <w:r>
              <w:rPr>
                <w:rFonts w:hint="eastAsia" w:ascii="宋体" w:hAnsi="宋体" w:cs="宋体"/>
                <w:color w:val="auto"/>
                <w:sz w:val="21"/>
                <w:szCs w:val="21"/>
                <w:highlight w:val="none"/>
                <w:lang w:eastAsia="zh-CN"/>
              </w:rPr>
              <w:t>以</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eastAsia="zh-CN"/>
              </w:rPr>
              <w:t>身份</w:t>
            </w:r>
            <w:r>
              <w:rPr>
                <w:rFonts w:hint="eastAsia" w:ascii="宋体" w:hAnsi="宋体" w:eastAsia="宋体" w:cs="宋体"/>
                <w:color w:val="auto"/>
                <w:sz w:val="21"/>
                <w:szCs w:val="21"/>
                <w:highlight w:val="none"/>
              </w:rPr>
              <w:t>参与</w:t>
            </w:r>
            <w:r>
              <w:rPr>
                <w:rFonts w:hint="eastAsia" w:ascii="宋体" w:hAnsi="宋体" w:cs="宋体"/>
                <w:color w:val="auto"/>
                <w:sz w:val="21"/>
                <w:szCs w:val="21"/>
                <w:highlight w:val="none"/>
                <w:lang w:eastAsia="zh-CN"/>
              </w:rPr>
              <w:t>过</w:t>
            </w:r>
            <w:r>
              <w:rPr>
                <w:rFonts w:hint="eastAsia" w:ascii="宋体" w:hAnsi="宋体" w:eastAsia="宋体" w:cs="宋体"/>
                <w:color w:val="auto"/>
                <w:sz w:val="21"/>
                <w:szCs w:val="21"/>
                <w:highlight w:val="none"/>
              </w:rPr>
              <w:t>预算执行审计</w:t>
            </w:r>
            <w:r>
              <w:rPr>
                <w:rFonts w:hint="eastAsia" w:ascii="宋体" w:hAnsi="宋体" w:cs="宋体"/>
                <w:color w:val="auto"/>
                <w:sz w:val="21"/>
                <w:szCs w:val="21"/>
                <w:highlight w:val="none"/>
                <w:lang w:eastAsia="zh-CN"/>
              </w:rPr>
              <w:t>或专项审计调查</w:t>
            </w:r>
            <w:r>
              <w:rPr>
                <w:rFonts w:hint="eastAsia" w:ascii="宋体" w:hAnsi="宋体" w:eastAsia="宋体" w:cs="宋体"/>
                <w:color w:val="auto"/>
                <w:sz w:val="21"/>
                <w:szCs w:val="21"/>
                <w:highlight w:val="none"/>
              </w:rPr>
              <w:t>项目的，每</w:t>
            </w:r>
            <w:r>
              <w:rPr>
                <w:rFonts w:hint="eastAsia" w:ascii="宋体" w:hAnsi="宋体" w:cs="宋体"/>
                <w:color w:val="auto"/>
                <w:sz w:val="21"/>
                <w:szCs w:val="21"/>
                <w:highlight w:val="none"/>
                <w:lang w:eastAsia="zh-CN"/>
              </w:rPr>
              <w:t>有</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个项目得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99550EF">
            <w:pPr>
              <w:spacing w:line="276"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除项目负责人之外的拟投入人员，自</w:t>
            </w:r>
            <w:r>
              <w:rPr>
                <w:rFonts w:hint="eastAsia" w:ascii="宋体" w:hAnsi="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月1日至今参与</w:t>
            </w:r>
            <w:r>
              <w:rPr>
                <w:rFonts w:hint="eastAsia" w:ascii="宋体" w:hAnsi="宋体" w:cs="宋体"/>
                <w:color w:val="auto"/>
                <w:sz w:val="21"/>
                <w:szCs w:val="21"/>
                <w:highlight w:val="none"/>
                <w:lang w:eastAsia="zh-CN"/>
              </w:rPr>
              <w:t>过</w:t>
            </w:r>
            <w:r>
              <w:rPr>
                <w:rFonts w:hint="eastAsia" w:ascii="宋体" w:hAnsi="宋体" w:eastAsia="宋体" w:cs="宋体"/>
                <w:color w:val="auto"/>
                <w:sz w:val="21"/>
                <w:szCs w:val="21"/>
                <w:highlight w:val="none"/>
              </w:rPr>
              <w:t>预算执行审计</w:t>
            </w:r>
            <w:r>
              <w:rPr>
                <w:rFonts w:hint="eastAsia" w:ascii="宋体" w:hAnsi="宋体" w:cs="宋体"/>
                <w:color w:val="auto"/>
                <w:sz w:val="21"/>
                <w:szCs w:val="21"/>
                <w:highlight w:val="none"/>
                <w:lang w:eastAsia="zh-CN"/>
              </w:rPr>
              <w:t>或专项审计调查</w:t>
            </w:r>
            <w:r>
              <w:rPr>
                <w:rFonts w:hint="eastAsia" w:ascii="宋体" w:hAnsi="宋体" w:eastAsia="宋体" w:cs="宋体"/>
                <w:color w:val="auto"/>
                <w:sz w:val="21"/>
                <w:szCs w:val="21"/>
                <w:highlight w:val="none"/>
              </w:rPr>
              <w:t>项目的，一人次得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分，同一人员最高得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分，不同人员得分可以累加，累计得分不超过</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32A93C8">
            <w:pPr>
              <w:widowControl/>
              <w:spacing w:line="276" w:lineRule="auto"/>
              <w:rPr>
                <w:rFonts w:hint="eastAsia" w:ascii="宋体" w:hAnsi="宋体"/>
                <w:color w:val="auto"/>
                <w:highlight w:val="none"/>
              </w:rPr>
            </w:pPr>
            <w:r>
              <w:rPr>
                <w:rFonts w:hint="eastAsia" w:ascii="宋体" w:hAnsi="宋体" w:cs="宋体"/>
                <w:color w:val="auto"/>
                <w:sz w:val="21"/>
                <w:szCs w:val="21"/>
                <w:highlight w:val="none"/>
                <w:lang w:val="en-US" w:eastAsia="zh-CN"/>
              </w:rPr>
              <w:t>注:提供</w:t>
            </w:r>
            <w:r>
              <w:rPr>
                <w:rFonts w:hint="eastAsia" w:ascii="宋体" w:hAnsi="宋体" w:eastAsia="宋体" w:cs="宋体"/>
                <w:color w:val="auto"/>
                <w:sz w:val="21"/>
                <w:szCs w:val="21"/>
                <w:highlight w:val="none"/>
              </w:rPr>
              <w:t>委托协议书（</w:t>
            </w:r>
            <w:r>
              <w:rPr>
                <w:rFonts w:hint="eastAsia" w:ascii="宋体" w:hAnsi="宋体" w:cs="宋体"/>
                <w:color w:val="auto"/>
                <w:sz w:val="21"/>
                <w:szCs w:val="21"/>
                <w:highlight w:val="none"/>
                <w:lang w:eastAsia="zh-CN"/>
              </w:rPr>
              <w:t>或</w:t>
            </w:r>
            <w:r>
              <w:rPr>
                <w:rFonts w:hint="eastAsia" w:ascii="宋体" w:hAnsi="宋体" w:eastAsia="宋体" w:cs="宋体"/>
                <w:color w:val="auto"/>
                <w:sz w:val="21"/>
                <w:szCs w:val="21"/>
                <w:highlight w:val="none"/>
              </w:rPr>
              <w:t>合同）、审计通知书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或中标通知书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。上述信息未能显示评审因素的，需提供审计</w:t>
            </w:r>
            <w:r>
              <w:rPr>
                <w:rFonts w:hint="eastAsia" w:ascii="宋体" w:hAnsi="宋体" w:cs="宋体"/>
                <w:color w:val="auto"/>
                <w:sz w:val="21"/>
                <w:szCs w:val="21"/>
                <w:highlight w:val="none"/>
                <w:lang w:eastAsia="zh-CN"/>
              </w:rPr>
              <w:t>部门</w:t>
            </w:r>
            <w:r>
              <w:rPr>
                <w:rFonts w:hint="eastAsia" w:ascii="宋体" w:hAnsi="宋体" w:eastAsia="宋体" w:cs="宋体"/>
                <w:color w:val="auto"/>
                <w:sz w:val="21"/>
                <w:szCs w:val="21"/>
                <w:highlight w:val="none"/>
              </w:rPr>
              <w:t>证明资料。所有以上证明材料均需</w:t>
            </w:r>
            <w:r>
              <w:rPr>
                <w:rFonts w:hint="eastAsia" w:ascii="宋体" w:hAnsi="宋体" w:cs="宋体"/>
                <w:color w:val="auto"/>
                <w:sz w:val="21"/>
                <w:szCs w:val="21"/>
                <w:highlight w:val="none"/>
                <w:lang w:eastAsia="zh-CN"/>
              </w:rPr>
              <w:t>提供</w:t>
            </w:r>
            <w:r>
              <w:rPr>
                <w:rFonts w:hint="eastAsia" w:ascii="宋体" w:hAnsi="宋体" w:eastAsia="宋体" w:cs="宋体"/>
                <w:color w:val="auto"/>
                <w:sz w:val="21"/>
                <w:szCs w:val="21"/>
                <w:highlight w:val="none"/>
              </w:rPr>
              <w:t>证明单位公章</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未提供的或提供资料不全的不得分。</w:t>
            </w:r>
          </w:p>
        </w:tc>
        <w:tc>
          <w:tcPr>
            <w:tcW w:w="525" w:type="dxa"/>
            <w:tcBorders>
              <w:top w:val="single" w:color="auto" w:sz="4" w:space="0"/>
              <w:left w:val="single" w:color="auto" w:sz="4" w:space="0"/>
              <w:bottom w:val="single" w:color="auto" w:sz="4" w:space="0"/>
              <w:right w:val="single" w:color="auto" w:sz="2" w:space="0"/>
            </w:tcBorders>
            <w:vAlign w:val="center"/>
          </w:tcPr>
          <w:p w14:paraId="6EAE0A1C">
            <w:pPr>
              <w:widowControl/>
              <w:spacing w:line="276" w:lineRule="auto"/>
              <w:jc w:val="center"/>
              <w:rPr>
                <w:rFonts w:hint="default" w:eastAsia="宋体" w:asciiTheme="majorEastAsia" w:hAnsiTheme="majorEastAsia"/>
                <w:color w:val="auto"/>
                <w:szCs w:val="21"/>
                <w:highlight w:val="none"/>
                <w:lang w:val="en-US" w:eastAsia="zh-CN"/>
              </w:rPr>
            </w:pPr>
            <w:r>
              <w:rPr>
                <w:rFonts w:hint="eastAsia" w:ascii="宋体" w:hAnsi="宋体" w:cs="宋体"/>
                <w:color w:val="auto"/>
                <w:sz w:val="21"/>
                <w:szCs w:val="21"/>
                <w:highlight w:val="none"/>
                <w:lang w:val="en-US" w:eastAsia="zh-CN"/>
              </w:rPr>
              <w:t>10</w:t>
            </w:r>
          </w:p>
        </w:tc>
        <w:tc>
          <w:tcPr>
            <w:tcW w:w="855" w:type="dxa"/>
            <w:tcBorders>
              <w:top w:val="single" w:color="auto" w:sz="4" w:space="0"/>
              <w:left w:val="single" w:color="auto" w:sz="4" w:space="0"/>
              <w:bottom w:val="single" w:color="auto" w:sz="4" w:space="0"/>
              <w:right w:val="single" w:color="auto" w:sz="2" w:space="0"/>
            </w:tcBorders>
            <w:vAlign w:val="center"/>
          </w:tcPr>
          <w:p w14:paraId="10759A23">
            <w:pPr>
              <w:widowControl/>
              <w:spacing w:line="276"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客观分</w:t>
            </w:r>
          </w:p>
        </w:tc>
      </w:tr>
      <w:tr w14:paraId="010E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jc w:val="center"/>
        </w:trPr>
        <w:tc>
          <w:tcPr>
            <w:tcW w:w="692" w:type="dxa"/>
            <w:vMerge w:val="continue"/>
            <w:tcBorders>
              <w:left w:val="single" w:color="auto" w:sz="4" w:space="0"/>
              <w:right w:val="single" w:color="auto" w:sz="2" w:space="0"/>
            </w:tcBorders>
            <w:vAlign w:val="center"/>
          </w:tcPr>
          <w:p w14:paraId="497E0D97">
            <w:pPr>
              <w:widowControl/>
              <w:spacing w:before="93" w:beforeLines="30" w:after="240" w:line="276" w:lineRule="auto"/>
              <w:jc w:val="left"/>
              <w:rPr>
                <w:rFonts w:hint="eastAsia" w:asciiTheme="majorEastAsia" w:hAnsiTheme="majorEastAsia" w:eastAsiaTheme="majorEastAsia"/>
                <w:snapToGrid w:val="0"/>
                <w:color w:val="auto"/>
                <w:spacing w:val="-4"/>
                <w:szCs w:val="21"/>
                <w:highlight w:val="none"/>
              </w:rPr>
            </w:pPr>
          </w:p>
        </w:tc>
        <w:tc>
          <w:tcPr>
            <w:tcW w:w="638" w:type="dxa"/>
            <w:vMerge w:val="continue"/>
            <w:tcBorders>
              <w:left w:val="single" w:color="auto" w:sz="4" w:space="0"/>
              <w:right w:val="single" w:color="auto" w:sz="2" w:space="0"/>
            </w:tcBorders>
            <w:vAlign w:val="center"/>
          </w:tcPr>
          <w:p w14:paraId="6AE0E64C">
            <w:pPr>
              <w:widowControl/>
              <w:spacing w:before="93" w:beforeLines="30" w:after="240" w:line="276" w:lineRule="auto"/>
              <w:jc w:val="left"/>
              <w:rPr>
                <w:rFonts w:hint="eastAsia" w:asciiTheme="majorEastAsia" w:hAnsiTheme="majorEastAsia" w:eastAsiaTheme="majorEastAsia"/>
                <w:snapToGrid w:val="0"/>
                <w:color w:val="auto"/>
                <w:spacing w:val="-4"/>
                <w:szCs w:val="21"/>
                <w:highlight w:val="none"/>
              </w:rPr>
            </w:pPr>
          </w:p>
        </w:tc>
        <w:tc>
          <w:tcPr>
            <w:tcW w:w="1054" w:type="dxa"/>
            <w:vMerge w:val="continue"/>
            <w:tcBorders>
              <w:left w:val="single" w:color="auto" w:sz="4" w:space="0"/>
              <w:right w:val="single" w:color="auto" w:sz="2" w:space="0"/>
            </w:tcBorders>
            <w:vAlign w:val="center"/>
          </w:tcPr>
          <w:p w14:paraId="269230E8">
            <w:pPr>
              <w:widowControl/>
              <w:spacing w:line="276" w:lineRule="auto"/>
              <w:rPr>
                <w:rFonts w:hint="eastAsia" w:asciiTheme="majorEastAsia" w:hAnsiTheme="majorEastAsia" w:eastAsiaTheme="majorEastAsia"/>
                <w:snapToGrid w:val="0"/>
                <w:color w:val="auto"/>
                <w:spacing w:val="-4"/>
                <w:szCs w:val="21"/>
                <w:highlight w:val="none"/>
              </w:rPr>
            </w:pPr>
          </w:p>
        </w:tc>
        <w:tc>
          <w:tcPr>
            <w:tcW w:w="6017" w:type="dxa"/>
            <w:tcBorders>
              <w:top w:val="single" w:color="auto" w:sz="4" w:space="0"/>
              <w:left w:val="single" w:color="auto" w:sz="4" w:space="0"/>
              <w:bottom w:val="single" w:color="auto" w:sz="4" w:space="0"/>
              <w:right w:val="single" w:color="auto" w:sz="2" w:space="0"/>
            </w:tcBorders>
            <w:vAlign w:val="center"/>
          </w:tcPr>
          <w:p w14:paraId="77407E1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①项目负责人</w:t>
            </w:r>
            <w:r>
              <w:rPr>
                <w:rFonts w:hint="eastAsia" w:ascii="宋体" w:hAnsi="宋体" w:cs="宋体"/>
                <w:color w:val="auto"/>
                <w:sz w:val="21"/>
                <w:szCs w:val="21"/>
                <w:highlight w:val="none"/>
                <w:lang w:eastAsia="zh-CN"/>
              </w:rPr>
              <w:t>同时具</w:t>
            </w:r>
            <w:r>
              <w:rPr>
                <w:rFonts w:hint="eastAsia" w:ascii="宋体" w:hAnsi="宋体" w:cs="宋体"/>
                <w:color w:val="auto"/>
                <w:sz w:val="21"/>
                <w:szCs w:val="21"/>
                <w:highlight w:val="none"/>
                <w:lang w:val="en-US" w:eastAsia="zh-CN"/>
              </w:rPr>
              <w:t>有</w:t>
            </w:r>
            <w:r>
              <w:rPr>
                <w:rFonts w:hint="eastAsia" w:ascii="宋体" w:hAnsi="宋体" w:eastAsia="宋体" w:cs="宋体"/>
                <w:color w:val="auto"/>
                <w:sz w:val="21"/>
                <w:szCs w:val="21"/>
                <w:highlight w:val="none"/>
              </w:rPr>
              <w:t>注册（或取得）的注册造价工程师（一级造价工程师）及工程造价专业高级职称的得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637F6C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②除项目负责人之外的拟投入人员：具有注册造价工程师（一级造价工程师）或</w:t>
            </w:r>
            <w:r>
              <w:rPr>
                <w:rFonts w:hint="eastAsia" w:ascii="宋体" w:hAnsi="宋体" w:cs="宋体"/>
                <w:color w:val="auto"/>
                <w:sz w:val="21"/>
                <w:szCs w:val="21"/>
                <w:highlight w:val="none"/>
                <w:lang w:val="en-US" w:eastAsia="zh-CN"/>
              </w:rPr>
              <w:t>注册会计师资格</w:t>
            </w:r>
            <w:r>
              <w:rPr>
                <w:rFonts w:hint="eastAsia" w:ascii="宋体" w:hAnsi="宋体" w:eastAsia="宋体" w:cs="宋体"/>
                <w:color w:val="auto"/>
                <w:sz w:val="21"/>
                <w:szCs w:val="21"/>
                <w:highlight w:val="none"/>
              </w:rPr>
              <w:t>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分，累计不超出</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BAB71E8">
            <w:pPr>
              <w:widowControl/>
              <w:spacing w:line="276" w:lineRule="auto"/>
              <w:jc w:val="left"/>
              <w:rPr>
                <w:rFonts w:hint="eastAsia" w:ascii="Arial" w:hAnsi="Arial" w:eastAsia="宋体" w:cs="Arial"/>
                <w:bCs/>
                <w:color w:val="auto"/>
                <w:kern w:val="2"/>
                <w:sz w:val="21"/>
                <w:szCs w:val="21"/>
                <w:highlight w:val="none"/>
                <w:lang w:val="en-US" w:eastAsia="zh-CN" w:bidi="ar-SA"/>
              </w:rPr>
            </w:pPr>
            <w:r>
              <w:rPr>
                <w:rFonts w:hint="eastAsia" w:ascii="宋体" w:hAnsi="宋体" w:eastAsia="宋体" w:cs="宋体"/>
                <w:color w:val="auto"/>
                <w:sz w:val="21"/>
                <w:szCs w:val="21"/>
                <w:highlight w:val="none"/>
              </w:rPr>
              <w:t>注：须提供拟派专业技术人员的注册造价工程师（一级造价工程师）注册证书</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rPr>
              <w:t>相关个人执业证明材料的复印件；同时提供开标前1个月的社保缴纳凭证复印件，且该凭证上的单位名称与投标人名称一致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未提供的或提供资料不全的不得分。</w:t>
            </w:r>
          </w:p>
        </w:tc>
        <w:tc>
          <w:tcPr>
            <w:tcW w:w="525" w:type="dxa"/>
            <w:tcBorders>
              <w:top w:val="single" w:color="auto" w:sz="4" w:space="0"/>
              <w:left w:val="single" w:color="auto" w:sz="4" w:space="0"/>
              <w:bottom w:val="single" w:color="auto" w:sz="4" w:space="0"/>
              <w:right w:val="single" w:color="auto" w:sz="2" w:space="0"/>
            </w:tcBorders>
            <w:vAlign w:val="center"/>
          </w:tcPr>
          <w:p w14:paraId="7CA404EB">
            <w:pPr>
              <w:widowControl/>
              <w:spacing w:line="276" w:lineRule="auto"/>
              <w:jc w:val="center"/>
              <w:rPr>
                <w:rFonts w:hint="eastAsia" w:eastAsia="宋体" w:cs="Times New Roman" w:asciiTheme="majorEastAsia" w:hAnsiTheme="maj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855" w:type="dxa"/>
            <w:tcBorders>
              <w:top w:val="single" w:color="auto" w:sz="4" w:space="0"/>
              <w:left w:val="single" w:color="auto" w:sz="4" w:space="0"/>
              <w:bottom w:val="single" w:color="auto" w:sz="4" w:space="0"/>
              <w:right w:val="single" w:color="auto" w:sz="2" w:space="0"/>
            </w:tcBorders>
            <w:vAlign w:val="center"/>
          </w:tcPr>
          <w:p w14:paraId="74F70BCA">
            <w:pPr>
              <w:widowControl/>
              <w:spacing w:line="276"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客观分</w:t>
            </w:r>
          </w:p>
        </w:tc>
      </w:tr>
      <w:tr w14:paraId="2C9D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692" w:type="dxa"/>
            <w:vMerge w:val="continue"/>
            <w:tcBorders>
              <w:left w:val="single" w:color="auto" w:sz="4" w:space="0"/>
              <w:right w:val="single" w:color="auto" w:sz="2" w:space="0"/>
            </w:tcBorders>
            <w:vAlign w:val="center"/>
          </w:tcPr>
          <w:p w14:paraId="7AEB697B">
            <w:pPr>
              <w:widowControl/>
              <w:spacing w:before="93" w:beforeLines="30" w:after="240" w:line="276" w:lineRule="auto"/>
              <w:jc w:val="left"/>
              <w:rPr>
                <w:rFonts w:hint="eastAsia" w:asciiTheme="majorEastAsia" w:hAnsiTheme="majorEastAsia" w:eastAsiaTheme="majorEastAsia"/>
                <w:snapToGrid w:val="0"/>
                <w:color w:val="auto"/>
                <w:spacing w:val="-4"/>
                <w:szCs w:val="21"/>
                <w:highlight w:val="none"/>
              </w:rPr>
            </w:pPr>
          </w:p>
        </w:tc>
        <w:tc>
          <w:tcPr>
            <w:tcW w:w="638" w:type="dxa"/>
            <w:vMerge w:val="restart"/>
            <w:tcBorders>
              <w:left w:val="single" w:color="auto" w:sz="4" w:space="0"/>
              <w:right w:val="single" w:color="auto" w:sz="2" w:space="0"/>
            </w:tcBorders>
            <w:vAlign w:val="center"/>
          </w:tcPr>
          <w:p w14:paraId="7E6BCD45">
            <w:pPr>
              <w:spacing w:before="93" w:beforeLines="30" w:line="276" w:lineRule="auto"/>
              <w:rPr>
                <w:rFonts w:hint="eastAsia" w:asciiTheme="majorEastAsia" w:hAnsiTheme="majorEastAsia" w:eastAsiaTheme="majorEastAsia"/>
                <w:snapToGrid w:val="0"/>
                <w:color w:val="auto"/>
                <w:spacing w:val="-4"/>
                <w:szCs w:val="21"/>
                <w:highlight w:val="none"/>
              </w:rPr>
            </w:pPr>
            <w:r>
              <w:rPr>
                <w:rFonts w:hint="eastAsia" w:ascii="宋体" w:hAnsi="宋体" w:eastAsia="宋体" w:cs="宋体"/>
                <w:snapToGrid w:val="0"/>
                <w:color w:val="auto"/>
                <w:spacing w:val="-4"/>
                <w:sz w:val="21"/>
                <w:szCs w:val="21"/>
                <w:highlight w:val="none"/>
              </w:rPr>
              <w:t>技术部分（</w:t>
            </w:r>
            <w:r>
              <w:rPr>
                <w:rFonts w:hint="eastAsia" w:ascii="宋体" w:hAnsi="宋体" w:cs="宋体"/>
                <w:snapToGrid w:val="0"/>
                <w:color w:val="auto"/>
                <w:spacing w:val="-4"/>
                <w:sz w:val="21"/>
                <w:szCs w:val="21"/>
                <w:highlight w:val="none"/>
                <w:lang w:val="en-US" w:eastAsia="zh-CN"/>
              </w:rPr>
              <w:t>68</w:t>
            </w:r>
            <w:r>
              <w:rPr>
                <w:rFonts w:hint="eastAsia" w:ascii="宋体" w:hAnsi="宋体" w:eastAsia="宋体" w:cs="宋体"/>
                <w:snapToGrid w:val="0"/>
                <w:color w:val="auto"/>
                <w:spacing w:val="-4"/>
                <w:sz w:val="21"/>
                <w:szCs w:val="21"/>
                <w:highlight w:val="none"/>
              </w:rPr>
              <w:t>分）</w:t>
            </w:r>
          </w:p>
        </w:tc>
        <w:tc>
          <w:tcPr>
            <w:tcW w:w="1054" w:type="dxa"/>
            <w:tcBorders>
              <w:left w:val="single" w:color="auto" w:sz="4" w:space="0"/>
              <w:right w:val="single" w:color="auto" w:sz="2" w:space="0"/>
            </w:tcBorders>
            <w:vAlign w:val="center"/>
          </w:tcPr>
          <w:p w14:paraId="347BD37A">
            <w:pPr>
              <w:spacing w:line="276" w:lineRule="auto"/>
              <w:rPr>
                <w:rFonts w:hint="eastAsia" w:asciiTheme="majorEastAsia" w:hAnsiTheme="majorEastAsia" w:eastAsiaTheme="majorEastAsia"/>
                <w:snapToGrid w:val="0"/>
                <w:color w:val="auto"/>
                <w:spacing w:val="-4"/>
                <w:szCs w:val="21"/>
                <w:highlight w:val="none"/>
              </w:rPr>
            </w:pPr>
            <w:r>
              <w:rPr>
                <w:rFonts w:hint="eastAsia" w:ascii="宋体" w:hAnsi="宋体" w:eastAsia="宋体" w:cs="宋体"/>
                <w:color w:val="auto"/>
                <w:sz w:val="21"/>
                <w:szCs w:val="21"/>
                <w:highlight w:val="none"/>
              </w:rPr>
              <w:t>协审服务</w:t>
            </w:r>
            <w:r>
              <w:rPr>
                <w:rFonts w:hint="eastAsia" w:ascii="宋体" w:hAnsi="宋体" w:cs="宋体"/>
                <w:color w:val="auto"/>
                <w:sz w:val="21"/>
                <w:szCs w:val="21"/>
                <w:highlight w:val="none"/>
                <w:lang w:val="en-US" w:eastAsia="zh-CN"/>
              </w:rPr>
              <w:t>承诺和人员配备承诺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017" w:type="dxa"/>
            <w:tcBorders>
              <w:top w:val="single" w:color="auto" w:sz="4" w:space="0"/>
              <w:left w:val="single" w:color="auto" w:sz="4" w:space="0"/>
              <w:bottom w:val="single" w:color="auto" w:sz="4" w:space="0"/>
              <w:right w:val="single" w:color="auto" w:sz="2" w:space="0"/>
            </w:tcBorders>
            <w:vAlign w:val="center"/>
          </w:tcPr>
          <w:p w14:paraId="611A875E">
            <w:pPr>
              <w:widowControl/>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p w14:paraId="06DA2E51">
            <w:pPr>
              <w:widowControl/>
              <w:spacing w:line="276" w:lineRule="auto"/>
              <w:rPr>
                <w:rFonts w:hint="eastAsia" w:ascii="Arial" w:hAnsi="Arial" w:eastAsia="宋体" w:cs="Arial"/>
                <w:bCs/>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投标人承诺</w:t>
            </w: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val="en-US" w:eastAsia="zh-CN"/>
              </w:rPr>
              <w:t>《北仑区审计局聘请外部人员参与审计工作实施细则》</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仑审</w:t>
            </w:r>
            <w:r>
              <w:rPr>
                <w:rFonts w:hint="eastAsia" w:ascii="宋体" w:hAnsi="宋体" w:eastAsia="宋体" w:cs="宋体"/>
                <w:color w:val="auto"/>
                <w:sz w:val="21"/>
                <w:szCs w:val="21"/>
                <w:highlight w:val="none"/>
              </w:rPr>
              <w:t>〔2019〕</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val="en-US" w:eastAsia="zh-CN"/>
              </w:rPr>
              <w:t>北仑区审计局聘请社会中介机构参与政府投资建设项目审计管理办法</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仑审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号）等的相关内容进行处罚；经审计机关多次催促，仍不积极实施审计，导致审计时效严重滞后或严重影响审计质量或存在违反审计职业道德、廉政纪律等各项规定的，采购人有权终止合同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由于合同终止所导致的一切责任由中标人承担</w:t>
            </w:r>
            <w:r>
              <w:rPr>
                <w:rFonts w:hint="eastAsia" w:ascii="宋体" w:hAnsi="宋体" w:cs="宋体"/>
                <w:color w:val="auto"/>
                <w:sz w:val="21"/>
                <w:szCs w:val="21"/>
                <w:highlight w:val="none"/>
                <w:lang w:eastAsia="zh-CN"/>
              </w:rPr>
              <w:t>。</w:t>
            </w:r>
          </w:p>
        </w:tc>
        <w:tc>
          <w:tcPr>
            <w:tcW w:w="525" w:type="dxa"/>
            <w:tcBorders>
              <w:top w:val="single" w:color="auto" w:sz="4" w:space="0"/>
              <w:left w:val="single" w:color="auto" w:sz="4" w:space="0"/>
              <w:bottom w:val="single" w:color="auto" w:sz="4" w:space="0"/>
              <w:right w:val="single" w:color="auto" w:sz="2" w:space="0"/>
            </w:tcBorders>
            <w:vAlign w:val="center"/>
          </w:tcPr>
          <w:p w14:paraId="591DC58F">
            <w:pPr>
              <w:spacing w:before="93" w:beforeLines="30" w:line="276" w:lineRule="auto"/>
              <w:jc w:val="center"/>
              <w:rPr>
                <w:rFonts w:hint="eastAsia" w:cs="Times New Roman" w:asciiTheme="majorEastAsia" w:hAnsiTheme="majorEastAsia" w:eastAsiaTheme="maj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855" w:type="dxa"/>
            <w:tcBorders>
              <w:top w:val="single" w:color="auto" w:sz="4" w:space="0"/>
              <w:left w:val="single" w:color="auto" w:sz="4" w:space="0"/>
              <w:bottom w:val="single" w:color="auto" w:sz="4" w:space="0"/>
              <w:right w:val="single" w:color="auto" w:sz="2" w:space="0"/>
            </w:tcBorders>
            <w:vAlign w:val="center"/>
          </w:tcPr>
          <w:p w14:paraId="0027B9DE">
            <w:pPr>
              <w:spacing w:before="93" w:beforeLines="30" w:line="27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23A0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692" w:type="dxa"/>
            <w:vMerge w:val="continue"/>
            <w:tcBorders>
              <w:left w:val="single" w:color="auto" w:sz="4" w:space="0"/>
              <w:right w:val="single" w:color="auto" w:sz="2" w:space="0"/>
            </w:tcBorders>
            <w:vAlign w:val="center"/>
          </w:tcPr>
          <w:p w14:paraId="0BFD1150">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638" w:type="dxa"/>
            <w:vMerge w:val="continue"/>
            <w:tcBorders>
              <w:left w:val="single" w:color="auto" w:sz="4" w:space="0"/>
              <w:right w:val="single" w:color="auto" w:sz="2" w:space="0"/>
            </w:tcBorders>
            <w:vAlign w:val="center"/>
          </w:tcPr>
          <w:p w14:paraId="067B9066">
            <w:pPr>
              <w:spacing w:before="93" w:beforeLines="30" w:line="276" w:lineRule="auto"/>
              <w:rPr>
                <w:rFonts w:asciiTheme="majorEastAsia" w:hAnsiTheme="majorEastAsia" w:eastAsiaTheme="majorEastAsia"/>
                <w:snapToGrid w:val="0"/>
                <w:color w:val="auto"/>
                <w:spacing w:val="-4"/>
                <w:szCs w:val="21"/>
                <w:highlight w:val="none"/>
              </w:rPr>
            </w:pPr>
          </w:p>
        </w:tc>
        <w:tc>
          <w:tcPr>
            <w:tcW w:w="1054" w:type="dxa"/>
            <w:tcBorders>
              <w:left w:val="single" w:color="auto" w:sz="4" w:space="0"/>
              <w:right w:val="single" w:color="auto" w:sz="2" w:space="0"/>
            </w:tcBorders>
            <w:vAlign w:val="center"/>
          </w:tcPr>
          <w:p w14:paraId="3A956EEE">
            <w:pPr>
              <w:widowControl/>
              <w:spacing w:line="276" w:lineRule="auto"/>
              <w:rPr>
                <w:rFonts w:hint="eastAsia" w:asciiTheme="majorEastAsia" w:hAnsiTheme="majorEastAsia" w:eastAsiaTheme="majorEastAsia"/>
                <w:color w:val="auto"/>
                <w:szCs w:val="21"/>
                <w:highlight w:val="none"/>
              </w:rPr>
            </w:pPr>
            <w:r>
              <w:rPr>
                <w:rFonts w:hint="eastAsia" w:ascii="宋体" w:hAnsi="宋体" w:eastAsia="宋体" w:cs="宋体"/>
                <w:color w:val="auto"/>
                <w:sz w:val="21"/>
                <w:szCs w:val="21"/>
                <w:highlight w:val="none"/>
              </w:rPr>
              <w:t>项目总体要求理解（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017" w:type="dxa"/>
            <w:tcBorders>
              <w:top w:val="single" w:color="auto" w:sz="4" w:space="0"/>
              <w:left w:val="single" w:color="auto" w:sz="4" w:space="0"/>
              <w:right w:val="single" w:color="auto" w:sz="2" w:space="0"/>
            </w:tcBorders>
            <w:vAlign w:val="center"/>
          </w:tcPr>
          <w:p w14:paraId="31E6B37C">
            <w:pPr>
              <w:widowControl/>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w:t>
            </w:r>
            <w:r>
              <w:rPr>
                <w:rFonts w:hint="eastAsia" w:ascii="宋体" w:hAnsi="宋体" w:cs="宋体"/>
                <w:color w:val="auto"/>
                <w:sz w:val="21"/>
                <w:szCs w:val="21"/>
                <w:highlight w:val="none"/>
                <w:lang w:eastAsia="zh-CN"/>
              </w:rPr>
              <w:t>宁波市北仑区东海实验学校庐南校区2025年度预算执行审计协审服务</w:t>
            </w:r>
            <w:r>
              <w:rPr>
                <w:rFonts w:hint="eastAsia" w:ascii="宋体" w:hAnsi="宋体" w:eastAsia="宋体" w:cs="宋体"/>
                <w:color w:val="auto"/>
                <w:sz w:val="21"/>
                <w:szCs w:val="21"/>
                <w:highlight w:val="none"/>
              </w:rPr>
              <w:t>审计服务的背景情况（包括但不限于所在地相关政策了解和相关规范要求等）理解准确性、表述清晰程度等方面进行综合评议：</w:t>
            </w:r>
          </w:p>
          <w:p w14:paraId="14B1C865">
            <w:pPr>
              <w:widowControl/>
              <w:spacing w:line="276" w:lineRule="auto"/>
              <w:rPr>
                <w:rFonts w:hint="eastAsia" w:ascii="宋体" w:hAnsi="宋体" w:eastAsia="宋体" w:cs="Times New Roman"/>
                <w:color w:val="auto"/>
                <w:kern w:val="2"/>
                <w:sz w:val="21"/>
                <w:highlight w:val="none"/>
                <w:lang w:val="en-US" w:eastAsia="zh-CN" w:bidi="ar-SA"/>
              </w:rPr>
            </w:pPr>
            <w:r>
              <w:rPr>
                <w:rFonts w:hint="eastAsia" w:ascii="宋体" w:hAnsi="宋体" w:eastAsia="宋体" w:cs="宋体"/>
                <w:color w:val="auto"/>
                <w:sz w:val="21"/>
                <w:szCs w:val="21"/>
                <w:highlight w:val="none"/>
              </w:rPr>
              <w:t>对项目背景</w:t>
            </w:r>
            <w:r>
              <w:rPr>
                <w:rFonts w:hint="eastAsia" w:ascii="宋体" w:hAnsi="宋体" w:cs="宋体"/>
                <w:color w:val="auto"/>
                <w:sz w:val="21"/>
                <w:szCs w:val="21"/>
                <w:highlight w:val="none"/>
                <w:lang w:val="en-US" w:eastAsia="zh-CN"/>
              </w:rPr>
              <w:t>有深入的了解和分析、对所在地审计政策和相关规范要求有充分的认知和理解、对项目需求有清晰明确的认知的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rPr>
              <w:t>分；对项目背景</w:t>
            </w:r>
            <w:r>
              <w:rPr>
                <w:rFonts w:hint="eastAsia" w:ascii="宋体" w:hAnsi="宋体" w:cs="宋体"/>
                <w:color w:val="auto"/>
                <w:sz w:val="21"/>
                <w:szCs w:val="21"/>
                <w:highlight w:val="none"/>
                <w:lang w:val="en-US" w:eastAsia="zh-CN"/>
              </w:rPr>
              <w:t>有较深入的了解和分析</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对所在地审计政策和相关规范要求有较为充分的认知和理解、对项目需求有较为清晰明确的认知的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3-5.9</w:t>
            </w:r>
            <w:r>
              <w:rPr>
                <w:rFonts w:hint="eastAsia" w:ascii="宋体" w:hAnsi="宋体" w:eastAsia="宋体" w:cs="宋体"/>
                <w:color w:val="auto"/>
                <w:sz w:val="21"/>
                <w:szCs w:val="21"/>
                <w:highlight w:val="none"/>
              </w:rPr>
              <w:t>分；对项目背景</w:t>
            </w:r>
            <w:r>
              <w:rPr>
                <w:rFonts w:hint="eastAsia" w:ascii="宋体" w:hAnsi="宋体" w:cs="宋体"/>
                <w:color w:val="auto"/>
                <w:sz w:val="21"/>
                <w:szCs w:val="21"/>
                <w:highlight w:val="none"/>
                <w:lang w:val="en-US" w:eastAsia="zh-CN"/>
              </w:rPr>
              <w:t>了解和分析一般深入</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对所在地审计政策和相关规范要求一般认知和理解、对项目需求有一般清晰明确的认知的，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color w:val="auto"/>
                <w:szCs w:val="21"/>
                <w:highlight w:val="none"/>
              </w:rPr>
              <w:t>；未提供不得分</w:t>
            </w:r>
            <w:r>
              <w:rPr>
                <w:rFonts w:hint="eastAsia" w:ascii="宋体" w:hAnsi="宋体" w:eastAsia="宋体" w:cs="宋体"/>
                <w:color w:val="auto"/>
                <w:sz w:val="21"/>
                <w:szCs w:val="21"/>
                <w:highlight w:val="none"/>
              </w:rPr>
              <w:t>。</w:t>
            </w:r>
          </w:p>
        </w:tc>
        <w:tc>
          <w:tcPr>
            <w:tcW w:w="525" w:type="dxa"/>
            <w:tcBorders>
              <w:top w:val="single" w:color="auto" w:sz="4" w:space="0"/>
              <w:left w:val="single" w:color="auto" w:sz="4" w:space="0"/>
              <w:right w:val="single" w:color="auto" w:sz="2" w:space="0"/>
            </w:tcBorders>
            <w:vAlign w:val="center"/>
          </w:tcPr>
          <w:p w14:paraId="56FA8B05">
            <w:pPr>
              <w:spacing w:before="93" w:beforeLines="30" w:line="276" w:lineRule="auto"/>
              <w:jc w:val="center"/>
              <w:rPr>
                <w:rFonts w:hint="default" w:cs="Times New Roman" w:asciiTheme="majorEastAsia" w:hAnsiTheme="majorEastAsia" w:eastAsiaTheme="maj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855" w:type="dxa"/>
            <w:tcBorders>
              <w:top w:val="single" w:color="auto" w:sz="4" w:space="0"/>
              <w:left w:val="single" w:color="auto" w:sz="4" w:space="0"/>
              <w:right w:val="single" w:color="auto" w:sz="2" w:space="0"/>
            </w:tcBorders>
            <w:vAlign w:val="center"/>
          </w:tcPr>
          <w:p w14:paraId="0F576192">
            <w:pPr>
              <w:spacing w:before="93" w:beforeLines="30" w:line="27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1C29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692" w:type="dxa"/>
            <w:vMerge w:val="continue"/>
            <w:tcBorders>
              <w:left w:val="single" w:color="auto" w:sz="4" w:space="0"/>
              <w:right w:val="single" w:color="auto" w:sz="2" w:space="0"/>
            </w:tcBorders>
            <w:vAlign w:val="center"/>
          </w:tcPr>
          <w:p w14:paraId="6904F789">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638" w:type="dxa"/>
            <w:vMerge w:val="continue"/>
            <w:tcBorders>
              <w:left w:val="single" w:color="auto" w:sz="4" w:space="0"/>
              <w:right w:val="single" w:color="auto" w:sz="2" w:space="0"/>
            </w:tcBorders>
            <w:vAlign w:val="center"/>
          </w:tcPr>
          <w:p w14:paraId="5225075A">
            <w:pPr>
              <w:spacing w:before="93" w:beforeLines="30" w:line="276" w:lineRule="auto"/>
              <w:rPr>
                <w:rFonts w:asciiTheme="majorEastAsia" w:hAnsiTheme="majorEastAsia" w:eastAsiaTheme="majorEastAsia"/>
                <w:snapToGrid w:val="0"/>
                <w:color w:val="auto"/>
                <w:spacing w:val="-4"/>
                <w:szCs w:val="21"/>
                <w:highlight w:val="none"/>
              </w:rPr>
            </w:pPr>
          </w:p>
        </w:tc>
        <w:tc>
          <w:tcPr>
            <w:tcW w:w="1054" w:type="dxa"/>
            <w:tcBorders>
              <w:top w:val="single" w:color="auto" w:sz="4" w:space="0"/>
              <w:left w:val="single" w:color="auto" w:sz="4" w:space="0"/>
              <w:right w:val="single" w:color="auto" w:sz="2" w:space="0"/>
            </w:tcBorders>
            <w:vAlign w:val="center"/>
          </w:tcPr>
          <w:p w14:paraId="225875B5">
            <w:pPr>
              <w:spacing w:line="276" w:lineRule="auto"/>
              <w:rPr>
                <w:rFonts w:hint="default" w:asciiTheme="majorEastAsia" w:hAnsiTheme="majorEastAsia" w:eastAsiaTheme="majorEastAsia"/>
                <w:color w:val="auto"/>
                <w:szCs w:val="21"/>
                <w:highlight w:val="none"/>
                <w:lang w:val="en-US" w:eastAsia="zh-CN"/>
              </w:rPr>
            </w:pPr>
            <w:r>
              <w:rPr>
                <w:rFonts w:hint="eastAsia" w:ascii="宋体" w:hAnsi="宋体" w:eastAsia="宋体" w:cs="宋体"/>
                <w:color w:val="auto"/>
                <w:sz w:val="21"/>
                <w:szCs w:val="21"/>
                <w:highlight w:val="none"/>
              </w:rPr>
              <w:t>重难点分析（</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017" w:type="dxa"/>
            <w:tcBorders>
              <w:top w:val="single" w:color="auto" w:sz="4" w:space="0"/>
              <w:left w:val="single" w:color="auto" w:sz="4" w:space="0"/>
              <w:right w:val="single" w:color="auto" w:sz="2" w:space="0"/>
            </w:tcBorders>
            <w:vAlign w:val="center"/>
          </w:tcPr>
          <w:p w14:paraId="7C404095">
            <w:pPr>
              <w:widowControl/>
              <w:spacing w:line="276" w:lineRule="auto"/>
              <w:rPr>
                <w:rFonts w:hint="eastAsia" w:ascii="宋体" w:hAnsi="宋体" w:eastAsia="宋体" w:cs="宋体"/>
                <w:color w:val="auto"/>
                <w:sz w:val="21"/>
                <w:szCs w:val="21"/>
                <w:highlight w:val="none"/>
              </w:rPr>
            </w:pPr>
            <w:r>
              <w:rPr>
                <w:rFonts w:hint="eastAsia"/>
                <w:color w:val="auto"/>
                <w:highlight w:val="none"/>
                <w:lang w:val="en-US" w:eastAsia="zh-CN"/>
              </w:rPr>
              <w:t>对本项目的重点、难点和关键节点（如审计风险、审计质量管控等方面）的分析及相关措施</w:t>
            </w:r>
            <w:r>
              <w:rPr>
                <w:rFonts w:hint="eastAsia"/>
                <w:color w:val="auto"/>
                <w:highlight w:val="none"/>
              </w:rPr>
              <w:t>进</w:t>
            </w:r>
            <w:r>
              <w:rPr>
                <w:rFonts w:hint="eastAsia" w:ascii="Times New Roman" w:hAnsi="Times New Roman" w:eastAsia="宋体" w:cs="Times New Roman"/>
                <w:color w:val="auto"/>
                <w:highlight w:val="none"/>
                <w:lang w:val="en-US" w:eastAsia="zh-CN"/>
              </w:rPr>
              <w:t>行</w:t>
            </w:r>
            <w:r>
              <w:rPr>
                <w:rFonts w:hint="eastAsia" w:cs="Times New Roman"/>
                <w:color w:val="auto"/>
                <w:highlight w:val="none"/>
                <w:lang w:val="en-US" w:eastAsia="zh-CN"/>
              </w:rPr>
              <w:t>综合</w:t>
            </w:r>
            <w:r>
              <w:rPr>
                <w:rFonts w:hint="eastAsia" w:ascii="Times New Roman" w:hAnsi="Times New Roman" w:eastAsia="宋体" w:cs="Times New Roman"/>
                <w:color w:val="auto"/>
                <w:highlight w:val="none"/>
                <w:lang w:val="en-US" w:eastAsia="zh-CN"/>
              </w:rPr>
              <w:t>评议</w:t>
            </w:r>
            <w:r>
              <w:rPr>
                <w:rFonts w:hint="eastAsia" w:ascii="宋体" w:hAnsi="宋体" w:eastAsia="宋体" w:cs="宋体"/>
                <w:color w:val="auto"/>
                <w:sz w:val="21"/>
                <w:szCs w:val="21"/>
                <w:highlight w:val="none"/>
              </w:rPr>
              <w:t>：</w:t>
            </w:r>
          </w:p>
          <w:p w14:paraId="17D52040">
            <w:pPr>
              <w:widowControl/>
              <w:spacing w:line="276" w:lineRule="auto"/>
              <w:rPr>
                <w:rFonts w:ascii="宋体" w:hAnsi="宋体"/>
                <w:color w:val="auto"/>
                <w:highlight w:val="none"/>
              </w:rPr>
            </w:pPr>
            <w:r>
              <w:rPr>
                <w:rFonts w:hint="eastAsia" w:ascii="宋体" w:hAnsi="宋体" w:eastAsia="宋体" w:cs="宋体"/>
                <w:color w:val="auto"/>
                <w:sz w:val="21"/>
                <w:szCs w:val="21"/>
                <w:highlight w:val="none"/>
                <w:lang w:val="en-US" w:eastAsia="zh-CN"/>
              </w:rPr>
              <w:t>审计服务内容涉及重点难点及关键点分析到位、</w:t>
            </w:r>
            <w:r>
              <w:rPr>
                <w:rFonts w:hint="eastAsia" w:ascii="宋体" w:hAnsi="宋体" w:cs="宋体"/>
                <w:color w:val="auto"/>
                <w:sz w:val="21"/>
                <w:szCs w:val="21"/>
                <w:highlight w:val="none"/>
                <w:lang w:val="en-US" w:eastAsia="zh-CN"/>
              </w:rPr>
              <w:t>减少审计风险，有效增强审计质量的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审计服务内容涉及重点难点及关键点</w:t>
            </w:r>
            <w:r>
              <w:rPr>
                <w:rFonts w:hint="eastAsia" w:ascii="宋体" w:hAnsi="宋体" w:cs="宋体"/>
                <w:color w:val="auto"/>
                <w:sz w:val="21"/>
                <w:szCs w:val="21"/>
                <w:highlight w:val="none"/>
                <w:lang w:val="en-US" w:eastAsia="zh-CN"/>
              </w:rPr>
              <w:t>分析基本到位、减少审计风险、较为一般增强审计质量的，得3-5.9分；</w:t>
            </w:r>
            <w:r>
              <w:rPr>
                <w:rFonts w:hint="eastAsia" w:ascii="宋体" w:hAnsi="宋体" w:eastAsia="宋体" w:cs="宋体"/>
                <w:color w:val="auto"/>
                <w:sz w:val="21"/>
                <w:szCs w:val="21"/>
                <w:highlight w:val="none"/>
                <w:lang w:val="en-US" w:eastAsia="zh-CN"/>
              </w:rPr>
              <w:t>审计服务内容涉及重点难点及关键点分析有偏差、</w:t>
            </w:r>
            <w:r>
              <w:rPr>
                <w:rFonts w:hint="eastAsia" w:ascii="宋体" w:hAnsi="宋体" w:cs="宋体"/>
                <w:color w:val="auto"/>
                <w:sz w:val="21"/>
                <w:szCs w:val="21"/>
                <w:highlight w:val="none"/>
                <w:lang w:val="en-US" w:eastAsia="zh-CN"/>
              </w:rPr>
              <w:t>审计风险及审计质量</w:t>
            </w:r>
            <w:r>
              <w:rPr>
                <w:rFonts w:hint="eastAsia" w:ascii="宋体" w:hAnsi="宋体" w:eastAsia="宋体" w:cs="宋体"/>
                <w:color w:val="auto"/>
                <w:sz w:val="21"/>
                <w:szCs w:val="21"/>
                <w:highlight w:val="none"/>
                <w:lang w:val="en-US" w:eastAsia="zh-CN"/>
              </w:rPr>
              <w:t>难以落实</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color w:val="auto"/>
                <w:szCs w:val="21"/>
                <w:highlight w:val="none"/>
              </w:rPr>
              <w:t>；未提供不得分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 </w:t>
            </w:r>
          </w:p>
        </w:tc>
        <w:tc>
          <w:tcPr>
            <w:tcW w:w="525" w:type="dxa"/>
            <w:tcBorders>
              <w:top w:val="single" w:color="auto" w:sz="4" w:space="0"/>
              <w:left w:val="single" w:color="auto" w:sz="4" w:space="0"/>
              <w:bottom w:val="single" w:color="auto" w:sz="4" w:space="0"/>
              <w:right w:val="single" w:color="auto" w:sz="2" w:space="0"/>
            </w:tcBorders>
            <w:vAlign w:val="center"/>
          </w:tcPr>
          <w:p w14:paraId="60564BCC">
            <w:pPr>
              <w:spacing w:before="93" w:beforeLines="30" w:line="276" w:lineRule="auto"/>
              <w:jc w:val="center"/>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21"/>
                <w:highlight w:val="none"/>
                <w:lang w:val="en-US" w:eastAsia="zh-CN"/>
              </w:rPr>
              <w:t>8</w:t>
            </w:r>
          </w:p>
        </w:tc>
        <w:tc>
          <w:tcPr>
            <w:tcW w:w="855" w:type="dxa"/>
            <w:tcBorders>
              <w:top w:val="single" w:color="auto" w:sz="4" w:space="0"/>
              <w:left w:val="single" w:color="auto" w:sz="4" w:space="0"/>
              <w:bottom w:val="single" w:color="auto" w:sz="4" w:space="0"/>
              <w:right w:val="single" w:color="auto" w:sz="2" w:space="0"/>
            </w:tcBorders>
            <w:vAlign w:val="center"/>
          </w:tcPr>
          <w:p w14:paraId="137F52DF">
            <w:pPr>
              <w:spacing w:before="93" w:beforeLines="30" w:line="276"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1F06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692" w:type="dxa"/>
            <w:vMerge w:val="continue"/>
            <w:tcBorders>
              <w:left w:val="single" w:color="auto" w:sz="4" w:space="0"/>
              <w:right w:val="single" w:color="auto" w:sz="2" w:space="0"/>
            </w:tcBorders>
            <w:vAlign w:val="center"/>
          </w:tcPr>
          <w:p w14:paraId="34A30017">
            <w:pPr>
              <w:widowControl/>
              <w:spacing w:before="93" w:beforeLines="30" w:line="276" w:lineRule="auto"/>
              <w:jc w:val="left"/>
              <w:rPr>
                <w:rFonts w:asciiTheme="majorEastAsia" w:hAnsiTheme="majorEastAsia" w:eastAsiaTheme="majorEastAsia"/>
                <w:snapToGrid w:val="0"/>
                <w:color w:val="auto"/>
                <w:spacing w:val="-4"/>
                <w:szCs w:val="21"/>
                <w:highlight w:val="none"/>
              </w:rPr>
            </w:pPr>
          </w:p>
        </w:tc>
        <w:tc>
          <w:tcPr>
            <w:tcW w:w="638" w:type="dxa"/>
            <w:vMerge w:val="continue"/>
            <w:tcBorders>
              <w:top w:val="single" w:color="auto" w:sz="4" w:space="0"/>
              <w:left w:val="single" w:color="auto" w:sz="4" w:space="0"/>
              <w:right w:val="single" w:color="auto" w:sz="2" w:space="0"/>
            </w:tcBorders>
            <w:vAlign w:val="center"/>
          </w:tcPr>
          <w:p w14:paraId="3A2A4901">
            <w:pPr>
              <w:widowControl/>
              <w:spacing w:before="93" w:beforeLines="30" w:line="276" w:lineRule="auto"/>
              <w:jc w:val="left"/>
              <w:rPr>
                <w:rFonts w:asciiTheme="majorEastAsia" w:hAnsiTheme="majorEastAsia" w:eastAsiaTheme="majorEastAsia"/>
                <w:snapToGrid w:val="0"/>
                <w:color w:val="auto"/>
                <w:spacing w:val="-4"/>
                <w:szCs w:val="21"/>
                <w:highlight w:val="none"/>
              </w:rPr>
            </w:pPr>
          </w:p>
        </w:tc>
        <w:tc>
          <w:tcPr>
            <w:tcW w:w="1054" w:type="dxa"/>
            <w:vMerge w:val="restart"/>
            <w:tcBorders>
              <w:top w:val="single" w:color="auto" w:sz="4" w:space="0"/>
              <w:left w:val="single" w:color="auto" w:sz="4" w:space="0"/>
              <w:right w:val="single" w:color="auto" w:sz="2" w:space="0"/>
            </w:tcBorders>
            <w:vAlign w:val="center"/>
          </w:tcPr>
          <w:p w14:paraId="5B9AFD9F">
            <w:pPr>
              <w:spacing w:before="93" w:beforeLines="30" w:line="276" w:lineRule="auto"/>
              <w:rPr>
                <w:rFonts w:cs="宋体" w:asciiTheme="majorEastAsia" w:hAnsiTheme="majorEastAsia" w:eastAsiaTheme="majorEastAsia"/>
                <w:color w:val="auto"/>
                <w:szCs w:val="21"/>
                <w:highlight w:val="none"/>
              </w:rPr>
            </w:pPr>
            <w:r>
              <w:rPr>
                <w:rFonts w:hint="eastAsia" w:ascii="宋体" w:hAnsi="宋体" w:eastAsia="宋体" w:cs="宋体"/>
                <w:color w:val="auto"/>
                <w:sz w:val="21"/>
                <w:szCs w:val="21"/>
                <w:highlight w:val="none"/>
              </w:rPr>
              <w:t>项目实施方案（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分）</w:t>
            </w:r>
          </w:p>
        </w:tc>
        <w:tc>
          <w:tcPr>
            <w:tcW w:w="6017" w:type="dxa"/>
            <w:tcBorders>
              <w:top w:val="single" w:color="auto" w:sz="4" w:space="0"/>
              <w:left w:val="single" w:color="auto" w:sz="4" w:space="0"/>
              <w:right w:val="single" w:color="auto" w:sz="2" w:space="0"/>
            </w:tcBorders>
            <w:vAlign w:val="center"/>
          </w:tcPr>
          <w:p w14:paraId="1A9A1614">
            <w:pPr>
              <w:widowControl/>
              <w:spacing w:line="276" w:lineRule="auto"/>
              <w:rPr>
                <w:rFonts w:ascii="宋体" w:hAnsi="宋体"/>
                <w:color w:val="auto"/>
                <w:highlight w:val="none"/>
              </w:rPr>
            </w:pPr>
            <w:r>
              <w:rPr>
                <w:rFonts w:hint="eastAsia" w:ascii="宋体" w:hAnsi="宋体" w:eastAsia="宋体" w:cs="宋体"/>
                <w:color w:val="auto"/>
                <w:sz w:val="21"/>
                <w:szCs w:val="21"/>
                <w:highlight w:val="none"/>
              </w:rPr>
              <w:t>根据投标人编制</w:t>
            </w:r>
            <w:r>
              <w:rPr>
                <w:rFonts w:hint="eastAsia" w:ascii="宋体" w:hAnsi="宋体" w:cs="宋体"/>
                <w:color w:val="auto"/>
                <w:sz w:val="21"/>
                <w:szCs w:val="21"/>
                <w:highlight w:val="none"/>
                <w:lang w:eastAsia="zh-CN"/>
              </w:rPr>
              <w:t>宁波市北仑区东海实验学校庐南校区2025年度预算执行审计协审服务</w:t>
            </w:r>
            <w:r>
              <w:rPr>
                <w:rFonts w:hint="eastAsia" w:ascii="宋体" w:hAnsi="宋体" w:eastAsia="宋体" w:cs="宋体"/>
                <w:color w:val="auto"/>
                <w:sz w:val="21"/>
                <w:szCs w:val="21"/>
                <w:highlight w:val="none"/>
                <w:lang w:eastAsia="zh-CN"/>
              </w:rPr>
              <w:t>协助审计服务</w:t>
            </w:r>
            <w:r>
              <w:rPr>
                <w:rFonts w:hint="eastAsia" w:ascii="宋体" w:hAnsi="宋体" w:eastAsia="宋体" w:cs="宋体"/>
                <w:color w:val="auto"/>
                <w:sz w:val="21"/>
                <w:szCs w:val="21"/>
                <w:highlight w:val="none"/>
              </w:rPr>
              <w:t>实施方案的工作思路（包括但不限于工作流程、</w:t>
            </w:r>
            <w:r>
              <w:rPr>
                <w:rFonts w:hint="eastAsia" w:ascii="宋体" w:hAnsi="宋体" w:eastAsia="宋体" w:cs="宋体"/>
                <w:color w:val="auto"/>
                <w:sz w:val="21"/>
                <w:szCs w:val="21"/>
                <w:highlight w:val="none"/>
                <w:lang w:val="en-US" w:eastAsia="zh-CN"/>
              </w:rPr>
              <w:t>价款结算内容</w:t>
            </w:r>
            <w:r>
              <w:rPr>
                <w:rFonts w:hint="eastAsia" w:ascii="宋体" w:hAnsi="宋体" w:eastAsia="宋体" w:cs="宋体"/>
                <w:color w:val="auto"/>
                <w:sz w:val="21"/>
                <w:szCs w:val="21"/>
                <w:highlight w:val="none"/>
              </w:rPr>
              <w:t>、组织管理实施方案等）进行综合评议：</w:t>
            </w:r>
            <w:r>
              <w:rPr>
                <w:rFonts w:hint="eastAsia" w:ascii="宋体" w:hAnsi="宋体" w:cs="宋体"/>
                <w:color w:val="auto"/>
                <w:sz w:val="21"/>
                <w:szCs w:val="21"/>
                <w:highlight w:val="none"/>
                <w:lang w:val="en-US" w:eastAsia="zh-CN"/>
              </w:rPr>
              <w:t>工作思路</w:t>
            </w:r>
            <w:r>
              <w:rPr>
                <w:rFonts w:hint="eastAsia" w:ascii="宋体" w:hAnsi="宋体" w:eastAsia="宋体" w:cs="宋体"/>
                <w:color w:val="auto"/>
                <w:sz w:val="21"/>
                <w:szCs w:val="21"/>
                <w:highlight w:val="none"/>
              </w:rPr>
              <w:t>逻辑框架</w:t>
            </w:r>
            <w:r>
              <w:rPr>
                <w:rFonts w:hint="eastAsia" w:ascii="宋体" w:hAnsi="宋体" w:cs="宋体"/>
                <w:color w:val="auto"/>
                <w:sz w:val="21"/>
                <w:szCs w:val="21"/>
                <w:highlight w:val="none"/>
                <w:lang w:val="en-US" w:eastAsia="zh-CN"/>
              </w:rPr>
              <w:t>结构</w:t>
            </w:r>
            <w:r>
              <w:rPr>
                <w:rFonts w:hint="eastAsia" w:ascii="宋体" w:hAnsi="宋体" w:eastAsia="宋体" w:cs="宋体"/>
                <w:color w:val="auto"/>
                <w:sz w:val="21"/>
                <w:szCs w:val="21"/>
                <w:highlight w:val="none"/>
              </w:rPr>
              <w:t>严谨，各阶段目标与任务清晰界定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提出的方法具体详尽，配有</w:t>
            </w:r>
            <w:r>
              <w:rPr>
                <w:rFonts w:hint="eastAsia" w:ascii="宋体" w:hAnsi="宋体" w:cs="宋体"/>
                <w:color w:val="auto"/>
                <w:sz w:val="21"/>
                <w:szCs w:val="21"/>
                <w:highlight w:val="none"/>
                <w:lang w:val="en-US" w:eastAsia="zh-CN"/>
              </w:rPr>
              <w:t>具体</w:t>
            </w:r>
            <w:r>
              <w:rPr>
                <w:rFonts w:hint="eastAsia" w:ascii="宋体" w:hAnsi="宋体" w:eastAsia="宋体" w:cs="宋体"/>
                <w:color w:val="auto"/>
                <w:sz w:val="21"/>
                <w:szCs w:val="21"/>
                <w:highlight w:val="none"/>
              </w:rPr>
              <w:t>操作</w:t>
            </w:r>
            <w:r>
              <w:rPr>
                <w:rFonts w:hint="eastAsia" w:ascii="宋体" w:hAnsi="宋体" w:cs="宋体"/>
                <w:color w:val="auto"/>
                <w:sz w:val="21"/>
                <w:szCs w:val="21"/>
                <w:highlight w:val="none"/>
                <w:lang w:val="en-US" w:eastAsia="zh-CN"/>
              </w:rPr>
              <w:t>示例</w:t>
            </w:r>
            <w:r>
              <w:rPr>
                <w:rFonts w:hint="eastAsia" w:ascii="宋体" w:hAnsi="宋体" w:eastAsia="宋体" w:cs="宋体"/>
                <w:color w:val="auto"/>
                <w:sz w:val="21"/>
                <w:szCs w:val="21"/>
                <w:highlight w:val="none"/>
              </w:rPr>
              <w:t>，可以直接应用于</w:t>
            </w:r>
            <w:r>
              <w:rPr>
                <w:rFonts w:hint="eastAsia" w:ascii="宋体" w:hAnsi="宋体" w:cs="宋体"/>
                <w:color w:val="auto"/>
                <w:sz w:val="21"/>
                <w:szCs w:val="21"/>
                <w:highlight w:val="none"/>
                <w:lang w:val="en-US" w:eastAsia="zh-CN"/>
              </w:rPr>
              <w:t>协审过程</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价款结算</w:t>
            </w:r>
            <w:r>
              <w:rPr>
                <w:rFonts w:hint="eastAsia" w:ascii="宋体" w:hAnsi="宋体" w:eastAsia="宋体" w:cs="宋体"/>
                <w:color w:val="auto"/>
                <w:sz w:val="21"/>
                <w:szCs w:val="21"/>
                <w:highlight w:val="none"/>
              </w:rPr>
              <w:t>思路或方法能显著提升</w:t>
            </w:r>
            <w:r>
              <w:rPr>
                <w:rFonts w:hint="eastAsia" w:ascii="宋体" w:hAnsi="宋体" w:cs="宋体"/>
                <w:color w:val="auto"/>
                <w:sz w:val="21"/>
                <w:szCs w:val="21"/>
                <w:highlight w:val="none"/>
                <w:lang w:val="en-US" w:eastAsia="zh-CN"/>
              </w:rPr>
              <w:t>工作</w:t>
            </w:r>
            <w:r>
              <w:rPr>
                <w:rFonts w:hint="eastAsia" w:ascii="宋体" w:hAnsi="宋体" w:eastAsia="宋体" w:cs="宋体"/>
                <w:color w:val="auto"/>
                <w:sz w:val="21"/>
                <w:szCs w:val="21"/>
                <w:highlight w:val="none"/>
              </w:rPr>
              <w:t>效率或准确性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符合采购需求的，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工作思路</w:t>
            </w:r>
            <w:r>
              <w:rPr>
                <w:rFonts w:hint="eastAsia" w:ascii="宋体" w:hAnsi="宋体" w:eastAsia="宋体" w:cs="宋体"/>
                <w:color w:val="auto"/>
                <w:sz w:val="21"/>
                <w:szCs w:val="21"/>
                <w:highlight w:val="none"/>
              </w:rPr>
              <w:t>逻辑框架</w:t>
            </w:r>
            <w:r>
              <w:rPr>
                <w:rFonts w:hint="eastAsia" w:ascii="宋体" w:hAnsi="宋体" w:cs="宋体"/>
                <w:color w:val="auto"/>
                <w:sz w:val="21"/>
                <w:szCs w:val="21"/>
                <w:highlight w:val="none"/>
                <w:lang w:val="en-US" w:eastAsia="zh-CN"/>
              </w:rPr>
              <w:t>结构</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rPr>
              <w:t>严谨，各阶段目标与任务</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rPr>
              <w:t>清晰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提出的方法具体</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rPr>
              <w:t>详尽，配有</w:t>
            </w:r>
            <w:r>
              <w:rPr>
                <w:rFonts w:hint="eastAsia" w:ascii="宋体" w:hAnsi="宋体" w:cs="宋体"/>
                <w:color w:val="auto"/>
                <w:sz w:val="21"/>
                <w:szCs w:val="21"/>
                <w:highlight w:val="none"/>
                <w:lang w:val="en-US" w:eastAsia="zh-CN"/>
              </w:rPr>
              <w:t>具体</w:t>
            </w:r>
            <w:r>
              <w:rPr>
                <w:rFonts w:hint="eastAsia" w:ascii="宋体" w:hAnsi="宋体" w:eastAsia="宋体" w:cs="宋体"/>
                <w:color w:val="auto"/>
                <w:sz w:val="21"/>
                <w:szCs w:val="21"/>
                <w:highlight w:val="none"/>
              </w:rPr>
              <w:t>操作</w:t>
            </w:r>
            <w:r>
              <w:rPr>
                <w:rFonts w:hint="eastAsia" w:ascii="宋体" w:hAnsi="宋体" w:cs="宋体"/>
                <w:color w:val="auto"/>
                <w:sz w:val="21"/>
                <w:szCs w:val="21"/>
                <w:highlight w:val="none"/>
                <w:lang w:val="en-US" w:eastAsia="zh-CN"/>
              </w:rPr>
              <w:t>示例</w:t>
            </w:r>
            <w:r>
              <w:rPr>
                <w:rFonts w:hint="eastAsia" w:ascii="宋体" w:hAnsi="宋体" w:eastAsia="宋体" w:cs="宋体"/>
                <w:color w:val="auto"/>
                <w:sz w:val="21"/>
                <w:szCs w:val="21"/>
                <w:highlight w:val="none"/>
              </w:rPr>
              <w:t>，可以直接应用于</w:t>
            </w:r>
            <w:r>
              <w:rPr>
                <w:rFonts w:hint="eastAsia" w:ascii="宋体" w:hAnsi="宋体" w:cs="宋体"/>
                <w:color w:val="auto"/>
                <w:sz w:val="21"/>
                <w:szCs w:val="21"/>
                <w:highlight w:val="none"/>
                <w:lang w:val="en-US" w:eastAsia="zh-CN"/>
              </w:rPr>
              <w:t>协审过程</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价款结算</w:t>
            </w:r>
            <w:r>
              <w:rPr>
                <w:rFonts w:hint="eastAsia" w:ascii="宋体" w:hAnsi="宋体" w:eastAsia="宋体" w:cs="宋体"/>
                <w:color w:val="auto"/>
                <w:sz w:val="21"/>
                <w:szCs w:val="21"/>
                <w:highlight w:val="none"/>
              </w:rPr>
              <w:t>思路或方法能</w:t>
            </w:r>
            <w:r>
              <w:rPr>
                <w:rFonts w:hint="eastAsia" w:ascii="宋体" w:hAnsi="宋体" w:cs="宋体"/>
                <w:color w:val="auto"/>
                <w:sz w:val="21"/>
                <w:szCs w:val="21"/>
                <w:highlight w:val="none"/>
                <w:lang w:val="en-US" w:eastAsia="zh-CN"/>
              </w:rPr>
              <w:t>较为明显</w:t>
            </w:r>
            <w:r>
              <w:rPr>
                <w:rFonts w:hint="eastAsia" w:ascii="宋体" w:hAnsi="宋体" w:eastAsia="宋体" w:cs="宋体"/>
                <w:color w:val="auto"/>
                <w:sz w:val="21"/>
                <w:szCs w:val="21"/>
                <w:highlight w:val="none"/>
              </w:rPr>
              <w:t>提升</w:t>
            </w:r>
            <w:r>
              <w:rPr>
                <w:rFonts w:hint="eastAsia" w:ascii="宋体" w:hAnsi="宋体" w:cs="宋体"/>
                <w:color w:val="auto"/>
                <w:sz w:val="21"/>
                <w:szCs w:val="21"/>
                <w:highlight w:val="none"/>
                <w:lang w:val="en-US" w:eastAsia="zh-CN"/>
              </w:rPr>
              <w:t>工作</w:t>
            </w:r>
            <w:r>
              <w:rPr>
                <w:rFonts w:hint="eastAsia" w:ascii="宋体" w:hAnsi="宋体" w:eastAsia="宋体" w:cs="宋体"/>
                <w:color w:val="auto"/>
                <w:sz w:val="21"/>
                <w:szCs w:val="21"/>
                <w:highlight w:val="none"/>
              </w:rPr>
              <w:t>效率或准确性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基本符合采购需求的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3-5.9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工作思路</w:t>
            </w:r>
            <w:r>
              <w:rPr>
                <w:rFonts w:hint="eastAsia" w:ascii="宋体" w:hAnsi="宋体" w:eastAsia="宋体" w:cs="宋体"/>
                <w:color w:val="auto"/>
                <w:sz w:val="21"/>
                <w:szCs w:val="21"/>
                <w:highlight w:val="none"/>
              </w:rPr>
              <w:t>逻辑框架</w:t>
            </w:r>
            <w:r>
              <w:rPr>
                <w:rFonts w:hint="eastAsia" w:ascii="宋体" w:hAnsi="宋体" w:cs="宋体"/>
                <w:color w:val="auto"/>
                <w:sz w:val="21"/>
                <w:szCs w:val="21"/>
                <w:highlight w:val="none"/>
                <w:lang w:val="en-US" w:eastAsia="zh-CN"/>
              </w:rPr>
              <w:t>结构</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严谨，各阶段目标与任务</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清晰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提出的方法具体</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详尽，配有</w:t>
            </w:r>
            <w:r>
              <w:rPr>
                <w:rFonts w:hint="eastAsia" w:ascii="宋体" w:hAnsi="宋体" w:cs="宋体"/>
                <w:color w:val="auto"/>
                <w:sz w:val="21"/>
                <w:szCs w:val="21"/>
                <w:highlight w:val="none"/>
                <w:lang w:val="en-US" w:eastAsia="zh-CN"/>
              </w:rPr>
              <w:t>具体</w:t>
            </w:r>
            <w:r>
              <w:rPr>
                <w:rFonts w:hint="eastAsia" w:ascii="宋体" w:hAnsi="宋体" w:eastAsia="宋体" w:cs="宋体"/>
                <w:color w:val="auto"/>
                <w:sz w:val="21"/>
                <w:szCs w:val="21"/>
                <w:highlight w:val="none"/>
              </w:rPr>
              <w:t>操作</w:t>
            </w:r>
            <w:r>
              <w:rPr>
                <w:rFonts w:hint="eastAsia" w:ascii="宋体" w:hAnsi="宋体" w:cs="宋体"/>
                <w:color w:val="auto"/>
                <w:sz w:val="21"/>
                <w:szCs w:val="21"/>
                <w:highlight w:val="none"/>
                <w:lang w:val="en-US" w:eastAsia="zh-CN"/>
              </w:rPr>
              <w:t>示例</w:t>
            </w:r>
            <w:r>
              <w:rPr>
                <w:rFonts w:hint="eastAsia" w:ascii="宋体" w:hAnsi="宋体" w:eastAsia="宋体" w:cs="宋体"/>
                <w:color w:val="auto"/>
                <w:sz w:val="21"/>
                <w:szCs w:val="21"/>
                <w:highlight w:val="none"/>
              </w:rPr>
              <w:t>，可以直接应用于</w:t>
            </w:r>
            <w:r>
              <w:rPr>
                <w:rFonts w:hint="eastAsia" w:ascii="宋体" w:hAnsi="宋体" w:cs="宋体"/>
                <w:color w:val="auto"/>
                <w:sz w:val="21"/>
                <w:szCs w:val="21"/>
                <w:highlight w:val="none"/>
                <w:lang w:val="en-US" w:eastAsia="zh-CN"/>
              </w:rPr>
              <w:t>协审过程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与采购需求存在一定偏差的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color w:val="auto"/>
                <w:szCs w:val="21"/>
                <w:highlight w:val="none"/>
              </w:rPr>
              <w:t>；未提供不得分</w:t>
            </w:r>
            <w:r>
              <w:rPr>
                <w:rFonts w:hint="eastAsia" w:ascii="宋体" w:hAnsi="宋体" w:eastAsia="宋体" w:cs="宋体"/>
                <w:color w:val="auto"/>
                <w:sz w:val="21"/>
                <w:szCs w:val="21"/>
                <w:highlight w:val="none"/>
              </w:rPr>
              <w:t>。</w:t>
            </w:r>
          </w:p>
        </w:tc>
        <w:tc>
          <w:tcPr>
            <w:tcW w:w="525" w:type="dxa"/>
            <w:tcBorders>
              <w:top w:val="single" w:color="auto" w:sz="4" w:space="0"/>
              <w:left w:val="single" w:color="auto" w:sz="4" w:space="0"/>
              <w:right w:val="single" w:color="auto" w:sz="2" w:space="0"/>
            </w:tcBorders>
            <w:vAlign w:val="center"/>
          </w:tcPr>
          <w:p w14:paraId="2EC68BF4">
            <w:pPr>
              <w:spacing w:before="93" w:beforeLines="30" w:line="276" w:lineRule="auto"/>
              <w:jc w:val="center"/>
              <w:rPr>
                <w:rFonts w:hint="default" w:cs="宋体" w:asciiTheme="majorEastAsia" w:hAnsiTheme="majorEastAsia" w:eastAsiaTheme="majorEastAsia"/>
                <w:color w:val="auto"/>
                <w:szCs w:val="21"/>
                <w:highlight w:val="none"/>
                <w:lang w:val="en-US" w:eastAsia="zh-CN"/>
              </w:rPr>
            </w:pPr>
            <w:r>
              <w:rPr>
                <w:rFonts w:hint="eastAsia" w:ascii="宋体" w:hAnsi="宋体" w:cs="宋体"/>
                <w:color w:val="auto"/>
                <w:sz w:val="21"/>
                <w:szCs w:val="21"/>
                <w:highlight w:val="none"/>
                <w:lang w:val="en-US" w:eastAsia="zh-CN"/>
              </w:rPr>
              <w:t>8</w:t>
            </w:r>
          </w:p>
        </w:tc>
        <w:tc>
          <w:tcPr>
            <w:tcW w:w="855" w:type="dxa"/>
            <w:tcBorders>
              <w:top w:val="single" w:color="auto" w:sz="4" w:space="0"/>
              <w:left w:val="single" w:color="auto" w:sz="4" w:space="0"/>
              <w:right w:val="single" w:color="auto" w:sz="2" w:space="0"/>
            </w:tcBorders>
            <w:vAlign w:val="center"/>
          </w:tcPr>
          <w:p w14:paraId="6E9B6FCF">
            <w:pPr>
              <w:spacing w:before="93" w:beforeLines="30" w:line="276"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7C67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692" w:type="dxa"/>
            <w:vMerge w:val="continue"/>
            <w:tcBorders>
              <w:left w:val="single" w:color="auto" w:sz="4" w:space="0"/>
              <w:right w:val="single" w:color="auto" w:sz="2" w:space="0"/>
            </w:tcBorders>
            <w:vAlign w:val="center"/>
          </w:tcPr>
          <w:p w14:paraId="5AB1FA0D">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638" w:type="dxa"/>
            <w:vMerge w:val="continue"/>
            <w:tcBorders>
              <w:left w:val="single" w:color="auto" w:sz="4" w:space="0"/>
              <w:right w:val="single" w:color="auto" w:sz="2" w:space="0"/>
            </w:tcBorders>
            <w:vAlign w:val="center"/>
          </w:tcPr>
          <w:p w14:paraId="565B01E9">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1054" w:type="dxa"/>
            <w:vMerge w:val="continue"/>
            <w:tcBorders>
              <w:top w:val="single" w:color="auto" w:sz="4" w:space="0"/>
              <w:left w:val="single" w:color="auto" w:sz="4" w:space="0"/>
              <w:right w:val="single" w:color="auto" w:sz="2" w:space="0"/>
            </w:tcBorders>
            <w:vAlign w:val="center"/>
          </w:tcPr>
          <w:p w14:paraId="06EC0065">
            <w:pPr>
              <w:spacing w:before="93" w:beforeLines="30" w:after="240" w:line="276" w:lineRule="auto"/>
              <w:rPr>
                <w:rFonts w:asciiTheme="majorEastAsia" w:hAnsiTheme="majorEastAsia" w:eastAsiaTheme="majorEastAsia"/>
                <w:color w:val="auto"/>
                <w:szCs w:val="21"/>
                <w:highlight w:val="none"/>
              </w:rPr>
            </w:pPr>
          </w:p>
        </w:tc>
        <w:tc>
          <w:tcPr>
            <w:tcW w:w="6017" w:type="dxa"/>
            <w:tcBorders>
              <w:top w:val="single" w:color="auto" w:sz="4" w:space="0"/>
              <w:left w:val="single" w:color="auto" w:sz="4" w:space="0"/>
              <w:right w:val="single" w:color="auto" w:sz="2" w:space="0"/>
            </w:tcBorders>
            <w:vAlign w:val="center"/>
          </w:tcPr>
          <w:p w14:paraId="33A89B1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根据投标人针对本项目协审人员廉洁方面的控制措施及承诺（包含但不限于廉洁程序处置方案、</w:t>
            </w:r>
            <w:r>
              <w:rPr>
                <w:rFonts w:hint="eastAsia" w:ascii="宋体" w:hAnsi="宋体" w:eastAsia="宋体" w:cs="宋体"/>
                <w:color w:val="auto"/>
                <w:sz w:val="21"/>
                <w:szCs w:val="21"/>
                <w:highlight w:val="none"/>
                <w:lang w:val="en-US" w:eastAsia="zh-CN"/>
              </w:rPr>
              <w:t>廉政承诺优化方案等</w:t>
            </w:r>
            <w:r>
              <w:rPr>
                <w:rFonts w:hint="eastAsia" w:ascii="宋体" w:hAnsi="宋体" w:eastAsia="宋体" w:cs="宋体"/>
                <w:color w:val="auto"/>
                <w:sz w:val="21"/>
                <w:szCs w:val="21"/>
                <w:highlight w:val="none"/>
              </w:rPr>
              <w:t>）进行综合评议：</w:t>
            </w:r>
          </w:p>
          <w:p w14:paraId="5EC11D1F">
            <w:pPr>
              <w:spacing w:line="276" w:lineRule="auto"/>
              <w:rPr>
                <w:rFonts w:ascii="宋体" w:hAnsi="宋体"/>
                <w:color w:val="auto"/>
                <w:highlight w:val="none"/>
              </w:rPr>
            </w:pPr>
            <w:r>
              <w:rPr>
                <w:rFonts w:hint="eastAsia" w:ascii="宋体" w:hAnsi="宋体" w:eastAsia="宋体" w:cs="宋体"/>
                <w:color w:val="auto"/>
                <w:sz w:val="21"/>
                <w:szCs w:val="21"/>
                <w:highlight w:val="none"/>
              </w:rPr>
              <w:t>协审人员廉洁</w:t>
            </w:r>
            <w:r>
              <w:rPr>
                <w:rFonts w:hint="eastAsia" w:ascii="宋体" w:hAnsi="宋体" w:cs="宋体"/>
                <w:color w:val="auto"/>
                <w:sz w:val="21"/>
                <w:szCs w:val="21"/>
                <w:highlight w:val="none"/>
                <w:lang w:val="en-US" w:eastAsia="zh-CN"/>
              </w:rPr>
              <w:t>程序完善、处置方案利于执行、廉政承诺优化方案公开透明，</w:t>
            </w:r>
            <w:r>
              <w:rPr>
                <w:rFonts w:hint="eastAsia" w:ascii="Times New Roman" w:hAnsi="Times New Roman" w:eastAsia="宋体" w:cs="Times New Roman"/>
                <w:color w:val="auto"/>
                <w:szCs w:val="24"/>
                <w:highlight w:val="none"/>
                <w:lang w:val="en-US" w:eastAsia="zh-CN" w:bidi="ar-SA"/>
              </w:rPr>
              <w:t>廉政责任能落实到单位及个人的，</w:t>
            </w:r>
            <w:r>
              <w:rPr>
                <w:rFonts w:hint="eastAsia" w:ascii="宋体" w:hAnsi="宋体" w:eastAsia="宋体" w:cs="宋体"/>
                <w:color w:val="auto"/>
                <w:sz w:val="21"/>
                <w:szCs w:val="21"/>
                <w:highlight w:val="none"/>
              </w:rPr>
              <w:t>详实符合采购需求的，得</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rPr>
              <w:t>分；协审人员廉洁</w:t>
            </w:r>
            <w:r>
              <w:rPr>
                <w:rFonts w:hint="eastAsia" w:ascii="宋体" w:hAnsi="宋体" w:cs="宋体"/>
                <w:color w:val="auto"/>
                <w:sz w:val="21"/>
                <w:szCs w:val="21"/>
                <w:highlight w:val="none"/>
                <w:lang w:val="en-US" w:eastAsia="zh-CN"/>
              </w:rPr>
              <w:t>程序</w:t>
            </w:r>
            <w:r>
              <w:rPr>
                <w:rFonts w:hint="eastAsia" w:ascii="宋体" w:hAnsi="宋体" w:eastAsia="宋体" w:cs="宋体"/>
                <w:color w:val="auto"/>
                <w:sz w:val="21"/>
                <w:szCs w:val="21"/>
                <w:highlight w:val="none"/>
              </w:rPr>
              <w:t>较为完善、</w:t>
            </w:r>
            <w:r>
              <w:rPr>
                <w:rFonts w:hint="eastAsia" w:ascii="宋体" w:hAnsi="宋体" w:cs="宋体"/>
                <w:color w:val="auto"/>
                <w:sz w:val="21"/>
                <w:szCs w:val="21"/>
                <w:highlight w:val="none"/>
                <w:lang w:val="en-US" w:eastAsia="zh-CN"/>
              </w:rPr>
              <w:t>处置方案利于执行、</w:t>
            </w:r>
            <w:r>
              <w:rPr>
                <w:rFonts w:hint="eastAsia" w:ascii="Times New Roman" w:hAnsi="Times New Roman" w:eastAsia="宋体" w:cs="Times New Roman"/>
                <w:color w:val="auto"/>
                <w:szCs w:val="24"/>
                <w:highlight w:val="none"/>
                <w:lang w:val="en-US" w:eastAsia="zh-CN" w:bidi="ar-SA"/>
              </w:rPr>
              <w:t>廉政责任基本能落实到单位及个人的，</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内容基本符合采购需求的，得</w:t>
            </w:r>
            <w:r>
              <w:rPr>
                <w:rFonts w:hint="eastAsia" w:ascii="宋体" w:hAnsi="宋体" w:cs="宋体"/>
                <w:color w:val="auto"/>
                <w:sz w:val="21"/>
                <w:szCs w:val="21"/>
                <w:highlight w:val="none"/>
                <w:lang w:val="en-US" w:eastAsia="zh-CN"/>
              </w:rPr>
              <w:t>3-5.9</w:t>
            </w:r>
            <w:r>
              <w:rPr>
                <w:rFonts w:hint="eastAsia" w:ascii="宋体" w:hAnsi="宋体" w:eastAsia="宋体" w:cs="宋体"/>
                <w:color w:val="auto"/>
                <w:sz w:val="21"/>
                <w:szCs w:val="21"/>
                <w:highlight w:val="none"/>
              </w:rPr>
              <w:t>分；协审人员廉洁</w:t>
            </w:r>
            <w:r>
              <w:rPr>
                <w:rFonts w:hint="eastAsia" w:ascii="宋体" w:hAnsi="宋体" w:cs="宋体"/>
                <w:color w:val="auto"/>
                <w:sz w:val="21"/>
                <w:szCs w:val="21"/>
                <w:highlight w:val="none"/>
                <w:lang w:val="en-US" w:eastAsia="zh-CN"/>
              </w:rPr>
              <w:t>程序一般完善</w:t>
            </w:r>
            <w:r>
              <w:rPr>
                <w:rFonts w:hint="eastAsia" w:ascii="宋体" w:hAnsi="宋体" w:eastAsia="宋体" w:cs="宋体"/>
                <w:color w:val="auto"/>
                <w:sz w:val="21"/>
                <w:szCs w:val="21"/>
                <w:highlight w:val="none"/>
              </w:rPr>
              <w:t>、</w:t>
            </w:r>
            <w:r>
              <w:rPr>
                <w:rFonts w:hint="eastAsia" w:ascii="Times New Roman" w:hAnsi="Times New Roman" w:eastAsia="宋体" w:cs="Times New Roman"/>
                <w:color w:val="auto"/>
                <w:szCs w:val="24"/>
                <w:highlight w:val="none"/>
                <w:lang w:val="en-US" w:eastAsia="zh-CN" w:bidi="ar-SA"/>
              </w:rPr>
              <w:t>廉政责任难以落实到单位及个人的，</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与采购需求存在一定偏差的，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color w:val="auto"/>
                <w:szCs w:val="21"/>
                <w:highlight w:val="none"/>
              </w:rPr>
              <w:t>；未提供不得分</w:t>
            </w:r>
            <w:r>
              <w:rPr>
                <w:rFonts w:hint="eastAsia" w:ascii="宋体" w:hAnsi="宋体" w:eastAsia="宋体" w:cs="宋体"/>
                <w:color w:val="auto"/>
                <w:sz w:val="21"/>
                <w:szCs w:val="21"/>
                <w:highlight w:val="none"/>
              </w:rPr>
              <w:t>。</w:t>
            </w:r>
          </w:p>
        </w:tc>
        <w:tc>
          <w:tcPr>
            <w:tcW w:w="525" w:type="dxa"/>
            <w:tcBorders>
              <w:top w:val="single" w:color="auto" w:sz="4" w:space="0"/>
              <w:left w:val="single" w:color="auto" w:sz="4" w:space="0"/>
              <w:right w:val="single" w:color="auto" w:sz="2" w:space="0"/>
            </w:tcBorders>
            <w:vAlign w:val="center"/>
          </w:tcPr>
          <w:p w14:paraId="5B9C4C88">
            <w:pPr>
              <w:spacing w:before="93" w:beforeLines="30" w:line="276" w:lineRule="auto"/>
              <w:jc w:val="center"/>
              <w:rPr>
                <w:rFonts w:hint="default"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8</w:t>
            </w:r>
          </w:p>
        </w:tc>
        <w:tc>
          <w:tcPr>
            <w:tcW w:w="855" w:type="dxa"/>
            <w:tcBorders>
              <w:top w:val="single" w:color="auto" w:sz="4" w:space="0"/>
              <w:left w:val="single" w:color="auto" w:sz="4" w:space="0"/>
              <w:right w:val="single" w:color="auto" w:sz="2" w:space="0"/>
            </w:tcBorders>
            <w:vAlign w:val="center"/>
          </w:tcPr>
          <w:p w14:paraId="42BE062A">
            <w:pPr>
              <w:spacing w:before="93" w:beforeLines="30" w:line="276"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1156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jc w:val="center"/>
        </w:trPr>
        <w:tc>
          <w:tcPr>
            <w:tcW w:w="692" w:type="dxa"/>
            <w:vMerge w:val="continue"/>
            <w:tcBorders>
              <w:left w:val="single" w:color="auto" w:sz="4" w:space="0"/>
              <w:right w:val="single" w:color="auto" w:sz="2" w:space="0"/>
            </w:tcBorders>
            <w:vAlign w:val="center"/>
          </w:tcPr>
          <w:p w14:paraId="2D70571B">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638" w:type="dxa"/>
            <w:vMerge w:val="continue"/>
            <w:tcBorders>
              <w:left w:val="single" w:color="auto" w:sz="4" w:space="0"/>
              <w:right w:val="single" w:color="auto" w:sz="2" w:space="0"/>
            </w:tcBorders>
            <w:vAlign w:val="center"/>
          </w:tcPr>
          <w:p w14:paraId="48DB0BC4">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1054" w:type="dxa"/>
            <w:vMerge w:val="continue"/>
            <w:tcBorders>
              <w:top w:val="single" w:color="auto" w:sz="4" w:space="0"/>
              <w:left w:val="single" w:color="auto" w:sz="4" w:space="0"/>
              <w:right w:val="single" w:color="auto" w:sz="2" w:space="0"/>
            </w:tcBorders>
            <w:vAlign w:val="center"/>
          </w:tcPr>
          <w:p w14:paraId="05359AB6">
            <w:pPr>
              <w:spacing w:before="93" w:beforeLines="30" w:after="240" w:line="276" w:lineRule="auto"/>
              <w:rPr>
                <w:rFonts w:hint="eastAsia" w:cs="宋体" w:asciiTheme="majorEastAsia" w:hAnsiTheme="majorEastAsia" w:eastAsiaTheme="majorEastAsia"/>
                <w:color w:val="auto"/>
                <w:szCs w:val="21"/>
                <w:highlight w:val="none"/>
              </w:rPr>
            </w:pPr>
          </w:p>
        </w:tc>
        <w:tc>
          <w:tcPr>
            <w:tcW w:w="6017" w:type="dxa"/>
            <w:tcBorders>
              <w:top w:val="single" w:color="auto" w:sz="4" w:space="0"/>
              <w:left w:val="single" w:color="auto" w:sz="4" w:space="0"/>
              <w:right w:val="single" w:color="auto" w:sz="2" w:space="0"/>
            </w:tcBorders>
            <w:vAlign w:val="center"/>
          </w:tcPr>
          <w:p w14:paraId="1124421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根据投标人针对本项目的协审服务保密制度（包含但不限于流程、制度制定</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）进行综合评议：</w:t>
            </w:r>
          </w:p>
          <w:p w14:paraId="320A7956">
            <w:pPr>
              <w:widowControl/>
              <w:spacing w:line="276" w:lineRule="auto"/>
              <w:rPr>
                <w:rFonts w:hint="eastAsia" w:cs="宋体" w:asciiTheme="majorEastAsia" w:hAnsiTheme="majorEastAsia" w:eastAsiaTheme="majorEastAsia"/>
                <w:color w:val="auto"/>
                <w:szCs w:val="21"/>
                <w:highlight w:val="none"/>
              </w:rPr>
            </w:pPr>
            <w:r>
              <w:rPr>
                <w:rFonts w:hint="eastAsia" w:ascii="宋体" w:hAnsi="宋体" w:eastAsia="宋体" w:cs="宋体"/>
                <w:color w:val="auto"/>
                <w:sz w:val="21"/>
                <w:szCs w:val="21"/>
                <w:highlight w:val="none"/>
              </w:rPr>
              <w:t>协审服务保密</w:t>
            </w:r>
            <w:r>
              <w:rPr>
                <w:rFonts w:hint="eastAsia" w:ascii="宋体" w:hAnsi="宋体" w:cs="宋体"/>
                <w:color w:val="auto"/>
                <w:sz w:val="21"/>
                <w:szCs w:val="21"/>
                <w:highlight w:val="none"/>
                <w:lang w:val="en-US" w:eastAsia="zh-CN"/>
              </w:rPr>
              <w:t>程序完善、</w:t>
            </w:r>
            <w:r>
              <w:rPr>
                <w:rFonts w:hint="eastAsia" w:ascii="宋体" w:hAnsi="宋体"/>
                <w:color w:val="auto"/>
                <w:szCs w:val="21"/>
                <w:highlight w:val="none"/>
              </w:rPr>
              <w:t>对</w:t>
            </w:r>
            <w:r>
              <w:rPr>
                <w:rFonts w:hint="eastAsia" w:ascii="宋体" w:hAnsi="宋体"/>
                <w:color w:val="auto"/>
                <w:szCs w:val="21"/>
                <w:highlight w:val="none"/>
                <w:lang w:val="en-US" w:eastAsia="zh-CN"/>
              </w:rPr>
              <w:t>制度</w:t>
            </w:r>
            <w:r>
              <w:rPr>
                <w:rFonts w:hint="eastAsia" w:ascii="宋体" w:hAnsi="宋体"/>
                <w:color w:val="auto"/>
                <w:szCs w:val="21"/>
                <w:highlight w:val="none"/>
              </w:rPr>
              <w:t>分析到位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条理清晰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对招标内容及审查结果等严格保密的，</w:t>
            </w:r>
            <w:r>
              <w:rPr>
                <w:rFonts w:hint="eastAsia" w:ascii="宋体" w:hAnsi="宋体" w:eastAsia="宋体" w:cs="宋体"/>
                <w:color w:val="auto"/>
                <w:sz w:val="21"/>
                <w:szCs w:val="21"/>
                <w:highlight w:val="none"/>
              </w:rPr>
              <w:t>符合采购需求的，得</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rPr>
              <w:t>分；协审服务保密</w:t>
            </w:r>
            <w:r>
              <w:rPr>
                <w:rFonts w:hint="eastAsia" w:ascii="宋体" w:hAnsi="宋体" w:cs="宋体"/>
                <w:color w:val="auto"/>
                <w:sz w:val="21"/>
                <w:szCs w:val="21"/>
                <w:highlight w:val="none"/>
                <w:lang w:val="en-US" w:eastAsia="zh-CN"/>
              </w:rPr>
              <w:t>程序</w:t>
            </w:r>
            <w:r>
              <w:rPr>
                <w:rFonts w:hint="eastAsia" w:ascii="宋体" w:hAnsi="宋体" w:eastAsia="宋体" w:cs="宋体"/>
                <w:color w:val="auto"/>
                <w:sz w:val="21"/>
                <w:szCs w:val="21"/>
                <w:highlight w:val="none"/>
              </w:rPr>
              <w:t>较为</w:t>
            </w:r>
            <w:r>
              <w:rPr>
                <w:rFonts w:hint="eastAsia" w:ascii="宋体" w:hAnsi="宋体" w:eastAsia="宋体" w:cs="宋体"/>
                <w:color w:val="auto"/>
                <w:sz w:val="21"/>
                <w:szCs w:val="21"/>
                <w:highlight w:val="none"/>
                <w:lang w:val="en-US" w:eastAsia="zh-CN"/>
              </w:rPr>
              <w:t>完善</w:t>
            </w:r>
            <w:r>
              <w:rPr>
                <w:rFonts w:hint="eastAsia" w:ascii="宋体" w:hAnsi="宋体" w:eastAsia="宋体" w:cs="宋体"/>
                <w:color w:val="auto"/>
                <w:sz w:val="21"/>
                <w:szCs w:val="21"/>
                <w:highlight w:val="none"/>
              </w:rPr>
              <w:t>、</w:t>
            </w:r>
            <w:r>
              <w:rPr>
                <w:rFonts w:hint="eastAsia" w:ascii="宋体" w:hAnsi="宋体"/>
                <w:color w:val="auto"/>
                <w:szCs w:val="21"/>
                <w:highlight w:val="none"/>
              </w:rPr>
              <w:t>对</w:t>
            </w:r>
            <w:r>
              <w:rPr>
                <w:rFonts w:hint="eastAsia" w:ascii="宋体" w:hAnsi="宋体"/>
                <w:color w:val="auto"/>
                <w:szCs w:val="21"/>
                <w:highlight w:val="none"/>
                <w:lang w:val="en-US" w:eastAsia="zh-CN"/>
              </w:rPr>
              <w:t>制度</w:t>
            </w:r>
            <w:r>
              <w:rPr>
                <w:rFonts w:hint="eastAsia" w:ascii="宋体" w:hAnsi="宋体"/>
                <w:color w:val="auto"/>
                <w:szCs w:val="21"/>
                <w:highlight w:val="none"/>
              </w:rPr>
              <w:t>分析</w:t>
            </w:r>
            <w:r>
              <w:rPr>
                <w:rFonts w:hint="eastAsia" w:ascii="宋体" w:hAnsi="宋体"/>
                <w:color w:val="auto"/>
                <w:szCs w:val="21"/>
                <w:highlight w:val="none"/>
                <w:lang w:val="en-US" w:eastAsia="zh-CN"/>
              </w:rPr>
              <w:t>较为</w:t>
            </w:r>
            <w:r>
              <w:rPr>
                <w:rFonts w:hint="eastAsia" w:ascii="宋体" w:hAnsi="宋体"/>
                <w:color w:val="auto"/>
                <w:szCs w:val="21"/>
                <w:highlight w:val="none"/>
              </w:rPr>
              <w:t>到位</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val="en-US" w:eastAsia="zh-CN"/>
              </w:rPr>
              <w:t>条例较为清晰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对招标内容及审查结果等基本严格保密的，</w:t>
            </w:r>
            <w:r>
              <w:rPr>
                <w:rFonts w:hint="eastAsia" w:ascii="宋体" w:hAnsi="宋体" w:eastAsia="宋体" w:cs="宋体"/>
                <w:color w:val="auto"/>
                <w:sz w:val="21"/>
                <w:szCs w:val="21"/>
                <w:highlight w:val="none"/>
              </w:rPr>
              <w:t>基本符合采购需求的，得</w:t>
            </w:r>
            <w:r>
              <w:rPr>
                <w:rFonts w:hint="eastAsia" w:ascii="宋体" w:hAnsi="宋体" w:cs="宋体"/>
                <w:color w:val="auto"/>
                <w:sz w:val="21"/>
                <w:szCs w:val="21"/>
                <w:highlight w:val="none"/>
                <w:lang w:val="en-US" w:eastAsia="zh-CN"/>
              </w:rPr>
              <w:t>3-5.9</w:t>
            </w:r>
            <w:r>
              <w:rPr>
                <w:rFonts w:hint="eastAsia" w:ascii="宋体" w:hAnsi="宋体" w:eastAsia="宋体" w:cs="宋体"/>
                <w:color w:val="auto"/>
                <w:sz w:val="21"/>
                <w:szCs w:val="21"/>
                <w:highlight w:val="none"/>
              </w:rPr>
              <w:t>分；协审服务保密制度措施内容</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w:t>
            </w:r>
            <w:r>
              <w:rPr>
                <w:rFonts w:hint="eastAsia" w:ascii="宋体" w:hAnsi="宋体"/>
                <w:color w:val="auto"/>
                <w:szCs w:val="21"/>
                <w:highlight w:val="none"/>
              </w:rPr>
              <w:t>对</w:t>
            </w:r>
            <w:r>
              <w:rPr>
                <w:rFonts w:hint="eastAsia" w:ascii="宋体" w:hAnsi="宋体"/>
                <w:color w:val="auto"/>
                <w:szCs w:val="21"/>
                <w:highlight w:val="none"/>
                <w:lang w:val="en-US" w:eastAsia="zh-CN"/>
              </w:rPr>
              <w:t>制度</w:t>
            </w:r>
            <w:r>
              <w:rPr>
                <w:rFonts w:hint="eastAsia" w:ascii="宋体" w:hAnsi="宋体"/>
                <w:color w:val="auto"/>
                <w:szCs w:val="21"/>
                <w:highlight w:val="none"/>
              </w:rPr>
              <w:t>分析</w:t>
            </w:r>
            <w:r>
              <w:rPr>
                <w:rFonts w:hint="eastAsia" w:ascii="宋体" w:hAnsi="宋体"/>
                <w:color w:val="auto"/>
                <w:szCs w:val="21"/>
                <w:highlight w:val="none"/>
                <w:lang w:val="en-US" w:eastAsia="zh-CN"/>
              </w:rPr>
              <w:t>一般</w:t>
            </w:r>
            <w:r>
              <w:rPr>
                <w:rFonts w:hint="eastAsia" w:ascii="宋体" w:hAnsi="宋体"/>
                <w:color w:val="auto"/>
                <w:szCs w:val="21"/>
                <w:highlight w:val="none"/>
              </w:rPr>
              <w:t>到位</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val="en-US" w:eastAsia="zh-CN"/>
              </w:rPr>
              <w:t>条例一般清晰，</w:t>
            </w:r>
            <w:r>
              <w:rPr>
                <w:rFonts w:hint="eastAsia" w:ascii="宋体" w:hAnsi="宋体" w:cs="宋体"/>
                <w:color w:val="auto"/>
                <w:sz w:val="21"/>
                <w:szCs w:val="21"/>
                <w:highlight w:val="none"/>
                <w:lang w:val="en-US" w:eastAsia="zh-CN"/>
              </w:rPr>
              <w:t>对招标内容及审查结果等不能严格保密的，</w:t>
            </w:r>
            <w:r>
              <w:rPr>
                <w:rFonts w:hint="eastAsia" w:ascii="宋体" w:hAnsi="宋体" w:eastAsia="宋体" w:cs="宋体"/>
                <w:color w:val="auto"/>
                <w:sz w:val="21"/>
                <w:szCs w:val="21"/>
                <w:highlight w:val="none"/>
                <w:lang w:val="en-US" w:eastAsia="zh-CN"/>
              </w:rPr>
              <w:t>与采购需求存在一定偏差的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color w:val="auto"/>
                <w:szCs w:val="21"/>
                <w:highlight w:val="none"/>
              </w:rPr>
              <w:t>；未提供不得分</w:t>
            </w:r>
            <w:r>
              <w:rPr>
                <w:rFonts w:hint="eastAsia" w:ascii="宋体" w:hAnsi="宋体" w:eastAsia="宋体" w:cs="宋体"/>
                <w:color w:val="auto"/>
                <w:sz w:val="21"/>
                <w:szCs w:val="21"/>
                <w:highlight w:val="none"/>
              </w:rPr>
              <w:t>。</w:t>
            </w:r>
          </w:p>
        </w:tc>
        <w:tc>
          <w:tcPr>
            <w:tcW w:w="525" w:type="dxa"/>
            <w:tcBorders>
              <w:top w:val="single" w:color="auto" w:sz="4" w:space="0"/>
              <w:left w:val="single" w:color="auto" w:sz="4" w:space="0"/>
              <w:right w:val="single" w:color="auto" w:sz="2" w:space="0"/>
            </w:tcBorders>
            <w:vAlign w:val="center"/>
          </w:tcPr>
          <w:p w14:paraId="1A168CDF">
            <w:pPr>
              <w:spacing w:before="93" w:beforeLines="30" w:line="276" w:lineRule="auto"/>
              <w:jc w:val="center"/>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21"/>
                <w:highlight w:val="none"/>
                <w:lang w:val="en-US" w:eastAsia="zh-CN"/>
              </w:rPr>
              <w:t>8</w:t>
            </w:r>
          </w:p>
        </w:tc>
        <w:tc>
          <w:tcPr>
            <w:tcW w:w="855" w:type="dxa"/>
            <w:tcBorders>
              <w:top w:val="single" w:color="auto" w:sz="4" w:space="0"/>
              <w:left w:val="single" w:color="auto" w:sz="4" w:space="0"/>
              <w:right w:val="single" w:color="auto" w:sz="2" w:space="0"/>
            </w:tcBorders>
            <w:vAlign w:val="center"/>
          </w:tcPr>
          <w:p w14:paraId="50153BC6">
            <w:pPr>
              <w:spacing w:before="93" w:beforeLines="30" w:line="276"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3A78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692" w:type="dxa"/>
            <w:vMerge w:val="continue"/>
            <w:tcBorders>
              <w:left w:val="single" w:color="auto" w:sz="4" w:space="0"/>
              <w:right w:val="single" w:color="auto" w:sz="2" w:space="0"/>
            </w:tcBorders>
            <w:vAlign w:val="center"/>
          </w:tcPr>
          <w:p w14:paraId="6631258B">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638" w:type="dxa"/>
            <w:vMerge w:val="continue"/>
            <w:tcBorders>
              <w:left w:val="single" w:color="auto" w:sz="4" w:space="0"/>
              <w:right w:val="single" w:color="auto" w:sz="2" w:space="0"/>
            </w:tcBorders>
            <w:vAlign w:val="center"/>
          </w:tcPr>
          <w:p w14:paraId="43D233FC">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1054" w:type="dxa"/>
            <w:vMerge w:val="continue"/>
            <w:tcBorders>
              <w:top w:val="single" w:color="auto" w:sz="4" w:space="0"/>
              <w:left w:val="single" w:color="auto" w:sz="4" w:space="0"/>
              <w:bottom w:val="single" w:color="auto" w:sz="4" w:space="0"/>
              <w:right w:val="single" w:color="auto" w:sz="2" w:space="0"/>
            </w:tcBorders>
            <w:vAlign w:val="center"/>
          </w:tcPr>
          <w:p w14:paraId="4A8BA591">
            <w:pPr>
              <w:spacing w:before="93" w:beforeLines="30" w:after="240" w:line="276" w:lineRule="auto"/>
              <w:rPr>
                <w:rFonts w:hint="eastAsia" w:cs="宋体" w:asciiTheme="majorEastAsia" w:hAnsiTheme="majorEastAsia" w:eastAsiaTheme="majorEastAsia"/>
                <w:color w:val="auto"/>
                <w:szCs w:val="21"/>
                <w:highlight w:val="none"/>
                <w:lang w:val="en-US" w:eastAsia="zh-CN"/>
              </w:rPr>
            </w:pPr>
          </w:p>
        </w:tc>
        <w:tc>
          <w:tcPr>
            <w:tcW w:w="6017" w:type="dxa"/>
            <w:tcBorders>
              <w:top w:val="single" w:color="auto" w:sz="4" w:space="0"/>
              <w:left w:val="single" w:color="auto" w:sz="4" w:space="0"/>
              <w:bottom w:val="single" w:color="auto" w:sz="4" w:space="0"/>
              <w:right w:val="single" w:color="auto" w:sz="2" w:space="0"/>
            </w:tcBorders>
            <w:vAlign w:val="center"/>
          </w:tcPr>
          <w:p w14:paraId="4778819B">
            <w:pPr>
              <w:widowControl/>
              <w:spacing w:line="276" w:lineRule="auto"/>
              <w:rPr>
                <w:rFonts w:hint="eastAsia" w:cs="宋体" w:asciiTheme="majorEastAsia" w:hAnsiTheme="majorEastAsia" w:eastAsiaTheme="majorEastAsia"/>
                <w:color w:val="auto"/>
                <w:szCs w:val="21"/>
                <w:highlight w:val="none"/>
                <w:lang w:val="en-US" w:eastAsia="zh-CN"/>
              </w:rPr>
            </w:pPr>
            <w:r>
              <w:rPr>
                <w:rFonts w:hint="eastAsia" w:ascii="宋体" w:hAnsi="宋体" w:eastAsia="宋体" w:cs="宋体"/>
                <w:color w:val="auto"/>
                <w:sz w:val="21"/>
                <w:szCs w:val="21"/>
                <w:highlight w:val="none"/>
              </w:rPr>
              <w:t>根据投标人针对本项目专业分工、各专业协调方案进行</w:t>
            </w:r>
            <w:r>
              <w:rPr>
                <w:rFonts w:hint="eastAsia" w:ascii="宋体" w:hAnsi="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cs="宋体"/>
                <w:color w:val="auto"/>
                <w:sz w:val="21"/>
                <w:szCs w:val="21"/>
                <w:highlight w:val="none"/>
                <w:lang w:val="en-US" w:eastAsia="zh-CN"/>
              </w:rPr>
              <w:t>投标人拟派</w:t>
            </w:r>
            <w:r>
              <w:rPr>
                <w:rFonts w:hint="eastAsia" w:ascii="宋体" w:hAnsi="宋体" w:eastAsia="宋体" w:cs="宋体"/>
                <w:color w:val="auto"/>
                <w:sz w:val="21"/>
                <w:szCs w:val="21"/>
                <w:highlight w:val="none"/>
              </w:rPr>
              <w:t>专业</w:t>
            </w:r>
            <w:r>
              <w:rPr>
                <w:rFonts w:hint="eastAsia" w:ascii="宋体" w:hAnsi="宋体" w:cs="宋体"/>
                <w:color w:val="auto"/>
                <w:sz w:val="21"/>
                <w:szCs w:val="21"/>
                <w:highlight w:val="none"/>
                <w:lang w:val="en-US" w:eastAsia="zh-CN"/>
              </w:rPr>
              <w:t>人员</w:t>
            </w:r>
            <w:r>
              <w:rPr>
                <w:rFonts w:hint="eastAsia" w:ascii="宋体" w:hAnsi="宋体" w:eastAsia="宋体" w:cs="宋体"/>
                <w:color w:val="auto"/>
                <w:sz w:val="21"/>
                <w:szCs w:val="21"/>
                <w:highlight w:val="none"/>
              </w:rPr>
              <w:t>分工</w:t>
            </w:r>
            <w:r>
              <w:rPr>
                <w:rFonts w:hint="eastAsia" w:ascii="宋体" w:hAnsi="宋体" w:cs="宋体"/>
                <w:color w:val="auto"/>
                <w:sz w:val="21"/>
                <w:szCs w:val="21"/>
                <w:highlight w:val="none"/>
                <w:lang w:val="en-US" w:eastAsia="zh-CN"/>
              </w:rPr>
              <w:t>明确</w:t>
            </w:r>
            <w:r>
              <w:rPr>
                <w:rFonts w:hint="eastAsia" w:ascii="宋体" w:hAnsi="宋体" w:eastAsia="宋体" w:cs="宋体"/>
                <w:color w:val="auto"/>
                <w:sz w:val="21"/>
                <w:szCs w:val="21"/>
                <w:highlight w:val="none"/>
              </w:rPr>
              <w:t>、各专业</w:t>
            </w:r>
            <w:r>
              <w:rPr>
                <w:rFonts w:hint="eastAsia" w:ascii="宋体" w:hAnsi="宋体" w:cs="宋体"/>
                <w:color w:val="auto"/>
                <w:sz w:val="21"/>
                <w:szCs w:val="21"/>
                <w:highlight w:val="none"/>
                <w:lang w:val="en-US" w:eastAsia="zh-CN"/>
              </w:rPr>
              <w:t>人员</w:t>
            </w:r>
            <w:r>
              <w:rPr>
                <w:rFonts w:hint="eastAsia" w:ascii="宋体" w:hAnsi="宋体" w:eastAsia="宋体" w:cs="宋体"/>
                <w:color w:val="auto"/>
                <w:sz w:val="21"/>
                <w:szCs w:val="21"/>
                <w:highlight w:val="none"/>
              </w:rPr>
              <w:t>协调方案清晰合理的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5-7</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投标人拟派专业人员分工较为明确、各专业人员协调方案较为清晰合理的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得3-4.9分；投标人拟派专业人员分工一般明确、各专业人员协调方案一般清晰的，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color w:val="auto"/>
                <w:szCs w:val="21"/>
                <w:highlight w:val="none"/>
              </w:rPr>
              <w:t>；未提供不得分</w:t>
            </w:r>
            <w:r>
              <w:rPr>
                <w:rFonts w:hint="eastAsia" w:ascii="宋体" w:hAnsi="宋体" w:eastAsia="宋体" w:cs="宋体"/>
                <w:color w:val="auto"/>
                <w:sz w:val="21"/>
                <w:szCs w:val="21"/>
                <w:highlight w:val="none"/>
              </w:rPr>
              <w:t>。</w:t>
            </w:r>
          </w:p>
        </w:tc>
        <w:tc>
          <w:tcPr>
            <w:tcW w:w="525" w:type="dxa"/>
            <w:tcBorders>
              <w:top w:val="single" w:color="auto" w:sz="4" w:space="0"/>
              <w:left w:val="single" w:color="auto" w:sz="4" w:space="0"/>
              <w:bottom w:val="single" w:color="auto" w:sz="4" w:space="0"/>
              <w:right w:val="single" w:color="auto" w:sz="2" w:space="0"/>
            </w:tcBorders>
            <w:vAlign w:val="center"/>
          </w:tcPr>
          <w:p w14:paraId="2B58A016">
            <w:pPr>
              <w:spacing w:before="93" w:beforeLines="30" w:line="276" w:lineRule="auto"/>
              <w:jc w:val="center"/>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21"/>
                <w:highlight w:val="none"/>
                <w:lang w:val="en-US" w:eastAsia="zh-CN"/>
              </w:rPr>
              <w:t>7</w:t>
            </w:r>
          </w:p>
        </w:tc>
        <w:tc>
          <w:tcPr>
            <w:tcW w:w="855" w:type="dxa"/>
            <w:tcBorders>
              <w:top w:val="single" w:color="auto" w:sz="4" w:space="0"/>
              <w:left w:val="single" w:color="auto" w:sz="4" w:space="0"/>
              <w:bottom w:val="single" w:color="auto" w:sz="4" w:space="0"/>
              <w:right w:val="single" w:color="auto" w:sz="2" w:space="0"/>
            </w:tcBorders>
            <w:vAlign w:val="center"/>
          </w:tcPr>
          <w:p w14:paraId="5D411676">
            <w:pPr>
              <w:spacing w:before="93" w:beforeLines="30" w:line="276"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38A2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692" w:type="dxa"/>
            <w:vMerge w:val="continue"/>
            <w:tcBorders>
              <w:left w:val="single" w:color="auto" w:sz="4" w:space="0"/>
              <w:right w:val="single" w:color="auto" w:sz="2" w:space="0"/>
            </w:tcBorders>
            <w:vAlign w:val="center"/>
          </w:tcPr>
          <w:p w14:paraId="5EAA809B">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638" w:type="dxa"/>
            <w:vMerge w:val="continue"/>
            <w:tcBorders>
              <w:left w:val="single" w:color="auto" w:sz="4" w:space="0"/>
              <w:right w:val="single" w:color="auto" w:sz="2" w:space="0"/>
            </w:tcBorders>
            <w:vAlign w:val="center"/>
          </w:tcPr>
          <w:p w14:paraId="2C6F2A2F">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1054" w:type="dxa"/>
            <w:tcBorders>
              <w:top w:val="single" w:color="auto" w:sz="4" w:space="0"/>
              <w:left w:val="single" w:color="auto" w:sz="4" w:space="0"/>
              <w:bottom w:val="single" w:color="auto" w:sz="4" w:space="0"/>
              <w:right w:val="single" w:color="auto" w:sz="2" w:space="0"/>
            </w:tcBorders>
            <w:vAlign w:val="center"/>
          </w:tcPr>
          <w:p w14:paraId="7D4B2228">
            <w:pPr>
              <w:spacing w:line="276" w:lineRule="auto"/>
              <w:rPr>
                <w:rFonts w:hint="default" w:cs="宋体" w:asciiTheme="majorEastAsia" w:hAnsiTheme="majorEastAsia" w:eastAsiaTheme="maj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质量</w:t>
            </w:r>
            <w:r>
              <w:rPr>
                <w:rFonts w:hint="eastAsia" w:ascii="宋体" w:hAnsi="宋体" w:cs="宋体"/>
                <w:color w:val="auto"/>
                <w:sz w:val="21"/>
                <w:szCs w:val="21"/>
                <w:highlight w:val="none"/>
                <w:lang w:val="en-US" w:eastAsia="zh-CN"/>
              </w:rPr>
              <w:t>管理和技术</w:t>
            </w:r>
            <w:r>
              <w:rPr>
                <w:rFonts w:hint="eastAsia" w:ascii="宋体" w:hAnsi="宋体" w:eastAsia="宋体" w:cs="宋体"/>
                <w:color w:val="auto"/>
                <w:sz w:val="21"/>
                <w:szCs w:val="21"/>
                <w:highlight w:val="none"/>
              </w:rPr>
              <w:t>保证措施（</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017" w:type="dxa"/>
            <w:tcBorders>
              <w:top w:val="single" w:color="auto" w:sz="4" w:space="0"/>
              <w:left w:val="single" w:color="auto" w:sz="4" w:space="0"/>
              <w:bottom w:val="single" w:color="auto" w:sz="4" w:space="0"/>
              <w:right w:val="single" w:color="auto" w:sz="2" w:space="0"/>
            </w:tcBorders>
            <w:vAlign w:val="center"/>
          </w:tcPr>
          <w:p w14:paraId="39CCB241">
            <w:pPr>
              <w:widowControl/>
              <w:spacing w:line="276" w:lineRule="auto"/>
              <w:rPr>
                <w:rFonts w:hint="eastAsia" w:cs="宋体" w:asciiTheme="majorEastAsia" w:hAnsiTheme="majorEastAsia" w:eastAsiaTheme="maj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根据投标人针对本项目提出的质量管理方案及技术保障措施进行综合评议：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具有完善的质量管理体系，能够全面保证项目成果的质量；采用先进的质量控制方法，对项目成果进行多次审核，确保</w:t>
            </w:r>
            <w:r>
              <w:rPr>
                <w:rFonts w:hint="eastAsia" w:ascii="宋体" w:hAnsi="宋体" w:cs="宋体"/>
                <w:color w:val="auto"/>
                <w:sz w:val="21"/>
                <w:szCs w:val="21"/>
                <w:highlight w:val="none"/>
                <w:lang w:val="en-US" w:eastAsia="zh-CN"/>
              </w:rPr>
              <w:t>报告</w:t>
            </w:r>
            <w:r>
              <w:rPr>
                <w:rFonts w:hint="eastAsia" w:ascii="宋体" w:hAnsi="宋体" w:eastAsia="宋体" w:cs="宋体"/>
                <w:color w:val="auto"/>
                <w:sz w:val="21"/>
                <w:szCs w:val="21"/>
                <w:highlight w:val="none"/>
              </w:rPr>
              <w:t>的质量和准确性；建立严格的质量责任制，明确每个环节的质量标准和责任人，确保</w:t>
            </w:r>
            <w:r>
              <w:rPr>
                <w:rFonts w:hint="eastAsia" w:ascii="宋体" w:hAnsi="宋体" w:cs="宋体"/>
                <w:color w:val="auto"/>
                <w:sz w:val="21"/>
                <w:szCs w:val="21"/>
                <w:highlight w:val="none"/>
                <w:lang w:val="en-US" w:eastAsia="zh-CN"/>
              </w:rPr>
              <w:t>报告</w:t>
            </w:r>
            <w:r>
              <w:rPr>
                <w:rFonts w:hint="eastAsia" w:ascii="宋体" w:hAnsi="宋体" w:eastAsia="宋体" w:cs="宋体"/>
                <w:color w:val="auto"/>
                <w:sz w:val="21"/>
                <w:szCs w:val="21"/>
                <w:highlight w:val="none"/>
              </w:rPr>
              <w:t>的质量稳定的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4-6</w:t>
            </w:r>
            <w:r>
              <w:rPr>
                <w:rFonts w:hint="eastAsia" w:ascii="宋体" w:hAnsi="宋体" w:eastAsia="宋体" w:cs="宋体"/>
                <w:color w:val="auto"/>
                <w:sz w:val="21"/>
                <w:szCs w:val="21"/>
                <w:highlight w:val="none"/>
              </w:rPr>
              <w:t>分；具有较为完善的质量管理体系，能够基本保证</w:t>
            </w:r>
            <w:r>
              <w:rPr>
                <w:rFonts w:hint="eastAsia" w:ascii="宋体" w:hAnsi="宋体" w:cs="宋体"/>
                <w:color w:val="auto"/>
                <w:sz w:val="21"/>
                <w:szCs w:val="21"/>
                <w:highlight w:val="none"/>
                <w:lang w:val="en-US" w:eastAsia="zh-CN"/>
              </w:rPr>
              <w:t>报告</w:t>
            </w:r>
            <w:r>
              <w:rPr>
                <w:rFonts w:hint="eastAsia" w:ascii="宋体" w:hAnsi="宋体" w:eastAsia="宋体" w:cs="宋体"/>
                <w:color w:val="auto"/>
                <w:sz w:val="21"/>
                <w:szCs w:val="21"/>
                <w:highlight w:val="none"/>
              </w:rPr>
              <w:t>的质量；会采用质量控制方法对项目成果进行检测和审核，但可能存在一些不足或漏洞；会建立质量责任制，但可能存在执行不到位或责任不明确的问题的得</w:t>
            </w:r>
            <w:r>
              <w:rPr>
                <w:rFonts w:hint="eastAsia" w:ascii="宋体" w:hAnsi="宋体" w:cs="宋体"/>
                <w:color w:val="auto"/>
                <w:sz w:val="21"/>
                <w:szCs w:val="21"/>
                <w:highlight w:val="none"/>
                <w:lang w:val="en-US" w:eastAsia="zh-CN"/>
              </w:rPr>
              <w:t>2-3.9</w:t>
            </w:r>
            <w:r>
              <w:rPr>
                <w:rFonts w:hint="eastAsia" w:ascii="宋体" w:hAnsi="宋体" w:eastAsia="宋体" w:cs="宋体"/>
                <w:color w:val="auto"/>
                <w:sz w:val="21"/>
                <w:szCs w:val="21"/>
                <w:highlight w:val="none"/>
              </w:rPr>
              <w:t>分；质量管理体系不够完善，无法保证</w:t>
            </w:r>
            <w:r>
              <w:rPr>
                <w:rFonts w:hint="eastAsia" w:ascii="宋体" w:hAnsi="宋体" w:cs="宋体"/>
                <w:color w:val="auto"/>
                <w:sz w:val="21"/>
                <w:szCs w:val="21"/>
                <w:highlight w:val="none"/>
                <w:lang w:val="en-US" w:eastAsia="zh-CN"/>
              </w:rPr>
              <w:t>报告</w:t>
            </w:r>
            <w:r>
              <w:rPr>
                <w:rFonts w:hint="eastAsia" w:ascii="宋体" w:hAnsi="宋体" w:eastAsia="宋体" w:cs="宋体"/>
                <w:color w:val="auto"/>
                <w:sz w:val="21"/>
                <w:szCs w:val="21"/>
                <w:highlight w:val="none"/>
              </w:rPr>
              <w:t>的质量；缺乏有效的质量控制方法和手段，无法对项目成果进行有效的检测和审核；未建立质量责任制或执行不到位，无法确保</w:t>
            </w:r>
            <w:r>
              <w:rPr>
                <w:rFonts w:hint="eastAsia" w:ascii="宋体" w:hAnsi="宋体" w:cs="宋体"/>
                <w:color w:val="auto"/>
                <w:sz w:val="21"/>
                <w:szCs w:val="21"/>
                <w:highlight w:val="none"/>
                <w:lang w:val="en-US" w:eastAsia="zh-CN"/>
              </w:rPr>
              <w:t>报告</w:t>
            </w:r>
            <w:r>
              <w:rPr>
                <w:rFonts w:hint="eastAsia" w:ascii="宋体" w:hAnsi="宋体" w:eastAsia="宋体" w:cs="宋体"/>
                <w:color w:val="auto"/>
                <w:sz w:val="21"/>
                <w:szCs w:val="21"/>
                <w:highlight w:val="none"/>
              </w:rPr>
              <w:t>的质量稳定的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0.1-1.9</w:t>
            </w:r>
            <w:r>
              <w:rPr>
                <w:rFonts w:hint="eastAsia" w:ascii="宋体" w:hAnsi="宋体" w:eastAsia="宋体" w:cs="宋体"/>
                <w:color w:val="auto"/>
                <w:sz w:val="21"/>
                <w:szCs w:val="21"/>
                <w:highlight w:val="none"/>
              </w:rPr>
              <w:t>分</w:t>
            </w:r>
            <w:r>
              <w:rPr>
                <w:rFonts w:hint="eastAsia" w:ascii="宋体" w:hAnsi="宋体"/>
                <w:color w:val="auto"/>
                <w:szCs w:val="21"/>
                <w:highlight w:val="none"/>
              </w:rPr>
              <w:t>；未提供不得分</w:t>
            </w:r>
            <w:r>
              <w:rPr>
                <w:rFonts w:hint="eastAsia" w:ascii="宋体" w:hAnsi="宋体" w:eastAsia="宋体" w:cs="宋体"/>
                <w:color w:val="auto"/>
                <w:sz w:val="21"/>
                <w:szCs w:val="21"/>
                <w:highlight w:val="none"/>
              </w:rPr>
              <w:t>。</w:t>
            </w:r>
          </w:p>
        </w:tc>
        <w:tc>
          <w:tcPr>
            <w:tcW w:w="525" w:type="dxa"/>
            <w:tcBorders>
              <w:top w:val="single" w:color="auto" w:sz="4" w:space="0"/>
              <w:left w:val="single" w:color="auto" w:sz="4" w:space="0"/>
              <w:bottom w:val="single" w:color="auto" w:sz="4" w:space="0"/>
              <w:right w:val="single" w:color="auto" w:sz="2" w:space="0"/>
            </w:tcBorders>
            <w:vAlign w:val="center"/>
          </w:tcPr>
          <w:p w14:paraId="5175916F">
            <w:pPr>
              <w:spacing w:before="93" w:beforeLines="30" w:line="276" w:lineRule="auto"/>
              <w:jc w:val="center"/>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21"/>
                <w:highlight w:val="none"/>
                <w:lang w:val="en-US" w:eastAsia="zh-CN"/>
              </w:rPr>
              <w:t>6</w:t>
            </w:r>
          </w:p>
        </w:tc>
        <w:tc>
          <w:tcPr>
            <w:tcW w:w="855" w:type="dxa"/>
            <w:tcBorders>
              <w:top w:val="single" w:color="auto" w:sz="4" w:space="0"/>
              <w:left w:val="single" w:color="auto" w:sz="4" w:space="0"/>
              <w:bottom w:val="single" w:color="auto" w:sz="4" w:space="0"/>
              <w:right w:val="single" w:color="auto" w:sz="2" w:space="0"/>
            </w:tcBorders>
            <w:vAlign w:val="center"/>
          </w:tcPr>
          <w:p w14:paraId="6E88A4DD">
            <w:pPr>
              <w:spacing w:before="93" w:beforeLines="30" w:line="276"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1273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692" w:type="dxa"/>
            <w:vMerge w:val="continue"/>
            <w:tcBorders>
              <w:left w:val="single" w:color="auto" w:sz="4" w:space="0"/>
              <w:right w:val="single" w:color="auto" w:sz="2" w:space="0"/>
            </w:tcBorders>
            <w:vAlign w:val="center"/>
          </w:tcPr>
          <w:p w14:paraId="307A84C3">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638" w:type="dxa"/>
            <w:vMerge w:val="continue"/>
            <w:tcBorders>
              <w:left w:val="single" w:color="auto" w:sz="4" w:space="0"/>
              <w:right w:val="single" w:color="auto" w:sz="2" w:space="0"/>
            </w:tcBorders>
            <w:vAlign w:val="center"/>
          </w:tcPr>
          <w:p w14:paraId="09D68E86">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1054" w:type="dxa"/>
            <w:tcBorders>
              <w:top w:val="single" w:color="auto" w:sz="4" w:space="0"/>
              <w:left w:val="single" w:color="auto" w:sz="4" w:space="0"/>
              <w:bottom w:val="single" w:color="auto" w:sz="4" w:space="0"/>
              <w:right w:val="single" w:color="auto" w:sz="2" w:space="0"/>
            </w:tcBorders>
            <w:shd w:val="clear" w:color="auto" w:fill="auto"/>
            <w:vAlign w:val="center"/>
          </w:tcPr>
          <w:p w14:paraId="76619045">
            <w:pPr>
              <w:spacing w:line="276" w:lineRule="auto"/>
              <w:jc w:val="center"/>
              <w:rPr>
                <w:rFonts w:hint="eastAsia" w:cs="宋体" w:asciiTheme="majorEastAsia" w:hAnsiTheme="majorEastAsia" w:eastAsiaTheme="maj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进度保证措施（6分）</w:t>
            </w:r>
          </w:p>
        </w:tc>
        <w:tc>
          <w:tcPr>
            <w:tcW w:w="6017" w:type="dxa"/>
            <w:tcBorders>
              <w:top w:val="single" w:color="auto" w:sz="4" w:space="0"/>
              <w:left w:val="single" w:color="auto" w:sz="4" w:space="0"/>
              <w:bottom w:val="single" w:color="auto" w:sz="4" w:space="0"/>
              <w:right w:val="single" w:color="auto" w:sz="2" w:space="0"/>
            </w:tcBorders>
            <w:shd w:val="clear" w:color="auto" w:fill="auto"/>
            <w:vAlign w:val="center"/>
          </w:tcPr>
          <w:p w14:paraId="0CD3CDCD">
            <w:pPr>
              <w:widowControl/>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根据投标人的审计进度保证措施方面进行综合评议：</w:t>
            </w:r>
          </w:p>
          <w:p w14:paraId="67ABD235">
            <w:pPr>
              <w:pStyle w:val="43"/>
              <w:widowControl/>
              <w:spacing w:line="276" w:lineRule="auto"/>
              <w:ind w:firstLine="0" w:firstLineChars="0"/>
              <w:rPr>
                <w:rFonts w:hint="eastAsia" w:cs="宋体" w:asciiTheme="majorEastAsia" w:hAnsiTheme="majorEastAsia" w:eastAsiaTheme="majorEastAsia"/>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根据招标人的审计内容，明确各阶段起止时间，保障措施有力，能满足采购人进度要求，得</w:t>
            </w:r>
            <w:r>
              <w:rPr>
                <w:rFonts w:hint="eastAsia" w:ascii="宋体" w:hAnsi="宋体" w:cs="宋体"/>
                <w:color w:val="auto"/>
                <w:sz w:val="21"/>
                <w:szCs w:val="21"/>
                <w:highlight w:val="none"/>
                <w:lang w:val="en-US" w:eastAsia="zh-CN"/>
              </w:rPr>
              <w:t>4-6</w:t>
            </w:r>
            <w:r>
              <w:rPr>
                <w:rFonts w:hint="eastAsia" w:ascii="宋体" w:hAnsi="宋体" w:eastAsia="宋体" w:cs="宋体"/>
                <w:color w:val="auto"/>
                <w:sz w:val="21"/>
                <w:szCs w:val="21"/>
                <w:highlight w:val="none"/>
                <w:lang w:val="en-US" w:eastAsia="zh-CN"/>
              </w:rPr>
              <w:t>分；根据招标人的审计内容，各阶段起止时间基本明确，保障措施基本能满足采购人进度要求，得</w:t>
            </w:r>
            <w:r>
              <w:rPr>
                <w:rFonts w:hint="eastAsia" w:ascii="宋体" w:hAnsi="宋体" w:cs="宋体"/>
                <w:color w:val="auto"/>
                <w:sz w:val="21"/>
                <w:szCs w:val="21"/>
                <w:highlight w:val="none"/>
                <w:lang w:val="en-US" w:eastAsia="zh-CN"/>
              </w:rPr>
              <w:t>2-3.9</w:t>
            </w:r>
            <w:r>
              <w:rPr>
                <w:rFonts w:hint="eastAsia" w:ascii="宋体" w:hAnsi="宋体" w:eastAsia="宋体" w:cs="宋体"/>
                <w:color w:val="auto"/>
                <w:sz w:val="21"/>
                <w:szCs w:val="21"/>
                <w:highlight w:val="none"/>
                <w:lang w:val="en-US" w:eastAsia="zh-CN"/>
              </w:rPr>
              <w:t>分；根据招标人的审计内容，明确各阶段起止时间存在一定问题，保障措施难以满足采购人进度要求，</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0.1-1.9</w:t>
            </w:r>
            <w:r>
              <w:rPr>
                <w:rFonts w:hint="eastAsia" w:ascii="宋体" w:hAnsi="宋体" w:eastAsia="宋体" w:cs="宋体"/>
                <w:color w:val="auto"/>
                <w:sz w:val="21"/>
                <w:szCs w:val="21"/>
                <w:highlight w:val="none"/>
              </w:rPr>
              <w:t>分</w:t>
            </w:r>
            <w:r>
              <w:rPr>
                <w:rFonts w:hint="eastAsia" w:ascii="宋体" w:hAnsi="宋体"/>
                <w:color w:val="auto"/>
                <w:szCs w:val="21"/>
                <w:highlight w:val="none"/>
              </w:rPr>
              <w:t>；未提供不得分</w:t>
            </w:r>
            <w:r>
              <w:rPr>
                <w:rFonts w:hint="eastAsia" w:ascii="宋体" w:hAnsi="宋体" w:eastAsia="宋体" w:cs="宋体"/>
                <w:color w:val="auto"/>
                <w:sz w:val="21"/>
                <w:szCs w:val="21"/>
                <w:highlight w:val="none"/>
              </w:rPr>
              <w:t>。</w:t>
            </w:r>
          </w:p>
        </w:tc>
        <w:tc>
          <w:tcPr>
            <w:tcW w:w="525" w:type="dxa"/>
            <w:tcBorders>
              <w:top w:val="single" w:color="auto" w:sz="4" w:space="0"/>
              <w:left w:val="single" w:color="auto" w:sz="4" w:space="0"/>
              <w:bottom w:val="single" w:color="auto" w:sz="4" w:space="0"/>
              <w:right w:val="single" w:color="auto" w:sz="2" w:space="0"/>
            </w:tcBorders>
            <w:shd w:val="clear" w:color="auto" w:fill="auto"/>
            <w:vAlign w:val="center"/>
          </w:tcPr>
          <w:p w14:paraId="1C2D2D89">
            <w:pPr>
              <w:spacing w:before="93" w:beforeLines="30" w:line="276" w:lineRule="auto"/>
              <w:jc w:val="center"/>
              <w:rPr>
                <w:rFonts w:hint="eastAsia" w:cs="Times New Roman" w:asciiTheme="majorEastAsia" w:hAnsiTheme="majorEastAsia" w:eastAsiaTheme="maj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855" w:type="dxa"/>
            <w:tcBorders>
              <w:top w:val="single" w:color="auto" w:sz="4" w:space="0"/>
              <w:left w:val="single" w:color="auto" w:sz="4" w:space="0"/>
              <w:bottom w:val="single" w:color="auto" w:sz="4" w:space="0"/>
              <w:right w:val="single" w:color="auto" w:sz="2" w:space="0"/>
            </w:tcBorders>
            <w:shd w:val="clear" w:color="auto" w:fill="auto"/>
            <w:vAlign w:val="center"/>
          </w:tcPr>
          <w:p w14:paraId="41DF229E">
            <w:pPr>
              <w:spacing w:before="93" w:beforeLines="30" w:line="276"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1C72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692" w:type="dxa"/>
            <w:vMerge w:val="continue"/>
            <w:tcBorders>
              <w:left w:val="single" w:color="auto" w:sz="4" w:space="0"/>
              <w:right w:val="single" w:color="auto" w:sz="2" w:space="0"/>
            </w:tcBorders>
            <w:vAlign w:val="center"/>
          </w:tcPr>
          <w:p w14:paraId="001BCF73">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638" w:type="dxa"/>
            <w:vMerge w:val="continue"/>
            <w:tcBorders>
              <w:left w:val="single" w:color="auto" w:sz="4" w:space="0"/>
              <w:right w:val="single" w:color="auto" w:sz="2" w:space="0"/>
            </w:tcBorders>
            <w:vAlign w:val="center"/>
          </w:tcPr>
          <w:p w14:paraId="57173574">
            <w:pPr>
              <w:widowControl/>
              <w:spacing w:before="93" w:beforeLines="30" w:after="240" w:line="276" w:lineRule="auto"/>
              <w:jc w:val="left"/>
              <w:rPr>
                <w:rFonts w:asciiTheme="majorEastAsia" w:hAnsiTheme="majorEastAsia" w:eastAsiaTheme="majorEastAsia"/>
                <w:snapToGrid w:val="0"/>
                <w:color w:val="auto"/>
                <w:spacing w:val="-4"/>
                <w:szCs w:val="21"/>
                <w:highlight w:val="none"/>
              </w:rPr>
            </w:pPr>
          </w:p>
        </w:tc>
        <w:tc>
          <w:tcPr>
            <w:tcW w:w="1054" w:type="dxa"/>
            <w:tcBorders>
              <w:top w:val="single" w:color="auto" w:sz="4" w:space="0"/>
              <w:left w:val="single" w:color="auto" w:sz="4" w:space="0"/>
              <w:bottom w:val="single" w:color="auto" w:sz="4" w:space="0"/>
              <w:right w:val="single" w:color="auto" w:sz="2" w:space="0"/>
            </w:tcBorders>
            <w:shd w:val="clear" w:color="auto" w:fill="auto"/>
            <w:vAlign w:val="center"/>
          </w:tcPr>
          <w:p w14:paraId="39533BA1">
            <w:pPr>
              <w:spacing w:line="276" w:lineRule="auto"/>
              <w:jc w:val="center"/>
              <w:rPr>
                <w:rFonts w:hint="default" w:ascii="宋体" w:hAnsi="宋体" w:eastAsia="宋体" w:cs="宋体"/>
                <w:color w:val="auto"/>
                <w:kern w:val="2"/>
                <w:sz w:val="21"/>
                <w:szCs w:val="21"/>
                <w:highlight w:val="none"/>
                <w:lang w:val="en-US" w:eastAsia="zh-CN" w:bidi="ar-SA"/>
              </w:rPr>
            </w:pPr>
            <w:r>
              <w:rPr>
                <w:rFonts w:hint="eastAsia"/>
                <w:color w:val="auto"/>
                <w:highlight w:val="none"/>
                <w:lang w:val="en-US" w:eastAsia="zh-CN"/>
              </w:rPr>
              <w:t>后续增值服务方案</w:t>
            </w:r>
            <w:r>
              <w:rPr>
                <w:rFonts w:hint="eastAsia" w:ascii="宋体" w:hAnsi="宋体" w:cs="宋体"/>
                <w:color w:val="auto"/>
                <w:sz w:val="21"/>
                <w:szCs w:val="21"/>
                <w:highlight w:val="none"/>
                <w:lang w:val="en-US" w:eastAsia="zh-CN"/>
              </w:rPr>
              <w:t>（6分）</w:t>
            </w:r>
          </w:p>
        </w:tc>
        <w:tc>
          <w:tcPr>
            <w:tcW w:w="6017" w:type="dxa"/>
            <w:tcBorders>
              <w:top w:val="single" w:color="auto" w:sz="4" w:space="0"/>
              <w:left w:val="single" w:color="auto" w:sz="4" w:space="0"/>
              <w:bottom w:val="single" w:color="auto" w:sz="4" w:space="0"/>
              <w:right w:val="single" w:color="auto" w:sz="2" w:space="0"/>
            </w:tcBorders>
            <w:shd w:val="clear" w:color="auto" w:fill="auto"/>
            <w:vAlign w:val="center"/>
          </w:tcPr>
          <w:p w14:paraId="6A9484B8">
            <w:pPr>
              <w:widowControl/>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根据投标人提供的后续增值服务方案进综合评议：</w:t>
            </w:r>
          </w:p>
          <w:p w14:paraId="5DF68A7C">
            <w:pPr>
              <w:widowControl/>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增值服务方案贴切项目实际情况，服务方案内容详尽有效的，得4-6分；后续增值服务方案较为符合项目实际情况，服务方案内容较为详尽有效的，得2-3.9分；后续增值服务方案与项目实际情况不符，服务方案内容有缺陷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0.1-1.9</w:t>
            </w:r>
            <w:r>
              <w:rPr>
                <w:rFonts w:hint="eastAsia" w:ascii="宋体" w:hAnsi="宋体" w:eastAsia="宋体" w:cs="宋体"/>
                <w:color w:val="auto"/>
                <w:sz w:val="21"/>
                <w:szCs w:val="21"/>
                <w:highlight w:val="none"/>
              </w:rPr>
              <w:t>分；未提供不得分。</w:t>
            </w:r>
          </w:p>
        </w:tc>
        <w:tc>
          <w:tcPr>
            <w:tcW w:w="525" w:type="dxa"/>
            <w:tcBorders>
              <w:top w:val="single" w:color="auto" w:sz="4" w:space="0"/>
              <w:left w:val="single" w:color="auto" w:sz="4" w:space="0"/>
              <w:bottom w:val="single" w:color="auto" w:sz="4" w:space="0"/>
              <w:right w:val="single" w:color="auto" w:sz="2" w:space="0"/>
            </w:tcBorders>
            <w:shd w:val="clear" w:color="auto" w:fill="auto"/>
            <w:vAlign w:val="center"/>
          </w:tcPr>
          <w:p w14:paraId="7C660DE1">
            <w:pPr>
              <w:spacing w:before="93" w:beforeLines="30"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855" w:type="dxa"/>
            <w:tcBorders>
              <w:top w:val="single" w:color="auto" w:sz="4" w:space="0"/>
              <w:left w:val="single" w:color="auto" w:sz="4" w:space="0"/>
              <w:bottom w:val="single" w:color="auto" w:sz="4" w:space="0"/>
              <w:right w:val="single" w:color="auto" w:sz="2" w:space="0"/>
            </w:tcBorders>
            <w:shd w:val="clear" w:color="auto" w:fill="auto"/>
            <w:vAlign w:val="center"/>
          </w:tcPr>
          <w:p w14:paraId="322473BA">
            <w:pPr>
              <w:spacing w:before="93" w:beforeLines="30" w:line="27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7D1F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jc w:val="center"/>
        </w:trPr>
        <w:tc>
          <w:tcPr>
            <w:tcW w:w="1330" w:type="dxa"/>
            <w:gridSpan w:val="2"/>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14:paraId="208DF10F">
            <w:pPr>
              <w:spacing w:before="85" w:beforeLines="30" w:line="288" w:lineRule="auto"/>
              <w:jc w:val="center"/>
              <w:rPr>
                <w:rFonts w:asciiTheme="majorEastAsia" w:hAnsiTheme="majorEastAsia" w:eastAsiaTheme="majorEastAsia"/>
                <w:snapToGrid w:val="0"/>
                <w:color w:val="auto"/>
                <w:spacing w:val="-4"/>
                <w:szCs w:val="21"/>
                <w:highlight w:val="none"/>
              </w:rPr>
            </w:pPr>
            <w:r>
              <w:rPr>
                <w:rFonts w:hint="eastAsia" w:asciiTheme="majorEastAsia" w:hAnsiTheme="majorEastAsia" w:eastAsiaTheme="majorEastAsia"/>
                <w:snapToGrid w:val="0"/>
                <w:color w:val="auto"/>
                <w:spacing w:val="-4"/>
                <w:szCs w:val="21"/>
                <w:highlight w:val="none"/>
              </w:rPr>
              <w:t>报价分</w:t>
            </w:r>
          </w:p>
          <w:p w14:paraId="3F7A211A">
            <w:pPr>
              <w:spacing w:before="85" w:beforeLines="30" w:line="288" w:lineRule="auto"/>
              <w:jc w:val="center"/>
              <w:rPr>
                <w:rFonts w:asciiTheme="majorEastAsia" w:hAnsiTheme="majorEastAsia" w:eastAsiaTheme="majorEastAsia"/>
                <w:snapToGrid w:val="0"/>
                <w:color w:val="auto"/>
                <w:spacing w:val="-4"/>
                <w:szCs w:val="21"/>
                <w:highlight w:val="none"/>
              </w:rPr>
            </w:pPr>
            <w:r>
              <w:rPr>
                <w:rFonts w:hint="eastAsia" w:asciiTheme="majorEastAsia" w:hAnsiTheme="majorEastAsia" w:eastAsiaTheme="majorEastAsia"/>
                <w:snapToGrid w:val="0"/>
                <w:color w:val="auto"/>
                <w:spacing w:val="-4"/>
                <w:szCs w:val="21"/>
                <w:highlight w:val="none"/>
              </w:rPr>
              <w:t>（满分</w:t>
            </w:r>
            <w:r>
              <w:rPr>
                <w:rFonts w:hint="eastAsia" w:asciiTheme="majorEastAsia" w:hAnsiTheme="majorEastAsia" w:eastAsiaTheme="majorEastAsia"/>
                <w:snapToGrid w:val="0"/>
                <w:color w:val="auto"/>
                <w:spacing w:val="-4"/>
                <w:szCs w:val="21"/>
                <w:highlight w:val="none"/>
                <w:lang w:val="en-US" w:eastAsia="zh-CN"/>
              </w:rPr>
              <w:t>10</w:t>
            </w:r>
            <w:r>
              <w:rPr>
                <w:rFonts w:hint="eastAsia" w:asciiTheme="majorEastAsia" w:hAnsiTheme="majorEastAsia" w:eastAsiaTheme="majorEastAsia"/>
                <w:snapToGrid w:val="0"/>
                <w:color w:val="auto"/>
                <w:spacing w:val="-4"/>
                <w:szCs w:val="21"/>
                <w:highlight w:val="none"/>
              </w:rPr>
              <w:t>分）</w:t>
            </w:r>
          </w:p>
        </w:tc>
        <w:tc>
          <w:tcPr>
            <w:tcW w:w="8451" w:type="dxa"/>
            <w:gridSpan w:val="4"/>
            <w:tcBorders>
              <w:top w:val="single" w:color="auto" w:sz="4" w:space="0"/>
              <w:left w:val="single" w:color="auto" w:sz="4" w:space="0"/>
              <w:bottom w:val="single" w:color="auto" w:sz="4" w:space="0"/>
              <w:right w:val="single" w:color="auto" w:sz="2" w:space="0"/>
            </w:tcBorders>
            <w:vAlign w:val="center"/>
          </w:tcPr>
          <w:p w14:paraId="275D5EE6">
            <w:pPr>
              <w:spacing w:before="85"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评标基准价指的是满足招标文件要求且最低的参与评审的价格。</w:t>
            </w:r>
          </w:p>
          <w:p w14:paraId="52C7A061">
            <w:pPr>
              <w:spacing w:before="85"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参与评审的价格=投标报价。</w:t>
            </w:r>
          </w:p>
          <w:p w14:paraId="0F634244">
            <w:pPr>
              <w:spacing w:before="85"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参与评审的价格为评标基准价的其价格得分得满分</w:t>
            </w:r>
            <w:r>
              <w:rPr>
                <w:rFonts w:hint="eastAsia" w:asciiTheme="majorEastAsia" w:hAnsiTheme="majorEastAsia" w:eastAsiaTheme="majorEastAsia"/>
                <w:color w:val="auto"/>
                <w:szCs w:val="21"/>
                <w:highlight w:val="none"/>
                <w:lang w:val="en-US" w:eastAsia="zh-CN"/>
              </w:rPr>
              <w:t>10</w:t>
            </w:r>
            <w:r>
              <w:rPr>
                <w:rFonts w:hint="eastAsia" w:asciiTheme="majorEastAsia" w:hAnsiTheme="majorEastAsia" w:eastAsiaTheme="majorEastAsia"/>
                <w:color w:val="auto"/>
                <w:szCs w:val="21"/>
                <w:highlight w:val="none"/>
              </w:rPr>
              <w:t>分。</w:t>
            </w:r>
          </w:p>
          <w:p w14:paraId="1B06CEDC">
            <w:pPr>
              <w:spacing w:before="85"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其他投标人价格得分按照下列公式计算：</w:t>
            </w:r>
          </w:p>
          <w:p w14:paraId="0DFA046B">
            <w:pPr>
              <w:spacing w:before="85"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价格得分=（评标基准价/各投标人参与评审的价格）×</w:t>
            </w:r>
            <w:r>
              <w:rPr>
                <w:rFonts w:hint="eastAsia" w:asciiTheme="majorEastAsia" w:hAnsiTheme="majorEastAsia" w:eastAsiaTheme="majorEastAsia"/>
                <w:color w:val="auto"/>
                <w:szCs w:val="21"/>
                <w:highlight w:val="none"/>
                <w:lang w:val="en-US" w:eastAsia="zh-CN"/>
              </w:rPr>
              <w:t>10%</w:t>
            </w:r>
            <w:r>
              <w:rPr>
                <w:rFonts w:hint="eastAsia" w:asciiTheme="majorEastAsia" w:hAnsiTheme="majorEastAsia" w:eastAsiaTheme="majorEastAsia"/>
                <w:color w:val="auto"/>
                <w:szCs w:val="21"/>
                <w:highlight w:val="none"/>
              </w:rPr>
              <w:t>×100。</w:t>
            </w:r>
          </w:p>
          <w:p w14:paraId="5E5BADD0">
            <w:pPr>
              <w:spacing w:before="85"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注：1、投标报价超过最高限价的作无效标处理。</w:t>
            </w:r>
          </w:p>
          <w:p w14:paraId="2817C99B">
            <w:pPr>
              <w:spacing w:before="85" w:beforeLines="30" w:line="288" w:lineRule="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2、价格得分小数点后保留2位小数，第3位小数四舍五入。</w:t>
            </w:r>
          </w:p>
        </w:tc>
      </w:tr>
    </w:tbl>
    <w:p w14:paraId="41D00B92">
      <w:pPr>
        <w:pStyle w:val="2"/>
        <w:spacing w:beforeLines="0" w:afterLines="0" w:line="360" w:lineRule="auto"/>
        <w:rPr>
          <w:rFonts w:ascii="宋体" w:hAnsi="宋体"/>
          <w:color w:val="auto"/>
          <w:sz w:val="32"/>
          <w:szCs w:val="32"/>
          <w:highlight w:val="none"/>
        </w:rPr>
        <w:sectPr>
          <w:headerReference r:id="rId15" w:type="default"/>
          <w:pgSz w:w="11907" w:h="16840"/>
          <w:pgMar w:top="1418" w:right="1701" w:bottom="1418" w:left="1701" w:header="720" w:footer="720" w:gutter="0"/>
          <w:cols w:space="720" w:num="1"/>
          <w:docGrid w:type="lines" w:linePitch="285" w:charSpace="0"/>
        </w:sectPr>
      </w:pPr>
    </w:p>
    <w:p w14:paraId="7F1B204D">
      <w:pPr>
        <w:pStyle w:val="2"/>
        <w:spacing w:beforeLines="0" w:afterLines="0" w:line="360" w:lineRule="auto"/>
        <w:rPr>
          <w:rFonts w:ascii="宋体" w:hAnsi="宋体"/>
          <w:color w:val="auto"/>
          <w:sz w:val="32"/>
          <w:szCs w:val="32"/>
          <w:highlight w:val="none"/>
        </w:rPr>
      </w:pPr>
      <w:bookmarkStart w:id="118" w:name="_Toc21993"/>
      <w:r>
        <w:rPr>
          <w:rFonts w:hint="eastAsia" w:ascii="宋体" w:hAnsi="宋体"/>
          <w:color w:val="auto"/>
          <w:sz w:val="32"/>
          <w:szCs w:val="32"/>
          <w:highlight w:val="none"/>
        </w:rPr>
        <w:t>第六部分  合同格式</w:t>
      </w:r>
      <w:bookmarkEnd w:id="117"/>
      <w:bookmarkEnd w:id="118"/>
    </w:p>
    <w:p w14:paraId="5F03EFE5">
      <w:pPr>
        <w:spacing w:line="360" w:lineRule="auto"/>
        <w:rPr>
          <w:rFonts w:asciiTheme="minorEastAsia" w:hAnsiTheme="minorEastAsia" w:eastAsiaTheme="minorEastAsia" w:cstheme="minorEastAsia"/>
          <w:color w:val="auto"/>
          <w:szCs w:val="21"/>
          <w:highlight w:val="none"/>
        </w:rPr>
      </w:pPr>
      <w:bookmarkStart w:id="119" w:name="_Toc298230959"/>
      <w:r>
        <w:rPr>
          <w:rFonts w:hint="eastAsia" w:asciiTheme="minorEastAsia" w:hAnsiTheme="minorEastAsia" w:eastAsiaTheme="minorEastAsia" w:cstheme="minorEastAsia"/>
          <w:color w:val="auto"/>
          <w:szCs w:val="21"/>
          <w:highlight w:val="none"/>
        </w:rPr>
        <w:t>审计机关（甲方）：</w:t>
      </w:r>
    </w:p>
    <w:p w14:paraId="28D6299F">
      <w:pPr>
        <w:pStyle w:val="142"/>
        <w:spacing w:line="360" w:lineRule="auto"/>
        <w:ind w:left="0" w:leftChars="0" w:firstLine="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法定代表/授权代表：</w:t>
      </w:r>
    </w:p>
    <w:p w14:paraId="455E556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
    <w:p w14:paraId="32DE068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协审单位（乙方）：</w:t>
      </w:r>
    </w:p>
    <w:p w14:paraId="06C0D456">
      <w:pPr>
        <w:pStyle w:val="142"/>
        <w:spacing w:line="360" w:lineRule="auto"/>
        <w:ind w:left="0" w:leftChars="0" w:firstLine="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法定代表/授权代表：</w:t>
      </w:r>
    </w:p>
    <w:p w14:paraId="4B3349D9">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
    <w:p w14:paraId="6C15E2E9">
      <w:pPr>
        <w:pStyle w:val="122"/>
        <w:jc w:val="both"/>
        <w:rPr>
          <w:rFonts w:asciiTheme="minorEastAsia" w:hAnsiTheme="minorEastAsia" w:eastAsiaTheme="minorEastAsia" w:cstheme="minorEastAsia"/>
          <w:color w:val="auto"/>
          <w:sz w:val="21"/>
          <w:szCs w:val="21"/>
          <w:highlight w:val="none"/>
          <w:u w:val="single"/>
        </w:rPr>
      </w:pPr>
    </w:p>
    <w:p w14:paraId="405537C6">
      <w:pPr>
        <w:pStyle w:val="15"/>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《北仑区审计局聘请社会中介机构参与政府投资建设项目审计管理办法》</w:t>
      </w:r>
      <w:r>
        <w:rPr>
          <w:rFonts w:hint="eastAsia" w:asciiTheme="minorEastAsia" w:hAnsiTheme="minorEastAsia" w:eastAsiaTheme="minorEastAsia" w:cstheme="minorEastAsia"/>
          <w:color w:val="auto"/>
          <w:sz w:val="21"/>
          <w:szCs w:val="21"/>
          <w:highlight w:val="none"/>
        </w:rPr>
        <w:t>及</w:t>
      </w:r>
      <w:r>
        <w:rPr>
          <w:rFonts w:hint="eastAsia" w:asciiTheme="minorEastAsia" w:hAnsiTheme="minorEastAsia" w:eastAsiaTheme="minorEastAsia" w:cstheme="minorEastAsia"/>
          <w:color w:val="auto"/>
          <w:sz w:val="21"/>
          <w:szCs w:val="21"/>
          <w:highlight w:val="none"/>
          <w:lang w:eastAsia="zh-CN"/>
        </w:rPr>
        <w:t>北仑区</w:t>
      </w:r>
      <w:r>
        <w:rPr>
          <w:rFonts w:hint="eastAsia" w:asciiTheme="minorEastAsia" w:hAnsiTheme="minorEastAsia" w:eastAsiaTheme="minorEastAsia" w:cstheme="minorEastAsia"/>
          <w:color w:val="auto"/>
          <w:sz w:val="21"/>
          <w:szCs w:val="21"/>
          <w:highlight w:val="none"/>
        </w:rPr>
        <w:t>审计局年度审计项目计划安排，由</w:t>
      </w:r>
      <w:r>
        <w:rPr>
          <w:rFonts w:hint="eastAsia" w:asciiTheme="minorEastAsia" w:hAnsiTheme="minorEastAsia" w:eastAsiaTheme="minorEastAsia" w:cstheme="minorEastAsia"/>
          <w:color w:val="auto"/>
          <w:sz w:val="21"/>
          <w:szCs w:val="21"/>
          <w:highlight w:val="none"/>
          <w:lang w:eastAsia="zh-CN"/>
        </w:rPr>
        <w:t>北仑区</w:t>
      </w:r>
      <w:r>
        <w:rPr>
          <w:rFonts w:hint="eastAsia" w:asciiTheme="minorEastAsia" w:hAnsiTheme="minorEastAsia" w:eastAsiaTheme="minorEastAsia" w:cstheme="minorEastAsia"/>
          <w:color w:val="auto"/>
          <w:sz w:val="21"/>
          <w:szCs w:val="21"/>
          <w:highlight w:val="none"/>
        </w:rPr>
        <w:t>审计局组织采购，确定由</w:t>
      </w:r>
      <w:r>
        <w:rPr>
          <w:rFonts w:hint="eastAsia" w:asciiTheme="minorEastAsia" w:hAnsiTheme="minorEastAsia" w:eastAsiaTheme="minorEastAsia" w:cstheme="minorEastAsia"/>
          <w:color w:val="auto"/>
          <w:sz w:val="21"/>
          <w:szCs w:val="21"/>
          <w:highlight w:val="none"/>
          <w:u w:val="single"/>
        </w:rPr>
        <w:t xml:space="preserve">            （乙方）</w:t>
      </w:r>
      <w:r>
        <w:rPr>
          <w:rFonts w:hint="eastAsia" w:asciiTheme="minorEastAsia" w:hAnsiTheme="minorEastAsia" w:eastAsiaTheme="minorEastAsia" w:cstheme="minorEastAsia"/>
          <w:color w:val="auto"/>
          <w:sz w:val="21"/>
          <w:szCs w:val="21"/>
          <w:highlight w:val="none"/>
        </w:rPr>
        <w:t>参与</w:t>
      </w:r>
      <w:r>
        <w:rPr>
          <w:rFonts w:hint="eastAsia" w:asciiTheme="minorEastAsia" w:hAnsiTheme="minorEastAsia" w:eastAsiaTheme="minorEastAsia" w:cstheme="minorEastAsia"/>
          <w:color w:val="auto"/>
          <w:sz w:val="21"/>
          <w:szCs w:val="21"/>
          <w:highlight w:val="none"/>
          <w:u w:val="single"/>
          <w:lang w:val="en-US" w:eastAsia="zh-CN"/>
        </w:rPr>
        <w:t>宁波市北仑区东海实验学校庐南校区2025年度预算执行审计协审服务</w:t>
      </w:r>
      <w:r>
        <w:rPr>
          <w:rFonts w:hint="eastAsia" w:asciiTheme="minorEastAsia" w:hAnsiTheme="minorEastAsia" w:eastAsiaTheme="minorEastAsia" w:cstheme="minorEastAsia"/>
          <w:color w:val="auto"/>
          <w:sz w:val="21"/>
          <w:szCs w:val="21"/>
          <w:highlight w:val="none"/>
        </w:rPr>
        <w:t>。为确保本服务项目的顺利实施，明确双方的权利义务关系，现依照有关法律、法规，在遵循平等、自愿、公平和诚实信用的原则下，双方协商一致，订立本协议。</w:t>
      </w:r>
    </w:p>
    <w:p w14:paraId="04B9A9E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一、项目情况</w:t>
      </w:r>
    </w:p>
    <w:p w14:paraId="79C9D4F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 项目名称：</w:t>
      </w:r>
    </w:p>
    <w:p w14:paraId="767D594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 项目建设地点：</w:t>
      </w:r>
    </w:p>
    <w:p w14:paraId="0AA6F4A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 项目建设内容及规定：</w:t>
      </w:r>
    </w:p>
    <w:p w14:paraId="673FF6E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 进度情况：</w:t>
      </w:r>
    </w:p>
    <w:p w14:paraId="2EB760C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二、审计范围及内容</w:t>
      </w:r>
    </w:p>
    <w:p w14:paraId="19674DB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w:t>
      </w:r>
      <w:r>
        <w:rPr>
          <w:rFonts w:hint="eastAsia" w:asciiTheme="minorEastAsia" w:hAnsiTheme="minorEastAsia" w:eastAsiaTheme="minorEastAsia" w:cstheme="minorEastAsia"/>
          <w:color w:val="auto"/>
          <w:szCs w:val="21"/>
          <w:highlight w:val="none"/>
          <w:lang w:eastAsia="zh-CN"/>
        </w:rPr>
        <w:t>北仑区</w:t>
      </w:r>
      <w:r>
        <w:rPr>
          <w:rFonts w:hint="eastAsia" w:asciiTheme="minorEastAsia" w:hAnsiTheme="minorEastAsia" w:eastAsiaTheme="minorEastAsia" w:cstheme="minorEastAsia"/>
          <w:color w:val="auto"/>
          <w:szCs w:val="21"/>
          <w:highlight w:val="none"/>
        </w:rPr>
        <w:t>审计局审计组的协审单位人员应严格按照</w:t>
      </w:r>
      <w:r>
        <w:rPr>
          <w:rFonts w:hint="eastAsia" w:asciiTheme="minorEastAsia" w:hAnsiTheme="minorEastAsia" w:eastAsiaTheme="minorEastAsia" w:cstheme="minorEastAsia"/>
          <w:color w:val="auto"/>
          <w:szCs w:val="21"/>
          <w:highlight w:val="none"/>
          <w:lang w:eastAsia="zh-CN"/>
        </w:rPr>
        <w:t>北仑区</w:t>
      </w:r>
      <w:r>
        <w:rPr>
          <w:rFonts w:hint="eastAsia" w:asciiTheme="minorEastAsia" w:hAnsiTheme="minorEastAsia" w:eastAsiaTheme="minorEastAsia" w:cstheme="minorEastAsia"/>
          <w:color w:val="auto"/>
          <w:szCs w:val="21"/>
          <w:highlight w:val="none"/>
        </w:rPr>
        <w:t>审计局批准的审计实施方案进行协审服务。主要内容如下：</w:t>
      </w:r>
    </w:p>
    <w:p w14:paraId="0EAFF8EA">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预算执行</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结算</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决算审计</w:t>
      </w:r>
      <w:r>
        <w:rPr>
          <w:rFonts w:hint="eastAsia" w:asciiTheme="minorEastAsia" w:hAnsiTheme="minorEastAsia" w:eastAsiaTheme="minorEastAsia" w:cstheme="minorEastAsia"/>
          <w:b/>
          <w:bCs/>
          <w:color w:val="auto"/>
          <w:szCs w:val="21"/>
          <w:highlight w:val="none"/>
          <w:lang w:val="en-US" w:eastAsia="zh-CN"/>
        </w:rPr>
        <w:t>等</w:t>
      </w:r>
      <w:r>
        <w:rPr>
          <w:rFonts w:hint="eastAsia" w:asciiTheme="minorEastAsia" w:hAnsiTheme="minorEastAsia" w:eastAsiaTheme="minorEastAsia" w:cstheme="minorEastAsia"/>
          <w:b/>
          <w:bCs/>
          <w:color w:val="auto"/>
          <w:szCs w:val="21"/>
          <w:highlight w:val="none"/>
        </w:rPr>
        <w:t>内容：</w:t>
      </w:r>
    </w:p>
    <w:p w14:paraId="7611573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投资决策情况；</w:t>
      </w:r>
    </w:p>
    <w:p w14:paraId="12849D2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项目涉及行业主管部门履职情况；</w:t>
      </w:r>
    </w:p>
    <w:p w14:paraId="75FBBFD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基本建设程序执行情况；</w:t>
      </w:r>
    </w:p>
    <w:p w14:paraId="52111A0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土地利用和征地拆迁情况；</w:t>
      </w:r>
    </w:p>
    <w:p w14:paraId="1CB208D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工程招标投标及合同管理情况；</w:t>
      </w:r>
    </w:p>
    <w:p w14:paraId="1925427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工程质量管理情况；</w:t>
      </w:r>
    </w:p>
    <w:p w14:paraId="47F8117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甲供材料设备管理情况；</w:t>
      </w:r>
    </w:p>
    <w:p w14:paraId="511B47D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工程进度控制情况；</w:t>
      </w:r>
    </w:p>
    <w:p w14:paraId="764E0A2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工程投资控制情况；</w:t>
      </w:r>
    </w:p>
    <w:p w14:paraId="4E4820E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 xml:space="preserve">项目建设资金管理情况； </w:t>
      </w:r>
    </w:p>
    <w:p w14:paraId="182EAA8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rPr>
        <w:t>建设单位内部控制情况；</w:t>
      </w:r>
    </w:p>
    <w:p w14:paraId="72BA5CB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12.</w:t>
      </w:r>
      <w:r>
        <w:rPr>
          <w:rFonts w:hint="eastAsia" w:asciiTheme="minorEastAsia" w:hAnsiTheme="minorEastAsia" w:eastAsiaTheme="minorEastAsia" w:cstheme="minorEastAsia"/>
          <w:color w:val="auto"/>
          <w:szCs w:val="21"/>
          <w:highlight w:val="none"/>
        </w:rPr>
        <w:t>投资绩效和环境保护情况；</w:t>
      </w:r>
    </w:p>
    <w:p w14:paraId="680F015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13.</w:t>
      </w:r>
      <w:r>
        <w:rPr>
          <w:rFonts w:hint="eastAsia" w:asciiTheme="minorEastAsia" w:hAnsiTheme="minorEastAsia" w:eastAsiaTheme="minorEastAsia" w:cstheme="minorEastAsia"/>
          <w:color w:val="auto"/>
          <w:szCs w:val="21"/>
          <w:highlight w:val="none"/>
        </w:rPr>
        <w:t>工程结算情况；</w:t>
      </w:r>
    </w:p>
    <w:p w14:paraId="738E29D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14.</w:t>
      </w:r>
      <w:r>
        <w:rPr>
          <w:rFonts w:hint="eastAsia" w:asciiTheme="minorEastAsia" w:hAnsiTheme="minorEastAsia" w:eastAsiaTheme="minorEastAsia" w:cstheme="minorEastAsia"/>
          <w:color w:val="auto"/>
          <w:szCs w:val="21"/>
          <w:highlight w:val="none"/>
        </w:rPr>
        <w:t>竣工财务决算报表；</w:t>
      </w:r>
    </w:p>
    <w:p w14:paraId="55F48D1F">
      <w:pPr>
        <w:spacing w:line="360" w:lineRule="auto"/>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15.</w:t>
      </w:r>
      <w:r>
        <w:rPr>
          <w:rFonts w:hint="eastAsia" w:asciiTheme="minorEastAsia" w:hAnsiTheme="minorEastAsia" w:eastAsiaTheme="minorEastAsia" w:cstheme="minorEastAsia"/>
          <w:color w:val="auto"/>
          <w:szCs w:val="21"/>
          <w:highlight w:val="none"/>
        </w:rPr>
        <w:t>其他需要审计的内容。</w:t>
      </w:r>
    </w:p>
    <w:p w14:paraId="7B9DE74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三、审计方式</w:t>
      </w:r>
    </w:p>
    <w:p w14:paraId="33E9749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送达审计与现场审计相结合。根据审计方案的要求及时间节点实行现场审计，并设立现场审计办公场地。</w:t>
      </w:r>
    </w:p>
    <w:p w14:paraId="3470E53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四、审计时间和实施步骤</w:t>
      </w:r>
    </w:p>
    <w:p w14:paraId="5C9B906D">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按审计机关审定的审计实施方案确定的审计期限和内容完成审计工作。特殊情况确需延长审计时间的，应按相关程序报经审计机关批准同意。</w:t>
      </w:r>
    </w:p>
    <w:p w14:paraId="52F6464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五、审计机关的权利与义务</w:t>
      </w:r>
    </w:p>
    <w:p w14:paraId="397C1BF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1.负责组建审计组，下达审计通知书，制定审计实施方案，组织开展项目审计；</w:t>
      </w:r>
    </w:p>
    <w:p w14:paraId="3D214B4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2.负责协调有关</w:t>
      </w:r>
      <w:r>
        <w:rPr>
          <w:rFonts w:hint="eastAsia" w:asciiTheme="minorEastAsia" w:hAnsiTheme="minorEastAsia" w:eastAsiaTheme="minorEastAsia" w:cstheme="minorEastAsia"/>
          <w:color w:val="auto"/>
          <w:szCs w:val="21"/>
          <w:highlight w:val="none"/>
          <w:lang w:val="en-US" w:eastAsia="zh-CN"/>
        </w:rPr>
        <w:t>主管</w:t>
      </w:r>
      <w:r>
        <w:rPr>
          <w:rFonts w:hint="eastAsia" w:asciiTheme="minorEastAsia" w:hAnsiTheme="minorEastAsia" w:eastAsiaTheme="minorEastAsia" w:cstheme="minorEastAsia"/>
          <w:color w:val="auto"/>
          <w:szCs w:val="21"/>
          <w:highlight w:val="none"/>
        </w:rPr>
        <w:t>部门、业主、代建单位等的关系；</w:t>
      </w:r>
    </w:p>
    <w:p w14:paraId="5F744EF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3.负责召集重大审计事项的研究处理；</w:t>
      </w:r>
    </w:p>
    <w:p w14:paraId="4BA2444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4.负责</w:t>
      </w:r>
      <w:r>
        <w:rPr>
          <w:rFonts w:hint="eastAsia" w:asciiTheme="minorEastAsia" w:hAnsiTheme="minorEastAsia" w:eastAsiaTheme="minorEastAsia" w:cstheme="minorEastAsia"/>
          <w:color w:val="auto"/>
          <w:szCs w:val="21"/>
          <w:highlight w:val="none"/>
          <w:lang w:eastAsia="zh-CN"/>
        </w:rPr>
        <w:t>按《北仑区审计局聘请社会中介机构参与政府投资建设项目审计管理办法》（仑审</w:t>
      </w:r>
      <w:r>
        <w:rPr>
          <w:rFonts w:hint="eastAsia" w:asciiTheme="minorEastAsia" w:hAnsiTheme="minorEastAsia" w:eastAsiaTheme="minorEastAsia" w:cstheme="minorEastAsia"/>
          <w:color w:val="auto"/>
          <w:szCs w:val="21"/>
          <w:highlight w:val="none"/>
          <w:lang w:val="en-US" w:eastAsia="zh-CN"/>
        </w:rPr>
        <w:t>[2020]3号</w:t>
      </w:r>
      <w:r>
        <w:rPr>
          <w:rFonts w:hint="eastAsia" w:asciiTheme="minorEastAsia" w:hAnsiTheme="minorEastAsia" w:eastAsiaTheme="minorEastAsia" w:cstheme="minorEastAsia"/>
          <w:color w:val="auto"/>
          <w:szCs w:val="21"/>
          <w:highlight w:val="none"/>
          <w:lang w:eastAsia="zh-CN"/>
        </w:rPr>
        <w:t>）、《北仑区审计局关于印发〈北仑区审计局聘请外部人员参与审计工作实施细则〉的通知》（仑审〔</w:t>
      </w:r>
      <w:r>
        <w:rPr>
          <w:rFonts w:hint="eastAsia" w:asciiTheme="minorEastAsia" w:hAnsiTheme="minorEastAsia" w:eastAsiaTheme="minorEastAsia" w:cstheme="minorEastAsia"/>
          <w:color w:val="auto"/>
          <w:szCs w:val="21"/>
          <w:highlight w:val="none"/>
          <w:lang w:val="en-US" w:eastAsia="zh-CN"/>
        </w:rPr>
        <w:t>2019</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29号</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等有关规定对协审单位及其他人员进行考核、管理。如有最新规定，从其约定；</w:t>
      </w:r>
    </w:p>
    <w:p w14:paraId="5833080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5.负责审核协审单位的协审成果，并统一出具审计结果文书；</w:t>
      </w:r>
    </w:p>
    <w:p w14:paraId="38C3555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6.负责审计项目的立卷归档工作；</w:t>
      </w:r>
    </w:p>
    <w:p w14:paraId="001E229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7.法律、法规规定的其他事项。</w:t>
      </w:r>
    </w:p>
    <w:p w14:paraId="5DFFFDA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六、协审单位的权利与义务</w:t>
      </w:r>
    </w:p>
    <w:p w14:paraId="2D01821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在审计过程中，协审单位应坚持客观性、公正性、独立性，有权拒绝不符合国家法律、法规等的任何一方的人为干涉；协审人员在办理审计事项时，应当客观公正、实事求是、廉洁奉公，并保持严谨、稳健、负责的职业态度，在执行审计任务时，应真实反映审计结果，客观评价审计事项；</w:t>
      </w:r>
    </w:p>
    <w:p w14:paraId="74DD14E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2.不得随意干预参建各方的建设管理自主权；</w:t>
      </w:r>
    </w:p>
    <w:p w14:paraId="08F3633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3.严格按照《中华人民共和国审计法》《中华人民共和国国家审计准则》等法律法规及《浙江省</w:t>
      </w:r>
      <w:r>
        <w:rPr>
          <w:rFonts w:hint="eastAsia" w:asciiTheme="minorEastAsia" w:hAnsiTheme="minorEastAsia" w:eastAsiaTheme="minorEastAsia" w:cstheme="minorEastAsia"/>
          <w:color w:val="auto"/>
          <w:szCs w:val="21"/>
          <w:highlight w:val="none"/>
          <w:lang w:eastAsia="zh-CN"/>
        </w:rPr>
        <w:t>审厅关于印发浙江省公共投资项目预算执行审计实施细则等三项制度的通知</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、北仑区</w:t>
      </w:r>
      <w:r>
        <w:rPr>
          <w:rFonts w:hint="eastAsia" w:asciiTheme="minorEastAsia" w:hAnsiTheme="minorEastAsia" w:eastAsiaTheme="minorEastAsia" w:cstheme="minorEastAsia"/>
          <w:color w:val="auto"/>
          <w:szCs w:val="21"/>
          <w:highlight w:val="none"/>
        </w:rPr>
        <w:t>审计局制定（包括项目审计期间制定）的政府投资项目组织审计相关文件要求进行审计，重大审计事项及时向审计机关报告，接受审计机关的监督与管理；</w:t>
      </w:r>
    </w:p>
    <w:p w14:paraId="55A0A7E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4.按照审计机关确定的内容进行协审，协助完成审计事项的取证，分阶段向审计机关及时提交协审成果； </w:t>
      </w:r>
    </w:p>
    <w:p w14:paraId="1B3BE43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5.向审计机关出具独立的工程造价审计报告；</w:t>
      </w:r>
    </w:p>
    <w:p w14:paraId="39C82E2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6.按规定配合做好审计项目的立卷归档工作；</w:t>
      </w:r>
    </w:p>
    <w:p w14:paraId="77DC316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应保证协审质量，如被发现审计质量问题，审计机关有权根据所发现问题的性质和严重程度，决定要求整改直至终止本协议；造成损失的按实际赔偿；责任人如构成犯罪的，将依法移送有关部门；如发生重大质量问题，造成重大经济损失和不良影响的，按</w:t>
      </w:r>
      <w:r>
        <w:rPr>
          <w:rFonts w:hint="eastAsia" w:asciiTheme="minorEastAsia" w:hAnsiTheme="minorEastAsia" w:eastAsiaTheme="minorEastAsia" w:cstheme="minorEastAsia"/>
          <w:color w:val="auto"/>
          <w:sz w:val="21"/>
          <w:szCs w:val="21"/>
          <w:highlight w:val="none"/>
          <w:lang w:eastAsia="zh-CN"/>
        </w:rPr>
        <w:t>《北仑区审计局聘请社会中介机构参与政府投资建设项目审计管理办法》（仑审</w:t>
      </w:r>
      <w:r>
        <w:rPr>
          <w:rFonts w:hint="eastAsia" w:asciiTheme="minorEastAsia" w:hAnsiTheme="minorEastAsia" w:eastAsiaTheme="minorEastAsia" w:cstheme="minorEastAsia"/>
          <w:color w:val="auto"/>
          <w:sz w:val="21"/>
          <w:szCs w:val="21"/>
          <w:highlight w:val="none"/>
          <w:lang w:val="en-US" w:eastAsia="zh-CN"/>
        </w:rPr>
        <w:t>[2020]3号</w:t>
      </w:r>
      <w:r>
        <w:rPr>
          <w:rFonts w:hint="eastAsia" w:asciiTheme="minorEastAsia" w:hAnsiTheme="minorEastAsia" w:eastAsiaTheme="minorEastAsia" w:cstheme="minorEastAsia"/>
          <w:color w:val="auto"/>
          <w:sz w:val="21"/>
          <w:szCs w:val="21"/>
          <w:highlight w:val="none"/>
          <w:lang w:eastAsia="zh-CN"/>
        </w:rPr>
        <w:t>）、《北仑区审计局关于印发〈北仑区审计局聘请外部人员参与审计工作实施细则〉的通知》（仑审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2019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29号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Cs w:val="21"/>
          <w:highlight w:val="none"/>
        </w:rPr>
        <w:t>相关规定处理；</w:t>
      </w:r>
    </w:p>
    <w:p w14:paraId="088C2DD6">
      <w:pPr>
        <w:pStyle w:val="4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8.要求乙方驻场，具体时间甲方通知为准（不少于一个月）。</w:t>
      </w:r>
    </w:p>
    <w:p w14:paraId="2BB670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9.法律、法规规定的其他事项。</w:t>
      </w:r>
    </w:p>
    <w:p w14:paraId="31A73F5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七、审计费用的支付</w:t>
      </w:r>
    </w:p>
    <w:p w14:paraId="0AE2B05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合同金额（大写）</w:t>
      </w:r>
      <w:r>
        <w:rPr>
          <w:rFonts w:hint="eastAsia" w:asciiTheme="minorEastAsia" w:hAnsiTheme="minorEastAsia" w:eastAsiaTheme="minorEastAsia" w:cstheme="minorEastAsia"/>
          <w:color w:val="auto"/>
          <w:szCs w:val="21"/>
          <w:highlight w:val="none"/>
          <w:u w:val="single"/>
          <w:lang w:val="en-US" w:eastAsia="zh-CN"/>
        </w:rPr>
        <w:t xml:space="preserve">       元</w:t>
      </w:r>
      <w:r>
        <w:rPr>
          <w:rFonts w:hint="eastAsia" w:asciiTheme="minorEastAsia" w:hAnsiTheme="minorEastAsia" w:eastAsiaTheme="minorEastAsia" w:cstheme="minorEastAsia"/>
          <w:color w:val="auto"/>
          <w:szCs w:val="21"/>
          <w:highlight w:val="none"/>
          <w:lang w:val="en-US" w:eastAsia="zh-CN"/>
        </w:rPr>
        <w:t>，（小写）</w:t>
      </w:r>
      <w:r>
        <w:rPr>
          <w:rFonts w:ascii="Arial" w:hAnsi="Arial" w:eastAsia="宋体" w:cs="Arial"/>
          <w:i w:val="0"/>
          <w:iCs w:val="0"/>
          <w:caps w:val="0"/>
          <w:color w:val="auto"/>
          <w:spacing w:val="0"/>
          <w:sz w:val="21"/>
          <w:szCs w:val="21"/>
          <w:highlight w:val="none"/>
          <w:shd w:val="clear" w:fill="FFFFFF"/>
        </w:rPr>
        <w:t>￥</w:t>
      </w:r>
      <w:r>
        <w:rPr>
          <w:rFonts w:hint="eastAsia" w:asciiTheme="minorEastAsia" w:hAnsiTheme="minorEastAsia" w:eastAsiaTheme="minorEastAsia" w:cstheme="minorEastAsia"/>
          <w:color w:val="auto"/>
          <w:szCs w:val="21"/>
          <w:highlight w:val="none"/>
          <w:u w:val="single"/>
          <w:lang w:val="en-US" w:eastAsia="zh-CN"/>
        </w:rPr>
        <w:t xml:space="preserve">        元</w:t>
      </w:r>
      <w:r>
        <w:rPr>
          <w:rFonts w:hint="eastAsia" w:asciiTheme="minorEastAsia" w:hAnsiTheme="minorEastAsia" w:eastAsiaTheme="minorEastAsia" w:cstheme="minorEastAsia"/>
          <w:color w:val="auto"/>
          <w:szCs w:val="21"/>
          <w:highlight w:val="none"/>
          <w:lang w:val="en-US" w:eastAsia="zh-CN"/>
        </w:rPr>
        <w:t>。</w:t>
      </w:r>
    </w:p>
    <w:p w14:paraId="148F002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二</w:t>
      </w:r>
      <w:r>
        <w:rPr>
          <w:rFonts w:hint="eastAsia" w:asciiTheme="minorEastAsia" w:hAnsiTheme="minorEastAsia" w:eastAsiaTheme="minorEastAsia" w:cstheme="minorEastAsia"/>
          <w:color w:val="auto"/>
          <w:szCs w:val="21"/>
          <w:highlight w:val="none"/>
        </w:rPr>
        <w:t>）费用支付：</w:t>
      </w:r>
    </w:p>
    <w:p w14:paraId="6D144206">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r>
        <w:rPr>
          <w:rFonts w:hint="default" w:asciiTheme="minorEastAsia" w:hAnsiTheme="minorEastAsia" w:eastAsiaTheme="minorEastAsia" w:cstheme="minorEastAsia"/>
          <w:color w:val="auto"/>
          <w:szCs w:val="21"/>
          <w:highlight w:val="none"/>
          <w:lang w:val="en-US" w:eastAsia="zh-CN"/>
        </w:rPr>
        <w:t>在合同生效以及具备实施条件后7个工作日内，</w:t>
      </w:r>
      <w:r>
        <w:rPr>
          <w:rFonts w:hint="eastAsia" w:asciiTheme="minorEastAsia" w:hAnsiTheme="minorEastAsia" w:eastAsiaTheme="minorEastAsia" w:cstheme="minorEastAsia"/>
          <w:color w:val="auto"/>
          <w:szCs w:val="21"/>
          <w:highlight w:val="none"/>
          <w:lang w:val="en-US" w:eastAsia="zh-CN"/>
        </w:rPr>
        <w:t>甲方</w:t>
      </w:r>
      <w:r>
        <w:rPr>
          <w:rFonts w:hint="default" w:asciiTheme="minorEastAsia" w:hAnsiTheme="minorEastAsia" w:eastAsiaTheme="minorEastAsia" w:cstheme="minorEastAsia"/>
          <w:color w:val="auto"/>
          <w:szCs w:val="21"/>
          <w:highlight w:val="none"/>
          <w:lang w:val="en-US" w:eastAsia="zh-CN"/>
        </w:rPr>
        <w:t>凭</w:t>
      </w:r>
      <w:r>
        <w:rPr>
          <w:rFonts w:hint="eastAsia" w:asciiTheme="minorEastAsia" w:hAnsiTheme="minorEastAsia" w:eastAsiaTheme="minorEastAsia" w:cstheme="minorEastAsia"/>
          <w:color w:val="auto"/>
          <w:szCs w:val="21"/>
          <w:highlight w:val="none"/>
          <w:lang w:val="en-US" w:eastAsia="zh-CN"/>
        </w:rPr>
        <w:t>乙方</w:t>
      </w:r>
      <w:r>
        <w:rPr>
          <w:rFonts w:hint="default" w:asciiTheme="minorEastAsia" w:hAnsiTheme="minorEastAsia" w:eastAsiaTheme="minorEastAsia" w:cstheme="minorEastAsia"/>
          <w:color w:val="auto"/>
          <w:szCs w:val="21"/>
          <w:highlight w:val="none"/>
          <w:lang w:val="en-US" w:eastAsia="zh-CN"/>
        </w:rPr>
        <w:t>开具的发票及预付款保函支付合同金额的40%（预付款保函应由银行、保险公司等金融机构出具且与预付款同等金额），</w:t>
      </w:r>
      <w:r>
        <w:rPr>
          <w:rFonts w:hint="eastAsia" w:asciiTheme="minorEastAsia" w:hAnsiTheme="minorEastAsia" w:eastAsiaTheme="minorEastAsia" w:cstheme="minorEastAsia"/>
          <w:color w:val="auto"/>
          <w:szCs w:val="21"/>
          <w:highlight w:val="none"/>
          <w:lang w:val="en-US" w:eastAsia="zh-CN"/>
        </w:rPr>
        <w:t>乙方</w:t>
      </w:r>
      <w:r>
        <w:rPr>
          <w:rFonts w:hint="default" w:asciiTheme="minorEastAsia" w:hAnsiTheme="minorEastAsia" w:eastAsiaTheme="minorEastAsia" w:cstheme="minorEastAsia"/>
          <w:color w:val="auto"/>
          <w:szCs w:val="21"/>
          <w:highlight w:val="none"/>
          <w:lang w:val="en-US" w:eastAsia="zh-CN"/>
        </w:rPr>
        <w:t>于合同签订前书面承诺放弃预付款或降低预付款支付比例的，可不适用本条款；</w:t>
      </w:r>
    </w:p>
    <w:p w14:paraId="77739F2C">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r>
        <w:rPr>
          <w:rFonts w:hint="default" w:asciiTheme="minorEastAsia" w:hAnsiTheme="minorEastAsia" w:eastAsiaTheme="minorEastAsia" w:cstheme="minorEastAsia"/>
          <w:color w:val="auto"/>
          <w:szCs w:val="21"/>
          <w:highlight w:val="none"/>
          <w:lang w:val="en-US" w:eastAsia="zh-CN"/>
        </w:rPr>
        <w:t>完成1次预算执行审计（出具审计报告）后支付合同款的20%</w:t>
      </w:r>
      <w:r>
        <w:rPr>
          <w:rFonts w:hint="eastAsia" w:ascii="宋体" w:hAnsi="宋体" w:cs="宋体"/>
          <w:color w:val="auto"/>
          <w:szCs w:val="21"/>
          <w:highlight w:val="none"/>
          <w:lang w:eastAsia="zh-CN"/>
        </w:rPr>
        <w:t>（若</w:t>
      </w:r>
      <w:r>
        <w:rPr>
          <w:rFonts w:hint="eastAsia" w:ascii="宋体" w:hAnsi="宋体" w:cs="宋体"/>
          <w:color w:val="auto"/>
          <w:szCs w:val="21"/>
          <w:highlight w:val="none"/>
          <w:lang w:val="en-US" w:eastAsia="zh-CN"/>
        </w:rPr>
        <w:t>乙方于合同签订前书面承诺放弃预付款的，本次支付</w:t>
      </w:r>
      <w:r>
        <w:rPr>
          <w:rFonts w:hint="eastAsia" w:ascii="宋体" w:hAnsi="宋体" w:cs="宋体"/>
          <w:color w:val="auto"/>
          <w:szCs w:val="21"/>
          <w:highlight w:val="none"/>
        </w:rPr>
        <w:t>合同款的</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default" w:asciiTheme="minorEastAsia" w:hAnsiTheme="minorEastAsia" w:eastAsiaTheme="minorEastAsia" w:cstheme="minorEastAsia"/>
          <w:color w:val="auto"/>
          <w:szCs w:val="21"/>
          <w:highlight w:val="none"/>
          <w:lang w:val="en-US" w:eastAsia="zh-CN"/>
        </w:rPr>
        <w:t>；</w:t>
      </w:r>
    </w:p>
    <w:p w14:paraId="429BD762">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default" w:asciiTheme="minorEastAsia" w:hAnsiTheme="minorEastAsia" w:eastAsiaTheme="minorEastAsia" w:cstheme="minorEastAsia"/>
          <w:color w:val="auto"/>
          <w:szCs w:val="21"/>
          <w:highlight w:val="none"/>
          <w:lang w:val="en-US" w:eastAsia="zh-CN"/>
        </w:rPr>
        <w:t>完成项目竣工结（决）算，出具竣工决算审计报告后支付合同款的40%。</w:t>
      </w:r>
    </w:p>
    <w:p w14:paraId="66DB2A0E">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乙方收款账户信息：</w:t>
      </w:r>
      <w:r>
        <w:rPr>
          <w:rFonts w:hint="eastAsia" w:asciiTheme="minorEastAsia" w:hAnsiTheme="minorEastAsia" w:eastAsiaTheme="minorEastAsia" w:cstheme="minorEastAsia"/>
          <w:color w:val="auto"/>
          <w:szCs w:val="21"/>
          <w:highlight w:val="none"/>
          <w:u w:val="single"/>
        </w:rPr>
        <w:t xml:space="preserve">                           </w:t>
      </w:r>
    </w:p>
    <w:p w14:paraId="3B8BB4F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p>
    <w:p w14:paraId="2FCFB7C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户名：</w:t>
      </w:r>
      <w:r>
        <w:rPr>
          <w:rFonts w:hint="eastAsia" w:asciiTheme="minorEastAsia" w:hAnsiTheme="minorEastAsia" w:eastAsiaTheme="minorEastAsia" w:cstheme="minorEastAsia"/>
          <w:color w:val="auto"/>
          <w:szCs w:val="21"/>
          <w:highlight w:val="none"/>
          <w:u w:val="single"/>
        </w:rPr>
        <w:t xml:space="preserve">                                    </w:t>
      </w:r>
    </w:p>
    <w:p w14:paraId="34C3D78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r>
        <w:rPr>
          <w:rFonts w:hint="eastAsia" w:asciiTheme="minorEastAsia" w:hAnsiTheme="minorEastAsia" w:eastAsiaTheme="minorEastAsia" w:cstheme="minorEastAsia"/>
          <w:color w:val="auto"/>
          <w:szCs w:val="21"/>
          <w:highlight w:val="none"/>
          <w:u w:val="single"/>
        </w:rPr>
        <w:t xml:space="preserve">                                    </w:t>
      </w:r>
    </w:p>
    <w:p w14:paraId="4EC59E1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收款方、出具发票方必须与协审单位（联合体牵头人）名称一致。</w:t>
      </w:r>
    </w:p>
    <w:p w14:paraId="24DAA0F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乙方凭合格的增值税普通发票与甲方结算。</w:t>
      </w:r>
    </w:p>
    <w:p w14:paraId="30BCDFD5">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八、廉政措施</w:t>
      </w:r>
    </w:p>
    <w:p w14:paraId="4B9C2A43">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1.协审单位应无条件遵守</w:t>
      </w:r>
      <w:r>
        <w:rPr>
          <w:rFonts w:hint="eastAsia" w:asciiTheme="minorEastAsia" w:hAnsiTheme="minorEastAsia" w:eastAsiaTheme="minorEastAsia" w:cstheme="minorEastAsia"/>
          <w:color w:val="auto"/>
          <w:szCs w:val="21"/>
          <w:highlight w:val="none"/>
          <w:lang w:eastAsia="zh-CN"/>
        </w:rPr>
        <w:t>北仑区</w:t>
      </w:r>
      <w:r>
        <w:rPr>
          <w:rFonts w:hint="eastAsia" w:asciiTheme="minorEastAsia" w:hAnsiTheme="minorEastAsia" w:eastAsiaTheme="minorEastAsia" w:cstheme="minorEastAsia"/>
          <w:color w:val="auto"/>
          <w:szCs w:val="21"/>
          <w:highlight w:val="none"/>
        </w:rPr>
        <w:t>审计局制定的社会中介机构参加国家建设项目组织审计的有关廉政规定；协审单位及协审人员存在违反审计职业道德、廉政纪律等各项规定的，五年内不得参与甲方组织的采购活动。</w:t>
      </w:r>
    </w:p>
    <w:p w14:paraId="4B6BEABB">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2.其他国家和地方有关的廉政规定。</w:t>
      </w:r>
    </w:p>
    <w:p w14:paraId="0FBFB5AD">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九、知识产权归属</w:t>
      </w:r>
    </w:p>
    <w:p w14:paraId="34DD48AE">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10553DEE">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十、保密</w:t>
      </w:r>
    </w:p>
    <w:p w14:paraId="737CEBC0">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及审计中形成的资料（包括但不限于取证单、底稿、征求意见稿及正式报告等），乙方及其雇员负有严格保密义务，未经甲方书面同意不得向任何第三人泄露，且保密责任不因协议的终止或解除而失效。如甲方提出要求，乙方须无条件与甲方签定保密协议。项目完成后，乙方须把甲方提供的所有资料数据完整归还甲方，并不得留存任何形式的复制品。</w:t>
      </w:r>
    </w:p>
    <w:p w14:paraId="07B013BA">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十一、违约责任</w:t>
      </w:r>
    </w:p>
    <w:p w14:paraId="51FA1955">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1.协审单位应在规定的审计期限完成审计工作内容，因协审单位原因造成逾期未审结的，按</w:t>
      </w:r>
      <w:r>
        <w:rPr>
          <w:rFonts w:hint="eastAsia" w:asciiTheme="minorEastAsia" w:hAnsiTheme="minorEastAsia" w:eastAsiaTheme="minorEastAsia" w:cstheme="minorEastAsia"/>
          <w:color w:val="auto"/>
          <w:sz w:val="21"/>
          <w:szCs w:val="21"/>
          <w:highlight w:val="none"/>
          <w:lang w:eastAsia="zh-CN"/>
        </w:rPr>
        <w:t>《北仑区审计局聘请社会中介机构参与政府投资建设项目审计管理办法》（仑审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2020</w:t>
      </w:r>
      <w:r>
        <w:rPr>
          <w:rFonts w:hint="eastAsia" w:ascii="仿宋_GB2312" w:hAnsi="仿宋_GB2312" w:eastAsia="仿宋_GB2312" w:cs="仿宋_GB2312"/>
          <w:color w:val="auto"/>
          <w:sz w:val="21"/>
          <w:szCs w:val="21"/>
          <w:highlight w:val="none"/>
          <w:lang w:eastAsia="zh-CN"/>
        </w:rPr>
        <w:t>〕３号</w:t>
      </w:r>
      <w:r>
        <w:rPr>
          <w:rFonts w:hint="eastAsia" w:asciiTheme="minorEastAsia" w:hAnsiTheme="minorEastAsia" w:eastAsiaTheme="minorEastAsia" w:cstheme="minorEastAsia"/>
          <w:color w:val="auto"/>
          <w:sz w:val="21"/>
          <w:szCs w:val="21"/>
          <w:highlight w:val="none"/>
          <w:lang w:eastAsia="zh-CN"/>
        </w:rPr>
        <w:t>）、《北仑区审计局关于印发〈北仑区审计局聘请外部人员参与审计工作实施细则〉的通知》（仑审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2019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29号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Cs w:val="21"/>
          <w:highlight w:val="none"/>
        </w:rPr>
        <w:t>等文件的相关规定处理；经审计机关催促，协审单位仍不积极实施审计，导致审计时效滞后的，</w:t>
      </w:r>
      <w:r>
        <w:rPr>
          <w:rFonts w:hint="eastAsia" w:asciiTheme="minorEastAsia" w:hAnsiTheme="minorEastAsia" w:eastAsiaTheme="minorEastAsia" w:cstheme="minorEastAsia"/>
          <w:color w:val="auto"/>
          <w:szCs w:val="21"/>
          <w:highlight w:val="none"/>
          <w:lang w:eastAsia="zh-CN"/>
        </w:rPr>
        <w:t>北仑区</w:t>
      </w:r>
      <w:r>
        <w:rPr>
          <w:rFonts w:hint="eastAsia" w:asciiTheme="minorEastAsia" w:hAnsiTheme="minorEastAsia" w:eastAsiaTheme="minorEastAsia" w:cstheme="minorEastAsia"/>
          <w:color w:val="auto"/>
          <w:szCs w:val="21"/>
          <w:highlight w:val="none"/>
        </w:rPr>
        <w:t>审计局有权终止协议。</w:t>
      </w:r>
    </w:p>
    <w:p w14:paraId="44468439">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协审单位应严格按照投标文件承诺内容配备审计力量，参审人员应与投标文件承诺的拟投入人员一致。协审单位参审人员确需更换的，必须经过审计组长书面同意，</w:t>
      </w:r>
      <w:r>
        <w:rPr>
          <w:rFonts w:hint="eastAsia" w:asciiTheme="minorEastAsia" w:hAnsiTheme="minorEastAsia" w:eastAsiaTheme="minorEastAsia" w:cstheme="minorEastAsia"/>
          <w:color w:val="auto"/>
          <w:szCs w:val="21"/>
          <w:highlight w:val="none"/>
          <w:lang w:eastAsia="zh-CN"/>
        </w:rPr>
        <w:t>方可更换。</w:t>
      </w:r>
      <w:r>
        <w:rPr>
          <w:rFonts w:hint="eastAsia" w:asciiTheme="minorEastAsia" w:hAnsiTheme="minorEastAsia" w:eastAsiaTheme="minorEastAsia" w:cstheme="minorEastAsia"/>
          <w:strike w:val="0"/>
          <w:dstrike w:val="0"/>
          <w:color w:val="auto"/>
          <w:szCs w:val="21"/>
          <w:highlight w:val="none"/>
        </w:rPr>
        <w:t>否则协审单位项目负责人更换从协审费用中扣除</w:t>
      </w:r>
      <w:r>
        <w:rPr>
          <w:rFonts w:hint="eastAsia" w:asciiTheme="minorEastAsia" w:hAnsiTheme="minorEastAsia" w:eastAsiaTheme="minorEastAsia" w:cstheme="minorEastAsia"/>
          <w:strike w:val="0"/>
          <w:dstrike w:val="0"/>
          <w:color w:val="auto"/>
          <w:szCs w:val="21"/>
          <w:highlight w:val="none"/>
          <w:lang w:val="en-US" w:eastAsia="zh-CN"/>
        </w:rPr>
        <w:t>2</w:t>
      </w:r>
      <w:r>
        <w:rPr>
          <w:rFonts w:hint="eastAsia" w:asciiTheme="minorEastAsia" w:hAnsiTheme="minorEastAsia" w:eastAsiaTheme="minorEastAsia" w:cstheme="minorEastAsia"/>
          <w:strike w:val="0"/>
          <w:dstrike w:val="0"/>
          <w:color w:val="auto"/>
          <w:szCs w:val="21"/>
          <w:highlight w:val="none"/>
        </w:rPr>
        <w:t>万元/人/次的违约金；其他人员更换从协审费用中扣除</w:t>
      </w:r>
      <w:r>
        <w:rPr>
          <w:rFonts w:hint="eastAsia" w:asciiTheme="minorEastAsia" w:hAnsiTheme="minorEastAsia" w:eastAsiaTheme="minorEastAsia" w:cstheme="minorEastAsia"/>
          <w:strike w:val="0"/>
          <w:dstrike w:val="0"/>
          <w:color w:val="auto"/>
          <w:szCs w:val="21"/>
          <w:highlight w:val="none"/>
          <w:lang w:val="en-US" w:eastAsia="zh-CN"/>
        </w:rPr>
        <w:t>1</w:t>
      </w:r>
      <w:r>
        <w:rPr>
          <w:rFonts w:hint="eastAsia" w:asciiTheme="minorEastAsia" w:hAnsiTheme="minorEastAsia" w:eastAsiaTheme="minorEastAsia" w:cstheme="minorEastAsia"/>
          <w:strike w:val="0"/>
          <w:dstrike w:val="0"/>
          <w:color w:val="auto"/>
          <w:szCs w:val="21"/>
          <w:highlight w:val="none"/>
        </w:rPr>
        <w:t>万元/人/次的违约金；</w:t>
      </w:r>
      <w:r>
        <w:rPr>
          <w:rFonts w:hint="eastAsia" w:asciiTheme="minorEastAsia" w:hAnsiTheme="minorEastAsia" w:eastAsiaTheme="minorEastAsia" w:cstheme="minorEastAsia"/>
          <w:color w:val="auto"/>
          <w:szCs w:val="21"/>
          <w:highlight w:val="none"/>
        </w:rPr>
        <w:t>协审单位未经批准随意更换参审人员的，甲方有权终止协议。</w:t>
      </w:r>
    </w:p>
    <w:p w14:paraId="449A2332">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因协审单位提供的人员工作不称职或不能胜任导致甲方要求更换人员的，相应的考核及违约金按照前款处理。</w:t>
      </w:r>
    </w:p>
    <w:p w14:paraId="107F72DB">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由于协议终止所导致的一切责任由协审单位承担，协审费用根据协议解除前实际完成的有效审计成果应计取的组织审计咨询服务费的70%结算支付。如有发生应由协审单位承担的赔偿费用，</w:t>
      </w:r>
      <w:r>
        <w:rPr>
          <w:rFonts w:hint="eastAsia" w:asciiTheme="minorEastAsia" w:hAnsiTheme="minorEastAsia" w:eastAsiaTheme="minorEastAsia" w:cstheme="minorEastAsia"/>
          <w:color w:val="auto"/>
          <w:szCs w:val="21"/>
          <w:highlight w:val="none"/>
          <w:lang w:eastAsia="zh-CN"/>
        </w:rPr>
        <w:t>北仑区</w:t>
      </w:r>
      <w:r>
        <w:rPr>
          <w:rFonts w:hint="eastAsia" w:asciiTheme="minorEastAsia" w:hAnsiTheme="minorEastAsia" w:eastAsiaTheme="minorEastAsia" w:cstheme="minorEastAsia"/>
          <w:color w:val="auto"/>
          <w:szCs w:val="21"/>
          <w:highlight w:val="none"/>
        </w:rPr>
        <w:t>审计局可以在应付审计费中直接扣付。</w:t>
      </w:r>
    </w:p>
    <w:p w14:paraId="64B835F2">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2.在审计过程中，协审人员必须根据审计方案的要求及时间节点实行现场审计和配合后续的协审工作，并自行配置满足自身开展审计工作所需的办公用设备。</w:t>
      </w:r>
    </w:p>
    <w:p w14:paraId="1780B908">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十二、不可抗力</w:t>
      </w:r>
    </w:p>
    <w:p w14:paraId="483A235B">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任何一方由于不可抗力原因不能履行协议时，应在不可抗力事件发生后1日内向对方通报，以减轻可能给对方造成的损失，在取得有关机构的不可抗力证明或双方谅解确认后，允许延期履行或修订协议，并根据情况可部分或全部免于承担违约责任。</w:t>
      </w:r>
    </w:p>
    <w:p w14:paraId="7C5AED03">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十三、协议书的生效、变更、终止</w:t>
      </w:r>
    </w:p>
    <w:p w14:paraId="12E520A4">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1.本协议书自各方签字盖章之日起生效；</w:t>
      </w:r>
    </w:p>
    <w:p w14:paraId="75EEC286">
      <w:pPr>
        <w:spacing w:line="360" w:lineRule="auto"/>
        <w:ind w:firstLine="470" w:firstLineChars="22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2.各方协商一致并符合法定要求，本协议可变更、补充；</w:t>
      </w:r>
    </w:p>
    <w:p w14:paraId="2C997BEF">
      <w:pPr>
        <w:spacing w:line="360" w:lineRule="auto"/>
        <w:ind w:firstLine="470" w:firstLineChars="224"/>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乙方无正当理由未履行协审时，甲方可下达要求终止协议的书面通知，如发出通知后5天内甲方未得到满意答复，本协议自行终止</w:t>
      </w:r>
      <w:r>
        <w:rPr>
          <w:rFonts w:hint="eastAsia" w:asciiTheme="minorEastAsia" w:hAnsiTheme="minorEastAsia" w:eastAsiaTheme="minorEastAsia" w:cstheme="minorEastAsia"/>
          <w:color w:val="auto"/>
          <w:szCs w:val="21"/>
          <w:highlight w:val="none"/>
          <w:lang w:eastAsia="zh-CN"/>
        </w:rPr>
        <w:t>；</w:t>
      </w:r>
    </w:p>
    <w:p w14:paraId="46E22735">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.经审计机关确认完成全部审计任务，且付清审计费用后，本协议自行终止。</w:t>
      </w:r>
    </w:p>
    <w:p w14:paraId="2F03AB79">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十四、争议的解决</w:t>
      </w:r>
    </w:p>
    <w:p w14:paraId="77B568E4">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因违反(或终止)协议而引起的双方损失，可协商解决，如协商不成，可向宁波仲裁委员会申请仲裁。</w:t>
      </w:r>
    </w:p>
    <w:p w14:paraId="6B140685">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十五、其它</w:t>
      </w:r>
    </w:p>
    <w:p w14:paraId="25DC6E2B">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1.本协议所有附件、采购文件、投标文件、中标通知书均为协议的有效组成部分，与本协议具有同等法律效力。</w:t>
      </w:r>
    </w:p>
    <w:p w14:paraId="52ACBD51">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2.在执行本协议的过程中，所有经双方签署确认的文件（包括会议纪要、补充协议、往来信函）即成为本协议的有效组成部分。</w:t>
      </w:r>
    </w:p>
    <w:p w14:paraId="7392FF42">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3.本协议所载的联系方式为有效联系方式，同时作为包括法律文书在内的一切文件、信息送达的地址。相关文件、信息通过电子方式发送成功或/及邮寄后5日即视为送达。</w:t>
      </w:r>
    </w:p>
    <w:p w14:paraId="54A76582">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如一方地址、电话有变更，应在变更当日内书面通知对方，否则，应承担相应责任。</w:t>
      </w:r>
    </w:p>
    <w:p w14:paraId="7AB75EE5">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4.除甲方事先书面同意外，乙方不得转让其应履行的协议项下的义务。</w:t>
      </w:r>
    </w:p>
    <w:p w14:paraId="3CF693C1">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5.在采购及协议执行过程中，乙方应自行承担由于其行为所造成的自身以及第三方的人身伤害、财产损失或损坏的责任。</w:t>
      </w:r>
    </w:p>
    <w:p w14:paraId="202DFC9C">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十六、本协议书一式捌份，各方各执肆份。</w:t>
      </w:r>
    </w:p>
    <w:p w14:paraId="6079DBEC">
      <w:pPr>
        <w:widowControl/>
        <w:spacing w:line="360" w:lineRule="auto"/>
        <w:ind w:firstLine="630" w:firstLineChars="300"/>
        <w:rPr>
          <w:rFonts w:asciiTheme="minorEastAsia" w:hAnsiTheme="minorEastAsia" w:eastAsiaTheme="minorEastAsia" w:cstheme="minorEastAsia"/>
          <w:color w:val="auto"/>
          <w:szCs w:val="21"/>
          <w:highlight w:val="none"/>
        </w:rPr>
      </w:pPr>
    </w:p>
    <w:p w14:paraId="43B1C107">
      <w:pPr>
        <w:pStyle w:val="43"/>
        <w:rPr>
          <w:color w:val="auto"/>
          <w:highlight w:val="none"/>
        </w:rPr>
      </w:pPr>
    </w:p>
    <w:p w14:paraId="5D305030">
      <w:pPr>
        <w:widowControl/>
        <w:spacing w:line="360" w:lineRule="auto"/>
        <w:ind w:firstLine="630" w:firstLine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审计机关：</w:t>
      </w:r>
      <w:r>
        <w:rPr>
          <w:rFonts w:hint="eastAsia" w:asciiTheme="minorEastAsia" w:hAnsiTheme="minorEastAsia" w:eastAsiaTheme="minorEastAsia" w:cstheme="minorEastAsia"/>
          <w:color w:val="auto"/>
          <w:szCs w:val="21"/>
          <w:highlight w:val="none"/>
          <w:lang w:eastAsia="zh-CN"/>
        </w:rPr>
        <w:t>宁波市北仑区</w:t>
      </w:r>
      <w:r>
        <w:rPr>
          <w:rFonts w:hint="eastAsia" w:asciiTheme="minorEastAsia" w:hAnsiTheme="minorEastAsia" w:eastAsiaTheme="minorEastAsia" w:cstheme="minorEastAsia"/>
          <w:color w:val="auto"/>
          <w:szCs w:val="21"/>
          <w:highlight w:val="none"/>
        </w:rPr>
        <w:t>审计局           协审单位：</w:t>
      </w:r>
    </w:p>
    <w:p w14:paraId="1F899466">
      <w:pPr>
        <w:widowControl/>
        <w:spacing w:line="360" w:lineRule="auto"/>
        <w:ind w:firstLine="630" w:firstLine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法定代表人：</w:t>
      </w:r>
    </w:p>
    <w:p w14:paraId="4BD3C30D">
      <w:pPr>
        <w:widowControl/>
        <w:spacing w:line="360" w:lineRule="auto"/>
        <w:ind w:firstLine="630" w:firstLine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委托代理人：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委托代理人：</w:t>
      </w:r>
    </w:p>
    <w:p w14:paraId="16D9CDA9">
      <w:pPr>
        <w:widowControl/>
        <w:spacing w:line="360" w:lineRule="auto"/>
        <w:ind w:firstLine="630" w:firstLine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电话：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电话：</w:t>
      </w:r>
    </w:p>
    <w:p w14:paraId="21C06BD2">
      <w:pPr>
        <w:snapToGrid w:val="0"/>
        <w:spacing w:line="360" w:lineRule="auto"/>
        <w:ind w:firstLine="630" w:firstLineChars="300"/>
        <w:rPr>
          <w:rFonts w:asciiTheme="minorEastAsia" w:hAnsiTheme="minorEastAsia" w:eastAsiaTheme="minorEastAsia" w:cstheme="minorEastAsia"/>
          <w:color w:val="auto"/>
          <w:szCs w:val="21"/>
          <w:highlight w:val="none"/>
        </w:rPr>
      </w:pPr>
    </w:p>
    <w:p w14:paraId="331B51CC">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签约时间：</w:t>
      </w:r>
    </w:p>
    <w:p w14:paraId="5BA004EE">
      <w:pPr>
        <w:pStyle w:val="16"/>
        <w:rPr>
          <w:rFonts w:asciiTheme="minorEastAsia" w:hAnsiTheme="minorEastAsia" w:eastAsiaTheme="minorEastAsia"/>
          <w:color w:val="auto"/>
          <w:szCs w:val="24"/>
          <w:highlight w:val="none"/>
        </w:rPr>
      </w:pPr>
    </w:p>
    <w:p w14:paraId="575B9F7B">
      <w:pPr>
        <w:rPr>
          <w:rFonts w:asciiTheme="minorEastAsia" w:hAnsiTheme="minorEastAsia" w:eastAsiaTheme="minorEastAsia"/>
          <w:color w:val="auto"/>
          <w:szCs w:val="24"/>
          <w:highlight w:val="none"/>
        </w:rPr>
      </w:pPr>
    </w:p>
    <w:p w14:paraId="67588E1A">
      <w:pPr>
        <w:pStyle w:val="43"/>
        <w:rPr>
          <w:rFonts w:asciiTheme="minorEastAsia" w:hAnsiTheme="minorEastAsia" w:eastAsiaTheme="minorEastAsia"/>
          <w:color w:val="auto"/>
          <w:szCs w:val="24"/>
          <w:highlight w:val="none"/>
        </w:rPr>
      </w:pPr>
    </w:p>
    <w:p w14:paraId="1A603F3B">
      <w:pPr>
        <w:pStyle w:val="43"/>
        <w:rPr>
          <w:rFonts w:asciiTheme="minorEastAsia" w:hAnsiTheme="minorEastAsia" w:eastAsiaTheme="minorEastAsia"/>
          <w:color w:val="auto"/>
          <w:szCs w:val="24"/>
          <w:highlight w:val="none"/>
        </w:rPr>
      </w:pPr>
    </w:p>
    <w:p w14:paraId="1AE81E20">
      <w:pPr>
        <w:pStyle w:val="43"/>
        <w:rPr>
          <w:rFonts w:asciiTheme="minorEastAsia" w:hAnsiTheme="minorEastAsia" w:eastAsiaTheme="minorEastAsia"/>
          <w:color w:val="auto"/>
          <w:szCs w:val="24"/>
          <w:highlight w:val="none"/>
        </w:rPr>
      </w:pPr>
    </w:p>
    <w:p w14:paraId="1E85449D">
      <w:pPr>
        <w:pStyle w:val="43"/>
        <w:rPr>
          <w:rFonts w:asciiTheme="minorEastAsia" w:hAnsiTheme="minorEastAsia" w:eastAsiaTheme="minorEastAsia"/>
          <w:color w:val="auto"/>
          <w:szCs w:val="24"/>
          <w:highlight w:val="none"/>
        </w:rPr>
      </w:pPr>
    </w:p>
    <w:p w14:paraId="26DECADA">
      <w:pPr>
        <w:pStyle w:val="43"/>
        <w:rPr>
          <w:rFonts w:asciiTheme="minorEastAsia" w:hAnsiTheme="minorEastAsia" w:eastAsiaTheme="minorEastAsia"/>
          <w:color w:val="auto"/>
          <w:szCs w:val="24"/>
          <w:highlight w:val="none"/>
        </w:rPr>
      </w:pPr>
    </w:p>
    <w:p w14:paraId="3EDE0563">
      <w:pPr>
        <w:pStyle w:val="43"/>
        <w:rPr>
          <w:rFonts w:asciiTheme="minorEastAsia" w:hAnsiTheme="minorEastAsia" w:eastAsiaTheme="minorEastAsia"/>
          <w:color w:val="auto"/>
          <w:szCs w:val="24"/>
          <w:highlight w:val="none"/>
        </w:rPr>
      </w:pPr>
    </w:p>
    <w:p w14:paraId="623CB290">
      <w:pPr>
        <w:pStyle w:val="43"/>
        <w:rPr>
          <w:rFonts w:asciiTheme="minorEastAsia" w:hAnsiTheme="minorEastAsia" w:eastAsiaTheme="minorEastAsia"/>
          <w:color w:val="auto"/>
          <w:szCs w:val="24"/>
          <w:highlight w:val="none"/>
        </w:rPr>
      </w:pPr>
    </w:p>
    <w:p w14:paraId="182D7763">
      <w:pPr>
        <w:pStyle w:val="43"/>
        <w:rPr>
          <w:rFonts w:asciiTheme="minorEastAsia" w:hAnsiTheme="minorEastAsia" w:eastAsiaTheme="minorEastAsia"/>
          <w:color w:val="auto"/>
          <w:szCs w:val="24"/>
          <w:highlight w:val="none"/>
        </w:rPr>
      </w:pPr>
    </w:p>
    <w:p w14:paraId="30B9FF5B">
      <w:pPr>
        <w:pStyle w:val="43"/>
        <w:rPr>
          <w:rFonts w:asciiTheme="minorEastAsia" w:hAnsiTheme="minorEastAsia" w:eastAsiaTheme="minorEastAsia"/>
          <w:color w:val="auto"/>
          <w:szCs w:val="24"/>
          <w:highlight w:val="none"/>
        </w:rPr>
      </w:pPr>
    </w:p>
    <w:p w14:paraId="49E977FA">
      <w:pPr>
        <w:pStyle w:val="43"/>
        <w:rPr>
          <w:rFonts w:asciiTheme="minorEastAsia" w:hAnsiTheme="minorEastAsia" w:eastAsiaTheme="minorEastAsia"/>
          <w:color w:val="auto"/>
          <w:szCs w:val="24"/>
          <w:highlight w:val="none"/>
        </w:rPr>
      </w:pPr>
    </w:p>
    <w:p w14:paraId="6BBE9BF3">
      <w:pPr>
        <w:pStyle w:val="43"/>
        <w:rPr>
          <w:rFonts w:asciiTheme="minorEastAsia" w:hAnsiTheme="minorEastAsia" w:eastAsiaTheme="minorEastAsia"/>
          <w:color w:val="auto"/>
          <w:szCs w:val="24"/>
          <w:highlight w:val="none"/>
        </w:rPr>
      </w:pPr>
    </w:p>
    <w:p w14:paraId="670B070F">
      <w:pPr>
        <w:pStyle w:val="43"/>
        <w:rPr>
          <w:rFonts w:asciiTheme="minorEastAsia" w:hAnsiTheme="minorEastAsia" w:eastAsiaTheme="minorEastAsia"/>
          <w:color w:val="auto"/>
          <w:szCs w:val="24"/>
          <w:highlight w:val="none"/>
        </w:rPr>
      </w:pPr>
    </w:p>
    <w:p w14:paraId="346F5453">
      <w:pPr>
        <w:pStyle w:val="43"/>
        <w:rPr>
          <w:rFonts w:asciiTheme="minorEastAsia" w:hAnsiTheme="minorEastAsia" w:eastAsiaTheme="minorEastAsia"/>
          <w:color w:val="auto"/>
          <w:szCs w:val="24"/>
          <w:highlight w:val="none"/>
        </w:rPr>
      </w:pPr>
    </w:p>
    <w:p w14:paraId="767A9DE5">
      <w:pPr>
        <w:pStyle w:val="43"/>
        <w:rPr>
          <w:rFonts w:asciiTheme="minorEastAsia" w:hAnsiTheme="minorEastAsia" w:eastAsiaTheme="minorEastAsia"/>
          <w:color w:val="auto"/>
          <w:szCs w:val="24"/>
          <w:highlight w:val="none"/>
        </w:rPr>
      </w:pPr>
    </w:p>
    <w:p w14:paraId="585E01FF">
      <w:pPr>
        <w:pStyle w:val="43"/>
        <w:rPr>
          <w:rFonts w:asciiTheme="minorEastAsia" w:hAnsiTheme="minorEastAsia" w:eastAsiaTheme="minorEastAsia"/>
          <w:color w:val="auto"/>
          <w:szCs w:val="24"/>
          <w:highlight w:val="none"/>
        </w:rPr>
      </w:pPr>
    </w:p>
    <w:p w14:paraId="566C0D04">
      <w:pPr>
        <w:pStyle w:val="43"/>
        <w:rPr>
          <w:rFonts w:asciiTheme="minorEastAsia" w:hAnsiTheme="minorEastAsia" w:eastAsiaTheme="minorEastAsia"/>
          <w:color w:val="auto"/>
          <w:szCs w:val="24"/>
          <w:highlight w:val="none"/>
        </w:rPr>
      </w:pPr>
    </w:p>
    <w:p w14:paraId="3313B0A6">
      <w:pPr>
        <w:pStyle w:val="43"/>
        <w:rPr>
          <w:rFonts w:asciiTheme="minorEastAsia" w:hAnsiTheme="minorEastAsia" w:eastAsiaTheme="minorEastAsia"/>
          <w:color w:val="auto"/>
          <w:szCs w:val="24"/>
          <w:highlight w:val="none"/>
        </w:rPr>
      </w:pPr>
    </w:p>
    <w:p w14:paraId="6F9D2A92">
      <w:pPr>
        <w:pStyle w:val="43"/>
        <w:rPr>
          <w:rFonts w:asciiTheme="minorEastAsia" w:hAnsiTheme="minorEastAsia" w:eastAsiaTheme="minorEastAsia"/>
          <w:color w:val="auto"/>
          <w:szCs w:val="24"/>
          <w:highlight w:val="none"/>
        </w:rPr>
      </w:pPr>
    </w:p>
    <w:p w14:paraId="0FF210B6">
      <w:pPr>
        <w:pStyle w:val="43"/>
        <w:rPr>
          <w:rFonts w:asciiTheme="minorEastAsia" w:hAnsiTheme="minorEastAsia" w:eastAsiaTheme="minorEastAsia"/>
          <w:color w:val="auto"/>
          <w:szCs w:val="24"/>
          <w:highlight w:val="none"/>
        </w:rPr>
      </w:pPr>
    </w:p>
    <w:p w14:paraId="1F530AEE">
      <w:pPr>
        <w:pStyle w:val="43"/>
        <w:rPr>
          <w:rFonts w:asciiTheme="minorEastAsia" w:hAnsiTheme="minorEastAsia" w:eastAsiaTheme="minorEastAsia"/>
          <w:color w:val="auto"/>
          <w:szCs w:val="24"/>
          <w:highlight w:val="none"/>
        </w:rPr>
      </w:pPr>
    </w:p>
    <w:p w14:paraId="69434CC7">
      <w:pPr>
        <w:pStyle w:val="43"/>
        <w:rPr>
          <w:rFonts w:asciiTheme="minorEastAsia" w:hAnsiTheme="minorEastAsia" w:eastAsiaTheme="minorEastAsia"/>
          <w:color w:val="auto"/>
          <w:szCs w:val="24"/>
          <w:highlight w:val="none"/>
        </w:rPr>
      </w:pPr>
    </w:p>
    <w:p w14:paraId="07921868">
      <w:pPr>
        <w:pStyle w:val="43"/>
        <w:rPr>
          <w:rFonts w:asciiTheme="minorEastAsia" w:hAnsiTheme="minorEastAsia" w:eastAsiaTheme="minorEastAsia"/>
          <w:color w:val="auto"/>
          <w:szCs w:val="24"/>
          <w:highlight w:val="none"/>
        </w:rPr>
      </w:pPr>
    </w:p>
    <w:p w14:paraId="351DC3BA">
      <w:pPr>
        <w:pStyle w:val="43"/>
        <w:rPr>
          <w:rFonts w:asciiTheme="minorEastAsia" w:hAnsiTheme="minorEastAsia" w:eastAsiaTheme="minorEastAsia"/>
          <w:color w:val="auto"/>
          <w:szCs w:val="24"/>
          <w:highlight w:val="none"/>
        </w:rPr>
      </w:pPr>
    </w:p>
    <w:p w14:paraId="018781CB">
      <w:pPr>
        <w:rPr>
          <w:color w:val="auto"/>
          <w:highlight w:val="none"/>
        </w:rPr>
      </w:pPr>
    </w:p>
    <w:bookmarkEnd w:id="119"/>
    <w:p w14:paraId="0445DCC0">
      <w:pPr>
        <w:pStyle w:val="2"/>
        <w:spacing w:beforeLines="0" w:afterLines="0" w:line="360" w:lineRule="auto"/>
        <w:rPr>
          <w:rFonts w:ascii="宋体" w:hAnsi="宋体"/>
          <w:color w:val="auto"/>
          <w:sz w:val="32"/>
          <w:szCs w:val="32"/>
          <w:highlight w:val="none"/>
        </w:rPr>
      </w:pPr>
      <w:bookmarkStart w:id="120" w:name="_Toc316649303"/>
      <w:bookmarkStart w:id="121" w:name="_Toc12950"/>
      <w:r>
        <w:rPr>
          <w:rFonts w:hint="eastAsia" w:ascii="宋体" w:hAnsi="宋体"/>
          <w:color w:val="auto"/>
          <w:sz w:val="32"/>
          <w:szCs w:val="32"/>
          <w:highlight w:val="none"/>
        </w:rPr>
        <w:t>第七部分 投标文件格式</w:t>
      </w:r>
      <w:bookmarkEnd w:id="120"/>
      <w:bookmarkEnd w:id="121"/>
    </w:p>
    <w:p w14:paraId="0EBDB3B1">
      <w:pPr>
        <w:jc w:val="center"/>
        <w:rPr>
          <w:rFonts w:ascii="宋体" w:hAnsi="宋体" w:cs="宋体"/>
          <w:b/>
          <w:color w:val="auto"/>
          <w:sz w:val="36"/>
          <w:szCs w:val="36"/>
          <w:highlight w:val="none"/>
          <w:u w:val="single"/>
        </w:rPr>
      </w:pPr>
    </w:p>
    <w:p w14:paraId="415D6F6B">
      <w:pPr>
        <w:jc w:val="center"/>
        <w:rPr>
          <w:rFonts w:ascii="宋体" w:hAnsi="宋体" w:cs="宋体"/>
          <w:b/>
          <w:color w:val="auto"/>
          <w:sz w:val="36"/>
          <w:szCs w:val="36"/>
          <w:highlight w:val="none"/>
          <w:u w:val="single"/>
        </w:rPr>
      </w:pPr>
    </w:p>
    <w:p w14:paraId="203BCC20">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1、投标文件的外包装封面 </w:t>
      </w:r>
    </w:p>
    <w:p w14:paraId="292995B3">
      <w:pPr>
        <w:widowControl/>
        <w:spacing w:before="240" w:beforeLines="100"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电子备份投标文件</w:t>
      </w:r>
    </w:p>
    <w:p w14:paraId="5B223FD2">
      <w:pPr>
        <w:widowControl/>
        <w:spacing w:line="360" w:lineRule="auto"/>
        <w:jc w:val="left"/>
        <w:rPr>
          <w:rFonts w:cs="宋体" w:asciiTheme="minorEastAsia" w:hAnsiTheme="minorEastAsia" w:eastAsiaTheme="minorEastAsia"/>
          <w:color w:val="auto"/>
          <w:kern w:val="0"/>
          <w:szCs w:val="21"/>
          <w:highlight w:val="none"/>
        </w:rPr>
      </w:pPr>
    </w:p>
    <w:p w14:paraId="0E943A69">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项目编号： </w:t>
      </w:r>
    </w:p>
    <w:p w14:paraId="4489C7D0">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项目名称： </w:t>
      </w:r>
    </w:p>
    <w:p w14:paraId="52723B20">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投标人名称（加盖公章）： </w:t>
      </w:r>
    </w:p>
    <w:p w14:paraId="49D9CAD5">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投标人地址： </w:t>
      </w:r>
    </w:p>
    <w:p w14:paraId="2D5AEAAF">
      <w:pPr>
        <w:widowControl/>
        <w:spacing w:line="360" w:lineRule="auto"/>
        <w:jc w:val="left"/>
        <w:rPr>
          <w:rFonts w:cs="宋体" w:asciiTheme="minorEastAsia" w:hAnsiTheme="minorEastAsia" w:eastAsiaTheme="minorEastAsia"/>
          <w:color w:val="auto"/>
          <w:kern w:val="0"/>
          <w:sz w:val="24"/>
          <w:highlight w:val="none"/>
        </w:rPr>
      </w:pPr>
    </w:p>
    <w:p w14:paraId="3955F031">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年 月 日 </w:t>
      </w:r>
    </w:p>
    <w:p w14:paraId="4C546033">
      <w:pPr>
        <w:widowControl/>
        <w:spacing w:line="360" w:lineRule="auto"/>
        <w:jc w:val="left"/>
        <w:rPr>
          <w:rFonts w:cs="宋体" w:asciiTheme="minorEastAsia" w:hAnsiTheme="minorEastAsia" w:eastAsiaTheme="minorEastAsia"/>
          <w:color w:val="auto"/>
          <w:kern w:val="0"/>
          <w:szCs w:val="21"/>
          <w:highlight w:val="none"/>
        </w:rPr>
      </w:pPr>
    </w:p>
    <w:p w14:paraId="57D82439">
      <w:pPr>
        <w:widowControl/>
        <w:spacing w:line="360" w:lineRule="auto"/>
        <w:jc w:val="left"/>
        <w:rPr>
          <w:rFonts w:cs="宋体" w:asciiTheme="minorEastAsia" w:hAnsiTheme="minorEastAsia" w:eastAsiaTheme="minorEastAsia"/>
          <w:color w:val="auto"/>
          <w:kern w:val="0"/>
          <w:sz w:val="24"/>
          <w:highlight w:val="none"/>
        </w:rPr>
      </w:pPr>
    </w:p>
    <w:p w14:paraId="1441ECD2">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2、投标文件封面格式 </w:t>
      </w:r>
    </w:p>
    <w:p w14:paraId="72AE3497">
      <w:pPr>
        <w:widowControl/>
        <w:spacing w:before="240" w:beforeLines="100"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资格文件/商务技术文件/报价文件</w:t>
      </w:r>
    </w:p>
    <w:p w14:paraId="46CF2309">
      <w:pPr>
        <w:widowControl/>
        <w:spacing w:line="360" w:lineRule="auto"/>
        <w:jc w:val="left"/>
        <w:rPr>
          <w:rFonts w:cs="宋体" w:asciiTheme="minorEastAsia" w:hAnsiTheme="minorEastAsia" w:eastAsiaTheme="minorEastAsia"/>
          <w:color w:val="auto"/>
          <w:kern w:val="0"/>
          <w:szCs w:val="21"/>
          <w:highlight w:val="none"/>
        </w:rPr>
      </w:pPr>
    </w:p>
    <w:p w14:paraId="5E23BA02">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项目编号： </w:t>
      </w:r>
    </w:p>
    <w:p w14:paraId="27FDA839">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项目名称： </w:t>
      </w:r>
    </w:p>
    <w:p w14:paraId="03430F12">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投标人名称（加盖公章）： </w:t>
      </w:r>
    </w:p>
    <w:p w14:paraId="78AB9A0D">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投标人地址： </w:t>
      </w:r>
    </w:p>
    <w:p w14:paraId="1AF4CE5C">
      <w:pPr>
        <w:widowControl/>
        <w:spacing w:line="360" w:lineRule="auto"/>
        <w:jc w:val="left"/>
        <w:rPr>
          <w:rFonts w:cs="宋体" w:asciiTheme="minorEastAsia" w:hAnsiTheme="minorEastAsia" w:eastAsiaTheme="minorEastAsia"/>
          <w:color w:val="auto"/>
          <w:kern w:val="0"/>
          <w:szCs w:val="21"/>
          <w:highlight w:val="none"/>
        </w:rPr>
      </w:pPr>
    </w:p>
    <w:p w14:paraId="2D73285B">
      <w:pPr>
        <w:spacing w:line="400" w:lineRule="exact"/>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color w:val="auto"/>
          <w:kern w:val="0"/>
          <w:szCs w:val="21"/>
          <w:highlight w:val="none"/>
        </w:rPr>
        <w:t xml:space="preserve">                                                       年 月 日</w:t>
      </w:r>
      <w:r>
        <w:rPr>
          <w:rFonts w:asciiTheme="minorEastAsia" w:hAnsiTheme="minorEastAsia" w:eastAsiaTheme="minorEastAsia"/>
          <w:bCs/>
          <w:color w:val="auto"/>
          <w:sz w:val="24"/>
          <w:szCs w:val="24"/>
          <w:highlight w:val="none"/>
        </w:rPr>
        <w:br w:type="page"/>
      </w:r>
    </w:p>
    <w:p w14:paraId="7666FC5C">
      <w:pPr>
        <w:adjustRightInd w:val="0"/>
        <w:snapToGrid w:val="0"/>
        <w:jc w:val="center"/>
        <w:rPr>
          <w:rFonts w:asciiTheme="minorEastAsia" w:hAnsiTheme="minorEastAsia" w:eastAsiaTheme="minorEastAsia"/>
          <w:b/>
          <w:color w:val="auto"/>
          <w:sz w:val="24"/>
          <w:highlight w:val="none"/>
        </w:rPr>
      </w:pPr>
    </w:p>
    <w:p w14:paraId="7C2BAB1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资格文件组成：</w:t>
      </w:r>
    </w:p>
    <w:p w14:paraId="2DDEAAC9">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（1）符合参加政府采购活动应当具备的一般条件的承诺函；</w:t>
      </w:r>
    </w:p>
    <w:p w14:paraId="530B8236">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（2）有效的企业法人营业执照（或事业法人登记证）、其他组织（个体工商户的营业执照或者民办非企业单位登记证书复印件。投标人如果有名称变更的，应提供由行政主管部门出具的变更证明文件；</w:t>
      </w:r>
    </w:p>
    <w:p w14:paraId="517D6312">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（3）落实政府采购政策需满足的资格要求；</w:t>
      </w:r>
    </w:p>
    <w:p w14:paraId="0A32715F">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（4）投标人的特定条件的证明文件（如有）。</w:t>
      </w:r>
    </w:p>
    <w:p w14:paraId="54449483">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1849A64">
      <w:pPr>
        <w:snapToGrid w:val="0"/>
        <w:spacing w:line="360" w:lineRule="auto"/>
        <w:ind w:firstLine="424" w:firstLineChars="202"/>
        <w:rPr>
          <w:rFonts w:asciiTheme="minorEastAsia" w:hAnsiTheme="minorEastAsia" w:eastAsiaTheme="minorEastAsia"/>
          <w:color w:val="auto"/>
          <w:szCs w:val="21"/>
          <w:highlight w:val="none"/>
        </w:rPr>
      </w:pPr>
    </w:p>
    <w:p w14:paraId="6DA43DA4">
      <w:pPr>
        <w:pStyle w:val="5"/>
        <w:spacing w:line="380" w:lineRule="exact"/>
        <w:ind w:left="0" w:firstLine="0"/>
        <w:rPr>
          <w:rFonts w:cs="仿宋_GB2312" w:asciiTheme="minorEastAsia" w:hAnsiTheme="minorEastAsia" w:eastAsiaTheme="minorEastAsia"/>
          <w:color w:val="auto"/>
          <w:highlight w:val="none"/>
        </w:rPr>
      </w:pPr>
      <w:bookmarkStart w:id="122" w:name="_Toc136017653"/>
      <w:bookmarkStart w:id="123" w:name="_Toc15428"/>
      <w:bookmarkStart w:id="124" w:name="_Toc136345114"/>
      <w:r>
        <w:rPr>
          <w:rFonts w:hint="eastAsia" w:asciiTheme="minorEastAsia" w:hAnsiTheme="minorEastAsia" w:eastAsiaTheme="minorEastAsia"/>
          <w:color w:val="auto"/>
          <w:sz w:val="28"/>
          <w:szCs w:val="28"/>
          <w:highlight w:val="none"/>
        </w:rPr>
        <w:t>（一）</w:t>
      </w:r>
      <w:r>
        <w:rPr>
          <w:rFonts w:cs="仿宋_GB2312" w:asciiTheme="minorEastAsia" w:hAnsiTheme="minorEastAsia" w:eastAsiaTheme="minorEastAsia"/>
          <w:color w:val="auto"/>
          <w:highlight w:val="none"/>
        </w:rPr>
        <w:t>符合参加政府采购活动应当具备的一般条件的承诺函</w:t>
      </w:r>
      <w:bookmarkEnd w:id="122"/>
      <w:bookmarkEnd w:id="123"/>
      <w:bookmarkEnd w:id="124"/>
    </w:p>
    <w:p w14:paraId="573F0891">
      <w:pPr>
        <w:snapToGrid w:val="0"/>
        <w:spacing w:line="360" w:lineRule="auto"/>
        <w:rPr>
          <w:rFonts w:asciiTheme="minorEastAsia" w:hAnsiTheme="minorEastAsia" w:eastAsiaTheme="minorEastAsia"/>
          <w:color w:val="auto"/>
          <w:sz w:val="24"/>
          <w:highlight w:val="none"/>
        </w:rPr>
      </w:pPr>
    </w:p>
    <w:p w14:paraId="176B9556">
      <w:pPr>
        <w:snapToGrid w:val="0"/>
        <w:spacing w:line="360" w:lineRule="auto"/>
        <w:rPr>
          <w:rFonts w:cs="仿宋_GB2312" w:asciiTheme="minorEastAsia" w:hAnsiTheme="minorEastAsia" w:eastAsiaTheme="minorEastAsia"/>
          <w:color w:val="auto"/>
          <w:szCs w:val="21"/>
          <w:highlight w:val="none"/>
        </w:rPr>
      </w:pPr>
      <w:r>
        <w:rPr>
          <w:rFonts w:hint="eastAsia" w:asciiTheme="minorEastAsia" w:hAnsiTheme="minorEastAsia" w:eastAsiaTheme="minorEastAsia"/>
          <w:i/>
          <w:iCs/>
          <w:color w:val="auto"/>
          <w:szCs w:val="21"/>
          <w:highlight w:val="none"/>
          <w:u w:val="single"/>
        </w:rPr>
        <w:t xml:space="preserve"> </w:t>
      </w:r>
      <w:r>
        <w:rPr>
          <w:rFonts w:hint="eastAsia" w:asciiTheme="minorEastAsia" w:hAnsiTheme="minorEastAsia" w:eastAsiaTheme="minorEastAsia"/>
          <w:i w:val="0"/>
          <w:iCs w:val="0"/>
          <w:color w:val="auto"/>
          <w:szCs w:val="21"/>
          <w:highlight w:val="none"/>
          <w:u w:val="single"/>
        </w:rPr>
        <w:t xml:space="preserve">（采购人、采购代理机构） </w:t>
      </w:r>
      <w:r>
        <w:rPr>
          <w:rFonts w:hint="eastAsia" w:cs="仿宋_GB2312" w:asciiTheme="minorEastAsia" w:hAnsiTheme="minorEastAsia" w:eastAsiaTheme="minorEastAsia"/>
          <w:color w:val="auto"/>
          <w:szCs w:val="21"/>
          <w:highlight w:val="none"/>
        </w:rPr>
        <w:t>：</w:t>
      </w:r>
    </w:p>
    <w:p w14:paraId="744B967E">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我方参与</w:t>
      </w:r>
      <w:r>
        <w:rPr>
          <w:rFonts w:hint="eastAsia" w:cs="仿宋_GB2312"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项目</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lang w:eastAsia="zh-CN"/>
        </w:rPr>
        <w:t>项目编号</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u w:val="single"/>
          <w:lang w:val="en-US" w:eastAsia="zh-CN"/>
        </w:rPr>
        <w:t xml:space="preserve">     </w:t>
      </w:r>
      <w:r>
        <w:rPr>
          <w:rFonts w:hint="eastAsia" w:cs="仿宋_GB2312" w:asciiTheme="minorEastAsia" w:hAnsiTheme="minorEastAsia" w:eastAsiaTheme="minorEastAsia"/>
          <w:color w:val="auto"/>
          <w:szCs w:val="21"/>
          <w:highlight w:val="none"/>
        </w:rPr>
        <w:t>】政府采购活动，郑重承诺：</w:t>
      </w:r>
    </w:p>
    <w:p w14:paraId="39A80E48">
      <w:pPr>
        <w:snapToGrid w:val="0"/>
        <w:spacing w:line="360" w:lineRule="auto"/>
        <w:ind w:firstLine="315" w:firstLineChars="15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（一）具备《中华人民共和国政府采购法》第二十二条第一款规定的条件：</w:t>
      </w:r>
    </w:p>
    <w:p w14:paraId="3D5E4F9A">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r>
        <w:rPr>
          <w:rFonts w:cs="仿宋_GB2312" w:asciiTheme="minorEastAsia" w:hAnsiTheme="minorEastAsia" w:eastAsiaTheme="minorEastAsia"/>
          <w:color w:val="auto"/>
          <w:szCs w:val="21"/>
          <w:highlight w:val="none"/>
        </w:rPr>
        <w:t>具有独立承担民事责任的能力；</w:t>
      </w:r>
    </w:p>
    <w:p w14:paraId="1529099C">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 xml:space="preserve">具有良好的商业信誉和健全的财务会计制度； </w:t>
      </w:r>
    </w:p>
    <w:p w14:paraId="4ADAB9B0">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具有履行合同所必需的设备和专业技术能力；</w:t>
      </w:r>
    </w:p>
    <w:p w14:paraId="6F1A946A">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有依法缴纳税收和社会保障资金的良好记录；</w:t>
      </w:r>
    </w:p>
    <w:p w14:paraId="4168073E">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参加政府采购活动前三年内，在经营活动中没有重大违法记录；</w:t>
      </w:r>
    </w:p>
    <w:p w14:paraId="62A80433">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具有法律、行政法规规定的其他条件。</w:t>
      </w:r>
    </w:p>
    <w:p w14:paraId="47EB3D01">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（二）未被信用中国（</w:t>
      </w:r>
      <w:r>
        <w:rPr>
          <w:rFonts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p>
    <w:p w14:paraId="14EAE003">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（三）不存在以下情况：</w:t>
      </w:r>
    </w:p>
    <w:p w14:paraId="226083B8">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r>
        <w:rPr>
          <w:rFonts w:cs="仿宋_GB2312" w:asciiTheme="minorEastAsia" w:hAnsiTheme="minorEastAsia" w:eastAsiaTheme="minorEastAsia"/>
          <w:color w:val="auto"/>
          <w:szCs w:val="21"/>
          <w:highlight w:val="none"/>
        </w:rPr>
        <w:t>单位负责人为同一人或者存在直接控股、管理关系的不同供应商参加同一合同项下的政府采购活动的；</w:t>
      </w:r>
    </w:p>
    <w:p w14:paraId="70216A96">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r>
        <w:rPr>
          <w:rFonts w:cs="仿宋_GB2312" w:asciiTheme="minorEastAsia" w:hAnsiTheme="minorEastAsia" w:eastAsiaTheme="minorEastAsia"/>
          <w:color w:val="auto"/>
          <w:szCs w:val="21"/>
          <w:highlight w:val="none"/>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auto"/>
          <w:szCs w:val="21"/>
          <w:highlight w:val="none"/>
        </w:rPr>
        <w:t>；</w:t>
      </w:r>
    </w:p>
    <w:p w14:paraId="5AA0553B">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3、为公益一类事业单位、使用事业编制且由财政拨款保障的群团组织。</w:t>
      </w:r>
    </w:p>
    <w:p w14:paraId="540E4D14">
      <w:pPr>
        <w:pStyle w:val="15"/>
        <w:rPr>
          <w:color w:val="auto"/>
          <w:sz w:val="21"/>
          <w:szCs w:val="21"/>
          <w:highlight w:val="none"/>
        </w:rPr>
      </w:pPr>
    </w:p>
    <w:p w14:paraId="2E191A4C">
      <w:pPr>
        <w:pStyle w:val="3"/>
        <w:jc w:val="both"/>
        <w:rPr>
          <w:rFonts w:cs="仿宋_GB2312" w:asciiTheme="minorEastAsia" w:hAnsiTheme="minorEastAsia" w:eastAsiaTheme="minorEastAsia"/>
          <w:color w:val="auto"/>
          <w:sz w:val="21"/>
          <w:szCs w:val="21"/>
          <w:highlight w:val="none"/>
        </w:rPr>
      </w:pPr>
    </w:p>
    <w:p w14:paraId="3B465484">
      <w:pPr>
        <w:rPr>
          <w:rFonts w:cs="仿宋_GB2312" w:asciiTheme="minorEastAsia" w:hAnsiTheme="minorEastAsia" w:eastAsiaTheme="minorEastAsia"/>
          <w:color w:val="auto"/>
          <w:szCs w:val="21"/>
          <w:highlight w:val="none"/>
        </w:rPr>
      </w:pPr>
    </w:p>
    <w:p w14:paraId="7DD70F89">
      <w:pPr>
        <w:adjustRightInd w:val="0"/>
        <w:snapToGrid w:val="0"/>
        <w:spacing w:line="360" w:lineRule="auto"/>
        <w:ind w:left="425"/>
        <w:rPr>
          <w:rFonts w:asciiTheme="minorEastAsia" w:hAnsiTheme="minorEastAsia" w:eastAsiaTheme="minorEastAsia"/>
          <w:color w:val="auto"/>
          <w:spacing w:val="4"/>
          <w:szCs w:val="21"/>
          <w:highlight w:val="none"/>
        </w:rPr>
      </w:pPr>
    </w:p>
    <w:p w14:paraId="35BB808C">
      <w:pPr>
        <w:spacing w:line="480" w:lineRule="auto"/>
        <w:ind w:right="420" w:firstLine="5040" w:firstLineChars="2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投标人（公章）：                               </w:t>
      </w:r>
    </w:p>
    <w:p w14:paraId="73646256">
      <w:pPr>
        <w:spacing w:line="480" w:lineRule="auto"/>
        <w:ind w:right="420" w:firstLine="3990" w:firstLineChars="19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投标人代表（签字或印章）：     </w:t>
      </w:r>
    </w:p>
    <w:p w14:paraId="1F8AB60E">
      <w:pPr>
        <w:spacing w:line="480" w:lineRule="auto"/>
        <w:ind w:right="420" w:firstLine="3045" w:firstLineChars="14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年    月    日</w:t>
      </w:r>
    </w:p>
    <w:p w14:paraId="5F0440DA">
      <w:pPr>
        <w:pStyle w:val="16"/>
        <w:ind w:firstLine="0"/>
        <w:rPr>
          <w:rFonts w:asciiTheme="minorEastAsia" w:hAnsiTheme="minorEastAsia" w:eastAsiaTheme="minorEastAsia"/>
          <w:color w:val="auto"/>
          <w:highlight w:val="none"/>
        </w:rPr>
      </w:pPr>
      <w:r>
        <w:rPr>
          <w:rFonts w:hint="eastAsia" w:ascii="宋体" w:hAnsi="宋体" w:cs="宋体"/>
          <w:b/>
          <w:color w:val="auto"/>
          <w:szCs w:val="21"/>
          <w:highlight w:val="none"/>
        </w:rPr>
        <w:t>（若为联合体投标，联合体各方须单独提供并盖章）</w:t>
      </w:r>
    </w:p>
    <w:p w14:paraId="7FE74506">
      <w:pPr>
        <w:pStyle w:val="16"/>
        <w:ind w:firstLine="0"/>
        <w:jc w:val="center"/>
        <w:rPr>
          <w:rFonts w:asciiTheme="minorEastAsia" w:hAnsiTheme="minorEastAsia" w:eastAsiaTheme="minorEastAsia"/>
          <w:color w:val="auto"/>
          <w:highlight w:val="none"/>
        </w:rPr>
      </w:pPr>
    </w:p>
    <w:p w14:paraId="55E8DE12">
      <w:pPr>
        <w:pStyle w:val="16"/>
        <w:ind w:firstLine="0"/>
        <w:jc w:val="center"/>
        <w:rPr>
          <w:rFonts w:asciiTheme="minorEastAsia" w:hAnsiTheme="minorEastAsia" w:eastAsiaTheme="minorEastAsia"/>
          <w:color w:val="auto"/>
          <w:highlight w:val="none"/>
        </w:rPr>
      </w:pPr>
    </w:p>
    <w:p w14:paraId="58A9A192">
      <w:pPr>
        <w:pStyle w:val="16"/>
        <w:ind w:firstLine="0"/>
        <w:jc w:val="center"/>
        <w:rPr>
          <w:rFonts w:asciiTheme="minorEastAsia" w:hAnsiTheme="minorEastAsia" w:eastAsiaTheme="minorEastAsia"/>
          <w:color w:val="auto"/>
          <w:highlight w:val="none"/>
        </w:rPr>
      </w:pPr>
    </w:p>
    <w:p w14:paraId="6DE4096C">
      <w:pPr>
        <w:pStyle w:val="5"/>
        <w:spacing w:line="380" w:lineRule="exact"/>
        <w:ind w:left="0" w:firstLine="0"/>
        <w:rPr>
          <w:rFonts w:asciiTheme="minorEastAsia" w:hAnsiTheme="minorEastAsia" w:eastAsiaTheme="minorEastAsia"/>
          <w:color w:val="auto"/>
          <w:sz w:val="28"/>
          <w:szCs w:val="28"/>
          <w:highlight w:val="none"/>
        </w:rPr>
      </w:pPr>
    </w:p>
    <w:p w14:paraId="3155AEE2">
      <w:pP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br w:type="page"/>
      </w:r>
    </w:p>
    <w:p w14:paraId="7719F1B5">
      <w:pPr>
        <w:pStyle w:val="5"/>
        <w:spacing w:line="380" w:lineRule="exact"/>
        <w:ind w:left="0" w:firstLine="0"/>
        <w:rPr>
          <w:rFonts w:asciiTheme="minorEastAsia" w:hAnsiTheme="minorEastAsia" w:eastAsiaTheme="minorEastAsia"/>
          <w:color w:val="auto"/>
          <w:sz w:val="28"/>
          <w:szCs w:val="28"/>
          <w:highlight w:val="none"/>
        </w:rPr>
      </w:pPr>
    </w:p>
    <w:p w14:paraId="1AA9AF08">
      <w:pPr>
        <w:pStyle w:val="5"/>
        <w:spacing w:line="380" w:lineRule="exact"/>
        <w:ind w:left="0" w:firstLine="0"/>
        <w:rPr>
          <w:rFonts w:asciiTheme="minorEastAsia" w:hAnsiTheme="minorEastAsia" w:eastAsiaTheme="minorEastAsia"/>
          <w:color w:val="auto"/>
          <w:sz w:val="28"/>
          <w:szCs w:val="28"/>
          <w:highlight w:val="none"/>
        </w:rPr>
      </w:pPr>
      <w:bookmarkStart w:id="125" w:name="_Toc136345115"/>
      <w:bookmarkStart w:id="126" w:name="_Toc136017654"/>
      <w:bookmarkStart w:id="127" w:name="_Toc8841"/>
      <w:r>
        <w:rPr>
          <w:rFonts w:hint="eastAsia" w:asciiTheme="minorEastAsia" w:hAnsiTheme="minorEastAsia" w:eastAsiaTheme="minorEastAsia"/>
          <w:color w:val="auto"/>
          <w:sz w:val="28"/>
          <w:szCs w:val="28"/>
          <w:highlight w:val="none"/>
        </w:rPr>
        <w:t>（二）有效的企业法人营业执照（或事业法人登记证）、其他组织（个体工商户的营业执照或者民办非企业单位登记证书复印件。投标人如果有名称变更的，应提供由行政主管部门出具的变更证明文件</w:t>
      </w:r>
      <w:bookmarkEnd w:id="125"/>
      <w:bookmarkEnd w:id="126"/>
      <w:bookmarkEnd w:id="127"/>
    </w:p>
    <w:p w14:paraId="3E01DA31">
      <w:pPr>
        <w:pStyle w:val="16"/>
        <w:ind w:firstLine="0"/>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（复印件并加盖公章）</w:t>
      </w:r>
    </w:p>
    <w:p w14:paraId="2B0FC7D6">
      <w:pPr>
        <w:pStyle w:val="16"/>
        <w:ind w:firstLine="0"/>
        <w:jc w:val="center"/>
        <w:rPr>
          <w:rFonts w:asciiTheme="minorEastAsia" w:hAnsiTheme="minorEastAsia" w:eastAsiaTheme="minorEastAsia"/>
          <w:color w:val="auto"/>
          <w:highlight w:val="none"/>
        </w:rPr>
      </w:pPr>
    </w:p>
    <w:p w14:paraId="118EF87A">
      <w:pPr>
        <w:pStyle w:val="16"/>
        <w:ind w:firstLine="0"/>
        <w:jc w:val="center"/>
        <w:rPr>
          <w:rFonts w:asciiTheme="minorEastAsia" w:hAnsiTheme="minorEastAsia" w:eastAsiaTheme="minorEastAsia"/>
          <w:color w:val="auto"/>
          <w:highlight w:val="none"/>
        </w:rPr>
      </w:pPr>
    </w:p>
    <w:p w14:paraId="6D28AD93">
      <w:pPr>
        <w:pStyle w:val="16"/>
        <w:ind w:firstLine="0"/>
        <w:jc w:val="center"/>
        <w:rPr>
          <w:rFonts w:asciiTheme="minorEastAsia" w:hAnsiTheme="minorEastAsia" w:eastAsiaTheme="minorEastAsia"/>
          <w:color w:val="auto"/>
          <w:highlight w:val="none"/>
        </w:rPr>
      </w:pPr>
    </w:p>
    <w:p w14:paraId="00C10FD7">
      <w:pPr>
        <w:pStyle w:val="16"/>
        <w:ind w:firstLine="0"/>
        <w:jc w:val="center"/>
        <w:rPr>
          <w:rFonts w:asciiTheme="minorEastAsia" w:hAnsiTheme="minorEastAsia" w:eastAsiaTheme="minorEastAsia"/>
          <w:color w:val="auto"/>
          <w:highlight w:val="none"/>
        </w:rPr>
      </w:pPr>
    </w:p>
    <w:p w14:paraId="3626117D">
      <w:pPr>
        <w:rPr>
          <w:rFonts w:asciiTheme="minorEastAsia" w:hAnsiTheme="minorEastAsia" w:eastAsiaTheme="minorEastAsia"/>
          <w:color w:val="auto"/>
          <w:highlight w:val="none"/>
        </w:rPr>
      </w:pPr>
      <w:r>
        <w:rPr>
          <w:rFonts w:hint="eastAsia" w:ascii="宋体" w:hAnsi="宋体" w:cs="宋体"/>
          <w:b/>
          <w:color w:val="auto"/>
          <w:szCs w:val="21"/>
          <w:highlight w:val="none"/>
        </w:rPr>
        <w:t>（若为联合体投标，联合体各方须单独提供并盖章）</w:t>
      </w:r>
      <w:r>
        <w:rPr>
          <w:rFonts w:asciiTheme="minorEastAsia" w:hAnsiTheme="minorEastAsia" w:eastAsiaTheme="minorEastAsia"/>
          <w:color w:val="auto"/>
          <w:highlight w:val="none"/>
        </w:rPr>
        <w:br w:type="page"/>
      </w:r>
    </w:p>
    <w:p w14:paraId="0606AA9A">
      <w:pPr>
        <w:autoSpaceDE w:val="0"/>
        <w:autoSpaceDN w:val="0"/>
        <w:jc w:val="center"/>
        <w:rPr>
          <w:rFonts w:ascii="宋体" w:hAnsi="宋体" w:cs="宋体"/>
          <w:b/>
          <w:color w:val="auto"/>
          <w:kern w:val="0"/>
          <w:sz w:val="28"/>
          <w:szCs w:val="28"/>
          <w:highlight w:val="none"/>
        </w:rPr>
      </w:pPr>
    </w:p>
    <w:p w14:paraId="09A1AE0C">
      <w:pPr>
        <w:autoSpaceDE w:val="0"/>
        <w:autoSpaceDN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6FDF2488">
      <w:pPr>
        <w:spacing w:line="360" w:lineRule="auto"/>
        <w:rPr>
          <w:rFonts w:cs="仿宋_GB2312" w:asciiTheme="minorEastAsia" w:hAnsiTheme="minorEastAsia" w:eastAsiaTheme="minorEastAsia"/>
          <w:color w:val="auto"/>
          <w:sz w:val="24"/>
          <w:highlight w:val="none"/>
        </w:rPr>
      </w:pPr>
    </w:p>
    <w:p w14:paraId="70D93374">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（根据招标公告</w:t>
      </w:r>
      <w:r>
        <w:rPr>
          <w:rFonts w:hint="eastAsia" w:asciiTheme="minorEastAsia" w:hAnsiTheme="minorEastAsia" w:eastAsiaTheme="minorEastAsia"/>
          <w:b/>
          <w:bCs/>
          <w:color w:val="auto"/>
          <w:sz w:val="24"/>
          <w:highlight w:val="none"/>
        </w:rPr>
        <w:t>落实政府采购政策需满足的资格要求选择提供相应的材料；未要求的，无需提供</w:t>
      </w:r>
      <w:r>
        <w:rPr>
          <w:rFonts w:hint="eastAsia" w:cs="仿宋_GB2312" w:asciiTheme="minorEastAsia" w:hAnsiTheme="minorEastAsia" w:eastAsiaTheme="minorEastAsia"/>
          <w:b/>
          <w:bCs/>
          <w:color w:val="auto"/>
          <w:sz w:val="24"/>
          <w:highlight w:val="none"/>
        </w:rPr>
        <w:t>）</w:t>
      </w:r>
    </w:p>
    <w:p w14:paraId="60B0E9D9">
      <w:pPr>
        <w:spacing w:line="360" w:lineRule="auto"/>
        <w:rPr>
          <w:rFonts w:cs="仿宋_GB2312" w:asciiTheme="minorEastAsia" w:hAnsiTheme="minorEastAsia" w:eastAsiaTheme="minorEastAsia"/>
          <w:color w:val="auto"/>
          <w:szCs w:val="21"/>
          <w:highlight w:val="none"/>
        </w:rPr>
      </w:pPr>
    </w:p>
    <w:p w14:paraId="4A26B71A">
      <w:pPr>
        <w:spacing w:line="360" w:lineRule="auto"/>
        <w:rPr>
          <w:rFonts w:cs="仿宋_GB2312" w:asciiTheme="minorEastAsia" w:hAnsiTheme="minorEastAsia" w:eastAsiaTheme="minorEastAsia"/>
          <w:color w:val="auto"/>
          <w:szCs w:val="21"/>
          <w:highlight w:val="none"/>
        </w:rPr>
      </w:pPr>
    </w:p>
    <w:p w14:paraId="7530D48B">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A.专门面向中小企业，服务全部由符合政策要求的中小企业（或小微企业）承接的，提供相应的中小企业声明函（附件1）</w:t>
      </w:r>
    </w:p>
    <w:p w14:paraId="01CC42F7">
      <w:pPr>
        <w:spacing w:line="360" w:lineRule="auto"/>
        <w:rPr>
          <w:rFonts w:cs="仿宋_GB2312" w:asciiTheme="minorEastAsia" w:hAnsiTheme="minorEastAsia" w:eastAsiaTheme="minorEastAsia"/>
          <w:color w:val="auto"/>
          <w:szCs w:val="21"/>
          <w:highlight w:val="none"/>
        </w:rPr>
      </w:pPr>
    </w:p>
    <w:p w14:paraId="2610F1DF">
      <w:pPr>
        <w:spacing w:line="360" w:lineRule="auto"/>
        <w:rPr>
          <w:rFonts w:cs="仿宋_GB2312" w:asciiTheme="minorEastAsia" w:hAnsiTheme="minorEastAsia" w:eastAsiaTheme="minorEastAsia"/>
          <w:color w:val="auto"/>
          <w:szCs w:val="21"/>
          <w:highlight w:val="none"/>
        </w:rPr>
      </w:pPr>
    </w:p>
    <w:p w14:paraId="5E9E5CC6">
      <w:pP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br w:type="page"/>
      </w:r>
    </w:p>
    <w:p w14:paraId="1990257D">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E5A07FF">
      <w:pPr>
        <w:pStyle w:val="16"/>
        <w:ind w:firstLine="0"/>
        <w:jc w:val="center"/>
        <w:rPr>
          <w:rFonts w:asciiTheme="minorEastAsia" w:hAnsiTheme="minorEastAsia" w:eastAsiaTheme="minorEastAsia"/>
          <w:color w:val="auto"/>
          <w:highlight w:val="none"/>
        </w:rPr>
      </w:pPr>
    </w:p>
    <w:p w14:paraId="22032E83">
      <w:pPr>
        <w:autoSpaceDE w:val="0"/>
        <w:autoSpaceDN w:val="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联合协议</w:t>
      </w:r>
    </w:p>
    <w:p w14:paraId="6B68A688">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14:paraId="1BC64019">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项目编号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 xml:space="preserve">投标。 </w:t>
      </w:r>
    </w:p>
    <w:p w14:paraId="629CCF2F">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4DFA7941">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授权代表根据招标文件规定及投标内容而对采购人、采购机构所作的任何合法承诺，包括书面澄清及相应等均对联合投标各方产生约束力。</w:t>
      </w:r>
    </w:p>
    <w:p w14:paraId="5209F311">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52927C1E">
      <w:pPr>
        <w:snapToGrid w:val="0"/>
        <w:spacing w:line="480" w:lineRule="exact"/>
        <w:ind w:firstLine="576"/>
        <w:rPr>
          <w:rFonts w:ascii="宋体" w:hAnsi="宋体" w:cs="宋体"/>
          <w:color w:val="auto"/>
          <w:kern w:val="0"/>
          <w:szCs w:val="21"/>
          <w:highlight w:val="none"/>
          <w:lang w:val="zh-CN"/>
        </w:rPr>
      </w:pPr>
      <w:bookmarkStart w:id="128" w:name="_Hlk101134295"/>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zh-CN"/>
        </w:rPr>
        <w:t>；</w:t>
      </w:r>
    </w:p>
    <w:p w14:paraId="22BECDD6">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zh-CN"/>
        </w:rPr>
        <w:t>；</w:t>
      </w:r>
    </w:p>
    <w:p w14:paraId="49E59B25">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bookmarkEnd w:id="128"/>
    <w:p w14:paraId="0016CEF3">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四、联合体成员中小企业合同份额（如果有）。</w:t>
      </w:r>
    </w:p>
    <w:p w14:paraId="32BDD66F">
      <w:pPr>
        <w:snapToGrid w:val="0"/>
        <w:spacing w:line="480" w:lineRule="exact"/>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提供的全部服务由小微企业承接，其合同份额占到合同总金额</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auto"/>
          <w:kern w:val="0"/>
          <w:szCs w:val="21"/>
          <w:highlight w:val="none"/>
        </w:rPr>
        <w:t>投标人</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4AC6BCB6">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，小微企业合同金额达到</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14:paraId="273FF89F">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59984BB3">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041C72A1">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19D2F7F2">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7D133824">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3、本协议提交采购人、采购机构后，联合体各方不得以任何形式对上述内容进行修改或撤销。</w:t>
      </w:r>
    </w:p>
    <w:p w14:paraId="7C3DE720">
      <w:pPr>
        <w:snapToGrid w:val="0"/>
        <w:spacing w:line="480" w:lineRule="exact"/>
        <w:ind w:firstLine="5040" w:firstLineChars="24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w:t>
      </w:r>
      <w:r>
        <w:rPr>
          <w:rFonts w:hint="eastAsia" w:ascii="宋体" w:hAnsi="宋体" w:cs="宋体"/>
          <w:color w:val="auto"/>
          <w:kern w:val="0"/>
          <w:szCs w:val="21"/>
          <w:highlight w:val="none"/>
          <w:lang w:val="en-US" w:eastAsia="zh-CN"/>
        </w:rPr>
        <w:t>牵头人</w:t>
      </w:r>
      <w:r>
        <w:rPr>
          <w:rFonts w:hint="eastAsia" w:ascii="宋体" w:hAnsi="宋体" w:cs="宋体"/>
          <w:color w:val="auto"/>
          <w:kern w:val="0"/>
          <w:szCs w:val="21"/>
          <w:highlight w:val="none"/>
          <w:lang w:val="zh-CN"/>
        </w:rPr>
        <w:t>名称(公章)：</w:t>
      </w:r>
    </w:p>
    <w:p w14:paraId="4D0319F2">
      <w:pPr>
        <w:pStyle w:val="3"/>
        <w:spacing w:line="480" w:lineRule="exact"/>
        <w:rPr>
          <w:rFonts w:ascii="宋体" w:hAnsi="宋体" w:cs="宋体"/>
          <w:b w:val="0"/>
          <w:bCs w:val="0"/>
          <w:color w:val="auto"/>
          <w:kern w:val="0"/>
          <w:sz w:val="21"/>
          <w:szCs w:val="21"/>
          <w:highlight w:val="none"/>
          <w:lang w:val="zh-CN"/>
        </w:rPr>
      </w:pPr>
      <w:bookmarkStart w:id="129" w:name="_Toc136345116"/>
      <w:bookmarkStart w:id="130" w:name="_Toc136017655"/>
      <w:bookmarkStart w:id="131" w:name="_Toc32382"/>
      <w:r>
        <w:rPr>
          <w:rFonts w:hint="eastAsia" w:ascii="宋体" w:hAnsi="宋体" w:cs="宋体"/>
          <w:b w:val="0"/>
          <w:bCs w:val="0"/>
          <w:color w:val="auto"/>
          <w:kern w:val="0"/>
          <w:sz w:val="21"/>
          <w:szCs w:val="21"/>
          <w:highlight w:val="none"/>
          <w:lang w:val="en-US" w:eastAsia="zh-CN"/>
        </w:rPr>
        <w:t xml:space="preserve">                                    </w:t>
      </w:r>
      <w:r>
        <w:rPr>
          <w:rFonts w:hint="eastAsia" w:ascii="宋体" w:hAnsi="宋体" w:cs="宋体"/>
          <w:b w:val="0"/>
          <w:bCs w:val="0"/>
          <w:color w:val="auto"/>
          <w:kern w:val="0"/>
          <w:sz w:val="21"/>
          <w:szCs w:val="21"/>
          <w:highlight w:val="none"/>
          <w:lang w:val="zh-CN"/>
        </w:rPr>
        <w:t>联合体成员名称(公章)：</w:t>
      </w:r>
      <w:bookmarkEnd w:id="129"/>
      <w:bookmarkEnd w:id="130"/>
      <w:bookmarkEnd w:id="131"/>
    </w:p>
    <w:p w14:paraId="4EBC795B">
      <w:pPr>
        <w:spacing w:line="480" w:lineRule="exact"/>
        <w:rPr>
          <w:color w:val="auto"/>
          <w:szCs w:val="21"/>
          <w:highlight w:val="none"/>
          <w:lang w:val="zh-CN"/>
        </w:rPr>
      </w:pPr>
    </w:p>
    <w:p w14:paraId="4BFDC3CB">
      <w:pPr>
        <w:snapToGrid w:val="0"/>
        <w:spacing w:line="4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33995C2E">
      <w:pPr>
        <w:pStyle w:val="5"/>
        <w:spacing w:line="380" w:lineRule="exact"/>
        <w:jc w:val="both"/>
        <w:rPr>
          <w:rFonts w:ascii="宋体" w:hAnsi="宋体" w:cs="宋体"/>
          <w:b w:val="0"/>
          <w:bCs w:val="0"/>
          <w:color w:val="auto"/>
          <w:sz w:val="21"/>
          <w:szCs w:val="21"/>
          <w:highlight w:val="none"/>
          <w:lang w:val="zh-CN"/>
        </w:rPr>
      </w:pPr>
      <w:bookmarkStart w:id="132" w:name="_Toc136017656"/>
      <w:bookmarkStart w:id="133" w:name="_Toc136345117"/>
      <w:bookmarkStart w:id="134" w:name="_Toc13376"/>
      <w:r>
        <w:rPr>
          <w:rFonts w:hint="eastAsia" w:ascii="宋体" w:hAnsi="宋体" w:cs="宋体"/>
          <w:b w:val="0"/>
          <w:bCs w:val="0"/>
          <w:color w:val="auto"/>
          <w:sz w:val="21"/>
          <w:szCs w:val="21"/>
          <w:highlight w:val="none"/>
          <w:lang w:val="zh-CN"/>
        </w:rPr>
        <w:t>注：按本格式和要求提供。</w:t>
      </w:r>
      <w:bookmarkEnd w:id="132"/>
      <w:bookmarkEnd w:id="133"/>
      <w:bookmarkEnd w:id="134"/>
    </w:p>
    <w:p w14:paraId="0ABFB987">
      <w:pPr>
        <w:rPr>
          <w:rFonts w:ascii="宋体" w:hAnsi="宋体" w:cs="宋体"/>
          <w:color w:val="auto"/>
          <w:kern w:val="0"/>
          <w:szCs w:val="21"/>
          <w:highlight w:val="none"/>
          <w:lang w:val="zh-CN"/>
        </w:rPr>
      </w:pPr>
    </w:p>
    <w:p w14:paraId="45E33318">
      <w:pPr>
        <w:spacing w:line="360" w:lineRule="auto"/>
        <w:rPr>
          <w:rFonts w:cs="仿宋_GB2312" w:asciiTheme="minorEastAsia" w:hAnsiTheme="minorEastAsia" w:eastAsiaTheme="minorEastAsia"/>
          <w:color w:val="auto"/>
          <w:szCs w:val="21"/>
          <w:highlight w:val="none"/>
        </w:rPr>
      </w:pPr>
    </w:p>
    <w:p w14:paraId="611B7D8E">
      <w:pPr>
        <w:spacing w:line="360" w:lineRule="auto"/>
        <w:rPr>
          <w:rFonts w:cs="仿宋_GB2312" w:asciiTheme="minorEastAsia" w:hAnsiTheme="minorEastAsia" w:eastAsiaTheme="minorEastAsia"/>
          <w:color w:val="auto"/>
          <w:szCs w:val="21"/>
          <w:highlight w:val="none"/>
        </w:rPr>
      </w:pPr>
    </w:p>
    <w:p w14:paraId="3C7A895C">
      <w:pP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br w:type="page"/>
      </w:r>
    </w:p>
    <w:p w14:paraId="6115B212">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6F45AFEB">
      <w:pPr>
        <w:widowControl/>
        <w:spacing w:line="48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分包意向协议</w:t>
      </w:r>
    </w:p>
    <w:p w14:paraId="730854E3">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p>
    <w:p w14:paraId="5EC5E993">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项目编号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的中标人，将依法采取分包方式履行合同。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39D3992B">
      <w:pPr>
        <w:widowControl/>
        <w:numPr>
          <w:ilvl w:val="0"/>
          <w:numId w:val="5"/>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分包标的及数量</w:t>
      </w:r>
    </w:p>
    <w:p w14:paraId="596BB00D">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4EF57363">
      <w:pPr>
        <w:widowControl/>
        <w:spacing w:line="4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77FD4C5B">
      <w:pPr>
        <w:widowControl/>
        <w:numPr>
          <w:ilvl w:val="0"/>
          <w:numId w:val="5"/>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分包供应商中小企业合同份额（如果有）</w:t>
      </w:r>
    </w:p>
    <w:p w14:paraId="45E9556F">
      <w:pPr>
        <w:widowControl/>
        <w:numPr>
          <w:ilvl w:val="0"/>
          <w:numId w:val="6"/>
        </w:numPr>
        <w:spacing w:line="480" w:lineRule="exact"/>
        <w:ind w:firstLine="420" w:firstLineChars="200"/>
        <w:jc w:val="left"/>
        <w:rPr>
          <w:rFonts w:ascii="宋体" w:hAnsi="宋体" w:cs="宋体"/>
          <w:b/>
          <w:bCs/>
          <w:color w:val="auto"/>
          <w:kern w:val="0"/>
          <w:szCs w:val="21"/>
          <w:highlight w:val="none"/>
          <w:lang w:val="zh-CN"/>
        </w:rPr>
      </w:pP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……）提供的服务全部由小微企业承接，</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zh-CN"/>
        </w:rPr>
        <w:t>%的扣除。供应商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5B2B86C7">
      <w:pPr>
        <w:widowControl/>
        <w:numPr>
          <w:ilvl w:val="0"/>
          <w:numId w:val="6"/>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，小微企业合同金额达到</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45DA4D91">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1106C7FC">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16E8AB1E">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08D0E47D">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2BE75C4C">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16572723">
      <w:pPr>
        <w:widowControl/>
        <w:spacing w:line="480" w:lineRule="exact"/>
        <w:ind w:firstLine="420" w:firstLineChars="200"/>
        <w:jc w:val="left"/>
        <w:rPr>
          <w:rFonts w:ascii="宋体" w:hAnsi="宋体" w:cs="宋体"/>
          <w:color w:val="auto"/>
          <w:szCs w:val="21"/>
          <w:highlight w:val="none"/>
          <w:lang w:val="zh-CN"/>
        </w:rPr>
      </w:pPr>
      <w:r>
        <w:rPr>
          <w:rFonts w:hint="eastAsia" w:ascii="宋体" w:hAnsi="宋体" w:cs="宋体"/>
          <w:color w:val="auto"/>
          <w:kern w:val="0"/>
          <w:szCs w:val="21"/>
          <w:highlight w:val="none"/>
          <w:lang w:val="zh-CN"/>
        </w:rPr>
        <w:t>八、其他</w:t>
      </w:r>
    </w:p>
    <w:p w14:paraId="2FD4B080">
      <w:pPr>
        <w:snapToGrid w:val="0"/>
        <w:spacing w:line="360" w:lineRule="auto"/>
        <w:ind w:firstLine="5250" w:firstLineChars="25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14:paraId="357D393E">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14:paraId="6A0226D1">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3AA3889B">
      <w:pPr>
        <w:snapToGrid w:val="0"/>
        <w:spacing w:line="360" w:lineRule="auto"/>
        <w:ind w:left="5355" w:leftChars="2500" w:hanging="105" w:hangingChars="50"/>
        <w:jc w:val="left"/>
        <w:rPr>
          <w:rFonts w:asciiTheme="minorEastAsia" w:hAnsiTheme="minorEastAsia" w:eastAsiaTheme="minorEastAsia"/>
          <w:color w:val="auto"/>
          <w:sz w:val="28"/>
          <w:szCs w:val="28"/>
          <w:highlight w:val="none"/>
        </w:rPr>
      </w:pPr>
      <w:r>
        <w:rPr>
          <w:rFonts w:hint="eastAsia" w:ascii="宋体" w:hAnsi="宋体" w:cs="宋体"/>
          <w:color w:val="auto"/>
          <w:kern w:val="0"/>
          <w:szCs w:val="21"/>
          <w:highlight w:val="none"/>
          <w:lang w:val="zh-CN"/>
        </w:rPr>
        <w:t>日期：  年  月   日</w:t>
      </w:r>
    </w:p>
    <w:p w14:paraId="6C2D4FDC">
      <w:pPr>
        <w:pStyle w:val="5"/>
        <w:spacing w:line="380" w:lineRule="exact"/>
        <w:rPr>
          <w:rFonts w:asciiTheme="minorEastAsia" w:hAnsiTheme="minorEastAsia" w:eastAsiaTheme="minorEastAsia"/>
          <w:color w:val="auto"/>
          <w:sz w:val="28"/>
          <w:szCs w:val="28"/>
          <w:highlight w:val="none"/>
        </w:rPr>
      </w:pPr>
    </w:p>
    <w:p w14:paraId="21C6D075">
      <w:pPr>
        <w:pStyle w:val="5"/>
        <w:spacing w:line="380" w:lineRule="exact"/>
        <w:rPr>
          <w:rFonts w:asciiTheme="minorEastAsia" w:hAnsiTheme="minorEastAsia" w:eastAsiaTheme="minorEastAsia"/>
          <w:color w:val="auto"/>
          <w:sz w:val="28"/>
          <w:szCs w:val="28"/>
          <w:highlight w:val="none"/>
        </w:rPr>
      </w:pPr>
      <w:bookmarkStart w:id="135" w:name="_Toc5191"/>
      <w:bookmarkStart w:id="136" w:name="_Toc136345118"/>
      <w:bookmarkStart w:id="137" w:name="_Toc136017657"/>
      <w:r>
        <w:rPr>
          <w:rFonts w:hint="eastAsia" w:asciiTheme="minorEastAsia" w:hAnsiTheme="minorEastAsia" w:eastAsiaTheme="minorEastAsia"/>
          <w:color w:val="auto"/>
          <w:sz w:val="28"/>
          <w:szCs w:val="28"/>
          <w:highlight w:val="none"/>
        </w:rPr>
        <w:t>（四）投标人的特定条件的证明文件</w:t>
      </w:r>
      <w:bookmarkEnd w:id="135"/>
      <w:bookmarkEnd w:id="136"/>
      <w:bookmarkEnd w:id="137"/>
    </w:p>
    <w:p w14:paraId="1BB5DFA7">
      <w:pPr>
        <w:pStyle w:val="5"/>
        <w:spacing w:line="380" w:lineRule="exact"/>
        <w:rPr>
          <w:rFonts w:cs="仿宋_GB2312" w:asciiTheme="minorEastAsia" w:hAnsiTheme="minorEastAsia" w:eastAsiaTheme="minorEastAsia"/>
          <w:b w:val="0"/>
          <w:bCs w:val="0"/>
          <w:color w:val="auto"/>
          <w:kern w:val="2"/>
          <w:sz w:val="24"/>
          <w:szCs w:val="20"/>
          <w:highlight w:val="none"/>
        </w:rPr>
      </w:pPr>
      <w:bookmarkStart w:id="138" w:name="_Toc136017658"/>
      <w:bookmarkStart w:id="139" w:name="_Toc136345119"/>
      <w:bookmarkStart w:id="140" w:name="_Toc5570"/>
      <w:r>
        <w:rPr>
          <w:rFonts w:hint="eastAsia" w:cs="仿宋_GB2312" w:asciiTheme="minorEastAsia" w:hAnsiTheme="minorEastAsia" w:eastAsiaTheme="minorEastAsia"/>
          <w:b w:val="0"/>
          <w:bCs w:val="0"/>
          <w:color w:val="auto"/>
          <w:kern w:val="2"/>
          <w:sz w:val="24"/>
          <w:szCs w:val="20"/>
          <w:highlight w:val="none"/>
        </w:rPr>
        <w:t>（根据招标公告本项目的特定资格要求提供相应的材料；未要求的，无需提供）</w:t>
      </w:r>
      <w:bookmarkEnd w:id="138"/>
      <w:bookmarkEnd w:id="139"/>
      <w:bookmarkEnd w:id="140"/>
    </w:p>
    <w:p w14:paraId="7330E976">
      <w:pPr>
        <w:widowControl/>
        <w:jc w:val="left"/>
        <w:rPr>
          <w:rFonts w:asciiTheme="minorEastAsia" w:hAnsiTheme="minorEastAsia" w:eastAsiaTheme="minorEastAsia"/>
          <w:b/>
          <w:bCs/>
          <w:color w:val="auto"/>
          <w:sz w:val="24"/>
          <w:szCs w:val="24"/>
          <w:highlight w:val="none"/>
        </w:rPr>
      </w:pPr>
    </w:p>
    <w:p w14:paraId="7921BF47">
      <w:pPr>
        <w:widowControl/>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13F90375">
      <w:pPr>
        <w:widowControl/>
        <w:spacing w:line="360" w:lineRule="auto"/>
        <w:jc w:val="left"/>
        <w:rPr>
          <w:rFonts w:asciiTheme="minorEastAsia" w:hAnsiTheme="minorEastAsia" w:eastAsiaTheme="minorEastAsia"/>
          <w:bCs/>
          <w:color w:val="auto"/>
          <w:sz w:val="24"/>
          <w:szCs w:val="24"/>
          <w:highlight w:val="none"/>
        </w:rPr>
      </w:pPr>
    </w:p>
    <w:p w14:paraId="734C5561">
      <w:pPr>
        <w:widowControl/>
        <w:spacing w:line="360" w:lineRule="auto"/>
        <w:jc w:val="left"/>
        <w:rPr>
          <w:rFonts w:hint="eastAsia" w:cs="宋体" w:asciiTheme="minorEastAsia" w:hAnsiTheme="minorEastAsia" w:eastAsiaTheme="minorEastAsia"/>
          <w:b/>
          <w:bCs/>
          <w:color w:val="auto"/>
          <w:kern w:val="0"/>
          <w:szCs w:val="21"/>
          <w:highlight w:val="none"/>
          <w:lang w:eastAsia="zh-CN"/>
        </w:rPr>
      </w:pPr>
    </w:p>
    <w:p w14:paraId="2BE7832D">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商务技术文件组成： </w:t>
      </w:r>
    </w:p>
    <w:p w14:paraId="7CC66EFF">
      <w:pPr>
        <w:widowControl/>
        <w:spacing w:line="360" w:lineRule="auto"/>
        <w:ind w:firstLine="420" w:firstLineChars="200"/>
        <w:jc w:val="left"/>
        <w:rPr>
          <w:color w:val="auto"/>
          <w:highlight w:val="none"/>
        </w:rPr>
      </w:pPr>
      <w:r>
        <w:rPr>
          <w:rFonts w:hint="eastAsia"/>
          <w:color w:val="auto"/>
          <w:highlight w:val="none"/>
        </w:rPr>
        <w:t>（1）单位负责人的身份证明或单位负责人授权书（投标人的代表若不为单位负责人的，必须提交单位负责人授权书），并提供单位负责人和授权代表的身份证正反两面复印件；</w:t>
      </w:r>
    </w:p>
    <w:p w14:paraId="67F2A32E">
      <w:pPr>
        <w:widowControl/>
        <w:spacing w:line="360" w:lineRule="auto"/>
        <w:ind w:firstLine="420" w:firstLineChars="200"/>
        <w:jc w:val="left"/>
        <w:rPr>
          <w:color w:val="auto"/>
          <w:highlight w:val="none"/>
        </w:rPr>
      </w:pPr>
      <w:r>
        <w:rPr>
          <w:rFonts w:hint="eastAsia"/>
          <w:color w:val="auto"/>
          <w:highlight w:val="none"/>
        </w:rPr>
        <w:t>（2）投标人基本情况表；</w:t>
      </w:r>
    </w:p>
    <w:p w14:paraId="4232372E">
      <w:pPr>
        <w:widowControl/>
        <w:spacing w:line="360" w:lineRule="auto"/>
        <w:ind w:firstLine="420" w:firstLineChars="200"/>
        <w:jc w:val="left"/>
        <w:rPr>
          <w:color w:val="auto"/>
          <w:highlight w:val="none"/>
        </w:rPr>
      </w:pPr>
      <w:r>
        <w:rPr>
          <w:rFonts w:hint="eastAsia"/>
          <w:color w:val="auto"/>
          <w:highlight w:val="none"/>
        </w:rPr>
        <w:t>（3）联合协议（如有）；</w:t>
      </w:r>
    </w:p>
    <w:p w14:paraId="742EFEB2">
      <w:pPr>
        <w:widowControl/>
        <w:spacing w:line="360" w:lineRule="auto"/>
        <w:ind w:firstLine="420" w:firstLineChars="200"/>
        <w:jc w:val="left"/>
        <w:rPr>
          <w:color w:val="auto"/>
          <w:highlight w:val="none"/>
        </w:rPr>
      </w:pPr>
      <w:r>
        <w:rPr>
          <w:rFonts w:hint="eastAsia"/>
          <w:color w:val="auto"/>
          <w:highlight w:val="none"/>
        </w:rPr>
        <w:t>（4）技术条款偏离表；</w:t>
      </w:r>
    </w:p>
    <w:p w14:paraId="34B71FE2">
      <w:pPr>
        <w:widowControl/>
        <w:spacing w:line="360" w:lineRule="auto"/>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）商务条款偏离表；</w:t>
      </w:r>
    </w:p>
    <w:p w14:paraId="1CE04CBC">
      <w:pPr>
        <w:widowControl/>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）第五部分“评标办法”中“评分标准”要求提供的资料（如有需提供）。</w:t>
      </w:r>
    </w:p>
    <w:p w14:paraId="436945C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3941B23">
      <w:pPr>
        <w:widowControl/>
        <w:ind w:firstLine="484" w:firstLineChars="202"/>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7690B93F">
      <w:pPr>
        <w:pStyle w:val="3"/>
        <w:spacing w:line="380" w:lineRule="exact"/>
        <w:rPr>
          <w:rFonts w:asciiTheme="minorEastAsia" w:hAnsiTheme="minorEastAsia" w:eastAsiaTheme="minorEastAsia"/>
          <w:bCs w:val="0"/>
          <w:color w:val="auto"/>
          <w:sz w:val="24"/>
          <w:szCs w:val="24"/>
          <w:highlight w:val="none"/>
        </w:rPr>
      </w:pPr>
    </w:p>
    <w:p w14:paraId="269325EA">
      <w:pPr>
        <w:pStyle w:val="3"/>
        <w:spacing w:line="380" w:lineRule="exact"/>
        <w:rPr>
          <w:rFonts w:asciiTheme="minorEastAsia" w:hAnsiTheme="minorEastAsia" w:eastAsiaTheme="minorEastAsia"/>
          <w:bCs w:val="0"/>
          <w:color w:val="auto"/>
          <w:sz w:val="24"/>
          <w:szCs w:val="24"/>
          <w:highlight w:val="none"/>
        </w:rPr>
      </w:pPr>
      <w:bookmarkStart w:id="141" w:name="_Toc136017659"/>
      <w:bookmarkStart w:id="142" w:name="_Toc136345120"/>
      <w:bookmarkStart w:id="143" w:name="_Toc31823"/>
      <w:r>
        <w:rPr>
          <w:rFonts w:hint="eastAsia" w:asciiTheme="minorEastAsia" w:hAnsiTheme="minorEastAsia" w:eastAsiaTheme="minorEastAsia"/>
          <w:bCs w:val="0"/>
          <w:color w:val="auto"/>
          <w:sz w:val="24"/>
          <w:szCs w:val="24"/>
          <w:highlight w:val="none"/>
        </w:rPr>
        <w:t>（一）单位负责人授权书</w:t>
      </w:r>
      <w:bookmarkEnd w:id="141"/>
      <w:bookmarkEnd w:id="142"/>
      <w:bookmarkEnd w:id="143"/>
    </w:p>
    <w:p w14:paraId="06522DFF">
      <w:pPr>
        <w:pStyle w:val="16"/>
        <w:ind w:firstLine="0"/>
        <w:jc w:val="center"/>
        <w:rPr>
          <w:rFonts w:asciiTheme="minorEastAsia" w:hAnsiTheme="minorEastAsia" w:eastAsiaTheme="minorEastAsia"/>
          <w:color w:val="auto"/>
          <w:highlight w:val="none"/>
        </w:rPr>
      </w:pPr>
      <w:r>
        <w:rPr>
          <w:rFonts w:hint="eastAsia" w:cs="宋体" w:asciiTheme="minorEastAsia" w:hAnsiTheme="minorEastAsia" w:eastAsiaTheme="minorEastAsia"/>
          <w:bCs/>
          <w:color w:val="auto"/>
          <w:sz w:val="24"/>
          <w:highlight w:val="none"/>
        </w:rPr>
        <w:t>（单位负责人</w:t>
      </w:r>
      <w:r>
        <w:rPr>
          <w:rFonts w:hint="eastAsia" w:cs="宋体" w:asciiTheme="minorEastAsia" w:hAnsiTheme="minorEastAsia" w:eastAsiaTheme="minorEastAsia"/>
          <w:bCs/>
          <w:color w:val="auto"/>
          <w:sz w:val="24"/>
          <w:highlight w:val="none"/>
          <w:lang w:eastAsia="zh-CN"/>
        </w:rPr>
        <w:t>参与</w:t>
      </w:r>
      <w:r>
        <w:rPr>
          <w:rFonts w:hint="eastAsia" w:cs="宋体" w:asciiTheme="minorEastAsia" w:hAnsiTheme="minorEastAsia" w:eastAsiaTheme="minorEastAsia"/>
          <w:bCs/>
          <w:color w:val="auto"/>
          <w:sz w:val="24"/>
          <w:highlight w:val="none"/>
        </w:rPr>
        <w:t>投标的，此表不用）</w:t>
      </w:r>
    </w:p>
    <w:p w14:paraId="49588A82">
      <w:pPr>
        <w:pStyle w:val="16"/>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u w:val="single"/>
        </w:rPr>
        <w:t xml:space="preserve">  致 （采购代理机构）               </w:t>
      </w:r>
      <w:r>
        <w:rPr>
          <w:rFonts w:hint="eastAsia" w:asciiTheme="minorEastAsia" w:hAnsiTheme="minorEastAsia" w:eastAsiaTheme="minorEastAsia"/>
          <w:color w:val="auto"/>
          <w:sz w:val="21"/>
          <w:szCs w:val="21"/>
          <w:highlight w:val="none"/>
        </w:rPr>
        <w:t>：</w:t>
      </w:r>
    </w:p>
    <w:p w14:paraId="235AC8F6">
      <w:pPr>
        <w:pStyle w:val="16"/>
        <w:ind w:firstLine="0"/>
        <w:rPr>
          <w:rFonts w:asciiTheme="minorEastAsia" w:hAnsiTheme="minorEastAsia" w:eastAsiaTheme="minorEastAsia"/>
          <w:color w:val="auto"/>
          <w:sz w:val="21"/>
          <w:szCs w:val="21"/>
          <w:highlight w:val="none"/>
        </w:rPr>
      </w:pPr>
    </w:p>
    <w:p w14:paraId="216E9C76">
      <w:pPr>
        <w:snapToGrid w:val="0"/>
        <w:spacing w:line="360" w:lineRule="auto"/>
        <w:ind w:firstLine="420" w:firstLineChars="200"/>
        <w:rPr>
          <w:rFonts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现</w:t>
      </w:r>
      <w:r>
        <w:rPr>
          <w:rFonts w:hint="eastAsia" w:cs="仿宋_GB2312" w:asciiTheme="minorEastAsia" w:hAnsiTheme="minorEastAsia" w:eastAsiaTheme="minorEastAsia"/>
          <w:color w:val="auto"/>
          <w:kern w:val="0"/>
          <w:szCs w:val="21"/>
          <w:highlight w:val="none"/>
          <w:lang w:val="zh-CN"/>
        </w:rPr>
        <w:t>委托</w:t>
      </w:r>
      <w:r>
        <w:rPr>
          <w:rFonts w:hint="eastAsia" w:cs="仿宋_GB2312" w:asciiTheme="minorEastAsia" w:hAnsiTheme="minorEastAsia" w:eastAsiaTheme="minorEastAsia"/>
          <w:color w:val="auto"/>
          <w:kern w:val="0"/>
          <w:szCs w:val="21"/>
          <w:highlight w:val="none"/>
          <w:u w:val="single"/>
          <w:lang w:val="en-US" w:eastAsia="zh-CN"/>
        </w:rPr>
        <w:t xml:space="preserve">        </w:t>
      </w:r>
      <w:r>
        <w:rPr>
          <w:rFonts w:hint="eastAsia" w:cs="仿宋_GB2312" w:asciiTheme="minorEastAsia" w:hAnsiTheme="minorEastAsia" w:eastAsiaTheme="minorEastAsia"/>
          <w:color w:val="auto"/>
          <w:kern w:val="0"/>
          <w:szCs w:val="21"/>
          <w:highlight w:val="none"/>
          <w:lang w:val="zh-CN"/>
        </w:rPr>
        <w:t>（姓名）为我方代理人（身份证号码：</w:t>
      </w:r>
      <w:r>
        <w:rPr>
          <w:rFonts w:hint="eastAsia" w:cs="仿宋_GB2312" w:asciiTheme="minorEastAsia" w:hAnsiTheme="minorEastAsia" w:eastAsiaTheme="minorEastAsia"/>
          <w:color w:val="auto"/>
          <w:kern w:val="0"/>
          <w:szCs w:val="21"/>
          <w:highlight w:val="none"/>
          <w:u w:val="single"/>
          <w:lang w:val="en-US" w:eastAsia="zh-CN"/>
        </w:rPr>
        <w:t xml:space="preserve">      </w:t>
      </w:r>
      <w:r>
        <w:rPr>
          <w:rFonts w:hint="eastAsia" w:cs="仿宋_GB2312" w:asciiTheme="minorEastAsia" w:hAnsiTheme="minorEastAsia" w:eastAsiaTheme="minorEastAsia"/>
          <w:color w:val="auto"/>
          <w:kern w:val="0"/>
          <w:szCs w:val="21"/>
          <w:highlight w:val="none"/>
          <w:lang w:val="zh-CN"/>
        </w:rPr>
        <w:t>，手机：</w:t>
      </w:r>
      <w:r>
        <w:rPr>
          <w:rFonts w:hint="eastAsia" w:cs="仿宋_GB2312" w:asciiTheme="minorEastAsia" w:hAnsiTheme="minorEastAsia" w:eastAsiaTheme="minorEastAsia"/>
          <w:color w:val="auto"/>
          <w:kern w:val="0"/>
          <w:szCs w:val="21"/>
          <w:highlight w:val="none"/>
          <w:u w:val="single"/>
          <w:lang w:val="en-US" w:eastAsia="zh-CN"/>
        </w:rPr>
        <w:t xml:space="preserve">             </w:t>
      </w:r>
      <w:r>
        <w:rPr>
          <w:rFonts w:hint="eastAsia" w:cs="仿宋_GB2312" w:asciiTheme="minorEastAsia" w:hAnsiTheme="minorEastAsia" w:eastAsiaTheme="minorEastAsia"/>
          <w:color w:val="auto"/>
          <w:kern w:val="0"/>
          <w:szCs w:val="21"/>
          <w:highlight w:val="none"/>
          <w:lang w:val="zh-CN"/>
        </w:rPr>
        <w:t>），以我方名义处理</w:t>
      </w:r>
      <w:r>
        <w:rPr>
          <w:rFonts w:hint="eastAsia" w:cs="仿宋_GB2312" w:asciiTheme="minorEastAsia" w:hAnsiTheme="minorEastAsia" w:eastAsiaTheme="minorEastAsia"/>
          <w:color w:val="auto"/>
          <w:kern w:val="0"/>
          <w:szCs w:val="21"/>
          <w:highlight w:val="none"/>
          <w:u w:val="single"/>
          <w:lang w:val="en-US" w:eastAsia="zh-CN"/>
        </w:rPr>
        <w:t xml:space="preserve">          </w:t>
      </w:r>
      <w:r>
        <w:rPr>
          <w:rFonts w:hint="eastAsia" w:asciiTheme="minorEastAsia" w:hAnsiTheme="minorEastAsia" w:eastAsiaTheme="minorEastAsia"/>
          <w:color w:val="auto"/>
          <w:szCs w:val="21"/>
          <w:highlight w:val="none"/>
        </w:rPr>
        <w:t>项目</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lang w:eastAsia="zh-CN"/>
        </w:rPr>
        <w:t>项目编号</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u w:val="single"/>
          <w:lang w:val="en-US" w:eastAsia="zh-CN"/>
        </w:rPr>
        <w:t xml:space="preserve">       </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kern w:val="0"/>
          <w:szCs w:val="21"/>
          <w:highlight w:val="none"/>
          <w:lang w:val="zh-CN"/>
        </w:rPr>
        <w:t>政府采购投标的一切事项，其法律后果由我方承担。</w:t>
      </w:r>
    </w:p>
    <w:p w14:paraId="43957AD5">
      <w:pPr>
        <w:snapToGrid w:val="0"/>
        <w:spacing w:line="360" w:lineRule="auto"/>
        <w:rPr>
          <w:rFonts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lang w:val="zh-CN"/>
        </w:rPr>
        <w:t>委托期限</w:t>
      </w:r>
      <w:r>
        <w:rPr>
          <w:rFonts w:hint="eastAsia" w:cs="仿宋_GB2312" w:asciiTheme="minorEastAsia" w:hAnsiTheme="minorEastAsia" w:eastAsiaTheme="minorEastAsia"/>
          <w:color w:val="auto"/>
          <w:kern w:val="0"/>
          <w:szCs w:val="21"/>
          <w:highlight w:val="none"/>
        </w:rPr>
        <w:t>：</w:t>
      </w:r>
      <w:r>
        <w:rPr>
          <w:rFonts w:hint="eastAsia" w:cs="仿宋_GB2312" w:asciiTheme="minorEastAsia" w:hAnsiTheme="minorEastAsia" w:eastAsiaTheme="minorEastAsia"/>
          <w:color w:val="auto"/>
          <w:kern w:val="0"/>
          <w:szCs w:val="21"/>
          <w:highlight w:val="none"/>
          <w:lang w:val="zh-CN"/>
        </w:rPr>
        <w:t>自</w:t>
      </w:r>
      <w:r>
        <w:rPr>
          <w:rFonts w:hint="eastAsia" w:cs="仿宋_GB2312" w:asciiTheme="minorEastAsia" w:hAnsiTheme="minorEastAsia" w:eastAsiaTheme="minorEastAsia"/>
          <w:color w:val="auto"/>
          <w:kern w:val="0"/>
          <w:szCs w:val="21"/>
          <w:highlight w:val="none"/>
          <w:u w:val="single"/>
          <w:lang w:val="en-US" w:eastAsia="zh-CN"/>
        </w:rPr>
        <w:t xml:space="preserve">   </w:t>
      </w:r>
      <w:r>
        <w:rPr>
          <w:rFonts w:hint="eastAsia" w:cs="仿宋_GB2312" w:asciiTheme="minorEastAsia" w:hAnsiTheme="minorEastAsia" w:eastAsiaTheme="minorEastAsia"/>
          <w:color w:val="auto"/>
          <w:kern w:val="0"/>
          <w:szCs w:val="21"/>
          <w:highlight w:val="none"/>
          <w:lang w:val="zh-CN"/>
        </w:rPr>
        <w:t>年</w:t>
      </w:r>
      <w:r>
        <w:rPr>
          <w:rFonts w:hint="eastAsia" w:cs="仿宋_GB2312" w:asciiTheme="minorEastAsia" w:hAnsiTheme="minorEastAsia" w:eastAsiaTheme="minorEastAsia"/>
          <w:color w:val="auto"/>
          <w:kern w:val="0"/>
          <w:szCs w:val="21"/>
          <w:highlight w:val="none"/>
          <w:u w:val="single"/>
          <w:lang w:val="en-US" w:eastAsia="zh-CN"/>
        </w:rPr>
        <w:t xml:space="preserve">    </w:t>
      </w:r>
      <w:r>
        <w:rPr>
          <w:rFonts w:hint="eastAsia" w:cs="仿宋_GB2312" w:asciiTheme="minorEastAsia" w:hAnsiTheme="minorEastAsia" w:eastAsiaTheme="minorEastAsia"/>
          <w:color w:val="auto"/>
          <w:kern w:val="0"/>
          <w:szCs w:val="21"/>
          <w:highlight w:val="none"/>
          <w:lang w:val="zh-CN"/>
        </w:rPr>
        <w:t>月</w:t>
      </w:r>
      <w:r>
        <w:rPr>
          <w:rFonts w:hint="eastAsia" w:cs="仿宋_GB2312" w:asciiTheme="minorEastAsia" w:hAnsiTheme="minorEastAsia" w:eastAsiaTheme="minorEastAsia"/>
          <w:color w:val="auto"/>
          <w:kern w:val="0"/>
          <w:szCs w:val="21"/>
          <w:highlight w:val="none"/>
          <w:u w:val="single"/>
          <w:lang w:val="en-US" w:eastAsia="zh-CN"/>
        </w:rPr>
        <w:t xml:space="preserve">   </w:t>
      </w:r>
      <w:r>
        <w:rPr>
          <w:rFonts w:hint="eastAsia" w:cs="仿宋_GB2312" w:asciiTheme="minorEastAsia" w:hAnsiTheme="minorEastAsia" w:eastAsiaTheme="minorEastAsia"/>
          <w:color w:val="auto"/>
          <w:kern w:val="0"/>
          <w:szCs w:val="21"/>
          <w:highlight w:val="none"/>
          <w:lang w:val="zh-CN"/>
        </w:rPr>
        <w:t>日起至</w:t>
      </w:r>
      <w:r>
        <w:rPr>
          <w:rFonts w:hint="eastAsia" w:cs="仿宋_GB2312" w:asciiTheme="minorEastAsia" w:hAnsiTheme="minorEastAsia" w:eastAsiaTheme="minorEastAsia"/>
          <w:color w:val="auto"/>
          <w:kern w:val="0"/>
          <w:szCs w:val="21"/>
          <w:highlight w:val="none"/>
          <w:u w:val="single"/>
          <w:lang w:val="en-US" w:eastAsia="zh-CN"/>
        </w:rPr>
        <w:t xml:space="preserve">    </w:t>
      </w:r>
      <w:r>
        <w:rPr>
          <w:rFonts w:hint="eastAsia" w:cs="仿宋_GB2312" w:asciiTheme="minorEastAsia" w:hAnsiTheme="minorEastAsia" w:eastAsiaTheme="minorEastAsia"/>
          <w:color w:val="auto"/>
          <w:kern w:val="0"/>
          <w:szCs w:val="21"/>
          <w:highlight w:val="none"/>
          <w:lang w:val="zh-CN"/>
        </w:rPr>
        <w:t>年</w:t>
      </w:r>
      <w:r>
        <w:rPr>
          <w:rFonts w:hint="eastAsia" w:cs="仿宋_GB2312" w:asciiTheme="minorEastAsia" w:hAnsiTheme="minorEastAsia" w:eastAsiaTheme="minorEastAsia"/>
          <w:color w:val="auto"/>
          <w:kern w:val="0"/>
          <w:szCs w:val="21"/>
          <w:highlight w:val="none"/>
          <w:u w:val="single"/>
          <w:lang w:val="en-US" w:eastAsia="zh-CN"/>
        </w:rPr>
        <w:t xml:space="preserve">   </w:t>
      </w:r>
      <w:r>
        <w:rPr>
          <w:rFonts w:hint="eastAsia" w:cs="仿宋_GB2312" w:asciiTheme="minorEastAsia" w:hAnsiTheme="minorEastAsia" w:eastAsiaTheme="minorEastAsia"/>
          <w:color w:val="auto"/>
          <w:kern w:val="0"/>
          <w:szCs w:val="21"/>
          <w:highlight w:val="none"/>
          <w:lang w:val="zh-CN"/>
        </w:rPr>
        <w:t>月</w:t>
      </w:r>
      <w:r>
        <w:rPr>
          <w:rFonts w:hint="eastAsia" w:cs="仿宋_GB2312" w:asciiTheme="minorEastAsia" w:hAnsiTheme="minorEastAsia" w:eastAsiaTheme="minorEastAsia"/>
          <w:color w:val="auto"/>
          <w:kern w:val="0"/>
          <w:szCs w:val="21"/>
          <w:highlight w:val="none"/>
          <w:u w:val="single"/>
          <w:lang w:val="en-US" w:eastAsia="zh-CN"/>
        </w:rPr>
        <w:t xml:space="preserve">    </w:t>
      </w:r>
      <w:r>
        <w:rPr>
          <w:rFonts w:hint="eastAsia" w:cs="仿宋_GB2312" w:asciiTheme="minorEastAsia" w:hAnsiTheme="minorEastAsia" w:eastAsiaTheme="minorEastAsia"/>
          <w:color w:val="auto"/>
          <w:kern w:val="0"/>
          <w:szCs w:val="21"/>
          <w:highlight w:val="none"/>
          <w:lang w:val="zh-CN"/>
        </w:rPr>
        <w:t>日止。</w:t>
      </w:r>
    </w:p>
    <w:p w14:paraId="6D6BB780">
      <w:pPr>
        <w:pStyle w:val="16"/>
        <w:ind w:firstLine="420"/>
        <w:rPr>
          <w:color w:val="auto"/>
          <w:highlight w:val="none"/>
        </w:rPr>
      </w:pPr>
      <w:r>
        <w:rPr>
          <w:rFonts w:hint="eastAsia" w:cs="仿宋_GB2312" w:asciiTheme="minorEastAsia" w:hAnsiTheme="minorEastAsia" w:eastAsiaTheme="minorEastAsia"/>
          <w:color w:val="auto"/>
          <w:sz w:val="21"/>
          <w:szCs w:val="21"/>
          <w:highlight w:val="none"/>
          <w:lang w:val="zh-CN"/>
        </w:rPr>
        <w:t>特此告知。</w:t>
      </w:r>
    </w:p>
    <w:p w14:paraId="16B062AC">
      <w:pPr>
        <w:pStyle w:val="33"/>
        <w:ind w:left="0" w:leftChars="0" w:firstLine="0" w:firstLineChars="0"/>
        <w:rPr>
          <w:color w:val="auto"/>
          <w:highlight w:val="none"/>
        </w:rPr>
      </w:pPr>
    </w:p>
    <w:p w14:paraId="6D9F2FB3">
      <w:pPr>
        <w:spacing w:line="440" w:lineRule="exact"/>
        <w:rPr>
          <w:rFonts w:ascii="宋体" w:hAnsi="宋体" w:cs="宋体"/>
          <w:color w:val="auto"/>
          <w:szCs w:val="21"/>
          <w:highlight w:val="none"/>
        </w:rPr>
      </w:pPr>
      <w:r>
        <w:rPr>
          <w:rFonts w:hint="eastAsia" w:ascii="宋体" w:hAnsi="宋体" w:cs="宋体"/>
          <w:color w:val="auto"/>
          <w:szCs w:val="21"/>
          <w:highlight w:val="none"/>
        </w:rPr>
        <w:t>附：</w:t>
      </w:r>
    </w:p>
    <w:p w14:paraId="108C150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授权代表姓名：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69F51EB2">
      <w:pPr>
        <w:spacing w:line="440" w:lineRule="exact"/>
        <w:rPr>
          <w:rFonts w:ascii="宋体" w:hAnsi="宋体" w:cs="宋体"/>
          <w:color w:val="auto"/>
          <w:szCs w:val="21"/>
          <w:highlight w:val="none"/>
          <w:u w:val="single"/>
        </w:rPr>
      </w:pPr>
      <w:r>
        <w:rPr>
          <w:rFonts w:hint="eastAsia" w:ascii="宋体" w:hAnsi="宋体" w:cs="宋体"/>
          <w:color w:val="auto"/>
          <w:szCs w:val="21"/>
          <w:highlight w:val="none"/>
        </w:rPr>
        <w:t>部门：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联系电话： </w:t>
      </w:r>
      <w:r>
        <w:rPr>
          <w:rFonts w:hint="eastAsia" w:ascii="宋体" w:hAnsi="宋体" w:cs="宋体"/>
          <w:color w:val="auto"/>
          <w:szCs w:val="21"/>
          <w:highlight w:val="none"/>
          <w:u w:val="single"/>
          <w:lang w:val="en-US" w:eastAsia="zh-CN"/>
        </w:rPr>
        <w:t xml:space="preserve">        </w:t>
      </w:r>
    </w:p>
    <w:p w14:paraId="64681658">
      <w:pPr>
        <w:pStyle w:val="16"/>
        <w:ind w:firstLine="0"/>
        <w:rPr>
          <w:rFonts w:asciiTheme="minorEastAsia" w:hAnsiTheme="minorEastAsia" w:eastAsiaTheme="minorEastAsia"/>
          <w:color w:val="auto"/>
          <w:sz w:val="21"/>
          <w:szCs w:val="21"/>
          <w:highlight w:val="none"/>
        </w:rPr>
      </w:pPr>
    </w:p>
    <w:p w14:paraId="3A6FE626">
      <w:pPr>
        <w:pStyle w:val="16"/>
        <w:ind w:firstLine="0"/>
        <w:jc w:val="righ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投标人（联合体</w:t>
      </w:r>
      <w:r>
        <w:rPr>
          <w:rFonts w:hint="eastAsia" w:asciiTheme="minorEastAsia" w:hAnsiTheme="minorEastAsia" w:eastAsiaTheme="minorEastAsia"/>
          <w:color w:val="auto"/>
          <w:sz w:val="21"/>
          <w:szCs w:val="21"/>
          <w:highlight w:val="none"/>
          <w:lang w:val="en-US" w:eastAsia="zh-CN"/>
        </w:rPr>
        <w:t>牵头人</w:t>
      </w:r>
      <w:r>
        <w:rPr>
          <w:rFonts w:hint="eastAsia" w:asciiTheme="minorEastAsia" w:hAnsiTheme="minorEastAsia" w:eastAsiaTheme="minorEastAsia"/>
          <w:color w:val="auto"/>
          <w:sz w:val="21"/>
          <w:szCs w:val="21"/>
          <w:highlight w:val="none"/>
        </w:rPr>
        <w:t>）单位全称（公章）：</w:t>
      </w:r>
    </w:p>
    <w:p w14:paraId="6714B2E1">
      <w:pPr>
        <w:pStyle w:val="16"/>
        <w:ind w:firstLine="0"/>
        <w:jc w:val="righ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单位负责人（签字或印章）：</w:t>
      </w:r>
    </w:p>
    <w:p w14:paraId="16391E9D">
      <w:pPr>
        <w:pStyle w:val="16"/>
        <w:ind w:firstLine="0"/>
        <w:jc w:val="right"/>
        <w:rPr>
          <w:rFonts w:hint="eastAsia" w:asciiTheme="minorEastAsia" w:hAnsiTheme="minorEastAsia" w:eastAsiaTheme="minorEastAsia"/>
          <w:color w:val="auto"/>
          <w:sz w:val="21"/>
          <w:szCs w:val="21"/>
          <w:highlight w:val="none"/>
        </w:rPr>
      </w:pPr>
    </w:p>
    <w:p w14:paraId="24E82049">
      <w:pPr>
        <w:pStyle w:val="16"/>
        <w:ind w:firstLine="0"/>
        <w:jc w:val="righ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投标人（联合体成员）单位全称（公章）：</w:t>
      </w:r>
    </w:p>
    <w:p w14:paraId="68611858">
      <w:pPr>
        <w:pStyle w:val="16"/>
        <w:ind w:firstLine="0"/>
        <w:jc w:val="righ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单位负责人（签字或印章）：</w:t>
      </w:r>
    </w:p>
    <w:p w14:paraId="488C4663">
      <w:pPr>
        <w:pStyle w:val="16"/>
        <w:ind w:firstLine="0"/>
        <w:jc w:val="right"/>
        <w:rPr>
          <w:rFonts w:hint="eastAsia" w:asciiTheme="minorEastAsia" w:hAnsiTheme="minorEastAsia" w:eastAsiaTheme="minorEastAsia"/>
          <w:color w:val="auto"/>
          <w:sz w:val="21"/>
          <w:szCs w:val="21"/>
          <w:highlight w:val="none"/>
        </w:rPr>
      </w:pPr>
    </w:p>
    <w:p w14:paraId="7B525A71">
      <w:pPr>
        <w:pStyle w:val="16"/>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日  期：</w:t>
      </w:r>
    </w:p>
    <w:p w14:paraId="0FBF5B0D">
      <w:pPr>
        <w:ind w:firstLine="417" w:firstLineChars="198"/>
        <w:rPr>
          <w:rFonts w:asciiTheme="minorEastAsia" w:hAnsiTheme="minorEastAsia" w:eastAsiaTheme="minorEastAsia"/>
          <w:b/>
          <w:color w:val="auto"/>
          <w:szCs w:val="21"/>
          <w:highlight w:val="none"/>
        </w:rPr>
      </w:pPr>
    </w:p>
    <w:p w14:paraId="3585EA69">
      <w:pPr>
        <w:rPr>
          <w:rFonts w:asciiTheme="minorEastAsia" w:hAnsiTheme="minorEastAsia" w:eastAsiaTheme="minorEastAsia"/>
          <w:b/>
          <w:color w:val="auto"/>
          <w:szCs w:val="21"/>
          <w:highlight w:val="none"/>
        </w:rPr>
      </w:pPr>
    </w:p>
    <w:p w14:paraId="3899076A">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附：被授权人身份证复印件</w:t>
      </w:r>
    </w:p>
    <w:p w14:paraId="479F650E">
      <w:pPr>
        <w:widowControl/>
        <w:jc w:val="left"/>
        <w:rPr>
          <w:rFonts w:asciiTheme="minorEastAsia" w:hAnsiTheme="minorEastAsia" w:eastAsiaTheme="minorEastAsia"/>
          <w:b/>
          <w:color w:val="auto"/>
          <w:szCs w:val="21"/>
          <w:highlight w:val="none"/>
        </w:rPr>
      </w:pPr>
    </w:p>
    <w:p w14:paraId="0E4E87C8">
      <w:pPr>
        <w:widowControl/>
        <w:jc w:val="left"/>
        <w:rPr>
          <w:rFonts w:asciiTheme="minorEastAsia" w:hAnsiTheme="minorEastAsia" w:eastAsiaTheme="minorEastAsia"/>
          <w:b/>
          <w:color w:val="auto"/>
          <w:szCs w:val="21"/>
          <w:highlight w:val="none"/>
        </w:rPr>
      </w:pPr>
    </w:p>
    <w:p w14:paraId="7FC3A94D">
      <w:pPr>
        <w:widowControl/>
        <w:jc w:val="left"/>
        <w:rPr>
          <w:rFonts w:asciiTheme="minorEastAsia" w:hAnsiTheme="minorEastAsia" w:eastAsiaTheme="minorEastAsia"/>
          <w:b/>
          <w:color w:val="auto"/>
          <w:szCs w:val="21"/>
          <w:highlight w:val="none"/>
        </w:rPr>
      </w:pPr>
      <w:r>
        <w:rPr>
          <w:rFonts w:hint="eastAsia" w:ascii="宋体" w:hAnsi="宋体" w:cs="宋体"/>
          <w:b/>
          <w:color w:val="auto"/>
          <w:szCs w:val="21"/>
          <w:highlight w:val="none"/>
        </w:rPr>
        <w:t>（若为联合体投标，联合体须同时盖章提供）</w:t>
      </w:r>
      <w:r>
        <w:rPr>
          <w:rFonts w:asciiTheme="minorEastAsia" w:hAnsiTheme="minorEastAsia" w:eastAsiaTheme="minorEastAsia"/>
          <w:b/>
          <w:color w:val="auto"/>
          <w:szCs w:val="21"/>
          <w:highlight w:val="none"/>
        </w:rPr>
        <w:br w:type="page"/>
      </w:r>
    </w:p>
    <w:p w14:paraId="4858E4EF">
      <w:pPr>
        <w:pStyle w:val="3"/>
        <w:spacing w:line="380" w:lineRule="exact"/>
        <w:rPr>
          <w:rFonts w:asciiTheme="minorEastAsia" w:hAnsiTheme="minorEastAsia" w:eastAsiaTheme="minorEastAsia"/>
          <w:bCs w:val="0"/>
          <w:color w:val="auto"/>
          <w:sz w:val="24"/>
          <w:szCs w:val="24"/>
          <w:highlight w:val="none"/>
        </w:rPr>
      </w:pPr>
    </w:p>
    <w:p w14:paraId="21763D31">
      <w:pPr>
        <w:pStyle w:val="3"/>
        <w:spacing w:line="380" w:lineRule="exact"/>
        <w:rPr>
          <w:rFonts w:asciiTheme="minorEastAsia" w:hAnsiTheme="minorEastAsia" w:eastAsiaTheme="minorEastAsia"/>
          <w:bCs w:val="0"/>
          <w:color w:val="auto"/>
          <w:sz w:val="24"/>
          <w:szCs w:val="24"/>
          <w:highlight w:val="none"/>
        </w:rPr>
      </w:pPr>
      <w:bookmarkStart w:id="144" w:name="_Toc136345121"/>
      <w:bookmarkStart w:id="145" w:name="_Toc22681"/>
      <w:bookmarkStart w:id="146" w:name="_Toc136017660"/>
      <w:r>
        <w:rPr>
          <w:rFonts w:hint="eastAsia" w:asciiTheme="minorEastAsia" w:hAnsiTheme="minorEastAsia" w:eastAsiaTheme="minorEastAsia"/>
          <w:bCs w:val="0"/>
          <w:color w:val="auto"/>
          <w:sz w:val="24"/>
          <w:szCs w:val="24"/>
          <w:highlight w:val="none"/>
        </w:rPr>
        <w:t>单位负责人身份证明</w:t>
      </w:r>
      <w:bookmarkEnd w:id="144"/>
      <w:bookmarkEnd w:id="145"/>
      <w:bookmarkEnd w:id="146"/>
    </w:p>
    <w:p w14:paraId="35EBA565">
      <w:pPr>
        <w:pStyle w:val="16"/>
        <w:ind w:firstLine="0"/>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（单位负责人不来投标的，此表不用）</w:t>
      </w:r>
    </w:p>
    <w:p w14:paraId="68291106">
      <w:pPr>
        <w:spacing w:line="480" w:lineRule="auto"/>
        <w:ind w:firstLine="420" w:firstLineChars="200"/>
        <w:rPr>
          <w:rFonts w:cs="宋体" w:asciiTheme="minorEastAsia" w:hAnsiTheme="minorEastAsia" w:eastAsiaTheme="minorEastAsia"/>
          <w:color w:val="auto"/>
          <w:szCs w:val="21"/>
          <w:highlight w:val="none"/>
        </w:rPr>
      </w:pPr>
    </w:p>
    <w:p w14:paraId="35873F13">
      <w:pPr>
        <w:spacing w:line="48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eastAsiaTheme="minorEastAsia"/>
          <w:color w:val="auto"/>
          <w:szCs w:val="21"/>
          <w:highlight w:val="none"/>
        </w:rPr>
        <w:t>投标人名称：</w:t>
      </w:r>
      <w:r>
        <w:rPr>
          <w:rFonts w:hint="eastAsia" w:cs="宋体" w:asciiTheme="minorEastAsia" w:hAnsiTheme="minorEastAsia" w:eastAsiaTheme="minorEastAsia"/>
          <w:color w:val="auto"/>
          <w:szCs w:val="21"/>
          <w:highlight w:val="none"/>
          <w:u w:val="single"/>
          <w:lang w:val="en-US" w:eastAsia="zh-CN"/>
        </w:rPr>
        <w:t xml:space="preserve">                       </w:t>
      </w:r>
    </w:p>
    <w:p w14:paraId="6A3BEB91">
      <w:pPr>
        <w:spacing w:line="480" w:lineRule="auto"/>
        <w:ind w:firstLine="420" w:firstLineChars="200"/>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单位性质：</w:t>
      </w:r>
      <w:r>
        <w:rPr>
          <w:rFonts w:hint="eastAsia" w:cs="宋体" w:asciiTheme="minorEastAsia" w:hAnsiTheme="minorEastAsia" w:eastAsiaTheme="minorEastAsia"/>
          <w:color w:val="auto"/>
          <w:szCs w:val="21"/>
          <w:highlight w:val="none"/>
          <w:u w:val="single"/>
          <w:lang w:val="en-US" w:eastAsia="zh-CN"/>
        </w:rPr>
        <w:t xml:space="preserve">                          </w:t>
      </w:r>
    </w:p>
    <w:p w14:paraId="5F66C386">
      <w:pPr>
        <w:spacing w:line="480" w:lineRule="auto"/>
        <w:ind w:firstLine="420" w:firstLineChars="200"/>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u w:val="single"/>
          <w:lang w:val="en-US" w:eastAsia="zh-CN"/>
        </w:rPr>
        <w:t xml:space="preserve">                              </w:t>
      </w:r>
    </w:p>
    <w:p w14:paraId="265043F2">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成立时间：</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日</w:t>
      </w:r>
    </w:p>
    <w:p w14:paraId="774D8206">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经营期限：</w:t>
      </w:r>
      <w:r>
        <w:rPr>
          <w:rFonts w:hint="eastAsia" w:cs="宋体" w:asciiTheme="minorEastAsia" w:hAnsiTheme="minorEastAsia" w:eastAsiaTheme="minorEastAsia"/>
          <w:color w:val="auto"/>
          <w:szCs w:val="21"/>
          <w:highlight w:val="none"/>
          <w:u w:val="single"/>
          <w:lang w:val="en-US" w:eastAsia="zh-CN"/>
        </w:rPr>
        <w:t xml:space="preserve">                          </w:t>
      </w:r>
    </w:p>
    <w:p w14:paraId="10ED15E0">
      <w:pPr>
        <w:spacing w:line="480" w:lineRule="auto"/>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姓名：</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性别：</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年龄：</w:t>
      </w:r>
      <w:r>
        <w:rPr>
          <w:rFonts w:hint="eastAsia" w:cs="宋体" w:asciiTheme="minorEastAsia" w:hAnsiTheme="minorEastAsia" w:eastAsiaTheme="minorEastAsia"/>
          <w:color w:val="auto"/>
          <w:szCs w:val="21"/>
          <w:highlight w:val="none"/>
          <w:u w:val="single"/>
        </w:rPr>
        <w:t xml:space="preserve">    周岁  </w:t>
      </w:r>
      <w:r>
        <w:rPr>
          <w:rFonts w:hint="eastAsia" w:cs="宋体" w:asciiTheme="minorEastAsia" w:hAnsiTheme="minorEastAsia" w:eastAsiaTheme="minorEastAsia"/>
          <w:color w:val="auto"/>
          <w:szCs w:val="21"/>
          <w:highlight w:val="none"/>
        </w:rPr>
        <w:t>职务：</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lang w:val="en-US" w:eastAsia="zh-CN"/>
        </w:rPr>
        <w:t xml:space="preserve">   </w:t>
      </w:r>
    </w:p>
    <w:p w14:paraId="125B80A3">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身份证号码：</w:t>
      </w:r>
      <w:r>
        <w:rPr>
          <w:rFonts w:hint="eastAsia" w:cs="宋体" w:asciiTheme="minorEastAsia" w:hAnsiTheme="minorEastAsia" w:eastAsiaTheme="minorEastAsia"/>
          <w:color w:val="auto"/>
          <w:szCs w:val="21"/>
          <w:highlight w:val="none"/>
          <w:u w:val="single"/>
          <w:lang w:val="en-US" w:eastAsia="zh-CN"/>
        </w:rPr>
        <w:t xml:space="preserve">                        </w:t>
      </w:r>
    </w:p>
    <w:p w14:paraId="5B7FB899">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系</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（投标人名称）的法定代表人（或单位负责人）。</w:t>
      </w:r>
    </w:p>
    <w:p w14:paraId="646A3D8D">
      <w:pPr>
        <w:spacing w:line="480" w:lineRule="auto"/>
        <w:ind w:firstLine="840" w:firstLineChars="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特此证明。</w:t>
      </w:r>
    </w:p>
    <w:p w14:paraId="25050DC7">
      <w:pPr>
        <w:spacing w:line="360" w:lineRule="auto"/>
        <w:ind w:firstLine="420" w:firstLineChars="200"/>
        <w:rPr>
          <w:rFonts w:cs="宋体" w:asciiTheme="minorEastAsia" w:hAnsiTheme="minorEastAsia" w:eastAsiaTheme="minorEastAsia"/>
          <w:color w:val="auto"/>
          <w:szCs w:val="21"/>
          <w:highlight w:val="none"/>
        </w:rPr>
      </w:pPr>
    </w:p>
    <w:p w14:paraId="7A298A73">
      <w:pPr>
        <w:spacing w:line="360" w:lineRule="auto"/>
        <w:ind w:firstLine="420" w:firstLineChars="200"/>
        <w:rPr>
          <w:rFonts w:cs="宋体" w:asciiTheme="minorEastAsia" w:hAnsiTheme="minorEastAsia" w:eastAsiaTheme="minorEastAsia"/>
          <w:color w:val="auto"/>
          <w:szCs w:val="21"/>
          <w:highlight w:val="none"/>
        </w:rPr>
      </w:pPr>
    </w:p>
    <w:p w14:paraId="6E138AD4">
      <w:pPr>
        <w:wordWrap w:val="0"/>
        <w:spacing w:line="360" w:lineRule="auto"/>
        <w:jc w:val="righ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投标人：（盖单位公章）</w:t>
      </w:r>
    </w:p>
    <w:p w14:paraId="5A0CE762">
      <w:pPr>
        <w:spacing w:line="360" w:lineRule="auto"/>
        <w:ind w:firstLine="4515" w:firstLineChars="2150"/>
        <w:rPr>
          <w:rFonts w:cs="宋体" w:asciiTheme="minorEastAsia" w:hAnsiTheme="minorEastAsia" w:eastAsiaTheme="minorEastAsia"/>
          <w:color w:val="auto"/>
          <w:szCs w:val="21"/>
          <w:highlight w:val="none"/>
          <w:u w:val="single"/>
        </w:rPr>
      </w:pPr>
    </w:p>
    <w:p w14:paraId="3447FE69">
      <w:pPr>
        <w:spacing w:line="360" w:lineRule="auto"/>
        <w:ind w:firstLine="3885" w:firstLineChars="1850"/>
        <w:jc w:val="righ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 xml:space="preserve">   </w:t>
      </w:r>
      <w:r>
        <w:rPr>
          <w:rFonts w:hint="eastAsia" w:cs="宋体" w:asciiTheme="minorEastAsia" w:hAnsiTheme="minorEastAsia" w:eastAsiaTheme="minorEastAsia"/>
          <w:color w:val="auto"/>
          <w:szCs w:val="21"/>
          <w:highlight w:val="none"/>
        </w:rPr>
        <w:t>日</w:t>
      </w:r>
    </w:p>
    <w:p w14:paraId="103FE342">
      <w:pPr>
        <w:spacing w:line="360" w:lineRule="auto"/>
        <w:rPr>
          <w:rFonts w:cs="宋体" w:asciiTheme="minorEastAsia" w:hAnsiTheme="minorEastAsia" w:eastAsiaTheme="minorEastAsia"/>
          <w:color w:val="auto"/>
          <w:sz w:val="24"/>
          <w:highlight w:val="none"/>
        </w:rPr>
      </w:pPr>
    </w:p>
    <w:p w14:paraId="452C2975">
      <w:pPr>
        <w:spacing w:line="360" w:lineRule="auto"/>
        <w:rPr>
          <w:rFonts w:cs="宋体" w:asciiTheme="minorEastAsia" w:hAnsiTheme="minorEastAsia" w:eastAsiaTheme="minorEastAsia"/>
          <w:b/>
          <w:color w:val="auto"/>
          <w:szCs w:val="21"/>
          <w:highlight w:val="none"/>
        </w:rPr>
      </w:pPr>
    </w:p>
    <w:p w14:paraId="55702241">
      <w:pPr>
        <w:spacing w:line="360" w:lineRule="auto"/>
        <w:rPr>
          <w:rFonts w:cs="宋体" w:asciiTheme="minorEastAsia" w:hAnsiTheme="minorEastAsia" w:eastAsiaTheme="minorEastAsia"/>
          <w:b/>
          <w:color w:val="auto"/>
          <w:szCs w:val="21"/>
          <w:highlight w:val="none"/>
        </w:rPr>
      </w:pPr>
    </w:p>
    <w:p w14:paraId="4B7711CA">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附法定代表人身份证复印件（正反面）：</w:t>
      </w:r>
    </w:p>
    <w:p w14:paraId="7624E250">
      <w:pPr>
        <w:rPr>
          <w:rFonts w:cs="宋体" w:asciiTheme="minorEastAsia" w:hAnsiTheme="minorEastAsia" w:eastAsiaTheme="minorEastAsia"/>
          <w:color w:val="auto"/>
          <w:highlight w:val="none"/>
        </w:rPr>
      </w:pPr>
    </w:p>
    <w:p w14:paraId="795FE9E2">
      <w:pPr>
        <w:rPr>
          <w:rFonts w:cs="宋体" w:asciiTheme="minorEastAsia" w:hAnsiTheme="minorEastAsia" w:eastAsiaTheme="minorEastAsia"/>
          <w:b/>
          <w:color w:val="auto"/>
          <w:sz w:val="32"/>
          <w:szCs w:val="32"/>
          <w:highlight w:val="none"/>
        </w:rPr>
      </w:pPr>
    </w:p>
    <w:p w14:paraId="134228E8">
      <w:pPr>
        <w:rPr>
          <w:rFonts w:cs="宋体" w:asciiTheme="minorEastAsia" w:hAnsiTheme="minorEastAsia" w:eastAsiaTheme="minorEastAsia"/>
          <w:b/>
          <w:color w:val="auto"/>
          <w:sz w:val="32"/>
          <w:szCs w:val="32"/>
          <w:highlight w:val="none"/>
        </w:rPr>
      </w:pPr>
    </w:p>
    <w:p w14:paraId="7DB7B0D7">
      <w:pPr>
        <w:ind w:firstLine="205" w:firstLineChars="98"/>
        <w:rPr>
          <w:rFonts w:asciiTheme="minorEastAsia" w:hAnsiTheme="minorEastAsia" w:eastAsiaTheme="minorEastAsia"/>
          <w:color w:val="auto"/>
          <w:highlight w:val="none"/>
        </w:rPr>
      </w:pPr>
    </w:p>
    <w:p w14:paraId="07760AD6">
      <w:pPr>
        <w:rPr>
          <w:rFonts w:asciiTheme="minorEastAsia" w:hAnsiTheme="minorEastAsia" w:eastAsiaTheme="minorEastAsia"/>
          <w:color w:val="auto"/>
          <w:highlight w:val="none"/>
        </w:rPr>
        <w:sectPr>
          <w:headerReference r:id="rId16" w:type="default"/>
          <w:pgSz w:w="11907" w:h="16840"/>
          <w:pgMar w:top="1304" w:right="1588" w:bottom="1418" w:left="1588" w:header="720" w:footer="720" w:gutter="0"/>
          <w:cols w:space="720" w:num="1"/>
          <w:docGrid w:linePitch="285" w:charSpace="0"/>
        </w:sectPr>
      </w:pPr>
    </w:p>
    <w:p w14:paraId="1FC1CF8D">
      <w:pPr>
        <w:rPr>
          <w:rFonts w:asciiTheme="minorEastAsia" w:hAnsiTheme="minorEastAsia" w:eastAsiaTheme="minorEastAsia"/>
          <w:color w:val="auto"/>
          <w:highlight w:val="none"/>
        </w:rPr>
      </w:pPr>
    </w:p>
    <w:p w14:paraId="6D6347AF">
      <w:pPr>
        <w:pStyle w:val="3"/>
        <w:spacing w:line="380" w:lineRule="exact"/>
        <w:rPr>
          <w:rFonts w:asciiTheme="minorEastAsia" w:hAnsiTheme="minorEastAsia" w:eastAsiaTheme="minorEastAsia"/>
          <w:bCs w:val="0"/>
          <w:color w:val="auto"/>
          <w:sz w:val="24"/>
          <w:szCs w:val="24"/>
          <w:highlight w:val="none"/>
        </w:rPr>
      </w:pPr>
      <w:bookmarkStart w:id="147" w:name="_Toc136017661"/>
      <w:bookmarkStart w:id="148" w:name="_Toc24856"/>
      <w:bookmarkStart w:id="149" w:name="_Toc136345122"/>
      <w:r>
        <w:rPr>
          <w:rFonts w:hint="eastAsia" w:asciiTheme="minorEastAsia" w:hAnsiTheme="minorEastAsia" w:eastAsiaTheme="minorEastAsia"/>
          <w:bCs w:val="0"/>
          <w:color w:val="auto"/>
          <w:sz w:val="24"/>
          <w:szCs w:val="24"/>
          <w:highlight w:val="none"/>
        </w:rPr>
        <w:t>（二）投标人基本情况表</w:t>
      </w:r>
      <w:bookmarkEnd w:id="147"/>
      <w:bookmarkEnd w:id="148"/>
      <w:bookmarkEnd w:id="149"/>
    </w:p>
    <w:tbl>
      <w:tblPr>
        <w:tblStyle w:val="3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666"/>
        <w:gridCol w:w="602"/>
        <w:gridCol w:w="794"/>
        <w:gridCol w:w="354"/>
        <w:gridCol w:w="1386"/>
      </w:tblGrid>
      <w:tr w14:paraId="282B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56878DFE">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投标人名称</w:t>
            </w:r>
          </w:p>
        </w:tc>
        <w:tc>
          <w:tcPr>
            <w:tcW w:w="7149" w:type="dxa"/>
            <w:gridSpan w:val="8"/>
            <w:vAlign w:val="center"/>
          </w:tcPr>
          <w:p w14:paraId="6B2F78E5">
            <w:pPr>
              <w:pStyle w:val="122"/>
              <w:jc w:val="center"/>
              <w:rPr>
                <w:rFonts w:asciiTheme="minorEastAsia" w:hAnsiTheme="minorEastAsia" w:eastAsiaTheme="minorEastAsia"/>
                <w:color w:val="auto"/>
                <w:sz w:val="24"/>
                <w:szCs w:val="24"/>
                <w:highlight w:val="none"/>
                <w:lang w:val="en-US"/>
              </w:rPr>
            </w:pPr>
          </w:p>
        </w:tc>
      </w:tr>
      <w:tr w14:paraId="387A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31108A05">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注册地址</w:t>
            </w:r>
          </w:p>
        </w:tc>
        <w:tc>
          <w:tcPr>
            <w:tcW w:w="3347" w:type="dxa"/>
            <w:gridSpan w:val="3"/>
            <w:vAlign w:val="center"/>
          </w:tcPr>
          <w:p w14:paraId="73626E27">
            <w:pPr>
              <w:pStyle w:val="122"/>
              <w:jc w:val="center"/>
              <w:rPr>
                <w:rFonts w:asciiTheme="minorEastAsia" w:hAnsiTheme="minorEastAsia" w:eastAsiaTheme="minorEastAsia"/>
                <w:color w:val="auto"/>
                <w:sz w:val="24"/>
                <w:szCs w:val="24"/>
                <w:highlight w:val="none"/>
                <w:lang w:val="en-US"/>
              </w:rPr>
            </w:pPr>
          </w:p>
        </w:tc>
        <w:tc>
          <w:tcPr>
            <w:tcW w:w="1268" w:type="dxa"/>
            <w:gridSpan w:val="2"/>
            <w:vAlign w:val="center"/>
          </w:tcPr>
          <w:p w14:paraId="09A76E66">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邮政编码</w:t>
            </w:r>
          </w:p>
        </w:tc>
        <w:tc>
          <w:tcPr>
            <w:tcW w:w="2534" w:type="dxa"/>
            <w:gridSpan w:val="3"/>
            <w:vAlign w:val="center"/>
          </w:tcPr>
          <w:p w14:paraId="0864C479">
            <w:pPr>
              <w:pStyle w:val="122"/>
              <w:jc w:val="center"/>
              <w:rPr>
                <w:rFonts w:asciiTheme="minorEastAsia" w:hAnsiTheme="minorEastAsia" w:eastAsiaTheme="minorEastAsia"/>
                <w:color w:val="auto"/>
                <w:sz w:val="24"/>
                <w:szCs w:val="24"/>
                <w:highlight w:val="none"/>
                <w:lang w:val="en-US"/>
              </w:rPr>
            </w:pPr>
          </w:p>
        </w:tc>
      </w:tr>
      <w:tr w14:paraId="79C2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5B11468C">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联系方式</w:t>
            </w:r>
          </w:p>
        </w:tc>
        <w:tc>
          <w:tcPr>
            <w:tcW w:w="851" w:type="dxa"/>
            <w:vAlign w:val="center"/>
          </w:tcPr>
          <w:p w14:paraId="33A1731B">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联系人</w:t>
            </w:r>
          </w:p>
        </w:tc>
        <w:tc>
          <w:tcPr>
            <w:tcW w:w="2496" w:type="dxa"/>
            <w:gridSpan w:val="2"/>
            <w:vAlign w:val="center"/>
          </w:tcPr>
          <w:p w14:paraId="4E10F9FC">
            <w:pPr>
              <w:pStyle w:val="122"/>
              <w:jc w:val="center"/>
              <w:rPr>
                <w:rFonts w:asciiTheme="minorEastAsia" w:hAnsiTheme="minorEastAsia" w:eastAsiaTheme="minorEastAsia"/>
                <w:color w:val="auto"/>
                <w:sz w:val="24"/>
                <w:szCs w:val="24"/>
                <w:highlight w:val="none"/>
                <w:lang w:val="en-US"/>
              </w:rPr>
            </w:pPr>
          </w:p>
        </w:tc>
        <w:tc>
          <w:tcPr>
            <w:tcW w:w="1268" w:type="dxa"/>
            <w:gridSpan w:val="2"/>
            <w:vAlign w:val="center"/>
          </w:tcPr>
          <w:p w14:paraId="4AABE0E0">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电话</w:t>
            </w:r>
          </w:p>
        </w:tc>
        <w:tc>
          <w:tcPr>
            <w:tcW w:w="2534" w:type="dxa"/>
            <w:gridSpan w:val="3"/>
            <w:vAlign w:val="center"/>
          </w:tcPr>
          <w:p w14:paraId="0B7721ED">
            <w:pPr>
              <w:pStyle w:val="122"/>
              <w:jc w:val="center"/>
              <w:rPr>
                <w:rFonts w:asciiTheme="minorEastAsia" w:hAnsiTheme="minorEastAsia" w:eastAsiaTheme="minorEastAsia"/>
                <w:color w:val="auto"/>
                <w:sz w:val="24"/>
                <w:szCs w:val="24"/>
                <w:highlight w:val="none"/>
                <w:lang w:val="en-US"/>
              </w:rPr>
            </w:pPr>
          </w:p>
        </w:tc>
      </w:tr>
      <w:tr w14:paraId="17EE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18DF337C">
            <w:pPr>
              <w:pStyle w:val="122"/>
              <w:jc w:val="center"/>
              <w:rPr>
                <w:rFonts w:asciiTheme="minorEastAsia" w:hAnsiTheme="minorEastAsia" w:eastAsiaTheme="minorEastAsia"/>
                <w:color w:val="auto"/>
                <w:sz w:val="24"/>
                <w:szCs w:val="24"/>
                <w:highlight w:val="none"/>
                <w:lang w:val="en-US"/>
              </w:rPr>
            </w:pPr>
          </w:p>
        </w:tc>
        <w:tc>
          <w:tcPr>
            <w:tcW w:w="851" w:type="dxa"/>
            <w:vAlign w:val="center"/>
          </w:tcPr>
          <w:p w14:paraId="5F328FE7">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传真</w:t>
            </w:r>
          </w:p>
        </w:tc>
        <w:tc>
          <w:tcPr>
            <w:tcW w:w="2496" w:type="dxa"/>
            <w:gridSpan w:val="2"/>
            <w:vAlign w:val="center"/>
          </w:tcPr>
          <w:p w14:paraId="34EAAC5C">
            <w:pPr>
              <w:pStyle w:val="122"/>
              <w:jc w:val="center"/>
              <w:rPr>
                <w:rFonts w:asciiTheme="minorEastAsia" w:hAnsiTheme="minorEastAsia" w:eastAsiaTheme="minorEastAsia"/>
                <w:color w:val="auto"/>
                <w:sz w:val="24"/>
                <w:szCs w:val="24"/>
                <w:highlight w:val="none"/>
                <w:lang w:val="en-US"/>
              </w:rPr>
            </w:pPr>
          </w:p>
        </w:tc>
        <w:tc>
          <w:tcPr>
            <w:tcW w:w="1268" w:type="dxa"/>
            <w:gridSpan w:val="2"/>
            <w:vAlign w:val="center"/>
          </w:tcPr>
          <w:p w14:paraId="36D7DC85">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电子邮址</w:t>
            </w:r>
          </w:p>
        </w:tc>
        <w:tc>
          <w:tcPr>
            <w:tcW w:w="2534" w:type="dxa"/>
            <w:gridSpan w:val="3"/>
            <w:vAlign w:val="center"/>
          </w:tcPr>
          <w:p w14:paraId="4FB2DB39">
            <w:pPr>
              <w:pStyle w:val="122"/>
              <w:jc w:val="center"/>
              <w:rPr>
                <w:rFonts w:asciiTheme="minorEastAsia" w:hAnsiTheme="minorEastAsia" w:eastAsiaTheme="minorEastAsia"/>
                <w:color w:val="auto"/>
                <w:sz w:val="24"/>
                <w:szCs w:val="24"/>
                <w:highlight w:val="none"/>
                <w:lang w:val="en-US"/>
              </w:rPr>
            </w:pPr>
          </w:p>
        </w:tc>
      </w:tr>
      <w:tr w14:paraId="21E5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6D0ED4D6">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法定代表人</w:t>
            </w:r>
          </w:p>
        </w:tc>
        <w:tc>
          <w:tcPr>
            <w:tcW w:w="851" w:type="dxa"/>
            <w:vAlign w:val="center"/>
          </w:tcPr>
          <w:p w14:paraId="7F3A422D">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姓名</w:t>
            </w:r>
          </w:p>
        </w:tc>
        <w:tc>
          <w:tcPr>
            <w:tcW w:w="1276" w:type="dxa"/>
            <w:vAlign w:val="center"/>
          </w:tcPr>
          <w:p w14:paraId="5E4A7011">
            <w:pPr>
              <w:pStyle w:val="122"/>
              <w:jc w:val="center"/>
              <w:rPr>
                <w:rFonts w:asciiTheme="minorEastAsia" w:hAnsiTheme="minorEastAsia" w:eastAsiaTheme="minorEastAsia"/>
                <w:color w:val="auto"/>
                <w:sz w:val="24"/>
                <w:szCs w:val="24"/>
                <w:highlight w:val="none"/>
                <w:lang w:val="en-US"/>
              </w:rPr>
            </w:pPr>
          </w:p>
        </w:tc>
        <w:tc>
          <w:tcPr>
            <w:tcW w:w="1220" w:type="dxa"/>
            <w:vAlign w:val="center"/>
          </w:tcPr>
          <w:p w14:paraId="54CFB983">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技术职称</w:t>
            </w:r>
          </w:p>
        </w:tc>
        <w:tc>
          <w:tcPr>
            <w:tcW w:w="1268" w:type="dxa"/>
            <w:gridSpan w:val="2"/>
            <w:vAlign w:val="center"/>
          </w:tcPr>
          <w:p w14:paraId="3CBDC931">
            <w:pPr>
              <w:pStyle w:val="122"/>
              <w:jc w:val="center"/>
              <w:rPr>
                <w:rFonts w:asciiTheme="minorEastAsia" w:hAnsiTheme="minorEastAsia" w:eastAsiaTheme="minorEastAsia"/>
                <w:color w:val="auto"/>
                <w:sz w:val="24"/>
                <w:szCs w:val="24"/>
                <w:highlight w:val="none"/>
                <w:lang w:val="en-US"/>
              </w:rPr>
            </w:pPr>
          </w:p>
        </w:tc>
        <w:tc>
          <w:tcPr>
            <w:tcW w:w="794" w:type="dxa"/>
            <w:vAlign w:val="center"/>
          </w:tcPr>
          <w:p w14:paraId="19A2CAC8">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电话</w:t>
            </w:r>
          </w:p>
        </w:tc>
        <w:tc>
          <w:tcPr>
            <w:tcW w:w="1740" w:type="dxa"/>
            <w:gridSpan w:val="2"/>
            <w:vAlign w:val="center"/>
          </w:tcPr>
          <w:p w14:paraId="398C3399">
            <w:pPr>
              <w:pStyle w:val="122"/>
              <w:jc w:val="center"/>
              <w:rPr>
                <w:rFonts w:asciiTheme="minorEastAsia" w:hAnsiTheme="minorEastAsia" w:eastAsiaTheme="minorEastAsia"/>
                <w:color w:val="auto"/>
                <w:sz w:val="24"/>
                <w:szCs w:val="24"/>
                <w:highlight w:val="none"/>
                <w:lang w:val="en-US"/>
              </w:rPr>
            </w:pPr>
          </w:p>
        </w:tc>
      </w:tr>
      <w:tr w14:paraId="3335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1EEF9E0F">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技术负责人</w:t>
            </w:r>
          </w:p>
        </w:tc>
        <w:tc>
          <w:tcPr>
            <w:tcW w:w="851" w:type="dxa"/>
            <w:vAlign w:val="center"/>
          </w:tcPr>
          <w:p w14:paraId="3B4C5218">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姓名</w:t>
            </w:r>
          </w:p>
        </w:tc>
        <w:tc>
          <w:tcPr>
            <w:tcW w:w="1276" w:type="dxa"/>
            <w:vAlign w:val="center"/>
          </w:tcPr>
          <w:p w14:paraId="755A2ECE">
            <w:pPr>
              <w:pStyle w:val="122"/>
              <w:jc w:val="center"/>
              <w:rPr>
                <w:rFonts w:asciiTheme="minorEastAsia" w:hAnsiTheme="minorEastAsia" w:eastAsiaTheme="minorEastAsia"/>
                <w:color w:val="auto"/>
                <w:sz w:val="24"/>
                <w:szCs w:val="24"/>
                <w:highlight w:val="none"/>
                <w:lang w:val="en-US"/>
              </w:rPr>
            </w:pPr>
          </w:p>
        </w:tc>
        <w:tc>
          <w:tcPr>
            <w:tcW w:w="1220" w:type="dxa"/>
            <w:vAlign w:val="center"/>
          </w:tcPr>
          <w:p w14:paraId="67422B12">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技术职称</w:t>
            </w:r>
          </w:p>
        </w:tc>
        <w:tc>
          <w:tcPr>
            <w:tcW w:w="1268" w:type="dxa"/>
            <w:gridSpan w:val="2"/>
            <w:vAlign w:val="center"/>
          </w:tcPr>
          <w:p w14:paraId="46C67642">
            <w:pPr>
              <w:pStyle w:val="122"/>
              <w:jc w:val="center"/>
              <w:rPr>
                <w:rFonts w:asciiTheme="minorEastAsia" w:hAnsiTheme="minorEastAsia" w:eastAsiaTheme="minorEastAsia"/>
                <w:color w:val="auto"/>
                <w:sz w:val="24"/>
                <w:szCs w:val="24"/>
                <w:highlight w:val="none"/>
                <w:lang w:val="en-US"/>
              </w:rPr>
            </w:pPr>
          </w:p>
        </w:tc>
        <w:tc>
          <w:tcPr>
            <w:tcW w:w="794" w:type="dxa"/>
            <w:vAlign w:val="center"/>
          </w:tcPr>
          <w:p w14:paraId="5544FBB4">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电话</w:t>
            </w:r>
          </w:p>
        </w:tc>
        <w:tc>
          <w:tcPr>
            <w:tcW w:w="1740" w:type="dxa"/>
            <w:gridSpan w:val="2"/>
            <w:vAlign w:val="center"/>
          </w:tcPr>
          <w:p w14:paraId="04DE3806">
            <w:pPr>
              <w:pStyle w:val="122"/>
              <w:jc w:val="center"/>
              <w:rPr>
                <w:rFonts w:asciiTheme="minorEastAsia" w:hAnsiTheme="minorEastAsia" w:eastAsiaTheme="minorEastAsia"/>
                <w:color w:val="auto"/>
                <w:sz w:val="24"/>
                <w:szCs w:val="24"/>
                <w:highlight w:val="none"/>
                <w:lang w:val="en-US"/>
              </w:rPr>
            </w:pPr>
          </w:p>
        </w:tc>
      </w:tr>
      <w:tr w14:paraId="3A0E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23BC9903">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成立时间</w:t>
            </w:r>
          </w:p>
        </w:tc>
        <w:tc>
          <w:tcPr>
            <w:tcW w:w="3347" w:type="dxa"/>
            <w:gridSpan w:val="3"/>
            <w:vAlign w:val="center"/>
          </w:tcPr>
          <w:p w14:paraId="2603958B">
            <w:pPr>
              <w:pStyle w:val="122"/>
              <w:jc w:val="center"/>
              <w:rPr>
                <w:rFonts w:asciiTheme="minorEastAsia" w:hAnsiTheme="minorEastAsia" w:eastAsiaTheme="minorEastAsia"/>
                <w:color w:val="auto"/>
                <w:sz w:val="24"/>
                <w:szCs w:val="24"/>
                <w:highlight w:val="none"/>
                <w:lang w:val="en-US"/>
              </w:rPr>
            </w:pPr>
          </w:p>
        </w:tc>
        <w:tc>
          <w:tcPr>
            <w:tcW w:w="3802" w:type="dxa"/>
            <w:gridSpan w:val="5"/>
            <w:vAlign w:val="center"/>
          </w:tcPr>
          <w:p w14:paraId="506D8DDE">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员工总人数：</w:t>
            </w:r>
          </w:p>
        </w:tc>
      </w:tr>
      <w:tr w14:paraId="2D14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37E15C83">
            <w:pPr>
              <w:pStyle w:val="122"/>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 xml:space="preserve"> </w:t>
            </w:r>
          </w:p>
          <w:p w14:paraId="591FA371">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营业执照号</w:t>
            </w:r>
          </w:p>
        </w:tc>
        <w:tc>
          <w:tcPr>
            <w:tcW w:w="3347" w:type="dxa"/>
            <w:gridSpan w:val="3"/>
            <w:vMerge w:val="restart"/>
            <w:vAlign w:val="center"/>
          </w:tcPr>
          <w:p w14:paraId="6BA8AA86">
            <w:pPr>
              <w:pStyle w:val="122"/>
              <w:jc w:val="center"/>
              <w:rPr>
                <w:rFonts w:asciiTheme="minorEastAsia" w:hAnsiTheme="minorEastAsia" w:eastAsiaTheme="minorEastAsia"/>
                <w:color w:val="auto"/>
                <w:sz w:val="24"/>
                <w:szCs w:val="24"/>
                <w:highlight w:val="none"/>
                <w:lang w:val="en-US"/>
              </w:rPr>
            </w:pPr>
          </w:p>
        </w:tc>
        <w:tc>
          <w:tcPr>
            <w:tcW w:w="666" w:type="dxa"/>
            <w:vMerge w:val="restart"/>
            <w:vAlign w:val="center"/>
          </w:tcPr>
          <w:p w14:paraId="04106FBA">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其中</w:t>
            </w:r>
          </w:p>
        </w:tc>
        <w:tc>
          <w:tcPr>
            <w:tcW w:w="1750" w:type="dxa"/>
            <w:gridSpan w:val="3"/>
            <w:vAlign w:val="center"/>
          </w:tcPr>
          <w:p w14:paraId="567C4A8D">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高级职称</w:t>
            </w:r>
          </w:p>
        </w:tc>
        <w:tc>
          <w:tcPr>
            <w:tcW w:w="1386" w:type="dxa"/>
            <w:vAlign w:val="center"/>
          </w:tcPr>
          <w:p w14:paraId="58CA2862">
            <w:pPr>
              <w:pStyle w:val="122"/>
              <w:jc w:val="center"/>
              <w:rPr>
                <w:rFonts w:asciiTheme="minorEastAsia" w:hAnsiTheme="minorEastAsia" w:eastAsiaTheme="minorEastAsia"/>
                <w:color w:val="auto"/>
                <w:sz w:val="24"/>
                <w:szCs w:val="24"/>
                <w:highlight w:val="none"/>
                <w:lang w:val="en-US"/>
              </w:rPr>
            </w:pPr>
          </w:p>
        </w:tc>
      </w:tr>
      <w:tr w14:paraId="652C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0C49CAE9">
            <w:pPr>
              <w:pStyle w:val="122"/>
              <w:jc w:val="center"/>
              <w:rPr>
                <w:rFonts w:asciiTheme="minorEastAsia" w:hAnsiTheme="minorEastAsia" w:eastAsiaTheme="minorEastAsia"/>
                <w:color w:val="auto"/>
                <w:sz w:val="24"/>
                <w:szCs w:val="24"/>
                <w:highlight w:val="none"/>
                <w:lang w:val="en-US"/>
              </w:rPr>
            </w:pPr>
          </w:p>
        </w:tc>
        <w:tc>
          <w:tcPr>
            <w:tcW w:w="3347" w:type="dxa"/>
            <w:gridSpan w:val="3"/>
            <w:vMerge w:val="continue"/>
            <w:vAlign w:val="center"/>
          </w:tcPr>
          <w:p w14:paraId="11304E45">
            <w:pPr>
              <w:pStyle w:val="122"/>
              <w:jc w:val="center"/>
              <w:rPr>
                <w:rFonts w:asciiTheme="minorEastAsia" w:hAnsiTheme="minorEastAsia" w:eastAsiaTheme="minorEastAsia"/>
                <w:color w:val="auto"/>
                <w:sz w:val="24"/>
                <w:szCs w:val="24"/>
                <w:highlight w:val="none"/>
                <w:lang w:val="en-US"/>
              </w:rPr>
            </w:pPr>
          </w:p>
        </w:tc>
        <w:tc>
          <w:tcPr>
            <w:tcW w:w="666" w:type="dxa"/>
            <w:vMerge w:val="continue"/>
            <w:vAlign w:val="center"/>
          </w:tcPr>
          <w:p w14:paraId="2677A5B2">
            <w:pPr>
              <w:pStyle w:val="122"/>
              <w:jc w:val="center"/>
              <w:rPr>
                <w:rFonts w:asciiTheme="minorEastAsia" w:hAnsiTheme="minorEastAsia" w:eastAsiaTheme="minorEastAsia"/>
                <w:color w:val="auto"/>
                <w:sz w:val="24"/>
                <w:szCs w:val="24"/>
                <w:highlight w:val="none"/>
                <w:lang w:val="en-US"/>
              </w:rPr>
            </w:pPr>
          </w:p>
        </w:tc>
        <w:tc>
          <w:tcPr>
            <w:tcW w:w="1750" w:type="dxa"/>
            <w:gridSpan w:val="3"/>
            <w:vAlign w:val="center"/>
          </w:tcPr>
          <w:p w14:paraId="67DEFCC3">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中级职称</w:t>
            </w:r>
          </w:p>
        </w:tc>
        <w:tc>
          <w:tcPr>
            <w:tcW w:w="1386" w:type="dxa"/>
            <w:vAlign w:val="center"/>
          </w:tcPr>
          <w:p w14:paraId="42EE273D">
            <w:pPr>
              <w:pStyle w:val="122"/>
              <w:jc w:val="center"/>
              <w:rPr>
                <w:rFonts w:asciiTheme="minorEastAsia" w:hAnsiTheme="minorEastAsia" w:eastAsiaTheme="minorEastAsia"/>
                <w:color w:val="auto"/>
                <w:sz w:val="24"/>
                <w:szCs w:val="24"/>
                <w:highlight w:val="none"/>
                <w:lang w:val="en-US"/>
              </w:rPr>
            </w:pPr>
          </w:p>
        </w:tc>
      </w:tr>
      <w:tr w14:paraId="0066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061" w:type="dxa"/>
            <w:vMerge w:val="continue"/>
            <w:vAlign w:val="center"/>
          </w:tcPr>
          <w:p w14:paraId="2B7DC6E0">
            <w:pPr>
              <w:pStyle w:val="122"/>
              <w:jc w:val="center"/>
              <w:rPr>
                <w:rFonts w:asciiTheme="minorEastAsia" w:hAnsiTheme="minorEastAsia" w:eastAsiaTheme="minorEastAsia"/>
                <w:color w:val="auto"/>
                <w:sz w:val="24"/>
                <w:szCs w:val="24"/>
                <w:highlight w:val="none"/>
                <w:lang w:val="en-US"/>
              </w:rPr>
            </w:pPr>
          </w:p>
        </w:tc>
        <w:tc>
          <w:tcPr>
            <w:tcW w:w="3347" w:type="dxa"/>
            <w:gridSpan w:val="3"/>
            <w:vMerge w:val="continue"/>
            <w:vAlign w:val="center"/>
          </w:tcPr>
          <w:p w14:paraId="562891E0">
            <w:pPr>
              <w:pStyle w:val="122"/>
              <w:jc w:val="center"/>
              <w:rPr>
                <w:rFonts w:asciiTheme="minorEastAsia" w:hAnsiTheme="minorEastAsia" w:eastAsiaTheme="minorEastAsia"/>
                <w:color w:val="auto"/>
                <w:sz w:val="24"/>
                <w:szCs w:val="24"/>
                <w:highlight w:val="none"/>
                <w:lang w:val="en-US"/>
              </w:rPr>
            </w:pPr>
          </w:p>
        </w:tc>
        <w:tc>
          <w:tcPr>
            <w:tcW w:w="666" w:type="dxa"/>
            <w:vMerge w:val="continue"/>
            <w:vAlign w:val="center"/>
          </w:tcPr>
          <w:p w14:paraId="7EFC245F">
            <w:pPr>
              <w:pStyle w:val="122"/>
              <w:jc w:val="center"/>
              <w:rPr>
                <w:rFonts w:asciiTheme="minorEastAsia" w:hAnsiTheme="minorEastAsia" w:eastAsiaTheme="minorEastAsia"/>
                <w:color w:val="auto"/>
                <w:sz w:val="24"/>
                <w:szCs w:val="24"/>
                <w:highlight w:val="none"/>
                <w:lang w:val="en-US"/>
              </w:rPr>
            </w:pPr>
          </w:p>
        </w:tc>
        <w:tc>
          <w:tcPr>
            <w:tcW w:w="1750" w:type="dxa"/>
            <w:gridSpan w:val="3"/>
            <w:vAlign w:val="center"/>
          </w:tcPr>
          <w:p w14:paraId="5E7A1329">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各类注册人员</w:t>
            </w:r>
          </w:p>
        </w:tc>
        <w:tc>
          <w:tcPr>
            <w:tcW w:w="1386" w:type="dxa"/>
            <w:vAlign w:val="center"/>
          </w:tcPr>
          <w:p w14:paraId="7975BA9B">
            <w:pPr>
              <w:pStyle w:val="122"/>
              <w:jc w:val="center"/>
              <w:rPr>
                <w:rFonts w:asciiTheme="minorEastAsia" w:hAnsiTheme="minorEastAsia" w:eastAsiaTheme="minorEastAsia"/>
                <w:color w:val="auto"/>
                <w:sz w:val="24"/>
                <w:szCs w:val="24"/>
                <w:highlight w:val="none"/>
                <w:lang w:val="en-US"/>
              </w:rPr>
            </w:pPr>
          </w:p>
        </w:tc>
      </w:tr>
      <w:tr w14:paraId="68E3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130BC3A9">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注册资金</w:t>
            </w:r>
          </w:p>
        </w:tc>
        <w:tc>
          <w:tcPr>
            <w:tcW w:w="7149" w:type="dxa"/>
            <w:gridSpan w:val="8"/>
            <w:vAlign w:val="center"/>
          </w:tcPr>
          <w:p w14:paraId="589A0B0F">
            <w:pPr>
              <w:pStyle w:val="122"/>
              <w:jc w:val="center"/>
              <w:rPr>
                <w:rFonts w:asciiTheme="minorEastAsia" w:hAnsiTheme="minorEastAsia" w:eastAsiaTheme="minorEastAsia"/>
                <w:color w:val="auto"/>
                <w:sz w:val="24"/>
                <w:szCs w:val="24"/>
                <w:highlight w:val="none"/>
                <w:lang w:val="en-US"/>
              </w:rPr>
            </w:pPr>
          </w:p>
        </w:tc>
      </w:tr>
      <w:tr w14:paraId="57A7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5B9A8CE9">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基本账户开户银行</w:t>
            </w:r>
          </w:p>
        </w:tc>
        <w:tc>
          <w:tcPr>
            <w:tcW w:w="7149" w:type="dxa"/>
            <w:gridSpan w:val="8"/>
            <w:vAlign w:val="center"/>
          </w:tcPr>
          <w:p w14:paraId="583279FA">
            <w:pPr>
              <w:pStyle w:val="122"/>
              <w:jc w:val="center"/>
              <w:rPr>
                <w:rFonts w:asciiTheme="minorEastAsia" w:hAnsiTheme="minorEastAsia" w:eastAsiaTheme="minorEastAsia"/>
                <w:color w:val="auto"/>
                <w:sz w:val="24"/>
                <w:szCs w:val="24"/>
                <w:highlight w:val="none"/>
                <w:lang w:val="en-US"/>
              </w:rPr>
            </w:pPr>
          </w:p>
        </w:tc>
      </w:tr>
      <w:tr w14:paraId="4C28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47338DC7">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基本账户账号</w:t>
            </w:r>
          </w:p>
        </w:tc>
        <w:tc>
          <w:tcPr>
            <w:tcW w:w="7149" w:type="dxa"/>
            <w:gridSpan w:val="8"/>
            <w:vAlign w:val="center"/>
          </w:tcPr>
          <w:p w14:paraId="1D031A5F">
            <w:pPr>
              <w:pStyle w:val="122"/>
              <w:jc w:val="center"/>
              <w:rPr>
                <w:rFonts w:asciiTheme="minorEastAsia" w:hAnsiTheme="minorEastAsia" w:eastAsiaTheme="minorEastAsia"/>
                <w:color w:val="auto"/>
                <w:sz w:val="24"/>
                <w:szCs w:val="24"/>
                <w:highlight w:val="none"/>
                <w:lang w:val="en-US"/>
              </w:rPr>
            </w:pPr>
          </w:p>
        </w:tc>
      </w:tr>
      <w:tr w14:paraId="5D57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37BFE89E">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经营范围</w:t>
            </w:r>
          </w:p>
        </w:tc>
        <w:tc>
          <w:tcPr>
            <w:tcW w:w="7149" w:type="dxa"/>
            <w:gridSpan w:val="8"/>
            <w:vAlign w:val="center"/>
          </w:tcPr>
          <w:p w14:paraId="13B966A7">
            <w:pPr>
              <w:pStyle w:val="122"/>
              <w:jc w:val="center"/>
              <w:rPr>
                <w:rFonts w:asciiTheme="minorEastAsia" w:hAnsiTheme="minorEastAsia" w:eastAsiaTheme="minorEastAsia"/>
                <w:color w:val="auto"/>
                <w:sz w:val="24"/>
                <w:szCs w:val="24"/>
                <w:highlight w:val="none"/>
                <w:lang w:val="en-US"/>
              </w:rPr>
            </w:pPr>
          </w:p>
        </w:tc>
      </w:tr>
      <w:tr w14:paraId="0E7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156A5376">
            <w:pPr>
              <w:pStyle w:val="122"/>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备注</w:t>
            </w:r>
          </w:p>
        </w:tc>
        <w:tc>
          <w:tcPr>
            <w:tcW w:w="7149" w:type="dxa"/>
            <w:gridSpan w:val="8"/>
            <w:vAlign w:val="center"/>
          </w:tcPr>
          <w:p w14:paraId="05C5D93C">
            <w:pPr>
              <w:pStyle w:val="122"/>
              <w:jc w:val="center"/>
              <w:rPr>
                <w:rFonts w:asciiTheme="minorEastAsia" w:hAnsiTheme="minorEastAsia" w:eastAsiaTheme="minorEastAsia"/>
                <w:color w:val="auto"/>
                <w:sz w:val="24"/>
                <w:szCs w:val="24"/>
                <w:highlight w:val="none"/>
                <w:lang w:val="en-US"/>
              </w:rPr>
            </w:pPr>
          </w:p>
        </w:tc>
      </w:tr>
    </w:tbl>
    <w:p w14:paraId="2D44B4CB">
      <w:pPr>
        <w:spacing w:line="380" w:lineRule="exact"/>
        <w:rPr>
          <w:rFonts w:asciiTheme="minorEastAsia" w:hAnsiTheme="minorEastAsia" w:eastAsiaTheme="minorEastAsia"/>
          <w:color w:val="auto"/>
          <w:sz w:val="22"/>
          <w:szCs w:val="22"/>
          <w:highlight w:val="none"/>
        </w:rPr>
      </w:pPr>
    </w:p>
    <w:p w14:paraId="1F553CDA">
      <w:pPr>
        <w:spacing w:line="38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34ABBF43">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0C0DF347">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5BA70F0E">
      <w:pPr>
        <w:rPr>
          <w:rFonts w:asciiTheme="minorEastAsia" w:hAnsiTheme="minorEastAsia" w:eastAsiaTheme="minorEastAsia"/>
          <w:color w:val="auto"/>
          <w:highlight w:val="none"/>
        </w:rPr>
      </w:pPr>
    </w:p>
    <w:p w14:paraId="6409AEFE">
      <w:pPr>
        <w:rPr>
          <w:rFonts w:asciiTheme="minorEastAsia" w:hAnsiTheme="minorEastAsia" w:eastAsiaTheme="minorEastAsia"/>
          <w:color w:val="auto"/>
          <w:highlight w:val="none"/>
        </w:rPr>
      </w:pPr>
    </w:p>
    <w:p w14:paraId="73053112">
      <w:pPr>
        <w:rPr>
          <w:rFonts w:ascii="宋体" w:hAnsi="宋体" w:cs="宋体"/>
          <w:b/>
          <w:color w:val="auto"/>
          <w:szCs w:val="21"/>
          <w:highlight w:val="none"/>
        </w:rPr>
      </w:pPr>
      <w:r>
        <w:rPr>
          <w:rFonts w:hint="eastAsia" w:ascii="宋体" w:hAnsi="宋体" w:cs="宋体"/>
          <w:b/>
          <w:color w:val="auto"/>
          <w:szCs w:val="21"/>
          <w:highlight w:val="none"/>
        </w:rPr>
        <w:t>（若为联合体投标，联合体各方须单独提供并盖章）</w:t>
      </w:r>
    </w:p>
    <w:p w14:paraId="1A066B0D">
      <w:pPr>
        <w:rPr>
          <w:rFonts w:ascii="宋体" w:hAnsi="宋体" w:cs="宋体"/>
          <w:b/>
          <w:color w:val="auto"/>
          <w:szCs w:val="21"/>
          <w:highlight w:val="none"/>
        </w:rPr>
      </w:pPr>
      <w:r>
        <w:rPr>
          <w:rFonts w:hint="eastAsia" w:ascii="宋体" w:hAnsi="宋体" w:cs="宋体"/>
          <w:b/>
          <w:color w:val="auto"/>
          <w:szCs w:val="21"/>
          <w:highlight w:val="none"/>
        </w:rPr>
        <w:br w:type="page"/>
      </w:r>
    </w:p>
    <w:p w14:paraId="113DA780">
      <w:pPr>
        <w:autoSpaceDE w:val="0"/>
        <w:autoSpaceDN w:val="0"/>
        <w:jc w:val="center"/>
        <w:rPr>
          <w:rFonts w:ascii="宋体" w:hAnsi="宋体" w:cs="宋体"/>
          <w:b/>
          <w:color w:val="auto"/>
          <w:kern w:val="0"/>
          <w:sz w:val="28"/>
          <w:szCs w:val="28"/>
          <w:highlight w:val="none"/>
          <w:lang w:val="zh-CN"/>
        </w:rPr>
      </w:pPr>
      <w:r>
        <w:rPr>
          <w:rFonts w:hint="eastAsia" w:asciiTheme="minorEastAsia" w:hAnsiTheme="minorEastAsia" w:eastAsiaTheme="minorEastAsia"/>
          <w:b/>
          <w:color w:val="auto"/>
          <w:sz w:val="24"/>
          <w:szCs w:val="24"/>
          <w:highlight w:val="none"/>
        </w:rPr>
        <w:t>（三）</w:t>
      </w:r>
      <w:r>
        <w:rPr>
          <w:rFonts w:hint="eastAsia" w:asciiTheme="minorEastAsia" w:hAnsiTheme="minorEastAsia" w:eastAsiaTheme="minorEastAsia"/>
          <w:b/>
          <w:color w:val="auto"/>
          <w:sz w:val="24"/>
          <w:szCs w:val="24"/>
          <w:highlight w:val="none"/>
          <w:lang w:val="zh-CN"/>
        </w:rPr>
        <w:t>联合协议</w:t>
      </w:r>
    </w:p>
    <w:p w14:paraId="234AF6FF">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（以联合体形式投标的，提供联合协议；本项目不接受联合体投标或者投标人不以联合体形式投标的，则不需要提供；如资格文件中已提供《联合协议》的，商务技术文件中无需重复提供）</w:t>
      </w:r>
    </w:p>
    <w:p w14:paraId="3BC7FC34">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项目编号</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 xml:space="preserve">投标。 </w:t>
      </w:r>
    </w:p>
    <w:p w14:paraId="44042E19">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1BF1E02E">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授权代表根据招标文件规定及投标内容而对采购人、采购机构所作的任何合法承诺，包括书面澄清及相应等均对联合投标各方产生约束力。</w:t>
      </w:r>
    </w:p>
    <w:p w14:paraId="6DED5693">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5155B53D">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p>
    <w:p w14:paraId="3D168094">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p>
    <w:p w14:paraId="265CEFDC">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0DE6134E">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四、联合体成员中小企业合同份额（如果有）。</w:t>
      </w:r>
    </w:p>
    <w:p w14:paraId="4465EE62">
      <w:pPr>
        <w:snapToGrid w:val="0"/>
        <w:spacing w:line="480" w:lineRule="exact"/>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cs="宋体"/>
          <w:b/>
          <w:color w:val="auto"/>
          <w:kern w:val="0"/>
          <w:szCs w:val="21"/>
          <w:highlight w:val="none"/>
          <w:lang w:val="en-US" w:eastAsia="zh-CN"/>
        </w:rPr>
        <w:t>40</w:t>
      </w:r>
      <w:r>
        <w:rPr>
          <w:rFonts w:hint="eastAsia" w:ascii="宋体" w:hAnsi="宋体" w:cs="宋体"/>
          <w:b/>
          <w:color w:val="auto"/>
          <w:kern w:val="0"/>
          <w:szCs w:val="21"/>
          <w:highlight w:val="none"/>
          <w:lang w:val="zh-CN"/>
        </w:rPr>
        <w:t>%的扣除。</w:t>
      </w:r>
      <w:r>
        <w:rPr>
          <w:rFonts w:hint="eastAsia" w:ascii="宋体" w:hAnsi="宋体" w:cs="宋体"/>
          <w:b/>
          <w:color w:val="auto"/>
          <w:kern w:val="0"/>
          <w:szCs w:val="21"/>
          <w:highlight w:val="none"/>
        </w:rPr>
        <w:t>投标人</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77104CF1">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14:paraId="2C863E56">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6ED8F443">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173216D0">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6EDA925D">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467512AA">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3、本协议提交采购人、采购机构后，联合体各方不得以任何形式对上述内容进行修改或撤销。</w:t>
      </w:r>
    </w:p>
    <w:p w14:paraId="0A05E1E1">
      <w:pPr>
        <w:snapToGrid w:val="0"/>
        <w:spacing w:line="480" w:lineRule="exact"/>
        <w:ind w:firstLine="5040" w:firstLineChars="24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p>
    <w:p w14:paraId="23257525">
      <w:pPr>
        <w:pStyle w:val="3"/>
        <w:spacing w:line="480" w:lineRule="exact"/>
        <w:rPr>
          <w:rFonts w:ascii="宋体" w:hAnsi="宋体" w:cs="宋体"/>
          <w:b w:val="0"/>
          <w:bCs w:val="0"/>
          <w:color w:val="auto"/>
          <w:kern w:val="0"/>
          <w:sz w:val="21"/>
          <w:szCs w:val="21"/>
          <w:highlight w:val="none"/>
          <w:lang w:val="zh-CN"/>
        </w:rPr>
      </w:pPr>
      <w:bookmarkStart w:id="150" w:name="_Toc136017662"/>
      <w:bookmarkStart w:id="151" w:name="_Toc18425"/>
      <w:bookmarkStart w:id="152" w:name="_Toc136345123"/>
      <w:r>
        <w:rPr>
          <w:rFonts w:hint="eastAsia" w:ascii="宋体" w:hAnsi="宋体" w:cs="宋体"/>
          <w:b w:val="0"/>
          <w:bCs w:val="0"/>
          <w:color w:val="auto"/>
          <w:kern w:val="0"/>
          <w:sz w:val="21"/>
          <w:szCs w:val="21"/>
          <w:highlight w:val="none"/>
          <w:lang w:val="zh-CN"/>
        </w:rPr>
        <w:t>联合体成员名称(公章)：</w:t>
      </w:r>
      <w:bookmarkEnd w:id="150"/>
      <w:bookmarkEnd w:id="151"/>
      <w:bookmarkEnd w:id="152"/>
    </w:p>
    <w:p w14:paraId="52DD43C6">
      <w:pPr>
        <w:spacing w:line="480" w:lineRule="exact"/>
        <w:rPr>
          <w:color w:val="auto"/>
          <w:szCs w:val="21"/>
          <w:highlight w:val="none"/>
          <w:lang w:val="zh-CN"/>
        </w:rPr>
      </w:pPr>
    </w:p>
    <w:p w14:paraId="7FA8CBCA">
      <w:pPr>
        <w:snapToGrid w:val="0"/>
        <w:spacing w:line="4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77FAF954">
      <w:pPr>
        <w:pStyle w:val="3"/>
        <w:spacing w:line="380" w:lineRule="exact"/>
        <w:jc w:val="both"/>
        <w:rPr>
          <w:rFonts w:ascii="宋体" w:hAnsi="宋体" w:cs="宋体"/>
          <w:b w:val="0"/>
          <w:bCs w:val="0"/>
          <w:color w:val="auto"/>
          <w:kern w:val="0"/>
          <w:sz w:val="21"/>
          <w:szCs w:val="21"/>
          <w:highlight w:val="none"/>
          <w:lang w:val="zh-CN"/>
        </w:rPr>
      </w:pPr>
      <w:bookmarkStart w:id="153" w:name="_Toc136345124"/>
      <w:bookmarkStart w:id="154" w:name="_Toc18667"/>
      <w:bookmarkStart w:id="155" w:name="_Toc136017663"/>
      <w:r>
        <w:rPr>
          <w:rFonts w:hint="eastAsia" w:ascii="宋体" w:hAnsi="宋体" w:cs="宋体"/>
          <w:b w:val="0"/>
          <w:bCs w:val="0"/>
          <w:color w:val="auto"/>
          <w:kern w:val="0"/>
          <w:sz w:val="21"/>
          <w:szCs w:val="21"/>
          <w:highlight w:val="none"/>
          <w:lang w:val="zh-CN"/>
        </w:rPr>
        <w:t>注：按本格式和要求提供。</w:t>
      </w:r>
      <w:bookmarkEnd w:id="153"/>
      <w:bookmarkEnd w:id="154"/>
      <w:bookmarkEnd w:id="155"/>
    </w:p>
    <w:p w14:paraId="25414C2C">
      <w:pPr>
        <w:rPr>
          <w:color w:val="auto"/>
          <w:highlight w:val="none"/>
        </w:rPr>
      </w:pPr>
    </w:p>
    <w:p w14:paraId="4157F599">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br w:type="page"/>
      </w:r>
    </w:p>
    <w:p w14:paraId="3FDB8359">
      <w:pPr>
        <w:autoSpaceDE w:val="0"/>
        <w:autoSpaceDN w:val="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（四）分包意向协议</w:t>
      </w:r>
    </w:p>
    <w:p w14:paraId="3AFE11E6">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p>
    <w:p w14:paraId="0F11B052">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项目编号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的中标人，将依法采取分包方式履行合同。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00667F96">
      <w:pPr>
        <w:widowControl/>
        <w:numPr>
          <w:ilvl w:val="0"/>
          <w:numId w:val="5"/>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分包标的及数量</w:t>
      </w:r>
    </w:p>
    <w:p w14:paraId="216B290B">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340F03F5">
      <w:pPr>
        <w:widowControl/>
        <w:spacing w:line="4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0ADC3F1F">
      <w:pPr>
        <w:widowControl/>
        <w:numPr>
          <w:ilvl w:val="0"/>
          <w:numId w:val="5"/>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分包供应商中小企业合同份额（如果有）</w:t>
      </w:r>
    </w:p>
    <w:p w14:paraId="1DE59E1C">
      <w:pPr>
        <w:widowControl/>
        <w:numPr>
          <w:ilvl w:val="0"/>
          <w:numId w:val="6"/>
        </w:numPr>
        <w:spacing w:line="480" w:lineRule="exact"/>
        <w:ind w:firstLine="420" w:firstLineChars="200"/>
        <w:jc w:val="left"/>
        <w:rPr>
          <w:rFonts w:ascii="宋体" w:hAnsi="宋体" w:cs="宋体"/>
          <w:b/>
          <w:bCs/>
          <w:color w:val="auto"/>
          <w:kern w:val="0"/>
          <w:szCs w:val="21"/>
          <w:highlight w:val="none"/>
          <w:lang w:val="zh-CN"/>
        </w:rPr>
      </w:pP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……）提供的服务全部由小微企业承接，</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zh-CN"/>
        </w:rPr>
        <w:t>%的扣除。供应商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1651553D">
      <w:pPr>
        <w:widowControl/>
        <w:numPr>
          <w:ilvl w:val="0"/>
          <w:numId w:val="6"/>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7E88671C">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1EBC9BBF">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0501E250">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56B8E6D5">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70401D05">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3DC9DAC3">
      <w:pPr>
        <w:widowControl/>
        <w:spacing w:line="480" w:lineRule="exact"/>
        <w:ind w:firstLine="420" w:firstLineChars="200"/>
        <w:jc w:val="left"/>
        <w:rPr>
          <w:rFonts w:ascii="宋体" w:hAnsi="宋体" w:cs="宋体"/>
          <w:color w:val="auto"/>
          <w:szCs w:val="21"/>
          <w:highlight w:val="none"/>
          <w:lang w:val="zh-CN"/>
        </w:rPr>
      </w:pPr>
      <w:r>
        <w:rPr>
          <w:rFonts w:hint="eastAsia" w:ascii="宋体" w:hAnsi="宋体" w:cs="宋体"/>
          <w:color w:val="auto"/>
          <w:kern w:val="0"/>
          <w:szCs w:val="21"/>
          <w:highlight w:val="none"/>
          <w:lang w:val="zh-CN"/>
        </w:rPr>
        <w:t>八、其他</w:t>
      </w:r>
    </w:p>
    <w:p w14:paraId="263E9FD2">
      <w:pPr>
        <w:snapToGrid w:val="0"/>
        <w:spacing w:line="360" w:lineRule="auto"/>
        <w:ind w:firstLine="5250" w:firstLineChars="2500"/>
        <w:jc w:val="left"/>
        <w:rPr>
          <w:rFonts w:ascii="宋体" w:hAnsi="宋体" w:cs="宋体"/>
          <w:color w:val="auto"/>
          <w:kern w:val="0"/>
          <w:szCs w:val="21"/>
          <w:highlight w:val="none"/>
          <w:lang w:val="zh-CN"/>
        </w:rPr>
      </w:pPr>
    </w:p>
    <w:p w14:paraId="49853029">
      <w:pPr>
        <w:pStyle w:val="15"/>
        <w:rPr>
          <w:color w:val="auto"/>
          <w:highlight w:val="none"/>
          <w:lang w:val="zh-CN"/>
        </w:rPr>
      </w:pPr>
    </w:p>
    <w:p w14:paraId="08D733B6">
      <w:pPr>
        <w:snapToGrid w:val="0"/>
        <w:spacing w:line="360" w:lineRule="auto"/>
        <w:ind w:firstLine="5250" w:firstLineChars="25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14:paraId="11266042">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14:paraId="6C5FBA3D">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4B8C852D">
      <w:pPr>
        <w:spacing w:line="360" w:lineRule="auto"/>
        <w:jc w:val="center"/>
        <w:rPr>
          <w:color w:val="auto"/>
          <w:highlight w:val="none"/>
        </w:rPr>
      </w:pPr>
      <w:r>
        <w:rPr>
          <w:rFonts w:hint="eastAsia" w:ascii="宋体" w:hAnsi="宋体" w:cs="宋体"/>
          <w:color w:val="auto"/>
          <w:kern w:val="0"/>
          <w:szCs w:val="21"/>
          <w:highlight w:val="none"/>
          <w:lang w:val="zh-CN"/>
        </w:rPr>
        <w:t>日期：  年  月   日</w:t>
      </w:r>
    </w:p>
    <w:p w14:paraId="43FFE8FB">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61014EFC">
      <w:pPr>
        <w:pStyle w:val="3"/>
        <w:spacing w:line="380" w:lineRule="exact"/>
        <w:rPr>
          <w:rFonts w:asciiTheme="minorEastAsia" w:hAnsiTheme="minorEastAsia" w:eastAsiaTheme="minorEastAsia"/>
          <w:bCs w:val="0"/>
          <w:color w:val="auto"/>
          <w:sz w:val="24"/>
          <w:szCs w:val="24"/>
          <w:highlight w:val="none"/>
        </w:rPr>
      </w:pPr>
      <w:bookmarkStart w:id="156" w:name="_Toc16708"/>
      <w:bookmarkStart w:id="157" w:name="_Toc136345125"/>
      <w:bookmarkStart w:id="158" w:name="_Toc136017664"/>
      <w:r>
        <w:rPr>
          <w:rFonts w:hint="eastAsia" w:asciiTheme="minorEastAsia" w:hAnsiTheme="minorEastAsia" w:eastAsiaTheme="minorEastAsia"/>
          <w:bCs w:val="0"/>
          <w:color w:val="auto"/>
          <w:sz w:val="24"/>
          <w:szCs w:val="24"/>
          <w:highlight w:val="none"/>
        </w:rPr>
        <w:t>（五）技术条款偏离表</w:t>
      </w:r>
      <w:bookmarkEnd w:id="156"/>
      <w:bookmarkEnd w:id="157"/>
      <w:bookmarkEnd w:id="158"/>
    </w:p>
    <w:p w14:paraId="4DE087CA">
      <w:pPr>
        <w:spacing w:line="380" w:lineRule="exact"/>
        <w:rPr>
          <w:rFonts w:asciiTheme="minorEastAsia" w:hAnsiTheme="minorEastAsia" w:eastAsiaTheme="minorEastAsia"/>
          <w:color w:val="auto"/>
          <w:szCs w:val="21"/>
          <w:highlight w:val="none"/>
        </w:rPr>
      </w:pPr>
    </w:p>
    <w:tbl>
      <w:tblPr>
        <w:tblStyle w:val="3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32A3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610C8513">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序号</w:t>
            </w:r>
          </w:p>
        </w:tc>
        <w:tc>
          <w:tcPr>
            <w:tcW w:w="3360" w:type="dxa"/>
            <w:vAlign w:val="center"/>
          </w:tcPr>
          <w:p w14:paraId="08B01771">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招标文件技术要求</w:t>
            </w:r>
          </w:p>
        </w:tc>
        <w:tc>
          <w:tcPr>
            <w:tcW w:w="2908" w:type="dxa"/>
            <w:vAlign w:val="center"/>
          </w:tcPr>
          <w:p w14:paraId="119824E7">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投标文件对应规格</w:t>
            </w:r>
          </w:p>
        </w:tc>
        <w:tc>
          <w:tcPr>
            <w:tcW w:w="1578" w:type="dxa"/>
            <w:vAlign w:val="center"/>
          </w:tcPr>
          <w:p w14:paraId="03069672">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说明</w:t>
            </w:r>
          </w:p>
        </w:tc>
      </w:tr>
      <w:tr w14:paraId="4063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959F834">
            <w:pPr>
              <w:spacing w:line="380" w:lineRule="exact"/>
              <w:jc w:val="center"/>
              <w:rPr>
                <w:rFonts w:asciiTheme="minorEastAsia" w:hAnsiTheme="minorEastAsia" w:eastAsiaTheme="minorEastAsia"/>
                <w:color w:val="auto"/>
                <w:sz w:val="22"/>
                <w:szCs w:val="22"/>
                <w:highlight w:val="none"/>
              </w:rPr>
            </w:pPr>
          </w:p>
        </w:tc>
        <w:tc>
          <w:tcPr>
            <w:tcW w:w="3360" w:type="dxa"/>
            <w:vAlign w:val="center"/>
          </w:tcPr>
          <w:p w14:paraId="1D912D14">
            <w:pPr>
              <w:spacing w:line="380" w:lineRule="exact"/>
              <w:jc w:val="center"/>
              <w:rPr>
                <w:rFonts w:asciiTheme="minorEastAsia" w:hAnsiTheme="minorEastAsia" w:eastAsiaTheme="minorEastAsia"/>
                <w:color w:val="auto"/>
                <w:sz w:val="22"/>
                <w:szCs w:val="22"/>
                <w:highlight w:val="none"/>
              </w:rPr>
            </w:pPr>
          </w:p>
        </w:tc>
        <w:tc>
          <w:tcPr>
            <w:tcW w:w="2908" w:type="dxa"/>
            <w:vAlign w:val="center"/>
          </w:tcPr>
          <w:p w14:paraId="04031A09">
            <w:pPr>
              <w:spacing w:line="380" w:lineRule="exact"/>
              <w:jc w:val="center"/>
              <w:rPr>
                <w:rFonts w:asciiTheme="minorEastAsia" w:hAnsiTheme="minorEastAsia" w:eastAsiaTheme="minorEastAsia"/>
                <w:color w:val="auto"/>
                <w:sz w:val="22"/>
                <w:szCs w:val="22"/>
                <w:highlight w:val="none"/>
              </w:rPr>
            </w:pPr>
          </w:p>
        </w:tc>
        <w:tc>
          <w:tcPr>
            <w:tcW w:w="1578" w:type="dxa"/>
            <w:vAlign w:val="center"/>
          </w:tcPr>
          <w:p w14:paraId="08ACB54C">
            <w:pPr>
              <w:spacing w:line="380" w:lineRule="exact"/>
              <w:jc w:val="center"/>
              <w:rPr>
                <w:rFonts w:asciiTheme="minorEastAsia" w:hAnsiTheme="minorEastAsia" w:eastAsiaTheme="minorEastAsia"/>
                <w:color w:val="auto"/>
                <w:sz w:val="22"/>
                <w:szCs w:val="22"/>
                <w:highlight w:val="none"/>
              </w:rPr>
            </w:pPr>
          </w:p>
        </w:tc>
      </w:tr>
      <w:tr w14:paraId="6D73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4E4423F">
            <w:pPr>
              <w:spacing w:line="380" w:lineRule="exact"/>
              <w:jc w:val="center"/>
              <w:rPr>
                <w:rFonts w:asciiTheme="minorEastAsia" w:hAnsiTheme="minorEastAsia" w:eastAsiaTheme="minorEastAsia"/>
                <w:color w:val="auto"/>
                <w:sz w:val="22"/>
                <w:szCs w:val="22"/>
                <w:highlight w:val="none"/>
              </w:rPr>
            </w:pPr>
          </w:p>
        </w:tc>
        <w:tc>
          <w:tcPr>
            <w:tcW w:w="3360" w:type="dxa"/>
            <w:vAlign w:val="center"/>
          </w:tcPr>
          <w:p w14:paraId="659CC435">
            <w:pPr>
              <w:spacing w:line="380" w:lineRule="exact"/>
              <w:jc w:val="center"/>
              <w:rPr>
                <w:rFonts w:asciiTheme="minorEastAsia" w:hAnsiTheme="minorEastAsia" w:eastAsiaTheme="minorEastAsia"/>
                <w:color w:val="auto"/>
                <w:sz w:val="22"/>
                <w:szCs w:val="22"/>
                <w:highlight w:val="none"/>
              </w:rPr>
            </w:pPr>
          </w:p>
        </w:tc>
        <w:tc>
          <w:tcPr>
            <w:tcW w:w="2908" w:type="dxa"/>
            <w:vAlign w:val="center"/>
          </w:tcPr>
          <w:p w14:paraId="25E8819B">
            <w:pPr>
              <w:spacing w:line="380" w:lineRule="exact"/>
              <w:jc w:val="center"/>
              <w:rPr>
                <w:rFonts w:asciiTheme="minorEastAsia" w:hAnsiTheme="minorEastAsia" w:eastAsiaTheme="minorEastAsia"/>
                <w:color w:val="auto"/>
                <w:sz w:val="22"/>
                <w:szCs w:val="22"/>
                <w:highlight w:val="none"/>
              </w:rPr>
            </w:pPr>
          </w:p>
        </w:tc>
        <w:tc>
          <w:tcPr>
            <w:tcW w:w="1578" w:type="dxa"/>
            <w:vAlign w:val="center"/>
          </w:tcPr>
          <w:p w14:paraId="538C19F3">
            <w:pPr>
              <w:spacing w:line="380" w:lineRule="exact"/>
              <w:jc w:val="center"/>
              <w:rPr>
                <w:rFonts w:asciiTheme="minorEastAsia" w:hAnsiTheme="minorEastAsia" w:eastAsiaTheme="minorEastAsia"/>
                <w:color w:val="auto"/>
                <w:sz w:val="22"/>
                <w:szCs w:val="22"/>
                <w:highlight w:val="none"/>
              </w:rPr>
            </w:pPr>
          </w:p>
        </w:tc>
      </w:tr>
      <w:tr w14:paraId="4D7A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E23424A">
            <w:pPr>
              <w:spacing w:line="380" w:lineRule="exact"/>
              <w:jc w:val="center"/>
              <w:rPr>
                <w:rFonts w:asciiTheme="minorEastAsia" w:hAnsiTheme="minorEastAsia" w:eastAsiaTheme="minorEastAsia"/>
                <w:color w:val="auto"/>
                <w:sz w:val="22"/>
                <w:szCs w:val="22"/>
                <w:highlight w:val="none"/>
              </w:rPr>
            </w:pPr>
          </w:p>
        </w:tc>
        <w:tc>
          <w:tcPr>
            <w:tcW w:w="3360" w:type="dxa"/>
            <w:vAlign w:val="center"/>
          </w:tcPr>
          <w:p w14:paraId="3D1E383F">
            <w:pPr>
              <w:spacing w:line="380" w:lineRule="exact"/>
              <w:jc w:val="center"/>
              <w:rPr>
                <w:rFonts w:asciiTheme="minorEastAsia" w:hAnsiTheme="minorEastAsia" w:eastAsiaTheme="minorEastAsia"/>
                <w:color w:val="auto"/>
                <w:sz w:val="22"/>
                <w:szCs w:val="22"/>
                <w:highlight w:val="none"/>
              </w:rPr>
            </w:pPr>
          </w:p>
        </w:tc>
        <w:tc>
          <w:tcPr>
            <w:tcW w:w="2908" w:type="dxa"/>
            <w:vAlign w:val="center"/>
          </w:tcPr>
          <w:p w14:paraId="58E96CD3">
            <w:pPr>
              <w:spacing w:line="380" w:lineRule="exact"/>
              <w:jc w:val="center"/>
              <w:rPr>
                <w:rFonts w:asciiTheme="minorEastAsia" w:hAnsiTheme="minorEastAsia" w:eastAsiaTheme="minorEastAsia"/>
                <w:color w:val="auto"/>
                <w:sz w:val="22"/>
                <w:szCs w:val="22"/>
                <w:highlight w:val="none"/>
              </w:rPr>
            </w:pPr>
          </w:p>
        </w:tc>
        <w:tc>
          <w:tcPr>
            <w:tcW w:w="1578" w:type="dxa"/>
            <w:vAlign w:val="center"/>
          </w:tcPr>
          <w:p w14:paraId="52C1D098">
            <w:pPr>
              <w:spacing w:line="380" w:lineRule="exact"/>
              <w:jc w:val="center"/>
              <w:rPr>
                <w:rFonts w:asciiTheme="minorEastAsia" w:hAnsiTheme="minorEastAsia" w:eastAsiaTheme="minorEastAsia"/>
                <w:color w:val="auto"/>
                <w:sz w:val="22"/>
                <w:szCs w:val="22"/>
                <w:highlight w:val="none"/>
              </w:rPr>
            </w:pPr>
          </w:p>
        </w:tc>
      </w:tr>
    </w:tbl>
    <w:p w14:paraId="1A3E17E2">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备注：1、本表应列明投标人对技术规格的偏离条款（正偏离或负偏离）；</w:t>
      </w:r>
    </w:p>
    <w:p w14:paraId="2C77EC7C">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2、无偏离应在本表“说明”处醒目地注明“无条款偏离”的字样。</w:t>
      </w:r>
    </w:p>
    <w:p w14:paraId="6E17A2F8">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3、本表格供参考，投标人可根据项目实际情况自拟（增减）表格。</w:t>
      </w:r>
    </w:p>
    <w:p w14:paraId="1CD082EF">
      <w:pPr>
        <w:spacing w:line="360" w:lineRule="auto"/>
        <w:rPr>
          <w:rFonts w:asciiTheme="minorEastAsia" w:hAnsiTheme="minorEastAsia" w:eastAsiaTheme="minorEastAsia"/>
          <w:color w:val="auto"/>
          <w:highlight w:val="none"/>
        </w:rPr>
      </w:pPr>
    </w:p>
    <w:p w14:paraId="73EBF4F3">
      <w:pPr>
        <w:spacing w:line="38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517C1837">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36A866FE">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47F9063D">
      <w:pPr>
        <w:spacing w:line="380" w:lineRule="exact"/>
        <w:rPr>
          <w:rFonts w:asciiTheme="minorEastAsia" w:hAnsiTheme="minorEastAsia" w:eastAsiaTheme="minorEastAsia"/>
          <w:color w:val="auto"/>
          <w:sz w:val="24"/>
          <w:highlight w:val="none"/>
        </w:rPr>
      </w:pPr>
    </w:p>
    <w:p w14:paraId="72FF323A">
      <w:pPr>
        <w:pStyle w:val="3"/>
        <w:spacing w:line="380" w:lineRule="exact"/>
        <w:rPr>
          <w:rFonts w:hint="eastAsia" w:asciiTheme="minorEastAsia" w:hAnsiTheme="minorEastAsia" w:eastAsiaTheme="minorEastAsia"/>
          <w:bCs w:val="0"/>
          <w:color w:val="auto"/>
          <w:sz w:val="24"/>
          <w:szCs w:val="24"/>
          <w:highlight w:val="none"/>
        </w:rPr>
        <w:sectPr>
          <w:pgSz w:w="11907" w:h="16840"/>
          <w:pgMar w:top="1304" w:right="1588" w:bottom="1560" w:left="1588" w:header="720" w:footer="720" w:gutter="0"/>
          <w:cols w:space="720" w:num="1"/>
          <w:docGrid w:linePitch="285" w:charSpace="0"/>
        </w:sectPr>
      </w:pPr>
      <w:bookmarkStart w:id="159" w:name="_Toc136017665"/>
      <w:bookmarkStart w:id="160" w:name="_Toc136345126"/>
      <w:bookmarkStart w:id="161" w:name="_Toc21217"/>
    </w:p>
    <w:p w14:paraId="6AC29673">
      <w:pPr>
        <w:pStyle w:val="3"/>
        <w:spacing w:line="380" w:lineRule="exact"/>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bCs w:val="0"/>
          <w:color w:val="auto"/>
          <w:sz w:val="24"/>
          <w:szCs w:val="24"/>
          <w:highlight w:val="none"/>
        </w:rPr>
        <w:t>（六）商务条款偏离表</w:t>
      </w:r>
      <w:bookmarkEnd w:id="159"/>
      <w:bookmarkEnd w:id="160"/>
      <w:bookmarkEnd w:id="161"/>
    </w:p>
    <w:p w14:paraId="75B9D5BC">
      <w:pPr>
        <w:spacing w:line="380" w:lineRule="exact"/>
        <w:rPr>
          <w:rFonts w:asciiTheme="minorEastAsia" w:hAnsiTheme="minorEastAsia" w:eastAsiaTheme="minorEastAsia"/>
          <w:color w:val="auto"/>
          <w:sz w:val="24"/>
          <w:highlight w:val="none"/>
        </w:rPr>
      </w:pPr>
    </w:p>
    <w:tbl>
      <w:tblPr>
        <w:tblStyle w:val="34"/>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7C2B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3A9A1CF4">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序号</w:t>
            </w:r>
          </w:p>
        </w:tc>
        <w:tc>
          <w:tcPr>
            <w:tcW w:w="3418" w:type="dxa"/>
            <w:vAlign w:val="center"/>
          </w:tcPr>
          <w:p w14:paraId="574153C1">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招标文件的商务条款</w:t>
            </w:r>
          </w:p>
        </w:tc>
        <w:tc>
          <w:tcPr>
            <w:tcW w:w="2891" w:type="dxa"/>
            <w:vAlign w:val="center"/>
          </w:tcPr>
          <w:p w14:paraId="60ECDE9E">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投标文件的商务条款</w:t>
            </w:r>
          </w:p>
        </w:tc>
        <w:tc>
          <w:tcPr>
            <w:tcW w:w="1618" w:type="dxa"/>
            <w:vAlign w:val="center"/>
          </w:tcPr>
          <w:p w14:paraId="69896A13">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说明</w:t>
            </w:r>
          </w:p>
        </w:tc>
      </w:tr>
      <w:tr w14:paraId="62C7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6488D797">
            <w:pPr>
              <w:spacing w:line="380" w:lineRule="exact"/>
              <w:jc w:val="center"/>
              <w:rPr>
                <w:rFonts w:asciiTheme="minorEastAsia" w:hAnsiTheme="minorEastAsia" w:eastAsiaTheme="minorEastAsia"/>
                <w:color w:val="auto"/>
                <w:sz w:val="22"/>
                <w:szCs w:val="22"/>
                <w:highlight w:val="none"/>
              </w:rPr>
            </w:pPr>
          </w:p>
        </w:tc>
        <w:tc>
          <w:tcPr>
            <w:tcW w:w="3418" w:type="dxa"/>
            <w:vAlign w:val="center"/>
          </w:tcPr>
          <w:p w14:paraId="2421FB81">
            <w:pPr>
              <w:spacing w:line="380" w:lineRule="exact"/>
              <w:jc w:val="center"/>
              <w:rPr>
                <w:rFonts w:asciiTheme="minorEastAsia" w:hAnsiTheme="minorEastAsia" w:eastAsiaTheme="minorEastAsia"/>
                <w:color w:val="auto"/>
                <w:sz w:val="22"/>
                <w:szCs w:val="22"/>
                <w:highlight w:val="none"/>
              </w:rPr>
            </w:pPr>
          </w:p>
        </w:tc>
        <w:tc>
          <w:tcPr>
            <w:tcW w:w="2891" w:type="dxa"/>
            <w:vAlign w:val="center"/>
          </w:tcPr>
          <w:p w14:paraId="48014F31">
            <w:pPr>
              <w:spacing w:line="380" w:lineRule="exact"/>
              <w:jc w:val="center"/>
              <w:rPr>
                <w:rFonts w:asciiTheme="minorEastAsia" w:hAnsiTheme="minorEastAsia" w:eastAsiaTheme="minorEastAsia"/>
                <w:color w:val="auto"/>
                <w:sz w:val="22"/>
                <w:szCs w:val="22"/>
                <w:highlight w:val="none"/>
              </w:rPr>
            </w:pPr>
          </w:p>
        </w:tc>
        <w:tc>
          <w:tcPr>
            <w:tcW w:w="1618" w:type="dxa"/>
            <w:vAlign w:val="center"/>
          </w:tcPr>
          <w:p w14:paraId="65031C77">
            <w:pPr>
              <w:spacing w:line="380" w:lineRule="exact"/>
              <w:jc w:val="center"/>
              <w:rPr>
                <w:rFonts w:asciiTheme="minorEastAsia" w:hAnsiTheme="minorEastAsia" w:eastAsiaTheme="minorEastAsia"/>
                <w:color w:val="auto"/>
                <w:sz w:val="22"/>
                <w:szCs w:val="22"/>
                <w:highlight w:val="none"/>
              </w:rPr>
            </w:pPr>
          </w:p>
        </w:tc>
      </w:tr>
      <w:tr w14:paraId="5E57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4AD3E2B7">
            <w:pPr>
              <w:spacing w:line="380" w:lineRule="exact"/>
              <w:jc w:val="center"/>
              <w:rPr>
                <w:rFonts w:asciiTheme="minorEastAsia" w:hAnsiTheme="minorEastAsia" w:eastAsiaTheme="minorEastAsia"/>
                <w:color w:val="auto"/>
                <w:sz w:val="22"/>
                <w:szCs w:val="22"/>
                <w:highlight w:val="none"/>
              </w:rPr>
            </w:pPr>
          </w:p>
        </w:tc>
        <w:tc>
          <w:tcPr>
            <w:tcW w:w="3418" w:type="dxa"/>
            <w:vAlign w:val="center"/>
          </w:tcPr>
          <w:p w14:paraId="2B6B0143">
            <w:pPr>
              <w:spacing w:line="380" w:lineRule="exact"/>
              <w:jc w:val="center"/>
              <w:rPr>
                <w:rFonts w:asciiTheme="minorEastAsia" w:hAnsiTheme="minorEastAsia" w:eastAsiaTheme="minorEastAsia"/>
                <w:color w:val="auto"/>
                <w:sz w:val="22"/>
                <w:szCs w:val="22"/>
                <w:highlight w:val="none"/>
              </w:rPr>
            </w:pPr>
          </w:p>
        </w:tc>
        <w:tc>
          <w:tcPr>
            <w:tcW w:w="2891" w:type="dxa"/>
            <w:vAlign w:val="center"/>
          </w:tcPr>
          <w:p w14:paraId="4DCB2D70">
            <w:pPr>
              <w:spacing w:line="380" w:lineRule="exact"/>
              <w:jc w:val="center"/>
              <w:rPr>
                <w:rFonts w:asciiTheme="minorEastAsia" w:hAnsiTheme="minorEastAsia" w:eastAsiaTheme="minorEastAsia"/>
                <w:color w:val="auto"/>
                <w:sz w:val="22"/>
                <w:szCs w:val="22"/>
                <w:highlight w:val="none"/>
              </w:rPr>
            </w:pPr>
          </w:p>
        </w:tc>
        <w:tc>
          <w:tcPr>
            <w:tcW w:w="1618" w:type="dxa"/>
            <w:vAlign w:val="center"/>
          </w:tcPr>
          <w:p w14:paraId="146EB935">
            <w:pPr>
              <w:spacing w:line="380" w:lineRule="exact"/>
              <w:jc w:val="center"/>
              <w:rPr>
                <w:rFonts w:asciiTheme="minorEastAsia" w:hAnsiTheme="minorEastAsia" w:eastAsiaTheme="minorEastAsia"/>
                <w:color w:val="auto"/>
                <w:sz w:val="22"/>
                <w:szCs w:val="22"/>
                <w:highlight w:val="none"/>
              </w:rPr>
            </w:pPr>
          </w:p>
        </w:tc>
      </w:tr>
      <w:tr w14:paraId="476D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4B987C80">
            <w:pPr>
              <w:spacing w:line="380" w:lineRule="exact"/>
              <w:jc w:val="center"/>
              <w:rPr>
                <w:rFonts w:asciiTheme="minorEastAsia" w:hAnsiTheme="minorEastAsia" w:eastAsiaTheme="minorEastAsia"/>
                <w:color w:val="auto"/>
                <w:sz w:val="22"/>
                <w:szCs w:val="22"/>
                <w:highlight w:val="none"/>
              </w:rPr>
            </w:pPr>
          </w:p>
        </w:tc>
        <w:tc>
          <w:tcPr>
            <w:tcW w:w="3418" w:type="dxa"/>
            <w:vAlign w:val="center"/>
          </w:tcPr>
          <w:p w14:paraId="75D8C403">
            <w:pPr>
              <w:spacing w:line="380" w:lineRule="exact"/>
              <w:jc w:val="center"/>
              <w:rPr>
                <w:rFonts w:asciiTheme="minorEastAsia" w:hAnsiTheme="minorEastAsia" w:eastAsiaTheme="minorEastAsia"/>
                <w:color w:val="auto"/>
                <w:sz w:val="22"/>
                <w:szCs w:val="22"/>
                <w:highlight w:val="none"/>
              </w:rPr>
            </w:pPr>
          </w:p>
        </w:tc>
        <w:tc>
          <w:tcPr>
            <w:tcW w:w="2891" w:type="dxa"/>
            <w:vAlign w:val="center"/>
          </w:tcPr>
          <w:p w14:paraId="21F8D787">
            <w:pPr>
              <w:spacing w:line="380" w:lineRule="exact"/>
              <w:jc w:val="center"/>
              <w:rPr>
                <w:rFonts w:asciiTheme="minorEastAsia" w:hAnsiTheme="minorEastAsia" w:eastAsiaTheme="minorEastAsia"/>
                <w:color w:val="auto"/>
                <w:sz w:val="22"/>
                <w:szCs w:val="22"/>
                <w:highlight w:val="none"/>
              </w:rPr>
            </w:pPr>
          </w:p>
        </w:tc>
        <w:tc>
          <w:tcPr>
            <w:tcW w:w="1618" w:type="dxa"/>
            <w:vAlign w:val="center"/>
          </w:tcPr>
          <w:p w14:paraId="7464F228">
            <w:pPr>
              <w:spacing w:line="380" w:lineRule="exact"/>
              <w:jc w:val="center"/>
              <w:rPr>
                <w:rFonts w:asciiTheme="minorEastAsia" w:hAnsiTheme="minorEastAsia" w:eastAsiaTheme="minorEastAsia"/>
                <w:color w:val="auto"/>
                <w:sz w:val="22"/>
                <w:szCs w:val="22"/>
                <w:highlight w:val="none"/>
              </w:rPr>
            </w:pPr>
          </w:p>
        </w:tc>
      </w:tr>
    </w:tbl>
    <w:p w14:paraId="6474AA83">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备注：1、列明招标文件的商务条款与投标文件对应响应，并说明偏离状况（正偏离或负偏离）；2、无偏离应在本表“说明”处醒目地注明“无条款偏离”的字样。</w:t>
      </w:r>
    </w:p>
    <w:p w14:paraId="7C668010">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3、本表格供参考，投标人可根据项目实际情况自拟（增减）表格。</w:t>
      </w:r>
    </w:p>
    <w:p w14:paraId="10633BF8">
      <w:pPr>
        <w:spacing w:line="380" w:lineRule="exact"/>
        <w:rPr>
          <w:rFonts w:asciiTheme="minorEastAsia" w:hAnsiTheme="minorEastAsia" w:eastAsiaTheme="minorEastAsia"/>
          <w:color w:val="auto"/>
          <w:sz w:val="22"/>
          <w:szCs w:val="22"/>
          <w:highlight w:val="none"/>
        </w:rPr>
      </w:pPr>
    </w:p>
    <w:p w14:paraId="2D9FA5AF">
      <w:pPr>
        <w:spacing w:line="38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56EDF9F9">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36A568AC">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2AEB720D">
      <w:pPr>
        <w:spacing w:line="380" w:lineRule="exact"/>
        <w:rPr>
          <w:rFonts w:asciiTheme="minorEastAsia" w:hAnsiTheme="minorEastAsia" w:eastAsiaTheme="minorEastAsia"/>
          <w:color w:val="auto"/>
          <w:sz w:val="24"/>
          <w:highlight w:val="none"/>
          <w:u w:val="single"/>
        </w:rPr>
      </w:pPr>
    </w:p>
    <w:p w14:paraId="7825529D">
      <w:pPr>
        <w:pStyle w:val="3"/>
        <w:spacing w:line="380" w:lineRule="exact"/>
        <w:rPr>
          <w:rFonts w:hint="eastAsia" w:asciiTheme="minorEastAsia" w:hAnsiTheme="minorEastAsia" w:eastAsiaTheme="minorEastAsia"/>
          <w:color w:val="auto"/>
          <w:sz w:val="24"/>
          <w:szCs w:val="24"/>
          <w:highlight w:val="none"/>
        </w:rPr>
        <w:sectPr>
          <w:pgSz w:w="11907" w:h="16840"/>
          <w:pgMar w:top="1304" w:right="1588" w:bottom="1560" w:left="1588" w:header="720" w:footer="720" w:gutter="0"/>
          <w:cols w:space="720" w:num="1"/>
          <w:docGrid w:linePitch="285" w:charSpace="0"/>
        </w:sectPr>
      </w:pPr>
      <w:bookmarkStart w:id="162" w:name="_Toc10625"/>
      <w:bookmarkStart w:id="163" w:name="_Toc136017666"/>
      <w:bookmarkStart w:id="164" w:name="_Toc136345127"/>
    </w:p>
    <w:p w14:paraId="466E129C">
      <w:pPr>
        <w:pStyle w:val="3"/>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（七）第五部分“评标办法”中“评分标准”要求提供的资料（如有需提供）</w:t>
      </w:r>
      <w:bookmarkEnd w:id="162"/>
      <w:bookmarkEnd w:id="163"/>
      <w:bookmarkEnd w:id="164"/>
    </w:p>
    <w:p w14:paraId="2440EB66">
      <w:pPr>
        <w:jc w:val="center"/>
        <w:rPr>
          <w:rFonts w:asciiTheme="minorEastAsia" w:hAnsiTheme="minorEastAsia" w:eastAsiaTheme="minorEastAsia"/>
          <w:b/>
          <w:color w:val="auto"/>
          <w:sz w:val="24"/>
          <w:szCs w:val="24"/>
          <w:highlight w:val="none"/>
        </w:rPr>
      </w:pPr>
    </w:p>
    <w:p w14:paraId="2B095CF5">
      <w:pPr>
        <w:jc w:val="center"/>
        <w:rPr>
          <w:rFonts w:ascii="宋体" w:hAnsi="宋体"/>
          <w:b/>
          <w:color w:val="auto"/>
          <w:sz w:val="24"/>
          <w:szCs w:val="24"/>
          <w:highlight w:val="none"/>
        </w:rPr>
      </w:pPr>
      <w:r>
        <w:rPr>
          <w:rFonts w:hint="eastAsia" w:ascii="宋体" w:hAnsi="宋体"/>
          <w:b/>
          <w:color w:val="auto"/>
          <w:sz w:val="24"/>
          <w:szCs w:val="24"/>
          <w:highlight w:val="none"/>
        </w:rPr>
        <w:t>1.1投标人自202</w:t>
      </w: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月1日以来</w:t>
      </w:r>
      <w:r>
        <w:rPr>
          <w:rFonts w:hint="eastAsia" w:ascii="宋体" w:hAnsi="宋体"/>
          <w:b/>
          <w:color w:val="auto"/>
          <w:sz w:val="24"/>
          <w:szCs w:val="24"/>
          <w:highlight w:val="none"/>
          <w:lang w:val="en-US" w:eastAsia="zh-CN"/>
        </w:rPr>
        <w:t>类似的</w:t>
      </w:r>
      <w:r>
        <w:rPr>
          <w:rFonts w:hint="eastAsia" w:ascii="宋体" w:hAnsi="宋体"/>
          <w:b/>
          <w:color w:val="auto"/>
          <w:sz w:val="24"/>
          <w:szCs w:val="24"/>
          <w:highlight w:val="none"/>
        </w:rPr>
        <w:t>预算执行审计</w:t>
      </w:r>
      <w:r>
        <w:rPr>
          <w:rFonts w:hint="eastAsia" w:ascii="宋体" w:hAnsi="宋体"/>
          <w:b/>
          <w:color w:val="auto"/>
          <w:sz w:val="24"/>
          <w:szCs w:val="24"/>
          <w:highlight w:val="none"/>
          <w:lang w:val="en-US" w:eastAsia="zh-CN"/>
        </w:rPr>
        <w:t>或</w:t>
      </w:r>
      <w:r>
        <w:rPr>
          <w:rFonts w:hint="eastAsia" w:ascii="宋体" w:hAnsi="宋体"/>
          <w:b/>
          <w:color w:val="auto"/>
          <w:sz w:val="24"/>
          <w:szCs w:val="24"/>
          <w:highlight w:val="none"/>
          <w:lang w:eastAsia="zh-CN"/>
        </w:rPr>
        <w:t>专项审计调查</w:t>
      </w:r>
      <w:r>
        <w:rPr>
          <w:rFonts w:hint="eastAsia" w:ascii="宋体" w:hAnsi="宋体"/>
          <w:b/>
          <w:color w:val="auto"/>
          <w:sz w:val="24"/>
          <w:szCs w:val="24"/>
          <w:highlight w:val="none"/>
        </w:rPr>
        <w:t>项目业绩汇总表</w:t>
      </w:r>
    </w:p>
    <w:tbl>
      <w:tblPr>
        <w:tblStyle w:val="3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72E6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6E9C187C">
            <w:pPr>
              <w:pStyle w:val="122"/>
              <w:jc w:val="center"/>
              <w:rPr>
                <w:bCs w:val="0"/>
                <w:color w:val="auto"/>
                <w:sz w:val="24"/>
                <w:szCs w:val="24"/>
                <w:highlight w:val="none"/>
                <w:lang w:val="en-US"/>
              </w:rPr>
            </w:pPr>
            <w:r>
              <w:rPr>
                <w:rFonts w:hint="eastAsia"/>
                <w:bCs w:val="0"/>
                <w:color w:val="auto"/>
                <w:sz w:val="24"/>
                <w:szCs w:val="24"/>
                <w:highlight w:val="none"/>
                <w:lang w:val="en-US"/>
              </w:rPr>
              <w:t>项目序号</w:t>
            </w:r>
          </w:p>
        </w:tc>
        <w:tc>
          <w:tcPr>
            <w:tcW w:w="2268" w:type="dxa"/>
            <w:vAlign w:val="center"/>
          </w:tcPr>
          <w:p w14:paraId="01083A75">
            <w:pPr>
              <w:pStyle w:val="122"/>
              <w:jc w:val="center"/>
              <w:rPr>
                <w:bCs w:val="0"/>
                <w:color w:val="auto"/>
                <w:sz w:val="24"/>
                <w:szCs w:val="24"/>
                <w:highlight w:val="none"/>
                <w:lang w:val="en-US"/>
              </w:rPr>
            </w:pPr>
            <w:r>
              <w:rPr>
                <w:rFonts w:hint="eastAsia"/>
                <w:bCs w:val="0"/>
                <w:color w:val="auto"/>
                <w:sz w:val="24"/>
                <w:szCs w:val="24"/>
                <w:highlight w:val="none"/>
                <w:lang w:val="en-US"/>
              </w:rPr>
              <w:t>项目名称</w:t>
            </w:r>
          </w:p>
        </w:tc>
        <w:tc>
          <w:tcPr>
            <w:tcW w:w="2268" w:type="dxa"/>
            <w:vAlign w:val="center"/>
          </w:tcPr>
          <w:p w14:paraId="7B6206BE">
            <w:pPr>
              <w:pStyle w:val="122"/>
              <w:jc w:val="center"/>
              <w:rPr>
                <w:bCs w:val="0"/>
                <w:color w:val="auto"/>
                <w:sz w:val="24"/>
                <w:szCs w:val="24"/>
                <w:highlight w:val="none"/>
                <w:lang w:val="en-US"/>
              </w:rPr>
            </w:pPr>
            <w:r>
              <w:rPr>
                <w:rFonts w:hint="eastAsia"/>
                <w:bCs w:val="0"/>
                <w:color w:val="auto"/>
                <w:sz w:val="24"/>
                <w:szCs w:val="24"/>
                <w:highlight w:val="none"/>
                <w:lang w:val="en-US"/>
              </w:rPr>
              <w:t>发包人名称</w:t>
            </w:r>
          </w:p>
        </w:tc>
        <w:tc>
          <w:tcPr>
            <w:tcW w:w="2977" w:type="dxa"/>
            <w:vAlign w:val="center"/>
          </w:tcPr>
          <w:p w14:paraId="272A1414">
            <w:pPr>
              <w:pStyle w:val="122"/>
              <w:jc w:val="center"/>
              <w:rPr>
                <w:bCs w:val="0"/>
                <w:color w:val="auto"/>
                <w:sz w:val="24"/>
                <w:szCs w:val="24"/>
                <w:highlight w:val="none"/>
                <w:lang w:val="en-US"/>
              </w:rPr>
            </w:pPr>
            <w:r>
              <w:rPr>
                <w:rFonts w:hint="eastAsia"/>
                <w:bCs w:val="0"/>
                <w:color w:val="auto"/>
                <w:sz w:val="24"/>
                <w:szCs w:val="24"/>
                <w:highlight w:val="none"/>
                <w:lang w:val="en-US"/>
              </w:rPr>
              <w:t>服务开始和完成日期</w:t>
            </w:r>
          </w:p>
        </w:tc>
      </w:tr>
      <w:tr w14:paraId="59DD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44205976">
            <w:pPr>
              <w:pStyle w:val="122"/>
              <w:jc w:val="center"/>
              <w:rPr>
                <w:bCs w:val="0"/>
                <w:color w:val="auto"/>
                <w:sz w:val="24"/>
                <w:szCs w:val="24"/>
                <w:highlight w:val="none"/>
                <w:lang w:val="en-US"/>
              </w:rPr>
            </w:pPr>
          </w:p>
        </w:tc>
        <w:tc>
          <w:tcPr>
            <w:tcW w:w="2268" w:type="dxa"/>
            <w:vAlign w:val="center"/>
          </w:tcPr>
          <w:p w14:paraId="7C18D0F1">
            <w:pPr>
              <w:pStyle w:val="122"/>
              <w:jc w:val="center"/>
              <w:rPr>
                <w:bCs w:val="0"/>
                <w:color w:val="auto"/>
                <w:sz w:val="24"/>
                <w:szCs w:val="24"/>
                <w:highlight w:val="none"/>
                <w:lang w:val="en-US"/>
              </w:rPr>
            </w:pPr>
          </w:p>
        </w:tc>
        <w:tc>
          <w:tcPr>
            <w:tcW w:w="2268" w:type="dxa"/>
            <w:vAlign w:val="center"/>
          </w:tcPr>
          <w:p w14:paraId="7FAD6A25">
            <w:pPr>
              <w:pStyle w:val="122"/>
              <w:jc w:val="center"/>
              <w:rPr>
                <w:bCs w:val="0"/>
                <w:color w:val="auto"/>
                <w:sz w:val="24"/>
                <w:szCs w:val="24"/>
                <w:highlight w:val="none"/>
                <w:lang w:val="en-US"/>
              </w:rPr>
            </w:pPr>
          </w:p>
        </w:tc>
        <w:tc>
          <w:tcPr>
            <w:tcW w:w="2977" w:type="dxa"/>
            <w:vAlign w:val="center"/>
          </w:tcPr>
          <w:p w14:paraId="54FB870A">
            <w:pPr>
              <w:pStyle w:val="122"/>
              <w:jc w:val="center"/>
              <w:rPr>
                <w:bCs w:val="0"/>
                <w:color w:val="auto"/>
                <w:sz w:val="24"/>
                <w:szCs w:val="24"/>
                <w:highlight w:val="none"/>
                <w:lang w:val="en-US"/>
              </w:rPr>
            </w:pPr>
          </w:p>
        </w:tc>
      </w:tr>
      <w:tr w14:paraId="1105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749B41B6">
            <w:pPr>
              <w:pStyle w:val="122"/>
              <w:jc w:val="center"/>
              <w:rPr>
                <w:bCs w:val="0"/>
                <w:color w:val="auto"/>
                <w:sz w:val="24"/>
                <w:szCs w:val="24"/>
                <w:highlight w:val="none"/>
                <w:lang w:val="en-US"/>
              </w:rPr>
            </w:pPr>
          </w:p>
        </w:tc>
        <w:tc>
          <w:tcPr>
            <w:tcW w:w="2268" w:type="dxa"/>
            <w:vAlign w:val="center"/>
          </w:tcPr>
          <w:p w14:paraId="47157CB8">
            <w:pPr>
              <w:pStyle w:val="122"/>
              <w:jc w:val="center"/>
              <w:rPr>
                <w:bCs w:val="0"/>
                <w:color w:val="auto"/>
                <w:sz w:val="24"/>
                <w:szCs w:val="24"/>
                <w:highlight w:val="none"/>
                <w:lang w:val="en-US"/>
              </w:rPr>
            </w:pPr>
          </w:p>
        </w:tc>
        <w:tc>
          <w:tcPr>
            <w:tcW w:w="2268" w:type="dxa"/>
            <w:vAlign w:val="center"/>
          </w:tcPr>
          <w:p w14:paraId="60787D90">
            <w:pPr>
              <w:pStyle w:val="122"/>
              <w:jc w:val="center"/>
              <w:rPr>
                <w:bCs w:val="0"/>
                <w:color w:val="auto"/>
                <w:sz w:val="24"/>
                <w:szCs w:val="24"/>
                <w:highlight w:val="none"/>
                <w:lang w:val="en-US"/>
              </w:rPr>
            </w:pPr>
          </w:p>
        </w:tc>
        <w:tc>
          <w:tcPr>
            <w:tcW w:w="2977" w:type="dxa"/>
            <w:vAlign w:val="center"/>
          </w:tcPr>
          <w:p w14:paraId="47F3C4EC">
            <w:pPr>
              <w:pStyle w:val="122"/>
              <w:jc w:val="center"/>
              <w:rPr>
                <w:bCs w:val="0"/>
                <w:color w:val="auto"/>
                <w:sz w:val="24"/>
                <w:szCs w:val="24"/>
                <w:highlight w:val="none"/>
                <w:lang w:val="en-US"/>
              </w:rPr>
            </w:pPr>
          </w:p>
        </w:tc>
      </w:tr>
      <w:tr w14:paraId="3005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273D2AE">
            <w:pPr>
              <w:pStyle w:val="122"/>
              <w:jc w:val="center"/>
              <w:rPr>
                <w:bCs w:val="0"/>
                <w:color w:val="auto"/>
                <w:sz w:val="24"/>
                <w:szCs w:val="24"/>
                <w:highlight w:val="none"/>
                <w:lang w:val="en-US"/>
              </w:rPr>
            </w:pPr>
          </w:p>
        </w:tc>
        <w:tc>
          <w:tcPr>
            <w:tcW w:w="2268" w:type="dxa"/>
            <w:vAlign w:val="center"/>
          </w:tcPr>
          <w:p w14:paraId="7EF950C2">
            <w:pPr>
              <w:pStyle w:val="122"/>
              <w:jc w:val="center"/>
              <w:rPr>
                <w:bCs w:val="0"/>
                <w:color w:val="auto"/>
                <w:sz w:val="24"/>
                <w:szCs w:val="24"/>
                <w:highlight w:val="none"/>
                <w:lang w:val="en-US"/>
              </w:rPr>
            </w:pPr>
          </w:p>
        </w:tc>
        <w:tc>
          <w:tcPr>
            <w:tcW w:w="2268" w:type="dxa"/>
            <w:vAlign w:val="center"/>
          </w:tcPr>
          <w:p w14:paraId="64155EA7">
            <w:pPr>
              <w:pStyle w:val="122"/>
              <w:jc w:val="center"/>
              <w:rPr>
                <w:bCs w:val="0"/>
                <w:color w:val="auto"/>
                <w:sz w:val="24"/>
                <w:szCs w:val="24"/>
                <w:highlight w:val="none"/>
                <w:lang w:val="en-US"/>
              </w:rPr>
            </w:pPr>
          </w:p>
        </w:tc>
        <w:tc>
          <w:tcPr>
            <w:tcW w:w="2977" w:type="dxa"/>
            <w:vAlign w:val="center"/>
          </w:tcPr>
          <w:p w14:paraId="77204095">
            <w:pPr>
              <w:pStyle w:val="122"/>
              <w:jc w:val="center"/>
              <w:rPr>
                <w:bCs w:val="0"/>
                <w:color w:val="auto"/>
                <w:sz w:val="24"/>
                <w:szCs w:val="24"/>
                <w:highlight w:val="none"/>
                <w:lang w:val="en-US"/>
              </w:rPr>
            </w:pPr>
          </w:p>
        </w:tc>
      </w:tr>
      <w:tr w14:paraId="148B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865B55F">
            <w:pPr>
              <w:pStyle w:val="122"/>
              <w:jc w:val="center"/>
              <w:rPr>
                <w:bCs w:val="0"/>
                <w:color w:val="auto"/>
                <w:sz w:val="24"/>
                <w:szCs w:val="24"/>
                <w:highlight w:val="none"/>
                <w:lang w:val="en-US"/>
              </w:rPr>
            </w:pPr>
          </w:p>
        </w:tc>
        <w:tc>
          <w:tcPr>
            <w:tcW w:w="2268" w:type="dxa"/>
            <w:vAlign w:val="center"/>
          </w:tcPr>
          <w:p w14:paraId="19891740">
            <w:pPr>
              <w:pStyle w:val="122"/>
              <w:jc w:val="center"/>
              <w:rPr>
                <w:bCs w:val="0"/>
                <w:color w:val="auto"/>
                <w:sz w:val="24"/>
                <w:szCs w:val="24"/>
                <w:highlight w:val="none"/>
                <w:lang w:val="en-US"/>
              </w:rPr>
            </w:pPr>
          </w:p>
        </w:tc>
        <w:tc>
          <w:tcPr>
            <w:tcW w:w="2268" w:type="dxa"/>
            <w:vAlign w:val="center"/>
          </w:tcPr>
          <w:p w14:paraId="695F714F">
            <w:pPr>
              <w:pStyle w:val="122"/>
              <w:jc w:val="center"/>
              <w:rPr>
                <w:bCs w:val="0"/>
                <w:color w:val="auto"/>
                <w:sz w:val="24"/>
                <w:szCs w:val="24"/>
                <w:highlight w:val="none"/>
                <w:lang w:val="en-US"/>
              </w:rPr>
            </w:pPr>
          </w:p>
        </w:tc>
        <w:tc>
          <w:tcPr>
            <w:tcW w:w="2977" w:type="dxa"/>
            <w:vAlign w:val="center"/>
          </w:tcPr>
          <w:p w14:paraId="24206047">
            <w:pPr>
              <w:pStyle w:val="122"/>
              <w:jc w:val="center"/>
              <w:rPr>
                <w:bCs w:val="0"/>
                <w:color w:val="auto"/>
                <w:sz w:val="24"/>
                <w:szCs w:val="24"/>
                <w:highlight w:val="none"/>
                <w:lang w:val="en-US"/>
              </w:rPr>
            </w:pPr>
          </w:p>
        </w:tc>
      </w:tr>
      <w:tr w14:paraId="4819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85AA11F">
            <w:pPr>
              <w:pStyle w:val="122"/>
              <w:jc w:val="center"/>
              <w:rPr>
                <w:bCs w:val="0"/>
                <w:color w:val="auto"/>
                <w:sz w:val="24"/>
                <w:szCs w:val="24"/>
                <w:highlight w:val="none"/>
                <w:lang w:val="en-US"/>
              </w:rPr>
            </w:pPr>
          </w:p>
        </w:tc>
        <w:tc>
          <w:tcPr>
            <w:tcW w:w="2268" w:type="dxa"/>
            <w:vAlign w:val="center"/>
          </w:tcPr>
          <w:p w14:paraId="28D1EC4D">
            <w:pPr>
              <w:pStyle w:val="122"/>
              <w:jc w:val="center"/>
              <w:rPr>
                <w:bCs w:val="0"/>
                <w:color w:val="auto"/>
                <w:sz w:val="24"/>
                <w:szCs w:val="24"/>
                <w:highlight w:val="none"/>
                <w:lang w:val="en-US"/>
              </w:rPr>
            </w:pPr>
          </w:p>
        </w:tc>
        <w:tc>
          <w:tcPr>
            <w:tcW w:w="2268" w:type="dxa"/>
            <w:vAlign w:val="center"/>
          </w:tcPr>
          <w:p w14:paraId="6242810D">
            <w:pPr>
              <w:pStyle w:val="122"/>
              <w:jc w:val="center"/>
              <w:rPr>
                <w:bCs w:val="0"/>
                <w:color w:val="auto"/>
                <w:sz w:val="24"/>
                <w:szCs w:val="24"/>
                <w:highlight w:val="none"/>
                <w:lang w:val="en-US"/>
              </w:rPr>
            </w:pPr>
          </w:p>
        </w:tc>
        <w:tc>
          <w:tcPr>
            <w:tcW w:w="2977" w:type="dxa"/>
            <w:vAlign w:val="center"/>
          </w:tcPr>
          <w:p w14:paraId="6408D920">
            <w:pPr>
              <w:pStyle w:val="122"/>
              <w:jc w:val="center"/>
              <w:rPr>
                <w:bCs w:val="0"/>
                <w:color w:val="auto"/>
                <w:sz w:val="24"/>
                <w:szCs w:val="24"/>
                <w:highlight w:val="none"/>
                <w:lang w:val="en-US"/>
              </w:rPr>
            </w:pPr>
          </w:p>
        </w:tc>
      </w:tr>
      <w:tr w14:paraId="584B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63059A47">
            <w:pPr>
              <w:pStyle w:val="122"/>
              <w:jc w:val="center"/>
              <w:rPr>
                <w:bCs w:val="0"/>
                <w:color w:val="auto"/>
                <w:sz w:val="24"/>
                <w:szCs w:val="24"/>
                <w:highlight w:val="none"/>
                <w:lang w:val="en-US"/>
              </w:rPr>
            </w:pPr>
          </w:p>
        </w:tc>
        <w:tc>
          <w:tcPr>
            <w:tcW w:w="2268" w:type="dxa"/>
            <w:vAlign w:val="center"/>
          </w:tcPr>
          <w:p w14:paraId="42E1BDB7">
            <w:pPr>
              <w:pStyle w:val="122"/>
              <w:jc w:val="center"/>
              <w:rPr>
                <w:bCs w:val="0"/>
                <w:color w:val="auto"/>
                <w:sz w:val="24"/>
                <w:szCs w:val="24"/>
                <w:highlight w:val="none"/>
                <w:lang w:val="en-US"/>
              </w:rPr>
            </w:pPr>
          </w:p>
        </w:tc>
        <w:tc>
          <w:tcPr>
            <w:tcW w:w="2268" w:type="dxa"/>
            <w:vAlign w:val="center"/>
          </w:tcPr>
          <w:p w14:paraId="0D1B2DCE">
            <w:pPr>
              <w:pStyle w:val="122"/>
              <w:jc w:val="center"/>
              <w:rPr>
                <w:bCs w:val="0"/>
                <w:color w:val="auto"/>
                <w:sz w:val="24"/>
                <w:szCs w:val="24"/>
                <w:highlight w:val="none"/>
                <w:lang w:val="en-US"/>
              </w:rPr>
            </w:pPr>
          </w:p>
        </w:tc>
        <w:tc>
          <w:tcPr>
            <w:tcW w:w="2977" w:type="dxa"/>
            <w:vAlign w:val="center"/>
          </w:tcPr>
          <w:p w14:paraId="36977FF2">
            <w:pPr>
              <w:pStyle w:val="122"/>
              <w:jc w:val="center"/>
              <w:rPr>
                <w:bCs w:val="0"/>
                <w:color w:val="auto"/>
                <w:sz w:val="24"/>
                <w:szCs w:val="24"/>
                <w:highlight w:val="none"/>
                <w:lang w:val="en-US"/>
              </w:rPr>
            </w:pPr>
          </w:p>
        </w:tc>
      </w:tr>
      <w:tr w14:paraId="656D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AD7F07A">
            <w:pPr>
              <w:pStyle w:val="122"/>
              <w:jc w:val="center"/>
              <w:rPr>
                <w:bCs w:val="0"/>
                <w:color w:val="auto"/>
                <w:sz w:val="24"/>
                <w:szCs w:val="24"/>
                <w:highlight w:val="none"/>
                <w:lang w:val="en-US"/>
              </w:rPr>
            </w:pPr>
          </w:p>
        </w:tc>
        <w:tc>
          <w:tcPr>
            <w:tcW w:w="2268" w:type="dxa"/>
            <w:vAlign w:val="center"/>
          </w:tcPr>
          <w:p w14:paraId="6BE08F5A">
            <w:pPr>
              <w:pStyle w:val="122"/>
              <w:jc w:val="center"/>
              <w:rPr>
                <w:bCs w:val="0"/>
                <w:color w:val="auto"/>
                <w:sz w:val="24"/>
                <w:szCs w:val="24"/>
                <w:highlight w:val="none"/>
                <w:lang w:val="en-US"/>
              </w:rPr>
            </w:pPr>
          </w:p>
        </w:tc>
        <w:tc>
          <w:tcPr>
            <w:tcW w:w="2268" w:type="dxa"/>
            <w:vAlign w:val="center"/>
          </w:tcPr>
          <w:p w14:paraId="03113EAB">
            <w:pPr>
              <w:pStyle w:val="122"/>
              <w:jc w:val="center"/>
              <w:rPr>
                <w:bCs w:val="0"/>
                <w:color w:val="auto"/>
                <w:sz w:val="24"/>
                <w:szCs w:val="24"/>
                <w:highlight w:val="none"/>
                <w:lang w:val="en-US"/>
              </w:rPr>
            </w:pPr>
          </w:p>
        </w:tc>
        <w:tc>
          <w:tcPr>
            <w:tcW w:w="2977" w:type="dxa"/>
            <w:vAlign w:val="center"/>
          </w:tcPr>
          <w:p w14:paraId="03F73D98">
            <w:pPr>
              <w:pStyle w:val="122"/>
              <w:jc w:val="center"/>
              <w:rPr>
                <w:bCs w:val="0"/>
                <w:color w:val="auto"/>
                <w:sz w:val="24"/>
                <w:szCs w:val="24"/>
                <w:highlight w:val="none"/>
                <w:lang w:val="en-US"/>
              </w:rPr>
            </w:pPr>
          </w:p>
        </w:tc>
      </w:tr>
      <w:tr w14:paraId="0C1D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56B16B52">
            <w:pPr>
              <w:pStyle w:val="122"/>
              <w:jc w:val="center"/>
              <w:rPr>
                <w:bCs w:val="0"/>
                <w:color w:val="auto"/>
                <w:sz w:val="24"/>
                <w:szCs w:val="24"/>
                <w:highlight w:val="none"/>
                <w:lang w:val="en-US"/>
              </w:rPr>
            </w:pPr>
          </w:p>
        </w:tc>
        <w:tc>
          <w:tcPr>
            <w:tcW w:w="2268" w:type="dxa"/>
            <w:vAlign w:val="center"/>
          </w:tcPr>
          <w:p w14:paraId="3BEEB9D9">
            <w:pPr>
              <w:pStyle w:val="122"/>
              <w:jc w:val="center"/>
              <w:rPr>
                <w:bCs w:val="0"/>
                <w:color w:val="auto"/>
                <w:sz w:val="24"/>
                <w:szCs w:val="24"/>
                <w:highlight w:val="none"/>
                <w:lang w:val="en-US"/>
              </w:rPr>
            </w:pPr>
          </w:p>
        </w:tc>
        <w:tc>
          <w:tcPr>
            <w:tcW w:w="2268" w:type="dxa"/>
            <w:vAlign w:val="center"/>
          </w:tcPr>
          <w:p w14:paraId="01C799B2">
            <w:pPr>
              <w:pStyle w:val="122"/>
              <w:jc w:val="center"/>
              <w:rPr>
                <w:bCs w:val="0"/>
                <w:color w:val="auto"/>
                <w:sz w:val="24"/>
                <w:szCs w:val="24"/>
                <w:highlight w:val="none"/>
                <w:lang w:val="en-US"/>
              </w:rPr>
            </w:pPr>
          </w:p>
        </w:tc>
        <w:tc>
          <w:tcPr>
            <w:tcW w:w="2977" w:type="dxa"/>
            <w:vAlign w:val="center"/>
          </w:tcPr>
          <w:p w14:paraId="0DBF20D2">
            <w:pPr>
              <w:pStyle w:val="122"/>
              <w:jc w:val="center"/>
              <w:rPr>
                <w:bCs w:val="0"/>
                <w:color w:val="auto"/>
                <w:sz w:val="24"/>
                <w:szCs w:val="24"/>
                <w:highlight w:val="none"/>
                <w:lang w:val="en-US"/>
              </w:rPr>
            </w:pPr>
          </w:p>
        </w:tc>
      </w:tr>
      <w:tr w14:paraId="68F0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14:paraId="09E46931">
            <w:pPr>
              <w:pStyle w:val="122"/>
              <w:jc w:val="center"/>
              <w:rPr>
                <w:bCs w:val="0"/>
                <w:color w:val="auto"/>
                <w:sz w:val="24"/>
                <w:szCs w:val="24"/>
                <w:highlight w:val="none"/>
                <w:lang w:val="en-US"/>
              </w:rPr>
            </w:pPr>
          </w:p>
        </w:tc>
        <w:tc>
          <w:tcPr>
            <w:tcW w:w="2268" w:type="dxa"/>
            <w:vAlign w:val="center"/>
          </w:tcPr>
          <w:p w14:paraId="5AE09722">
            <w:pPr>
              <w:pStyle w:val="122"/>
              <w:jc w:val="center"/>
              <w:rPr>
                <w:bCs w:val="0"/>
                <w:color w:val="auto"/>
                <w:sz w:val="24"/>
                <w:szCs w:val="24"/>
                <w:highlight w:val="none"/>
                <w:lang w:val="en-US"/>
              </w:rPr>
            </w:pPr>
          </w:p>
        </w:tc>
        <w:tc>
          <w:tcPr>
            <w:tcW w:w="2268" w:type="dxa"/>
            <w:vAlign w:val="center"/>
          </w:tcPr>
          <w:p w14:paraId="49857159">
            <w:pPr>
              <w:pStyle w:val="122"/>
              <w:jc w:val="center"/>
              <w:rPr>
                <w:bCs w:val="0"/>
                <w:color w:val="auto"/>
                <w:sz w:val="24"/>
                <w:szCs w:val="24"/>
                <w:highlight w:val="none"/>
                <w:lang w:val="en-US"/>
              </w:rPr>
            </w:pPr>
          </w:p>
        </w:tc>
        <w:tc>
          <w:tcPr>
            <w:tcW w:w="2977" w:type="dxa"/>
            <w:vAlign w:val="center"/>
          </w:tcPr>
          <w:p w14:paraId="043AF759">
            <w:pPr>
              <w:pStyle w:val="122"/>
              <w:jc w:val="center"/>
              <w:rPr>
                <w:bCs w:val="0"/>
                <w:color w:val="auto"/>
                <w:sz w:val="24"/>
                <w:szCs w:val="24"/>
                <w:highlight w:val="none"/>
                <w:lang w:val="en-US"/>
              </w:rPr>
            </w:pPr>
          </w:p>
        </w:tc>
      </w:tr>
    </w:tbl>
    <w:p w14:paraId="7995C0C2">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14:paraId="63FDC3C7">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5F07CBD8">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14:paraId="3B8210AB">
      <w:pPr>
        <w:spacing w:after="120" w:afterLines="50"/>
        <w:jc w:val="center"/>
        <w:rPr>
          <w:rFonts w:asci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1.2投标人自202</w:t>
      </w: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月1日以来</w:t>
      </w:r>
      <w:r>
        <w:rPr>
          <w:rFonts w:hint="eastAsia" w:ascii="宋体" w:hAnsi="宋体"/>
          <w:b/>
          <w:color w:val="auto"/>
          <w:sz w:val="24"/>
          <w:szCs w:val="24"/>
          <w:highlight w:val="none"/>
          <w:lang w:eastAsia="zh-CN"/>
        </w:rPr>
        <w:t>的预算执行审计或专项审计调查</w:t>
      </w:r>
      <w:r>
        <w:rPr>
          <w:rFonts w:hint="eastAsia" w:ascii="宋体" w:hAnsi="宋体"/>
          <w:b/>
          <w:color w:val="auto"/>
          <w:sz w:val="24"/>
          <w:szCs w:val="24"/>
          <w:highlight w:val="none"/>
        </w:rPr>
        <w:t>项目业绩详细情况表</w:t>
      </w:r>
    </w:p>
    <w:p w14:paraId="26876ADA">
      <w:pPr>
        <w:spacing w:after="120" w:afterLines="50"/>
        <w:jc w:val="left"/>
        <w:rPr>
          <w:rFonts w:ascii="宋体"/>
          <w:b/>
          <w:color w:val="auto"/>
          <w:sz w:val="24"/>
          <w:szCs w:val="24"/>
          <w:highlight w:val="none"/>
        </w:rPr>
      </w:pPr>
      <w:r>
        <w:rPr>
          <w:rFonts w:hint="eastAsia" w:ascii="宋体" w:hAnsi="宋体"/>
          <w:b/>
          <w:color w:val="auto"/>
          <w:sz w:val="24"/>
          <w:szCs w:val="24"/>
          <w:highlight w:val="none"/>
        </w:rPr>
        <w:t>项目序号：</w:t>
      </w:r>
    </w:p>
    <w:tbl>
      <w:tblPr>
        <w:tblStyle w:val="34"/>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6128"/>
      </w:tblGrid>
      <w:tr w14:paraId="5952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13D03ED7">
            <w:pPr>
              <w:pStyle w:val="122"/>
              <w:spacing w:line="360" w:lineRule="auto"/>
              <w:rPr>
                <w:bCs w:val="0"/>
                <w:color w:val="auto"/>
                <w:sz w:val="24"/>
                <w:szCs w:val="24"/>
                <w:highlight w:val="none"/>
                <w:lang w:val="en-US"/>
              </w:rPr>
            </w:pPr>
            <w:r>
              <w:rPr>
                <w:rFonts w:hint="eastAsia"/>
                <w:bCs w:val="0"/>
                <w:color w:val="auto"/>
                <w:sz w:val="24"/>
                <w:szCs w:val="24"/>
                <w:highlight w:val="none"/>
                <w:lang w:val="en-US"/>
              </w:rPr>
              <w:t>项目名称</w:t>
            </w:r>
          </w:p>
        </w:tc>
        <w:tc>
          <w:tcPr>
            <w:tcW w:w="6128" w:type="dxa"/>
          </w:tcPr>
          <w:p w14:paraId="24462D7B">
            <w:pPr>
              <w:pStyle w:val="122"/>
              <w:spacing w:line="360" w:lineRule="auto"/>
              <w:rPr>
                <w:bCs w:val="0"/>
                <w:color w:val="auto"/>
                <w:sz w:val="24"/>
                <w:szCs w:val="24"/>
                <w:highlight w:val="none"/>
                <w:lang w:val="en-US"/>
              </w:rPr>
            </w:pPr>
          </w:p>
        </w:tc>
      </w:tr>
      <w:tr w14:paraId="2F96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4AD9BB45">
            <w:pPr>
              <w:pStyle w:val="122"/>
              <w:spacing w:line="360" w:lineRule="auto"/>
              <w:rPr>
                <w:bCs w:val="0"/>
                <w:color w:val="auto"/>
                <w:sz w:val="24"/>
                <w:szCs w:val="24"/>
                <w:highlight w:val="none"/>
                <w:lang w:val="en-US"/>
              </w:rPr>
            </w:pPr>
            <w:r>
              <w:rPr>
                <w:rFonts w:hint="eastAsia"/>
                <w:bCs w:val="0"/>
                <w:color w:val="auto"/>
                <w:sz w:val="24"/>
                <w:szCs w:val="24"/>
                <w:highlight w:val="none"/>
                <w:lang w:val="en-US"/>
              </w:rPr>
              <w:t>项目所在地</w:t>
            </w:r>
          </w:p>
        </w:tc>
        <w:tc>
          <w:tcPr>
            <w:tcW w:w="6128" w:type="dxa"/>
          </w:tcPr>
          <w:p w14:paraId="7768CBA6">
            <w:pPr>
              <w:pStyle w:val="122"/>
              <w:spacing w:line="360" w:lineRule="auto"/>
              <w:rPr>
                <w:bCs w:val="0"/>
                <w:color w:val="auto"/>
                <w:sz w:val="24"/>
                <w:szCs w:val="24"/>
                <w:highlight w:val="none"/>
                <w:lang w:val="en-US"/>
              </w:rPr>
            </w:pPr>
          </w:p>
        </w:tc>
      </w:tr>
      <w:tr w14:paraId="2CBB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57E32C8D">
            <w:pPr>
              <w:pStyle w:val="122"/>
              <w:spacing w:line="360" w:lineRule="auto"/>
              <w:rPr>
                <w:bCs w:val="0"/>
                <w:color w:val="auto"/>
                <w:sz w:val="24"/>
                <w:szCs w:val="24"/>
                <w:highlight w:val="none"/>
                <w:lang w:val="en-US"/>
              </w:rPr>
            </w:pPr>
            <w:r>
              <w:rPr>
                <w:rFonts w:hint="eastAsia"/>
                <w:bCs w:val="0"/>
                <w:color w:val="auto"/>
                <w:sz w:val="24"/>
                <w:szCs w:val="24"/>
                <w:highlight w:val="none"/>
                <w:lang w:val="en-US"/>
              </w:rPr>
              <w:t>发包人名称</w:t>
            </w:r>
          </w:p>
        </w:tc>
        <w:tc>
          <w:tcPr>
            <w:tcW w:w="6128" w:type="dxa"/>
          </w:tcPr>
          <w:p w14:paraId="2F6EB550">
            <w:pPr>
              <w:pStyle w:val="122"/>
              <w:spacing w:line="360" w:lineRule="auto"/>
              <w:rPr>
                <w:bCs w:val="0"/>
                <w:color w:val="auto"/>
                <w:sz w:val="24"/>
                <w:szCs w:val="24"/>
                <w:highlight w:val="none"/>
                <w:lang w:val="en-US"/>
              </w:rPr>
            </w:pPr>
          </w:p>
        </w:tc>
      </w:tr>
      <w:tr w14:paraId="0899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49675556">
            <w:pPr>
              <w:pStyle w:val="122"/>
              <w:spacing w:line="360" w:lineRule="auto"/>
              <w:rPr>
                <w:bCs w:val="0"/>
                <w:color w:val="auto"/>
                <w:sz w:val="24"/>
                <w:szCs w:val="24"/>
                <w:highlight w:val="none"/>
                <w:lang w:val="en-US"/>
              </w:rPr>
            </w:pPr>
            <w:r>
              <w:rPr>
                <w:rFonts w:hint="eastAsia"/>
                <w:bCs w:val="0"/>
                <w:color w:val="auto"/>
                <w:sz w:val="24"/>
                <w:szCs w:val="24"/>
                <w:highlight w:val="none"/>
                <w:lang w:val="en-US"/>
              </w:rPr>
              <w:t>发包人地址</w:t>
            </w:r>
          </w:p>
        </w:tc>
        <w:tc>
          <w:tcPr>
            <w:tcW w:w="6128" w:type="dxa"/>
          </w:tcPr>
          <w:p w14:paraId="25FAD720">
            <w:pPr>
              <w:pStyle w:val="122"/>
              <w:spacing w:line="360" w:lineRule="auto"/>
              <w:rPr>
                <w:bCs w:val="0"/>
                <w:color w:val="auto"/>
                <w:sz w:val="24"/>
                <w:szCs w:val="24"/>
                <w:highlight w:val="none"/>
                <w:lang w:val="en-US"/>
              </w:rPr>
            </w:pPr>
          </w:p>
        </w:tc>
      </w:tr>
      <w:tr w14:paraId="327D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6329E262">
            <w:pPr>
              <w:pStyle w:val="122"/>
              <w:spacing w:line="360" w:lineRule="auto"/>
              <w:rPr>
                <w:bCs w:val="0"/>
                <w:color w:val="auto"/>
                <w:sz w:val="24"/>
                <w:szCs w:val="24"/>
                <w:highlight w:val="none"/>
                <w:lang w:val="en-US"/>
              </w:rPr>
            </w:pPr>
            <w:r>
              <w:rPr>
                <w:rFonts w:hint="eastAsia"/>
                <w:bCs w:val="0"/>
                <w:color w:val="auto"/>
                <w:sz w:val="24"/>
                <w:szCs w:val="24"/>
                <w:highlight w:val="none"/>
                <w:lang w:val="en-US"/>
              </w:rPr>
              <w:t>发包人电话</w:t>
            </w:r>
          </w:p>
        </w:tc>
        <w:tc>
          <w:tcPr>
            <w:tcW w:w="6128" w:type="dxa"/>
          </w:tcPr>
          <w:p w14:paraId="00BA111C">
            <w:pPr>
              <w:pStyle w:val="122"/>
              <w:spacing w:line="360" w:lineRule="auto"/>
              <w:rPr>
                <w:bCs w:val="0"/>
                <w:color w:val="auto"/>
                <w:sz w:val="24"/>
                <w:szCs w:val="24"/>
                <w:highlight w:val="none"/>
                <w:lang w:val="en-US"/>
              </w:rPr>
            </w:pPr>
          </w:p>
        </w:tc>
      </w:tr>
      <w:tr w14:paraId="55EC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278E6C45">
            <w:pPr>
              <w:pStyle w:val="122"/>
              <w:spacing w:line="360" w:lineRule="auto"/>
              <w:rPr>
                <w:bCs w:val="0"/>
                <w:color w:val="auto"/>
                <w:sz w:val="24"/>
                <w:szCs w:val="24"/>
                <w:highlight w:val="none"/>
                <w:lang w:val="en-US"/>
              </w:rPr>
            </w:pPr>
            <w:r>
              <w:rPr>
                <w:rFonts w:hint="eastAsia"/>
                <w:bCs w:val="0"/>
                <w:color w:val="auto"/>
                <w:sz w:val="24"/>
                <w:szCs w:val="24"/>
                <w:highlight w:val="none"/>
                <w:lang w:val="en-US"/>
              </w:rPr>
              <w:t>主要服务内容</w:t>
            </w:r>
          </w:p>
        </w:tc>
        <w:tc>
          <w:tcPr>
            <w:tcW w:w="6128" w:type="dxa"/>
          </w:tcPr>
          <w:p w14:paraId="3674F248">
            <w:pPr>
              <w:pStyle w:val="122"/>
              <w:spacing w:line="360" w:lineRule="auto"/>
              <w:rPr>
                <w:bCs w:val="0"/>
                <w:color w:val="auto"/>
                <w:sz w:val="24"/>
                <w:szCs w:val="24"/>
                <w:highlight w:val="none"/>
                <w:lang w:val="en-US"/>
              </w:rPr>
            </w:pPr>
          </w:p>
        </w:tc>
      </w:tr>
      <w:tr w14:paraId="737B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731" w:type="dxa"/>
            <w:vAlign w:val="center"/>
          </w:tcPr>
          <w:p w14:paraId="5AA6AB55">
            <w:pPr>
              <w:pStyle w:val="122"/>
              <w:spacing w:line="360" w:lineRule="auto"/>
              <w:rPr>
                <w:bCs w:val="0"/>
                <w:color w:val="auto"/>
                <w:sz w:val="24"/>
                <w:szCs w:val="24"/>
                <w:highlight w:val="none"/>
                <w:lang w:val="en-US"/>
              </w:rPr>
            </w:pPr>
            <w:r>
              <w:rPr>
                <w:rFonts w:hint="eastAsia"/>
                <w:bCs w:val="0"/>
                <w:color w:val="auto"/>
                <w:sz w:val="24"/>
                <w:szCs w:val="24"/>
                <w:highlight w:val="none"/>
                <w:lang w:val="en-US"/>
              </w:rPr>
              <w:t>项目金额</w:t>
            </w:r>
          </w:p>
        </w:tc>
        <w:tc>
          <w:tcPr>
            <w:tcW w:w="6128" w:type="dxa"/>
          </w:tcPr>
          <w:p w14:paraId="3A7D99A3">
            <w:pPr>
              <w:pStyle w:val="122"/>
              <w:spacing w:line="360" w:lineRule="auto"/>
              <w:rPr>
                <w:bCs w:val="0"/>
                <w:color w:val="auto"/>
                <w:sz w:val="24"/>
                <w:szCs w:val="24"/>
                <w:highlight w:val="none"/>
                <w:lang w:val="en-US"/>
              </w:rPr>
            </w:pPr>
          </w:p>
        </w:tc>
      </w:tr>
      <w:tr w14:paraId="2D6C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4A1732FC">
            <w:pPr>
              <w:pStyle w:val="122"/>
              <w:spacing w:line="360" w:lineRule="auto"/>
              <w:rPr>
                <w:bCs w:val="0"/>
                <w:color w:val="auto"/>
                <w:sz w:val="24"/>
                <w:szCs w:val="24"/>
                <w:highlight w:val="none"/>
                <w:lang w:val="en-US"/>
              </w:rPr>
            </w:pPr>
            <w:r>
              <w:rPr>
                <w:rFonts w:hint="eastAsia"/>
                <w:bCs w:val="0"/>
                <w:color w:val="auto"/>
                <w:sz w:val="24"/>
                <w:szCs w:val="24"/>
                <w:highlight w:val="none"/>
                <w:lang w:val="en-US"/>
              </w:rPr>
              <w:t>服务开始和完成时间</w:t>
            </w:r>
          </w:p>
        </w:tc>
        <w:tc>
          <w:tcPr>
            <w:tcW w:w="6128" w:type="dxa"/>
          </w:tcPr>
          <w:p w14:paraId="2469F61C">
            <w:pPr>
              <w:pStyle w:val="122"/>
              <w:spacing w:line="360" w:lineRule="auto"/>
              <w:rPr>
                <w:bCs w:val="0"/>
                <w:color w:val="auto"/>
                <w:sz w:val="24"/>
                <w:szCs w:val="24"/>
                <w:highlight w:val="none"/>
                <w:lang w:val="en-US"/>
              </w:rPr>
            </w:pPr>
          </w:p>
        </w:tc>
      </w:tr>
      <w:tr w14:paraId="49A4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46A54F09">
            <w:pPr>
              <w:pStyle w:val="122"/>
              <w:spacing w:line="360" w:lineRule="auto"/>
              <w:rPr>
                <w:bCs w:val="0"/>
                <w:color w:val="auto"/>
                <w:sz w:val="24"/>
                <w:szCs w:val="24"/>
                <w:highlight w:val="none"/>
                <w:lang w:val="en-US"/>
              </w:rPr>
            </w:pPr>
            <w:r>
              <w:rPr>
                <w:rFonts w:hint="eastAsia"/>
                <w:bCs w:val="0"/>
                <w:color w:val="auto"/>
                <w:sz w:val="24"/>
                <w:szCs w:val="24"/>
                <w:highlight w:val="none"/>
                <w:lang w:val="en-US"/>
              </w:rPr>
              <w:t>服务完成情况</w:t>
            </w:r>
          </w:p>
        </w:tc>
        <w:tc>
          <w:tcPr>
            <w:tcW w:w="6128" w:type="dxa"/>
          </w:tcPr>
          <w:p w14:paraId="1484D871">
            <w:pPr>
              <w:pStyle w:val="122"/>
              <w:spacing w:line="360" w:lineRule="auto"/>
              <w:rPr>
                <w:bCs w:val="0"/>
                <w:color w:val="auto"/>
                <w:sz w:val="24"/>
                <w:szCs w:val="24"/>
                <w:highlight w:val="none"/>
                <w:lang w:val="en-US"/>
              </w:rPr>
            </w:pPr>
          </w:p>
        </w:tc>
      </w:tr>
      <w:tr w14:paraId="55A2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731" w:type="dxa"/>
            <w:vAlign w:val="center"/>
          </w:tcPr>
          <w:p w14:paraId="359787C0">
            <w:pPr>
              <w:pStyle w:val="122"/>
              <w:spacing w:line="360" w:lineRule="auto"/>
              <w:rPr>
                <w:bCs w:val="0"/>
                <w:color w:val="auto"/>
                <w:sz w:val="24"/>
                <w:szCs w:val="24"/>
                <w:highlight w:val="none"/>
                <w:lang w:val="en-US"/>
              </w:rPr>
            </w:pPr>
            <w:r>
              <w:rPr>
                <w:rFonts w:hint="eastAsia"/>
                <w:bCs w:val="0"/>
                <w:color w:val="auto"/>
                <w:sz w:val="24"/>
                <w:szCs w:val="24"/>
                <w:highlight w:val="none"/>
                <w:lang w:val="en-US"/>
              </w:rPr>
              <w:t>备注</w:t>
            </w:r>
          </w:p>
        </w:tc>
        <w:tc>
          <w:tcPr>
            <w:tcW w:w="6128" w:type="dxa"/>
          </w:tcPr>
          <w:p w14:paraId="6932027C">
            <w:pPr>
              <w:pStyle w:val="122"/>
              <w:spacing w:line="360" w:lineRule="auto"/>
              <w:rPr>
                <w:bCs w:val="0"/>
                <w:color w:val="auto"/>
                <w:sz w:val="24"/>
                <w:szCs w:val="24"/>
                <w:highlight w:val="none"/>
                <w:lang w:val="en-US"/>
              </w:rPr>
            </w:pPr>
          </w:p>
        </w:tc>
      </w:tr>
    </w:tbl>
    <w:p w14:paraId="26422D00">
      <w:pPr>
        <w:pStyle w:val="124"/>
        <w:spacing w:line="240" w:lineRule="atLeast"/>
        <w:rPr>
          <w:color w:val="auto"/>
          <w:sz w:val="24"/>
          <w:szCs w:val="24"/>
          <w:highlight w:val="none"/>
        </w:rPr>
      </w:pPr>
      <w:r>
        <w:rPr>
          <w:rFonts w:hint="eastAsia"/>
          <w:color w:val="auto"/>
          <w:sz w:val="24"/>
          <w:szCs w:val="24"/>
          <w:highlight w:val="none"/>
        </w:rPr>
        <w:t>注：</w:t>
      </w:r>
      <w:r>
        <w:rPr>
          <w:rFonts w:hint="eastAsia"/>
          <w:color w:val="auto"/>
          <w:spacing w:val="0"/>
          <w:kern w:val="2"/>
          <w:sz w:val="24"/>
          <w:szCs w:val="24"/>
          <w:highlight w:val="none"/>
          <w:lang w:val="en-US"/>
        </w:rPr>
        <w:t>本表应与表1.1“</w:t>
      </w:r>
      <w:r>
        <w:rPr>
          <w:rFonts w:hint="eastAsia"/>
          <w:b/>
          <w:color w:val="auto"/>
          <w:sz w:val="24"/>
          <w:szCs w:val="24"/>
          <w:highlight w:val="none"/>
        </w:rPr>
        <w:t>投标人自202</w:t>
      </w:r>
      <w:r>
        <w:rPr>
          <w:rFonts w:hint="eastAsia"/>
          <w:b/>
          <w:color w:val="auto"/>
          <w:sz w:val="24"/>
          <w:szCs w:val="24"/>
          <w:highlight w:val="none"/>
          <w:lang w:val="en-US" w:eastAsia="zh-CN"/>
        </w:rPr>
        <w:t>2</w:t>
      </w:r>
      <w:r>
        <w:rPr>
          <w:rFonts w:hint="eastAsia"/>
          <w:b/>
          <w:color w:val="auto"/>
          <w:sz w:val="24"/>
          <w:szCs w:val="24"/>
          <w:highlight w:val="none"/>
        </w:rPr>
        <w:t>年</w:t>
      </w:r>
      <w:r>
        <w:rPr>
          <w:rFonts w:hint="eastAsia"/>
          <w:b/>
          <w:color w:val="auto"/>
          <w:sz w:val="24"/>
          <w:szCs w:val="24"/>
          <w:highlight w:val="none"/>
          <w:lang w:val="en-US" w:eastAsia="zh-CN"/>
        </w:rPr>
        <w:t>7</w:t>
      </w:r>
      <w:r>
        <w:rPr>
          <w:rFonts w:hint="eastAsia"/>
          <w:b/>
          <w:color w:val="auto"/>
          <w:sz w:val="24"/>
          <w:szCs w:val="24"/>
          <w:highlight w:val="none"/>
        </w:rPr>
        <w:t>月1日以来</w:t>
      </w:r>
      <w:r>
        <w:rPr>
          <w:rFonts w:hint="eastAsia"/>
          <w:b/>
          <w:color w:val="auto"/>
          <w:sz w:val="24"/>
          <w:szCs w:val="24"/>
          <w:highlight w:val="none"/>
          <w:lang w:eastAsia="zh-CN"/>
        </w:rPr>
        <w:t>委托的预算执行审计或专项审计调查</w:t>
      </w:r>
      <w:r>
        <w:rPr>
          <w:rFonts w:hint="eastAsia"/>
          <w:b/>
          <w:color w:val="auto"/>
          <w:sz w:val="24"/>
          <w:szCs w:val="24"/>
          <w:highlight w:val="none"/>
        </w:rPr>
        <w:t>项目业绩汇总表</w:t>
      </w:r>
      <w:r>
        <w:rPr>
          <w:rFonts w:hint="eastAsia"/>
          <w:color w:val="auto"/>
          <w:spacing w:val="0"/>
          <w:kern w:val="2"/>
          <w:sz w:val="24"/>
          <w:szCs w:val="24"/>
          <w:highlight w:val="none"/>
          <w:lang w:val="en-US"/>
        </w:rPr>
        <w:t>”相对应，</w:t>
      </w:r>
      <w:r>
        <w:rPr>
          <w:rFonts w:hint="eastAsia"/>
          <w:color w:val="auto"/>
          <w:sz w:val="24"/>
          <w:szCs w:val="24"/>
          <w:highlight w:val="none"/>
        </w:rPr>
        <w:t>后应附</w:t>
      </w:r>
      <w:r>
        <w:rPr>
          <w:rFonts w:hint="eastAsia"/>
          <w:b/>
          <w:color w:val="auto"/>
          <w:sz w:val="24"/>
          <w:szCs w:val="24"/>
          <w:highlight w:val="none"/>
        </w:rPr>
        <w:t>合同的复印件并加盖公章</w:t>
      </w:r>
      <w:r>
        <w:rPr>
          <w:rFonts w:hint="eastAsia"/>
          <w:color w:val="auto"/>
          <w:sz w:val="24"/>
          <w:szCs w:val="24"/>
          <w:highlight w:val="none"/>
        </w:rPr>
        <w:t>。</w:t>
      </w:r>
    </w:p>
    <w:p w14:paraId="0CE86A77">
      <w:pPr>
        <w:spacing w:line="380" w:lineRule="exact"/>
        <w:rPr>
          <w:rFonts w:ascii="宋体" w:hAnsi="宋体"/>
          <w:color w:val="auto"/>
          <w:sz w:val="22"/>
          <w:szCs w:val="22"/>
          <w:highlight w:val="none"/>
        </w:rPr>
      </w:pPr>
    </w:p>
    <w:p w14:paraId="6AD4D271">
      <w:pPr>
        <w:spacing w:line="380" w:lineRule="exact"/>
        <w:rPr>
          <w:rFonts w:ascii="宋体" w:hAnsi="宋体"/>
          <w:color w:val="auto"/>
          <w:sz w:val="22"/>
          <w:szCs w:val="22"/>
          <w:highlight w:val="none"/>
        </w:rPr>
      </w:pPr>
    </w:p>
    <w:p w14:paraId="28B4309F">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14:paraId="3C77C096">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11A2C449">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14:paraId="042FB89C">
      <w:pPr>
        <w:rPr>
          <w:color w:val="auto"/>
          <w:highlight w:val="none"/>
        </w:rPr>
      </w:pPr>
    </w:p>
    <w:p w14:paraId="2DDED492">
      <w:pPr>
        <w:rPr>
          <w:color w:val="auto"/>
          <w:highlight w:val="none"/>
        </w:rPr>
      </w:pPr>
    </w:p>
    <w:p w14:paraId="05B41795">
      <w:pPr>
        <w:jc w:val="center"/>
        <w:rPr>
          <w:color w:val="auto"/>
          <w:highlight w:val="none"/>
        </w:rPr>
      </w:pPr>
    </w:p>
    <w:p w14:paraId="50CE854C">
      <w:pPr>
        <w:jc w:val="center"/>
        <w:rPr>
          <w:color w:val="auto"/>
          <w:highlight w:val="none"/>
        </w:rPr>
      </w:pPr>
    </w:p>
    <w:p w14:paraId="2B5FFDAA">
      <w:pPr>
        <w:widowControl/>
        <w:jc w:val="center"/>
        <w:rPr>
          <w:rFonts w:asci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2.1</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项目负责人资历表</w:t>
      </w:r>
    </w:p>
    <w:p w14:paraId="5428A8E3">
      <w:pPr>
        <w:jc w:val="center"/>
        <w:rPr>
          <w:rFonts w:ascii="宋体"/>
          <w:color w:val="auto"/>
          <w:highlight w:val="none"/>
        </w:rPr>
      </w:pPr>
    </w:p>
    <w:tbl>
      <w:tblPr>
        <w:tblStyle w:val="3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7B55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55752FF0">
            <w:pPr>
              <w:pStyle w:val="122"/>
              <w:spacing w:line="360" w:lineRule="auto"/>
              <w:rPr>
                <w:bCs w:val="0"/>
                <w:color w:val="auto"/>
                <w:sz w:val="24"/>
                <w:szCs w:val="24"/>
                <w:highlight w:val="none"/>
                <w:lang w:val="en-US"/>
              </w:rPr>
            </w:pPr>
            <w:r>
              <w:rPr>
                <w:bCs w:val="0"/>
                <w:color w:val="auto"/>
                <w:sz w:val="24"/>
                <w:szCs w:val="24"/>
                <w:highlight w:val="none"/>
                <w:lang w:val="en-US"/>
              </w:rPr>
              <w:t>1.</w:t>
            </w:r>
            <w:r>
              <w:rPr>
                <w:rFonts w:hint="eastAsia"/>
                <w:bCs w:val="0"/>
                <w:color w:val="auto"/>
                <w:sz w:val="24"/>
                <w:szCs w:val="24"/>
                <w:highlight w:val="none"/>
                <w:lang w:val="en-US"/>
              </w:rPr>
              <w:t>一般情况</w:t>
            </w:r>
          </w:p>
        </w:tc>
      </w:tr>
      <w:tr w14:paraId="1FDA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9F2EEA0">
            <w:pPr>
              <w:pStyle w:val="122"/>
              <w:spacing w:line="360" w:lineRule="auto"/>
              <w:rPr>
                <w:bCs w:val="0"/>
                <w:color w:val="auto"/>
                <w:sz w:val="24"/>
                <w:szCs w:val="24"/>
                <w:highlight w:val="none"/>
                <w:lang w:val="en-US"/>
              </w:rPr>
            </w:pPr>
            <w:r>
              <w:rPr>
                <w:rFonts w:hint="eastAsia"/>
                <w:bCs w:val="0"/>
                <w:color w:val="auto"/>
                <w:sz w:val="24"/>
                <w:szCs w:val="24"/>
                <w:highlight w:val="none"/>
                <w:lang w:val="en-US"/>
              </w:rPr>
              <w:t>姓名</w:t>
            </w:r>
          </w:p>
        </w:tc>
        <w:tc>
          <w:tcPr>
            <w:tcW w:w="885" w:type="dxa"/>
          </w:tcPr>
          <w:p w14:paraId="5AAA5E8A">
            <w:pPr>
              <w:pStyle w:val="122"/>
              <w:spacing w:line="360" w:lineRule="auto"/>
              <w:rPr>
                <w:bCs w:val="0"/>
                <w:color w:val="auto"/>
                <w:sz w:val="24"/>
                <w:szCs w:val="24"/>
                <w:highlight w:val="none"/>
                <w:lang w:val="en-US"/>
              </w:rPr>
            </w:pPr>
          </w:p>
        </w:tc>
        <w:tc>
          <w:tcPr>
            <w:tcW w:w="885" w:type="dxa"/>
          </w:tcPr>
          <w:p w14:paraId="15A22026">
            <w:pPr>
              <w:pStyle w:val="122"/>
              <w:spacing w:line="360" w:lineRule="auto"/>
              <w:rPr>
                <w:bCs w:val="0"/>
                <w:color w:val="auto"/>
                <w:sz w:val="24"/>
                <w:szCs w:val="24"/>
                <w:highlight w:val="none"/>
                <w:lang w:val="en-US"/>
              </w:rPr>
            </w:pPr>
            <w:r>
              <w:rPr>
                <w:rFonts w:hint="eastAsia"/>
                <w:bCs w:val="0"/>
                <w:color w:val="auto"/>
                <w:sz w:val="24"/>
                <w:szCs w:val="24"/>
                <w:highlight w:val="none"/>
                <w:lang w:val="en-US"/>
              </w:rPr>
              <w:t>性别</w:t>
            </w:r>
          </w:p>
        </w:tc>
        <w:tc>
          <w:tcPr>
            <w:tcW w:w="885" w:type="dxa"/>
          </w:tcPr>
          <w:p w14:paraId="45B3BCCB">
            <w:pPr>
              <w:pStyle w:val="122"/>
              <w:spacing w:line="360" w:lineRule="auto"/>
              <w:rPr>
                <w:bCs w:val="0"/>
                <w:color w:val="auto"/>
                <w:sz w:val="24"/>
                <w:szCs w:val="24"/>
                <w:highlight w:val="none"/>
                <w:lang w:val="en-US"/>
              </w:rPr>
            </w:pPr>
          </w:p>
        </w:tc>
        <w:tc>
          <w:tcPr>
            <w:tcW w:w="886" w:type="dxa"/>
          </w:tcPr>
          <w:p w14:paraId="6BF4EED5">
            <w:pPr>
              <w:pStyle w:val="122"/>
              <w:spacing w:line="360" w:lineRule="auto"/>
              <w:rPr>
                <w:bCs w:val="0"/>
                <w:color w:val="auto"/>
                <w:sz w:val="24"/>
                <w:szCs w:val="24"/>
                <w:highlight w:val="none"/>
                <w:lang w:val="en-US"/>
              </w:rPr>
            </w:pPr>
            <w:r>
              <w:rPr>
                <w:rFonts w:hint="eastAsia"/>
                <w:bCs w:val="0"/>
                <w:color w:val="auto"/>
                <w:sz w:val="24"/>
                <w:szCs w:val="24"/>
                <w:highlight w:val="none"/>
                <w:lang w:val="en-US"/>
              </w:rPr>
              <w:t>年龄</w:t>
            </w:r>
          </w:p>
        </w:tc>
        <w:tc>
          <w:tcPr>
            <w:tcW w:w="886" w:type="dxa"/>
          </w:tcPr>
          <w:p w14:paraId="77208AB3">
            <w:pPr>
              <w:pStyle w:val="122"/>
              <w:spacing w:line="360" w:lineRule="auto"/>
              <w:rPr>
                <w:bCs w:val="0"/>
                <w:color w:val="auto"/>
                <w:sz w:val="24"/>
                <w:szCs w:val="24"/>
                <w:highlight w:val="none"/>
                <w:lang w:val="en-US"/>
              </w:rPr>
            </w:pPr>
          </w:p>
        </w:tc>
        <w:tc>
          <w:tcPr>
            <w:tcW w:w="886" w:type="dxa"/>
          </w:tcPr>
          <w:p w14:paraId="78955249">
            <w:pPr>
              <w:pStyle w:val="122"/>
              <w:spacing w:line="360" w:lineRule="auto"/>
              <w:rPr>
                <w:bCs w:val="0"/>
                <w:color w:val="auto"/>
                <w:sz w:val="24"/>
                <w:szCs w:val="24"/>
                <w:highlight w:val="none"/>
                <w:lang w:val="en-US"/>
              </w:rPr>
            </w:pPr>
            <w:r>
              <w:rPr>
                <w:rFonts w:hint="eastAsia"/>
                <w:bCs w:val="0"/>
                <w:color w:val="auto"/>
                <w:sz w:val="24"/>
                <w:szCs w:val="24"/>
                <w:highlight w:val="none"/>
                <w:lang w:val="en-US"/>
              </w:rPr>
              <w:t>学位</w:t>
            </w:r>
          </w:p>
        </w:tc>
        <w:tc>
          <w:tcPr>
            <w:tcW w:w="886" w:type="dxa"/>
          </w:tcPr>
          <w:p w14:paraId="5A4FA607">
            <w:pPr>
              <w:pStyle w:val="122"/>
              <w:spacing w:line="360" w:lineRule="auto"/>
              <w:rPr>
                <w:bCs w:val="0"/>
                <w:color w:val="auto"/>
                <w:sz w:val="24"/>
                <w:szCs w:val="24"/>
                <w:highlight w:val="none"/>
                <w:lang w:val="en-US"/>
              </w:rPr>
            </w:pPr>
          </w:p>
        </w:tc>
        <w:tc>
          <w:tcPr>
            <w:tcW w:w="886" w:type="dxa"/>
          </w:tcPr>
          <w:p w14:paraId="066720A9">
            <w:pPr>
              <w:pStyle w:val="122"/>
              <w:spacing w:line="360" w:lineRule="auto"/>
              <w:rPr>
                <w:bCs w:val="0"/>
                <w:color w:val="auto"/>
                <w:sz w:val="24"/>
                <w:szCs w:val="24"/>
                <w:highlight w:val="none"/>
                <w:lang w:val="en-US"/>
              </w:rPr>
            </w:pPr>
            <w:r>
              <w:rPr>
                <w:rFonts w:hint="eastAsia"/>
                <w:bCs w:val="0"/>
                <w:color w:val="auto"/>
                <w:sz w:val="24"/>
                <w:szCs w:val="24"/>
                <w:highlight w:val="none"/>
                <w:lang w:val="en-US"/>
              </w:rPr>
              <w:t>身份证号</w:t>
            </w:r>
          </w:p>
        </w:tc>
        <w:tc>
          <w:tcPr>
            <w:tcW w:w="886" w:type="dxa"/>
          </w:tcPr>
          <w:p w14:paraId="79A9798D">
            <w:pPr>
              <w:pStyle w:val="122"/>
              <w:spacing w:line="360" w:lineRule="auto"/>
              <w:rPr>
                <w:bCs w:val="0"/>
                <w:color w:val="auto"/>
                <w:sz w:val="24"/>
                <w:szCs w:val="24"/>
                <w:highlight w:val="none"/>
                <w:lang w:val="en-US"/>
              </w:rPr>
            </w:pPr>
          </w:p>
        </w:tc>
      </w:tr>
      <w:tr w14:paraId="6CCD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40FE23C">
            <w:pPr>
              <w:pStyle w:val="122"/>
              <w:spacing w:line="360" w:lineRule="auto"/>
              <w:rPr>
                <w:bCs w:val="0"/>
                <w:color w:val="auto"/>
                <w:sz w:val="24"/>
                <w:szCs w:val="24"/>
                <w:highlight w:val="none"/>
                <w:lang w:val="en-US"/>
              </w:rPr>
            </w:pPr>
            <w:r>
              <w:rPr>
                <w:rFonts w:hint="eastAsia"/>
                <w:bCs w:val="0"/>
                <w:color w:val="auto"/>
                <w:sz w:val="24"/>
                <w:szCs w:val="24"/>
                <w:highlight w:val="none"/>
                <w:lang w:val="en-US"/>
              </w:rPr>
              <w:t>职称</w:t>
            </w:r>
          </w:p>
        </w:tc>
        <w:tc>
          <w:tcPr>
            <w:tcW w:w="885" w:type="dxa"/>
          </w:tcPr>
          <w:p w14:paraId="003F53FE">
            <w:pPr>
              <w:pStyle w:val="122"/>
              <w:spacing w:line="360" w:lineRule="auto"/>
              <w:rPr>
                <w:bCs w:val="0"/>
                <w:color w:val="auto"/>
                <w:sz w:val="24"/>
                <w:szCs w:val="24"/>
                <w:highlight w:val="none"/>
                <w:lang w:val="en-US"/>
              </w:rPr>
            </w:pPr>
          </w:p>
        </w:tc>
        <w:tc>
          <w:tcPr>
            <w:tcW w:w="885" w:type="dxa"/>
          </w:tcPr>
          <w:p w14:paraId="2778E7F2">
            <w:pPr>
              <w:pStyle w:val="122"/>
              <w:spacing w:line="360" w:lineRule="auto"/>
              <w:rPr>
                <w:bCs w:val="0"/>
                <w:color w:val="auto"/>
                <w:sz w:val="24"/>
                <w:szCs w:val="24"/>
                <w:highlight w:val="none"/>
                <w:lang w:val="en-US"/>
              </w:rPr>
            </w:pPr>
            <w:r>
              <w:rPr>
                <w:rFonts w:hint="eastAsia"/>
                <w:bCs w:val="0"/>
                <w:color w:val="auto"/>
                <w:sz w:val="24"/>
                <w:szCs w:val="24"/>
                <w:highlight w:val="none"/>
                <w:lang w:val="en-US"/>
              </w:rPr>
              <w:t>执业资格</w:t>
            </w:r>
          </w:p>
        </w:tc>
        <w:tc>
          <w:tcPr>
            <w:tcW w:w="885" w:type="dxa"/>
          </w:tcPr>
          <w:p w14:paraId="060464AA">
            <w:pPr>
              <w:pStyle w:val="122"/>
              <w:spacing w:line="360" w:lineRule="auto"/>
              <w:rPr>
                <w:bCs w:val="0"/>
                <w:color w:val="auto"/>
                <w:sz w:val="24"/>
                <w:szCs w:val="24"/>
                <w:highlight w:val="none"/>
                <w:lang w:val="en-US"/>
              </w:rPr>
            </w:pPr>
          </w:p>
        </w:tc>
        <w:tc>
          <w:tcPr>
            <w:tcW w:w="1772" w:type="dxa"/>
            <w:gridSpan w:val="2"/>
          </w:tcPr>
          <w:p w14:paraId="0719E762">
            <w:pPr>
              <w:pStyle w:val="122"/>
              <w:spacing w:line="360" w:lineRule="auto"/>
              <w:rPr>
                <w:bCs w:val="0"/>
                <w:color w:val="auto"/>
                <w:sz w:val="24"/>
                <w:szCs w:val="24"/>
                <w:highlight w:val="none"/>
                <w:lang w:val="en-US"/>
              </w:rPr>
            </w:pPr>
            <w:r>
              <w:rPr>
                <w:rFonts w:hint="eastAsia"/>
                <w:bCs w:val="0"/>
                <w:color w:val="auto"/>
                <w:sz w:val="24"/>
                <w:szCs w:val="24"/>
                <w:highlight w:val="none"/>
                <w:lang w:val="en-US"/>
              </w:rPr>
              <w:t>为投标人服务年限（年）</w:t>
            </w:r>
          </w:p>
        </w:tc>
        <w:tc>
          <w:tcPr>
            <w:tcW w:w="886" w:type="dxa"/>
          </w:tcPr>
          <w:p w14:paraId="613A9575">
            <w:pPr>
              <w:pStyle w:val="122"/>
              <w:spacing w:line="360" w:lineRule="auto"/>
              <w:rPr>
                <w:bCs w:val="0"/>
                <w:color w:val="auto"/>
                <w:sz w:val="24"/>
                <w:szCs w:val="24"/>
                <w:highlight w:val="none"/>
                <w:lang w:val="en-US"/>
              </w:rPr>
            </w:pPr>
          </w:p>
        </w:tc>
        <w:tc>
          <w:tcPr>
            <w:tcW w:w="1772" w:type="dxa"/>
            <w:gridSpan w:val="2"/>
          </w:tcPr>
          <w:p w14:paraId="277040A8">
            <w:pPr>
              <w:pStyle w:val="122"/>
              <w:spacing w:line="360" w:lineRule="auto"/>
              <w:rPr>
                <w:bCs w:val="0"/>
                <w:color w:val="auto"/>
                <w:sz w:val="24"/>
                <w:szCs w:val="24"/>
                <w:highlight w:val="none"/>
                <w:lang w:val="en-US"/>
              </w:rPr>
            </w:pPr>
            <w:r>
              <w:rPr>
                <w:rFonts w:hint="eastAsia"/>
                <w:bCs w:val="0"/>
                <w:color w:val="auto"/>
                <w:sz w:val="24"/>
                <w:szCs w:val="24"/>
                <w:highlight w:val="none"/>
                <w:lang w:val="en-US"/>
              </w:rPr>
              <w:t>在本项目中拟任职</w:t>
            </w:r>
          </w:p>
        </w:tc>
        <w:tc>
          <w:tcPr>
            <w:tcW w:w="886" w:type="dxa"/>
          </w:tcPr>
          <w:p w14:paraId="5D731E4A">
            <w:pPr>
              <w:pStyle w:val="122"/>
              <w:spacing w:line="360" w:lineRule="auto"/>
              <w:rPr>
                <w:bCs w:val="0"/>
                <w:color w:val="auto"/>
                <w:sz w:val="24"/>
                <w:szCs w:val="24"/>
                <w:highlight w:val="none"/>
                <w:lang w:val="en-US"/>
              </w:rPr>
            </w:pPr>
          </w:p>
        </w:tc>
      </w:tr>
      <w:tr w14:paraId="6644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91EC5DA">
            <w:pPr>
              <w:pStyle w:val="122"/>
              <w:spacing w:line="360" w:lineRule="auto"/>
              <w:rPr>
                <w:bCs w:val="0"/>
                <w:color w:val="auto"/>
                <w:sz w:val="24"/>
                <w:szCs w:val="24"/>
                <w:highlight w:val="none"/>
                <w:lang w:val="en-US"/>
              </w:rPr>
            </w:pPr>
            <w:r>
              <w:rPr>
                <w:rFonts w:hint="eastAsia"/>
                <w:bCs w:val="0"/>
                <w:color w:val="auto"/>
                <w:sz w:val="24"/>
                <w:szCs w:val="24"/>
                <w:highlight w:val="none"/>
                <w:lang w:val="en-US"/>
              </w:rPr>
              <w:t>学历</w:t>
            </w:r>
          </w:p>
        </w:tc>
        <w:tc>
          <w:tcPr>
            <w:tcW w:w="7971" w:type="dxa"/>
            <w:gridSpan w:val="9"/>
          </w:tcPr>
          <w:p w14:paraId="0B09AB8D">
            <w:pPr>
              <w:pStyle w:val="122"/>
              <w:spacing w:line="360" w:lineRule="auto"/>
              <w:rPr>
                <w:bCs w:val="0"/>
                <w:color w:val="auto"/>
                <w:sz w:val="24"/>
                <w:szCs w:val="24"/>
                <w:highlight w:val="none"/>
                <w:lang w:val="en-US"/>
              </w:rPr>
            </w:pPr>
            <w:r>
              <w:rPr>
                <w:rFonts w:hint="eastAsia"/>
                <w:bCs w:val="0"/>
                <w:color w:val="auto"/>
                <w:sz w:val="24"/>
                <w:szCs w:val="24"/>
                <w:highlight w:val="none"/>
                <w:lang w:val="en-US"/>
              </w:rPr>
              <w:t>年毕业于（学校）（专业）</w:t>
            </w:r>
          </w:p>
        </w:tc>
      </w:tr>
      <w:tr w14:paraId="6002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623217E5">
            <w:pPr>
              <w:pStyle w:val="122"/>
              <w:spacing w:line="360" w:lineRule="auto"/>
              <w:rPr>
                <w:bCs w:val="0"/>
                <w:color w:val="auto"/>
                <w:sz w:val="24"/>
                <w:szCs w:val="24"/>
                <w:highlight w:val="none"/>
                <w:lang w:val="en-US"/>
              </w:rPr>
            </w:pPr>
            <w:r>
              <w:rPr>
                <w:bCs w:val="0"/>
                <w:color w:val="auto"/>
                <w:sz w:val="24"/>
                <w:szCs w:val="24"/>
                <w:highlight w:val="none"/>
                <w:lang w:val="en-US"/>
              </w:rPr>
              <w:t>2.</w:t>
            </w:r>
            <w:r>
              <w:rPr>
                <w:rFonts w:hint="eastAsia"/>
                <w:bCs w:val="0"/>
                <w:color w:val="auto"/>
                <w:sz w:val="24"/>
                <w:szCs w:val="24"/>
                <w:highlight w:val="none"/>
                <w:lang w:val="en-US"/>
              </w:rPr>
              <w:t>经历</w:t>
            </w:r>
          </w:p>
        </w:tc>
      </w:tr>
      <w:tr w14:paraId="15FC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573B287">
            <w:pPr>
              <w:pStyle w:val="122"/>
              <w:spacing w:line="360" w:lineRule="auto"/>
              <w:rPr>
                <w:bCs w:val="0"/>
                <w:color w:val="auto"/>
                <w:sz w:val="24"/>
                <w:szCs w:val="24"/>
                <w:highlight w:val="none"/>
                <w:lang w:val="en-US"/>
              </w:rPr>
            </w:pPr>
            <w:r>
              <w:rPr>
                <w:rFonts w:hint="eastAsia"/>
                <w:bCs w:val="0"/>
                <w:color w:val="auto"/>
                <w:sz w:val="24"/>
                <w:szCs w:val="24"/>
                <w:highlight w:val="none"/>
                <w:lang w:val="en-US"/>
              </w:rPr>
              <w:t>时间</w:t>
            </w:r>
          </w:p>
        </w:tc>
        <w:tc>
          <w:tcPr>
            <w:tcW w:w="4427" w:type="dxa"/>
            <w:gridSpan w:val="5"/>
          </w:tcPr>
          <w:p w14:paraId="31164715">
            <w:pPr>
              <w:pStyle w:val="122"/>
              <w:spacing w:line="360" w:lineRule="auto"/>
              <w:rPr>
                <w:bCs w:val="0"/>
                <w:color w:val="auto"/>
                <w:sz w:val="24"/>
                <w:szCs w:val="24"/>
                <w:highlight w:val="none"/>
                <w:lang w:val="en-US"/>
              </w:rPr>
            </w:pPr>
            <w:r>
              <w:rPr>
                <w:rFonts w:hint="eastAsia"/>
                <w:bCs w:val="0"/>
                <w:color w:val="auto"/>
                <w:sz w:val="24"/>
                <w:szCs w:val="24"/>
                <w:highlight w:val="none"/>
                <w:lang w:val="en-US"/>
              </w:rPr>
              <w:t>负责过的主要项目（类型和金额）</w:t>
            </w:r>
          </w:p>
        </w:tc>
        <w:tc>
          <w:tcPr>
            <w:tcW w:w="1772" w:type="dxa"/>
            <w:gridSpan w:val="2"/>
          </w:tcPr>
          <w:p w14:paraId="4D0A03F7">
            <w:pPr>
              <w:pStyle w:val="122"/>
              <w:spacing w:line="360" w:lineRule="auto"/>
              <w:rPr>
                <w:bCs w:val="0"/>
                <w:color w:val="auto"/>
                <w:sz w:val="24"/>
                <w:szCs w:val="24"/>
                <w:highlight w:val="none"/>
                <w:lang w:val="en-US"/>
              </w:rPr>
            </w:pPr>
            <w:r>
              <w:rPr>
                <w:rFonts w:hint="eastAsia"/>
                <w:bCs w:val="0"/>
                <w:color w:val="auto"/>
                <w:sz w:val="24"/>
                <w:szCs w:val="24"/>
                <w:highlight w:val="none"/>
                <w:lang w:val="en-US"/>
              </w:rPr>
              <w:t>该项目中任职</w:t>
            </w:r>
          </w:p>
        </w:tc>
        <w:tc>
          <w:tcPr>
            <w:tcW w:w="1772" w:type="dxa"/>
            <w:gridSpan w:val="2"/>
          </w:tcPr>
          <w:p w14:paraId="1F84FB73">
            <w:pPr>
              <w:pStyle w:val="122"/>
              <w:spacing w:line="360" w:lineRule="auto"/>
              <w:rPr>
                <w:bCs w:val="0"/>
                <w:color w:val="auto"/>
                <w:sz w:val="24"/>
                <w:szCs w:val="24"/>
                <w:highlight w:val="none"/>
                <w:lang w:val="en-US"/>
              </w:rPr>
            </w:pPr>
            <w:r>
              <w:rPr>
                <w:rFonts w:hint="eastAsia"/>
                <w:bCs w:val="0"/>
                <w:color w:val="auto"/>
                <w:sz w:val="24"/>
                <w:szCs w:val="24"/>
                <w:highlight w:val="none"/>
                <w:lang w:val="en-US"/>
              </w:rPr>
              <w:t>发包人及</w:t>
            </w:r>
          </w:p>
          <w:p w14:paraId="1B9FAE31">
            <w:pPr>
              <w:pStyle w:val="122"/>
              <w:spacing w:line="360" w:lineRule="auto"/>
              <w:rPr>
                <w:bCs w:val="0"/>
                <w:color w:val="auto"/>
                <w:sz w:val="24"/>
                <w:szCs w:val="24"/>
                <w:highlight w:val="none"/>
                <w:lang w:val="en-US"/>
              </w:rPr>
            </w:pPr>
            <w:r>
              <w:rPr>
                <w:rFonts w:hint="eastAsia"/>
                <w:bCs w:val="0"/>
                <w:color w:val="auto"/>
                <w:sz w:val="24"/>
                <w:szCs w:val="24"/>
                <w:highlight w:val="none"/>
                <w:lang w:val="en-US"/>
              </w:rPr>
              <w:t>联系电话</w:t>
            </w:r>
          </w:p>
        </w:tc>
      </w:tr>
      <w:tr w14:paraId="623B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14:paraId="64EC74E2">
            <w:pPr>
              <w:pStyle w:val="122"/>
              <w:spacing w:line="360" w:lineRule="auto"/>
              <w:rPr>
                <w:bCs w:val="0"/>
                <w:color w:val="auto"/>
                <w:sz w:val="24"/>
                <w:szCs w:val="24"/>
                <w:highlight w:val="none"/>
                <w:lang w:val="en-US"/>
              </w:rPr>
            </w:pPr>
          </w:p>
        </w:tc>
        <w:tc>
          <w:tcPr>
            <w:tcW w:w="4427" w:type="dxa"/>
            <w:gridSpan w:val="5"/>
          </w:tcPr>
          <w:p w14:paraId="7F3CAAC4">
            <w:pPr>
              <w:pStyle w:val="122"/>
              <w:spacing w:line="360" w:lineRule="auto"/>
              <w:rPr>
                <w:bCs w:val="0"/>
                <w:color w:val="auto"/>
                <w:sz w:val="24"/>
                <w:szCs w:val="24"/>
                <w:highlight w:val="none"/>
                <w:lang w:val="en-US"/>
              </w:rPr>
            </w:pPr>
          </w:p>
        </w:tc>
        <w:tc>
          <w:tcPr>
            <w:tcW w:w="1772" w:type="dxa"/>
            <w:gridSpan w:val="2"/>
          </w:tcPr>
          <w:p w14:paraId="4133A860">
            <w:pPr>
              <w:pStyle w:val="122"/>
              <w:spacing w:line="360" w:lineRule="auto"/>
              <w:rPr>
                <w:bCs w:val="0"/>
                <w:color w:val="auto"/>
                <w:sz w:val="24"/>
                <w:szCs w:val="24"/>
                <w:highlight w:val="none"/>
                <w:lang w:val="en-US"/>
              </w:rPr>
            </w:pPr>
          </w:p>
        </w:tc>
        <w:tc>
          <w:tcPr>
            <w:tcW w:w="1772" w:type="dxa"/>
            <w:gridSpan w:val="2"/>
          </w:tcPr>
          <w:p w14:paraId="67DA3AF3">
            <w:pPr>
              <w:pStyle w:val="122"/>
              <w:spacing w:line="360" w:lineRule="auto"/>
              <w:rPr>
                <w:bCs w:val="0"/>
                <w:color w:val="auto"/>
                <w:sz w:val="24"/>
                <w:szCs w:val="24"/>
                <w:highlight w:val="none"/>
                <w:lang w:val="en-US"/>
              </w:rPr>
            </w:pPr>
          </w:p>
        </w:tc>
      </w:tr>
      <w:tr w14:paraId="455C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2CF90DE0">
            <w:pPr>
              <w:pStyle w:val="122"/>
              <w:spacing w:line="360" w:lineRule="auto"/>
              <w:rPr>
                <w:bCs w:val="0"/>
                <w:color w:val="auto"/>
                <w:sz w:val="24"/>
                <w:szCs w:val="24"/>
                <w:highlight w:val="none"/>
                <w:lang w:val="en-US"/>
              </w:rPr>
            </w:pPr>
            <w:r>
              <w:rPr>
                <w:bCs w:val="0"/>
                <w:color w:val="auto"/>
                <w:sz w:val="24"/>
                <w:szCs w:val="24"/>
                <w:highlight w:val="none"/>
                <w:lang w:val="en-US"/>
              </w:rPr>
              <w:t>3.</w:t>
            </w:r>
            <w:r>
              <w:rPr>
                <w:rFonts w:hint="eastAsia"/>
                <w:bCs w:val="0"/>
                <w:color w:val="auto"/>
                <w:sz w:val="24"/>
                <w:szCs w:val="24"/>
                <w:highlight w:val="none"/>
                <w:lang w:val="en-US"/>
              </w:rPr>
              <w:t>获奖情况</w:t>
            </w:r>
          </w:p>
        </w:tc>
      </w:tr>
      <w:tr w14:paraId="1F81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56" w:type="dxa"/>
            <w:gridSpan w:val="10"/>
          </w:tcPr>
          <w:p w14:paraId="788B6C1B">
            <w:pPr>
              <w:pStyle w:val="122"/>
              <w:spacing w:line="360" w:lineRule="auto"/>
              <w:rPr>
                <w:bCs w:val="0"/>
                <w:color w:val="auto"/>
                <w:sz w:val="24"/>
                <w:szCs w:val="24"/>
                <w:highlight w:val="none"/>
                <w:lang w:val="en-US"/>
              </w:rPr>
            </w:pPr>
          </w:p>
        </w:tc>
      </w:tr>
      <w:tr w14:paraId="2635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4C566E12">
            <w:pPr>
              <w:pStyle w:val="122"/>
              <w:spacing w:line="360" w:lineRule="auto"/>
              <w:rPr>
                <w:bCs w:val="0"/>
                <w:color w:val="auto"/>
                <w:sz w:val="24"/>
                <w:szCs w:val="24"/>
                <w:highlight w:val="none"/>
                <w:lang w:val="en-US"/>
              </w:rPr>
            </w:pPr>
            <w:r>
              <w:rPr>
                <w:bCs w:val="0"/>
                <w:color w:val="auto"/>
                <w:sz w:val="24"/>
                <w:szCs w:val="24"/>
                <w:highlight w:val="none"/>
                <w:lang w:val="en-US"/>
              </w:rPr>
              <w:t>4.</w:t>
            </w:r>
            <w:r>
              <w:rPr>
                <w:rFonts w:hint="eastAsia"/>
                <w:bCs w:val="0"/>
                <w:color w:val="auto"/>
                <w:sz w:val="24"/>
                <w:szCs w:val="24"/>
                <w:highlight w:val="none"/>
                <w:lang w:val="en-US"/>
              </w:rPr>
              <w:t>目前负责的项目</w:t>
            </w:r>
          </w:p>
        </w:tc>
      </w:tr>
      <w:tr w14:paraId="6A9D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856" w:type="dxa"/>
            <w:gridSpan w:val="10"/>
          </w:tcPr>
          <w:p w14:paraId="3F840FEF">
            <w:pPr>
              <w:pStyle w:val="122"/>
              <w:spacing w:line="360" w:lineRule="auto"/>
              <w:rPr>
                <w:bCs w:val="0"/>
                <w:color w:val="auto"/>
                <w:sz w:val="24"/>
                <w:szCs w:val="24"/>
                <w:highlight w:val="none"/>
                <w:lang w:val="en-US"/>
              </w:rPr>
            </w:pPr>
          </w:p>
        </w:tc>
      </w:tr>
    </w:tbl>
    <w:p w14:paraId="06F69340">
      <w:pPr>
        <w:pStyle w:val="3"/>
        <w:spacing w:line="380" w:lineRule="exact"/>
        <w:rPr>
          <w:rFonts w:ascii="宋体"/>
          <w:b w:val="0"/>
          <w:color w:val="auto"/>
          <w:sz w:val="24"/>
          <w:szCs w:val="24"/>
          <w:highlight w:val="none"/>
        </w:rPr>
      </w:pPr>
    </w:p>
    <w:p w14:paraId="77CAAC19">
      <w:pPr>
        <w:jc w:val="center"/>
        <w:rPr>
          <w:rFonts w:ascii="宋体" w:hAnsi="宋体"/>
          <w:b/>
          <w:color w:val="auto"/>
          <w:sz w:val="24"/>
          <w:szCs w:val="24"/>
          <w:highlight w:val="none"/>
        </w:rPr>
      </w:pPr>
    </w:p>
    <w:p w14:paraId="354888AB">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14:paraId="4B38BFB5">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08E982F8">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14:paraId="6E106CF4">
      <w:pPr>
        <w:widowControl/>
        <w:jc w:val="center"/>
        <w:rPr>
          <w:rFonts w:ascii="宋体" w:hAnsi="宋体"/>
          <w:b/>
          <w:color w:val="auto"/>
          <w:sz w:val="24"/>
          <w:szCs w:val="24"/>
          <w:highlight w:val="none"/>
        </w:rPr>
      </w:pPr>
      <w:r>
        <w:rPr>
          <w:rFonts w:ascii="宋体" w:hAnsi="宋体"/>
          <w:b/>
          <w:color w:val="auto"/>
          <w:sz w:val="24"/>
          <w:szCs w:val="24"/>
          <w:highlight w:val="none"/>
        </w:rPr>
        <w:br w:type="page"/>
      </w:r>
    </w:p>
    <w:p w14:paraId="42F22C77">
      <w:pPr>
        <w:jc w:val="center"/>
        <w:rPr>
          <w:rFonts w:ascii="宋体" w:hAnsi="宋体"/>
          <w:b/>
          <w:color w:val="auto"/>
          <w:sz w:val="24"/>
          <w:szCs w:val="24"/>
          <w:highlight w:val="none"/>
        </w:rPr>
      </w:pPr>
    </w:p>
    <w:p w14:paraId="0A5078F1">
      <w:pPr>
        <w:widowControl/>
        <w:jc w:val="center"/>
        <w:rPr>
          <w:bCs/>
          <w:color w:val="auto"/>
          <w:sz w:val="24"/>
          <w:szCs w:val="24"/>
          <w:highlight w:val="none"/>
        </w:rPr>
      </w:pPr>
      <w:r>
        <w:rPr>
          <w:rFonts w:hint="eastAsia" w:ascii="宋体" w:hAnsi="宋体"/>
          <w:b/>
          <w:color w:val="auto"/>
          <w:sz w:val="24"/>
          <w:szCs w:val="24"/>
          <w:highlight w:val="none"/>
        </w:rPr>
        <w:t>2.2拟委任的其他团队成员汇总表</w:t>
      </w:r>
    </w:p>
    <w:p w14:paraId="60B257B0">
      <w:pPr>
        <w:widowControl/>
        <w:jc w:val="center"/>
        <w:rPr>
          <w:bCs/>
          <w:color w:val="auto"/>
          <w:sz w:val="24"/>
          <w:szCs w:val="24"/>
          <w:highlight w:val="none"/>
        </w:rPr>
      </w:pPr>
    </w:p>
    <w:tbl>
      <w:tblPr>
        <w:tblStyle w:val="3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3D5A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9E8F3A0">
            <w:pPr>
              <w:pStyle w:val="122"/>
              <w:spacing w:line="360" w:lineRule="auto"/>
              <w:rPr>
                <w:color w:val="auto"/>
                <w:sz w:val="24"/>
                <w:szCs w:val="24"/>
                <w:highlight w:val="none"/>
                <w:lang w:val="en-US"/>
              </w:rPr>
            </w:pPr>
            <w:r>
              <w:rPr>
                <w:rFonts w:hint="eastAsia"/>
                <w:color w:val="auto"/>
                <w:sz w:val="24"/>
                <w:szCs w:val="24"/>
                <w:highlight w:val="none"/>
                <w:lang w:val="en-US"/>
              </w:rPr>
              <w:t>姓名</w:t>
            </w:r>
          </w:p>
        </w:tc>
        <w:tc>
          <w:tcPr>
            <w:tcW w:w="997" w:type="dxa"/>
          </w:tcPr>
          <w:p w14:paraId="63EEA50D">
            <w:pPr>
              <w:pStyle w:val="122"/>
              <w:spacing w:line="360" w:lineRule="auto"/>
              <w:rPr>
                <w:color w:val="auto"/>
                <w:sz w:val="24"/>
                <w:szCs w:val="24"/>
                <w:highlight w:val="none"/>
                <w:lang w:val="en-US"/>
              </w:rPr>
            </w:pPr>
            <w:r>
              <w:rPr>
                <w:rFonts w:hint="eastAsia"/>
                <w:color w:val="auto"/>
                <w:sz w:val="24"/>
                <w:szCs w:val="24"/>
                <w:highlight w:val="none"/>
                <w:lang w:val="en-US"/>
              </w:rPr>
              <w:t>年龄</w:t>
            </w:r>
          </w:p>
        </w:tc>
        <w:tc>
          <w:tcPr>
            <w:tcW w:w="1545" w:type="dxa"/>
          </w:tcPr>
          <w:p w14:paraId="49F6DAAD">
            <w:pPr>
              <w:pStyle w:val="122"/>
              <w:spacing w:line="360" w:lineRule="auto"/>
              <w:rPr>
                <w:color w:val="auto"/>
                <w:sz w:val="24"/>
                <w:szCs w:val="24"/>
                <w:highlight w:val="none"/>
                <w:lang w:val="en-US"/>
              </w:rPr>
            </w:pPr>
            <w:r>
              <w:rPr>
                <w:rFonts w:hint="eastAsia"/>
                <w:color w:val="auto"/>
                <w:sz w:val="24"/>
                <w:szCs w:val="24"/>
                <w:highlight w:val="none"/>
                <w:lang w:val="en-US"/>
              </w:rPr>
              <w:t>拟在本项目中担任的职务</w:t>
            </w:r>
          </w:p>
        </w:tc>
        <w:tc>
          <w:tcPr>
            <w:tcW w:w="831" w:type="dxa"/>
          </w:tcPr>
          <w:p w14:paraId="1395C06D">
            <w:pPr>
              <w:pStyle w:val="122"/>
              <w:spacing w:line="360" w:lineRule="auto"/>
              <w:rPr>
                <w:color w:val="auto"/>
                <w:sz w:val="24"/>
                <w:szCs w:val="24"/>
                <w:highlight w:val="none"/>
                <w:lang w:val="en-US"/>
              </w:rPr>
            </w:pPr>
            <w:r>
              <w:rPr>
                <w:rFonts w:hint="eastAsia"/>
                <w:color w:val="auto"/>
                <w:sz w:val="24"/>
                <w:szCs w:val="24"/>
                <w:highlight w:val="none"/>
                <w:lang w:val="en-US"/>
              </w:rPr>
              <w:t>职称</w:t>
            </w:r>
          </w:p>
        </w:tc>
        <w:tc>
          <w:tcPr>
            <w:tcW w:w="1270" w:type="dxa"/>
          </w:tcPr>
          <w:p w14:paraId="6DAAF6FE">
            <w:pPr>
              <w:pStyle w:val="122"/>
              <w:spacing w:line="360" w:lineRule="auto"/>
              <w:rPr>
                <w:color w:val="auto"/>
                <w:sz w:val="24"/>
                <w:szCs w:val="24"/>
                <w:highlight w:val="none"/>
                <w:lang w:val="en-US"/>
              </w:rPr>
            </w:pPr>
            <w:r>
              <w:rPr>
                <w:rFonts w:hint="eastAsia"/>
                <w:color w:val="auto"/>
                <w:sz w:val="24"/>
                <w:szCs w:val="24"/>
                <w:highlight w:val="none"/>
                <w:lang w:val="en-US"/>
              </w:rPr>
              <w:t>执业资格</w:t>
            </w:r>
          </w:p>
        </w:tc>
        <w:tc>
          <w:tcPr>
            <w:tcW w:w="955" w:type="dxa"/>
          </w:tcPr>
          <w:p w14:paraId="6BC5F3EC">
            <w:pPr>
              <w:pStyle w:val="122"/>
              <w:spacing w:line="360" w:lineRule="auto"/>
              <w:rPr>
                <w:color w:val="auto"/>
                <w:sz w:val="24"/>
                <w:szCs w:val="24"/>
                <w:highlight w:val="none"/>
                <w:lang w:val="en-US"/>
              </w:rPr>
            </w:pPr>
            <w:r>
              <w:rPr>
                <w:rFonts w:hint="eastAsia"/>
                <w:color w:val="auto"/>
                <w:sz w:val="24"/>
                <w:szCs w:val="24"/>
                <w:highlight w:val="none"/>
                <w:lang w:val="en-US"/>
              </w:rPr>
              <w:t>工作年限</w:t>
            </w:r>
          </w:p>
        </w:tc>
        <w:tc>
          <w:tcPr>
            <w:tcW w:w="1731" w:type="dxa"/>
          </w:tcPr>
          <w:p w14:paraId="11AB7FF5">
            <w:pPr>
              <w:pStyle w:val="122"/>
              <w:spacing w:line="360" w:lineRule="auto"/>
              <w:rPr>
                <w:rFonts w:hint="eastAsia" w:eastAsia="宋体"/>
                <w:color w:val="auto"/>
                <w:sz w:val="24"/>
                <w:szCs w:val="24"/>
                <w:highlight w:val="none"/>
                <w:lang w:val="en-US" w:eastAsia="zh-CN"/>
              </w:rPr>
            </w:pPr>
            <w:r>
              <w:rPr>
                <w:rFonts w:hint="eastAsia"/>
                <w:color w:val="auto"/>
                <w:sz w:val="24"/>
                <w:szCs w:val="24"/>
                <w:highlight w:val="none"/>
                <w:lang w:val="en-US"/>
              </w:rPr>
              <w:t>类似项目经验</w:t>
            </w:r>
            <w:r>
              <w:rPr>
                <w:rFonts w:hint="eastAsia"/>
                <w:color w:val="auto"/>
                <w:sz w:val="24"/>
                <w:szCs w:val="24"/>
                <w:highlight w:val="none"/>
                <w:lang w:val="en-US" w:eastAsia="zh-CN"/>
              </w:rPr>
              <w:t xml:space="preserve"> </w:t>
            </w:r>
          </w:p>
        </w:tc>
      </w:tr>
      <w:tr w14:paraId="6EC6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78F772D">
            <w:pPr>
              <w:pStyle w:val="122"/>
              <w:spacing w:line="360" w:lineRule="auto"/>
              <w:rPr>
                <w:color w:val="auto"/>
                <w:sz w:val="24"/>
                <w:szCs w:val="24"/>
                <w:highlight w:val="none"/>
                <w:lang w:val="en-US"/>
              </w:rPr>
            </w:pPr>
          </w:p>
        </w:tc>
        <w:tc>
          <w:tcPr>
            <w:tcW w:w="997" w:type="dxa"/>
          </w:tcPr>
          <w:p w14:paraId="016CCF13">
            <w:pPr>
              <w:pStyle w:val="122"/>
              <w:spacing w:line="360" w:lineRule="auto"/>
              <w:rPr>
                <w:color w:val="auto"/>
                <w:sz w:val="24"/>
                <w:szCs w:val="24"/>
                <w:highlight w:val="none"/>
                <w:lang w:val="en-US"/>
              </w:rPr>
            </w:pPr>
          </w:p>
        </w:tc>
        <w:tc>
          <w:tcPr>
            <w:tcW w:w="1545" w:type="dxa"/>
          </w:tcPr>
          <w:p w14:paraId="1CFB3129">
            <w:pPr>
              <w:pStyle w:val="122"/>
              <w:spacing w:line="360" w:lineRule="auto"/>
              <w:rPr>
                <w:color w:val="auto"/>
                <w:sz w:val="24"/>
                <w:szCs w:val="24"/>
                <w:highlight w:val="none"/>
                <w:lang w:val="en-US"/>
              </w:rPr>
            </w:pPr>
          </w:p>
        </w:tc>
        <w:tc>
          <w:tcPr>
            <w:tcW w:w="831" w:type="dxa"/>
          </w:tcPr>
          <w:p w14:paraId="3DFE38C0">
            <w:pPr>
              <w:pStyle w:val="122"/>
              <w:spacing w:line="360" w:lineRule="auto"/>
              <w:rPr>
                <w:color w:val="auto"/>
                <w:sz w:val="24"/>
                <w:szCs w:val="24"/>
                <w:highlight w:val="none"/>
                <w:lang w:val="en-US"/>
              </w:rPr>
            </w:pPr>
          </w:p>
        </w:tc>
        <w:tc>
          <w:tcPr>
            <w:tcW w:w="1270" w:type="dxa"/>
          </w:tcPr>
          <w:p w14:paraId="5738B28C">
            <w:pPr>
              <w:pStyle w:val="122"/>
              <w:spacing w:line="360" w:lineRule="auto"/>
              <w:rPr>
                <w:color w:val="auto"/>
                <w:sz w:val="24"/>
                <w:szCs w:val="24"/>
                <w:highlight w:val="none"/>
                <w:lang w:val="en-US"/>
              </w:rPr>
            </w:pPr>
          </w:p>
        </w:tc>
        <w:tc>
          <w:tcPr>
            <w:tcW w:w="955" w:type="dxa"/>
          </w:tcPr>
          <w:p w14:paraId="54ACDC1A">
            <w:pPr>
              <w:pStyle w:val="122"/>
              <w:spacing w:line="360" w:lineRule="auto"/>
              <w:rPr>
                <w:color w:val="auto"/>
                <w:sz w:val="24"/>
                <w:szCs w:val="24"/>
                <w:highlight w:val="none"/>
                <w:lang w:val="en-US"/>
              </w:rPr>
            </w:pPr>
          </w:p>
        </w:tc>
        <w:tc>
          <w:tcPr>
            <w:tcW w:w="1731" w:type="dxa"/>
          </w:tcPr>
          <w:p w14:paraId="751B7FC9">
            <w:pPr>
              <w:pStyle w:val="122"/>
              <w:spacing w:line="360" w:lineRule="auto"/>
              <w:rPr>
                <w:color w:val="auto"/>
                <w:sz w:val="24"/>
                <w:szCs w:val="24"/>
                <w:highlight w:val="none"/>
                <w:lang w:val="en-US"/>
              </w:rPr>
            </w:pPr>
          </w:p>
        </w:tc>
      </w:tr>
      <w:tr w14:paraId="1075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ADE0EA4">
            <w:pPr>
              <w:pStyle w:val="122"/>
              <w:spacing w:line="360" w:lineRule="auto"/>
              <w:rPr>
                <w:color w:val="auto"/>
                <w:sz w:val="24"/>
                <w:szCs w:val="24"/>
                <w:highlight w:val="none"/>
                <w:lang w:val="en-US"/>
              </w:rPr>
            </w:pPr>
          </w:p>
        </w:tc>
        <w:tc>
          <w:tcPr>
            <w:tcW w:w="997" w:type="dxa"/>
          </w:tcPr>
          <w:p w14:paraId="135474F0">
            <w:pPr>
              <w:pStyle w:val="122"/>
              <w:spacing w:line="360" w:lineRule="auto"/>
              <w:rPr>
                <w:color w:val="auto"/>
                <w:sz w:val="24"/>
                <w:szCs w:val="24"/>
                <w:highlight w:val="none"/>
                <w:lang w:val="en-US"/>
              </w:rPr>
            </w:pPr>
          </w:p>
        </w:tc>
        <w:tc>
          <w:tcPr>
            <w:tcW w:w="1545" w:type="dxa"/>
          </w:tcPr>
          <w:p w14:paraId="4C038DA5">
            <w:pPr>
              <w:pStyle w:val="122"/>
              <w:spacing w:line="360" w:lineRule="auto"/>
              <w:rPr>
                <w:color w:val="auto"/>
                <w:sz w:val="24"/>
                <w:szCs w:val="24"/>
                <w:highlight w:val="none"/>
                <w:lang w:val="en-US"/>
              </w:rPr>
            </w:pPr>
          </w:p>
        </w:tc>
        <w:tc>
          <w:tcPr>
            <w:tcW w:w="831" w:type="dxa"/>
          </w:tcPr>
          <w:p w14:paraId="4CC21A1D">
            <w:pPr>
              <w:pStyle w:val="122"/>
              <w:spacing w:line="360" w:lineRule="auto"/>
              <w:rPr>
                <w:color w:val="auto"/>
                <w:sz w:val="24"/>
                <w:szCs w:val="24"/>
                <w:highlight w:val="none"/>
                <w:lang w:val="en-US"/>
              </w:rPr>
            </w:pPr>
          </w:p>
        </w:tc>
        <w:tc>
          <w:tcPr>
            <w:tcW w:w="1270" w:type="dxa"/>
          </w:tcPr>
          <w:p w14:paraId="6D05F0FD">
            <w:pPr>
              <w:pStyle w:val="122"/>
              <w:spacing w:line="360" w:lineRule="auto"/>
              <w:rPr>
                <w:color w:val="auto"/>
                <w:sz w:val="24"/>
                <w:szCs w:val="24"/>
                <w:highlight w:val="none"/>
                <w:lang w:val="en-US"/>
              </w:rPr>
            </w:pPr>
          </w:p>
        </w:tc>
        <w:tc>
          <w:tcPr>
            <w:tcW w:w="955" w:type="dxa"/>
          </w:tcPr>
          <w:p w14:paraId="2194B720">
            <w:pPr>
              <w:pStyle w:val="122"/>
              <w:spacing w:line="360" w:lineRule="auto"/>
              <w:rPr>
                <w:color w:val="auto"/>
                <w:sz w:val="24"/>
                <w:szCs w:val="24"/>
                <w:highlight w:val="none"/>
                <w:lang w:val="en-US"/>
              </w:rPr>
            </w:pPr>
          </w:p>
        </w:tc>
        <w:tc>
          <w:tcPr>
            <w:tcW w:w="1731" w:type="dxa"/>
          </w:tcPr>
          <w:p w14:paraId="1E2B7A73">
            <w:pPr>
              <w:pStyle w:val="122"/>
              <w:spacing w:line="360" w:lineRule="auto"/>
              <w:rPr>
                <w:color w:val="auto"/>
                <w:sz w:val="24"/>
                <w:szCs w:val="24"/>
                <w:highlight w:val="none"/>
                <w:lang w:val="en-US"/>
              </w:rPr>
            </w:pPr>
          </w:p>
        </w:tc>
      </w:tr>
      <w:tr w14:paraId="5E31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904B9F8">
            <w:pPr>
              <w:pStyle w:val="122"/>
              <w:spacing w:line="360" w:lineRule="auto"/>
              <w:rPr>
                <w:color w:val="auto"/>
                <w:sz w:val="24"/>
                <w:szCs w:val="24"/>
                <w:highlight w:val="none"/>
                <w:lang w:val="en-US"/>
              </w:rPr>
            </w:pPr>
          </w:p>
        </w:tc>
        <w:tc>
          <w:tcPr>
            <w:tcW w:w="997" w:type="dxa"/>
          </w:tcPr>
          <w:p w14:paraId="3C188D03">
            <w:pPr>
              <w:pStyle w:val="122"/>
              <w:spacing w:line="360" w:lineRule="auto"/>
              <w:rPr>
                <w:color w:val="auto"/>
                <w:sz w:val="24"/>
                <w:szCs w:val="24"/>
                <w:highlight w:val="none"/>
                <w:lang w:val="en-US"/>
              </w:rPr>
            </w:pPr>
          </w:p>
        </w:tc>
        <w:tc>
          <w:tcPr>
            <w:tcW w:w="1545" w:type="dxa"/>
          </w:tcPr>
          <w:p w14:paraId="638813D8">
            <w:pPr>
              <w:pStyle w:val="122"/>
              <w:spacing w:line="360" w:lineRule="auto"/>
              <w:rPr>
                <w:color w:val="auto"/>
                <w:sz w:val="24"/>
                <w:szCs w:val="24"/>
                <w:highlight w:val="none"/>
                <w:lang w:val="en-US"/>
              </w:rPr>
            </w:pPr>
          </w:p>
        </w:tc>
        <w:tc>
          <w:tcPr>
            <w:tcW w:w="831" w:type="dxa"/>
          </w:tcPr>
          <w:p w14:paraId="7A35FD59">
            <w:pPr>
              <w:pStyle w:val="122"/>
              <w:spacing w:line="360" w:lineRule="auto"/>
              <w:rPr>
                <w:color w:val="auto"/>
                <w:sz w:val="24"/>
                <w:szCs w:val="24"/>
                <w:highlight w:val="none"/>
                <w:lang w:val="en-US"/>
              </w:rPr>
            </w:pPr>
          </w:p>
        </w:tc>
        <w:tc>
          <w:tcPr>
            <w:tcW w:w="1270" w:type="dxa"/>
          </w:tcPr>
          <w:p w14:paraId="3A513718">
            <w:pPr>
              <w:pStyle w:val="122"/>
              <w:spacing w:line="360" w:lineRule="auto"/>
              <w:rPr>
                <w:color w:val="auto"/>
                <w:sz w:val="24"/>
                <w:szCs w:val="24"/>
                <w:highlight w:val="none"/>
                <w:lang w:val="en-US"/>
              </w:rPr>
            </w:pPr>
          </w:p>
        </w:tc>
        <w:tc>
          <w:tcPr>
            <w:tcW w:w="955" w:type="dxa"/>
          </w:tcPr>
          <w:p w14:paraId="1CBEEF42">
            <w:pPr>
              <w:pStyle w:val="122"/>
              <w:spacing w:line="360" w:lineRule="auto"/>
              <w:rPr>
                <w:color w:val="auto"/>
                <w:sz w:val="24"/>
                <w:szCs w:val="24"/>
                <w:highlight w:val="none"/>
                <w:lang w:val="en-US"/>
              </w:rPr>
            </w:pPr>
          </w:p>
        </w:tc>
        <w:tc>
          <w:tcPr>
            <w:tcW w:w="1731" w:type="dxa"/>
          </w:tcPr>
          <w:p w14:paraId="361410E0">
            <w:pPr>
              <w:pStyle w:val="122"/>
              <w:spacing w:line="360" w:lineRule="auto"/>
              <w:rPr>
                <w:color w:val="auto"/>
                <w:sz w:val="24"/>
                <w:szCs w:val="24"/>
                <w:highlight w:val="none"/>
                <w:lang w:val="en-US"/>
              </w:rPr>
            </w:pPr>
          </w:p>
        </w:tc>
      </w:tr>
      <w:tr w14:paraId="6001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FAB8FDD">
            <w:pPr>
              <w:pStyle w:val="122"/>
              <w:spacing w:line="360" w:lineRule="auto"/>
              <w:rPr>
                <w:color w:val="auto"/>
                <w:sz w:val="24"/>
                <w:szCs w:val="24"/>
                <w:highlight w:val="none"/>
                <w:lang w:val="en-US"/>
              </w:rPr>
            </w:pPr>
          </w:p>
        </w:tc>
        <w:tc>
          <w:tcPr>
            <w:tcW w:w="997" w:type="dxa"/>
          </w:tcPr>
          <w:p w14:paraId="499AF84D">
            <w:pPr>
              <w:pStyle w:val="122"/>
              <w:spacing w:line="360" w:lineRule="auto"/>
              <w:rPr>
                <w:color w:val="auto"/>
                <w:sz w:val="24"/>
                <w:szCs w:val="24"/>
                <w:highlight w:val="none"/>
                <w:lang w:val="en-US"/>
              </w:rPr>
            </w:pPr>
          </w:p>
        </w:tc>
        <w:tc>
          <w:tcPr>
            <w:tcW w:w="1545" w:type="dxa"/>
          </w:tcPr>
          <w:p w14:paraId="7B06433A">
            <w:pPr>
              <w:pStyle w:val="122"/>
              <w:spacing w:line="360" w:lineRule="auto"/>
              <w:rPr>
                <w:color w:val="auto"/>
                <w:sz w:val="24"/>
                <w:szCs w:val="24"/>
                <w:highlight w:val="none"/>
                <w:lang w:val="en-US"/>
              </w:rPr>
            </w:pPr>
          </w:p>
        </w:tc>
        <w:tc>
          <w:tcPr>
            <w:tcW w:w="831" w:type="dxa"/>
          </w:tcPr>
          <w:p w14:paraId="453CD4DB">
            <w:pPr>
              <w:pStyle w:val="122"/>
              <w:spacing w:line="360" w:lineRule="auto"/>
              <w:rPr>
                <w:color w:val="auto"/>
                <w:sz w:val="24"/>
                <w:szCs w:val="24"/>
                <w:highlight w:val="none"/>
                <w:lang w:val="en-US"/>
              </w:rPr>
            </w:pPr>
          </w:p>
        </w:tc>
        <w:tc>
          <w:tcPr>
            <w:tcW w:w="1270" w:type="dxa"/>
          </w:tcPr>
          <w:p w14:paraId="08C6F638">
            <w:pPr>
              <w:pStyle w:val="122"/>
              <w:spacing w:line="360" w:lineRule="auto"/>
              <w:rPr>
                <w:color w:val="auto"/>
                <w:sz w:val="24"/>
                <w:szCs w:val="24"/>
                <w:highlight w:val="none"/>
                <w:lang w:val="en-US"/>
              </w:rPr>
            </w:pPr>
          </w:p>
        </w:tc>
        <w:tc>
          <w:tcPr>
            <w:tcW w:w="955" w:type="dxa"/>
          </w:tcPr>
          <w:p w14:paraId="65BE5A4A">
            <w:pPr>
              <w:pStyle w:val="122"/>
              <w:spacing w:line="360" w:lineRule="auto"/>
              <w:rPr>
                <w:color w:val="auto"/>
                <w:sz w:val="24"/>
                <w:szCs w:val="24"/>
                <w:highlight w:val="none"/>
                <w:lang w:val="en-US"/>
              </w:rPr>
            </w:pPr>
          </w:p>
        </w:tc>
        <w:tc>
          <w:tcPr>
            <w:tcW w:w="1731" w:type="dxa"/>
          </w:tcPr>
          <w:p w14:paraId="6CC6FB95">
            <w:pPr>
              <w:pStyle w:val="122"/>
              <w:spacing w:line="360" w:lineRule="auto"/>
              <w:rPr>
                <w:color w:val="auto"/>
                <w:sz w:val="24"/>
                <w:szCs w:val="24"/>
                <w:highlight w:val="none"/>
                <w:lang w:val="en-US"/>
              </w:rPr>
            </w:pPr>
          </w:p>
        </w:tc>
      </w:tr>
      <w:tr w14:paraId="68EA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E752AB1">
            <w:pPr>
              <w:pStyle w:val="122"/>
              <w:spacing w:line="360" w:lineRule="auto"/>
              <w:rPr>
                <w:color w:val="auto"/>
                <w:sz w:val="24"/>
                <w:szCs w:val="24"/>
                <w:highlight w:val="none"/>
                <w:lang w:val="en-US"/>
              </w:rPr>
            </w:pPr>
          </w:p>
        </w:tc>
        <w:tc>
          <w:tcPr>
            <w:tcW w:w="997" w:type="dxa"/>
          </w:tcPr>
          <w:p w14:paraId="374CA9BE">
            <w:pPr>
              <w:pStyle w:val="122"/>
              <w:spacing w:line="360" w:lineRule="auto"/>
              <w:rPr>
                <w:color w:val="auto"/>
                <w:sz w:val="24"/>
                <w:szCs w:val="24"/>
                <w:highlight w:val="none"/>
                <w:lang w:val="en-US"/>
              </w:rPr>
            </w:pPr>
          </w:p>
        </w:tc>
        <w:tc>
          <w:tcPr>
            <w:tcW w:w="1545" w:type="dxa"/>
          </w:tcPr>
          <w:p w14:paraId="6A18E1AF">
            <w:pPr>
              <w:pStyle w:val="122"/>
              <w:spacing w:line="360" w:lineRule="auto"/>
              <w:rPr>
                <w:color w:val="auto"/>
                <w:sz w:val="24"/>
                <w:szCs w:val="24"/>
                <w:highlight w:val="none"/>
                <w:lang w:val="en-US"/>
              </w:rPr>
            </w:pPr>
          </w:p>
        </w:tc>
        <w:tc>
          <w:tcPr>
            <w:tcW w:w="831" w:type="dxa"/>
          </w:tcPr>
          <w:p w14:paraId="4B110D91">
            <w:pPr>
              <w:pStyle w:val="122"/>
              <w:spacing w:line="360" w:lineRule="auto"/>
              <w:rPr>
                <w:color w:val="auto"/>
                <w:sz w:val="24"/>
                <w:szCs w:val="24"/>
                <w:highlight w:val="none"/>
                <w:lang w:val="en-US"/>
              </w:rPr>
            </w:pPr>
          </w:p>
        </w:tc>
        <w:tc>
          <w:tcPr>
            <w:tcW w:w="1270" w:type="dxa"/>
          </w:tcPr>
          <w:p w14:paraId="687C2AB3">
            <w:pPr>
              <w:pStyle w:val="122"/>
              <w:spacing w:line="360" w:lineRule="auto"/>
              <w:rPr>
                <w:color w:val="auto"/>
                <w:sz w:val="24"/>
                <w:szCs w:val="24"/>
                <w:highlight w:val="none"/>
                <w:lang w:val="en-US"/>
              </w:rPr>
            </w:pPr>
          </w:p>
        </w:tc>
        <w:tc>
          <w:tcPr>
            <w:tcW w:w="955" w:type="dxa"/>
          </w:tcPr>
          <w:p w14:paraId="73D2AEB6">
            <w:pPr>
              <w:pStyle w:val="122"/>
              <w:spacing w:line="360" w:lineRule="auto"/>
              <w:rPr>
                <w:color w:val="auto"/>
                <w:sz w:val="24"/>
                <w:szCs w:val="24"/>
                <w:highlight w:val="none"/>
                <w:lang w:val="en-US"/>
              </w:rPr>
            </w:pPr>
          </w:p>
        </w:tc>
        <w:tc>
          <w:tcPr>
            <w:tcW w:w="1731" w:type="dxa"/>
          </w:tcPr>
          <w:p w14:paraId="61FF9D81">
            <w:pPr>
              <w:pStyle w:val="122"/>
              <w:spacing w:line="360" w:lineRule="auto"/>
              <w:rPr>
                <w:color w:val="auto"/>
                <w:sz w:val="24"/>
                <w:szCs w:val="24"/>
                <w:highlight w:val="none"/>
                <w:lang w:val="en-US"/>
              </w:rPr>
            </w:pPr>
          </w:p>
        </w:tc>
      </w:tr>
      <w:tr w14:paraId="74BF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8F5E8E8">
            <w:pPr>
              <w:pStyle w:val="122"/>
              <w:spacing w:line="360" w:lineRule="auto"/>
              <w:rPr>
                <w:color w:val="auto"/>
                <w:sz w:val="24"/>
                <w:szCs w:val="24"/>
                <w:highlight w:val="none"/>
                <w:lang w:val="en-US"/>
              </w:rPr>
            </w:pPr>
          </w:p>
        </w:tc>
        <w:tc>
          <w:tcPr>
            <w:tcW w:w="997" w:type="dxa"/>
          </w:tcPr>
          <w:p w14:paraId="1A6C9625">
            <w:pPr>
              <w:pStyle w:val="122"/>
              <w:spacing w:line="360" w:lineRule="auto"/>
              <w:rPr>
                <w:color w:val="auto"/>
                <w:sz w:val="24"/>
                <w:szCs w:val="24"/>
                <w:highlight w:val="none"/>
                <w:lang w:val="en-US"/>
              </w:rPr>
            </w:pPr>
          </w:p>
        </w:tc>
        <w:tc>
          <w:tcPr>
            <w:tcW w:w="1545" w:type="dxa"/>
          </w:tcPr>
          <w:p w14:paraId="5B509850">
            <w:pPr>
              <w:pStyle w:val="122"/>
              <w:spacing w:line="360" w:lineRule="auto"/>
              <w:rPr>
                <w:color w:val="auto"/>
                <w:sz w:val="24"/>
                <w:szCs w:val="24"/>
                <w:highlight w:val="none"/>
                <w:lang w:val="en-US"/>
              </w:rPr>
            </w:pPr>
          </w:p>
        </w:tc>
        <w:tc>
          <w:tcPr>
            <w:tcW w:w="831" w:type="dxa"/>
          </w:tcPr>
          <w:p w14:paraId="146D68FD">
            <w:pPr>
              <w:pStyle w:val="122"/>
              <w:spacing w:line="360" w:lineRule="auto"/>
              <w:rPr>
                <w:color w:val="auto"/>
                <w:sz w:val="24"/>
                <w:szCs w:val="24"/>
                <w:highlight w:val="none"/>
                <w:lang w:val="en-US"/>
              </w:rPr>
            </w:pPr>
          </w:p>
        </w:tc>
        <w:tc>
          <w:tcPr>
            <w:tcW w:w="1270" w:type="dxa"/>
          </w:tcPr>
          <w:p w14:paraId="046EF92F">
            <w:pPr>
              <w:pStyle w:val="122"/>
              <w:spacing w:line="360" w:lineRule="auto"/>
              <w:rPr>
                <w:color w:val="auto"/>
                <w:sz w:val="24"/>
                <w:szCs w:val="24"/>
                <w:highlight w:val="none"/>
                <w:lang w:val="en-US"/>
              </w:rPr>
            </w:pPr>
          </w:p>
        </w:tc>
        <w:tc>
          <w:tcPr>
            <w:tcW w:w="955" w:type="dxa"/>
          </w:tcPr>
          <w:p w14:paraId="4F2B184E">
            <w:pPr>
              <w:pStyle w:val="122"/>
              <w:spacing w:line="360" w:lineRule="auto"/>
              <w:rPr>
                <w:color w:val="auto"/>
                <w:sz w:val="24"/>
                <w:szCs w:val="24"/>
                <w:highlight w:val="none"/>
                <w:lang w:val="en-US"/>
              </w:rPr>
            </w:pPr>
          </w:p>
        </w:tc>
        <w:tc>
          <w:tcPr>
            <w:tcW w:w="1731" w:type="dxa"/>
          </w:tcPr>
          <w:p w14:paraId="60B9B604">
            <w:pPr>
              <w:pStyle w:val="122"/>
              <w:spacing w:line="360" w:lineRule="auto"/>
              <w:rPr>
                <w:color w:val="auto"/>
                <w:sz w:val="24"/>
                <w:szCs w:val="24"/>
                <w:highlight w:val="none"/>
                <w:lang w:val="en-US"/>
              </w:rPr>
            </w:pPr>
          </w:p>
        </w:tc>
      </w:tr>
      <w:tr w14:paraId="2939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71FDF7B">
            <w:pPr>
              <w:pStyle w:val="122"/>
              <w:spacing w:line="360" w:lineRule="auto"/>
              <w:rPr>
                <w:color w:val="auto"/>
                <w:sz w:val="24"/>
                <w:szCs w:val="24"/>
                <w:highlight w:val="none"/>
                <w:lang w:val="en-US"/>
              </w:rPr>
            </w:pPr>
          </w:p>
        </w:tc>
        <w:tc>
          <w:tcPr>
            <w:tcW w:w="997" w:type="dxa"/>
          </w:tcPr>
          <w:p w14:paraId="00FD3CD5">
            <w:pPr>
              <w:pStyle w:val="122"/>
              <w:spacing w:line="360" w:lineRule="auto"/>
              <w:rPr>
                <w:color w:val="auto"/>
                <w:sz w:val="24"/>
                <w:szCs w:val="24"/>
                <w:highlight w:val="none"/>
                <w:lang w:val="en-US"/>
              </w:rPr>
            </w:pPr>
          </w:p>
        </w:tc>
        <w:tc>
          <w:tcPr>
            <w:tcW w:w="1545" w:type="dxa"/>
          </w:tcPr>
          <w:p w14:paraId="1FFBA078">
            <w:pPr>
              <w:pStyle w:val="122"/>
              <w:spacing w:line="360" w:lineRule="auto"/>
              <w:rPr>
                <w:color w:val="auto"/>
                <w:sz w:val="24"/>
                <w:szCs w:val="24"/>
                <w:highlight w:val="none"/>
                <w:lang w:val="en-US"/>
              </w:rPr>
            </w:pPr>
          </w:p>
        </w:tc>
        <w:tc>
          <w:tcPr>
            <w:tcW w:w="831" w:type="dxa"/>
          </w:tcPr>
          <w:p w14:paraId="675D6405">
            <w:pPr>
              <w:pStyle w:val="122"/>
              <w:spacing w:line="360" w:lineRule="auto"/>
              <w:rPr>
                <w:color w:val="auto"/>
                <w:sz w:val="24"/>
                <w:szCs w:val="24"/>
                <w:highlight w:val="none"/>
                <w:lang w:val="en-US"/>
              </w:rPr>
            </w:pPr>
          </w:p>
        </w:tc>
        <w:tc>
          <w:tcPr>
            <w:tcW w:w="1270" w:type="dxa"/>
          </w:tcPr>
          <w:p w14:paraId="517D7F85">
            <w:pPr>
              <w:pStyle w:val="122"/>
              <w:spacing w:line="360" w:lineRule="auto"/>
              <w:rPr>
                <w:color w:val="auto"/>
                <w:sz w:val="24"/>
                <w:szCs w:val="24"/>
                <w:highlight w:val="none"/>
                <w:lang w:val="en-US"/>
              </w:rPr>
            </w:pPr>
          </w:p>
        </w:tc>
        <w:tc>
          <w:tcPr>
            <w:tcW w:w="955" w:type="dxa"/>
          </w:tcPr>
          <w:p w14:paraId="166729D6">
            <w:pPr>
              <w:pStyle w:val="122"/>
              <w:spacing w:line="360" w:lineRule="auto"/>
              <w:rPr>
                <w:color w:val="auto"/>
                <w:sz w:val="24"/>
                <w:szCs w:val="24"/>
                <w:highlight w:val="none"/>
                <w:lang w:val="en-US"/>
              </w:rPr>
            </w:pPr>
          </w:p>
        </w:tc>
        <w:tc>
          <w:tcPr>
            <w:tcW w:w="1731" w:type="dxa"/>
          </w:tcPr>
          <w:p w14:paraId="4584DFB3">
            <w:pPr>
              <w:pStyle w:val="122"/>
              <w:spacing w:line="360" w:lineRule="auto"/>
              <w:rPr>
                <w:color w:val="auto"/>
                <w:sz w:val="24"/>
                <w:szCs w:val="24"/>
                <w:highlight w:val="none"/>
                <w:lang w:val="en-US"/>
              </w:rPr>
            </w:pPr>
          </w:p>
        </w:tc>
      </w:tr>
      <w:tr w14:paraId="31DB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88496FD">
            <w:pPr>
              <w:pStyle w:val="122"/>
              <w:spacing w:line="360" w:lineRule="auto"/>
              <w:rPr>
                <w:color w:val="auto"/>
                <w:sz w:val="24"/>
                <w:szCs w:val="24"/>
                <w:highlight w:val="none"/>
                <w:lang w:val="en-US"/>
              </w:rPr>
            </w:pPr>
          </w:p>
        </w:tc>
        <w:tc>
          <w:tcPr>
            <w:tcW w:w="997" w:type="dxa"/>
          </w:tcPr>
          <w:p w14:paraId="7B9BB217">
            <w:pPr>
              <w:pStyle w:val="122"/>
              <w:spacing w:line="360" w:lineRule="auto"/>
              <w:rPr>
                <w:color w:val="auto"/>
                <w:sz w:val="24"/>
                <w:szCs w:val="24"/>
                <w:highlight w:val="none"/>
                <w:lang w:val="en-US"/>
              </w:rPr>
            </w:pPr>
          </w:p>
        </w:tc>
        <w:tc>
          <w:tcPr>
            <w:tcW w:w="1545" w:type="dxa"/>
          </w:tcPr>
          <w:p w14:paraId="6244A239">
            <w:pPr>
              <w:pStyle w:val="122"/>
              <w:spacing w:line="360" w:lineRule="auto"/>
              <w:rPr>
                <w:color w:val="auto"/>
                <w:sz w:val="24"/>
                <w:szCs w:val="24"/>
                <w:highlight w:val="none"/>
                <w:lang w:val="en-US"/>
              </w:rPr>
            </w:pPr>
          </w:p>
        </w:tc>
        <w:tc>
          <w:tcPr>
            <w:tcW w:w="831" w:type="dxa"/>
          </w:tcPr>
          <w:p w14:paraId="08546FC4">
            <w:pPr>
              <w:pStyle w:val="122"/>
              <w:spacing w:line="360" w:lineRule="auto"/>
              <w:rPr>
                <w:color w:val="auto"/>
                <w:sz w:val="24"/>
                <w:szCs w:val="24"/>
                <w:highlight w:val="none"/>
                <w:lang w:val="en-US"/>
              </w:rPr>
            </w:pPr>
          </w:p>
        </w:tc>
        <w:tc>
          <w:tcPr>
            <w:tcW w:w="1270" w:type="dxa"/>
          </w:tcPr>
          <w:p w14:paraId="50F7556C">
            <w:pPr>
              <w:pStyle w:val="122"/>
              <w:spacing w:line="360" w:lineRule="auto"/>
              <w:rPr>
                <w:color w:val="auto"/>
                <w:sz w:val="24"/>
                <w:szCs w:val="24"/>
                <w:highlight w:val="none"/>
                <w:lang w:val="en-US"/>
              </w:rPr>
            </w:pPr>
          </w:p>
        </w:tc>
        <w:tc>
          <w:tcPr>
            <w:tcW w:w="955" w:type="dxa"/>
          </w:tcPr>
          <w:p w14:paraId="5C8CB11C">
            <w:pPr>
              <w:pStyle w:val="122"/>
              <w:spacing w:line="360" w:lineRule="auto"/>
              <w:rPr>
                <w:color w:val="auto"/>
                <w:sz w:val="24"/>
                <w:szCs w:val="24"/>
                <w:highlight w:val="none"/>
                <w:lang w:val="en-US"/>
              </w:rPr>
            </w:pPr>
          </w:p>
        </w:tc>
        <w:tc>
          <w:tcPr>
            <w:tcW w:w="1731" w:type="dxa"/>
          </w:tcPr>
          <w:p w14:paraId="64A8F404">
            <w:pPr>
              <w:pStyle w:val="122"/>
              <w:spacing w:line="360" w:lineRule="auto"/>
              <w:rPr>
                <w:color w:val="auto"/>
                <w:sz w:val="24"/>
                <w:szCs w:val="24"/>
                <w:highlight w:val="none"/>
                <w:lang w:val="en-US"/>
              </w:rPr>
            </w:pPr>
          </w:p>
        </w:tc>
      </w:tr>
      <w:tr w14:paraId="3220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2F09573">
            <w:pPr>
              <w:pStyle w:val="122"/>
              <w:spacing w:line="360" w:lineRule="auto"/>
              <w:rPr>
                <w:color w:val="auto"/>
                <w:sz w:val="24"/>
                <w:szCs w:val="24"/>
                <w:highlight w:val="none"/>
                <w:lang w:val="en-US"/>
              </w:rPr>
            </w:pPr>
          </w:p>
        </w:tc>
        <w:tc>
          <w:tcPr>
            <w:tcW w:w="997" w:type="dxa"/>
          </w:tcPr>
          <w:p w14:paraId="33F8D997">
            <w:pPr>
              <w:pStyle w:val="122"/>
              <w:spacing w:line="360" w:lineRule="auto"/>
              <w:rPr>
                <w:color w:val="auto"/>
                <w:sz w:val="24"/>
                <w:szCs w:val="24"/>
                <w:highlight w:val="none"/>
                <w:lang w:val="en-US"/>
              </w:rPr>
            </w:pPr>
          </w:p>
        </w:tc>
        <w:tc>
          <w:tcPr>
            <w:tcW w:w="1545" w:type="dxa"/>
          </w:tcPr>
          <w:p w14:paraId="4E8DCA3E">
            <w:pPr>
              <w:pStyle w:val="122"/>
              <w:spacing w:line="360" w:lineRule="auto"/>
              <w:rPr>
                <w:color w:val="auto"/>
                <w:sz w:val="24"/>
                <w:szCs w:val="24"/>
                <w:highlight w:val="none"/>
                <w:lang w:val="en-US"/>
              </w:rPr>
            </w:pPr>
          </w:p>
        </w:tc>
        <w:tc>
          <w:tcPr>
            <w:tcW w:w="831" w:type="dxa"/>
          </w:tcPr>
          <w:p w14:paraId="0718EF58">
            <w:pPr>
              <w:pStyle w:val="122"/>
              <w:spacing w:line="360" w:lineRule="auto"/>
              <w:rPr>
                <w:color w:val="auto"/>
                <w:sz w:val="24"/>
                <w:szCs w:val="24"/>
                <w:highlight w:val="none"/>
                <w:lang w:val="en-US"/>
              </w:rPr>
            </w:pPr>
          </w:p>
        </w:tc>
        <w:tc>
          <w:tcPr>
            <w:tcW w:w="1270" w:type="dxa"/>
          </w:tcPr>
          <w:p w14:paraId="29C6ED04">
            <w:pPr>
              <w:pStyle w:val="122"/>
              <w:spacing w:line="360" w:lineRule="auto"/>
              <w:rPr>
                <w:color w:val="auto"/>
                <w:sz w:val="24"/>
                <w:szCs w:val="24"/>
                <w:highlight w:val="none"/>
                <w:lang w:val="en-US"/>
              </w:rPr>
            </w:pPr>
          </w:p>
        </w:tc>
        <w:tc>
          <w:tcPr>
            <w:tcW w:w="955" w:type="dxa"/>
          </w:tcPr>
          <w:p w14:paraId="7D66CCC7">
            <w:pPr>
              <w:pStyle w:val="122"/>
              <w:spacing w:line="360" w:lineRule="auto"/>
              <w:rPr>
                <w:color w:val="auto"/>
                <w:sz w:val="24"/>
                <w:szCs w:val="24"/>
                <w:highlight w:val="none"/>
                <w:lang w:val="en-US"/>
              </w:rPr>
            </w:pPr>
          </w:p>
        </w:tc>
        <w:tc>
          <w:tcPr>
            <w:tcW w:w="1731" w:type="dxa"/>
          </w:tcPr>
          <w:p w14:paraId="77A089CE">
            <w:pPr>
              <w:pStyle w:val="122"/>
              <w:spacing w:line="360" w:lineRule="auto"/>
              <w:rPr>
                <w:color w:val="auto"/>
                <w:sz w:val="24"/>
                <w:szCs w:val="24"/>
                <w:highlight w:val="none"/>
                <w:lang w:val="en-US"/>
              </w:rPr>
            </w:pPr>
          </w:p>
        </w:tc>
      </w:tr>
      <w:tr w14:paraId="29B2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2C249E2">
            <w:pPr>
              <w:pStyle w:val="122"/>
              <w:spacing w:line="360" w:lineRule="auto"/>
              <w:rPr>
                <w:color w:val="auto"/>
                <w:sz w:val="24"/>
                <w:szCs w:val="24"/>
                <w:highlight w:val="none"/>
                <w:lang w:val="en-US"/>
              </w:rPr>
            </w:pPr>
          </w:p>
        </w:tc>
        <w:tc>
          <w:tcPr>
            <w:tcW w:w="997" w:type="dxa"/>
          </w:tcPr>
          <w:p w14:paraId="23E6EBE3">
            <w:pPr>
              <w:pStyle w:val="122"/>
              <w:spacing w:line="360" w:lineRule="auto"/>
              <w:rPr>
                <w:color w:val="auto"/>
                <w:sz w:val="24"/>
                <w:szCs w:val="24"/>
                <w:highlight w:val="none"/>
                <w:lang w:val="en-US"/>
              </w:rPr>
            </w:pPr>
          </w:p>
        </w:tc>
        <w:tc>
          <w:tcPr>
            <w:tcW w:w="1545" w:type="dxa"/>
          </w:tcPr>
          <w:p w14:paraId="7B2CCF87">
            <w:pPr>
              <w:pStyle w:val="122"/>
              <w:spacing w:line="360" w:lineRule="auto"/>
              <w:rPr>
                <w:color w:val="auto"/>
                <w:sz w:val="24"/>
                <w:szCs w:val="24"/>
                <w:highlight w:val="none"/>
                <w:lang w:val="en-US"/>
              </w:rPr>
            </w:pPr>
          </w:p>
        </w:tc>
        <w:tc>
          <w:tcPr>
            <w:tcW w:w="831" w:type="dxa"/>
          </w:tcPr>
          <w:p w14:paraId="55A63A4B">
            <w:pPr>
              <w:pStyle w:val="122"/>
              <w:spacing w:line="360" w:lineRule="auto"/>
              <w:rPr>
                <w:color w:val="auto"/>
                <w:sz w:val="24"/>
                <w:szCs w:val="24"/>
                <w:highlight w:val="none"/>
                <w:lang w:val="en-US"/>
              </w:rPr>
            </w:pPr>
          </w:p>
        </w:tc>
        <w:tc>
          <w:tcPr>
            <w:tcW w:w="1270" w:type="dxa"/>
          </w:tcPr>
          <w:p w14:paraId="6D012A1E">
            <w:pPr>
              <w:pStyle w:val="122"/>
              <w:spacing w:line="360" w:lineRule="auto"/>
              <w:rPr>
                <w:color w:val="auto"/>
                <w:sz w:val="24"/>
                <w:szCs w:val="24"/>
                <w:highlight w:val="none"/>
                <w:lang w:val="en-US"/>
              </w:rPr>
            </w:pPr>
          </w:p>
        </w:tc>
        <w:tc>
          <w:tcPr>
            <w:tcW w:w="955" w:type="dxa"/>
          </w:tcPr>
          <w:p w14:paraId="258471FB">
            <w:pPr>
              <w:pStyle w:val="122"/>
              <w:spacing w:line="360" w:lineRule="auto"/>
              <w:rPr>
                <w:color w:val="auto"/>
                <w:sz w:val="24"/>
                <w:szCs w:val="24"/>
                <w:highlight w:val="none"/>
                <w:lang w:val="en-US"/>
              </w:rPr>
            </w:pPr>
          </w:p>
        </w:tc>
        <w:tc>
          <w:tcPr>
            <w:tcW w:w="1731" w:type="dxa"/>
          </w:tcPr>
          <w:p w14:paraId="6FA87279">
            <w:pPr>
              <w:pStyle w:val="122"/>
              <w:spacing w:line="360" w:lineRule="auto"/>
              <w:rPr>
                <w:color w:val="auto"/>
                <w:sz w:val="24"/>
                <w:szCs w:val="24"/>
                <w:highlight w:val="none"/>
                <w:lang w:val="en-US"/>
              </w:rPr>
            </w:pPr>
          </w:p>
        </w:tc>
      </w:tr>
      <w:tr w14:paraId="33D0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41C16A0">
            <w:pPr>
              <w:pStyle w:val="122"/>
              <w:spacing w:line="360" w:lineRule="auto"/>
              <w:rPr>
                <w:color w:val="auto"/>
                <w:sz w:val="24"/>
                <w:szCs w:val="24"/>
                <w:highlight w:val="none"/>
                <w:lang w:val="en-US"/>
              </w:rPr>
            </w:pPr>
          </w:p>
        </w:tc>
        <w:tc>
          <w:tcPr>
            <w:tcW w:w="997" w:type="dxa"/>
          </w:tcPr>
          <w:p w14:paraId="73A10179">
            <w:pPr>
              <w:pStyle w:val="122"/>
              <w:spacing w:line="360" w:lineRule="auto"/>
              <w:rPr>
                <w:color w:val="auto"/>
                <w:sz w:val="24"/>
                <w:szCs w:val="24"/>
                <w:highlight w:val="none"/>
                <w:lang w:val="en-US"/>
              </w:rPr>
            </w:pPr>
          </w:p>
        </w:tc>
        <w:tc>
          <w:tcPr>
            <w:tcW w:w="1545" w:type="dxa"/>
          </w:tcPr>
          <w:p w14:paraId="3B798E07">
            <w:pPr>
              <w:pStyle w:val="122"/>
              <w:spacing w:line="360" w:lineRule="auto"/>
              <w:rPr>
                <w:color w:val="auto"/>
                <w:sz w:val="24"/>
                <w:szCs w:val="24"/>
                <w:highlight w:val="none"/>
                <w:lang w:val="en-US"/>
              </w:rPr>
            </w:pPr>
          </w:p>
        </w:tc>
        <w:tc>
          <w:tcPr>
            <w:tcW w:w="831" w:type="dxa"/>
          </w:tcPr>
          <w:p w14:paraId="018023D3">
            <w:pPr>
              <w:pStyle w:val="122"/>
              <w:spacing w:line="360" w:lineRule="auto"/>
              <w:rPr>
                <w:color w:val="auto"/>
                <w:sz w:val="24"/>
                <w:szCs w:val="24"/>
                <w:highlight w:val="none"/>
                <w:lang w:val="en-US"/>
              </w:rPr>
            </w:pPr>
          </w:p>
        </w:tc>
        <w:tc>
          <w:tcPr>
            <w:tcW w:w="1270" w:type="dxa"/>
          </w:tcPr>
          <w:p w14:paraId="575E286F">
            <w:pPr>
              <w:pStyle w:val="122"/>
              <w:spacing w:line="360" w:lineRule="auto"/>
              <w:rPr>
                <w:color w:val="auto"/>
                <w:sz w:val="24"/>
                <w:szCs w:val="24"/>
                <w:highlight w:val="none"/>
                <w:lang w:val="en-US"/>
              </w:rPr>
            </w:pPr>
          </w:p>
        </w:tc>
        <w:tc>
          <w:tcPr>
            <w:tcW w:w="955" w:type="dxa"/>
          </w:tcPr>
          <w:p w14:paraId="3CBF617C">
            <w:pPr>
              <w:pStyle w:val="122"/>
              <w:spacing w:line="360" w:lineRule="auto"/>
              <w:rPr>
                <w:color w:val="auto"/>
                <w:sz w:val="24"/>
                <w:szCs w:val="24"/>
                <w:highlight w:val="none"/>
                <w:lang w:val="en-US"/>
              </w:rPr>
            </w:pPr>
          </w:p>
        </w:tc>
        <w:tc>
          <w:tcPr>
            <w:tcW w:w="1731" w:type="dxa"/>
          </w:tcPr>
          <w:p w14:paraId="3A17CBB6">
            <w:pPr>
              <w:pStyle w:val="122"/>
              <w:spacing w:line="360" w:lineRule="auto"/>
              <w:rPr>
                <w:color w:val="auto"/>
                <w:sz w:val="24"/>
                <w:szCs w:val="24"/>
                <w:highlight w:val="none"/>
                <w:lang w:val="en-US"/>
              </w:rPr>
            </w:pPr>
          </w:p>
        </w:tc>
      </w:tr>
    </w:tbl>
    <w:p w14:paraId="55D8F457">
      <w:pPr>
        <w:spacing w:after="120" w:afterLines="50"/>
        <w:jc w:val="left"/>
        <w:rPr>
          <w:b/>
          <w:color w:val="auto"/>
          <w:sz w:val="23"/>
          <w:szCs w:val="23"/>
          <w:highlight w:val="none"/>
        </w:rPr>
      </w:pPr>
    </w:p>
    <w:p w14:paraId="71EB0955">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14:paraId="1D366910">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3E19FEE6">
      <w:pPr>
        <w:jc w:val="center"/>
        <w:rPr>
          <w:rFonts w:asciiTheme="minorEastAsia" w:hAnsiTheme="minorEastAsia" w:eastAsiaTheme="minorEastAsia"/>
          <w:b/>
          <w:color w:val="auto"/>
          <w:sz w:val="24"/>
          <w:szCs w:val="24"/>
          <w:highlight w:val="none"/>
        </w:rPr>
      </w:pPr>
      <w:r>
        <w:rPr>
          <w:rFonts w:hint="eastAsia" w:ascii="宋体"/>
          <w:color w:val="auto"/>
          <w:sz w:val="22"/>
          <w:szCs w:val="22"/>
          <w:highlight w:val="none"/>
        </w:rPr>
        <w:t>日期：</w:t>
      </w:r>
    </w:p>
    <w:p w14:paraId="74CCA8BD">
      <w:pPr>
        <w:jc w:val="center"/>
        <w:rPr>
          <w:rFonts w:asciiTheme="minorEastAsia" w:hAnsiTheme="minorEastAsia" w:eastAsiaTheme="minorEastAsia"/>
          <w:b/>
          <w:color w:val="auto"/>
          <w:sz w:val="24"/>
          <w:szCs w:val="24"/>
          <w:highlight w:val="none"/>
        </w:rPr>
      </w:pPr>
    </w:p>
    <w:p w14:paraId="3C4D767D">
      <w:pPr>
        <w:jc w:val="center"/>
        <w:rPr>
          <w:rFonts w:asciiTheme="minorEastAsia" w:hAnsiTheme="minorEastAsia" w:eastAsiaTheme="minorEastAsia"/>
          <w:b/>
          <w:color w:val="auto"/>
          <w:sz w:val="24"/>
          <w:szCs w:val="24"/>
          <w:highlight w:val="none"/>
        </w:rPr>
      </w:pPr>
    </w:p>
    <w:p w14:paraId="71944DD4">
      <w:pPr>
        <w:spacing w:line="380" w:lineRule="exact"/>
        <w:rPr>
          <w:rFonts w:asciiTheme="minorEastAsia" w:hAnsiTheme="minorEastAsia" w:eastAsiaTheme="minorEastAsia"/>
          <w:color w:val="auto"/>
          <w:sz w:val="22"/>
          <w:szCs w:val="22"/>
          <w:highlight w:val="none"/>
          <w:u w:val="single"/>
        </w:rPr>
      </w:pPr>
    </w:p>
    <w:p w14:paraId="552711A6">
      <w:pPr>
        <w:spacing w:after="120" w:afterLines="50"/>
        <w:jc w:val="left"/>
        <w:rPr>
          <w:rFonts w:asciiTheme="minorEastAsia" w:hAnsiTheme="minorEastAsia" w:eastAsiaTheme="minorEastAsia"/>
          <w:color w:val="auto"/>
          <w:sz w:val="22"/>
          <w:szCs w:val="22"/>
          <w:highlight w:val="none"/>
          <w:u w:val="single"/>
        </w:rPr>
        <w:sectPr>
          <w:pgSz w:w="11907" w:h="16840"/>
          <w:pgMar w:top="1304" w:right="1588" w:bottom="1560" w:left="1588" w:header="720" w:footer="720" w:gutter="0"/>
          <w:cols w:space="720" w:num="1"/>
          <w:docGrid w:linePitch="285" w:charSpace="0"/>
        </w:sectPr>
      </w:pPr>
    </w:p>
    <w:p w14:paraId="4CD200E2">
      <w:pPr>
        <w:spacing w:after="120" w:afterLines="50"/>
        <w:jc w:val="center"/>
        <w:rPr>
          <w:rFonts w:asciiTheme="minorEastAsia" w:hAnsiTheme="minorEastAsia" w:eastAsiaTheme="minorEastAsia"/>
          <w:b/>
          <w:color w:val="auto"/>
          <w:sz w:val="24"/>
          <w:szCs w:val="24"/>
          <w:highlight w:val="none"/>
        </w:rPr>
      </w:pPr>
    </w:p>
    <w:p w14:paraId="4F32EBA0">
      <w:pPr>
        <w:spacing w:after="120" w:afterLines="50"/>
        <w:jc w:val="center"/>
        <w:rPr>
          <w:rFonts w:ascii="宋体"/>
          <w:b/>
          <w:color w:val="auto"/>
          <w:sz w:val="24"/>
          <w:szCs w:val="24"/>
          <w:highlight w:val="none"/>
        </w:rPr>
      </w:pPr>
      <w:r>
        <w:rPr>
          <w:rFonts w:hint="eastAsia" w:ascii="宋体" w:hAnsi="宋体"/>
          <w:b/>
          <w:color w:val="auto"/>
          <w:sz w:val="24"/>
          <w:szCs w:val="24"/>
          <w:highlight w:val="none"/>
        </w:rPr>
        <w:t>3、服务方案</w:t>
      </w:r>
    </w:p>
    <w:p w14:paraId="456A848A">
      <w:pPr>
        <w:pStyle w:val="120"/>
        <w:ind w:firstLine="0" w:firstLineChars="0"/>
        <w:rPr>
          <w:color w:val="auto"/>
          <w:highlight w:val="none"/>
        </w:rPr>
      </w:pPr>
      <w:r>
        <w:rPr>
          <w:rFonts w:hint="eastAsia"/>
          <w:color w:val="auto"/>
          <w:highlight w:val="none"/>
        </w:rPr>
        <w:t>主要内容包括，但不限于：</w:t>
      </w:r>
    </w:p>
    <w:p w14:paraId="4C037F43">
      <w:pPr>
        <w:spacing w:after="120" w:afterLines="50"/>
        <w:jc w:val="center"/>
        <w:rPr>
          <w:rFonts w:asciiTheme="minorEastAsia" w:hAnsiTheme="minorEastAsia" w:eastAsiaTheme="minorEastAsia"/>
          <w:b/>
          <w:color w:val="auto"/>
          <w:sz w:val="24"/>
          <w:szCs w:val="24"/>
          <w:highlight w:val="none"/>
        </w:rPr>
      </w:pPr>
    </w:p>
    <w:p w14:paraId="393DFC0D">
      <w:pPr>
        <w:spacing w:line="360" w:lineRule="auto"/>
        <w:jc w:val="left"/>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br w:type="page"/>
      </w:r>
    </w:p>
    <w:p w14:paraId="20AE37A8">
      <w:pPr>
        <w:spacing w:after="120" w:afterLines="50"/>
        <w:jc w:val="center"/>
        <w:rPr>
          <w:rFonts w:asciiTheme="minorEastAsia" w:hAnsiTheme="minorEastAsia" w:eastAsiaTheme="minorEastAsia"/>
          <w:b/>
          <w:color w:val="auto"/>
          <w:sz w:val="24"/>
          <w:szCs w:val="24"/>
          <w:highlight w:val="none"/>
        </w:rPr>
      </w:pPr>
    </w:p>
    <w:p w14:paraId="6EF14CF1">
      <w:pPr>
        <w:widowControl/>
        <w:jc w:val="left"/>
        <w:rPr>
          <w:rFonts w:cs="宋体" w:asciiTheme="minorEastAsia" w:hAnsiTheme="minorEastAsia" w:eastAsiaTheme="minorEastAsia"/>
          <w:b/>
          <w:bCs/>
          <w:color w:val="auto"/>
          <w:kern w:val="0"/>
          <w:szCs w:val="21"/>
          <w:highlight w:val="none"/>
        </w:rPr>
      </w:pPr>
    </w:p>
    <w:p w14:paraId="3243E278">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报价文件组成：</w:t>
      </w:r>
    </w:p>
    <w:p w14:paraId="0D8D953C">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w:t>
      </w:r>
      <w:r>
        <w:rPr>
          <w:rFonts w:hint="eastAsia" w:asciiTheme="minorEastAsia" w:hAnsiTheme="minorEastAsia" w:eastAsiaTheme="minorEastAsia"/>
          <w:color w:val="auto"/>
          <w:szCs w:val="21"/>
          <w:highlight w:val="none"/>
        </w:rPr>
        <w:t>投标函；</w:t>
      </w:r>
    </w:p>
    <w:p w14:paraId="05CC0708">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w:t>
      </w:r>
      <w:r>
        <w:rPr>
          <w:rFonts w:hint="eastAsia" w:asciiTheme="minorEastAsia" w:hAnsiTheme="minorEastAsia" w:eastAsiaTheme="minorEastAsia"/>
          <w:color w:val="auto"/>
          <w:szCs w:val="21"/>
          <w:highlight w:val="none"/>
        </w:rPr>
        <w:t>开标一览表；</w:t>
      </w:r>
    </w:p>
    <w:p w14:paraId="05C8318E">
      <w:pPr>
        <w:tabs>
          <w:tab w:val="left" w:pos="1418"/>
        </w:tabs>
        <w:spacing w:line="360" w:lineRule="auto"/>
        <w:ind w:firstLine="420" w:firstLineChars="200"/>
        <w:contextualSpacing/>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rPr>
        <w:t>（3）</w:t>
      </w:r>
      <w:r>
        <w:rPr>
          <w:rFonts w:hint="eastAsia" w:ascii="宋体" w:hAnsi="宋体" w:cs="宋体" w:eastAsiaTheme="minorEastAsia"/>
          <w:color w:val="auto"/>
          <w:szCs w:val="24"/>
          <w:highlight w:val="none"/>
          <w:lang w:eastAsia="zh-CN"/>
        </w:rPr>
        <w:t>廉政责任书</w:t>
      </w:r>
    </w:p>
    <w:p w14:paraId="6458AD51">
      <w:pPr>
        <w:pStyle w:val="3"/>
        <w:spacing w:line="380" w:lineRule="exact"/>
        <w:ind w:firstLine="420" w:firstLineChars="200"/>
        <w:jc w:val="both"/>
        <w:rPr>
          <w:rFonts w:asciiTheme="minorEastAsia" w:hAnsiTheme="minorEastAsia" w:eastAsiaTheme="minorEastAsia"/>
          <w:bCs w:val="0"/>
          <w:color w:val="auto"/>
          <w:sz w:val="24"/>
          <w:szCs w:val="24"/>
          <w:highlight w:val="none"/>
        </w:rPr>
      </w:pPr>
      <w:r>
        <w:rPr>
          <w:rFonts w:hint="eastAsia" w:cs="宋体" w:asciiTheme="minorEastAsia" w:hAnsiTheme="minorEastAsia" w:eastAsiaTheme="minorEastAsia"/>
          <w:b w:val="0"/>
          <w:bCs w:val="0"/>
          <w:color w:val="auto"/>
          <w:kern w:val="0"/>
          <w:sz w:val="21"/>
          <w:szCs w:val="21"/>
          <w:highlight w:val="none"/>
        </w:rPr>
        <w:t>（4）</w:t>
      </w:r>
      <w:r>
        <w:rPr>
          <w:rFonts w:hint="eastAsia" w:ascii="宋体" w:hAnsi="宋体" w:cs="宋体"/>
          <w:b w:val="0"/>
          <w:bCs w:val="0"/>
          <w:color w:val="auto"/>
          <w:sz w:val="21"/>
          <w:szCs w:val="24"/>
          <w:highlight w:val="none"/>
        </w:rPr>
        <w:t>享受政府采购价格优惠政策需提供的证明资料（如有)</w:t>
      </w:r>
    </w:p>
    <w:p w14:paraId="4662A9D9">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p>
    <w:p w14:paraId="35EEE5E0">
      <w:pPr>
        <w:pStyle w:val="3"/>
        <w:spacing w:line="380" w:lineRule="exact"/>
        <w:rPr>
          <w:rFonts w:asciiTheme="minorEastAsia" w:hAnsiTheme="minorEastAsia" w:eastAsiaTheme="minorEastAsia"/>
          <w:bCs w:val="0"/>
          <w:color w:val="auto"/>
          <w:sz w:val="24"/>
          <w:szCs w:val="24"/>
          <w:highlight w:val="none"/>
        </w:rPr>
      </w:pPr>
    </w:p>
    <w:p w14:paraId="2A2BDF12">
      <w:pPr>
        <w:widowControl/>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04358B3E">
      <w:pPr>
        <w:pStyle w:val="3"/>
        <w:spacing w:line="380" w:lineRule="exact"/>
        <w:rPr>
          <w:rFonts w:asciiTheme="minorEastAsia" w:hAnsiTheme="minorEastAsia" w:eastAsiaTheme="minorEastAsia"/>
          <w:bCs w:val="0"/>
          <w:color w:val="auto"/>
          <w:sz w:val="24"/>
          <w:szCs w:val="24"/>
          <w:highlight w:val="none"/>
        </w:rPr>
      </w:pPr>
    </w:p>
    <w:p w14:paraId="44488B38">
      <w:pPr>
        <w:pStyle w:val="3"/>
        <w:spacing w:line="380" w:lineRule="exact"/>
        <w:rPr>
          <w:rFonts w:asciiTheme="minorEastAsia" w:hAnsiTheme="minorEastAsia" w:eastAsiaTheme="minorEastAsia"/>
          <w:b w:val="0"/>
          <w:color w:val="auto"/>
          <w:sz w:val="24"/>
          <w:szCs w:val="24"/>
          <w:highlight w:val="none"/>
        </w:rPr>
      </w:pPr>
      <w:bookmarkStart w:id="165" w:name="_Toc136345128"/>
      <w:bookmarkStart w:id="166" w:name="_Toc20714"/>
      <w:bookmarkStart w:id="167" w:name="_Toc136017667"/>
      <w:r>
        <w:rPr>
          <w:rFonts w:hint="eastAsia" w:asciiTheme="minorEastAsia" w:hAnsiTheme="minorEastAsia" w:eastAsiaTheme="minorEastAsia"/>
          <w:bCs w:val="0"/>
          <w:color w:val="auto"/>
          <w:sz w:val="24"/>
          <w:szCs w:val="24"/>
          <w:highlight w:val="none"/>
        </w:rPr>
        <w:t>（一） 投 标 函</w:t>
      </w:r>
      <w:bookmarkEnd w:id="165"/>
      <w:bookmarkEnd w:id="166"/>
      <w:bookmarkEnd w:id="167"/>
    </w:p>
    <w:p w14:paraId="64384177">
      <w:pPr>
        <w:pStyle w:val="16"/>
        <w:ind w:firstLine="0"/>
        <w:rPr>
          <w:rFonts w:asciiTheme="minorEastAsia" w:hAnsiTheme="minorEastAsia" w:eastAsiaTheme="minorEastAsia"/>
          <w:i w:val="0"/>
          <w:iCs w:val="0"/>
          <w:color w:val="auto"/>
          <w:sz w:val="21"/>
          <w:szCs w:val="21"/>
          <w:highlight w:val="none"/>
        </w:rPr>
      </w:pPr>
      <w:r>
        <w:rPr>
          <w:rFonts w:hint="eastAsia" w:asciiTheme="minorEastAsia" w:hAnsiTheme="minorEastAsia" w:eastAsiaTheme="minorEastAsia"/>
          <w:i w:val="0"/>
          <w:iCs w:val="0"/>
          <w:color w:val="auto"/>
          <w:sz w:val="21"/>
          <w:szCs w:val="21"/>
          <w:highlight w:val="none"/>
          <w:u w:val="single"/>
        </w:rPr>
        <w:t xml:space="preserve">   致（采购人） </w:t>
      </w:r>
      <w:r>
        <w:rPr>
          <w:rFonts w:hint="eastAsia" w:asciiTheme="minorEastAsia" w:hAnsiTheme="minorEastAsia" w:eastAsiaTheme="minorEastAsia"/>
          <w:i w:val="0"/>
          <w:iCs w:val="0"/>
          <w:color w:val="auto"/>
          <w:sz w:val="21"/>
          <w:szCs w:val="21"/>
          <w:highlight w:val="none"/>
        </w:rPr>
        <w:t>：</w:t>
      </w:r>
    </w:p>
    <w:p w14:paraId="1BA3C344">
      <w:pPr>
        <w:pStyle w:val="16"/>
        <w:ind w:firstLine="0"/>
        <w:rPr>
          <w:rFonts w:asciiTheme="minorEastAsia" w:hAnsiTheme="minorEastAsia" w:eastAsiaTheme="minorEastAsia"/>
          <w:i w:val="0"/>
          <w:iCs w:val="0"/>
          <w:color w:val="auto"/>
          <w:sz w:val="21"/>
          <w:szCs w:val="21"/>
          <w:highlight w:val="none"/>
          <w:u w:val="single"/>
        </w:rPr>
      </w:pPr>
      <w:r>
        <w:rPr>
          <w:rFonts w:hint="eastAsia" w:asciiTheme="minorEastAsia" w:hAnsiTheme="minorEastAsia" w:eastAsiaTheme="minorEastAsia"/>
          <w:i w:val="0"/>
          <w:iCs w:val="0"/>
          <w:color w:val="auto"/>
          <w:sz w:val="21"/>
          <w:szCs w:val="21"/>
          <w:highlight w:val="none"/>
          <w:u w:val="single"/>
        </w:rPr>
        <w:t xml:space="preserve"> （投标人全称）</w:t>
      </w:r>
      <w:r>
        <w:rPr>
          <w:rFonts w:hint="eastAsia" w:asciiTheme="minorEastAsia" w:hAnsiTheme="minorEastAsia" w:eastAsiaTheme="minorEastAsia"/>
          <w:i w:val="0"/>
          <w:iCs w:val="0"/>
          <w:color w:val="auto"/>
          <w:sz w:val="21"/>
          <w:szCs w:val="21"/>
          <w:highlight w:val="none"/>
        </w:rPr>
        <w:t xml:space="preserve"> 参加贵方组织的 </w:t>
      </w:r>
      <w:r>
        <w:rPr>
          <w:rFonts w:hint="eastAsia" w:asciiTheme="minorEastAsia" w:hAnsiTheme="minorEastAsia" w:eastAsiaTheme="minorEastAsia"/>
          <w:i w:val="0"/>
          <w:iCs w:val="0"/>
          <w:color w:val="auto"/>
          <w:sz w:val="21"/>
          <w:szCs w:val="21"/>
          <w:highlight w:val="none"/>
          <w:u w:val="single"/>
        </w:rPr>
        <w:t>（</w:t>
      </w:r>
      <w:r>
        <w:rPr>
          <w:rFonts w:hint="eastAsia" w:asciiTheme="minorEastAsia" w:hAnsiTheme="minorEastAsia" w:eastAsiaTheme="minorEastAsia"/>
          <w:i w:val="0"/>
          <w:iCs w:val="0"/>
          <w:color w:val="auto"/>
          <w:sz w:val="21"/>
          <w:szCs w:val="21"/>
          <w:highlight w:val="none"/>
          <w:u w:val="single"/>
          <w:lang w:eastAsia="zh-CN"/>
        </w:rPr>
        <w:t>项目编号</w:t>
      </w:r>
      <w:r>
        <w:rPr>
          <w:rFonts w:hint="eastAsia" w:asciiTheme="minorEastAsia" w:hAnsiTheme="minorEastAsia" w:eastAsiaTheme="minorEastAsia"/>
          <w:i w:val="0"/>
          <w:iCs w:val="0"/>
          <w:color w:val="auto"/>
          <w:sz w:val="21"/>
          <w:szCs w:val="21"/>
          <w:highlight w:val="none"/>
          <w:u w:val="single"/>
        </w:rPr>
        <w:t>、招标项目名称）</w:t>
      </w:r>
      <w:r>
        <w:rPr>
          <w:rFonts w:hint="eastAsia" w:asciiTheme="minorEastAsia" w:hAnsiTheme="minorEastAsia" w:eastAsiaTheme="minorEastAsia"/>
          <w:i w:val="0"/>
          <w:iCs w:val="0"/>
          <w:color w:val="auto"/>
          <w:sz w:val="21"/>
          <w:szCs w:val="21"/>
          <w:highlight w:val="none"/>
        </w:rPr>
        <w:t>招投标活动，代表本公司处理招投标活动中的一切事宜，现对</w:t>
      </w:r>
      <w:r>
        <w:rPr>
          <w:rFonts w:hint="eastAsia" w:asciiTheme="minorEastAsia" w:hAnsiTheme="minorEastAsia" w:eastAsiaTheme="minorEastAsia"/>
          <w:i w:val="0"/>
          <w:iCs w:val="0"/>
          <w:color w:val="auto"/>
          <w:sz w:val="21"/>
          <w:szCs w:val="21"/>
          <w:highlight w:val="none"/>
          <w:u w:val="single"/>
        </w:rPr>
        <w:t>（项目名称）</w:t>
      </w:r>
      <w:r>
        <w:rPr>
          <w:rFonts w:hint="eastAsia" w:asciiTheme="minorEastAsia" w:hAnsiTheme="minorEastAsia" w:eastAsiaTheme="minorEastAsia"/>
          <w:i w:val="0"/>
          <w:iCs w:val="0"/>
          <w:color w:val="auto"/>
          <w:sz w:val="21"/>
          <w:szCs w:val="21"/>
          <w:highlight w:val="none"/>
        </w:rPr>
        <w:t>进行投标，在此：</w:t>
      </w:r>
    </w:p>
    <w:p w14:paraId="6103C073">
      <w:pPr>
        <w:pStyle w:val="16"/>
        <w:numPr>
          <w:ilvl w:val="0"/>
          <w:numId w:val="0"/>
        </w:numPr>
        <w:tabs>
          <w:tab w:val="left" w:pos="525"/>
        </w:tabs>
        <w:ind w:leftChars="0"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提供招标文件中“投标人须知”规定的全部投标文件。</w:t>
      </w:r>
    </w:p>
    <w:p w14:paraId="36EC1CD3">
      <w:pPr>
        <w:pStyle w:val="16"/>
        <w:tabs>
          <w:tab w:val="left" w:pos="525"/>
        </w:tabs>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据此函，签字代表宣布并承诺如下：</w:t>
      </w:r>
    </w:p>
    <w:p w14:paraId="709F6885">
      <w:pPr>
        <w:pStyle w:val="16"/>
        <w:tabs>
          <w:tab w:val="left" w:pos="525"/>
        </w:tabs>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投标总价为（大写）：人民币</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olor w:val="auto"/>
          <w:sz w:val="21"/>
          <w:szCs w:val="21"/>
          <w:highlight w:val="none"/>
        </w:rPr>
        <w:t>元。</w:t>
      </w:r>
    </w:p>
    <w:p w14:paraId="5BFCD15A">
      <w:pPr>
        <w:pStyle w:val="16"/>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本报价已经包含了所供货物及服务应纳的税金及招标文件规定的报价方式应包含的其它费用。本报价在投标有效期内固定不变，并在合同有效期内不受利率波动的影响。</w:t>
      </w:r>
    </w:p>
    <w:p w14:paraId="5D566544">
      <w:pPr>
        <w:pStyle w:val="16"/>
        <w:numPr>
          <w:ilvl w:val="0"/>
          <w:numId w:val="7"/>
        </w:numPr>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本投标自开标之日起90天内有效。</w:t>
      </w:r>
    </w:p>
    <w:p w14:paraId="73E250AC">
      <w:pPr>
        <w:pStyle w:val="16"/>
        <w:numPr>
          <w:ilvl w:val="0"/>
          <w:numId w:val="0"/>
        </w:num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（3）</w:t>
      </w:r>
      <w:r>
        <w:rPr>
          <w:rFonts w:hint="eastAsia" w:asciiTheme="minorEastAsia" w:hAnsiTheme="minorEastAsia" w:eastAsiaTheme="minorEastAsia"/>
          <w:color w:val="auto"/>
          <w:sz w:val="21"/>
          <w:szCs w:val="21"/>
          <w:highlight w:val="none"/>
        </w:rPr>
        <w:t>我们已详细审查全部招标文件及有关的澄清/修改文件(若有的话)，我们完全理解并同意放弃对这方面提出任何异议的权利，保证遵守招标文件有关条款规定。</w:t>
      </w:r>
    </w:p>
    <w:p w14:paraId="2094C17A">
      <w:pPr>
        <w:pStyle w:val="16"/>
        <w:numPr>
          <w:ilvl w:val="0"/>
          <w:numId w:val="0"/>
        </w:numPr>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保证遵守招标文件有关条款规定。</w:t>
      </w:r>
    </w:p>
    <w:p w14:paraId="68067754">
      <w:pPr>
        <w:pStyle w:val="16"/>
        <w:numPr>
          <w:ilvl w:val="0"/>
          <w:numId w:val="0"/>
        </w:numPr>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5</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保证在中标后忠实地执行与采购人所签署的合同，并承担合同规定的责任义务。保证在中标后按照招标文件的规定支付中标服务费。</w:t>
      </w:r>
    </w:p>
    <w:p w14:paraId="20EFD47F">
      <w:pPr>
        <w:pStyle w:val="16"/>
        <w:numPr>
          <w:ilvl w:val="0"/>
          <w:numId w:val="0"/>
        </w:numPr>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6</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承诺应贵方要求提供任何与该项目投标有关的数据、情况和技术资料。</w:t>
      </w:r>
    </w:p>
    <w:p w14:paraId="1AF963E7">
      <w:pPr>
        <w:pStyle w:val="16"/>
        <w:numPr>
          <w:ilvl w:val="0"/>
          <w:numId w:val="0"/>
        </w:numPr>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7</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我们承诺，与为采购人采购本项目进行设计、编制规范和其他文件所委托的咨询公司或其附属机构无任何直接或间接的关联。</w:t>
      </w:r>
    </w:p>
    <w:p w14:paraId="6283BAED">
      <w:pPr>
        <w:pStyle w:val="16"/>
        <w:numPr>
          <w:ilvl w:val="0"/>
          <w:numId w:val="0"/>
        </w:numPr>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8</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0EDD4C1D">
      <w:pPr>
        <w:pStyle w:val="16"/>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3.</w:t>
      </w:r>
      <w:r>
        <w:rPr>
          <w:rFonts w:hint="eastAsia" w:asciiTheme="minorEastAsia" w:hAnsiTheme="minorEastAsia" w:eastAsiaTheme="minorEastAsia"/>
          <w:color w:val="auto"/>
          <w:sz w:val="21"/>
          <w:szCs w:val="21"/>
          <w:highlight w:val="none"/>
        </w:rPr>
        <w:t>与本投标有关的一切往来通讯请寄：</w:t>
      </w:r>
    </w:p>
    <w:p w14:paraId="32910FB5">
      <w:pPr>
        <w:pStyle w:val="16"/>
        <w:ind w:firstLine="420" w:firstLineChars="200"/>
        <w:rPr>
          <w:rFonts w:hint="default" w:asciiTheme="minorEastAsia" w:hAnsiTheme="minorEastAsia" w:eastAsiaTheme="minorEastAsia"/>
          <w:color w:val="auto"/>
          <w:sz w:val="21"/>
          <w:szCs w:val="21"/>
          <w:highlight w:val="none"/>
          <w:u w:val="single"/>
          <w:lang w:val="en-US" w:eastAsia="zh-CN"/>
        </w:rPr>
      </w:pPr>
      <w:r>
        <w:rPr>
          <w:rFonts w:hint="eastAsia" w:asciiTheme="minorEastAsia" w:hAnsiTheme="minorEastAsia" w:eastAsiaTheme="minorEastAsia"/>
          <w:color w:val="auto"/>
          <w:sz w:val="21"/>
          <w:szCs w:val="21"/>
          <w:highlight w:val="none"/>
        </w:rPr>
        <w:t>地址：</w:t>
      </w:r>
      <w:r>
        <w:rPr>
          <w:rFonts w:hint="eastAsia" w:asciiTheme="minorEastAsia" w:hAnsiTheme="minorEastAsia" w:eastAsiaTheme="minorEastAsia"/>
          <w:color w:val="auto"/>
          <w:sz w:val="21"/>
          <w:szCs w:val="21"/>
          <w:highlight w:val="none"/>
          <w:u w:val="single"/>
          <w:lang w:val="en-US" w:eastAsia="zh-CN"/>
        </w:rPr>
        <w:t xml:space="preserve">                           </w:t>
      </w:r>
    </w:p>
    <w:p w14:paraId="17BB73C9">
      <w:pPr>
        <w:pStyle w:val="16"/>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邮编：</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olor w:val="auto"/>
          <w:sz w:val="21"/>
          <w:szCs w:val="21"/>
          <w:highlight w:val="none"/>
        </w:rPr>
        <w:t>电话：</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olor w:val="auto"/>
          <w:sz w:val="21"/>
          <w:szCs w:val="21"/>
          <w:highlight w:val="none"/>
        </w:rPr>
        <w:t>传真：</w:t>
      </w:r>
      <w:r>
        <w:rPr>
          <w:rFonts w:hint="eastAsia" w:asciiTheme="minorEastAsia" w:hAnsiTheme="minorEastAsia" w:eastAsiaTheme="minorEastAsia"/>
          <w:color w:val="auto"/>
          <w:sz w:val="21"/>
          <w:szCs w:val="21"/>
          <w:highlight w:val="none"/>
          <w:u w:val="single"/>
          <w:lang w:val="en-US" w:eastAsia="zh-CN"/>
        </w:rPr>
        <w:t xml:space="preserve">         </w:t>
      </w:r>
    </w:p>
    <w:p w14:paraId="0A2AD0FA">
      <w:pPr>
        <w:pStyle w:val="16"/>
        <w:ind w:firstLine="0"/>
        <w:rPr>
          <w:rFonts w:asciiTheme="minorEastAsia" w:hAnsiTheme="minorEastAsia" w:eastAsiaTheme="minorEastAsia"/>
          <w:color w:val="auto"/>
          <w:sz w:val="21"/>
          <w:szCs w:val="21"/>
          <w:highlight w:val="none"/>
        </w:rPr>
      </w:pPr>
    </w:p>
    <w:p w14:paraId="6D5269F8">
      <w:pPr>
        <w:pStyle w:val="16"/>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投标人（公章）：                  投标人代表（签字或印章）：</w:t>
      </w:r>
    </w:p>
    <w:p w14:paraId="168F4289">
      <w:pPr>
        <w:pStyle w:val="16"/>
        <w:tabs>
          <w:tab w:val="left" w:pos="4841"/>
        </w:tabs>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日      期：     年   月   日</w:t>
      </w:r>
    </w:p>
    <w:p w14:paraId="5767B63E">
      <w:pPr>
        <w:pStyle w:val="16"/>
        <w:tabs>
          <w:tab w:val="left" w:pos="4841"/>
        </w:tabs>
        <w:ind w:firstLine="0"/>
        <w:rPr>
          <w:rFonts w:asciiTheme="minorEastAsia" w:hAnsiTheme="minorEastAsia" w:eastAsiaTheme="minorEastAsia"/>
          <w:color w:val="auto"/>
          <w:sz w:val="21"/>
          <w:szCs w:val="21"/>
          <w:highlight w:val="none"/>
        </w:rPr>
      </w:pPr>
    </w:p>
    <w:p w14:paraId="36EBE169">
      <w:pPr>
        <w:pStyle w:val="3"/>
        <w:spacing w:line="380" w:lineRule="exact"/>
        <w:rPr>
          <w:rFonts w:asciiTheme="minorEastAsia" w:hAnsiTheme="minorEastAsia" w:eastAsiaTheme="minorEastAsia"/>
          <w:bCs w:val="0"/>
          <w:color w:val="auto"/>
          <w:sz w:val="24"/>
          <w:szCs w:val="24"/>
          <w:highlight w:val="none"/>
        </w:rPr>
      </w:pPr>
      <w:r>
        <w:rPr>
          <w:rFonts w:asciiTheme="minorEastAsia" w:hAnsiTheme="minorEastAsia" w:eastAsiaTheme="minorEastAsia"/>
          <w:bCs w:val="0"/>
          <w:color w:val="auto"/>
          <w:sz w:val="24"/>
          <w:szCs w:val="24"/>
          <w:highlight w:val="none"/>
        </w:rPr>
        <w:br w:type="page"/>
      </w:r>
    </w:p>
    <w:p w14:paraId="7DB9FE54">
      <w:pPr>
        <w:rPr>
          <w:rFonts w:asciiTheme="minorEastAsia" w:hAnsiTheme="minorEastAsia" w:eastAsiaTheme="minorEastAsia"/>
          <w:color w:val="auto"/>
          <w:highlight w:val="none"/>
        </w:rPr>
      </w:pPr>
    </w:p>
    <w:p w14:paraId="57342599">
      <w:pPr>
        <w:rPr>
          <w:rFonts w:asciiTheme="minorEastAsia" w:hAnsiTheme="minorEastAsia" w:eastAsiaTheme="minorEastAsia"/>
          <w:color w:val="auto"/>
          <w:highlight w:val="none"/>
        </w:rPr>
      </w:pPr>
    </w:p>
    <w:p w14:paraId="4F1AFF0F">
      <w:pPr>
        <w:pStyle w:val="3"/>
        <w:spacing w:line="380" w:lineRule="exact"/>
        <w:rPr>
          <w:rFonts w:asciiTheme="minorEastAsia" w:hAnsiTheme="minorEastAsia" w:eastAsiaTheme="minorEastAsia"/>
          <w:bCs w:val="0"/>
          <w:color w:val="auto"/>
          <w:sz w:val="24"/>
          <w:szCs w:val="24"/>
          <w:highlight w:val="none"/>
        </w:rPr>
      </w:pPr>
      <w:bookmarkStart w:id="168" w:name="_Toc136345129"/>
      <w:bookmarkStart w:id="169" w:name="_Toc12227"/>
      <w:bookmarkStart w:id="170" w:name="_Toc136017668"/>
      <w:r>
        <w:rPr>
          <w:rFonts w:hint="eastAsia" w:asciiTheme="minorEastAsia" w:hAnsiTheme="minorEastAsia" w:eastAsiaTheme="minorEastAsia"/>
          <w:bCs w:val="0"/>
          <w:color w:val="auto"/>
          <w:sz w:val="24"/>
          <w:szCs w:val="24"/>
          <w:highlight w:val="none"/>
        </w:rPr>
        <w:t>（二）开标一览表</w:t>
      </w:r>
      <w:bookmarkEnd w:id="168"/>
      <w:bookmarkEnd w:id="169"/>
      <w:bookmarkEnd w:id="170"/>
    </w:p>
    <w:p w14:paraId="5FC0E761">
      <w:pPr>
        <w:spacing w:line="400" w:lineRule="exact"/>
        <w:ind w:left="525"/>
        <w:rPr>
          <w:rFonts w:asciiTheme="minorEastAsia" w:hAnsiTheme="minorEastAsia" w:eastAsiaTheme="minorEastAsia"/>
          <w:color w:val="auto"/>
          <w:szCs w:val="21"/>
          <w:highlight w:val="none"/>
        </w:rPr>
      </w:pPr>
    </w:p>
    <w:p w14:paraId="53DF4A74">
      <w:pPr>
        <w:rPr>
          <w:rFonts w:asciiTheme="minorEastAsia" w:hAnsiTheme="minorEastAsia" w:eastAsiaTheme="minorEastAsia"/>
          <w:color w:val="auto"/>
          <w:szCs w:val="21"/>
          <w:highlight w:val="none"/>
        </w:rPr>
      </w:pPr>
    </w:p>
    <w:p w14:paraId="1202ABA4">
      <w:pPr>
        <w:rPr>
          <w:rFonts w:asciiTheme="minorEastAsia" w:hAnsiTheme="minorEastAsia" w:eastAsiaTheme="minorEastAsia"/>
          <w:color w:val="auto"/>
          <w:szCs w:val="21"/>
          <w:highlight w:val="none"/>
        </w:rPr>
      </w:pPr>
    </w:p>
    <w:p w14:paraId="74BBD927">
      <w:pPr>
        <w:rPr>
          <w:rFonts w:asciiTheme="minorEastAsia" w:hAnsiTheme="minorEastAsia" w:eastAsiaTheme="minorEastAsia"/>
          <w:color w:val="auto"/>
          <w:szCs w:val="21"/>
          <w:highlight w:val="none"/>
        </w:rPr>
      </w:pPr>
    </w:p>
    <w:p w14:paraId="6BB1C400">
      <w:pPr>
        <w:spacing w:line="38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lang w:eastAsia="zh-CN"/>
        </w:rPr>
        <w:t>项目编号</w:t>
      </w:r>
      <w:r>
        <w:rPr>
          <w:rFonts w:hint="eastAsia" w:asciiTheme="minorEastAsia" w:hAnsiTheme="minorEastAsia" w:eastAsiaTheme="minorEastAsia"/>
          <w:color w:val="auto"/>
          <w:szCs w:val="21"/>
          <w:highlight w:val="none"/>
        </w:rPr>
        <w:t>：</w:t>
      </w:r>
    </w:p>
    <w:p w14:paraId="1D38AC1B">
      <w:pPr>
        <w:spacing w:line="380" w:lineRule="exact"/>
        <w:rPr>
          <w:rFonts w:asciiTheme="minorEastAsia" w:hAnsiTheme="minorEastAsia" w:eastAsiaTheme="minorEastAsia"/>
          <w:color w:val="auto"/>
          <w:szCs w:val="21"/>
          <w:highlight w:val="none"/>
          <w:u w:val="single"/>
        </w:rPr>
      </w:pPr>
    </w:p>
    <w:tbl>
      <w:tblPr>
        <w:tblStyle w:val="34"/>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14:paraId="41EF3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1198431">
            <w:pPr>
              <w:jc w:val="center"/>
              <w:rPr>
                <w:rFonts w:cs="宋体" w:asciiTheme="minorEastAsia" w:hAnsiTheme="minorEastAsia" w:eastAsiaTheme="minorEastAsia"/>
                <w:i/>
                <w:color w:val="auto"/>
                <w:sz w:val="24"/>
                <w:highlight w:val="none"/>
              </w:rPr>
            </w:pPr>
            <w:r>
              <w:rPr>
                <w:rFonts w:hint="eastAsia" w:cs="宋体" w:asciiTheme="minorEastAsia" w:hAnsiTheme="minorEastAsia" w:eastAsiaTheme="minorEastAsia"/>
                <w:color w:val="auto"/>
                <w:sz w:val="24"/>
                <w:highlight w:val="none"/>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14:paraId="58095B24">
            <w:pPr>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14:paraId="0288D478">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w:t>
            </w:r>
            <w:r>
              <w:rPr>
                <w:rFonts w:cs="宋体" w:asciiTheme="minorEastAsia" w:hAnsiTheme="minorEastAsia" w:eastAsiaTheme="minorEastAsia"/>
                <w:color w:val="auto"/>
                <w:sz w:val="24"/>
                <w:highlight w:val="none"/>
              </w:rPr>
              <w:t>报价（单位：元）</w:t>
            </w:r>
          </w:p>
        </w:tc>
        <w:tc>
          <w:tcPr>
            <w:tcW w:w="2582" w:type="dxa"/>
            <w:tcBorders>
              <w:top w:val="single" w:color="000000" w:sz="4" w:space="0"/>
              <w:left w:val="single" w:color="000000" w:sz="4" w:space="0"/>
              <w:bottom w:val="single" w:color="000000" w:sz="4" w:space="0"/>
              <w:right w:val="single" w:color="000000" w:sz="4" w:space="0"/>
            </w:tcBorders>
            <w:vAlign w:val="center"/>
          </w:tcPr>
          <w:p w14:paraId="2EA697F7">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14:paraId="58273E56">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投标声明</w:t>
            </w:r>
          </w:p>
        </w:tc>
      </w:tr>
      <w:tr w14:paraId="3C8A6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14:paraId="07B938D8">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791" w:type="dxa"/>
            <w:tcBorders>
              <w:top w:val="single" w:color="000000" w:sz="4" w:space="0"/>
              <w:left w:val="single" w:color="000000" w:sz="4" w:space="0"/>
              <w:bottom w:val="single" w:color="000000" w:sz="4" w:space="0"/>
              <w:right w:val="single" w:color="000000" w:sz="4" w:space="0"/>
            </w:tcBorders>
            <w:vAlign w:val="center"/>
          </w:tcPr>
          <w:p w14:paraId="46347194">
            <w:pPr>
              <w:snapToGrid w:val="0"/>
              <w:spacing w:line="26" w:lineRule="atLeast"/>
              <w:jc w:val="both"/>
              <w:rPr>
                <w:rFonts w:hint="default" w:cs="宋体" w:asciiTheme="minorEastAsia" w:hAnsiTheme="minorEastAsia" w:eastAsiaTheme="minorEastAsia"/>
                <w:color w:val="auto"/>
                <w:sz w:val="24"/>
                <w:highlight w:val="none"/>
                <w:u w:val="single"/>
                <w:lang w:val="en-US" w:eastAsia="zh-CN"/>
              </w:rPr>
            </w:pPr>
            <w:r>
              <w:rPr>
                <w:rFonts w:hint="eastAsia" w:cs="宋体" w:asciiTheme="minorEastAsia" w:hAnsiTheme="minorEastAsia" w:eastAsiaTheme="minorEastAsia"/>
                <w:color w:val="auto"/>
                <w:sz w:val="24"/>
                <w:highlight w:val="none"/>
                <w:u w:val="single"/>
                <w:lang w:val="en-US" w:eastAsia="zh-CN"/>
              </w:rPr>
              <w:t xml:space="preserve">           </w:t>
            </w:r>
          </w:p>
        </w:tc>
        <w:tc>
          <w:tcPr>
            <w:tcW w:w="2831" w:type="dxa"/>
            <w:tcBorders>
              <w:top w:val="single" w:color="000000" w:sz="4" w:space="0"/>
              <w:left w:val="single" w:color="000000" w:sz="4" w:space="0"/>
              <w:bottom w:val="single" w:color="000000" w:sz="4" w:space="0"/>
              <w:right w:val="single" w:color="000000" w:sz="4" w:space="0"/>
            </w:tcBorders>
            <w:vAlign w:val="center"/>
          </w:tcPr>
          <w:p w14:paraId="5CE6B4AA">
            <w:pPr>
              <w:snapToGrid w:val="0"/>
              <w:spacing w:line="26" w:lineRule="atLeast"/>
              <w:rPr>
                <w:rFonts w:hint="default" w:asciiTheme="minorEastAsia" w:hAnsiTheme="minorEastAsia" w:eastAsiaTheme="minorEastAsia"/>
                <w:color w:val="auto"/>
                <w:highlight w:val="none"/>
                <w:u w:val="single"/>
                <w:lang w:val="en-US" w:eastAsia="zh-CN"/>
              </w:rPr>
            </w:pPr>
            <w:r>
              <w:rPr>
                <w:rFonts w:hint="eastAsia" w:asciiTheme="minorEastAsia" w:hAnsiTheme="minorEastAsia" w:eastAsiaTheme="minorEastAsia"/>
                <w:color w:val="auto"/>
                <w:highlight w:val="none"/>
              </w:rPr>
              <w:t>大</w:t>
            </w:r>
            <w:r>
              <w:rPr>
                <w:rFonts w:asciiTheme="minorEastAsia" w:hAnsiTheme="minorEastAsia" w:eastAsiaTheme="minorEastAsia"/>
                <w:color w:val="auto"/>
                <w:highlight w:val="none"/>
              </w:rPr>
              <w:t>写</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u w:val="single"/>
                <w:lang w:val="en-US" w:eastAsia="zh-CN"/>
              </w:rPr>
              <w:t xml:space="preserve">         </w:t>
            </w:r>
          </w:p>
          <w:p w14:paraId="1E5A69A9">
            <w:pPr>
              <w:snapToGrid w:val="0"/>
              <w:spacing w:line="26" w:lineRule="atLeast"/>
              <w:ind w:firstLine="210" w:firstLineChars="100"/>
              <w:rPr>
                <w:rFonts w:asciiTheme="minorEastAsia" w:hAnsiTheme="minorEastAsia" w:eastAsiaTheme="minorEastAsia"/>
                <w:color w:val="auto"/>
                <w:highlight w:val="none"/>
              </w:rPr>
            </w:pPr>
          </w:p>
          <w:p w14:paraId="23B8EBE8">
            <w:pPr>
              <w:snapToGrid w:val="0"/>
              <w:spacing w:line="26" w:lineRule="atLeas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小写：</w:t>
            </w:r>
            <w:r>
              <w:rPr>
                <w:rFonts w:hint="eastAsia" w:asciiTheme="minorEastAsia" w:hAnsiTheme="minorEastAsia" w:eastAsiaTheme="minorEastAsia"/>
                <w:color w:val="auto"/>
                <w:highlight w:val="none"/>
                <w:u w:val="single"/>
                <w:lang w:val="en-US" w:eastAsia="zh-CN"/>
              </w:rPr>
              <w:t xml:space="preserve">         </w:t>
            </w:r>
          </w:p>
        </w:tc>
        <w:tc>
          <w:tcPr>
            <w:tcW w:w="2582" w:type="dxa"/>
            <w:tcBorders>
              <w:top w:val="single" w:color="000000" w:sz="4" w:space="0"/>
              <w:left w:val="single" w:color="000000" w:sz="4" w:space="0"/>
              <w:right w:val="single" w:color="000000" w:sz="4" w:space="0"/>
            </w:tcBorders>
            <w:vAlign w:val="center"/>
          </w:tcPr>
          <w:p w14:paraId="13D34A8E">
            <w:pPr>
              <w:snapToGrid w:val="0"/>
              <w:spacing w:line="26" w:lineRule="atLeast"/>
              <w:jc w:val="both"/>
              <w:rPr>
                <w:rFonts w:hint="eastAsia" w:eastAsia="宋体" w:asciiTheme="minorEastAsia" w:hAnsiTheme="minorEastAsia"/>
                <w:color w:val="auto"/>
                <w:highlight w:val="none"/>
                <w:u w:val="single"/>
                <w:lang w:val="en-US" w:eastAsia="zh-CN"/>
              </w:rPr>
            </w:pPr>
            <w:r>
              <w:rPr>
                <w:rFonts w:hint="eastAsia" w:ascii="宋体" w:hAnsi="宋体" w:cs="宋体"/>
                <w:color w:val="auto"/>
                <w:szCs w:val="21"/>
                <w:highlight w:val="none"/>
                <w:lang w:eastAsia="zh-CN"/>
              </w:rPr>
              <w:t>合同签订之日起至完成竣工结（决）算审计止，具体实施开始时间以采购人通知时间为准。</w:t>
            </w:r>
            <w:bookmarkStart w:id="180" w:name="_GoBack"/>
            <w:bookmarkEnd w:id="180"/>
          </w:p>
        </w:tc>
        <w:tc>
          <w:tcPr>
            <w:tcW w:w="1275" w:type="dxa"/>
            <w:tcBorders>
              <w:top w:val="single" w:color="000000" w:sz="4" w:space="0"/>
              <w:left w:val="single" w:color="000000" w:sz="4" w:space="0"/>
              <w:right w:val="single" w:color="000000" w:sz="4" w:space="0"/>
            </w:tcBorders>
            <w:vAlign w:val="center"/>
          </w:tcPr>
          <w:p w14:paraId="282F852F">
            <w:pPr>
              <w:jc w:val="center"/>
              <w:rPr>
                <w:rFonts w:cs="宋体" w:asciiTheme="minorEastAsia" w:hAnsiTheme="minorEastAsia" w:eastAsiaTheme="minorEastAsia"/>
                <w:color w:val="auto"/>
                <w:sz w:val="24"/>
                <w:highlight w:val="none"/>
              </w:rPr>
            </w:pPr>
          </w:p>
        </w:tc>
      </w:tr>
    </w:tbl>
    <w:p w14:paraId="6F7A1EC3">
      <w:pPr>
        <w:spacing w:line="380" w:lineRule="exact"/>
        <w:rPr>
          <w:rFonts w:asciiTheme="minorEastAsia" w:hAnsiTheme="minorEastAsia" w:eastAsiaTheme="minorEastAsia"/>
          <w:color w:val="auto"/>
          <w:szCs w:val="21"/>
          <w:highlight w:val="none"/>
          <w:u w:val="single"/>
        </w:rPr>
      </w:pPr>
    </w:p>
    <w:p w14:paraId="2B11785F">
      <w:pPr>
        <w:spacing w:line="380" w:lineRule="exact"/>
        <w:rPr>
          <w:rFonts w:asciiTheme="minorEastAsia" w:hAnsiTheme="minorEastAsia" w:eastAsiaTheme="minorEastAsia"/>
          <w:color w:val="auto"/>
          <w:szCs w:val="21"/>
          <w:highlight w:val="none"/>
        </w:rPr>
      </w:pPr>
    </w:p>
    <w:p w14:paraId="3CFA2ABE">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  标  人（公章）：</w:t>
      </w:r>
    </w:p>
    <w:p w14:paraId="41E6401A">
      <w:pPr>
        <w:spacing w:line="380" w:lineRule="exact"/>
        <w:rPr>
          <w:rFonts w:asciiTheme="minorEastAsia" w:hAnsiTheme="minorEastAsia" w:eastAsiaTheme="minorEastAsia"/>
          <w:color w:val="auto"/>
          <w:szCs w:val="21"/>
          <w:highlight w:val="none"/>
        </w:rPr>
      </w:pPr>
    </w:p>
    <w:p w14:paraId="3F6E40D0">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投标人代表（签字或印章）：</w:t>
      </w:r>
    </w:p>
    <w:p w14:paraId="6345017A">
      <w:pPr>
        <w:spacing w:line="380" w:lineRule="exact"/>
        <w:rPr>
          <w:rFonts w:asciiTheme="minorEastAsia" w:hAnsiTheme="minorEastAsia" w:eastAsiaTheme="minorEastAsia"/>
          <w:color w:val="auto"/>
          <w:szCs w:val="21"/>
          <w:highlight w:val="none"/>
        </w:rPr>
      </w:pPr>
    </w:p>
    <w:p w14:paraId="1FAA4153">
      <w:pP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日期：</w:t>
      </w:r>
    </w:p>
    <w:p w14:paraId="5F4877F1">
      <w:pPr>
        <w:rPr>
          <w:rFonts w:asciiTheme="minorEastAsia" w:hAnsiTheme="minorEastAsia" w:eastAsiaTheme="minorEastAsia"/>
          <w:color w:val="auto"/>
          <w:highlight w:val="none"/>
        </w:rPr>
      </w:pPr>
    </w:p>
    <w:p w14:paraId="72D375B3">
      <w:pPr>
        <w:rPr>
          <w:rFonts w:asciiTheme="minorEastAsia" w:hAnsiTheme="minorEastAsia" w:eastAsiaTheme="minorEastAsia"/>
          <w:color w:val="auto"/>
          <w:highlight w:val="none"/>
        </w:rPr>
      </w:pPr>
    </w:p>
    <w:p w14:paraId="6E68B9C7">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2562C714">
      <w:pPr>
        <w:rPr>
          <w:rFonts w:asciiTheme="minorEastAsia" w:hAnsiTheme="minorEastAsia" w:eastAsiaTheme="minorEastAsia"/>
          <w:color w:val="auto"/>
          <w:highlight w:val="none"/>
        </w:rPr>
      </w:pPr>
    </w:p>
    <w:p w14:paraId="19F30520">
      <w:pPr>
        <w:autoSpaceDE w:val="0"/>
        <w:autoSpaceDN w:val="0"/>
        <w:jc w:val="center"/>
        <w:rPr>
          <w:rFonts w:hint="eastAsia" w:ascii="宋体" w:hAnsi="宋体" w:eastAsia="宋体" w:cs="宋体"/>
          <w:b/>
          <w:color w:val="auto"/>
          <w:kern w:val="0"/>
          <w:sz w:val="28"/>
          <w:szCs w:val="28"/>
          <w:highlight w:val="none"/>
          <w:lang w:eastAsia="zh-CN"/>
        </w:rPr>
      </w:pPr>
      <w:r>
        <w:rPr>
          <w:rFonts w:hint="eastAsia" w:ascii="宋体" w:hAnsi="宋体" w:cs="宋体"/>
          <w:b/>
          <w:color w:val="auto"/>
          <w:kern w:val="0"/>
          <w:sz w:val="28"/>
          <w:szCs w:val="28"/>
          <w:highlight w:val="none"/>
        </w:rPr>
        <w:t>（三）</w:t>
      </w:r>
      <w:r>
        <w:rPr>
          <w:rFonts w:hint="eastAsia" w:ascii="宋体" w:hAnsi="宋体" w:cs="宋体"/>
          <w:b/>
          <w:color w:val="auto"/>
          <w:kern w:val="0"/>
          <w:sz w:val="28"/>
          <w:szCs w:val="28"/>
          <w:highlight w:val="none"/>
          <w:lang w:eastAsia="zh-CN"/>
        </w:rPr>
        <w:t>廉政责任书</w:t>
      </w:r>
    </w:p>
    <w:p w14:paraId="643ADDC5">
      <w:pPr>
        <w:spacing w:line="360" w:lineRule="auto"/>
        <w:rPr>
          <w:rFonts w:ascii="宋体" w:hAnsi="宋体"/>
          <w:color w:val="auto"/>
          <w:szCs w:val="21"/>
          <w:highlight w:val="none"/>
        </w:rPr>
      </w:pPr>
    </w:p>
    <w:p w14:paraId="3E6ABCD8">
      <w:pPr>
        <w:spacing w:line="288" w:lineRule="auto"/>
        <w:rPr>
          <w:rFonts w:hint="eastAsia" w:ascii="宋体" w:hAnsi="宋体"/>
          <w:color w:val="auto"/>
          <w:szCs w:val="21"/>
          <w:highlight w:val="none"/>
        </w:rPr>
      </w:pPr>
      <w:r>
        <w:rPr>
          <w:rFonts w:hint="eastAsia" w:ascii="宋体" w:hAnsi="宋体"/>
          <w:color w:val="auto"/>
          <w:szCs w:val="21"/>
          <w:highlight w:val="none"/>
        </w:rPr>
        <w:t>宁波市北仑区审计局：</w:t>
      </w:r>
    </w:p>
    <w:p w14:paraId="22EA8126">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根据《中华人民共和国审计法》《中华人民共和国审计法实施条例》《宁波市政府投资项目审计监督办法》等有关规定，为了确保我们承办的</w:t>
      </w:r>
      <w:r>
        <w:rPr>
          <w:rFonts w:hint="eastAsia" w:ascii="宋体" w:hAnsi="宋体" w:eastAsia="宋体" w:cs="宋体"/>
          <w:color w:val="auto"/>
          <w:szCs w:val="21"/>
          <w:highlight w:val="none"/>
          <w:lang w:eastAsia="zh-CN"/>
        </w:rPr>
        <w:t>北仑区东海实验学校庐南校区项目</w:t>
      </w:r>
      <w:r>
        <w:rPr>
          <w:rFonts w:hint="eastAsia" w:ascii="宋体" w:hAnsi="宋体"/>
          <w:color w:val="auto"/>
          <w:szCs w:val="21"/>
          <w:highlight w:val="none"/>
        </w:rPr>
        <w:t>协助审计工作顺利完成，我们郑重承诺：</w:t>
      </w:r>
    </w:p>
    <w:p w14:paraId="43CBD5D2">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一、严格遵守法律法规  </w:t>
      </w:r>
    </w:p>
    <w:p w14:paraId="3CA87347">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严格遵守《中华人民共和国审计法》《中华人民共和国审计法实施条例》《中华人民共和国国家审计准则》《宁波市政府投资项目审计监督办法》等法律法规，依法依规配合审计工作。</w:t>
      </w:r>
    </w:p>
    <w:p w14:paraId="321DC4CE">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二、保持独立客观公正  </w:t>
      </w:r>
    </w:p>
    <w:p w14:paraId="61CD2210">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确保审计工作的独立性，不因任何单位、个人或利益关系影响审计结论的客观公正；如实记录审计发现的问题，不隐瞒、篡改、编造审计证据。</w:t>
      </w:r>
    </w:p>
    <w:p w14:paraId="264B6039">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三、保密义务  </w:t>
      </w:r>
    </w:p>
    <w:p w14:paraId="5784D1C2">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对审计过程中知悉的国家秘密、商业秘密、个人隐私及其他敏感信息严格保密，不擅自披露或用于其他用途；审计工作结束后，按规定妥善保管或移交相关文件资料。</w:t>
      </w:r>
    </w:p>
    <w:p w14:paraId="78F32BA1">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四、廉洁自律  </w:t>
      </w:r>
    </w:p>
    <w:p w14:paraId="2DBACC73">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不接受被审计单位或相关方的礼品、礼金、有价证券、宴请、娱乐活动等任何可能影响公正履职的利益；不利用审计工作便利谋取私利。</w:t>
      </w:r>
    </w:p>
    <w:p w14:paraId="56AC8EEB">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五、规范行为  </w:t>
      </w:r>
    </w:p>
    <w:p w14:paraId="4387D1CA">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严格执行审计工作程序，文明审计，不滥用职权，不向被审计单位提出与审计无关的要求。</w:t>
      </w:r>
    </w:p>
    <w:p w14:paraId="43770987">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六、接受监督  </w:t>
      </w:r>
    </w:p>
    <w:p w14:paraId="448E5780">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主动接受北仑区审计局、被审计单位及社会公众的监督，配合廉政回访和调查。</w:t>
      </w:r>
    </w:p>
    <w:p w14:paraId="374025EB">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七、责任追究</w:t>
      </w:r>
    </w:p>
    <w:p w14:paraId="577577EB">
      <w:pPr>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如违反上述承诺，本单位及个人愿意承担相应法律责任，并接受组织处理或纪律处分；给北仑区审计局造成经济损失的，应予以赔偿。</w:t>
      </w:r>
    </w:p>
    <w:p w14:paraId="1317BD2C">
      <w:pPr>
        <w:spacing w:line="288" w:lineRule="auto"/>
        <w:rPr>
          <w:rFonts w:hint="eastAsia" w:ascii="宋体" w:hAnsi="宋体"/>
          <w:color w:val="auto"/>
          <w:szCs w:val="21"/>
          <w:highlight w:val="none"/>
        </w:rPr>
      </w:pPr>
    </w:p>
    <w:p w14:paraId="44686F54">
      <w:pPr>
        <w:keepNext w:val="0"/>
        <w:keepLines w:val="0"/>
        <w:pageBreakBefore w:val="0"/>
        <w:kinsoku/>
        <w:wordWrap/>
        <w:overflowPunct/>
        <w:topLinePunct w:val="0"/>
        <w:autoSpaceDE/>
        <w:autoSpaceDN/>
        <w:bidi w:val="0"/>
        <w:adjustRightInd/>
        <w:spacing w:line="500" w:lineRule="exact"/>
        <w:ind w:firstLine="420"/>
        <w:textAlignment w:val="auto"/>
        <w:rPr>
          <w:rFonts w:ascii="宋体" w:hAnsi="宋体"/>
          <w:color w:val="auto"/>
          <w:szCs w:val="21"/>
          <w:highlight w:val="none"/>
        </w:rPr>
      </w:pPr>
      <w:r>
        <w:rPr>
          <w:rFonts w:hint="eastAsia" w:ascii="宋体" w:hAnsi="宋体"/>
          <w:color w:val="auto"/>
          <w:szCs w:val="21"/>
          <w:highlight w:val="none"/>
        </w:rPr>
        <w:t>本承诺书一式两份，贵局和我们各执一份，盖章签字后生效。</w:t>
      </w:r>
    </w:p>
    <w:p w14:paraId="2A4AA30D">
      <w:pPr>
        <w:spacing w:line="288" w:lineRule="auto"/>
        <w:ind w:firstLine="3885" w:firstLineChars="1850"/>
        <w:rPr>
          <w:rFonts w:hint="eastAsia" w:ascii="宋体" w:hAnsi="宋体"/>
          <w:color w:val="auto"/>
          <w:szCs w:val="21"/>
          <w:highlight w:val="none"/>
        </w:rPr>
      </w:pPr>
    </w:p>
    <w:p w14:paraId="45C1CB90">
      <w:pPr>
        <w:spacing w:line="288" w:lineRule="auto"/>
        <w:ind w:firstLine="3885" w:firstLineChars="1850"/>
        <w:rPr>
          <w:rFonts w:hint="eastAsia" w:ascii="宋体" w:hAnsi="宋体"/>
          <w:color w:val="auto"/>
          <w:szCs w:val="21"/>
          <w:highlight w:val="none"/>
        </w:rPr>
      </w:pPr>
    </w:p>
    <w:p w14:paraId="3EE5656A">
      <w:pPr>
        <w:spacing w:line="288" w:lineRule="auto"/>
        <w:ind w:firstLine="3885" w:firstLineChars="1850"/>
        <w:rPr>
          <w:rFonts w:hint="eastAsia" w:ascii="宋体" w:hAnsi="宋体"/>
          <w:color w:val="auto"/>
          <w:szCs w:val="21"/>
          <w:highlight w:val="none"/>
        </w:rPr>
      </w:pPr>
    </w:p>
    <w:p w14:paraId="4DA134A4">
      <w:pPr>
        <w:spacing w:line="288" w:lineRule="auto"/>
        <w:ind w:firstLine="3885" w:firstLineChars="1850"/>
        <w:rPr>
          <w:rFonts w:hint="eastAsia" w:ascii="宋体" w:hAnsi="宋体"/>
          <w:color w:val="auto"/>
          <w:szCs w:val="21"/>
          <w:highlight w:val="none"/>
        </w:rPr>
      </w:pPr>
    </w:p>
    <w:p w14:paraId="5A05D69F">
      <w:pPr>
        <w:spacing w:line="288" w:lineRule="auto"/>
        <w:ind w:firstLine="3885" w:firstLineChars="1850"/>
        <w:rPr>
          <w:rFonts w:ascii="宋体" w:hAnsi="宋体"/>
          <w:color w:val="auto"/>
          <w:szCs w:val="21"/>
          <w:highlight w:val="none"/>
        </w:rPr>
      </w:pPr>
      <w:r>
        <w:rPr>
          <w:rFonts w:hint="eastAsia" w:ascii="宋体" w:hAnsi="宋体"/>
          <w:color w:val="auto"/>
          <w:szCs w:val="21"/>
          <w:highlight w:val="none"/>
        </w:rPr>
        <w:t>承诺单位(人)签章：</w:t>
      </w:r>
    </w:p>
    <w:p w14:paraId="294724F8">
      <w:pPr>
        <w:spacing w:line="288" w:lineRule="auto"/>
        <w:ind w:firstLine="3885" w:firstLineChars="1850"/>
        <w:rPr>
          <w:rFonts w:ascii="宋体" w:hAnsi="宋体"/>
          <w:color w:val="auto"/>
          <w:szCs w:val="21"/>
          <w:highlight w:val="none"/>
        </w:rPr>
      </w:pPr>
    </w:p>
    <w:p w14:paraId="3FFC5BE4">
      <w:pPr>
        <w:spacing w:line="288" w:lineRule="auto"/>
        <w:ind w:firstLine="3885" w:firstLineChars="1850"/>
        <w:rPr>
          <w:rFonts w:ascii="宋体" w:hAnsi="宋体"/>
          <w:color w:val="auto"/>
          <w:szCs w:val="21"/>
          <w:highlight w:val="none"/>
        </w:rPr>
      </w:pPr>
      <w:r>
        <w:rPr>
          <w:rFonts w:hint="eastAsia" w:ascii="宋体" w:hAnsi="宋体"/>
          <w:color w:val="auto"/>
          <w:szCs w:val="21"/>
          <w:highlight w:val="none"/>
        </w:rPr>
        <w:t>法定代表人（签字或盖章）：</w:t>
      </w:r>
    </w:p>
    <w:p w14:paraId="26742453">
      <w:pPr>
        <w:spacing w:line="288" w:lineRule="auto"/>
        <w:ind w:firstLine="3885" w:firstLineChars="1850"/>
        <w:rPr>
          <w:rFonts w:ascii="宋体" w:hAnsi="宋体"/>
          <w:color w:val="auto"/>
          <w:szCs w:val="21"/>
          <w:highlight w:val="none"/>
        </w:rPr>
      </w:pPr>
    </w:p>
    <w:p w14:paraId="1B4C1E78">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p w14:paraId="3E8E7465">
      <w:pPr>
        <w:autoSpaceDE w:val="0"/>
        <w:autoSpaceDN w:val="0"/>
        <w:jc w:val="center"/>
        <w:rPr>
          <w:rFonts w:ascii="宋体" w:hAnsi="宋体" w:cs="宋体"/>
          <w:b/>
          <w:color w:val="auto"/>
          <w:kern w:val="0"/>
          <w:sz w:val="28"/>
          <w:szCs w:val="28"/>
          <w:highlight w:val="none"/>
        </w:rPr>
      </w:pPr>
    </w:p>
    <w:p w14:paraId="6D4794AE">
      <w:pPr>
        <w:autoSpaceDE w:val="0"/>
        <w:autoSpaceDN w:val="0"/>
        <w:jc w:val="center"/>
        <w:rPr>
          <w:rFonts w:ascii="宋体" w:hAnsi="宋体" w:cs="宋体"/>
          <w:b/>
          <w:color w:val="auto"/>
          <w:kern w:val="0"/>
          <w:sz w:val="28"/>
          <w:szCs w:val="28"/>
          <w:highlight w:val="none"/>
        </w:rPr>
      </w:pPr>
    </w:p>
    <w:p w14:paraId="3EFF700B">
      <w:pPr>
        <w:pStyle w:val="43"/>
        <w:rPr>
          <w:rFonts w:ascii="宋体" w:hAnsi="宋体" w:cs="宋体"/>
          <w:b/>
          <w:color w:val="auto"/>
          <w:kern w:val="0"/>
          <w:sz w:val="28"/>
          <w:szCs w:val="28"/>
          <w:highlight w:val="none"/>
        </w:rPr>
      </w:pPr>
    </w:p>
    <w:p w14:paraId="59CEF4BB">
      <w:pPr>
        <w:pStyle w:val="43"/>
        <w:rPr>
          <w:rFonts w:ascii="宋体" w:hAnsi="宋体" w:cs="宋体"/>
          <w:b/>
          <w:color w:val="auto"/>
          <w:kern w:val="0"/>
          <w:sz w:val="28"/>
          <w:szCs w:val="28"/>
          <w:highlight w:val="none"/>
        </w:rPr>
      </w:pPr>
    </w:p>
    <w:p w14:paraId="4978E4DD">
      <w:pPr>
        <w:pStyle w:val="43"/>
        <w:rPr>
          <w:rFonts w:ascii="宋体" w:hAnsi="宋体" w:cs="宋体"/>
          <w:b/>
          <w:color w:val="auto"/>
          <w:kern w:val="0"/>
          <w:sz w:val="28"/>
          <w:szCs w:val="28"/>
          <w:highlight w:val="none"/>
        </w:rPr>
      </w:pPr>
    </w:p>
    <w:p w14:paraId="696BBEF1">
      <w:pPr>
        <w:autoSpaceDE w:val="0"/>
        <w:autoSpaceDN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（四）享受政府采购价格优惠政策需提供的证明资料</w:t>
      </w:r>
    </w:p>
    <w:p w14:paraId="60152DAF">
      <w:pPr>
        <w:spacing w:line="360" w:lineRule="auto"/>
        <w:rPr>
          <w:rFonts w:cs="仿宋_GB2312" w:asciiTheme="minorEastAsia" w:hAnsiTheme="minorEastAsia" w:eastAsiaTheme="minorEastAsia"/>
          <w:color w:val="auto"/>
          <w:sz w:val="24"/>
          <w:highlight w:val="none"/>
        </w:rPr>
      </w:pPr>
    </w:p>
    <w:p w14:paraId="1744F8BA">
      <w:pPr>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w:t>
      </w:r>
      <w:r>
        <w:rPr>
          <w:rFonts w:hint="eastAsia" w:asciiTheme="minorEastAsia" w:hAnsiTheme="minorEastAsia" w:eastAsiaTheme="minorEastAsia"/>
          <w:color w:val="auto"/>
          <w:sz w:val="21"/>
          <w:szCs w:val="21"/>
          <w:highlight w:val="none"/>
        </w:rPr>
        <w:t>需提供相应的</w:t>
      </w:r>
      <w:r>
        <w:rPr>
          <w:rFonts w:hint="eastAsia" w:cs="仿宋_GB2312" w:asciiTheme="minorEastAsia" w:hAnsiTheme="minorEastAsia" w:eastAsiaTheme="minorEastAsia"/>
          <w:color w:val="auto"/>
          <w:sz w:val="21"/>
          <w:szCs w:val="21"/>
          <w:highlight w:val="none"/>
        </w:rPr>
        <w:t>中小企业声明函（附件1）、</w:t>
      </w:r>
      <w:r>
        <w:rPr>
          <w:rFonts w:hint="eastAsia" w:asciiTheme="minorEastAsia" w:hAnsiTheme="minorEastAsia" w:eastAsiaTheme="minorEastAsia"/>
          <w:color w:val="auto"/>
          <w:sz w:val="21"/>
          <w:szCs w:val="21"/>
          <w:highlight w:val="none"/>
        </w:rPr>
        <w:t>残疾人福利性单位声明函（附件2）；无法享受的，无需提供</w:t>
      </w:r>
      <w:r>
        <w:rPr>
          <w:rFonts w:hint="eastAsia" w:cs="仿宋_GB2312"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br w:type="page"/>
      </w:r>
    </w:p>
    <w:p w14:paraId="0A5777A2">
      <w:pPr>
        <w:pStyle w:val="3"/>
        <w:spacing w:line="380" w:lineRule="exact"/>
        <w:rPr>
          <w:rFonts w:asciiTheme="minorEastAsia" w:hAnsiTheme="minorEastAsia" w:eastAsiaTheme="minorEastAsia"/>
          <w:color w:val="auto"/>
          <w:sz w:val="28"/>
          <w:szCs w:val="28"/>
          <w:highlight w:val="none"/>
        </w:rPr>
      </w:pPr>
      <w:bookmarkStart w:id="171" w:name="_Toc136345130"/>
      <w:bookmarkStart w:id="172" w:name="_Toc136017669"/>
      <w:bookmarkStart w:id="173" w:name="_Toc20265"/>
      <w:r>
        <w:rPr>
          <w:rFonts w:hint="eastAsia" w:asciiTheme="minorEastAsia" w:hAnsiTheme="minorEastAsia" w:eastAsiaTheme="minorEastAsia"/>
          <w:color w:val="auto"/>
          <w:sz w:val="28"/>
          <w:szCs w:val="28"/>
          <w:highlight w:val="none"/>
        </w:rPr>
        <w:t>附  件</w:t>
      </w:r>
      <w:bookmarkEnd w:id="171"/>
      <w:bookmarkEnd w:id="172"/>
      <w:bookmarkEnd w:id="173"/>
    </w:p>
    <w:p w14:paraId="16D3DA26">
      <w:pPr>
        <w:pStyle w:val="3"/>
        <w:spacing w:line="380" w:lineRule="exact"/>
        <w:rPr>
          <w:rFonts w:asciiTheme="minorEastAsia" w:hAnsiTheme="minorEastAsia" w:eastAsiaTheme="minorEastAsia"/>
          <w:color w:val="auto"/>
          <w:sz w:val="24"/>
          <w:szCs w:val="24"/>
          <w:highlight w:val="none"/>
        </w:rPr>
      </w:pPr>
    </w:p>
    <w:p w14:paraId="46DABDDB">
      <w:pPr>
        <w:pStyle w:val="3"/>
        <w:spacing w:line="380" w:lineRule="exact"/>
        <w:jc w:val="both"/>
        <w:rPr>
          <w:rFonts w:hint="eastAsia" w:asciiTheme="minorEastAsia" w:hAnsiTheme="minorEastAsia" w:eastAsiaTheme="minorEastAsia"/>
          <w:color w:val="auto"/>
          <w:sz w:val="24"/>
          <w:szCs w:val="24"/>
          <w:highlight w:val="none"/>
        </w:rPr>
      </w:pPr>
      <w:bookmarkStart w:id="174" w:name="_Toc19350"/>
      <w:bookmarkStart w:id="175" w:name="_Toc136017670"/>
      <w:bookmarkStart w:id="176" w:name="_Toc136345131"/>
      <w:r>
        <w:rPr>
          <w:rFonts w:hint="eastAsia" w:asciiTheme="minorEastAsia" w:hAnsiTheme="minorEastAsia" w:eastAsiaTheme="minorEastAsia"/>
          <w:color w:val="auto"/>
          <w:sz w:val="24"/>
          <w:szCs w:val="24"/>
          <w:highlight w:val="none"/>
        </w:rPr>
        <w:t xml:space="preserve">附件1                    </w:t>
      </w:r>
    </w:p>
    <w:p w14:paraId="38F5CBDE">
      <w:pPr>
        <w:pStyle w:val="3"/>
        <w:spacing w:line="3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中小企业声明函</w:t>
      </w:r>
      <w:bookmarkEnd w:id="174"/>
      <w:bookmarkEnd w:id="175"/>
      <w:bookmarkEnd w:id="176"/>
    </w:p>
    <w:p w14:paraId="02E91F03">
      <w:pPr>
        <w:rPr>
          <w:rFonts w:asciiTheme="minorEastAsia" w:hAnsiTheme="minorEastAsia" w:eastAsiaTheme="minorEastAsia"/>
          <w:color w:val="auto"/>
          <w:highlight w:val="none"/>
        </w:rPr>
      </w:pPr>
    </w:p>
    <w:p w14:paraId="72EC3EB5">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本公司（</w:t>
      </w:r>
      <w:r>
        <w:rPr>
          <w:rFonts w:hint="eastAsia" w:asciiTheme="minorEastAsia" w:hAnsiTheme="minorEastAsia" w:eastAsiaTheme="minorEastAsia"/>
          <w:i/>
          <w:iCs/>
          <w:color w:val="auto"/>
          <w:spacing w:val="6"/>
          <w:szCs w:val="21"/>
          <w:highlight w:val="none"/>
        </w:rPr>
        <w:t>联合体</w:t>
      </w:r>
      <w:r>
        <w:rPr>
          <w:rFonts w:hint="eastAsia" w:asciiTheme="minorEastAsia" w:hAnsiTheme="minorEastAsia" w:eastAsiaTheme="minorEastAsia"/>
          <w:color w:val="auto"/>
          <w:spacing w:val="6"/>
          <w:szCs w:val="21"/>
          <w:highlight w:val="none"/>
        </w:rPr>
        <w:t>）郑重声明，根据《政府采购促进中小企业发展管理办法》（财库[2020]46号）的规定，本公司（</w:t>
      </w:r>
      <w:r>
        <w:rPr>
          <w:rFonts w:hint="eastAsia" w:asciiTheme="minorEastAsia" w:hAnsiTheme="minorEastAsia" w:eastAsiaTheme="minorEastAsia"/>
          <w:i/>
          <w:iCs/>
          <w:color w:val="auto"/>
          <w:spacing w:val="6"/>
          <w:szCs w:val="21"/>
          <w:highlight w:val="none"/>
        </w:rPr>
        <w:t>联合体</w:t>
      </w:r>
      <w:r>
        <w:rPr>
          <w:rFonts w:hint="eastAsia" w:asciiTheme="minorEastAsia" w:hAnsiTheme="minorEastAsia" w:eastAsiaTheme="minorEastAsia"/>
          <w:color w:val="auto"/>
          <w:spacing w:val="6"/>
          <w:szCs w:val="21"/>
          <w:highlight w:val="none"/>
        </w:rPr>
        <w:t>）参加</w:t>
      </w:r>
      <w:r>
        <w:rPr>
          <w:rFonts w:hint="eastAsia" w:asciiTheme="minorEastAsia" w:hAnsiTheme="minorEastAsia" w:eastAsiaTheme="minorEastAsia"/>
          <w:i/>
          <w:color w:val="auto"/>
          <w:spacing w:val="6"/>
          <w:szCs w:val="21"/>
          <w:highlight w:val="none"/>
          <w:u w:val="single"/>
        </w:rPr>
        <w:t>（单位名称）</w:t>
      </w:r>
      <w:r>
        <w:rPr>
          <w:rFonts w:hint="eastAsia" w:asciiTheme="minorEastAsia" w:hAnsiTheme="minorEastAsia" w:eastAsiaTheme="minorEastAsia"/>
          <w:color w:val="auto"/>
          <w:spacing w:val="6"/>
          <w:szCs w:val="21"/>
          <w:highlight w:val="none"/>
        </w:rPr>
        <w:t>的</w:t>
      </w:r>
      <w:r>
        <w:rPr>
          <w:rFonts w:hint="eastAsia" w:asciiTheme="minorEastAsia" w:hAnsiTheme="minorEastAsia" w:eastAsiaTheme="minorEastAsia"/>
          <w:i/>
          <w:color w:val="auto"/>
          <w:spacing w:val="6"/>
          <w:szCs w:val="21"/>
          <w:highlight w:val="none"/>
          <w:u w:val="single"/>
        </w:rPr>
        <w:t>（项目名称）</w:t>
      </w:r>
      <w:r>
        <w:rPr>
          <w:rFonts w:hint="eastAsia" w:asciiTheme="minorEastAsia" w:hAnsiTheme="minorEastAsia" w:eastAsiaTheme="minorEastAsia"/>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FAB31F">
      <w:pPr>
        <w:spacing w:line="360" w:lineRule="auto"/>
        <w:ind w:firstLine="444" w:firstLineChars="200"/>
        <w:rPr>
          <w:rFonts w:asciiTheme="minorEastAsia" w:hAnsiTheme="minorEastAsia" w:eastAsiaTheme="minorEastAsia"/>
          <w:color w:val="auto"/>
          <w:spacing w:val="6"/>
          <w:szCs w:val="21"/>
          <w:highlight w:val="none"/>
          <w:u w:val="single"/>
        </w:rPr>
      </w:pPr>
      <w:r>
        <w:rPr>
          <w:rFonts w:hint="eastAsia" w:asciiTheme="minorEastAsia" w:hAnsiTheme="minorEastAsia" w:eastAsiaTheme="minorEastAsia"/>
          <w:color w:val="auto"/>
          <w:spacing w:val="6"/>
          <w:szCs w:val="21"/>
          <w:highlight w:val="none"/>
        </w:rPr>
        <w:t>1.</w:t>
      </w:r>
      <w:r>
        <w:rPr>
          <w:rFonts w:hint="eastAsia" w:asciiTheme="minorEastAsia" w:hAnsiTheme="minorEastAsia" w:eastAsiaTheme="minorEastAsia"/>
          <w:color w:val="auto"/>
          <w:spacing w:val="6"/>
          <w:szCs w:val="21"/>
          <w:highlight w:val="none"/>
          <w:u w:val="single"/>
          <w:lang w:eastAsia="zh-CN"/>
        </w:rPr>
        <w:t>宁波市北仑区东海实验学校庐南校区2025年度预算执行审计协审服务</w:t>
      </w:r>
      <w:r>
        <w:rPr>
          <w:rFonts w:hint="eastAsia" w:asciiTheme="minorEastAsia" w:hAnsiTheme="minorEastAsia" w:eastAsiaTheme="minorEastAsia"/>
          <w:color w:val="auto"/>
          <w:spacing w:val="6"/>
          <w:szCs w:val="21"/>
          <w:highlight w:val="none"/>
        </w:rPr>
        <w:t>，属于</w:t>
      </w:r>
      <w:r>
        <w:rPr>
          <w:rFonts w:hint="eastAsia" w:asciiTheme="minorEastAsia" w:hAnsiTheme="minorEastAsia" w:eastAsiaTheme="minorEastAsia"/>
          <w:color w:val="auto"/>
          <w:spacing w:val="6"/>
          <w:szCs w:val="21"/>
          <w:highlight w:val="none"/>
          <w:u w:val="single"/>
        </w:rPr>
        <w:t>租赁和商务服务业</w:t>
      </w:r>
      <w:r>
        <w:rPr>
          <w:rFonts w:hint="eastAsia" w:asciiTheme="minorEastAsia" w:hAnsiTheme="minorEastAsia" w:eastAsiaTheme="minorEastAsia"/>
          <w:color w:val="auto"/>
          <w:spacing w:val="6"/>
          <w:szCs w:val="21"/>
          <w:highlight w:val="none"/>
        </w:rPr>
        <w:t>；承建（承接）企业为</w:t>
      </w:r>
      <w:r>
        <w:rPr>
          <w:rFonts w:hint="eastAsia" w:asciiTheme="minorEastAsia" w:hAnsiTheme="minorEastAsia" w:eastAsiaTheme="minorEastAsia"/>
          <w:i/>
          <w:color w:val="auto"/>
          <w:spacing w:val="6"/>
          <w:szCs w:val="21"/>
          <w:highlight w:val="none"/>
          <w:u w:val="single"/>
        </w:rPr>
        <w:t>（企业名称）</w:t>
      </w:r>
      <w:r>
        <w:rPr>
          <w:rFonts w:hint="eastAsia" w:asciiTheme="minorEastAsia" w:hAnsiTheme="minorEastAsia" w:eastAsiaTheme="minorEastAsia"/>
          <w:color w:val="auto"/>
          <w:spacing w:val="6"/>
          <w:szCs w:val="21"/>
          <w:highlight w:val="none"/>
        </w:rPr>
        <w:t>，从业人员</w:t>
      </w:r>
      <w:r>
        <w:rPr>
          <w:rFonts w:hint="eastAsia" w:asciiTheme="minorEastAsia" w:hAnsiTheme="minorEastAsia" w:eastAsiaTheme="minorEastAsia"/>
          <w:color w:val="auto"/>
          <w:spacing w:val="6"/>
          <w:szCs w:val="21"/>
          <w:highlight w:val="none"/>
          <w:u w:val="single"/>
          <w:lang w:val="en-US" w:eastAsia="zh-CN"/>
        </w:rPr>
        <w:t xml:space="preserve">  </w:t>
      </w:r>
      <w:r>
        <w:rPr>
          <w:rFonts w:hint="eastAsia" w:asciiTheme="minorEastAsia" w:hAnsiTheme="minorEastAsia" w:eastAsiaTheme="minorEastAsia"/>
          <w:color w:val="auto"/>
          <w:spacing w:val="6"/>
          <w:szCs w:val="21"/>
          <w:highlight w:val="none"/>
        </w:rPr>
        <w:t>人，营业收入为</w:t>
      </w:r>
      <w:r>
        <w:rPr>
          <w:rFonts w:hint="eastAsia" w:asciiTheme="minorEastAsia" w:hAnsiTheme="minorEastAsia" w:eastAsiaTheme="minorEastAsia"/>
          <w:color w:val="auto"/>
          <w:spacing w:val="6"/>
          <w:szCs w:val="21"/>
          <w:highlight w:val="none"/>
          <w:u w:val="single"/>
          <w:lang w:val="en-US" w:eastAsia="zh-CN"/>
        </w:rPr>
        <w:t xml:space="preserve">  </w:t>
      </w:r>
      <w:r>
        <w:rPr>
          <w:rFonts w:hint="eastAsia" w:asciiTheme="minorEastAsia" w:hAnsiTheme="minorEastAsia" w:eastAsiaTheme="minorEastAsia"/>
          <w:color w:val="auto"/>
          <w:spacing w:val="6"/>
          <w:szCs w:val="21"/>
          <w:highlight w:val="none"/>
        </w:rPr>
        <w:t>万元，资产总额为</w:t>
      </w:r>
      <w:r>
        <w:rPr>
          <w:rFonts w:hint="eastAsia" w:asciiTheme="minorEastAsia" w:hAnsiTheme="minorEastAsia" w:eastAsiaTheme="minorEastAsia"/>
          <w:color w:val="auto"/>
          <w:spacing w:val="6"/>
          <w:szCs w:val="21"/>
          <w:highlight w:val="none"/>
          <w:u w:val="single"/>
          <w:lang w:val="en-US" w:eastAsia="zh-CN"/>
        </w:rPr>
        <w:t xml:space="preserve">  </w:t>
      </w:r>
      <w:r>
        <w:rPr>
          <w:rFonts w:hint="eastAsia" w:asciiTheme="minorEastAsia" w:hAnsiTheme="minorEastAsia" w:eastAsiaTheme="minorEastAsia"/>
          <w:color w:val="auto"/>
          <w:spacing w:val="6"/>
          <w:szCs w:val="21"/>
          <w:highlight w:val="none"/>
        </w:rPr>
        <w:t>万元，属于</w:t>
      </w:r>
      <w:r>
        <w:rPr>
          <w:rFonts w:hint="eastAsia" w:asciiTheme="minorEastAsia" w:hAnsiTheme="minorEastAsia" w:eastAsiaTheme="minorEastAsia"/>
          <w:i/>
          <w:color w:val="auto"/>
          <w:spacing w:val="6"/>
          <w:szCs w:val="21"/>
          <w:highlight w:val="none"/>
          <w:u w:val="single"/>
        </w:rPr>
        <w:t>（中型企业、小型企业、微型企业）</w:t>
      </w:r>
      <w:r>
        <w:rPr>
          <w:rFonts w:hint="eastAsia" w:asciiTheme="minorEastAsia" w:hAnsiTheme="minorEastAsia" w:eastAsiaTheme="minorEastAsia"/>
          <w:color w:val="auto"/>
          <w:spacing w:val="6"/>
          <w:szCs w:val="21"/>
          <w:highlight w:val="none"/>
        </w:rPr>
        <w:t>；</w:t>
      </w:r>
    </w:p>
    <w:p w14:paraId="0596C788">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w:t>
      </w:r>
    </w:p>
    <w:p w14:paraId="42CA6442">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以上企业，不属于大企业的分支机构，不存在控股股东为大企业的情形，也不存在与大企业的负责人为同一人的情形。</w:t>
      </w:r>
    </w:p>
    <w:p w14:paraId="47143978">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本企业对上述声明内容的真实性负责。如有虚假，将依法承担相应责任。</w:t>
      </w:r>
    </w:p>
    <w:p w14:paraId="3091E51C">
      <w:pPr>
        <w:tabs>
          <w:tab w:val="left" w:pos="4860"/>
        </w:tabs>
        <w:spacing w:line="360" w:lineRule="auto"/>
        <w:ind w:right="-58" w:firstLine="999" w:firstLineChars="450"/>
        <w:rPr>
          <w:rFonts w:asciiTheme="minorEastAsia" w:hAnsiTheme="minorEastAsia" w:eastAsiaTheme="minorEastAsia"/>
          <w:color w:val="auto"/>
          <w:spacing w:val="6"/>
          <w:szCs w:val="21"/>
          <w:highlight w:val="none"/>
        </w:rPr>
      </w:pPr>
    </w:p>
    <w:p w14:paraId="050F025C">
      <w:pPr>
        <w:tabs>
          <w:tab w:val="left" w:pos="4860"/>
        </w:tabs>
        <w:spacing w:line="360" w:lineRule="auto"/>
        <w:ind w:right="-58" w:firstLine="4773" w:firstLineChars="215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 xml:space="preserve">企业名称（公章）：                </w:t>
      </w:r>
    </w:p>
    <w:p w14:paraId="26B5E29F">
      <w:pPr>
        <w:tabs>
          <w:tab w:val="left" w:pos="4860"/>
        </w:tabs>
        <w:spacing w:line="360" w:lineRule="auto"/>
        <w:ind w:right="-58" w:firstLine="4773" w:firstLineChars="2150"/>
        <w:rPr>
          <w:rFonts w:hint="eastAsia"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 xml:space="preserve">日期：  </w:t>
      </w:r>
    </w:p>
    <w:p w14:paraId="6EBA3923">
      <w:pPr>
        <w:tabs>
          <w:tab w:val="left" w:pos="4860"/>
        </w:tabs>
        <w:spacing w:line="360" w:lineRule="auto"/>
        <w:ind w:right="-58" w:firstLine="4773" w:firstLineChars="2150"/>
        <w:rPr>
          <w:rFonts w:hint="eastAsia" w:asciiTheme="minorEastAsia" w:hAnsiTheme="minorEastAsia" w:eastAsiaTheme="minorEastAsia"/>
          <w:color w:val="auto"/>
          <w:spacing w:val="6"/>
          <w:szCs w:val="21"/>
          <w:highlight w:val="none"/>
        </w:rPr>
      </w:pPr>
    </w:p>
    <w:p w14:paraId="328E6263">
      <w:pPr>
        <w:spacing w:line="360" w:lineRule="auto"/>
        <w:ind w:right="420"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auto"/>
          <w:spacing w:val="6"/>
          <w:szCs w:val="21"/>
          <w:highlight w:val="none"/>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14:paraId="2568EE34">
      <w:pPr>
        <w:spacing w:line="360" w:lineRule="auto"/>
        <w:ind w:right="420" w:firstLine="444" w:firstLineChars="200"/>
        <w:rPr>
          <w:rFonts w:asciiTheme="minorEastAsia" w:hAnsiTheme="minorEastAsia" w:eastAsiaTheme="minorEastAsia"/>
          <w:color w:val="auto"/>
          <w:sz w:val="28"/>
          <w:szCs w:val="28"/>
          <w:highlight w:val="none"/>
        </w:rPr>
        <w:sectPr>
          <w:headerReference r:id="rId17"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color w:val="auto"/>
          <w:spacing w:val="6"/>
          <w:szCs w:val="21"/>
          <w:highlight w:val="none"/>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auto"/>
          <w:szCs w:val="21"/>
          <w:highlight w:val="none"/>
        </w:rPr>
        <w:t>。</w:t>
      </w:r>
    </w:p>
    <w:p w14:paraId="23B15296">
      <w:pPr>
        <w:rPr>
          <w:rFonts w:asciiTheme="minorEastAsia" w:hAnsiTheme="minorEastAsia" w:eastAsiaTheme="minorEastAsia"/>
          <w:b/>
          <w:color w:val="auto"/>
          <w:spacing w:val="6"/>
          <w:sz w:val="28"/>
          <w:szCs w:val="28"/>
          <w:highlight w:val="none"/>
        </w:rPr>
      </w:pPr>
    </w:p>
    <w:p w14:paraId="4EE0A236">
      <w:pPr>
        <w:jc w:val="center"/>
        <w:rPr>
          <w:rStyle w:val="129"/>
          <w:rFonts w:hint="default"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kern w:val="0"/>
          <w:sz w:val="28"/>
          <w:szCs w:val="28"/>
          <w:highlight w:val="none"/>
        </w:rPr>
        <w:t>中小微行业划型标准规定</w:t>
      </w:r>
      <w:r>
        <w:rPr>
          <w:rStyle w:val="129"/>
          <w:rFonts w:hint="default" w:asciiTheme="minorEastAsia" w:hAnsiTheme="minorEastAsia" w:eastAsiaTheme="minorEastAsia"/>
          <w:color w:val="auto"/>
          <w:sz w:val="28"/>
          <w:szCs w:val="28"/>
          <w:highlight w:val="none"/>
        </w:rPr>
        <w:t>（根据工信部联企业〔2011〕300号制定）</w:t>
      </w:r>
    </w:p>
    <w:tbl>
      <w:tblPr>
        <w:tblStyle w:val="34"/>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78CFD18D">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66432C3D">
            <w:pPr>
              <w:widowControl/>
              <w:jc w:val="center"/>
              <w:textAlignment w:val="center"/>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22CC0F95">
            <w:pPr>
              <w:widowControl/>
              <w:jc w:val="center"/>
              <w:textAlignment w:val="bottom"/>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3AAB9670">
            <w:pPr>
              <w:widowControl/>
              <w:jc w:val="center"/>
              <w:textAlignment w:val="bottom"/>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4A43F899">
            <w:pPr>
              <w:widowControl/>
              <w:jc w:val="center"/>
              <w:textAlignment w:val="bottom"/>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微型企业</w:t>
            </w:r>
          </w:p>
        </w:tc>
      </w:tr>
      <w:tr w14:paraId="7A5351ED">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39920F40">
            <w:pPr>
              <w:jc w:val="center"/>
              <w:rPr>
                <w:rFonts w:cs="宋体" w:asciiTheme="minorEastAsia" w:hAnsiTheme="minorEastAsia" w:eastAsiaTheme="minorEastAsia"/>
                <w:b/>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9351F5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098F30D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501EBA8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2CAFC97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736A4E6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24FFA66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5E56536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5501716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3F17C69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资产总额Z（万元）</w:t>
            </w:r>
          </w:p>
        </w:tc>
      </w:tr>
      <w:tr w14:paraId="4BC484F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BB9B8C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5575C70">
            <w:pPr>
              <w:rPr>
                <w:rFonts w:cs="宋体" w:asciiTheme="minorEastAsia" w:hAnsiTheme="minorEastAsia" w:eastAsiaTheme="minorEastAsia"/>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097FA24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D69FC93">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8CCD2A2">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617834D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FAED5A9">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77B1C99">
            <w:pPr>
              <w:rPr>
                <w:rFonts w:cs="宋体" w:asciiTheme="minorEastAsia" w:hAnsiTheme="minorEastAsia" w:eastAsiaTheme="minorEastAsia"/>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05D69DB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058084C">
            <w:pPr>
              <w:rPr>
                <w:rFonts w:cs="宋体" w:asciiTheme="minorEastAsia" w:hAnsiTheme="minorEastAsia" w:eastAsiaTheme="minorEastAsia"/>
                <w:color w:val="auto"/>
                <w:sz w:val="18"/>
                <w:szCs w:val="18"/>
                <w:highlight w:val="none"/>
              </w:rPr>
            </w:pPr>
          </w:p>
        </w:tc>
      </w:tr>
      <w:tr w14:paraId="34BA44C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8A2298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376CB4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9E719D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FACF8A7">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DB6A53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73A745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AF91A68">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36C45D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21DFA29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4352F88">
            <w:pPr>
              <w:rPr>
                <w:rFonts w:cs="宋体" w:asciiTheme="minorEastAsia" w:hAnsiTheme="minorEastAsia" w:eastAsiaTheme="minorEastAsia"/>
                <w:color w:val="auto"/>
                <w:sz w:val="18"/>
                <w:szCs w:val="18"/>
                <w:highlight w:val="none"/>
              </w:rPr>
            </w:pPr>
          </w:p>
        </w:tc>
      </w:tr>
      <w:tr w14:paraId="0A473DC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5AF10B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63B4A39">
            <w:pPr>
              <w:rPr>
                <w:rFonts w:cs="宋体" w:asciiTheme="minorEastAsia" w:hAnsiTheme="minorEastAsia" w:eastAsiaTheme="minorEastAsia"/>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3CC96C3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4A8525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397CAE4A">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4C3123C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2C32DE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2E80851E">
            <w:pPr>
              <w:rPr>
                <w:rFonts w:cs="宋体" w:asciiTheme="minorEastAsia" w:hAnsiTheme="minorEastAsia" w:eastAsiaTheme="minorEastAsia"/>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4A52340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2C6F6A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Z＜300</w:t>
            </w:r>
          </w:p>
        </w:tc>
      </w:tr>
      <w:tr w14:paraId="054E3E5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B1E899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1396B0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0E7853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E0DFE70">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A53100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617AF03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C7BDE80">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FD02A2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6812154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8D8023B">
            <w:pPr>
              <w:rPr>
                <w:rFonts w:cs="宋体" w:asciiTheme="minorEastAsia" w:hAnsiTheme="minorEastAsia" w:eastAsiaTheme="minorEastAsia"/>
                <w:color w:val="auto"/>
                <w:sz w:val="18"/>
                <w:szCs w:val="18"/>
                <w:highlight w:val="none"/>
              </w:rPr>
            </w:pPr>
          </w:p>
        </w:tc>
      </w:tr>
      <w:tr w14:paraId="3621EF1A">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C5B3CA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302AE5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FE9011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79E7EC1">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192808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5F5B4B5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9C25BAA">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413111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44224FD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B6B6B63">
            <w:pPr>
              <w:rPr>
                <w:rFonts w:cs="宋体" w:asciiTheme="minorEastAsia" w:hAnsiTheme="minorEastAsia" w:eastAsiaTheme="minorEastAsia"/>
                <w:color w:val="auto"/>
                <w:sz w:val="18"/>
                <w:szCs w:val="18"/>
                <w:highlight w:val="none"/>
              </w:rPr>
            </w:pPr>
          </w:p>
        </w:tc>
      </w:tr>
      <w:tr w14:paraId="2E299BE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E53B0A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A8874D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B62C7E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45984B0">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E9050E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0E287B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51F710D">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43B1FA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76BE3B2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F475FA3">
            <w:pPr>
              <w:rPr>
                <w:rFonts w:cs="宋体" w:asciiTheme="minorEastAsia" w:hAnsiTheme="minorEastAsia" w:eastAsiaTheme="minorEastAsia"/>
                <w:color w:val="auto"/>
                <w:sz w:val="18"/>
                <w:szCs w:val="18"/>
                <w:highlight w:val="none"/>
              </w:rPr>
            </w:pPr>
          </w:p>
        </w:tc>
      </w:tr>
      <w:tr w14:paraId="682CC1F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ADB949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C99251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F59593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42672FA">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FA7ED0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38F405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9D4A70F">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6D5B75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4D8ED35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DD46075">
            <w:pPr>
              <w:rPr>
                <w:rFonts w:cs="宋体" w:asciiTheme="minorEastAsia" w:hAnsiTheme="minorEastAsia" w:eastAsiaTheme="minorEastAsia"/>
                <w:color w:val="auto"/>
                <w:sz w:val="18"/>
                <w:szCs w:val="18"/>
                <w:highlight w:val="none"/>
              </w:rPr>
            </w:pPr>
          </w:p>
        </w:tc>
      </w:tr>
      <w:tr w14:paraId="12096DE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4B04A9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C3090B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FF1013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2876B0C">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F2255B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10C434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41DBFC4">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90D4BC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48D3746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D1A4E12">
            <w:pPr>
              <w:rPr>
                <w:rFonts w:cs="宋体" w:asciiTheme="minorEastAsia" w:hAnsiTheme="minorEastAsia" w:eastAsiaTheme="minorEastAsia"/>
                <w:color w:val="auto"/>
                <w:sz w:val="18"/>
                <w:szCs w:val="18"/>
                <w:highlight w:val="none"/>
              </w:rPr>
            </w:pPr>
          </w:p>
        </w:tc>
      </w:tr>
      <w:tr w14:paraId="0AE05AC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C9A901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2D6E97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1F1EA2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7DCCFC2">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700378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FDB2C8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ADCD4C1">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42D162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446791A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CE6196D">
            <w:pPr>
              <w:rPr>
                <w:rFonts w:cs="宋体" w:asciiTheme="minorEastAsia" w:hAnsiTheme="minorEastAsia" w:eastAsiaTheme="minorEastAsia"/>
                <w:color w:val="auto"/>
                <w:sz w:val="18"/>
                <w:szCs w:val="18"/>
                <w:highlight w:val="none"/>
              </w:rPr>
            </w:pPr>
          </w:p>
        </w:tc>
      </w:tr>
      <w:tr w14:paraId="0ADB58B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744357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FEF116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676F18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29A8D36">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D2600A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5C7D8C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0011E84">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F980DA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C03097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5D48FF5">
            <w:pPr>
              <w:rPr>
                <w:rFonts w:cs="宋体" w:asciiTheme="minorEastAsia" w:hAnsiTheme="minorEastAsia" w:eastAsiaTheme="minorEastAsia"/>
                <w:color w:val="auto"/>
                <w:sz w:val="18"/>
                <w:szCs w:val="18"/>
                <w:highlight w:val="none"/>
              </w:rPr>
            </w:pPr>
          </w:p>
        </w:tc>
      </w:tr>
      <w:tr w14:paraId="7482A6C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17106F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B2D45E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B393BC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BBC5C28">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F14812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E8A8FE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C117EAC">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BB5307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9D999C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5B69B6E">
            <w:pPr>
              <w:rPr>
                <w:rFonts w:cs="宋体" w:asciiTheme="minorEastAsia" w:hAnsiTheme="minorEastAsia" w:eastAsiaTheme="minorEastAsia"/>
                <w:color w:val="auto"/>
                <w:sz w:val="18"/>
                <w:szCs w:val="18"/>
                <w:highlight w:val="none"/>
              </w:rPr>
            </w:pPr>
          </w:p>
        </w:tc>
      </w:tr>
      <w:tr w14:paraId="6CE92F5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878020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95CE87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0B31DF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063F425">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229F45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4D00D8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33A5AE9">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1C8CF4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0972A9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572DD33">
            <w:pPr>
              <w:rPr>
                <w:rFonts w:cs="宋体" w:asciiTheme="minorEastAsia" w:hAnsiTheme="minorEastAsia" w:eastAsiaTheme="minorEastAsia"/>
                <w:color w:val="auto"/>
                <w:sz w:val="18"/>
                <w:szCs w:val="18"/>
                <w:highlight w:val="none"/>
              </w:rPr>
            </w:pPr>
          </w:p>
        </w:tc>
      </w:tr>
      <w:tr w14:paraId="1A15307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8C9DB4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3F8A9DBC">
            <w:pPr>
              <w:rPr>
                <w:rFonts w:cs="宋体" w:asciiTheme="minorEastAsia" w:hAnsiTheme="minorEastAsia" w:eastAsiaTheme="minorEastAsia"/>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5A1CB02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355C41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769B5110">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1DCA113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458CCE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6520358E">
            <w:pPr>
              <w:rPr>
                <w:rFonts w:cs="宋体" w:asciiTheme="minorEastAsia" w:hAnsiTheme="minorEastAsia" w:eastAsiaTheme="minorEastAsia"/>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49E8324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13C67D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Z＜2000</w:t>
            </w:r>
          </w:p>
        </w:tc>
      </w:tr>
      <w:tr w14:paraId="66938F1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E602C2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70C1926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E7E8EE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E60F11C">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F5876C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294D95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0871509">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F19FFC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03553BA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014DF05">
            <w:pPr>
              <w:rPr>
                <w:rFonts w:cs="宋体" w:asciiTheme="minorEastAsia" w:hAnsiTheme="minorEastAsia" w:eastAsiaTheme="minorEastAsia"/>
                <w:color w:val="auto"/>
                <w:sz w:val="18"/>
                <w:szCs w:val="18"/>
                <w:highlight w:val="none"/>
              </w:rPr>
            </w:pPr>
          </w:p>
        </w:tc>
      </w:tr>
      <w:tr w14:paraId="00B1390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12C74A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299BF5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A56BB48">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1915DA1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4099A20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1E5194A">
            <w:pPr>
              <w:rPr>
                <w:rFonts w:cs="宋体" w:asciiTheme="minorEastAsia" w:hAnsiTheme="minorEastAsia" w:eastAsiaTheme="minorEastAsia"/>
                <w:color w:val="auto"/>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17328B3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191F58F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4969EB5">
            <w:pPr>
              <w:rPr>
                <w:rFonts w:cs="宋体" w:asciiTheme="minorEastAsia" w:hAnsiTheme="minorEastAsia" w:eastAsiaTheme="minorEastAsia"/>
                <w:color w:val="auto"/>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78BE1B7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Z＜100</w:t>
            </w:r>
          </w:p>
        </w:tc>
      </w:tr>
      <w:tr w14:paraId="3B6871B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652E1F7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50D4E2D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4ED8BB00">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3CF04F87">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2A881D7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4BFF266A">
            <w:pPr>
              <w:rPr>
                <w:rFonts w:cs="宋体" w:asciiTheme="minorEastAsia" w:hAnsiTheme="minorEastAsia" w:eastAsiaTheme="minorEastAsia"/>
                <w:color w:val="auto"/>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1984BB53">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67C5F98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6C1E500B">
            <w:pPr>
              <w:rPr>
                <w:rFonts w:cs="宋体" w:asciiTheme="minorEastAsia" w:hAnsiTheme="minorEastAsia" w:eastAsiaTheme="minorEastAsia"/>
                <w:color w:val="auto"/>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17D4B9C2">
            <w:pPr>
              <w:rPr>
                <w:rFonts w:cs="宋体" w:asciiTheme="minorEastAsia" w:hAnsiTheme="minorEastAsia" w:eastAsiaTheme="minorEastAsia"/>
                <w:color w:val="auto"/>
                <w:sz w:val="18"/>
                <w:szCs w:val="18"/>
                <w:highlight w:val="none"/>
              </w:rPr>
            </w:pPr>
          </w:p>
        </w:tc>
      </w:tr>
    </w:tbl>
    <w:p w14:paraId="5C1D4ADB">
      <w:pPr>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kern w:val="0"/>
          <w:sz w:val="18"/>
          <w:szCs w:val="18"/>
          <w:highlight w:val="none"/>
        </w:rPr>
        <w:t>说明　1、企业类型的划分以统计部门的统计数据为依据。2、个体工商户和本规定以外的行业，参照本规定进行划型。3、本规定的中型企业标准上限即为大型企业标准的下限。</w:t>
      </w:r>
    </w:p>
    <w:p w14:paraId="73076F0C">
      <w:pPr>
        <w:pStyle w:val="5"/>
        <w:spacing w:line="380" w:lineRule="exact"/>
        <w:rPr>
          <w:rFonts w:asciiTheme="minorEastAsia" w:hAnsiTheme="minorEastAsia" w:eastAsiaTheme="minorEastAsia"/>
          <w:color w:val="auto"/>
          <w:sz w:val="28"/>
          <w:szCs w:val="28"/>
          <w:highlight w:val="none"/>
        </w:rPr>
        <w:sectPr>
          <w:headerReference r:id="rId18" w:type="default"/>
          <w:pgSz w:w="16840" w:h="11907" w:orient="landscape"/>
          <w:pgMar w:top="1588" w:right="1304" w:bottom="1588" w:left="1304" w:header="720" w:footer="720" w:gutter="0"/>
          <w:cols w:space="720" w:num="1"/>
          <w:docGrid w:linePitch="285" w:charSpace="0"/>
        </w:sectPr>
      </w:pPr>
    </w:p>
    <w:p w14:paraId="08B3FD8E">
      <w:pPr>
        <w:pStyle w:val="3"/>
        <w:spacing w:line="380" w:lineRule="exact"/>
        <w:rPr>
          <w:rFonts w:asciiTheme="minorEastAsia" w:hAnsiTheme="minorEastAsia" w:eastAsiaTheme="minorEastAsia"/>
          <w:color w:val="auto"/>
          <w:sz w:val="24"/>
          <w:szCs w:val="24"/>
          <w:highlight w:val="none"/>
        </w:rPr>
      </w:pPr>
    </w:p>
    <w:p w14:paraId="6234F1E4">
      <w:pPr>
        <w:pStyle w:val="3"/>
        <w:spacing w:line="380" w:lineRule="exact"/>
        <w:jc w:val="both"/>
        <w:rPr>
          <w:rFonts w:hint="eastAsia" w:asciiTheme="minorEastAsia" w:hAnsiTheme="minorEastAsia" w:eastAsiaTheme="minorEastAsia"/>
          <w:color w:val="auto"/>
          <w:sz w:val="24"/>
          <w:szCs w:val="24"/>
          <w:highlight w:val="none"/>
        </w:rPr>
      </w:pPr>
      <w:bookmarkStart w:id="177" w:name="_Toc136345132"/>
      <w:bookmarkStart w:id="178" w:name="_Toc136017671"/>
      <w:bookmarkStart w:id="179" w:name="_Toc23333"/>
      <w:r>
        <w:rPr>
          <w:rFonts w:hint="eastAsia" w:asciiTheme="minorEastAsia" w:hAnsiTheme="minorEastAsia" w:eastAsiaTheme="minorEastAsia"/>
          <w:color w:val="auto"/>
          <w:sz w:val="24"/>
          <w:szCs w:val="24"/>
          <w:highlight w:val="none"/>
        </w:rPr>
        <w:t xml:space="preserve">附件2              </w:t>
      </w:r>
    </w:p>
    <w:p w14:paraId="0221A40C">
      <w:pPr>
        <w:pStyle w:val="3"/>
        <w:spacing w:line="380" w:lineRule="exact"/>
        <w:jc w:val="both"/>
        <w:rPr>
          <w:rFonts w:hint="eastAsia" w:asciiTheme="minorEastAsia" w:hAnsiTheme="minorEastAsia" w:eastAsiaTheme="minorEastAsia"/>
          <w:color w:val="auto"/>
          <w:sz w:val="24"/>
          <w:szCs w:val="24"/>
          <w:highlight w:val="none"/>
        </w:rPr>
      </w:pPr>
    </w:p>
    <w:p w14:paraId="189B143E">
      <w:pPr>
        <w:pStyle w:val="3"/>
        <w:spacing w:line="380" w:lineRule="exact"/>
        <w:jc w:val="both"/>
        <w:rPr>
          <w:rFonts w:hint="eastAsia" w:asciiTheme="minorEastAsia" w:hAnsiTheme="minorEastAsia" w:eastAsiaTheme="minorEastAsia"/>
          <w:color w:val="auto"/>
          <w:sz w:val="24"/>
          <w:szCs w:val="24"/>
          <w:highlight w:val="none"/>
        </w:rPr>
      </w:pPr>
    </w:p>
    <w:p w14:paraId="367EEB34">
      <w:pPr>
        <w:pStyle w:val="3"/>
        <w:spacing w:line="3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残疾人福利性单位声明函（如有需提供）</w:t>
      </w:r>
      <w:bookmarkEnd w:id="177"/>
      <w:bookmarkEnd w:id="178"/>
      <w:bookmarkEnd w:id="179"/>
    </w:p>
    <w:p w14:paraId="18451A40">
      <w:pPr>
        <w:ind w:firstLine="420" w:firstLineChars="200"/>
        <w:rPr>
          <w:rFonts w:asciiTheme="minorEastAsia" w:hAnsiTheme="minorEastAsia" w:eastAsiaTheme="minorEastAsia"/>
          <w:color w:val="auto"/>
          <w:szCs w:val="21"/>
          <w:highlight w:val="none"/>
        </w:rPr>
      </w:pPr>
    </w:p>
    <w:p w14:paraId="5E4FA57D">
      <w:pPr>
        <w:spacing w:line="588"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88C7DE">
      <w:pPr>
        <w:spacing w:line="588"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本单位对上述声明的真实性负责。如有虚假，将依法承担相应责任。</w:t>
      </w:r>
    </w:p>
    <w:p w14:paraId="2605C8F6">
      <w:pPr>
        <w:tabs>
          <w:tab w:val="left" w:pos="4860"/>
        </w:tabs>
        <w:spacing w:line="588" w:lineRule="exact"/>
        <w:ind w:right="1560" w:firstLine="420" w:firstLineChars="200"/>
        <w:jc w:val="center"/>
        <w:rPr>
          <w:rFonts w:asciiTheme="minorEastAsia" w:hAnsiTheme="minorEastAsia" w:eastAsiaTheme="minorEastAsia"/>
          <w:color w:val="auto"/>
          <w:szCs w:val="21"/>
          <w:highlight w:val="none"/>
        </w:rPr>
      </w:pPr>
    </w:p>
    <w:p w14:paraId="345D417D">
      <w:pPr>
        <w:tabs>
          <w:tab w:val="left" w:pos="4860"/>
        </w:tabs>
        <w:spacing w:line="588" w:lineRule="exact"/>
        <w:ind w:right="1560" w:firstLine="420"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单位名称（公章）：</w:t>
      </w:r>
    </w:p>
    <w:p w14:paraId="1B91CE03">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日  期：</w:t>
      </w:r>
    </w:p>
    <w:p w14:paraId="22F42EA0">
      <w:pPr>
        <w:spacing w:line="400" w:lineRule="exact"/>
        <w:ind w:firstLine="422" w:firstLineChars="200"/>
        <w:rPr>
          <w:rFonts w:asciiTheme="minorEastAsia" w:hAnsiTheme="minorEastAsia" w:eastAsiaTheme="minorEastAsia"/>
          <w:b/>
          <w:color w:val="auto"/>
          <w:szCs w:val="21"/>
          <w:highlight w:val="none"/>
        </w:rPr>
      </w:pPr>
    </w:p>
    <w:p w14:paraId="2BD58225">
      <w:pPr>
        <w:spacing w:line="400" w:lineRule="exact"/>
        <w:ind w:firstLine="422" w:firstLineChars="200"/>
        <w:rPr>
          <w:rFonts w:asciiTheme="minorEastAsia" w:hAnsiTheme="minorEastAsia" w:eastAsiaTheme="minorEastAsia"/>
          <w:b/>
          <w:color w:val="auto"/>
          <w:szCs w:val="21"/>
          <w:highlight w:val="none"/>
        </w:rPr>
      </w:pPr>
    </w:p>
    <w:p w14:paraId="037D2672">
      <w:pPr>
        <w:spacing w:line="400" w:lineRule="exact"/>
        <w:ind w:firstLine="422" w:firstLineChars="200"/>
        <w:rPr>
          <w:rFonts w:asciiTheme="minorEastAsia" w:hAnsiTheme="minorEastAsia" w:eastAsiaTheme="minorEastAsia"/>
          <w:b/>
          <w:color w:val="auto"/>
          <w:szCs w:val="21"/>
          <w:highlight w:val="none"/>
        </w:rPr>
      </w:pPr>
    </w:p>
    <w:p w14:paraId="7B429FAA">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w:t>
      </w:r>
    </w:p>
    <w:p w14:paraId="4ED37CEA">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享受政府采购支持政策的残疾人福利性单位应当同时满足以下条件：</w:t>
      </w:r>
    </w:p>
    <w:p w14:paraId="4FC72586">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（一）安置的残疾人占本单位在职职工人数的比例不低于</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（含</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），并且安置的残疾人人数不少于</w:t>
      </w: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人（含</w:t>
      </w: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人）；</w:t>
      </w:r>
    </w:p>
    <w:p w14:paraId="49E24B7C">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（二）依法与安置的每位残疾人签订了一年以上（含一年）的劳动合同或服务协议；</w:t>
      </w:r>
    </w:p>
    <w:p w14:paraId="6AA6665A">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（三）为安置的每位残疾人按月足额缴纳了基本养老保险、基本医疗保险、失业保险、工伤保险和生育保险等社会保险费；</w:t>
      </w:r>
    </w:p>
    <w:p w14:paraId="0AAF3303">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（四）通过银行等金融机构向安置的每位残疾人，按月支付了不低于单位所在区县适用的经省级人民政府批准的月最低工资标准的工资；</w:t>
      </w:r>
    </w:p>
    <w:p w14:paraId="15BDE1B1">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（五）提供本单位制造的货物、承担的工程或者服务（以下简称产品），或者提供其他残疾人福利性单位制造的货物（不包括使用非残疾人福利性单位注册商标的货物）。</w:t>
      </w:r>
    </w:p>
    <w:p w14:paraId="24E1AB09">
      <w:pPr>
        <w:spacing w:line="38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Cs w:val="21"/>
          <w:highlight w:val="none"/>
        </w:rPr>
        <w:t>前款所称残疾人是指法定劳动年龄内，持有《中华人民共和国残疾人证》或者《中华人民共和国残疾军人证（</w:t>
      </w: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至</w:t>
      </w:r>
      <w:r>
        <w:rPr>
          <w:rFonts w:asciiTheme="minorEastAsia" w:hAnsiTheme="minorEastAsia" w:eastAsiaTheme="minorEastAsia"/>
          <w:b/>
          <w:color w:val="auto"/>
          <w:szCs w:val="21"/>
          <w:highlight w:val="none"/>
        </w:rPr>
        <w:t>8</w:t>
      </w:r>
      <w:r>
        <w:rPr>
          <w:rFonts w:hint="eastAsia" w:asciiTheme="minorEastAsia" w:hAnsiTheme="minorEastAsia" w:eastAsiaTheme="minorEastAsia"/>
          <w:b/>
          <w:color w:val="auto"/>
          <w:szCs w:val="21"/>
          <w:highlight w:val="none"/>
        </w:rPr>
        <w:t>级）》的自然人，包括具有劳动条件和劳动意愿的精神残疾人。在职职工人数是指与残疾人福利性单位建立劳动关系并依法签订劳动合同或者服务协议的雇员人数。</w:t>
      </w:r>
    </w:p>
    <w:p w14:paraId="3D10729A">
      <w:pPr>
        <w:pStyle w:val="2"/>
        <w:spacing w:before="240" w:after="240"/>
        <w:rPr>
          <w:color w:val="auto"/>
          <w:highlight w:val="none"/>
        </w:rPr>
      </w:pPr>
    </w:p>
    <w:sectPr>
      <w:headerReference r:id="rId19"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9106">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6B33">
    <w:pPr>
      <w:pStyle w:val="23"/>
      <w:jc w:val="center"/>
    </w:pPr>
    <w:r>
      <w:fldChar w:fldCharType="begin"/>
    </w:r>
    <w:r>
      <w:instrText xml:space="preserve"> PAGE   \* MERGEFORMAT </w:instrText>
    </w:r>
    <w:r>
      <w:fldChar w:fldCharType="separate"/>
    </w:r>
    <w:r>
      <w:rPr>
        <w:lang w:val="zh-CN"/>
      </w:rPr>
      <w:t>9</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14:paraId="3EDB689D">
        <w:pPr>
          <w:pStyle w:val="23"/>
          <w:jc w:val="center"/>
        </w:pPr>
        <w:r>
          <w:fldChar w:fldCharType="begin"/>
        </w:r>
        <w:r>
          <w:instrText xml:space="preserve"> PAGE   \* MERGEFORMAT </w:instrText>
        </w:r>
        <w:r>
          <w:fldChar w:fldCharType="separate"/>
        </w:r>
        <w:r>
          <w:rPr>
            <w:lang w:val="zh-CN"/>
          </w:rPr>
          <w:t>32</w:t>
        </w:r>
        <w:r>
          <w:rPr>
            <w:lang w:val="zh-CN"/>
          </w:rPr>
          <w:fldChar w:fldCharType="end"/>
        </w:r>
      </w:p>
    </w:sdtContent>
  </w:sdt>
  <w:p w14:paraId="1375799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F3BF">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3576">
    <w:pPr>
      <w:pStyle w:val="24"/>
      <w:pBdr>
        <w:top w:val="none" w:color="auto" w:sz="0" w:space="0"/>
        <w:left w:val="none" w:color="auto" w:sz="0" w:space="0"/>
        <w:bottom w:val="none" w:color="auto" w:sz="0" w:space="1"/>
        <w:right w:val="none" w:color="auto" w:sz="0" w:space="0"/>
        <w:between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970B">
    <w:pPr>
      <w:pStyle w:val="24"/>
      <w:pBdr>
        <w:top w:val="none" w:color="auto" w:sz="0" w:space="0"/>
        <w:left w:val="none" w:color="auto" w:sz="0" w:space="0"/>
        <w:bottom w:val="none" w:color="auto" w:sz="0" w:space="1"/>
        <w:right w:val="none" w:color="auto" w:sz="0" w:space="0"/>
        <w:between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77281">
    <w:pPr>
      <w:pStyle w:val="24"/>
      <w:pBdr>
        <w:top w:val="none" w:color="auto" w:sz="0" w:space="0"/>
        <w:left w:val="none" w:color="auto" w:sz="0" w:space="0"/>
        <w:bottom w:val="none" w:color="auto" w:sz="0" w:space="1"/>
        <w:right w:val="none" w:color="auto" w:sz="0" w:space="0"/>
        <w:between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97A6">
    <w:pPr>
      <w:pStyle w:val="24"/>
      <w:pBdr>
        <w:top w:val="none" w:color="auto" w:sz="0" w:space="0"/>
        <w:left w:val="none" w:color="auto" w:sz="0" w:space="0"/>
        <w:bottom w:val="none" w:color="auto" w:sz="0" w:space="1"/>
        <w:right w:val="none" w:color="auto" w:sz="0" w:space="0"/>
        <w:between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C040">
    <w:pPr>
      <w:pStyle w:val="2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8DE8">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6053">
    <w:pPr>
      <w:pStyle w:val="24"/>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769B">
    <w:pPr>
      <w:pStyle w:val="24"/>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8E4E">
    <w:pPr>
      <w:pStyle w:val="24"/>
      <w:pBdr>
        <w:top w:val="none" w:color="auto" w:sz="0" w:space="0"/>
        <w:left w:val="none" w:color="auto" w:sz="0" w:space="0"/>
        <w:bottom w:val="none" w:color="auto" w:sz="0" w:space="1"/>
        <w:right w:val="none" w:color="auto" w:sz="0" w:space="0"/>
        <w:between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B0918">
    <w:pPr>
      <w:pStyle w:val="24"/>
      <w:pBdr>
        <w:top w:val="none" w:color="auto" w:sz="0" w:space="0"/>
        <w:left w:val="none" w:color="auto" w:sz="0" w:space="0"/>
        <w:bottom w:val="none" w:color="auto" w:sz="0" w:space="1"/>
        <w:right w:val="none" w:color="auto" w:sz="0" w:space="0"/>
        <w:between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D96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A91E9">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18A86">
    <w:pPr>
      <w:pStyle w:val="2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D118"/>
    <w:multiLevelType w:val="singleLevel"/>
    <w:tmpl w:val="D2A5D118"/>
    <w:lvl w:ilvl="0" w:tentative="0">
      <w:start w:val="2"/>
      <w:numFmt w:val="decimal"/>
      <w:suff w:val="nothing"/>
      <w:lvlText w:val="%1．"/>
      <w:lvlJc w:val="left"/>
    </w:lvl>
  </w:abstractNum>
  <w:abstractNum w:abstractNumId="1">
    <w:nsid w:val="DB02A339"/>
    <w:multiLevelType w:val="singleLevel"/>
    <w:tmpl w:val="DB02A339"/>
    <w:lvl w:ilvl="0" w:tentative="0">
      <w:start w:val="2"/>
      <w:numFmt w:val="decimal"/>
      <w:suff w:val="nothing"/>
      <w:lvlText w:val="（%1）"/>
      <w:lvlJc w:val="left"/>
    </w:lvl>
  </w:abstractNum>
  <w:abstractNum w:abstractNumId="2">
    <w:nsid w:val="EF57733B"/>
    <w:multiLevelType w:val="singleLevel"/>
    <w:tmpl w:val="EF57733B"/>
    <w:lvl w:ilvl="0" w:tentative="0">
      <w:start w:val="2"/>
      <w:numFmt w:val="decimal"/>
      <w:suff w:val="nothing"/>
      <w:lvlText w:val="（%1）"/>
      <w:lvlJc w:val="left"/>
    </w:lvl>
  </w:abstractNum>
  <w:abstractNum w:abstractNumId="3">
    <w:nsid w:val="00000020"/>
    <w:multiLevelType w:val="singleLevel"/>
    <w:tmpl w:val="00000020"/>
    <w:lvl w:ilvl="0" w:tentative="0">
      <w:start w:val="1"/>
      <w:numFmt w:val="chineseCounting"/>
      <w:suff w:val="nothing"/>
      <w:lvlText w:val="（%1）"/>
      <w:lvlJc w:val="left"/>
    </w:lvl>
  </w:abstractNum>
  <w:abstractNum w:abstractNumId="4">
    <w:nsid w:val="286B8344"/>
    <w:multiLevelType w:val="singleLevel"/>
    <w:tmpl w:val="286B8344"/>
    <w:lvl w:ilvl="0" w:tentative="0">
      <w:start w:val="1"/>
      <w:numFmt w:val="decimal"/>
      <w:suff w:val="nothing"/>
      <w:lvlText w:val="%1、"/>
      <w:lvlJc w:val="left"/>
    </w:lvl>
  </w:abstractNum>
  <w:abstractNum w:abstractNumId="5">
    <w:nsid w:val="653F87E5"/>
    <w:multiLevelType w:val="singleLevel"/>
    <w:tmpl w:val="653F87E5"/>
    <w:lvl w:ilvl="0" w:tentative="0">
      <w:start w:val="1"/>
      <w:numFmt w:val="decimal"/>
      <w:suff w:val="nothing"/>
      <w:lvlText w:val="%1、"/>
      <w:lvlJc w:val="left"/>
    </w:lvl>
  </w:abstractNum>
  <w:abstractNum w:abstractNumId="6">
    <w:nsid w:val="7A68BAFA"/>
    <w:multiLevelType w:val="singleLevel"/>
    <w:tmpl w:val="7A68BAFA"/>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jk0ZWU1NTcwYmQ1ODNmYTRjZTEyZWFjZmNhOGEifQ=="/>
    <w:docVar w:name="KSO_WPS_MARK_KEY" w:val="01102190-c1f0-4c45-a2e2-e54b01b19c03"/>
  </w:docVars>
  <w:rsids>
    <w:rsidRoot w:val="00172A27"/>
    <w:rsid w:val="0000154C"/>
    <w:rsid w:val="000026B7"/>
    <w:rsid w:val="00002A2A"/>
    <w:rsid w:val="000033D9"/>
    <w:rsid w:val="000038FC"/>
    <w:rsid w:val="000059B7"/>
    <w:rsid w:val="0000638F"/>
    <w:rsid w:val="00006413"/>
    <w:rsid w:val="00006955"/>
    <w:rsid w:val="00007EB7"/>
    <w:rsid w:val="0001295F"/>
    <w:rsid w:val="00014CB0"/>
    <w:rsid w:val="00014F3E"/>
    <w:rsid w:val="0001514B"/>
    <w:rsid w:val="00015180"/>
    <w:rsid w:val="0001522C"/>
    <w:rsid w:val="0001578F"/>
    <w:rsid w:val="00016B63"/>
    <w:rsid w:val="00016FB3"/>
    <w:rsid w:val="000176A0"/>
    <w:rsid w:val="00020537"/>
    <w:rsid w:val="000207EE"/>
    <w:rsid w:val="00020F9A"/>
    <w:rsid w:val="00022DBD"/>
    <w:rsid w:val="0002342D"/>
    <w:rsid w:val="00023F09"/>
    <w:rsid w:val="0002496A"/>
    <w:rsid w:val="00024DDD"/>
    <w:rsid w:val="00025826"/>
    <w:rsid w:val="000261D4"/>
    <w:rsid w:val="000270E0"/>
    <w:rsid w:val="00027FD3"/>
    <w:rsid w:val="0003107C"/>
    <w:rsid w:val="0003280D"/>
    <w:rsid w:val="00032902"/>
    <w:rsid w:val="00032AB1"/>
    <w:rsid w:val="00033FCA"/>
    <w:rsid w:val="0003457C"/>
    <w:rsid w:val="000364B5"/>
    <w:rsid w:val="00037B77"/>
    <w:rsid w:val="000407DB"/>
    <w:rsid w:val="000435FF"/>
    <w:rsid w:val="00044026"/>
    <w:rsid w:val="00045BF5"/>
    <w:rsid w:val="0004663F"/>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73AA"/>
    <w:rsid w:val="0009789A"/>
    <w:rsid w:val="00097D71"/>
    <w:rsid w:val="000A07DC"/>
    <w:rsid w:val="000A0861"/>
    <w:rsid w:val="000A0CAD"/>
    <w:rsid w:val="000A1C2F"/>
    <w:rsid w:val="000A386A"/>
    <w:rsid w:val="000A4F52"/>
    <w:rsid w:val="000A51AC"/>
    <w:rsid w:val="000A778E"/>
    <w:rsid w:val="000A7953"/>
    <w:rsid w:val="000B0372"/>
    <w:rsid w:val="000B20FA"/>
    <w:rsid w:val="000B2452"/>
    <w:rsid w:val="000B2CD2"/>
    <w:rsid w:val="000B37C5"/>
    <w:rsid w:val="000B380B"/>
    <w:rsid w:val="000B4340"/>
    <w:rsid w:val="000B6CB5"/>
    <w:rsid w:val="000C02D0"/>
    <w:rsid w:val="000C05C2"/>
    <w:rsid w:val="000C189C"/>
    <w:rsid w:val="000C213B"/>
    <w:rsid w:val="000C3E90"/>
    <w:rsid w:val="000C5CF1"/>
    <w:rsid w:val="000C5D8A"/>
    <w:rsid w:val="000C6B2B"/>
    <w:rsid w:val="000C7390"/>
    <w:rsid w:val="000D1E32"/>
    <w:rsid w:val="000D1F67"/>
    <w:rsid w:val="000D3D09"/>
    <w:rsid w:val="000D4C59"/>
    <w:rsid w:val="000D54FF"/>
    <w:rsid w:val="000D62AB"/>
    <w:rsid w:val="000D68F1"/>
    <w:rsid w:val="000D6D10"/>
    <w:rsid w:val="000D7878"/>
    <w:rsid w:val="000E0C2E"/>
    <w:rsid w:val="000E0D05"/>
    <w:rsid w:val="000E0D25"/>
    <w:rsid w:val="000E1023"/>
    <w:rsid w:val="000E1097"/>
    <w:rsid w:val="000E269D"/>
    <w:rsid w:val="000E449E"/>
    <w:rsid w:val="000E5C6B"/>
    <w:rsid w:val="000E6C56"/>
    <w:rsid w:val="000E7057"/>
    <w:rsid w:val="000E77A1"/>
    <w:rsid w:val="000F0DA1"/>
    <w:rsid w:val="000F0F6F"/>
    <w:rsid w:val="000F16E8"/>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8A8"/>
    <w:rsid w:val="00110AF2"/>
    <w:rsid w:val="001125BE"/>
    <w:rsid w:val="0011290C"/>
    <w:rsid w:val="00115B8D"/>
    <w:rsid w:val="001163EC"/>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2DC9"/>
    <w:rsid w:val="00152DDA"/>
    <w:rsid w:val="00153030"/>
    <w:rsid w:val="00154BF5"/>
    <w:rsid w:val="001564EF"/>
    <w:rsid w:val="001564F6"/>
    <w:rsid w:val="00157A8C"/>
    <w:rsid w:val="001602DE"/>
    <w:rsid w:val="001604EA"/>
    <w:rsid w:val="0016172B"/>
    <w:rsid w:val="00162DD6"/>
    <w:rsid w:val="00163340"/>
    <w:rsid w:val="00163690"/>
    <w:rsid w:val="001654A4"/>
    <w:rsid w:val="00166232"/>
    <w:rsid w:val="0016634C"/>
    <w:rsid w:val="00166686"/>
    <w:rsid w:val="0016706C"/>
    <w:rsid w:val="00170473"/>
    <w:rsid w:val="00170D8C"/>
    <w:rsid w:val="00172A27"/>
    <w:rsid w:val="001734C2"/>
    <w:rsid w:val="001755E5"/>
    <w:rsid w:val="00175773"/>
    <w:rsid w:val="00175F86"/>
    <w:rsid w:val="0017650C"/>
    <w:rsid w:val="001765A8"/>
    <w:rsid w:val="001777A0"/>
    <w:rsid w:val="00177910"/>
    <w:rsid w:val="001816EF"/>
    <w:rsid w:val="00182175"/>
    <w:rsid w:val="00183609"/>
    <w:rsid w:val="00184098"/>
    <w:rsid w:val="00184E49"/>
    <w:rsid w:val="0018740C"/>
    <w:rsid w:val="00187887"/>
    <w:rsid w:val="0019037E"/>
    <w:rsid w:val="001905A5"/>
    <w:rsid w:val="00190CE6"/>
    <w:rsid w:val="00191D5E"/>
    <w:rsid w:val="0019302F"/>
    <w:rsid w:val="00194A4F"/>
    <w:rsid w:val="00194E39"/>
    <w:rsid w:val="001955A9"/>
    <w:rsid w:val="001974DD"/>
    <w:rsid w:val="00197899"/>
    <w:rsid w:val="00197F50"/>
    <w:rsid w:val="001A03A1"/>
    <w:rsid w:val="001A0629"/>
    <w:rsid w:val="001A06CA"/>
    <w:rsid w:val="001A2470"/>
    <w:rsid w:val="001A45CC"/>
    <w:rsid w:val="001A542C"/>
    <w:rsid w:val="001A555F"/>
    <w:rsid w:val="001A5A06"/>
    <w:rsid w:val="001A6059"/>
    <w:rsid w:val="001A7040"/>
    <w:rsid w:val="001B049D"/>
    <w:rsid w:val="001B3F78"/>
    <w:rsid w:val="001B46E4"/>
    <w:rsid w:val="001B55CF"/>
    <w:rsid w:val="001B5801"/>
    <w:rsid w:val="001B60F7"/>
    <w:rsid w:val="001B7060"/>
    <w:rsid w:val="001B7D86"/>
    <w:rsid w:val="001C0D22"/>
    <w:rsid w:val="001C0EF7"/>
    <w:rsid w:val="001C1099"/>
    <w:rsid w:val="001C1A4F"/>
    <w:rsid w:val="001C22FD"/>
    <w:rsid w:val="001C23EA"/>
    <w:rsid w:val="001C2A36"/>
    <w:rsid w:val="001C3540"/>
    <w:rsid w:val="001C4873"/>
    <w:rsid w:val="001C67DF"/>
    <w:rsid w:val="001C7961"/>
    <w:rsid w:val="001D1258"/>
    <w:rsid w:val="001D27B2"/>
    <w:rsid w:val="001D36A1"/>
    <w:rsid w:val="001D480F"/>
    <w:rsid w:val="001D4BC0"/>
    <w:rsid w:val="001D52CE"/>
    <w:rsid w:val="001D5805"/>
    <w:rsid w:val="001D6C14"/>
    <w:rsid w:val="001D7611"/>
    <w:rsid w:val="001E0C96"/>
    <w:rsid w:val="001E0EB6"/>
    <w:rsid w:val="001E1641"/>
    <w:rsid w:val="001E308D"/>
    <w:rsid w:val="001E315A"/>
    <w:rsid w:val="001E3FCB"/>
    <w:rsid w:val="001E4CDD"/>
    <w:rsid w:val="001E58AC"/>
    <w:rsid w:val="001E6BCE"/>
    <w:rsid w:val="001E79D9"/>
    <w:rsid w:val="001F0DF0"/>
    <w:rsid w:val="001F1B15"/>
    <w:rsid w:val="001F1DCF"/>
    <w:rsid w:val="001F1EA7"/>
    <w:rsid w:val="001F1F79"/>
    <w:rsid w:val="001F2107"/>
    <w:rsid w:val="001F284E"/>
    <w:rsid w:val="001F2D3D"/>
    <w:rsid w:val="001F68E9"/>
    <w:rsid w:val="001F74FF"/>
    <w:rsid w:val="002030EE"/>
    <w:rsid w:val="00203783"/>
    <w:rsid w:val="002039E0"/>
    <w:rsid w:val="002043F2"/>
    <w:rsid w:val="00204B2F"/>
    <w:rsid w:val="0020535A"/>
    <w:rsid w:val="00206DB5"/>
    <w:rsid w:val="00206FF9"/>
    <w:rsid w:val="002071F2"/>
    <w:rsid w:val="0021030F"/>
    <w:rsid w:val="00210DD3"/>
    <w:rsid w:val="0021177F"/>
    <w:rsid w:val="00211C78"/>
    <w:rsid w:val="00213338"/>
    <w:rsid w:val="00213575"/>
    <w:rsid w:val="00213C57"/>
    <w:rsid w:val="00213D92"/>
    <w:rsid w:val="00214478"/>
    <w:rsid w:val="002147D6"/>
    <w:rsid w:val="00214BE7"/>
    <w:rsid w:val="002154C8"/>
    <w:rsid w:val="002166F2"/>
    <w:rsid w:val="00216A4A"/>
    <w:rsid w:val="002205D0"/>
    <w:rsid w:val="00220A5A"/>
    <w:rsid w:val="0022197F"/>
    <w:rsid w:val="00222021"/>
    <w:rsid w:val="00222445"/>
    <w:rsid w:val="00222A2D"/>
    <w:rsid w:val="00222D78"/>
    <w:rsid w:val="002243C9"/>
    <w:rsid w:val="00224C55"/>
    <w:rsid w:val="00224D60"/>
    <w:rsid w:val="00224E40"/>
    <w:rsid w:val="00225102"/>
    <w:rsid w:val="00226C2C"/>
    <w:rsid w:val="002300D9"/>
    <w:rsid w:val="002301D6"/>
    <w:rsid w:val="002308FF"/>
    <w:rsid w:val="00230926"/>
    <w:rsid w:val="002309AD"/>
    <w:rsid w:val="00231355"/>
    <w:rsid w:val="002315E6"/>
    <w:rsid w:val="00231D2D"/>
    <w:rsid w:val="00233C76"/>
    <w:rsid w:val="0023455E"/>
    <w:rsid w:val="00234C1F"/>
    <w:rsid w:val="002365C9"/>
    <w:rsid w:val="00236613"/>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454"/>
    <w:rsid w:val="00267A9A"/>
    <w:rsid w:val="002705C7"/>
    <w:rsid w:val="002715DF"/>
    <w:rsid w:val="002731CA"/>
    <w:rsid w:val="002747F2"/>
    <w:rsid w:val="00274FD3"/>
    <w:rsid w:val="002758DB"/>
    <w:rsid w:val="00276348"/>
    <w:rsid w:val="00276EC2"/>
    <w:rsid w:val="002771BE"/>
    <w:rsid w:val="00277A6F"/>
    <w:rsid w:val="00280A32"/>
    <w:rsid w:val="002813D9"/>
    <w:rsid w:val="00282ACA"/>
    <w:rsid w:val="00282CDE"/>
    <w:rsid w:val="00283328"/>
    <w:rsid w:val="00283964"/>
    <w:rsid w:val="00287021"/>
    <w:rsid w:val="002871A8"/>
    <w:rsid w:val="00287ED8"/>
    <w:rsid w:val="002911DC"/>
    <w:rsid w:val="00292929"/>
    <w:rsid w:val="0029294B"/>
    <w:rsid w:val="00294ED9"/>
    <w:rsid w:val="00297EA6"/>
    <w:rsid w:val="002A0466"/>
    <w:rsid w:val="002A0558"/>
    <w:rsid w:val="002A05CD"/>
    <w:rsid w:val="002A18C2"/>
    <w:rsid w:val="002A214D"/>
    <w:rsid w:val="002A2D23"/>
    <w:rsid w:val="002A31F5"/>
    <w:rsid w:val="002A36CE"/>
    <w:rsid w:val="002A450E"/>
    <w:rsid w:val="002A4578"/>
    <w:rsid w:val="002A47C9"/>
    <w:rsid w:val="002A55B9"/>
    <w:rsid w:val="002A5DA9"/>
    <w:rsid w:val="002A6321"/>
    <w:rsid w:val="002A66B4"/>
    <w:rsid w:val="002A6F0E"/>
    <w:rsid w:val="002A7332"/>
    <w:rsid w:val="002A73E0"/>
    <w:rsid w:val="002B0F0C"/>
    <w:rsid w:val="002B1C78"/>
    <w:rsid w:val="002B218C"/>
    <w:rsid w:val="002B2698"/>
    <w:rsid w:val="002B28C1"/>
    <w:rsid w:val="002B2FB6"/>
    <w:rsid w:val="002B3848"/>
    <w:rsid w:val="002B4B77"/>
    <w:rsid w:val="002B4F37"/>
    <w:rsid w:val="002B517A"/>
    <w:rsid w:val="002B5E02"/>
    <w:rsid w:val="002C0018"/>
    <w:rsid w:val="002C1206"/>
    <w:rsid w:val="002C16C5"/>
    <w:rsid w:val="002C1717"/>
    <w:rsid w:val="002C1851"/>
    <w:rsid w:val="002C27E6"/>
    <w:rsid w:val="002C518E"/>
    <w:rsid w:val="002C5920"/>
    <w:rsid w:val="002C5A3D"/>
    <w:rsid w:val="002C6A74"/>
    <w:rsid w:val="002C739C"/>
    <w:rsid w:val="002C7668"/>
    <w:rsid w:val="002D03D9"/>
    <w:rsid w:val="002D06AA"/>
    <w:rsid w:val="002D0CEB"/>
    <w:rsid w:val="002D19ED"/>
    <w:rsid w:val="002D2085"/>
    <w:rsid w:val="002D2837"/>
    <w:rsid w:val="002D3715"/>
    <w:rsid w:val="002D4C2E"/>
    <w:rsid w:val="002D62E5"/>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142F"/>
    <w:rsid w:val="002F1744"/>
    <w:rsid w:val="002F2DCB"/>
    <w:rsid w:val="002F45E3"/>
    <w:rsid w:val="002F4ED2"/>
    <w:rsid w:val="002F58D8"/>
    <w:rsid w:val="002F5BBE"/>
    <w:rsid w:val="002F61A9"/>
    <w:rsid w:val="002F6B39"/>
    <w:rsid w:val="0030035F"/>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4C48"/>
    <w:rsid w:val="00315C0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52"/>
    <w:rsid w:val="00340785"/>
    <w:rsid w:val="0034196C"/>
    <w:rsid w:val="0034277B"/>
    <w:rsid w:val="00342F88"/>
    <w:rsid w:val="0034519C"/>
    <w:rsid w:val="00345599"/>
    <w:rsid w:val="00346306"/>
    <w:rsid w:val="00347004"/>
    <w:rsid w:val="003470CC"/>
    <w:rsid w:val="003501BA"/>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C77"/>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E08"/>
    <w:rsid w:val="003C44B8"/>
    <w:rsid w:val="003C59BA"/>
    <w:rsid w:val="003C6ABC"/>
    <w:rsid w:val="003D132C"/>
    <w:rsid w:val="003D1AC4"/>
    <w:rsid w:val="003D2A94"/>
    <w:rsid w:val="003D554F"/>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19B"/>
    <w:rsid w:val="003F09ED"/>
    <w:rsid w:val="003F1A0C"/>
    <w:rsid w:val="003F22C8"/>
    <w:rsid w:val="003F24AA"/>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3FF8"/>
    <w:rsid w:val="0041593F"/>
    <w:rsid w:val="00415BE7"/>
    <w:rsid w:val="00416953"/>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A37"/>
    <w:rsid w:val="00430B3D"/>
    <w:rsid w:val="004313B2"/>
    <w:rsid w:val="004315E2"/>
    <w:rsid w:val="00432704"/>
    <w:rsid w:val="004332D5"/>
    <w:rsid w:val="0043469C"/>
    <w:rsid w:val="00434B05"/>
    <w:rsid w:val="004359BB"/>
    <w:rsid w:val="00435AEC"/>
    <w:rsid w:val="00435D35"/>
    <w:rsid w:val="004370B8"/>
    <w:rsid w:val="00437880"/>
    <w:rsid w:val="00437EFD"/>
    <w:rsid w:val="0044001F"/>
    <w:rsid w:val="0044040E"/>
    <w:rsid w:val="0044055E"/>
    <w:rsid w:val="00440635"/>
    <w:rsid w:val="00440CF6"/>
    <w:rsid w:val="004417F1"/>
    <w:rsid w:val="00441BDC"/>
    <w:rsid w:val="0044367E"/>
    <w:rsid w:val="00445007"/>
    <w:rsid w:val="00446014"/>
    <w:rsid w:val="00446087"/>
    <w:rsid w:val="0044688C"/>
    <w:rsid w:val="0044693E"/>
    <w:rsid w:val="00447100"/>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8378D"/>
    <w:rsid w:val="00483A74"/>
    <w:rsid w:val="00485298"/>
    <w:rsid w:val="00485548"/>
    <w:rsid w:val="004860F4"/>
    <w:rsid w:val="00487106"/>
    <w:rsid w:val="00487A5A"/>
    <w:rsid w:val="0049110F"/>
    <w:rsid w:val="00491495"/>
    <w:rsid w:val="00491B36"/>
    <w:rsid w:val="00491ED6"/>
    <w:rsid w:val="00491F94"/>
    <w:rsid w:val="0049203B"/>
    <w:rsid w:val="0049399A"/>
    <w:rsid w:val="004942E7"/>
    <w:rsid w:val="00494B98"/>
    <w:rsid w:val="00497B40"/>
    <w:rsid w:val="004A1846"/>
    <w:rsid w:val="004A1E50"/>
    <w:rsid w:val="004A2582"/>
    <w:rsid w:val="004A3A98"/>
    <w:rsid w:val="004A3ABD"/>
    <w:rsid w:val="004A4403"/>
    <w:rsid w:val="004A4D80"/>
    <w:rsid w:val="004A5618"/>
    <w:rsid w:val="004A5C59"/>
    <w:rsid w:val="004A5F6C"/>
    <w:rsid w:val="004A6A20"/>
    <w:rsid w:val="004B1826"/>
    <w:rsid w:val="004B1E38"/>
    <w:rsid w:val="004B20C8"/>
    <w:rsid w:val="004B272D"/>
    <w:rsid w:val="004B38A0"/>
    <w:rsid w:val="004B3D00"/>
    <w:rsid w:val="004B5670"/>
    <w:rsid w:val="004B568B"/>
    <w:rsid w:val="004B6B8A"/>
    <w:rsid w:val="004B71D1"/>
    <w:rsid w:val="004B79CE"/>
    <w:rsid w:val="004B7B62"/>
    <w:rsid w:val="004B7CF3"/>
    <w:rsid w:val="004C09B8"/>
    <w:rsid w:val="004C0B5E"/>
    <w:rsid w:val="004C2765"/>
    <w:rsid w:val="004C276C"/>
    <w:rsid w:val="004C5573"/>
    <w:rsid w:val="004C5FA6"/>
    <w:rsid w:val="004C7170"/>
    <w:rsid w:val="004C7F2F"/>
    <w:rsid w:val="004D1DCF"/>
    <w:rsid w:val="004D3DD9"/>
    <w:rsid w:val="004D5044"/>
    <w:rsid w:val="004D5411"/>
    <w:rsid w:val="004D5D22"/>
    <w:rsid w:val="004D6595"/>
    <w:rsid w:val="004D6C37"/>
    <w:rsid w:val="004D7372"/>
    <w:rsid w:val="004E04FE"/>
    <w:rsid w:val="004E10EA"/>
    <w:rsid w:val="004E16D7"/>
    <w:rsid w:val="004E1B5B"/>
    <w:rsid w:val="004E267C"/>
    <w:rsid w:val="004E288E"/>
    <w:rsid w:val="004E2AB2"/>
    <w:rsid w:val="004E42D1"/>
    <w:rsid w:val="004E5211"/>
    <w:rsid w:val="004E5AD1"/>
    <w:rsid w:val="004E64E1"/>
    <w:rsid w:val="004E72A2"/>
    <w:rsid w:val="004E7D00"/>
    <w:rsid w:val="004F0449"/>
    <w:rsid w:val="004F25CE"/>
    <w:rsid w:val="004F2A41"/>
    <w:rsid w:val="004F2DE5"/>
    <w:rsid w:val="004F46F5"/>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61"/>
    <w:rsid w:val="00533D84"/>
    <w:rsid w:val="00534916"/>
    <w:rsid w:val="00535220"/>
    <w:rsid w:val="00541BA8"/>
    <w:rsid w:val="00542514"/>
    <w:rsid w:val="00542741"/>
    <w:rsid w:val="005441D8"/>
    <w:rsid w:val="0054479C"/>
    <w:rsid w:val="0054614D"/>
    <w:rsid w:val="0055082F"/>
    <w:rsid w:val="00551363"/>
    <w:rsid w:val="00552003"/>
    <w:rsid w:val="00552206"/>
    <w:rsid w:val="0055269D"/>
    <w:rsid w:val="00552FE0"/>
    <w:rsid w:val="0055364F"/>
    <w:rsid w:val="00554DBE"/>
    <w:rsid w:val="00554F7F"/>
    <w:rsid w:val="005551AE"/>
    <w:rsid w:val="00556E8C"/>
    <w:rsid w:val="005602B7"/>
    <w:rsid w:val="005605FE"/>
    <w:rsid w:val="00560819"/>
    <w:rsid w:val="00561C00"/>
    <w:rsid w:val="005625A4"/>
    <w:rsid w:val="00563660"/>
    <w:rsid w:val="00563BE9"/>
    <w:rsid w:val="00563D20"/>
    <w:rsid w:val="00563DE0"/>
    <w:rsid w:val="00564300"/>
    <w:rsid w:val="00564D6F"/>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626"/>
    <w:rsid w:val="00591D2F"/>
    <w:rsid w:val="00592284"/>
    <w:rsid w:val="005924CD"/>
    <w:rsid w:val="0059370E"/>
    <w:rsid w:val="00594206"/>
    <w:rsid w:val="00594332"/>
    <w:rsid w:val="0059503A"/>
    <w:rsid w:val="00595A49"/>
    <w:rsid w:val="005972D9"/>
    <w:rsid w:val="005976C5"/>
    <w:rsid w:val="00597FC9"/>
    <w:rsid w:val="005A16D2"/>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28C"/>
    <w:rsid w:val="005B7EFF"/>
    <w:rsid w:val="005B7F15"/>
    <w:rsid w:val="005C0FCD"/>
    <w:rsid w:val="005C11DE"/>
    <w:rsid w:val="005C30B1"/>
    <w:rsid w:val="005C3209"/>
    <w:rsid w:val="005C344D"/>
    <w:rsid w:val="005C5488"/>
    <w:rsid w:val="005C5B21"/>
    <w:rsid w:val="005C5B2A"/>
    <w:rsid w:val="005C5F49"/>
    <w:rsid w:val="005C639B"/>
    <w:rsid w:val="005C661B"/>
    <w:rsid w:val="005C66FB"/>
    <w:rsid w:val="005C7721"/>
    <w:rsid w:val="005C77E1"/>
    <w:rsid w:val="005D01B5"/>
    <w:rsid w:val="005D0ED2"/>
    <w:rsid w:val="005D10B0"/>
    <w:rsid w:val="005D30AF"/>
    <w:rsid w:val="005D36A9"/>
    <w:rsid w:val="005D5AAB"/>
    <w:rsid w:val="005E2CDD"/>
    <w:rsid w:val="005E4372"/>
    <w:rsid w:val="005E4898"/>
    <w:rsid w:val="005E4FF0"/>
    <w:rsid w:val="005F08D0"/>
    <w:rsid w:val="005F0C3F"/>
    <w:rsid w:val="005F1C6C"/>
    <w:rsid w:val="005F2C2C"/>
    <w:rsid w:val="005F65DC"/>
    <w:rsid w:val="005F6BD6"/>
    <w:rsid w:val="0060068F"/>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62E0"/>
    <w:rsid w:val="006170FF"/>
    <w:rsid w:val="00617584"/>
    <w:rsid w:val="00617D85"/>
    <w:rsid w:val="00620CF0"/>
    <w:rsid w:val="006216A3"/>
    <w:rsid w:val="00621C19"/>
    <w:rsid w:val="00623BCA"/>
    <w:rsid w:val="006242BE"/>
    <w:rsid w:val="006242C6"/>
    <w:rsid w:val="00626AEB"/>
    <w:rsid w:val="0063084B"/>
    <w:rsid w:val="006350F3"/>
    <w:rsid w:val="006355A0"/>
    <w:rsid w:val="006356EB"/>
    <w:rsid w:val="00636792"/>
    <w:rsid w:val="006368E3"/>
    <w:rsid w:val="00637127"/>
    <w:rsid w:val="00641F89"/>
    <w:rsid w:val="006423DF"/>
    <w:rsid w:val="006435A1"/>
    <w:rsid w:val="00644114"/>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6216"/>
    <w:rsid w:val="00666B53"/>
    <w:rsid w:val="00670C9C"/>
    <w:rsid w:val="00670D25"/>
    <w:rsid w:val="00671008"/>
    <w:rsid w:val="0067142E"/>
    <w:rsid w:val="006714A1"/>
    <w:rsid w:val="00672A61"/>
    <w:rsid w:val="00675469"/>
    <w:rsid w:val="00676109"/>
    <w:rsid w:val="006768FA"/>
    <w:rsid w:val="006769C1"/>
    <w:rsid w:val="00677710"/>
    <w:rsid w:val="00677A4C"/>
    <w:rsid w:val="00681C2F"/>
    <w:rsid w:val="00682023"/>
    <w:rsid w:val="006829EB"/>
    <w:rsid w:val="00682F97"/>
    <w:rsid w:val="00683750"/>
    <w:rsid w:val="00683AAA"/>
    <w:rsid w:val="0068697F"/>
    <w:rsid w:val="0069017C"/>
    <w:rsid w:val="006903A5"/>
    <w:rsid w:val="00692086"/>
    <w:rsid w:val="00692412"/>
    <w:rsid w:val="0069296E"/>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C57"/>
    <w:rsid w:val="006B1E81"/>
    <w:rsid w:val="006B4345"/>
    <w:rsid w:val="006B49D1"/>
    <w:rsid w:val="006B4C8B"/>
    <w:rsid w:val="006B4DB8"/>
    <w:rsid w:val="006B6E53"/>
    <w:rsid w:val="006B7EC7"/>
    <w:rsid w:val="006C03FE"/>
    <w:rsid w:val="006C061F"/>
    <w:rsid w:val="006C0F6D"/>
    <w:rsid w:val="006C3AD0"/>
    <w:rsid w:val="006D0068"/>
    <w:rsid w:val="006D0700"/>
    <w:rsid w:val="006D1B84"/>
    <w:rsid w:val="006D2032"/>
    <w:rsid w:val="006D2919"/>
    <w:rsid w:val="006D2BD1"/>
    <w:rsid w:val="006D38FD"/>
    <w:rsid w:val="006D4630"/>
    <w:rsid w:val="006D46EC"/>
    <w:rsid w:val="006D49C3"/>
    <w:rsid w:val="006D5F4B"/>
    <w:rsid w:val="006D6CB8"/>
    <w:rsid w:val="006D6E71"/>
    <w:rsid w:val="006D7118"/>
    <w:rsid w:val="006D7827"/>
    <w:rsid w:val="006E14F0"/>
    <w:rsid w:val="006E2193"/>
    <w:rsid w:val="006E2D74"/>
    <w:rsid w:val="006E36CE"/>
    <w:rsid w:val="006E4D9E"/>
    <w:rsid w:val="006E59AF"/>
    <w:rsid w:val="006E6EF9"/>
    <w:rsid w:val="006F0430"/>
    <w:rsid w:val="006F0C4A"/>
    <w:rsid w:val="006F2811"/>
    <w:rsid w:val="006F2AD4"/>
    <w:rsid w:val="006F3771"/>
    <w:rsid w:val="006F460E"/>
    <w:rsid w:val="006F47FD"/>
    <w:rsid w:val="006F530B"/>
    <w:rsid w:val="006F60A2"/>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E4B"/>
    <w:rsid w:val="007535E3"/>
    <w:rsid w:val="0075432E"/>
    <w:rsid w:val="007571D6"/>
    <w:rsid w:val="007574D6"/>
    <w:rsid w:val="00757735"/>
    <w:rsid w:val="007579BF"/>
    <w:rsid w:val="00757A8D"/>
    <w:rsid w:val="00761375"/>
    <w:rsid w:val="007633F6"/>
    <w:rsid w:val="00765C6E"/>
    <w:rsid w:val="007668C9"/>
    <w:rsid w:val="00766D67"/>
    <w:rsid w:val="00767DE3"/>
    <w:rsid w:val="007712B1"/>
    <w:rsid w:val="00771852"/>
    <w:rsid w:val="00772B6D"/>
    <w:rsid w:val="007735F2"/>
    <w:rsid w:val="0077451B"/>
    <w:rsid w:val="00774774"/>
    <w:rsid w:val="00775330"/>
    <w:rsid w:val="00776EE8"/>
    <w:rsid w:val="00777BCF"/>
    <w:rsid w:val="00777BE9"/>
    <w:rsid w:val="007803AE"/>
    <w:rsid w:val="00781DFF"/>
    <w:rsid w:val="00783C9C"/>
    <w:rsid w:val="0078450E"/>
    <w:rsid w:val="00784829"/>
    <w:rsid w:val="00784E47"/>
    <w:rsid w:val="00786B31"/>
    <w:rsid w:val="007870F3"/>
    <w:rsid w:val="007902D5"/>
    <w:rsid w:val="007909DA"/>
    <w:rsid w:val="007916FA"/>
    <w:rsid w:val="007920C4"/>
    <w:rsid w:val="00792C6B"/>
    <w:rsid w:val="00792EFF"/>
    <w:rsid w:val="00793D97"/>
    <w:rsid w:val="00793EA6"/>
    <w:rsid w:val="007944CA"/>
    <w:rsid w:val="007946E6"/>
    <w:rsid w:val="00796AE0"/>
    <w:rsid w:val="007A2BD7"/>
    <w:rsid w:val="007A64A6"/>
    <w:rsid w:val="007A6A3B"/>
    <w:rsid w:val="007A730E"/>
    <w:rsid w:val="007B00A8"/>
    <w:rsid w:val="007B0859"/>
    <w:rsid w:val="007B0CD6"/>
    <w:rsid w:val="007B0EB2"/>
    <w:rsid w:val="007B2148"/>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D7BAC"/>
    <w:rsid w:val="007E0C4F"/>
    <w:rsid w:val="007E11E4"/>
    <w:rsid w:val="007E12C3"/>
    <w:rsid w:val="007E337C"/>
    <w:rsid w:val="007E3AF8"/>
    <w:rsid w:val="007E3C6C"/>
    <w:rsid w:val="007E3DEE"/>
    <w:rsid w:val="007E50C3"/>
    <w:rsid w:val="007E5254"/>
    <w:rsid w:val="007E666B"/>
    <w:rsid w:val="007E7112"/>
    <w:rsid w:val="007E7253"/>
    <w:rsid w:val="007E7474"/>
    <w:rsid w:val="007F1667"/>
    <w:rsid w:val="007F1818"/>
    <w:rsid w:val="007F3D1C"/>
    <w:rsid w:val="007F78E8"/>
    <w:rsid w:val="008008F4"/>
    <w:rsid w:val="00800E22"/>
    <w:rsid w:val="00800E58"/>
    <w:rsid w:val="008015C1"/>
    <w:rsid w:val="00801FEC"/>
    <w:rsid w:val="008021DE"/>
    <w:rsid w:val="00802481"/>
    <w:rsid w:val="008026E1"/>
    <w:rsid w:val="008036EB"/>
    <w:rsid w:val="00803C4C"/>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67C4"/>
    <w:rsid w:val="00816FEC"/>
    <w:rsid w:val="00820D73"/>
    <w:rsid w:val="00822731"/>
    <w:rsid w:val="008234E5"/>
    <w:rsid w:val="0082381D"/>
    <w:rsid w:val="00825540"/>
    <w:rsid w:val="00825DD6"/>
    <w:rsid w:val="00826ACB"/>
    <w:rsid w:val="00827409"/>
    <w:rsid w:val="00830738"/>
    <w:rsid w:val="0083163A"/>
    <w:rsid w:val="00832AC7"/>
    <w:rsid w:val="00833B7E"/>
    <w:rsid w:val="00834789"/>
    <w:rsid w:val="00834BA7"/>
    <w:rsid w:val="0083587C"/>
    <w:rsid w:val="00835AA3"/>
    <w:rsid w:val="008367C4"/>
    <w:rsid w:val="00837FF0"/>
    <w:rsid w:val="00840126"/>
    <w:rsid w:val="008401A8"/>
    <w:rsid w:val="008402FE"/>
    <w:rsid w:val="00841BF6"/>
    <w:rsid w:val="00842FAC"/>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43A"/>
    <w:rsid w:val="00870A83"/>
    <w:rsid w:val="00870AE7"/>
    <w:rsid w:val="00870FB6"/>
    <w:rsid w:val="0087142B"/>
    <w:rsid w:val="0087160D"/>
    <w:rsid w:val="00871C70"/>
    <w:rsid w:val="00872C2A"/>
    <w:rsid w:val="0087353F"/>
    <w:rsid w:val="00873C0A"/>
    <w:rsid w:val="00874060"/>
    <w:rsid w:val="008753E6"/>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1504"/>
    <w:rsid w:val="008B2AD7"/>
    <w:rsid w:val="008B2B28"/>
    <w:rsid w:val="008B2EF9"/>
    <w:rsid w:val="008B3990"/>
    <w:rsid w:val="008B3D7A"/>
    <w:rsid w:val="008B4C49"/>
    <w:rsid w:val="008B55EE"/>
    <w:rsid w:val="008B5E3F"/>
    <w:rsid w:val="008B6131"/>
    <w:rsid w:val="008B692F"/>
    <w:rsid w:val="008B7634"/>
    <w:rsid w:val="008C0FA4"/>
    <w:rsid w:val="008C1C84"/>
    <w:rsid w:val="008C2E36"/>
    <w:rsid w:val="008C3FB3"/>
    <w:rsid w:val="008C6366"/>
    <w:rsid w:val="008C773C"/>
    <w:rsid w:val="008C7C1F"/>
    <w:rsid w:val="008D171D"/>
    <w:rsid w:val="008D24B0"/>
    <w:rsid w:val="008D2AB8"/>
    <w:rsid w:val="008D2CD9"/>
    <w:rsid w:val="008D2F60"/>
    <w:rsid w:val="008D313D"/>
    <w:rsid w:val="008D48B0"/>
    <w:rsid w:val="008D6193"/>
    <w:rsid w:val="008D7216"/>
    <w:rsid w:val="008E075B"/>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AF3"/>
    <w:rsid w:val="00904D86"/>
    <w:rsid w:val="00905687"/>
    <w:rsid w:val="00906533"/>
    <w:rsid w:val="00907B73"/>
    <w:rsid w:val="0091040F"/>
    <w:rsid w:val="00910868"/>
    <w:rsid w:val="00910B9A"/>
    <w:rsid w:val="0091176C"/>
    <w:rsid w:val="00912C86"/>
    <w:rsid w:val="00913563"/>
    <w:rsid w:val="00914058"/>
    <w:rsid w:val="00914692"/>
    <w:rsid w:val="00914782"/>
    <w:rsid w:val="00915B4B"/>
    <w:rsid w:val="00916A1A"/>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373FE"/>
    <w:rsid w:val="00937DB8"/>
    <w:rsid w:val="0094187B"/>
    <w:rsid w:val="00941DE8"/>
    <w:rsid w:val="00941E26"/>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5EDB"/>
    <w:rsid w:val="00956EBD"/>
    <w:rsid w:val="00957043"/>
    <w:rsid w:val="009570E7"/>
    <w:rsid w:val="009578AD"/>
    <w:rsid w:val="00957A1C"/>
    <w:rsid w:val="00960606"/>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F9B"/>
    <w:rsid w:val="00973FCA"/>
    <w:rsid w:val="00974218"/>
    <w:rsid w:val="009767EF"/>
    <w:rsid w:val="009775DD"/>
    <w:rsid w:val="00977861"/>
    <w:rsid w:val="00980C8C"/>
    <w:rsid w:val="009811AB"/>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EA6"/>
    <w:rsid w:val="00994033"/>
    <w:rsid w:val="009947F4"/>
    <w:rsid w:val="00994C1A"/>
    <w:rsid w:val="009962FA"/>
    <w:rsid w:val="009A0433"/>
    <w:rsid w:val="009A05D1"/>
    <w:rsid w:val="009A3808"/>
    <w:rsid w:val="009A52AB"/>
    <w:rsid w:val="009A772F"/>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6B87"/>
    <w:rsid w:val="009C71BB"/>
    <w:rsid w:val="009C776F"/>
    <w:rsid w:val="009C7D43"/>
    <w:rsid w:val="009D11FE"/>
    <w:rsid w:val="009D2284"/>
    <w:rsid w:val="009D2DB0"/>
    <w:rsid w:val="009D3978"/>
    <w:rsid w:val="009D499A"/>
    <w:rsid w:val="009D4BDC"/>
    <w:rsid w:val="009D52BE"/>
    <w:rsid w:val="009D5AE4"/>
    <w:rsid w:val="009D5DA7"/>
    <w:rsid w:val="009D6098"/>
    <w:rsid w:val="009D747C"/>
    <w:rsid w:val="009D78BE"/>
    <w:rsid w:val="009E15F8"/>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641"/>
    <w:rsid w:val="00A027CC"/>
    <w:rsid w:val="00A03517"/>
    <w:rsid w:val="00A040B4"/>
    <w:rsid w:val="00A051E7"/>
    <w:rsid w:val="00A06817"/>
    <w:rsid w:val="00A074E5"/>
    <w:rsid w:val="00A12995"/>
    <w:rsid w:val="00A12C39"/>
    <w:rsid w:val="00A135EC"/>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5AF"/>
    <w:rsid w:val="00A35D06"/>
    <w:rsid w:val="00A37C88"/>
    <w:rsid w:val="00A4133A"/>
    <w:rsid w:val="00A42168"/>
    <w:rsid w:val="00A421C5"/>
    <w:rsid w:val="00A428AD"/>
    <w:rsid w:val="00A42A6E"/>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676E"/>
    <w:rsid w:val="00A6761A"/>
    <w:rsid w:val="00A67FE1"/>
    <w:rsid w:val="00A70A87"/>
    <w:rsid w:val="00A70FBD"/>
    <w:rsid w:val="00A71880"/>
    <w:rsid w:val="00A719E4"/>
    <w:rsid w:val="00A7216B"/>
    <w:rsid w:val="00A730EB"/>
    <w:rsid w:val="00A731CF"/>
    <w:rsid w:val="00A73768"/>
    <w:rsid w:val="00A7484C"/>
    <w:rsid w:val="00A762BD"/>
    <w:rsid w:val="00A76396"/>
    <w:rsid w:val="00A76A44"/>
    <w:rsid w:val="00A76A81"/>
    <w:rsid w:val="00A801A3"/>
    <w:rsid w:val="00A81CAD"/>
    <w:rsid w:val="00A8223C"/>
    <w:rsid w:val="00A82BE0"/>
    <w:rsid w:val="00A838F7"/>
    <w:rsid w:val="00A84246"/>
    <w:rsid w:val="00A84E33"/>
    <w:rsid w:val="00A8692E"/>
    <w:rsid w:val="00A873CC"/>
    <w:rsid w:val="00A9020B"/>
    <w:rsid w:val="00A90DC5"/>
    <w:rsid w:val="00A912E5"/>
    <w:rsid w:val="00A918A4"/>
    <w:rsid w:val="00A92761"/>
    <w:rsid w:val="00A93FA0"/>
    <w:rsid w:val="00A94B20"/>
    <w:rsid w:val="00A9567C"/>
    <w:rsid w:val="00A95FBD"/>
    <w:rsid w:val="00A977B3"/>
    <w:rsid w:val="00AA0929"/>
    <w:rsid w:val="00AA21C8"/>
    <w:rsid w:val="00AA27B2"/>
    <w:rsid w:val="00AA2E1D"/>
    <w:rsid w:val="00AA343D"/>
    <w:rsid w:val="00AA43A8"/>
    <w:rsid w:val="00AA572E"/>
    <w:rsid w:val="00AA616A"/>
    <w:rsid w:val="00AA68BD"/>
    <w:rsid w:val="00AB0F4D"/>
    <w:rsid w:val="00AB10B2"/>
    <w:rsid w:val="00AB1564"/>
    <w:rsid w:val="00AB1F25"/>
    <w:rsid w:val="00AB2088"/>
    <w:rsid w:val="00AB334C"/>
    <w:rsid w:val="00AB3576"/>
    <w:rsid w:val="00AB69A3"/>
    <w:rsid w:val="00AC0518"/>
    <w:rsid w:val="00AC2297"/>
    <w:rsid w:val="00AC2361"/>
    <w:rsid w:val="00AC24DF"/>
    <w:rsid w:val="00AC4E8A"/>
    <w:rsid w:val="00AC529B"/>
    <w:rsid w:val="00AC595E"/>
    <w:rsid w:val="00AC5A15"/>
    <w:rsid w:val="00AC61DF"/>
    <w:rsid w:val="00AD009C"/>
    <w:rsid w:val="00AD1A1E"/>
    <w:rsid w:val="00AD3036"/>
    <w:rsid w:val="00AD406C"/>
    <w:rsid w:val="00AD4278"/>
    <w:rsid w:val="00AD5589"/>
    <w:rsid w:val="00AD6211"/>
    <w:rsid w:val="00AE2C24"/>
    <w:rsid w:val="00AE302E"/>
    <w:rsid w:val="00AE3161"/>
    <w:rsid w:val="00AE3648"/>
    <w:rsid w:val="00AE546D"/>
    <w:rsid w:val="00AE5C6D"/>
    <w:rsid w:val="00AE6B24"/>
    <w:rsid w:val="00AE6C42"/>
    <w:rsid w:val="00AE7238"/>
    <w:rsid w:val="00AE745E"/>
    <w:rsid w:val="00AF178F"/>
    <w:rsid w:val="00AF2E18"/>
    <w:rsid w:val="00AF47F6"/>
    <w:rsid w:val="00AF4D8E"/>
    <w:rsid w:val="00AF6066"/>
    <w:rsid w:val="00B0036C"/>
    <w:rsid w:val="00B015CC"/>
    <w:rsid w:val="00B01DE1"/>
    <w:rsid w:val="00B02040"/>
    <w:rsid w:val="00B021D8"/>
    <w:rsid w:val="00B02624"/>
    <w:rsid w:val="00B02695"/>
    <w:rsid w:val="00B03336"/>
    <w:rsid w:val="00B03CD5"/>
    <w:rsid w:val="00B06550"/>
    <w:rsid w:val="00B06FF2"/>
    <w:rsid w:val="00B071AF"/>
    <w:rsid w:val="00B07EAA"/>
    <w:rsid w:val="00B105FF"/>
    <w:rsid w:val="00B10E9C"/>
    <w:rsid w:val="00B13803"/>
    <w:rsid w:val="00B138CC"/>
    <w:rsid w:val="00B14545"/>
    <w:rsid w:val="00B15175"/>
    <w:rsid w:val="00B15A48"/>
    <w:rsid w:val="00B15B2F"/>
    <w:rsid w:val="00B15D19"/>
    <w:rsid w:val="00B17D6E"/>
    <w:rsid w:val="00B205F5"/>
    <w:rsid w:val="00B219E8"/>
    <w:rsid w:val="00B21B89"/>
    <w:rsid w:val="00B23E6C"/>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D7D"/>
    <w:rsid w:val="00B36EED"/>
    <w:rsid w:val="00B400A9"/>
    <w:rsid w:val="00B40EE7"/>
    <w:rsid w:val="00B4221B"/>
    <w:rsid w:val="00B42D34"/>
    <w:rsid w:val="00B42DD3"/>
    <w:rsid w:val="00B43583"/>
    <w:rsid w:val="00B435B2"/>
    <w:rsid w:val="00B43DED"/>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FC8"/>
    <w:rsid w:val="00B55099"/>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76C27"/>
    <w:rsid w:val="00B81433"/>
    <w:rsid w:val="00B8161B"/>
    <w:rsid w:val="00B8364E"/>
    <w:rsid w:val="00B84EF9"/>
    <w:rsid w:val="00B86347"/>
    <w:rsid w:val="00B873D9"/>
    <w:rsid w:val="00B911FF"/>
    <w:rsid w:val="00B9129C"/>
    <w:rsid w:val="00B91727"/>
    <w:rsid w:val="00B93157"/>
    <w:rsid w:val="00B93E93"/>
    <w:rsid w:val="00B943E5"/>
    <w:rsid w:val="00B94A05"/>
    <w:rsid w:val="00B95663"/>
    <w:rsid w:val="00B9591A"/>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1CE"/>
    <w:rsid w:val="00BB5B10"/>
    <w:rsid w:val="00BB610E"/>
    <w:rsid w:val="00BB61B1"/>
    <w:rsid w:val="00BB6F98"/>
    <w:rsid w:val="00BB77B0"/>
    <w:rsid w:val="00BB79FA"/>
    <w:rsid w:val="00BC04BA"/>
    <w:rsid w:val="00BC0E8F"/>
    <w:rsid w:val="00BC2EAC"/>
    <w:rsid w:val="00BC32CA"/>
    <w:rsid w:val="00BC3B25"/>
    <w:rsid w:val="00BC5396"/>
    <w:rsid w:val="00BC54E6"/>
    <w:rsid w:val="00BC5738"/>
    <w:rsid w:val="00BC5821"/>
    <w:rsid w:val="00BD1458"/>
    <w:rsid w:val="00BD1977"/>
    <w:rsid w:val="00BD1B1F"/>
    <w:rsid w:val="00BD2ED3"/>
    <w:rsid w:val="00BD30AB"/>
    <w:rsid w:val="00BD4995"/>
    <w:rsid w:val="00BD5145"/>
    <w:rsid w:val="00BD525E"/>
    <w:rsid w:val="00BD571E"/>
    <w:rsid w:val="00BD75EE"/>
    <w:rsid w:val="00BD79F7"/>
    <w:rsid w:val="00BE1515"/>
    <w:rsid w:val="00BE1F3C"/>
    <w:rsid w:val="00BE219E"/>
    <w:rsid w:val="00BE2AC3"/>
    <w:rsid w:val="00BE3F41"/>
    <w:rsid w:val="00BE418E"/>
    <w:rsid w:val="00BE4960"/>
    <w:rsid w:val="00BE5736"/>
    <w:rsid w:val="00BE5D0C"/>
    <w:rsid w:val="00BE637F"/>
    <w:rsid w:val="00BE643A"/>
    <w:rsid w:val="00BE7B9F"/>
    <w:rsid w:val="00BF2F02"/>
    <w:rsid w:val="00BF5081"/>
    <w:rsid w:val="00BF53AE"/>
    <w:rsid w:val="00BF5483"/>
    <w:rsid w:val="00BF5C66"/>
    <w:rsid w:val="00BF68D7"/>
    <w:rsid w:val="00BF6D22"/>
    <w:rsid w:val="00BF6D40"/>
    <w:rsid w:val="00BF7928"/>
    <w:rsid w:val="00BF7A75"/>
    <w:rsid w:val="00C024B5"/>
    <w:rsid w:val="00C026E1"/>
    <w:rsid w:val="00C033FC"/>
    <w:rsid w:val="00C036D3"/>
    <w:rsid w:val="00C03B65"/>
    <w:rsid w:val="00C05237"/>
    <w:rsid w:val="00C06581"/>
    <w:rsid w:val="00C06BBD"/>
    <w:rsid w:val="00C07378"/>
    <w:rsid w:val="00C0753C"/>
    <w:rsid w:val="00C07E3C"/>
    <w:rsid w:val="00C10183"/>
    <w:rsid w:val="00C11393"/>
    <w:rsid w:val="00C128E7"/>
    <w:rsid w:val="00C12B9A"/>
    <w:rsid w:val="00C12DDE"/>
    <w:rsid w:val="00C1384E"/>
    <w:rsid w:val="00C1454C"/>
    <w:rsid w:val="00C14EFF"/>
    <w:rsid w:val="00C15F82"/>
    <w:rsid w:val="00C16813"/>
    <w:rsid w:val="00C16D63"/>
    <w:rsid w:val="00C17353"/>
    <w:rsid w:val="00C20A76"/>
    <w:rsid w:val="00C20D66"/>
    <w:rsid w:val="00C218CA"/>
    <w:rsid w:val="00C2221F"/>
    <w:rsid w:val="00C22945"/>
    <w:rsid w:val="00C244E7"/>
    <w:rsid w:val="00C25745"/>
    <w:rsid w:val="00C26FF1"/>
    <w:rsid w:val="00C27B7D"/>
    <w:rsid w:val="00C27FEC"/>
    <w:rsid w:val="00C30F85"/>
    <w:rsid w:val="00C33156"/>
    <w:rsid w:val="00C34F1D"/>
    <w:rsid w:val="00C358E4"/>
    <w:rsid w:val="00C3595D"/>
    <w:rsid w:val="00C36B98"/>
    <w:rsid w:val="00C36DA9"/>
    <w:rsid w:val="00C37020"/>
    <w:rsid w:val="00C3768C"/>
    <w:rsid w:val="00C4023C"/>
    <w:rsid w:val="00C41AC4"/>
    <w:rsid w:val="00C42ECF"/>
    <w:rsid w:val="00C43824"/>
    <w:rsid w:val="00C43C10"/>
    <w:rsid w:val="00C43C45"/>
    <w:rsid w:val="00C4543F"/>
    <w:rsid w:val="00C45F43"/>
    <w:rsid w:val="00C4619F"/>
    <w:rsid w:val="00C461EE"/>
    <w:rsid w:val="00C477D4"/>
    <w:rsid w:val="00C502E4"/>
    <w:rsid w:val="00C523EE"/>
    <w:rsid w:val="00C52AEB"/>
    <w:rsid w:val="00C52B0F"/>
    <w:rsid w:val="00C557A3"/>
    <w:rsid w:val="00C55C68"/>
    <w:rsid w:val="00C57475"/>
    <w:rsid w:val="00C613C8"/>
    <w:rsid w:val="00C619A2"/>
    <w:rsid w:val="00C61CE1"/>
    <w:rsid w:val="00C62113"/>
    <w:rsid w:val="00C62E3B"/>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2325"/>
    <w:rsid w:val="00CA23FB"/>
    <w:rsid w:val="00CA497C"/>
    <w:rsid w:val="00CA5838"/>
    <w:rsid w:val="00CA5FF3"/>
    <w:rsid w:val="00CA79F9"/>
    <w:rsid w:val="00CA7EEE"/>
    <w:rsid w:val="00CB20EB"/>
    <w:rsid w:val="00CB27C1"/>
    <w:rsid w:val="00CB3E26"/>
    <w:rsid w:val="00CB43F4"/>
    <w:rsid w:val="00CB44C2"/>
    <w:rsid w:val="00CB5712"/>
    <w:rsid w:val="00CB7F91"/>
    <w:rsid w:val="00CC34DA"/>
    <w:rsid w:val="00CC3DCB"/>
    <w:rsid w:val="00CC53AA"/>
    <w:rsid w:val="00CC6200"/>
    <w:rsid w:val="00CC6700"/>
    <w:rsid w:val="00CC7468"/>
    <w:rsid w:val="00CD1370"/>
    <w:rsid w:val="00CD1B0E"/>
    <w:rsid w:val="00CD21D4"/>
    <w:rsid w:val="00CD314C"/>
    <w:rsid w:val="00CD3A7E"/>
    <w:rsid w:val="00CD4D60"/>
    <w:rsid w:val="00CD4EB5"/>
    <w:rsid w:val="00CD4FE1"/>
    <w:rsid w:val="00CD5D83"/>
    <w:rsid w:val="00CD7094"/>
    <w:rsid w:val="00CD72EB"/>
    <w:rsid w:val="00CE0A1E"/>
    <w:rsid w:val="00CE15C8"/>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703F"/>
    <w:rsid w:val="00CF7FA0"/>
    <w:rsid w:val="00D01E56"/>
    <w:rsid w:val="00D024C8"/>
    <w:rsid w:val="00D02CE1"/>
    <w:rsid w:val="00D02D39"/>
    <w:rsid w:val="00D03F02"/>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30242"/>
    <w:rsid w:val="00D30DC0"/>
    <w:rsid w:val="00D310F5"/>
    <w:rsid w:val="00D318A4"/>
    <w:rsid w:val="00D32200"/>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4030"/>
    <w:rsid w:val="00D454E6"/>
    <w:rsid w:val="00D471C7"/>
    <w:rsid w:val="00D47408"/>
    <w:rsid w:val="00D52ADC"/>
    <w:rsid w:val="00D53195"/>
    <w:rsid w:val="00D532ED"/>
    <w:rsid w:val="00D5511E"/>
    <w:rsid w:val="00D564B5"/>
    <w:rsid w:val="00D56AB7"/>
    <w:rsid w:val="00D60DB3"/>
    <w:rsid w:val="00D644D1"/>
    <w:rsid w:val="00D64995"/>
    <w:rsid w:val="00D65161"/>
    <w:rsid w:val="00D67A93"/>
    <w:rsid w:val="00D67C04"/>
    <w:rsid w:val="00D7133A"/>
    <w:rsid w:val="00D71B9B"/>
    <w:rsid w:val="00D72937"/>
    <w:rsid w:val="00D73B30"/>
    <w:rsid w:val="00D74958"/>
    <w:rsid w:val="00D74E20"/>
    <w:rsid w:val="00D75032"/>
    <w:rsid w:val="00D75C41"/>
    <w:rsid w:val="00D75E0D"/>
    <w:rsid w:val="00D762A7"/>
    <w:rsid w:val="00D76569"/>
    <w:rsid w:val="00D76D7F"/>
    <w:rsid w:val="00D80663"/>
    <w:rsid w:val="00D855BF"/>
    <w:rsid w:val="00D85C40"/>
    <w:rsid w:val="00D863E7"/>
    <w:rsid w:val="00D8689F"/>
    <w:rsid w:val="00D904A2"/>
    <w:rsid w:val="00D90AA5"/>
    <w:rsid w:val="00D91496"/>
    <w:rsid w:val="00D92D03"/>
    <w:rsid w:val="00D950E3"/>
    <w:rsid w:val="00D96375"/>
    <w:rsid w:val="00D964DD"/>
    <w:rsid w:val="00D964E2"/>
    <w:rsid w:val="00DA03B6"/>
    <w:rsid w:val="00DA0D8E"/>
    <w:rsid w:val="00DA10B6"/>
    <w:rsid w:val="00DA132C"/>
    <w:rsid w:val="00DA1886"/>
    <w:rsid w:val="00DA231F"/>
    <w:rsid w:val="00DA2ADB"/>
    <w:rsid w:val="00DA2F2B"/>
    <w:rsid w:val="00DA3484"/>
    <w:rsid w:val="00DA4357"/>
    <w:rsid w:val="00DA6BF3"/>
    <w:rsid w:val="00DA75A0"/>
    <w:rsid w:val="00DA77A4"/>
    <w:rsid w:val="00DB0838"/>
    <w:rsid w:val="00DB0895"/>
    <w:rsid w:val="00DB08E1"/>
    <w:rsid w:val="00DB208A"/>
    <w:rsid w:val="00DB2698"/>
    <w:rsid w:val="00DB2D09"/>
    <w:rsid w:val="00DB2F59"/>
    <w:rsid w:val="00DB34D8"/>
    <w:rsid w:val="00DB383E"/>
    <w:rsid w:val="00DB395D"/>
    <w:rsid w:val="00DB5DA9"/>
    <w:rsid w:val="00DB64AE"/>
    <w:rsid w:val="00DB6804"/>
    <w:rsid w:val="00DB6AED"/>
    <w:rsid w:val="00DB6E98"/>
    <w:rsid w:val="00DB7E54"/>
    <w:rsid w:val="00DC0743"/>
    <w:rsid w:val="00DC172C"/>
    <w:rsid w:val="00DC1A7E"/>
    <w:rsid w:val="00DC1B7D"/>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3D44"/>
    <w:rsid w:val="00DD3F5D"/>
    <w:rsid w:val="00DD445B"/>
    <w:rsid w:val="00DD53E3"/>
    <w:rsid w:val="00DD551F"/>
    <w:rsid w:val="00DD556C"/>
    <w:rsid w:val="00DD5584"/>
    <w:rsid w:val="00DD5591"/>
    <w:rsid w:val="00DD6738"/>
    <w:rsid w:val="00DD6DE2"/>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3DA4"/>
    <w:rsid w:val="00E1481E"/>
    <w:rsid w:val="00E15C8C"/>
    <w:rsid w:val="00E15E8E"/>
    <w:rsid w:val="00E20575"/>
    <w:rsid w:val="00E2064A"/>
    <w:rsid w:val="00E20E7C"/>
    <w:rsid w:val="00E216C0"/>
    <w:rsid w:val="00E2182A"/>
    <w:rsid w:val="00E21C4C"/>
    <w:rsid w:val="00E220B2"/>
    <w:rsid w:val="00E22317"/>
    <w:rsid w:val="00E24272"/>
    <w:rsid w:val="00E243EE"/>
    <w:rsid w:val="00E249DE"/>
    <w:rsid w:val="00E24F69"/>
    <w:rsid w:val="00E2534B"/>
    <w:rsid w:val="00E25397"/>
    <w:rsid w:val="00E26A9C"/>
    <w:rsid w:val="00E274BF"/>
    <w:rsid w:val="00E27901"/>
    <w:rsid w:val="00E30D31"/>
    <w:rsid w:val="00E31018"/>
    <w:rsid w:val="00E31E2B"/>
    <w:rsid w:val="00E31F51"/>
    <w:rsid w:val="00E32104"/>
    <w:rsid w:val="00E338D7"/>
    <w:rsid w:val="00E343BE"/>
    <w:rsid w:val="00E35C09"/>
    <w:rsid w:val="00E36A91"/>
    <w:rsid w:val="00E3719D"/>
    <w:rsid w:val="00E37251"/>
    <w:rsid w:val="00E418D0"/>
    <w:rsid w:val="00E4225D"/>
    <w:rsid w:val="00E4235C"/>
    <w:rsid w:val="00E424D9"/>
    <w:rsid w:val="00E42D07"/>
    <w:rsid w:val="00E43A28"/>
    <w:rsid w:val="00E453FF"/>
    <w:rsid w:val="00E4611C"/>
    <w:rsid w:val="00E50B54"/>
    <w:rsid w:val="00E51145"/>
    <w:rsid w:val="00E51839"/>
    <w:rsid w:val="00E522BB"/>
    <w:rsid w:val="00E533B7"/>
    <w:rsid w:val="00E534BA"/>
    <w:rsid w:val="00E57D2A"/>
    <w:rsid w:val="00E60672"/>
    <w:rsid w:val="00E60FC3"/>
    <w:rsid w:val="00E62C15"/>
    <w:rsid w:val="00E63407"/>
    <w:rsid w:val="00E65E91"/>
    <w:rsid w:val="00E65FF9"/>
    <w:rsid w:val="00E67230"/>
    <w:rsid w:val="00E7059F"/>
    <w:rsid w:val="00E70A95"/>
    <w:rsid w:val="00E71254"/>
    <w:rsid w:val="00E73602"/>
    <w:rsid w:val="00E74D34"/>
    <w:rsid w:val="00E75A71"/>
    <w:rsid w:val="00E76EE3"/>
    <w:rsid w:val="00E80281"/>
    <w:rsid w:val="00E8215D"/>
    <w:rsid w:val="00E82378"/>
    <w:rsid w:val="00E8425F"/>
    <w:rsid w:val="00E854B0"/>
    <w:rsid w:val="00E859AB"/>
    <w:rsid w:val="00E85E93"/>
    <w:rsid w:val="00E86DE6"/>
    <w:rsid w:val="00E91447"/>
    <w:rsid w:val="00E91C19"/>
    <w:rsid w:val="00E92073"/>
    <w:rsid w:val="00E92617"/>
    <w:rsid w:val="00E94558"/>
    <w:rsid w:val="00E9480D"/>
    <w:rsid w:val="00E9532F"/>
    <w:rsid w:val="00E95582"/>
    <w:rsid w:val="00E9558A"/>
    <w:rsid w:val="00E968CE"/>
    <w:rsid w:val="00EA2152"/>
    <w:rsid w:val="00EA2221"/>
    <w:rsid w:val="00EA42F3"/>
    <w:rsid w:val="00EA4BA3"/>
    <w:rsid w:val="00EA5141"/>
    <w:rsid w:val="00EA718A"/>
    <w:rsid w:val="00EB00E6"/>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17A"/>
    <w:rsid w:val="00EC0B20"/>
    <w:rsid w:val="00EC0B25"/>
    <w:rsid w:val="00EC0D7C"/>
    <w:rsid w:val="00EC0E20"/>
    <w:rsid w:val="00EC1805"/>
    <w:rsid w:val="00EC252B"/>
    <w:rsid w:val="00EC2ED9"/>
    <w:rsid w:val="00EC2FD9"/>
    <w:rsid w:val="00EC368E"/>
    <w:rsid w:val="00EC3C9B"/>
    <w:rsid w:val="00EC44FA"/>
    <w:rsid w:val="00EC4E79"/>
    <w:rsid w:val="00ED01E6"/>
    <w:rsid w:val="00ED0E77"/>
    <w:rsid w:val="00ED252D"/>
    <w:rsid w:val="00ED3186"/>
    <w:rsid w:val="00ED4BEA"/>
    <w:rsid w:val="00ED683F"/>
    <w:rsid w:val="00ED69B0"/>
    <w:rsid w:val="00ED6A3E"/>
    <w:rsid w:val="00ED74B4"/>
    <w:rsid w:val="00ED7C9F"/>
    <w:rsid w:val="00EE0228"/>
    <w:rsid w:val="00EE034E"/>
    <w:rsid w:val="00EE0EAF"/>
    <w:rsid w:val="00EE1173"/>
    <w:rsid w:val="00EE25EF"/>
    <w:rsid w:val="00EE3462"/>
    <w:rsid w:val="00EE5874"/>
    <w:rsid w:val="00EE6ABE"/>
    <w:rsid w:val="00EF0F2C"/>
    <w:rsid w:val="00EF1700"/>
    <w:rsid w:val="00EF1BBB"/>
    <w:rsid w:val="00EF2C8B"/>
    <w:rsid w:val="00EF35B8"/>
    <w:rsid w:val="00EF5580"/>
    <w:rsid w:val="00EF5D1C"/>
    <w:rsid w:val="00EF6E69"/>
    <w:rsid w:val="00EF76D6"/>
    <w:rsid w:val="00F00FE5"/>
    <w:rsid w:val="00F0153D"/>
    <w:rsid w:val="00F01F7C"/>
    <w:rsid w:val="00F03270"/>
    <w:rsid w:val="00F043E2"/>
    <w:rsid w:val="00F044C7"/>
    <w:rsid w:val="00F06A96"/>
    <w:rsid w:val="00F071C6"/>
    <w:rsid w:val="00F07983"/>
    <w:rsid w:val="00F109CA"/>
    <w:rsid w:val="00F11017"/>
    <w:rsid w:val="00F1213D"/>
    <w:rsid w:val="00F1279B"/>
    <w:rsid w:val="00F12A6E"/>
    <w:rsid w:val="00F13F6D"/>
    <w:rsid w:val="00F14FE3"/>
    <w:rsid w:val="00F154AD"/>
    <w:rsid w:val="00F16CCA"/>
    <w:rsid w:val="00F17003"/>
    <w:rsid w:val="00F17750"/>
    <w:rsid w:val="00F17E49"/>
    <w:rsid w:val="00F20035"/>
    <w:rsid w:val="00F2010E"/>
    <w:rsid w:val="00F20572"/>
    <w:rsid w:val="00F20697"/>
    <w:rsid w:val="00F208AD"/>
    <w:rsid w:val="00F20A44"/>
    <w:rsid w:val="00F20CD5"/>
    <w:rsid w:val="00F21044"/>
    <w:rsid w:val="00F23A62"/>
    <w:rsid w:val="00F23F40"/>
    <w:rsid w:val="00F24508"/>
    <w:rsid w:val="00F2543F"/>
    <w:rsid w:val="00F25CC9"/>
    <w:rsid w:val="00F26E84"/>
    <w:rsid w:val="00F30147"/>
    <w:rsid w:val="00F30347"/>
    <w:rsid w:val="00F307D4"/>
    <w:rsid w:val="00F30B3A"/>
    <w:rsid w:val="00F31A11"/>
    <w:rsid w:val="00F31EAE"/>
    <w:rsid w:val="00F3367B"/>
    <w:rsid w:val="00F33700"/>
    <w:rsid w:val="00F33A88"/>
    <w:rsid w:val="00F34884"/>
    <w:rsid w:val="00F34954"/>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29FA"/>
    <w:rsid w:val="00F92D6E"/>
    <w:rsid w:val="00F941C0"/>
    <w:rsid w:val="00F94885"/>
    <w:rsid w:val="00F94984"/>
    <w:rsid w:val="00F94B38"/>
    <w:rsid w:val="00F94BEB"/>
    <w:rsid w:val="00F974D8"/>
    <w:rsid w:val="00F97B09"/>
    <w:rsid w:val="00FA0C66"/>
    <w:rsid w:val="00FA0DE8"/>
    <w:rsid w:val="00FA228B"/>
    <w:rsid w:val="00FA2E8F"/>
    <w:rsid w:val="00FA3525"/>
    <w:rsid w:val="00FA4BC4"/>
    <w:rsid w:val="00FB0C78"/>
    <w:rsid w:val="00FB1576"/>
    <w:rsid w:val="00FB1954"/>
    <w:rsid w:val="00FB35CE"/>
    <w:rsid w:val="00FB388E"/>
    <w:rsid w:val="00FB3BFA"/>
    <w:rsid w:val="00FB6FD9"/>
    <w:rsid w:val="00FC01B8"/>
    <w:rsid w:val="00FC0510"/>
    <w:rsid w:val="00FC17AD"/>
    <w:rsid w:val="00FC1BAE"/>
    <w:rsid w:val="00FC3217"/>
    <w:rsid w:val="00FC4D04"/>
    <w:rsid w:val="00FC5394"/>
    <w:rsid w:val="00FC7A69"/>
    <w:rsid w:val="00FC7A70"/>
    <w:rsid w:val="00FD194C"/>
    <w:rsid w:val="00FD3DE6"/>
    <w:rsid w:val="00FD49FD"/>
    <w:rsid w:val="00FD4CE2"/>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1F6D"/>
    <w:rsid w:val="00FF443A"/>
    <w:rsid w:val="00FF4A74"/>
    <w:rsid w:val="00FF6BE0"/>
    <w:rsid w:val="00FF6CCB"/>
    <w:rsid w:val="00FF7F70"/>
    <w:rsid w:val="022479BF"/>
    <w:rsid w:val="0371289F"/>
    <w:rsid w:val="03A956E5"/>
    <w:rsid w:val="03EC0177"/>
    <w:rsid w:val="0491109A"/>
    <w:rsid w:val="049B247D"/>
    <w:rsid w:val="04C6147B"/>
    <w:rsid w:val="05080FE1"/>
    <w:rsid w:val="05970C81"/>
    <w:rsid w:val="06580D37"/>
    <w:rsid w:val="06851E05"/>
    <w:rsid w:val="069B1F07"/>
    <w:rsid w:val="06CE3597"/>
    <w:rsid w:val="07072E6F"/>
    <w:rsid w:val="08946BE8"/>
    <w:rsid w:val="08AA4E14"/>
    <w:rsid w:val="08FA42A7"/>
    <w:rsid w:val="09572C5B"/>
    <w:rsid w:val="09652171"/>
    <w:rsid w:val="0976069A"/>
    <w:rsid w:val="09BF06F0"/>
    <w:rsid w:val="09D13AA6"/>
    <w:rsid w:val="0A860A29"/>
    <w:rsid w:val="0A917CCA"/>
    <w:rsid w:val="0AE715C4"/>
    <w:rsid w:val="0B184192"/>
    <w:rsid w:val="0B970DE5"/>
    <w:rsid w:val="0BBC3F02"/>
    <w:rsid w:val="0BE87F23"/>
    <w:rsid w:val="0C62269E"/>
    <w:rsid w:val="0C6C0CCC"/>
    <w:rsid w:val="0D684CB5"/>
    <w:rsid w:val="0D883C4C"/>
    <w:rsid w:val="0D957AA5"/>
    <w:rsid w:val="0D98330A"/>
    <w:rsid w:val="0DB43DC0"/>
    <w:rsid w:val="0DE346C5"/>
    <w:rsid w:val="0DE469F3"/>
    <w:rsid w:val="0DF05006"/>
    <w:rsid w:val="0F143499"/>
    <w:rsid w:val="101552DD"/>
    <w:rsid w:val="104B658D"/>
    <w:rsid w:val="12130CCF"/>
    <w:rsid w:val="122E739E"/>
    <w:rsid w:val="12D46253"/>
    <w:rsid w:val="13755A68"/>
    <w:rsid w:val="13CC58CF"/>
    <w:rsid w:val="13D0003E"/>
    <w:rsid w:val="13F1666D"/>
    <w:rsid w:val="145204CA"/>
    <w:rsid w:val="14665D09"/>
    <w:rsid w:val="14DC1D4F"/>
    <w:rsid w:val="15130B7D"/>
    <w:rsid w:val="156C05A2"/>
    <w:rsid w:val="15AD0FD1"/>
    <w:rsid w:val="15D85E95"/>
    <w:rsid w:val="16265028"/>
    <w:rsid w:val="16595D68"/>
    <w:rsid w:val="165D794D"/>
    <w:rsid w:val="16B32726"/>
    <w:rsid w:val="16C073EA"/>
    <w:rsid w:val="16DE635F"/>
    <w:rsid w:val="17113F7A"/>
    <w:rsid w:val="174232A4"/>
    <w:rsid w:val="1800023D"/>
    <w:rsid w:val="1888270D"/>
    <w:rsid w:val="18A04F4B"/>
    <w:rsid w:val="18EC00CF"/>
    <w:rsid w:val="19067AD5"/>
    <w:rsid w:val="19BD3EC4"/>
    <w:rsid w:val="1A01190C"/>
    <w:rsid w:val="1A126D76"/>
    <w:rsid w:val="1A826984"/>
    <w:rsid w:val="1ADB3611"/>
    <w:rsid w:val="1B7C7BDB"/>
    <w:rsid w:val="1B946BE7"/>
    <w:rsid w:val="1CD766A8"/>
    <w:rsid w:val="1D071B73"/>
    <w:rsid w:val="1D352C93"/>
    <w:rsid w:val="1D714A0B"/>
    <w:rsid w:val="1DBE0E5A"/>
    <w:rsid w:val="1E3D6448"/>
    <w:rsid w:val="1E474D4D"/>
    <w:rsid w:val="1EA41923"/>
    <w:rsid w:val="1ED20A0E"/>
    <w:rsid w:val="1F4D46CF"/>
    <w:rsid w:val="1FA134B3"/>
    <w:rsid w:val="1FFC753C"/>
    <w:rsid w:val="20143080"/>
    <w:rsid w:val="205C35B9"/>
    <w:rsid w:val="206B7589"/>
    <w:rsid w:val="211010CC"/>
    <w:rsid w:val="211F1734"/>
    <w:rsid w:val="212240F3"/>
    <w:rsid w:val="21BF0821"/>
    <w:rsid w:val="21CA604C"/>
    <w:rsid w:val="21EC21E7"/>
    <w:rsid w:val="22AD2307"/>
    <w:rsid w:val="231D7560"/>
    <w:rsid w:val="23A14683"/>
    <w:rsid w:val="23E7615D"/>
    <w:rsid w:val="245C67FB"/>
    <w:rsid w:val="24635E7D"/>
    <w:rsid w:val="24B14B5B"/>
    <w:rsid w:val="24D64800"/>
    <w:rsid w:val="258D5AAF"/>
    <w:rsid w:val="25DB6B1E"/>
    <w:rsid w:val="260777CB"/>
    <w:rsid w:val="263C0693"/>
    <w:rsid w:val="266B0F78"/>
    <w:rsid w:val="268D462B"/>
    <w:rsid w:val="274176DD"/>
    <w:rsid w:val="27441EF5"/>
    <w:rsid w:val="27543939"/>
    <w:rsid w:val="278B2413"/>
    <w:rsid w:val="27D32D5C"/>
    <w:rsid w:val="27E743CA"/>
    <w:rsid w:val="27F118E5"/>
    <w:rsid w:val="27FB1276"/>
    <w:rsid w:val="282B2188"/>
    <w:rsid w:val="28590917"/>
    <w:rsid w:val="28AE6D65"/>
    <w:rsid w:val="28CB15D7"/>
    <w:rsid w:val="293263B3"/>
    <w:rsid w:val="2949275E"/>
    <w:rsid w:val="29FD6758"/>
    <w:rsid w:val="2A015E1B"/>
    <w:rsid w:val="2A6B0ED0"/>
    <w:rsid w:val="2BD30778"/>
    <w:rsid w:val="2C1F2A1F"/>
    <w:rsid w:val="2C730B86"/>
    <w:rsid w:val="2C866B0B"/>
    <w:rsid w:val="2D6A53A3"/>
    <w:rsid w:val="2D8E56CE"/>
    <w:rsid w:val="2DA5159B"/>
    <w:rsid w:val="2DA63B8C"/>
    <w:rsid w:val="2DC23FB8"/>
    <w:rsid w:val="2E26328B"/>
    <w:rsid w:val="2E2E2324"/>
    <w:rsid w:val="2E2E47AE"/>
    <w:rsid w:val="2E71013A"/>
    <w:rsid w:val="2F1E1CFF"/>
    <w:rsid w:val="2FC37F17"/>
    <w:rsid w:val="2FCB57E4"/>
    <w:rsid w:val="300E1BA8"/>
    <w:rsid w:val="30182092"/>
    <w:rsid w:val="303529BA"/>
    <w:rsid w:val="30766E97"/>
    <w:rsid w:val="31FF65AE"/>
    <w:rsid w:val="321F5F89"/>
    <w:rsid w:val="322F493E"/>
    <w:rsid w:val="32A20941"/>
    <w:rsid w:val="33DB1FC8"/>
    <w:rsid w:val="33F22F90"/>
    <w:rsid w:val="341E1F26"/>
    <w:rsid w:val="344317E2"/>
    <w:rsid w:val="34487CF9"/>
    <w:rsid w:val="34B23D9D"/>
    <w:rsid w:val="34CF33CA"/>
    <w:rsid w:val="34F1249D"/>
    <w:rsid w:val="35F65B88"/>
    <w:rsid w:val="36393E65"/>
    <w:rsid w:val="36724D02"/>
    <w:rsid w:val="36EB4F5A"/>
    <w:rsid w:val="37BE184F"/>
    <w:rsid w:val="38DD1668"/>
    <w:rsid w:val="399218BB"/>
    <w:rsid w:val="39FC4A44"/>
    <w:rsid w:val="3A115095"/>
    <w:rsid w:val="3A9D5E85"/>
    <w:rsid w:val="3B3C77EA"/>
    <w:rsid w:val="3B6C0B96"/>
    <w:rsid w:val="3BA26D92"/>
    <w:rsid w:val="3C192416"/>
    <w:rsid w:val="3C74540B"/>
    <w:rsid w:val="3CA4187F"/>
    <w:rsid w:val="3CB74ABA"/>
    <w:rsid w:val="3D157604"/>
    <w:rsid w:val="3D191474"/>
    <w:rsid w:val="3D1D4C4B"/>
    <w:rsid w:val="3E203E4E"/>
    <w:rsid w:val="3E681366"/>
    <w:rsid w:val="3E751487"/>
    <w:rsid w:val="3E783C60"/>
    <w:rsid w:val="3E9D06E7"/>
    <w:rsid w:val="3FCD0E31"/>
    <w:rsid w:val="3FFB0793"/>
    <w:rsid w:val="40270D63"/>
    <w:rsid w:val="40332294"/>
    <w:rsid w:val="40592330"/>
    <w:rsid w:val="410A40C6"/>
    <w:rsid w:val="411A1168"/>
    <w:rsid w:val="414164AA"/>
    <w:rsid w:val="41823F00"/>
    <w:rsid w:val="42162288"/>
    <w:rsid w:val="423B189D"/>
    <w:rsid w:val="42554C43"/>
    <w:rsid w:val="427F7566"/>
    <w:rsid w:val="42CF234F"/>
    <w:rsid w:val="43610F7C"/>
    <w:rsid w:val="4397201D"/>
    <w:rsid w:val="43CF7267"/>
    <w:rsid w:val="43E574D9"/>
    <w:rsid w:val="4432363D"/>
    <w:rsid w:val="44A43B7B"/>
    <w:rsid w:val="45A63E41"/>
    <w:rsid w:val="464C5D5E"/>
    <w:rsid w:val="467B2A76"/>
    <w:rsid w:val="46B66F71"/>
    <w:rsid w:val="46E74DE9"/>
    <w:rsid w:val="47160567"/>
    <w:rsid w:val="471F32BC"/>
    <w:rsid w:val="48EF0478"/>
    <w:rsid w:val="4935502F"/>
    <w:rsid w:val="495F3893"/>
    <w:rsid w:val="49E84F30"/>
    <w:rsid w:val="4A2E5198"/>
    <w:rsid w:val="4AF13892"/>
    <w:rsid w:val="4BBF2226"/>
    <w:rsid w:val="4BC81235"/>
    <w:rsid w:val="4BCD1C09"/>
    <w:rsid w:val="4BE46321"/>
    <w:rsid w:val="4CCD0D77"/>
    <w:rsid w:val="4CCF2F3B"/>
    <w:rsid w:val="4CD61BE0"/>
    <w:rsid w:val="4CEF46B1"/>
    <w:rsid w:val="4CFC7D24"/>
    <w:rsid w:val="4D1A3483"/>
    <w:rsid w:val="4D1B16D5"/>
    <w:rsid w:val="4D4677A3"/>
    <w:rsid w:val="4D88120D"/>
    <w:rsid w:val="4DA43A02"/>
    <w:rsid w:val="4E0D35E9"/>
    <w:rsid w:val="4EB82EEB"/>
    <w:rsid w:val="4F0C1F2F"/>
    <w:rsid w:val="4F2C0D29"/>
    <w:rsid w:val="4F652159"/>
    <w:rsid w:val="4F7A0E8C"/>
    <w:rsid w:val="4F810B79"/>
    <w:rsid w:val="4FED784B"/>
    <w:rsid w:val="502136CA"/>
    <w:rsid w:val="50CA7193"/>
    <w:rsid w:val="50CD5B5D"/>
    <w:rsid w:val="50E945ED"/>
    <w:rsid w:val="515C5068"/>
    <w:rsid w:val="51937771"/>
    <w:rsid w:val="522968FD"/>
    <w:rsid w:val="523F77E4"/>
    <w:rsid w:val="524B6656"/>
    <w:rsid w:val="525F5585"/>
    <w:rsid w:val="52630BD1"/>
    <w:rsid w:val="530C6334"/>
    <w:rsid w:val="536D4005"/>
    <w:rsid w:val="53710C04"/>
    <w:rsid w:val="542B11E0"/>
    <w:rsid w:val="5463070C"/>
    <w:rsid w:val="54AA6D09"/>
    <w:rsid w:val="54D25434"/>
    <w:rsid w:val="551A519E"/>
    <w:rsid w:val="551E55B5"/>
    <w:rsid w:val="55DF0246"/>
    <w:rsid w:val="55F6162D"/>
    <w:rsid w:val="562A2122"/>
    <w:rsid w:val="565A6340"/>
    <w:rsid w:val="570B5E72"/>
    <w:rsid w:val="570E72ED"/>
    <w:rsid w:val="57221F01"/>
    <w:rsid w:val="57720022"/>
    <w:rsid w:val="584C374D"/>
    <w:rsid w:val="586C158D"/>
    <w:rsid w:val="58A84759"/>
    <w:rsid w:val="58BD0A48"/>
    <w:rsid w:val="59013595"/>
    <w:rsid w:val="591C1ADA"/>
    <w:rsid w:val="598918A5"/>
    <w:rsid w:val="59A03372"/>
    <w:rsid w:val="5A02576F"/>
    <w:rsid w:val="5A266FC0"/>
    <w:rsid w:val="5A9474FC"/>
    <w:rsid w:val="5AD7388B"/>
    <w:rsid w:val="5AF30F60"/>
    <w:rsid w:val="5B003AC0"/>
    <w:rsid w:val="5B162181"/>
    <w:rsid w:val="5B2D6A76"/>
    <w:rsid w:val="5B3466C4"/>
    <w:rsid w:val="5BA6155E"/>
    <w:rsid w:val="5C046123"/>
    <w:rsid w:val="5C1F21B2"/>
    <w:rsid w:val="5CB14E71"/>
    <w:rsid w:val="5CB4245B"/>
    <w:rsid w:val="5D8D394D"/>
    <w:rsid w:val="5DA97E4D"/>
    <w:rsid w:val="5E445F05"/>
    <w:rsid w:val="5E8E78AA"/>
    <w:rsid w:val="5E993BCD"/>
    <w:rsid w:val="5EC12F08"/>
    <w:rsid w:val="5F2049FB"/>
    <w:rsid w:val="5F2D2C93"/>
    <w:rsid w:val="5FA502CA"/>
    <w:rsid w:val="5FC666B6"/>
    <w:rsid w:val="5FD27710"/>
    <w:rsid w:val="60D00B30"/>
    <w:rsid w:val="6117122F"/>
    <w:rsid w:val="61576733"/>
    <w:rsid w:val="61AC36FA"/>
    <w:rsid w:val="61F82DD8"/>
    <w:rsid w:val="61FD25A1"/>
    <w:rsid w:val="62F30EEC"/>
    <w:rsid w:val="632549DC"/>
    <w:rsid w:val="637A3DFF"/>
    <w:rsid w:val="63DC35A6"/>
    <w:rsid w:val="641359EA"/>
    <w:rsid w:val="642701AC"/>
    <w:rsid w:val="646F0298"/>
    <w:rsid w:val="648E2B31"/>
    <w:rsid w:val="64E132F6"/>
    <w:rsid w:val="652E6D08"/>
    <w:rsid w:val="656A04B9"/>
    <w:rsid w:val="65835E7B"/>
    <w:rsid w:val="659A37F1"/>
    <w:rsid w:val="659E32B5"/>
    <w:rsid w:val="65EC0A86"/>
    <w:rsid w:val="66230FB3"/>
    <w:rsid w:val="664F5ADA"/>
    <w:rsid w:val="66BD6B7E"/>
    <w:rsid w:val="66E511A9"/>
    <w:rsid w:val="671D7D71"/>
    <w:rsid w:val="673762E2"/>
    <w:rsid w:val="675B433A"/>
    <w:rsid w:val="67750862"/>
    <w:rsid w:val="679D028A"/>
    <w:rsid w:val="67E82CD1"/>
    <w:rsid w:val="67F67331"/>
    <w:rsid w:val="68024591"/>
    <w:rsid w:val="68585004"/>
    <w:rsid w:val="68592C4A"/>
    <w:rsid w:val="68AB0123"/>
    <w:rsid w:val="68E84EF2"/>
    <w:rsid w:val="690F638E"/>
    <w:rsid w:val="69734AF9"/>
    <w:rsid w:val="69773283"/>
    <w:rsid w:val="69C20EDA"/>
    <w:rsid w:val="6A2D0931"/>
    <w:rsid w:val="6A647785"/>
    <w:rsid w:val="6A670B9B"/>
    <w:rsid w:val="6ADA313A"/>
    <w:rsid w:val="6B2C72F9"/>
    <w:rsid w:val="6C0028A7"/>
    <w:rsid w:val="6C2D0177"/>
    <w:rsid w:val="6CBA1240"/>
    <w:rsid w:val="6D107750"/>
    <w:rsid w:val="6D77157D"/>
    <w:rsid w:val="6DDF30E4"/>
    <w:rsid w:val="6E0159F0"/>
    <w:rsid w:val="6E5A4C84"/>
    <w:rsid w:val="6EBE1D77"/>
    <w:rsid w:val="6EDC63AB"/>
    <w:rsid w:val="6F453731"/>
    <w:rsid w:val="6F5C3995"/>
    <w:rsid w:val="6F7278D8"/>
    <w:rsid w:val="6FE10BDC"/>
    <w:rsid w:val="700C06A3"/>
    <w:rsid w:val="7091578D"/>
    <w:rsid w:val="70A37E16"/>
    <w:rsid w:val="70BB77CA"/>
    <w:rsid w:val="70F2135C"/>
    <w:rsid w:val="70FB0C71"/>
    <w:rsid w:val="711F2CDA"/>
    <w:rsid w:val="71F17EDB"/>
    <w:rsid w:val="72175B12"/>
    <w:rsid w:val="7289422C"/>
    <w:rsid w:val="728D720C"/>
    <w:rsid w:val="743B0A5E"/>
    <w:rsid w:val="74E83E15"/>
    <w:rsid w:val="74ED3DA4"/>
    <w:rsid w:val="74F769B5"/>
    <w:rsid w:val="75002DD0"/>
    <w:rsid w:val="757C3D47"/>
    <w:rsid w:val="75AE1EB8"/>
    <w:rsid w:val="75E03B34"/>
    <w:rsid w:val="75EE6384"/>
    <w:rsid w:val="761656E6"/>
    <w:rsid w:val="764B63E7"/>
    <w:rsid w:val="76A33CAD"/>
    <w:rsid w:val="76CC0092"/>
    <w:rsid w:val="76D756CE"/>
    <w:rsid w:val="77574245"/>
    <w:rsid w:val="775C54E0"/>
    <w:rsid w:val="776B3A1B"/>
    <w:rsid w:val="78853310"/>
    <w:rsid w:val="78AD41E5"/>
    <w:rsid w:val="792F323A"/>
    <w:rsid w:val="794961CE"/>
    <w:rsid w:val="79F62071"/>
    <w:rsid w:val="7A394528"/>
    <w:rsid w:val="7AF744E1"/>
    <w:rsid w:val="7B007056"/>
    <w:rsid w:val="7B6650AE"/>
    <w:rsid w:val="7C731F58"/>
    <w:rsid w:val="7C815F74"/>
    <w:rsid w:val="7DD06B3A"/>
    <w:rsid w:val="7E517E56"/>
    <w:rsid w:val="7E610F65"/>
    <w:rsid w:val="7EDA3BF4"/>
    <w:rsid w:val="7F6E4E2D"/>
    <w:rsid w:val="7FAB59B3"/>
    <w:rsid w:val="7FCD3FD2"/>
    <w:rsid w:val="7FCE1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qFormat/>
    <w:uiPriority w:val="9"/>
    <w:pPr>
      <w:keepNext/>
      <w:keepLines/>
      <w:spacing w:beforeLines="100" w:afterLines="100" w:line="400" w:lineRule="exact"/>
      <w:jc w:val="center"/>
      <w:outlineLvl w:val="0"/>
    </w:pPr>
    <w:rPr>
      <w:b/>
      <w:bCs/>
      <w:kern w:val="44"/>
      <w:sz w:val="44"/>
      <w:szCs w:val="44"/>
    </w:rPr>
  </w:style>
  <w:style w:type="paragraph" w:styleId="3">
    <w:name w:val="heading 2"/>
    <w:basedOn w:val="1"/>
    <w:next w:val="4"/>
    <w:link w:val="46"/>
    <w:qFormat/>
    <w:uiPriority w:val="0"/>
    <w:pPr>
      <w:keepNext/>
      <w:jc w:val="center"/>
      <w:outlineLvl w:val="1"/>
    </w:pPr>
    <w:rPr>
      <w:rFonts w:ascii="Cambria" w:hAnsi="Cambria"/>
      <w:b/>
      <w:bCs/>
      <w:sz w:val="30"/>
      <w:szCs w:val="32"/>
    </w:rPr>
  </w:style>
  <w:style w:type="paragraph" w:styleId="5">
    <w:name w:val="heading 3"/>
    <w:basedOn w:val="1"/>
    <w:next w:val="1"/>
    <w:link w:val="47"/>
    <w:qFormat/>
    <w:uiPriority w:val="9"/>
    <w:pPr>
      <w:keepNext/>
      <w:tabs>
        <w:tab w:val="left" w:pos="720"/>
      </w:tabs>
      <w:spacing w:line="240" w:lineRule="atLeast"/>
      <w:ind w:left="720" w:hanging="720"/>
      <w:jc w:val="center"/>
      <w:outlineLvl w:val="2"/>
    </w:pPr>
    <w:rPr>
      <w:b/>
      <w:bCs/>
      <w:kern w:val="0"/>
      <w:sz w:val="32"/>
      <w:szCs w:val="32"/>
    </w:rPr>
  </w:style>
  <w:style w:type="paragraph" w:styleId="6">
    <w:name w:val="heading 4"/>
    <w:basedOn w:val="1"/>
    <w:next w:val="1"/>
    <w:link w:val="48"/>
    <w:qFormat/>
    <w:uiPriority w:val="9"/>
    <w:pPr>
      <w:keepNext/>
      <w:keepLines/>
      <w:spacing w:before="280" w:after="290" w:line="374" w:lineRule="auto"/>
      <w:outlineLvl w:val="3"/>
    </w:pPr>
    <w:rPr>
      <w:rFonts w:ascii="Cambria" w:hAnsi="Cambria"/>
      <w:b/>
      <w:bCs/>
      <w:kern w:val="0"/>
      <w:sz w:val="28"/>
      <w:szCs w:val="28"/>
    </w:rPr>
  </w:style>
  <w:style w:type="paragraph" w:styleId="7">
    <w:name w:val="heading 5"/>
    <w:basedOn w:val="1"/>
    <w:next w:val="1"/>
    <w:link w:val="49"/>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8">
    <w:name w:val="heading 6"/>
    <w:basedOn w:val="1"/>
    <w:next w:val="1"/>
    <w:link w:val="132"/>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9">
    <w:name w:val="heading 7"/>
    <w:basedOn w:val="1"/>
    <w:next w:val="1"/>
    <w:link w:val="133"/>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10">
    <w:name w:val="heading 8"/>
    <w:basedOn w:val="1"/>
    <w:next w:val="1"/>
    <w:link w:val="134"/>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1">
    <w:name w:val="heading 9"/>
    <w:basedOn w:val="1"/>
    <w:next w:val="1"/>
    <w:link w:val="135"/>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0"/>
    <w:qFormat/>
    <w:uiPriority w:val="0"/>
    <w:pPr>
      <w:widowControl/>
      <w:adjustRightInd w:val="0"/>
      <w:snapToGrid w:val="0"/>
      <w:spacing w:line="480" w:lineRule="exact"/>
      <w:ind w:firstLine="567"/>
    </w:pPr>
    <w:rPr>
      <w:rFonts w:ascii="宋体"/>
      <w:snapToGrid w:val="0"/>
      <w:color w:val="000000"/>
      <w:kern w:val="28"/>
      <w:sz w:val="28"/>
    </w:rPr>
  </w:style>
  <w:style w:type="paragraph" w:styleId="12">
    <w:name w:val="Document Map"/>
    <w:basedOn w:val="1"/>
    <w:link w:val="51"/>
    <w:qFormat/>
    <w:uiPriority w:val="0"/>
    <w:pPr>
      <w:shd w:val="clear" w:color="auto" w:fill="000080"/>
    </w:pPr>
    <w:rPr>
      <w:kern w:val="0"/>
      <w:sz w:val="2"/>
    </w:rPr>
  </w:style>
  <w:style w:type="paragraph" w:styleId="13">
    <w:name w:val="toa heading"/>
    <w:basedOn w:val="1"/>
    <w:next w:val="1"/>
    <w:semiHidden/>
    <w:unhideWhenUsed/>
    <w:qFormat/>
    <w:uiPriority w:val="99"/>
    <w:pPr>
      <w:spacing w:before="120"/>
    </w:pPr>
    <w:rPr>
      <w:rFonts w:ascii="Arial" w:hAnsi="Arial" w:cs="Arial"/>
      <w:sz w:val="24"/>
      <w:szCs w:val="24"/>
    </w:rPr>
  </w:style>
  <w:style w:type="paragraph" w:styleId="14">
    <w:name w:val="annotation text"/>
    <w:basedOn w:val="1"/>
    <w:link w:val="52"/>
    <w:qFormat/>
    <w:uiPriority w:val="0"/>
    <w:pPr>
      <w:jc w:val="left"/>
    </w:pPr>
  </w:style>
  <w:style w:type="paragraph" w:styleId="15">
    <w:name w:val="Body Text"/>
    <w:basedOn w:val="1"/>
    <w:next w:val="1"/>
    <w:link w:val="53"/>
    <w:qFormat/>
    <w:uiPriority w:val="0"/>
    <w:rPr>
      <w:kern w:val="0"/>
      <w:sz w:val="20"/>
    </w:rPr>
  </w:style>
  <w:style w:type="paragraph" w:styleId="16">
    <w:name w:val="Body Text Indent"/>
    <w:basedOn w:val="1"/>
    <w:next w:val="1"/>
    <w:link w:val="54"/>
    <w:qFormat/>
    <w:uiPriority w:val="0"/>
    <w:pPr>
      <w:spacing w:line="380" w:lineRule="exact"/>
      <w:ind w:firstLine="480"/>
    </w:pPr>
    <w:rPr>
      <w:kern w:val="0"/>
      <w:sz w:val="20"/>
    </w:rPr>
  </w:style>
  <w:style w:type="paragraph" w:styleId="17">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8">
    <w:name w:val="toc 3"/>
    <w:basedOn w:val="1"/>
    <w:next w:val="1"/>
    <w:qFormat/>
    <w:uiPriority w:val="39"/>
    <w:pPr>
      <w:ind w:left="840" w:leftChars="400"/>
    </w:pPr>
  </w:style>
  <w:style w:type="paragraph" w:styleId="19">
    <w:name w:val="Plain Text"/>
    <w:basedOn w:val="1"/>
    <w:link w:val="55"/>
    <w:qFormat/>
    <w:uiPriority w:val="0"/>
    <w:rPr>
      <w:rFonts w:ascii="宋体" w:hAnsi="Courier New"/>
      <w:kern w:val="0"/>
      <w:szCs w:val="21"/>
    </w:rPr>
  </w:style>
  <w:style w:type="paragraph" w:styleId="20">
    <w:name w:val="Date"/>
    <w:basedOn w:val="1"/>
    <w:next w:val="1"/>
    <w:link w:val="56"/>
    <w:qFormat/>
    <w:uiPriority w:val="0"/>
    <w:rPr>
      <w:sz w:val="28"/>
    </w:rPr>
  </w:style>
  <w:style w:type="paragraph" w:styleId="21">
    <w:name w:val="Body Text Indent 2"/>
    <w:basedOn w:val="1"/>
    <w:link w:val="57"/>
    <w:qFormat/>
    <w:uiPriority w:val="0"/>
    <w:pPr>
      <w:tabs>
        <w:tab w:val="left" w:pos="240"/>
        <w:tab w:val="left" w:pos="480"/>
      </w:tabs>
      <w:ind w:left="630" w:leftChars="300"/>
    </w:pPr>
    <w:rPr>
      <w:kern w:val="0"/>
      <w:sz w:val="20"/>
    </w:rPr>
  </w:style>
  <w:style w:type="paragraph" w:styleId="22">
    <w:name w:val="Balloon Text"/>
    <w:basedOn w:val="1"/>
    <w:link w:val="58"/>
    <w:qFormat/>
    <w:uiPriority w:val="0"/>
    <w:rPr>
      <w:sz w:val="18"/>
      <w:szCs w:val="18"/>
    </w:rPr>
  </w:style>
  <w:style w:type="paragraph" w:styleId="23">
    <w:name w:val="footer"/>
    <w:basedOn w:val="1"/>
    <w:link w:val="59"/>
    <w:qFormat/>
    <w:uiPriority w:val="99"/>
    <w:pPr>
      <w:tabs>
        <w:tab w:val="center" w:pos="4153"/>
        <w:tab w:val="right" w:pos="8306"/>
      </w:tabs>
      <w:snapToGrid w:val="0"/>
      <w:jc w:val="left"/>
    </w:pPr>
    <w:rPr>
      <w:kern w:val="0"/>
      <w:sz w:val="18"/>
      <w:szCs w:val="18"/>
    </w:rPr>
  </w:style>
  <w:style w:type="paragraph" w:styleId="24">
    <w:name w:val="header"/>
    <w:basedOn w:val="1"/>
    <w:link w:val="60"/>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rPr>
      <w:sz w:val="24"/>
    </w:rPr>
  </w:style>
  <w:style w:type="paragraph" w:styleId="26">
    <w:name w:val="Body Text Indent 3"/>
    <w:basedOn w:val="1"/>
    <w:link w:val="61"/>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Body Text 2"/>
    <w:basedOn w:val="1"/>
    <w:link w:val="62"/>
    <w:qFormat/>
    <w:uiPriority w:val="0"/>
    <w:pPr>
      <w:spacing w:after="120" w:line="480" w:lineRule="auto"/>
    </w:pPr>
    <w:rPr>
      <w:kern w:val="0"/>
      <w:sz w:val="20"/>
    </w:rPr>
  </w:style>
  <w:style w:type="paragraph" w:styleId="2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0">
    <w:name w:val="Title"/>
    <w:basedOn w:val="1"/>
    <w:next w:val="1"/>
    <w:qFormat/>
    <w:uiPriority w:val="0"/>
    <w:pPr>
      <w:spacing w:before="240" w:after="60"/>
      <w:outlineLvl w:val="0"/>
    </w:pPr>
    <w:rPr>
      <w:rFonts w:ascii="等线 Light" w:hAnsi="等线 Light" w:eastAsia="黑体"/>
      <w:bCs/>
      <w:sz w:val="28"/>
      <w:szCs w:val="32"/>
    </w:rPr>
  </w:style>
  <w:style w:type="paragraph" w:styleId="31">
    <w:name w:val="annotation subject"/>
    <w:basedOn w:val="14"/>
    <w:next w:val="14"/>
    <w:link w:val="63"/>
    <w:qFormat/>
    <w:uiPriority w:val="0"/>
    <w:rPr>
      <w:b/>
      <w:bCs/>
    </w:rPr>
  </w:style>
  <w:style w:type="paragraph" w:styleId="32">
    <w:name w:val="Body Text First Indent"/>
    <w:basedOn w:val="15"/>
    <w:link w:val="64"/>
    <w:unhideWhenUsed/>
    <w:qFormat/>
    <w:uiPriority w:val="99"/>
    <w:pPr>
      <w:spacing w:after="120"/>
      <w:ind w:firstLine="420" w:firstLineChars="100"/>
    </w:pPr>
    <w:rPr>
      <w:kern w:val="2"/>
      <w:sz w:val="21"/>
    </w:rPr>
  </w:style>
  <w:style w:type="paragraph" w:styleId="33">
    <w:name w:val="Body Text First Indent 2"/>
    <w:basedOn w:val="16"/>
    <w:next w:val="1"/>
    <w:unhideWhenUsed/>
    <w:qFormat/>
    <w:uiPriority w:val="0"/>
    <w:pPr>
      <w:spacing w:after="120" w:line="240" w:lineRule="auto"/>
      <w:ind w:left="420" w:leftChars="200" w:firstLine="420" w:firstLineChars="200"/>
    </w:pPr>
    <w:rPr>
      <w:rFonts w:ascii="Calibri" w:hAnsi="Calibri"/>
      <w:sz w:val="21"/>
      <w:szCs w:val="24"/>
    </w:rPr>
  </w:style>
  <w:style w:type="table" w:styleId="35">
    <w:name w:val="Table Grid"/>
    <w:basedOn w:val="3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7">
    <w:name w:val="Strong"/>
    <w:qFormat/>
    <w:uiPriority w:val="0"/>
    <w:rPr>
      <w:b/>
      <w:bCs/>
    </w:rPr>
  </w:style>
  <w:style w:type="character" w:styleId="38">
    <w:name w:val="page number"/>
    <w:basedOn w:val="36"/>
    <w:qFormat/>
    <w:uiPriority w:val="0"/>
    <w:rPr>
      <w:rFonts w:cs="Times New Roman"/>
    </w:rPr>
  </w:style>
  <w:style w:type="character" w:styleId="39">
    <w:name w:val="FollowedHyperlink"/>
    <w:qFormat/>
    <w:uiPriority w:val="99"/>
    <w:rPr>
      <w:rFonts w:cs="Times New Roman"/>
      <w:color w:val="800080"/>
      <w:u w:val="single"/>
    </w:rPr>
  </w:style>
  <w:style w:type="character" w:styleId="40">
    <w:name w:val="HTML Typewriter"/>
    <w:qFormat/>
    <w:uiPriority w:val="99"/>
    <w:rPr>
      <w:rFonts w:ascii="Courier New" w:hAnsi="Courier New" w:cs="Courier New"/>
      <w:sz w:val="20"/>
      <w:szCs w:val="20"/>
    </w:rPr>
  </w:style>
  <w:style w:type="character" w:styleId="41">
    <w:name w:val="Hyperlink"/>
    <w:basedOn w:val="36"/>
    <w:qFormat/>
    <w:uiPriority w:val="99"/>
    <w:rPr>
      <w:rFonts w:cs="Times New Roman"/>
      <w:color w:val="0000FF"/>
      <w:u w:val="single"/>
    </w:rPr>
  </w:style>
  <w:style w:type="character" w:styleId="42">
    <w:name w:val="annotation reference"/>
    <w:basedOn w:val="36"/>
    <w:qFormat/>
    <w:uiPriority w:val="99"/>
    <w:rPr>
      <w:sz w:val="21"/>
      <w:szCs w:val="21"/>
    </w:rPr>
  </w:style>
  <w:style w:type="paragraph" w:styleId="43">
    <w:name w:val="List Paragraph"/>
    <w:basedOn w:val="1"/>
    <w:qFormat/>
    <w:uiPriority w:val="34"/>
    <w:pPr>
      <w:ind w:firstLine="420" w:firstLineChars="200"/>
    </w:pPr>
  </w:style>
  <w:style w:type="paragraph" w:customStyle="1" w:styleId="44">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5">
    <w:name w:val="标题 1 字符"/>
    <w:link w:val="2"/>
    <w:qFormat/>
    <w:uiPriority w:val="0"/>
    <w:rPr>
      <w:rFonts w:cs="Times New Roman"/>
      <w:b/>
      <w:bCs/>
      <w:kern w:val="44"/>
      <w:sz w:val="44"/>
      <w:szCs w:val="44"/>
    </w:rPr>
  </w:style>
  <w:style w:type="character" w:customStyle="1" w:styleId="46">
    <w:name w:val="标题 2 字符"/>
    <w:link w:val="3"/>
    <w:qFormat/>
    <w:uiPriority w:val="0"/>
    <w:rPr>
      <w:rFonts w:ascii="Cambria" w:hAnsi="Cambria"/>
      <w:b/>
      <w:bCs/>
      <w:kern w:val="2"/>
      <w:sz w:val="30"/>
      <w:szCs w:val="32"/>
    </w:rPr>
  </w:style>
  <w:style w:type="character" w:customStyle="1" w:styleId="47">
    <w:name w:val="标题 3 字符"/>
    <w:link w:val="5"/>
    <w:qFormat/>
    <w:uiPriority w:val="0"/>
    <w:rPr>
      <w:rFonts w:cs="Times New Roman"/>
      <w:b/>
      <w:bCs/>
      <w:sz w:val="32"/>
      <w:szCs w:val="32"/>
    </w:rPr>
  </w:style>
  <w:style w:type="character" w:customStyle="1" w:styleId="48">
    <w:name w:val="标题 4 字符"/>
    <w:link w:val="6"/>
    <w:qFormat/>
    <w:uiPriority w:val="0"/>
    <w:rPr>
      <w:rFonts w:ascii="Cambria" w:hAnsi="Cambria" w:eastAsia="宋体" w:cs="Times New Roman"/>
      <w:b/>
      <w:bCs/>
      <w:sz w:val="28"/>
      <w:szCs w:val="28"/>
    </w:rPr>
  </w:style>
  <w:style w:type="character" w:customStyle="1" w:styleId="49">
    <w:name w:val="标题 5 字符"/>
    <w:basedOn w:val="36"/>
    <w:link w:val="7"/>
    <w:semiHidden/>
    <w:qFormat/>
    <w:uiPriority w:val="9"/>
    <w:rPr>
      <w:rFonts w:asciiTheme="minorHAnsi" w:hAnsiTheme="minorHAnsi" w:eastAsiaTheme="minorEastAsia" w:cstheme="minorBidi"/>
      <w:b/>
      <w:kern w:val="2"/>
      <w:sz w:val="28"/>
      <w:szCs w:val="22"/>
    </w:rPr>
  </w:style>
  <w:style w:type="character" w:customStyle="1" w:styleId="50">
    <w:name w:val="正文缩进 字符"/>
    <w:link w:val="4"/>
    <w:qFormat/>
    <w:uiPriority w:val="0"/>
    <w:rPr>
      <w:rFonts w:ascii="宋体" w:eastAsia="宋体"/>
      <w:snapToGrid w:val="0"/>
      <w:color w:val="000000"/>
      <w:kern w:val="28"/>
      <w:sz w:val="28"/>
      <w:lang w:val="en-US" w:eastAsia="zh-CN" w:bidi="ar-SA"/>
    </w:rPr>
  </w:style>
  <w:style w:type="character" w:customStyle="1" w:styleId="51">
    <w:name w:val="文档结构图 字符"/>
    <w:link w:val="12"/>
    <w:qFormat/>
    <w:uiPriority w:val="0"/>
    <w:rPr>
      <w:rFonts w:cs="Times New Roman"/>
      <w:sz w:val="2"/>
    </w:rPr>
  </w:style>
  <w:style w:type="character" w:customStyle="1" w:styleId="52">
    <w:name w:val="批注文字 字符"/>
    <w:basedOn w:val="36"/>
    <w:link w:val="14"/>
    <w:qFormat/>
    <w:uiPriority w:val="99"/>
    <w:rPr>
      <w:kern w:val="2"/>
      <w:sz w:val="21"/>
    </w:rPr>
  </w:style>
  <w:style w:type="character" w:customStyle="1" w:styleId="53">
    <w:name w:val="正文文本 字符"/>
    <w:link w:val="15"/>
    <w:qFormat/>
    <w:uiPriority w:val="0"/>
    <w:rPr>
      <w:rFonts w:cs="Times New Roman"/>
      <w:sz w:val="20"/>
      <w:szCs w:val="20"/>
    </w:rPr>
  </w:style>
  <w:style w:type="character" w:customStyle="1" w:styleId="54">
    <w:name w:val="正文文本缩进 字符"/>
    <w:link w:val="16"/>
    <w:qFormat/>
    <w:uiPriority w:val="0"/>
    <w:rPr>
      <w:rFonts w:cs="Times New Roman"/>
      <w:sz w:val="20"/>
      <w:szCs w:val="20"/>
    </w:rPr>
  </w:style>
  <w:style w:type="character" w:customStyle="1" w:styleId="55">
    <w:name w:val="纯文本 字符"/>
    <w:link w:val="19"/>
    <w:qFormat/>
    <w:uiPriority w:val="0"/>
    <w:rPr>
      <w:rFonts w:ascii="宋体" w:hAnsi="Courier New" w:cs="Courier New"/>
      <w:sz w:val="21"/>
      <w:szCs w:val="21"/>
    </w:rPr>
  </w:style>
  <w:style w:type="character" w:customStyle="1" w:styleId="56">
    <w:name w:val="日期 字符"/>
    <w:link w:val="20"/>
    <w:qFormat/>
    <w:uiPriority w:val="0"/>
    <w:rPr>
      <w:rFonts w:cs="Times New Roman"/>
      <w:kern w:val="2"/>
      <w:sz w:val="28"/>
    </w:rPr>
  </w:style>
  <w:style w:type="character" w:customStyle="1" w:styleId="57">
    <w:name w:val="正文文本缩进 2 字符"/>
    <w:link w:val="21"/>
    <w:qFormat/>
    <w:uiPriority w:val="0"/>
    <w:rPr>
      <w:rFonts w:cs="Times New Roman"/>
      <w:sz w:val="20"/>
      <w:szCs w:val="20"/>
    </w:rPr>
  </w:style>
  <w:style w:type="character" w:customStyle="1" w:styleId="58">
    <w:name w:val="批注框文本 字符"/>
    <w:basedOn w:val="36"/>
    <w:link w:val="22"/>
    <w:qFormat/>
    <w:uiPriority w:val="0"/>
    <w:rPr>
      <w:rFonts w:ascii="Times New Roman" w:hAnsi="Times New Roman" w:eastAsia="宋体" w:cs="Times New Roman"/>
      <w:kern w:val="2"/>
      <w:sz w:val="18"/>
      <w:szCs w:val="18"/>
    </w:rPr>
  </w:style>
  <w:style w:type="character" w:customStyle="1" w:styleId="59">
    <w:name w:val="页脚 字符"/>
    <w:link w:val="23"/>
    <w:qFormat/>
    <w:uiPriority w:val="99"/>
    <w:rPr>
      <w:rFonts w:cs="Times New Roman"/>
      <w:sz w:val="18"/>
      <w:szCs w:val="18"/>
    </w:rPr>
  </w:style>
  <w:style w:type="character" w:customStyle="1" w:styleId="60">
    <w:name w:val="页眉 字符"/>
    <w:link w:val="24"/>
    <w:qFormat/>
    <w:uiPriority w:val="99"/>
    <w:rPr>
      <w:rFonts w:cs="Times New Roman"/>
      <w:sz w:val="18"/>
      <w:szCs w:val="18"/>
    </w:rPr>
  </w:style>
  <w:style w:type="character" w:customStyle="1" w:styleId="61">
    <w:name w:val="正文文本缩进 3 字符"/>
    <w:link w:val="26"/>
    <w:qFormat/>
    <w:uiPriority w:val="0"/>
    <w:rPr>
      <w:rFonts w:cs="Times New Roman"/>
      <w:kern w:val="2"/>
      <w:sz w:val="16"/>
      <w:szCs w:val="16"/>
    </w:rPr>
  </w:style>
  <w:style w:type="character" w:customStyle="1" w:styleId="62">
    <w:name w:val="正文文本 2 字符"/>
    <w:link w:val="28"/>
    <w:qFormat/>
    <w:uiPriority w:val="0"/>
    <w:rPr>
      <w:rFonts w:cs="Times New Roman"/>
      <w:sz w:val="20"/>
      <w:szCs w:val="20"/>
    </w:rPr>
  </w:style>
  <w:style w:type="character" w:customStyle="1" w:styleId="63">
    <w:name w:val="批注主题 字符"/>
    <w:basedOn w:val="52"/>
    <w:link w:val="31"/>
    <w:qFormat/>
    <w:uiPriority w:val="0"/>
    <w:rPr>
      <w:b/>
      <w:bCs/>
      <w:kern w:val="2"/>
      <w:sz w:val="21"/>
    </w:rPr>
  </w:style>
  <w:style w:type="character" w:customStyle="1" w:styleId="64">
    <w:name w:val="正文文本首行缩进 字符"/>
    <w:link w:val="32"/>
    <w:qFormat/>
    <w:uiPriority w:val="99"/>
    <w:rPr>
      <w:rFonts w:cs="Times New Roman"/>
      <w:kern w:val="2"/>
      <w:sz w:val="21"/>
      <w:szCs w:val="20"/>
    </w:rPr>
  </w:style>
  <w:style w:type="character" w:customStyle="1" w:styleId="65">
    <w:name w:val="普通文字 Char Char2"/>
    <w:qFormat/>
    <w:locked/>
    <w:uiPriority w:val="0"/>
    <w:rPr>
      <w:rFonts w:ascii="宋体" w:hAnsi="Courier New" w:eastAsia="宋体" w:cs="Times New Roman"/>
      <w:kern w:val="2"/>
      <w:sz w:val="21"/>
      <w:lang w:val="en-US" w:eastAsia="zh-CN" w:bidi="ar-SA"/>
    </w:rPr>
  </w:style>
  <w:style w:type="character" w:customStyle="1" w:styleId="66">
    <w:name w:val="_正文段落 Char"/>
    <w:link w:val="67"/>
    <w:qFormat/>
    <w:uiPriority w:val="0"/>
    <w:rPr>
      <w:rFonts w:ascii="仿宋_GB2312" w:eastAsia="仿宋_GB2312"/>
      <w:sz w:val="28"/>
      <w:szCs w:val="24"/>
    </w:rPr>
  </w:style>
  <w:style w:type="paragraph" w:customStyle="1" w:styleId="67">
    <w:name w:val="_正文段落"/>
    <w:basedOn w:val="1"/>
    <w:link w:val="66"/>
    <w:qFormat/>
    <w:uiPriority w:val="0"/>
    <w:pPr>
      <w:spacing w:line="360" w:lineRule="auto"/>
      <w:ind w:firstLine="200" w:firstLineChars="200"/>
    </w:pPr>
    <w:rPr>
      <w:rFonts w:ascii="仿宋_GB2312" w:eastAsia="仿宋_GB2312"/>
      <w:kern w:val="0"/>
      <w:sz w:val="28"/>
      <w:szCs w:val="24"/>
    </w:rPr>
  </w:style>
  <w:style w:type="character" w:customStyle="1" w:styleId="68">
    <w:name w:val="内容"/>
    <w:qFormat/>
    <w:uiPriority w:val="0"/>
    <w:rPr>
      <w:rFonts w:ascii="华文细黑" w:eastAsia="华文细黑"/>
      <w:color w:val="75787B"/>
      <w:sz w:val="20"/>
      <w:u w:val="none"/>
    </w:rPr>
  </w:style>
  <w:style w:type="character" w:customStyle="1" w:styleId="69">
    <w:name w:val="纯文本 Char1"/>
    <w:qFormat/>
    <w:uiPriority w:val="99"/>
    <w:rPr>
      <w:rFonts w:ascii="宋体" w:hAnsi="Courier New" w:eastAsia="宋体"/>
      <w:kern w:val="2"/>
      <w:sz w:val="21"/>
      <w:lang w:val="en-US" w:eastAsia="zh-CN" w:bidi="ar-SA"/>
    </w:rPr>
  </w:style>
  <w:style w:type="character" w:customStyle="1" w:styleId="70">
    <w:name w:val="ca-31"/>
    <w:qFormat/>
    <w:uiPriority w:val="0"/>
    <w:rPr>
      <w:rFonts w:hint="eastAsia" w:ascii="宋体" w:hAnsi="宋体" w:eastAsia="宋体"/>
      <w:sz w:val="21"/>
      <w:szCs w:val="21"/>
    </w:rPr>
  </w:style>
  <w:style w:type="character" w:customStyle="1" w:styleId="71">
    <w:name w:val="正文2 Char Char"/>
    <w:link w:val="72"/>
    <w:qFormat/>
    <w:uiPriority w:val="0"/>
    <w:rPr>
      <w:rFonts w:eastAsia="宋体"/>
      <w:kern w:val="2"/>
      <w:sz w:val="24"/>
      <w:lang w:val="en-US" w:eastAsia="zh-CN" w:bidi="ar-SA"/>
    </w:rPr>
  </w:style>
  <w:style w:type="paragraph" w:customStyle="1" w:styleId="72">
    <w:name w:val="正文2"/>
    <w:basedOn w:val="1"/>
    <w:link w:val="71"/>
    <w:qFormat/>
    <w:uiPriority w:val="0"/>
    <w:pPr>
      <w:spacing w:before="156" w:line="360" w:lineRule="auto"/>
      <w:ind w:firstLine="510" w:firstLineChars="200"/>
    </w:pPr>
    <w:rPr>
      <w:sz w:val="24"/>
    </w:rPr>
  </w:style>
  <w:style w:type="character" w:customStyle="1" w:styleId="73">
    <w:name w:val="ca-51"/>
    <w:qFormat/>
    <w:uiPriority w:val="0"/>
    <w:rPr>
      <w:rFonts w:hint="eastAsia" w:ascii="宋体" w:hAnsi="宋体" w:eastAsia="宋体"/>
      <w:color w:val="FF0000"/>
      <w:sz w:val="21"/>
      <w:szCs w:val="21"/>
    </w:rPr>
  </w:style>
  <w:style w:type="paragraph" w:customStyle="1" w:styleId="74">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Char1"/>
    <w:basedOn w:val="12"/>
    <w:qFormat/>
    <w:uiPriority w:val="0"/>
    <w:pPr>
      <w:adjustRightInd w:val="0"/>
      <w:spacing w:line="436" w:lineRule="exact"/>
      <w:ind w:left="357"/>
      <w:jc w:val="left"/>
      <w:outlineLvl w:val="3"/>
    </w:pPr>
  </w:style>
  <w:style w:type="paragraph" w:customStyle="1" w:styleId="78">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1">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Char Char Char Char Char Char"/>
    <w:basedOn w:val="1"/>
    <w:qFormat/>
    <w:uiPriority w:val="0"/>
    <w:pPr>
      <w:ind w:firstLine="200" w:firstLineChars="200"/>
    </w:pPr>
    <w:rPr>
      <w:rFonts w:ascii="Tahoma" w:hAnsi="Tahoma"/>
      <w:sz w:val="24"/>
    </w:rPr>
  </w:style>
  <w:style w:type="paragraph" w:styleId="87">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Char2 Char Char"/>
    <w:basedOn w:val="1"/>
    <w:qFormat/>
    <w:uiPriority w:val="0"/>
    <w:rPr>
      <w:rFonts w:ascii="Tahoma" w:hAnsi="Tahoma"/>
      <w:sz w:val="24"/>
    </w:rPr>
  </w:style>
  <w:style w:type="paragraph" w:customStyle="1" w:styleId="90">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Char Char Char"/>
    <w:basedOn w:val="1"/>
    <w:qFormat/>
    <w:uiPriority w:val="0"/>
    <w:rPr>
      <w:rFonts w:ascii="Tahoma" w:hAnsi="Tahoma"/>
      <w:sz w:val="24"/>
    </w:rPr>
  </w:style>
  <w:style w:type="paragraph" w:customStyle="1" w:styleId="94">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TOC 标题1"/>
    <w:basedOn w:val="2"/>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1">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Char"/>
    <w:basedOn w:val="1"/>
    <w:qFormat/>
    <w:uiPriority w:val="0"/>
    <w:pPr>
      <w:widowControl/>
      <w:spacing w:line="400" w:lineRule="exact"/>
      <w:jc w:val="center"/>
    </w:pPr>
    <w:rPr>
      <w:rFonts w:ascii="Verdana" w:hAnsi="Verdana"/>
      <w:kern w:val="0"/>
      <w:lang w:eastAsia="en-US"/>
    </w:rPr>
  </w:style>
  <w:style w:type="paragraph" w:customStyle="1" w:styleId="109">
    <w:name w:val="Char2"/>
    <w:basedOn w:val="1"/>
    <w:qFormat/>
    <w:uiPriority w:val="0"/>
    <w:pPr>
      <w:tabs>
        <w:tab w:val="left" w:pos="720"/>
      </w:tabs>
      <w:ind w:left="720" w:hanging="360"/>
    </w:pPr>
    <w:rPr>
      <w:sz w:val="24"/>
      <w:szCs w:val="24"/>
    </w:rPr>
  </w:style>
  <w:style w:type="paragraph" w:customStyle="1" w:styleId="110">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Char11"/>
    <w:basedOn w:val="12"/>
    <w:qFormat/>
    <w:uiPriority w:val="0"/>
    <w:pPr>
      <w:adjustRightInd w:val="0"/>
      <w:spacing w:line="436" w:lineRule="exact"/>
      <w:ind w:left="357"/>
      <w:jc w:val="left"/>
      <w:outlineLvl w:val="3"/>
    </w:pPr>
    <w:rPr>
      <w:rFonts w:ascii="Tahoma" w:hAnsi="Tahoma"/>
      <w:b/>
      <w:sz w:val="24"/>
      <w:szCs w:val="24"/>
    </w:rPr>
  </w:style>
  <w:style w:type="paragraph" w:customStyle="1" w:styleId="115">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Char Char2"/>
    <w:basedOn w:val="1"/>
    <w:qFormat/>
    <w:uiPriority w:val="0"/>
    <w:rPr>
      <w:rFonts w:ascii="宋体" w:hAnsi="宋体"/>
      <w:b/>
      <w:sz w:val="28"/>
      <w:szCs w:val="28"/>
    </w:rPr>
  </w:style>
  <w:style w:type="paragraph" w:customStyle="1" w:styleId="119">
    <w:name w:val="表"/>
    <w:basedOn w:val="1"/>
    <w:qFormat/>
    <w:uiPriority w:val="0"/>
    <w:pPr>
      <w:spacing w:line="360" w:lineRule="auto"/>
    </w:pPr>
    <w:rPr>
      <w:rFonts w:cs="Garamond"/>
      <w:b/>
      <w:bCs/>
      <w:color w:val="FF0000"/>
    </w:rPr>
  </w:style>
  <w:style w:type="paragraph" w:customStyle="1" w:styleId="120">
    <w:name w:val="主体"/>
    <w:basedOn w:val="1"/>
    <w:link w:val="121"/>
    <w:qFormat/>
    <w:uiPriority w:val="99"/>
    <w:pPr>
      <w:spacing w:line="360" w:lineRule="auto"/>
      <w:ind w:firstLine="480" w:firstLineChars="200"/>
    </w:pPr>
    <w:rPr>
      <w:rFonts w:ascii="宋体" w:hAnsi="宋体"/>
      <w:kern w:val="58"/>
      <w:sz w:val="24"/>
      <w:szCs w:val="24"/>
    </w:rPr>
  </w:style>
  <w:style w:type="character" w:customStyle="1" w:styleId="121">
    <w:name w:val="主体 Char Char"/>
    <w:link w:val="120"/>
    <w:qFormat/>
    <w:uiPriority w:val="99"/>
    <w:rPr>
      <w:rFonts w:ascii="宋体" w:hAnsi="宋体"/>
      <w:kern w:val="58"/>
      <w:sz w:val="24"/>
      <w:szCs w:val="24"/>
    </w:rPr>
  </w:style>
  <w:style w:type="paragraph" w:customStyle="1" w:styleId="122">
    <w:name w:val="表格文字"/>
    <w:basedOn w:val="1"/>
    <w:next w:val="15"/>
    <w:link w:val="123"/>
    <w:qFormat/>
    <w:uiPriority w:val="0"/>
    <w:pPr>
      <w:jc w:val="left"/>
    </w:pPr>
    <w:rPr>
      <w:rFonts w:ascii="宋体" w:hAnsi="宋体"/>
      <w:bCs/>
      <w:spacing w:val="-4"/>
      <w:kern w:val="0"/>
      <w:sz w:val="32"/>
      <w:szCs w:val="32"/>
      <w:lang w:val="zh-CN"/>
    </w:rPr>
  </w:style>
  <w:style w:type="character" w:customStyle="1" w:styleId="123">
    <w:name w:val="表格文字 Char Char"/>
    <w:link w:val="122"/>
    <w:qFormat/>
    <w:uiPriority w:val="99"/>
    <w:rPr>
      <w:rFonts w:ascii="宋体" w:hAnsi="宋体"/>
      <w:bCs/>
      <w:spacing w:val="-4"/>
      <w:sz w:val="32"/>
      <w:szCs w:val="32"/>
      <w:lang w:val="zh-CN"/>
    </w:rPr>
  </w:style>
  <w:style w:type="paragraph" w:customStyle="1" w:styleId="124">
    <w:name w:val="表格文字2"/>
    <w:basedOn w:val="122"/>
    <w:qFormat/>
    <w:uiPriority w:val="99"/>
    <w:pPr>
      <w:jc w:val="both"/>
    </w:pPr>
  </w:style>
  <w:style w:type="character" w:customStyle="1" w:styleId="125">
    <w:name w:val="标准正文 Char"/>
    <w:qFormat/>
    <w:uiPriority w:val="0"/>
    <w:rPr>
      <w:kern w:val="2"/>
      <w:sz w:val="24"/>
      <w:szCs w:val="24"/>
    </w:rPr>
  </w:style>
  <w:style w:type="paragraph" w:customStyle="1" w:styleId="126">
    <w:name w:val="标题2"/>
    <w:basedOn w:val="1"/>
    <w:link w:val="127"/>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7">
    <w:name w:val="标题2 Char Char"/>
    <w:link w:val="126"/>
    <w:qFormat/>
    <w:uiPriority w:val="0"/>
    <w:rPr>
      <w:rFonts w:ascii="宋体"/>
      <w:b/>
      <w:sz w:val="24"/>
    </w:rPr>
  </w:style>
  <w:style w:type="paragraph" w:customStyle="1" w:styleId="12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29">
    <w:name w:val="font01"/>
    <w:basedOn w:val="36"/>
    <w:qFormat/>
    <w:uiPriority w:val="0"/>
    <w:rPr>
      <w:rFonts w:hint="eastAsia" w:ascii="宋体" w:hAnsi="宋体" w:eastAsia="宋体" w:cs="宋体"/>
      <w:b/>
      <w:color w:val="333333"/>
      <w:sz w:val="24"/>
      <w:szCs w:val="24"/>
      <w:u w:val="none"/>
    </w:rPr>
  </w:style>
  <w:style w:type="paragraph" w:customStyle="1" w:styleId="13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1">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2">
    <w:name w:val="标题 6 字符"/>
    <w:basedOn w:val="36"/>
    <w:link w:val="8"/>
    <w:semiHidden/>
    <w:qFormat/>
    <w:uiPriority w:val="9"/>
    <w:rPr>
      <w:rFonts w:ascii="Arial" w:hAnsi="Arial" w:eastAsia="黑体" w:cstheme="minorBidi"/>
      <w:b/>
      <w:kern w:val="2"/>
      <w:sz w:val="24"/>
      <w:szCs w:val="22"/>
    </w:rPr>
  </w:style>
  <w:style w:type="character" w:customStyle="1" w:styleId="133">
    <w:name w:val="标题 7 字符"/>
    <w:basedOn w:val="36"/>
    <w:link w:val="9"/>
    <w:semiHidden/>
    <w:qFormat/>
    <w:uiPriority w:val="9"/>
    <w:rPr>
      <w:rFonts w:asciiTheme="minorHAnsi" w:hAnsiTheme="minorHAnsi" w:eastAsiaTheme="minorEastAsia" w:cstheme="minorBidi"/>
      <w:b/>
      <w:kern w:val="2"/>
      <w:sz w:val="24"/>
      <w:szCs w:val="22"/>
    </w:rPr>
  </w:style>
  <w:style w:type="character" w:customStyle="1" w:styleId="134">
    <w:name w:val="标题 8 字符"/>
    <w:basedOn w:val="36"/>
    <w:link w:val="10"/>
    <w:semiHidden/>
    <w:qFormat/>
    <w:uiPriority w:val="9"/>
    <w:rPr>
      <w:rFonts w:ascii="Arial" w:hAnsi="Arial" w:eastAsia="黑体" w:cstheme="minorBidi"/>
      <w:kern w:val="2"/>
      <w:sz w:val="24"/>
      <w:szCs w:val="22"/>
    </w:rPr>
  </w:style>
  <w:style w:type="character" w:customStyle="1" w:styleId="135">
    <w:name w:val="标题 9 字符"/>
    <w:basedOn w:val="36"/>
    <w:link w:val="11"/>
    <w:semiHidden/>
    <w:qFormat/>
    <w:uiPriority w:val="9"/>
    <w:rPr>
      <w:rFonts w:ascii="Arial" w:hAnsi="Arial" w:eastAsia="黑体" w:cstheme="minorBidi"/>
      <w:kern w:val="2"/>
      <w:sz w:val="21"/>
      <w:szCs w:val="22"/>
    </w:rPr>
  </w:style>
  <w:style w:type="paragraph" w:customStyle="1" w:styleId="13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7">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38">
    <w:name w:val="索引 11"/>
    <w:basedOn w:val="1"/>
    <w:next w:val="1"/>
    <w:qFormat/>
    <w:uiPriority w:val="99"/>
    <w:pPr>
      <w:spacing w:line="360" w:lineRule="auto"/>
    </w:pPr>
    <w:rPr>
      <w:rFonts w:ascii="仿宋_GB2312" w:eastAsia="仿宋_GB2312"/>
      <w:sz w:val="24"/>
    </w:rPr>
  </w:style>
  <w:style w:type="paragraph" w:customStyle="1" w:styleId="139">
    <w:name w:val="纯文本1"/>
    <w:basedOn w:val="1"/>
    <w:qFormat/>
    <w:uiPriority w:val="0"/>
    <w:rPr>
      <w:rFonts w:ascii="宋体" w:hAnsi="Courier New"/>
      <w:kern w:val="0"/>
      <w:sz w:val="20"/>
    </w:rPr>
  </w:style>
  <w:style w:type="paragraph" w:customStyle="1" w:styleId="140">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41">
    <w:name w:val="批注文字 Char1"/>
    <w:qFormat/>
    <w:uiPriority w:val="0"/>
    <w:rPr>
      <w:rFonts w:ascii="Times New Roman" w:hAnsi="Times New Roman" w:eastAsia="宋体" w:cs="Times New Roman"/>
      <w:szCs w:val="20"/>
    </w:rPr>
  </w:style>
  <w:style w:type="paragraph" w:customStyle="1" w:styleId="142">
    <w:name w:val="Body Text First Indent 21"/>
    <w:basedOn w:val="1"/>
    <w:qFormat/>
    <w:uiPriority w:val="0"/>
    <w:pPr>
      <w:ind w:left="420" w:leftChars="200"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73</Pages>
  <Words>22466</Words>
  <Characters>23935</Characters>
  <Lines>286</Lines>
  <Paragraphs>80</Paragraphs>
  <TotalTime>0</TotalTime>
  <ScaleCrop>false</ScaleCrop>
  <LinksUpToDate>false</LinksUpToDate>
  <CharactersWithSpaces>24363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2024-03-22T10:22:00Z</dcterms:created>
  <dc:creator>vivian</dc:creator>
  <cp:lastModifiedBy>Administrator</cp:lastModifiedBy>
  <cp:lastPrinted>2025-04-29T08:50:00Z</cp:lastPrinted>
  <dcterms:modified xsi:type="dcterms:W3CDTF">2025-07-03T07:22:43Z</dcterms:modified>
  <dc:title>政 府 采 购 招 标 项 目</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B24C4D3767304D1197889792355F3E05</vt:lpwstr>
  </property>
  <property fmtid="{D5CDD505-2E9C-101B-9397-08002B2CF9AE}" pid="4" name="KSOTemplateDocerSaveRecord">
    <vt:lpwstr>eyJoZGlkIjoiMjZmYTExMWVkYjAxOGYwZmM2Nzg3YzVjMjM5YmI1YzUifQ==</vt:lpwstr>
  </property>
</Properties>
</file>