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8A39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-SA"/>
        </w:rPr>
        <w:t>古城微型消防工作站改造项目</w:t>
      </w:r>
    </w:p>
    <w:p w14:paraId="603705B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-SA"/>
        </w:rPr>
        <w:t>预算审核说明</w:t>
      </w:r>
    </w:p>
    <w:p w14:paraId="2A820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一、预算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审核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依据</w:t>
      </w:r>
    </w:p>
    <w:p w14:paraId="1AB0EA6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1、建设单位提供由浙江富华建筑装饰有限公司设计的《古城微型消防工作站改造项目》施工图。</w:t>
      </w:r>
    </w:p>
    <w:p w14:paraId="08267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《浙江省房屋建筑与装饰工程预算定额（2018版）》、《浙江省安装工程预算定额（2018版）》、《浙江省建设工程施工费用定额》（2018版）、《浙江省施工机械台班费用定额（2018版）》、《建设工程工程量清单计价规范(GB50500-2013)》、浙江省及宁波市建设主管部门颁发的有关文件。</w:t>
      </w:r>
    </w:p>
    <w:p w14:paraId="29B6F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二、预算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审核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原则及办法</w:t>
      </w:r>
    </w:p>
    <w:p w14:paraId="3BCC0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取费标准：本工程选用一般计税法模板，企业管理费及利润按水、电、暖通、消防、智能、自控及通信安装工程中值计取，组织措施费按一般建筑工程中值计取，其中安全文明施工费按一般工程中值乘以1.15计取，提前竣工增加费、行车行人干扰增加费及创标化工地增加费不计，规费费率按专业费率乘以30%计取，税金按9%执行，安全生产责任保险费根据市建管[2024]12号文件规定，按1.26%计入企业管理费中。</w:t>
      </w:r>
    </w:p>
    <w:p w14:paraId="55ED4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2、材料价格：参照《宁波建设工程造价信息》2025年5期北仑区价格，北仑区无信息价部分参照《宁波建设工程造价信息》2025年5期宁波市区价格及同期省刊价格，无信息价部分参照有关文件并结合市场价计取。</w:t>
      </w:r>
    </w:p>
    <w:p w14:paraId="38F95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3、人工市场价参照2025年5期《宁波建设工程造价信息》中人工市场信息价调整。</w:t>
      </w:r>
    </w:p>
    <w:p w14:paraId="67CA5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三、有关事项说明</w:t>
      </w:r>
    </w:p>
    <w:p w14:paraId="5BEEF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本工程砂浆均按预拌砂浆考虑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；</w:t>
      </w:r>
    </w:p>
    <w:p w14:paraId="55D4D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余土外运暂按5公里计入，不计余土处置费，外运费用按甬渣领办联[2022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]1号文件规定计取；</w:t>
      </w:r>
    </w:p>
    <w:p w14:paraId="7AC41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3、卫生间隔断按18mm抗倍特板计入；</w:t>
      </w:r>
    </w:p>
    <w:p w14:paraId="0FEFD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4、木龙骨防火涂料按3遍计入；</w:t>
      </w:r>
    </w:p>
    <w:p w14:paraId="2ED0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5、二楼楼梯间墙面乳胶漆已计入本预算；</w:t>
      </w:r>
    </w:p>
    <w:p w14:paraId="01676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6、金属门窗外运以料抵工，不计费用；</w:t>
      </w:r>
    </w:p>
    <w:p w14:paraId="2F025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7、铝合金卷帘门按电动计入；</w:t>
      </w:r>
    </w:p>
    <w:p w14:paraId="6D61E5E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93" w:beforeLines="30" w:after="93" w:afterLines="30" w:line="360" w:lineRule="auto"/>
        <w:ind w:firstLine="561" w:firstLineChars="234"/>
        <w:textAlignment w:val="auto"/>
        <w:rPr>
          <w:rFonts w:hint="default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</w:p>
    <w:p w14:paraId="15435CEC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93" w:beforeLines="30" w:after="93" w:afterLines="30" w:line="360" w:lineRule="auto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 xml:space="preserve">四、品牌参考表  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</w:t>
      </w:r>
    </w:p>
    <w:tbl>
      <w:tblPr>
        <w:tblStyle w:val="6"/>
        <w:tblW w:w="748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1"/>
        <w:gridCol w:w="1984"/>
        <w:gridCol w:w="5062"/>
      </w:tblGrid>
      <w:tr w14:paraId="080C8C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1D40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D3B2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2683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参考品牌</w:t>
            </w:r>
          </w:p>
        </w:tc>
      </w:tr>
      <w:tr w14:paraId="1E2B87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556D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731C4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E161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安装部分</w:t>
            </w:r>
          </w:p>
        </w:tc>
      </w:tr>
      <w:tr w14:paraId="322F60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A99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B136B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灯具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5CA74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三雄极光、欧普、雷士</w:t>
            </w:r>
          </w:p>
        </w:tc>
      </w:tr>
      <w:tr w14:paraId="49325F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E2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CA831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配电箱（内部元器件）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BE0BC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正泰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西门子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、施耐德</w:t>
            </w:r>
          </w:p>
        </w:tc>
      </w:tr>
      <w:tr w14:paraId="0FB330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97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BB738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开关、插座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B0B85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西门子远景系列、西蒙V8系列、施耐德风尚系列</w:t>
            </w:r>
          </w:p>
        </w:tc>
      </w:tr>
      <w:tr w14:paraId="5BBBBA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4FB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39282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电线、电缆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32ADF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宁波东方、宁波球冠、浙江中策</w:t>
            </w:r>
          </w:p>
        </w:tc>
      </w:tr>
      <w:tr w14:paraId="160D6B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F501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二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EE5F3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FED9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装修部分</w:t>
            </w:r>
          </w:p>
        </w:tc>
      </w:tr>
      <w:tr w14:paraId="44515E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7C0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</w:pPr>
            <w:bookmarkStart w:id="0" w:name="_GoBack" w:colFirst="1" w:colLast="2"/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7759F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瓷砖、地砖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862B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诺贝尔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斯米克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冠珠</w:t>
            </w:r>
          </w:p>
        </w:tc>
      </w:tr>
      <w:tr w14:paraId="24083B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9D133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05161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石膏板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3AA31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泰山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龙牌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可耐福</w:t>
            </w:r>
          </w:p>
        </w:tc>
      </w:tr>
      <w:tr w14:paraId="1AFA18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60931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27C96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轻钢龙骨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197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千年舟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eastAsia="zh-CN"/>
              </w:rPr>
              <w:t>泰山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eastAsia="zh-CN"/>
              </w:rPr>
              <w:t>龙牌</w:t>
            </w:r>
          </w:p>
        </w:tc>
      </w:tr>
      <w:tr w14:paraId="5421E1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25880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83A7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木工板/阻燃板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82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千年舟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/兔宝宝/莫干山</w:t>
            </w:r>
          </w:p>
        </w:tc>
      </w:tr>
      <w:tr w14:paraId="71F08C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ED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FAAF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乳胶漆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EF7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立邦/多乐士/华润</w:t>
            </w:r>
          </w:p>
        </w:tc>
      </w:tr>
      <w:tr w14:paraId="5E8796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99BC8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643AB"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铝板</w:t>
            </w:r>
          </w:p>
        </w:tc>
        <w:tc>
          <w:tcPr>
            <w:tcW w:w="5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CF5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</w:rPr>
              <w:t>铝广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/铝翼/鑫邦铝业</w:t>
            </w:r>
          </w:p>
        </w:tc>
      </w:tr>
      <w:bookmarkEnd w:id="0"/>
    </w:tbl>
    <w:p w14:paraId="656B9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textAlignment w:val="auto"/>
        <w:rPr>
          <w:rFonts w:hint="default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</w:p>
    <w:p w14:paraId="1789366F"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0B99C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D5B4E"/>
    <w:multiLevelType w:val="multilevel"/>
    <w:tmpl w:val="204D5B4E"/>
    <w:lvl w:ilvl="0" w:tentative="0">
      <w:start w:val="1"/>
      <w:numFmt w:val="chineseCountingThousand"/>
      <w:pStyle w:val="10"/>
      <w:suff w:val="nothing"/>
      <w:lvlText w:val="(%1)"/>
      <w:lvlJc w:val="left"/>
      <w:pPr>
        <w:ind w:left="1061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1" w:hanging="420"/>
      </w:pPr>
    </w:lvl>
    <w:lvl w:ilvl="2" w:tentative="0">
      <w:start w:val="1"/>
      <w:numFmt w:val="lowerRoman"/>
      <w:lvlText w:val="%3."/>
      <w:lvlJc w:val="right"/>
      <w:pPr>
        <w:ind w:left="1901" w:hanging="420"/>
      </w:pPr>
    </w:lvl>
    <w:lvl w:ilvl="3" w:tentative="0">
      <w:start w:val="1"/>
      <w:numFmt w:val="decimal"/>
      <w:lvlText w:val="%4."/>
      <w:lvlJc w:val="left"/>
      <w:pPr>
        <w:ind w:left="2321" w:hanging="420"/>
      </w:pPr>
    </w:lvl>
    <w:lvl w:ilvl="4" w:tentative="0">
      <w:start w:val="1"/>
      <w:numFmt w:val="lowerLetter"/>
      <w:lvlText w:val="%5)"/>
      <w:lvlJc w:val="left"/>
      <w:pPr>
        <w:ind w:left="2741" w:hanging="420"/>
      </w:pPr>
    </w:lvl>
    <w:lvl w:ilvl="5" w:tentative="0">
      <w:start w:val="1"/>
      <w:numFmt w:val="lowerRoman"/>
      <w:lvlText w:val="%6."/>
      <w:lvlJc w:val="right"/>
      <w:pPr>
        <w:ind w:left="3161" w:hanging="420"/>
      </w:pPr>
    </w:lvl>
    <w:lvl w:ilvl="6" w:tentative="0">
      <w:start w:val="1"/>
      <w:numFmt w:val="decimal"/>
      <w:lvlText w:val="%7."/>
      <w:lvlJc w:val="left"/>
      <w:pPr>
        <w:ind w:left="3581" w:hanging="420"/>
      </w:pPr>
    </w:lvl>
    <w:lvl w:ilvl="7" w:tentative="0">
      <w:start w:val="1"/>
      <w:numFmt w:val="lowerLetter"/>
      <w:lvlText w:val="%8)"/>
      <w:lvlJc w:val="left"/>
      <w:pPr>
        <w:ind w:left="4001" w:hanging="420"/>
      </w:pPr>
    </w:lvl>
    <w:lvl w:ilvl="8" w:tentative="0">
      <w:start w:val="1"/>
      <w:numFmt w:val="lowerRoman"/>
      <w:lvlText w:val="%9."/>
      <w:lvlJc w:val="right"/>
      <w:pPr>
        <w:ind w:left="442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35307"/>
    <w:rsid w:val="08167C81"/>
    <w:rsid w:val="0842319C"/>
    <w:rsid w:val="0B4A6174"/>
    <w:rsid w:val="0B783176"/>
    <w:rsid w:val="0E245A85"/>
    <w:rsid w:val="10433241"/>
    <w:rsid w:val="13112C7C"/>
    <w:rsid w:val="155716C5"/>
    <w:rsid w:val="16526A63"/>
    <w:rsid w:val="1A6525DA"/>
    <w:rsid w:val="1AB00F06"/>
    <w:rsid w:val="1D7D34BD"/>
    <w:rsid w:val="1E18779D"/>
    <w:rsid w:val="1E38473F"/>
    <w:rsid w:val="1E4B0560"/>
    <w:rsid w:val="278E6B02"/>
    <w:rsid w:val="28A93522"/>
    <w:rsid w:val="2A8562A1"/>
    <w:rsid w:val="2CBD64F3"/>
    <w:rsid w:val="2D765601"/>
    <w:rsid w:val="35094DCD"/>
    <w:rsid w:val="3D732A96"/>
    <w:rsid w:val="3F5D6ADE"/>
    <w:rsid w:val="425A2175"/>
    <w:rsid w:val="43095949"/>
    <w:rsid w:val="45735BCE"/>
    <w:rsid w:val="46D47C5B"/>
    <w:rsid w:val="48DA2911"/>
    <w:rsid w:val="4A1E7F2C"/>
    <w:rsid w:val="4EA06ED8"/>
    <w:rsid w:val="500876B4"/>
    <w:rsid w:val="501F31A4"/>
    <w:rsid w:val="54AD25D8"/>
    <w:rsid w:val="587D2370"/>
    <w:rsid w:val="5AD308BE"/>
    <w:rsid w:val="5C3929A3"/>
    <w:rsid w:val="63C4349A"/>
    <w:rsid w:val="63DC510E"/>
    <w:rsid w:val="68980261"/>
    <w:rsid w:val="689C09B0"/>
    <w:rsid w:val="696A2F03"/>
    <w:rsid w:val="6B161341"/>
    <w:rsid w:val="6BE24A2C"/>
    <w:rsid w:val="6C270A6A"/>
    <w:rsid w:val="6CA43E69"/>
    <w:rsid w:val="6CE818AF"/>
    <w:rsid w:val="6D390A55"/>
    <w:rsid w:val="70727FA8"/>
    <w:rsid w:val="707A6471"/>
    <w:rsid w:val="70FF379D"/>
    <w:rsid w:val="76F6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toc 1"/>
    <w:basedOn w:val="1"/>
    <w:next w:val="1"/>
    <w:qFormat/>
    <w:uiPriority w:val="0"/>
    <w:pPr>
      <w:tabs>
        <w:tab w:val="left" w:pos="1200"/>
        <w:tab w:val="right" w:leader="dot" w:pos="8296"/>
      </w:tabs>
    </w:pPr>
    <w:rPr>
      <w:szCs w:val="20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二级标题"/>
    <w:basedOn w:val="1"/>
    <w:qFormat/>
    <w:uiPriority w:val="0"/>
    <w:pPr>
      <w:widowControl/>
      <w:numPr>
        <w:ilvl w:val="0"/>
        <w:numId w:val="1"/>
      </w:numPr>
      <w:spacing w:line="360" w:lineRule="auto"/>
      <w:jc w:val="left"/>
    </w:pPr>
    <w:rPr>
      <w:rFonts w:ascii="宋体" w:hAnsi="宋体"/>
      <w:sz w:val="24"/>
      <w:szCs w:val="24"/>
    </w:rPr>
  </w:style>
  <w:style w:type="paragraph" w:styleId="1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852</Words>
  <Characters>913</Characters>
  <Lines>0</Lines>
  <Paragraphs>0</Paragraphs>
  <TotalTime>0</TotalTime>
  <ScaleCrop>false</ScaleCrop>
  <LinksUpToDate>false</LinksUpToDate>
  <CharactersWithSpaces>918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2025-03-07T06:06:00Z</dcterms:created>
  <dc:creator>Administrator</dc:creator>
  <cp:lastModifiedBy>胖小姐米菲联合创始人</cp:lastModifiedBy>
  <dcterms:modified xsi:type="dcterms:W3CDTF">2025-07-01T06:31:31Z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eyJoZGlkIjoiYjA1OWVlZWZiZmMxYjBmNDAyNmY3MzJjMzgzNzg4YTgiLCJ1c2VySWQiOiI0NzE3MzQ5ODQifQ==</vt:lpwstr>
  </property>
  <property fmtid="{D5CDD505-2E9C-101B-9397-08002B2CF9AE}" pid="4" name="ICV">
    <vt:lpwstr>6BFC989410794750AA26D94CE6719F19_13</vt:lpwstr>
  </property>
</Properties>
</file>