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rPr>
        <w:t>招</w:t>
      </w:r>
      <w:r>
        <w:rPr>
          <w:rFonts w:ascii="宋体" w:hAnsi="宋体"/>
          <w:b/>
          <w:color w:val="auto"/>
          <w:sz w:val="84"/>
          <w:szCs w:val="84"/>
          <w:highlight w:val="none"/>
        </w:rPr>
        <w:t xml:space="preserve">  </w:t>
      </w:r>
      <w:r>
        <w:rPr>
          <w:rFonts w:hint="eastAsia" w:ascii="宋体" w:hAnsi="宋体"/>
          <w:b/>
          <w:color w:val="auto"/>
          <w:sz w:val="84"/>
          <w:szCs w:val="84"/>
          <w:highlight w:val="none"/>
        </w:rPr>
        <w:t>标</w:t>
      </w:r>
      <w:r>
        <w:rPr>
          <w:rFonts w:ascii="宋体" w:hAnsi="宋体"/>
          <w:b/>
          <w:color w:val="auto"/>
          <w:sz w:val="84"/>
          <w:szCs w:val="84"/>
          <w:highlight w:val="none"/>
        </w:rPr>
        <w:t xml:space="preserve">  </w:t>
      </w:r>
      <w:r>
        <w:rPr>
          <w:rFonts w:hint="eastAsia" w:ascii="宋体" w:hAnsi="宋体"/>
          <w:b/>
          <w:color w:val="auto"/>
          <w:sz w:val="84"/>
          <w:szCs w:val="84"/>
          <w:highlight w:val="none"/>
        </w:rPr>
        <w:t>文</w:t>
      </w:r>
      <w:r>
        <w:rPr>
          <w:rFonts w:ascii="宋体" w:hAnsi="宋体"/>
          <w:b/>
          <w:color w:val="auto"/>
          <w:sz w:val="84"/>
          <w:szCs w:val="84"/>
          <w:highlight w:val="none"/>
        </w:rPr>
        <w:t xml:space="preserve">  </w:t>
      </w:r>
      <w:r>
        <w:rPr>
          <w:rFonts w:hint="eastAsia" w:ascii="宋体" w:hAnsi="宋体"/>
          <w:b/>
          <w:color w:val="auto"/>
          <w:sz w:val="84"/>
          <w:szCs w:val="84"/>
          <w:highlight w:val="none"/>
        </w:rPr>
        <w:t>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项目名称：</w:t>
      </w:r>
      <w:bookmarkStart w:id="0" w:name="OLE_LINK3"/>
      <w:r>
        <w:rPr>
          <w:rFonts w:hint="eastAsia" w:ascii="宋体" w:hAnsi="宋体"/>
          <w:b/>
          <w:bCs/>
          <w:color w:val="auto"/>
          <w:sz w:val="36"/>
          <w:szCs w:val="36"/>
          <w:highlight w:val="none"/>
          <w:u w:val="single"/>
          <w:lang w:eastAsia="zh-CN"/>
        </w:rPr>
        <w:t>长江中学学生课桌椅</w:t>
      </w:r>
      <w:bookmarkEnd w:id="0"/>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6"/>
          <w:szCs w:val="36"/>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项目编号：</w:t>
      </w:r>
      <w:r>
        <w:rPr>
          <w:rFonts w:hint="eastAsia" w:ascii="宋体" w:hAnsi="宋体"/>
          <w:b/>
          <w:bCs/>
          <w:color w:val="auto"/>
          <w:sz w:val="36"/>
          <w:szCs w:val="36"/>
          <w:highlight w:val="none"/>
          <w:u w:val="single"/>
          <w:lang w:eastAsia="zh-CN"/>
        </w:rPr>
        <w:t>BLZFCG2025028</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 购 人：</w:t>
      </w:r>
      <w:bookmarkStart w:id="1" w:name="OLE_LINK4"/>
      <w:bookmarkStart w:id="2" w:name="OLE_LINK5"/>
      <w:r>
        <w:rPr>
          <w:rFonts w:hint="eastAsia"/>
          <w:b/>
          <w:bCs/>
          <w:color w:val="auto"/>
          <w:sz w:val="30"/>
          <w:szCs w:val="30"/>
          <w:highlight w:val="none"/>
          <w:lang w:eastAsia="zh-CN"/>
        </w:rPr>
        <w:t>宁波市北仑区长江中学</w:t>
      </w:r>
    </w:p>
    <w:bookmarkEnd w:id="1"/>
    <w:bookmarkEnd w:id="2"/>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采购机构：</w:t>
      </w:r>
      <w:r>
        <w:rPr>
          <w:rFonts w:hint="eastAsia"/>
          <w:b/>
          <w:bCs/>
          <w:color w:val="auto"/>
          <w:sz w:val="30"/>
          <w:szCs w:val="30"/>
          <w:highlight w:val="none"/>
          <w:lang w:eastAsia="zh-CN"/>
        </w:rPr>
        <w:t>宁波市北仑区（开发区）政务服务中心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五</w:t>
      </w:r>
      <w:r>
        <w:rPr>
          <w:rFonts w:hint="eastAsia" w:ascii="宋体" w:hAnsi="宋体"/>
          <w:b/>
          <w:bCs/>
          <w:color w:val="auto"/>
          <w:sz w:val="36"/>
          <w:highlight w:val="none"/>
        </w:rPr>
        <w:t xml:space="preserve"> 年 </w:t>
      </w:r>
      <w:r>
        <w:rPr>
          <w:rFonts w:hint="eastAsia" w:ascii="宋体" w:hAnsi="宋体"/>
          <w:b/>
          <w:bCs/>
          <w:color w:val="auto"/>
          <w:sz w:val="36"/>
          <w:highlight w:val="none"/>
          <w:lang w:val="en-US" w:eastAsia="zh-CN"/>
        </w:rPr>
        <w:t>七</w:t>
      </w:r>
      <w:r>
        <w:rPr>
          <w:rFonts w:hint="eastAsia" w:ascii="宋体" w:hAnsi="宋体"/>
          <w:b/>
          <w:bCs/>
          <w:color w:val="auto"/>
          <w:sz w:val="36"/>
          <w:highlight w:val="none"/>
        </w:rPr>
        <w:t xml:space="preserve">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1、第一部分………………………………投标邀请</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2、第二部分………………………………前附表</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3、第三部分………………………………投标人须知</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4、第四部分………………………………项目内容及要求</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5、第五部分………………………………采购合同</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6、第六部分………………………………投标文件组成及格式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7、第七部分………………………………评标办法及评分标准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投标邀请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根据《中华人民共和国政府采购法》及有关办法，</w:t>
      </w:r>
      <w:r>
        <w:rPr>
          <w:rFonts w:hint="eastAsia" w:ascii="宋体" w:hAnsi="宋体" w:cs="宋体"/>
          <w:color w:val="auto"/>
          <w:highlight w:val="none"/>
          <w:lang w:eastAsia="zh-CN"/>
        </w:rPr>
        <w:t>宁波市北仑区（开发区）政务服务中心</w:t>
      </w:r>
      <w:r>
        <w:rPr>
          <w:rFonts w:hint="eastAsia" w:ascii="宋体" w:hAnsi="宋体" w:eastAsia="宋体" w:cs="宋体"/>
          <w:color w:val="auto"/>
          <w:highlight w:val="none"/>
        </w:rPr>
        <w:t>受</w:t>
      </w:r>
      <w:r>
        <w:rPr>
          <w:rFonts w:hint="eastAsia" w:ascii="宋体" w:hAnsi="宋体" w:cs="宋体"/>
          <w:color w:val="auto"/>
          <w:highlight w:val="none"/>
          <w:lang w:eastAsia="zh-CN"/>
        </w:rPr>
        <w:t>宁波市北仑区长江中学</w:t>
      </w:r>
      <w:r>
        <w:rPr>
          <w:rFonts w:hint="eastAsia" w:ascii="宋体" w:hAnsi="宋体" w:eastAsia="宋体" w:cs="宋体"/>
          <w:color w:val="auto"/>
          <w:highlight w:val="none"/>
        </w:rPr>
        <w:t>委托，就</w:t>
      </w:r>
      <w:bookmarkStart w:id="3" w:name="OLE_LINK1"/>
      <w:r>
        <w:rPr>
          <w:rFonts w:hint="eastAsia" w:ascii="宋体" w:hAnsi="宋体" w:cs="宋体"/>
          <w:color w:val="auto"/>
          <w:highlight w:val="none"/>
          <w:lang w:eastAsia="zh-CN"/>
        </w:rPr>
        <w:t>长江中学学生课桌椅</w:t>
      </w:r>
      <w:bookmarkEnd w:id="3"/>
      <w:r>
        <w:rPr>
          <w:rFonts w:hint="eastAsia" w:ascii="宋体" w:hAnsi="宋体" w:eastAsia="宋体" w:cs="宋体"/>
          <w:color w:val="auto"/>
          <w:highlight w:val="none"/>
        </w:rPr>
        <w:t>项目</w:t>
      </w:r>
      <w:r>
        <w:rPr>
          <w:rFonts w:hint="eastAsia" w:ascii="宋体" w:hAnsi="宋体" w:cs="宋体"/>
          <w:color w:val="auto"/>
          <w:highlight w:val="none"/>
          <w:lang w:val="en-US" w:eastAsia="zh-CN"/>
        </w:rPr>
        <w:t>以</w:t>
      </w:r>
      <w:r>
        <w:rPr>
          <w:rFonts w:hint="eastAsia" w:ascii="宋体" w:hAnsi="宋体" w:eastAsia="宋体" w:cs="宋体"/>
          <w:color w:val="auto"/>
          <w:highlight w:val="none"/>
        </w:rPr>
        <w:t>公开招标</w:t>
      </w:r>
      <w:r>
        <w:rPr>
          <w:rFonts w:hint="eastAsia" w:ascii="宋体" w:hAnsi="宋体" w:cs="宋体"/>
          <w:color w:val="auto"/>
          <w:highlight w:val="none"/>
          <w:lang w:val="en-US" w:eastAsia="zh-CN"/>
        </w:rPr>
        <w:t>的方式进行采购</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BLZFCG2025028</w:t>
      </w:r>
    </w:p>
    <w:p>
      <w:pPr>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r>
        <w:rPr>
          <w:rFonts w:hint="eastAsia" w:ascii="宋体" w:hAnsi="宋体" w:cs="宋体"/>
          <w:color w:val="auto"/>
          <w:highlight w:val="none"/>
          <w:lang w:eastAsia="zh-CN"/>
        </w:rPr>
        <w:t>长江中学学生课桌椅</w:t>
      </w:r>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采购方式：公开招标</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、预算金额：人民币</w:t>
      </w:r>
      <w:r>
        <w:rPr>
          <w:rFonts w:hint="eastAsia" w:ascii="宋体" w:hAnsi="宋体" w:cs="宋体"/>
          <w:color w:val="auto"/>
          <w:highlight w:val="none"/>
          <w:lang w:val="en-US" w:eastAsia="zh-CN"/>
        </w:rPr>
        <w:t>30</w:t>
      </w:r>
      <w:r>
        <w:rPr>
          <w:rFonts w:hint="eastAsia" w:ascii="宋体" w:hAnsi="宋体" w:eastAsia="宋体" w:cs="宋体"/>
          <w:color w:val="auto"/>
          <w:highlight w:val="none"/>
        </w:rPr>
        <w:t>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、最高限价：</w:t>
      </w:r>
      <w:r>
        <w:rPr>
          <w:rFonts w:hint="eastAsia" w:ascii="宋体" w:hAnsi="宋体" w:eastAsia="宋体" w:cs="宋体"/>
          <w:color w:val="auto"/>
          <w:highlight w:val="none"/>
          <w:lang w:val="en-US" w:eastAsia="zh-CN"/>
        </w:rPr>
        <w:t>人民币</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r>
        <w:rPr>
          <w:rFonts w:hint="eastAsia" w:ascii="宋体" w:hAnsi="宋体" w:cs="宋体"/>
          <w:color w:val="auto"/>
          <w:highlight w:val="none"/>
          <w:lang w:eastAsia="zh-CN"/>
        </w:rPr>
        <w:t>学生课桌椅 一批。</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、合同履行期限：</w:t>
      </w:r>
      <w:r>
        <w:rPr>
          <w:rFonts w:hint="eastAsia" w:ascii="宋体" w:hAnsi="宋体"/>
          <w:color w:val="auto"/>
          <w:highlight w:val="none"/>
        </w:rPr>
        <w:t>合同签订后</w:t>
      </w:r>
      <w:r>
        <w:rPr>
          <w:rFonts w:hint="eastAsia" w:ascii="宋体" w:hAnsi="宋体"/>
          <w:color w:val="auto"/>
          <w:highlight w:val="none"/>
          <w:lang w:val="en-US" w:eastAsia="zh-CN"/>
        </w:rPr>
        <w:t>1</w:t>
      </w:r>
      <w:r>
        <w:rPr>
          <w:rFonts w:hint="eastAsia" w:ascii="宋体" w:hAnsi="宋体"/>
          <w:color w:val="auto"/>
          <w:highlight w:val="none"/>
        </w:rPr>
        <w:t>个月内完成安装、调试并交付使用。</w:t>
      </w:r>
    </w:p>
    <w:p>
      <w:pPr>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8、本项目不接受</w:t>
      </w:r>
      <w:r>
        <w:rPr>
          <w:rFonts w:hint="eastAsia" w:ascii="宋体" w:hAnsi="宋体" w:eastAsia="宋体" w:cs="宋体"/>
          <w:color w:val="auto"/>
          <w:highlight w:val="none"/>
        </w:rPr>
        <w:t>联合体投标</w:t>
      </w:r>
      <w:r>
        <w:rPr>
          <w:rFonts w:hint="eastAsia" w:ascii="宋体" w:hAnsi="宋体" w:cs="宋体"/>
          <w:color w:val="auto"/>
          <w:highlight w:val="none"/>
          <w:lang w:val="en-US" w:eastAsia="zh-CN"/>
        </w:rPr>
        <w:t>。</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二、投标人的资格要求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2、落实政府采购政策需满足的资格要求：本项目为专门面向中小企业的采购项目，供应商须为中小微企业（或残疾人福利性单位或监狱企业）。</w:t>
      </w:r>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、本项目的特定资格要求：</w:t>
      </w:r>
      <w:r>
        <w:rPr>
          <w:rFonts w:hint="eastAsia" w:ascii="宋体" w:hAnsi="宋体" w:cs="宋体"/>
          <w:color w:val="auto"/>
          <w:highlight w:val="none"/>
          <w:lang w:val="en-US" w:eastAsia="zh-CN"/>
        </w:rPr>
        <w:t xml:space="preserve">无 </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三、招标文件获取时间及方式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1、时间：即日起至投标截止时间前。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2、地点：</w:t>
      </w:r>
      <w:bookmarkStart w:id="4" w:name="OLE_LINK7"/>
      <w:r>
        <w:rPr>
          <w:rFonts w:hint="eastAsia" w:ascii="宋体" w:hAnsi="宋体" w:eastAsia="宋体" w:cs="宋体"/>
          <w:color w:val="auto"/>
          <w:highlight w:val="none"/>
        </w:rPr>
        <w:t>政府采购云平台（www.zcygov.cn）</w:t>
      </w:r>
      <w:bookmarkEnd w:id="4"/>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3、方式：</w:t>
      </w:r>
      <w:bookmarkStart w:id="5" w:name="OLE_LINK8"/>
      <w:r>
        <w:rPr>
          <w:rFonts w:hint="eastAsia" w:ascii="宋体" w:hAnsi="宋体" w:eastAsia="宋体" w:cs="宋体"/>
          <w:color w:val="auto"/>
          <w:highlight w:val="none"/>
        </w:rPr>
        <w:t>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lang w:eastAsia="zh-CN"/>
        </w:rPr>
        <w:t>。</w:t>
      </w:r>
      <w:bookmarkEnd w:id="5"/>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四、提交投标文件截止时间、开标时间和地点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1、提交（上传）投标文件截止时间和开标时间：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cs="宋体"/>
          <w:color w:val="auto"/>
          <w:highlight w:val="none"/>
          <w:lang w:val="en-US" w:eastAsia="zh-CN"/>
        </w:rPr>
        <w:t>1</w:t>
      </w:r>
      <w:r>
        <w:rPr>
          <w:rFonts w:hint="eastAsia" w:ascii="宋体" w:hAnsi="宋体" w:eastAsia="宋体" w:cs="宋体"/>
          <w:color w:val="auto"/>
          <w:highlight w:val="none"/>
        </w:rPr>
        <w:t>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电子投标文件上传地点和开标网址：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备份电子投标文件提交地点和</w:t>
      </w: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交易厅（具体场所安排详见电子指示屏幕）。</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五、投标注意事项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1、参加投标的供应商有义务在采购活动期间浏览宁波政府采购网（</w:t>
      </w:r>
      <w:r>
        <w:rPr>
          <w:rFonts w:hint="eastAsia" w:ascii="宋体" w:hAnsi="宋体" w:cs="宋体"/>
          <w:color w:val="auto"/>
          <w:highlight w:val="none"/>
          <w:lang w:eastAsia="zh-CN"/>
        </w:rPr>
        <w:t>zfcg.czj.ningbo.gov.cn</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宁波市政务服务中心网（</w:t>
      </w:r>
      <w:r>
        <w:rPr>
          <w:rFonts w:hint="eastAsia" w:ascii="宋体" w:hAnsi="宋体" w:cs="宋体"/>
          <w:color w:val="auto"/>
          <w:highlight w:val="none"/>
          <w:lang w:eastAsia="zh-CN"/>
        </w:rPr>
        <w:t>jyxt.zwb.ningbo.gov.cn:4011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，采购人（采购代理机构）在以上两个网站发布的与本次招标项目有关的信息视为已送达各供应商，不再采用其它方式传达相关信息。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2、本项目采用网上投标，不接受纸质投标文件，请投标供应商按照招标文件和政府采购云平台的要求编制、加密上传电子投标文件。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上传电子投标文件后，还可以自行确定是否提交备份电子投标文件，如确定提交备份文件的，投标人应在投标截止时间前，将在“政采云投标客户端”上编制生成的后缀名为.bfbs的备份投标文件，以U盘为载体装袋密封后送达至开标地点，密封袋上需注明项目名称、项目编号、投标人名称并加盖公章。供应商仅提交备份电子投标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人应登录政采云平台，通过CA数字证书完成对电子投标文件的解密（开评标期间，投标供应商应关注政采云平台上的指令信息和手机短信并及时处理）。若投标人在规定时间内无法解密或解密失败，此时启用备份电子投标文件（如有），若备份投标文件仍无法使用，则视为无效投标。供应商制作电子投标文件和解密投标文件时必须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5、投标供应商应在投标截止时间前将样品送达指定地点并完成摆放，本项目投标人可以不派代表到现场参加开标会议，只需准时在线参加即可。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文件，供应商在使用系统进行投标的过程中遇到涉及平台使用的任何问题（包括不限于供应商注册、采购文件获取、CA数字证书办理、政采云投标客户端安装、投标响应文件制作加密上传等），可登录政府采购云平台网站（www.zcygov.cn）“服务中心”版块查阅相关的帮助文档和教学视频，也可致电政采云平台技术支持热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宁波市北仑区长江中学</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w:t>
      </w:r>
      <w:bookmarkStart w:id="6" w:name="OLE_LINK10"/>
      <w:r>
        <w:rPr>
          <w:rFonts w:hint="eastAsia" w:ascii="宋体" w:hAnsi="宋体" w:eastAsia="宋体" w:cs="宋体"/>
          <w:color w:val="auto"/>
          <w:highlight w:val="none"/>
        </w:rPr>
        <w:t>宁波市北仑区新碶街道明州路775号</w:t>
      </w:r>
      <w:bookmarkEnd w:id="6"/>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联系人：张迪    电话：19329145112</w:t>
      </w:r>
      <w:bookmarkStart w:id="13" w:name="_GoBack"/>
      <w:bookmarkEnd w:id="13"/>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2、采购代理机构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宁波市北仑区（开发区）政务服务中心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朱嫣蓉</w:t>
      </w:r>
      <w:r>
        <w:rPr>
          <w:rFonts w:hint="eastAsia" w:ascii="宋体" w:hAnsi="宋体" w:eastAsia="宋体" w:cs="宋体"/>
          <w:color w:val="auto"/>
          <w:highlight w:val="none"/>
        </w:rPr>
        <w:t xml:space="preserve">    电话：0574-89383947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长江中学学生课桌椅</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BLZFCG2025028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宁波市北仑区长江中学</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联系人：张迪     电话：0574-55223899</w:t>
            </w:r>
          </w:p>
          <w:p>
            <w:pPr>
              <w:rPr>
                <w:rFonts w:hint="eastAsia" w:ascii="宋体" w:hAnsi="宋体" w:eastAsia="宋体" w:cs="宋体"/>
                <w:color w:val="auto"/>
                <w:highlight w:val="none"/>
              </w:rPr>
            </w:pPr>
            <w:r>
              <w:rPr>
                <w:rFonts w:hint="eastAsia" w:ascii="宋体" w:hAnsi="宋体" w:eastAsia="宋体" w:cs="宋体"/>
                <w:color w:val="auto"/>
                <w:highlight w:val="none"/>
              </w:rPr>
              <w:t>地址：宁波市北仑区新碶街道明州路775号</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采购代理机构：</w:t>
            </w:r>
            <w:r>
              <w:rPr>
                <w:rFonts w:hint="eastAsia" w:ascii="宋体" w:hAnsi="宋体" w:cs="宋体"/>
                <w:color w:val="auto"/>
                <w:highlight w:val="none"/>
                <w:lang w:eastAsia="zh-CN"/>
              </w:rPr>
              <w:t>宁波市北仑区（开发区）政务服务中心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朱嫣蓉</w:t>
            </w:r>
            <w:r>
              <w:rPr>
                <w:rFonts w:hint="eastAsia" w:ascii="宋体" w:hAnsi="宋体" w:eastAsia="宋体" w:cs="宋体"/>
                <w:color w:val="auto"/>
                <w:highlight w:val="none"/>
              </w:rPr>
              <w:t xml:space="preserve">     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地址：北仑区四明山路773号行政大楼B座315室</w:t>
            </w:r>
          </w:p>
          <w:p>
            <w:pPr>
              <w:rPr>
                <w:rFonts w:hint="eastAsia" w:ascii="宋体" w:hAnsi="宋体" w:eastAsia="宋体" w:cs="宋体"/>
                <w:color w:val="auto"/>
                <w:highlight w:val="none"/>
              </w:rPr>
            </w:pPr>
            <w:r>
              <w:rPr>
                <w:rFonts w:hint="eastAsia" w:ascii="宋体" w:hAnsi="宋体" w:eastAsia="宋体" w:cs="宋体"/>
                <w:color w:val="auto"/>
                <w:highlight w:val="none"/>
              </w:rPr>
              <w:t>邮编：315800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采购预算（最高限价）：人民币</w:t>
            </w:r>
            <w:r>
              <w:rPr>
                <w:rFonts w:hint="eastAsia" w:ascii="宋体" w:hAnsi="宋体" w:cs="宋体"/>
                <w:color w:val="auto"/>
                <w:highlight w:val="none"/>
                <w:lang w:val="en-US" w:eastAsia="zh-CN"/>
              </w:rPr>
              <w:t>30</w:t>
            </w:r>
            <w:r>
              <w:rPr>
                <w:rFonts w:hint="eastAsia" w:ascii="宋体" w:hAnsi="宋体" w:eastAsia="宋体" w:cs="宋体"/>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是否接受进口产品投标：不接受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是否为专门面向</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小企业的采购项目：</w:t>
            </w:r>
            <w:r>
              <w:rPr>
                <w:rFonts w:hint="eastAsia" w:ascii="宋体" w:hAnsi="宋体" w:cs="宋体"/>
                <w:color w:val="auto"/>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9</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cs="宋体"/>
                <w:color w:val="auto"/>
                <w:highlight w:val="none"/>
                <w:lang w:val="en-US" w:eastAsia="zh-CN"/>
              </w:rPr>
              <w:t>项目</w:t>
            </w:r>
            <w:r>
              <w:rPr>
                <w:rFonts w:hint="eastAsia" w:ascii="宋体" w:hAnsi="宋体" w:eastAsia="宋体" w:cs="宋体"/>
                <w:color w:val="auto"/>
                <w:highlight w:val="none"/>
              </w:rPr>
              <w:t>采购</w:t>
            </w:r>
            <w:r>
              <w:rPr>
                <w:rFonts w:hint="eastAsia" w:ascii="宋体" w:hAnsi="宋体" w:cs="宋体"/>
                <w:color w:val="auto"/>
                <w:highlight w:val="none"/>
                <w:lang w:val="en-US" w:eastAsia="zh-CN"/>
              </w:rPr>
              <w:t>货物</w:t>
            </w:r>
            <w:r>
              <w:rPr>
                <w:rFonts w:hint="eastAsia" w:ascii="宋体" w:hAnsi="宋体" w:eastAsia="宋体" w:cs="宋体"/>
                <w:color w:val="auto"/>
                <w:highlight w:val="none"/>
              </w:rPr>
              <w:t>对应的中小企业划分标准所属行业：工业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10</w:t>
            </w:r>
          </w:p>
        </w:tc>
        <w:tc>
          <w:tcPr>
            <w:tcW w:w="8225" w:type="dxa"/>
            <w:tcMar>
              <w:top w:w="113" w:type="dxa"/>
              <w:bottom w:w="113" w:type="dxa"/>
            </w:tcMar>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是否允许投标人将项目非主体、非关键性工作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交由他人完成：</w:t>
            </w:r>
            <w:r>
              <w:rPr>
                <w:rFonts w:hint="eastAsia" w:ascii="宋体" w:hAnsi="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采购人不集中组织，</w:t>
            </w:r>
            <w:r>
              <w:rPr>
                <w:rFonts w:hint="eastAsia" w:ascii="宋体" w:hAnsi="宋体" w:eastAsia="宋体" w:cs="宋体"/>
                <w:color w:val="auto"/>
                <w:highlight w:val="none"/>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提交（上传）投标文件截止时间</w:t>
            </w:r>
            <w:r>
              <w:rPr>
                <w:rFonts w:hint="eastAsia" w:ascii="宋体" w:hAnsi="宋体" w:eastAsia="宋体" w:cs="宋体"/>
                <w:color w:val="auto"/>
                <w:highlight w:val="none"/>
                <w:lang w:val="en-US" w:eastAsia="zh-CN"/>
              </w:rPr>
              <w:t>和开标时间</w:t>
            </w:r>
            <w:r>
              <w:rPr>
                <w:rFonts w:hint="eastAsia" w:ascii="宋体" w:hAnsi="宋体" w:eastAsia="宋体" w:cs="宋体"/>
                <w:color w:val="auto"/>
                <w:highlight w:val="none"/>
              </w:rPr>
              <w:t>：</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日09时30分</w:t>
            </w:r>
          </w:p>
          <w:p>
            <w:pPr>
              <w:rPr>
                <w:rFonts w:hint="eastAsia" w:ascii="宋体" w:hAnsi="宋体" w:eastAsia="宋体" w:cs="宋体"/>
                <w:color w:val="auto"/>
                <w:highlight w:val="none"/>
              </w:rPr>
            </w:pP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w:t>
            </w:r>
            <w:r>
              <w:rPr>
                <w:rFonts w:hint="eastAsia" w:ascii="宋体" w:hAnsi="宋体" w:eastAsia="宋体" w:cs="宋体"/>
                <w:color w:val="auto"/>
                <w:highlight w:val="none"/>
              </w:rPr>
              <w:t>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本项目采用网上投标，不接受纸质投标文件，投标供应商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按照招标文件和政府采购云平台的要求编制、加密上传电子投标文件。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注：投标人可自行决定是否提交备份电子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投标人名称并加盖</w:t>
            </w:r>
            <w:r>
              <w:rPr>
                <w:rFonts w:hint="eastAsia" w:ascii="宋体" w:hAnsi="宋体" w:eastAsia="宋体" w:cs="宋体"/>
                <w:b w:val="0"/>
                <w:bCs w:val="0"/>
                <w:color w:val="auto"/>
                <w:highlight w:val="none"/>
                <w:lang w:val="en-US" w:eastAsia="zh-CN"/>
              </w:rPr>
              <w:t>投标人</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w:t>
            </w:r>
            <w:r>
              <w:rPr>
                <w:rFonts w:hint="eastAsia" w:ascii="宋体" w:hAnsi="宋体" w:cs="宋体"/>
                <w:color w:val="auto"/>
                <w:highlight w:val="none"/>
                <w:lang w:val="en-US" w:eastAsia="zh-CN"/>
              </w:rPr>
              <w:t>需要缴纳</w:t>
            </w:r>
            <w:r>
              <w:rPr>
                <w:rFonts w:hint="eastAsia" w:ascii="宋体" w:hAnsi="宋体" w:eastAsia="宋体" w:cs="宋体"/>
                <w:color w:val="auto"/>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6</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履约保证金：本项目不收取履约保证金。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p>
        </w:tc>
        <w:tc>
          <w:tcPr>
            <w:tcW w:w="8225" w:type="dxa"/>
            <w:tcMar>
              <w:top w:w="113" w:type="dxa"/>
              <w:bottom w:w="113" w:type="dxa"/>
            </w:tcMar>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扫描件说明：对于招标文件中提及的彩色扫描件要求，包括彩色照片件。扫描件的内容应当保证清晰可辨，否则由此产生的风险由投标人承担。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19</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参与同一个标项投标的供应商存在下列情形之一且无法合理解释的，其投标（响应）文件无效。</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①不同投标供应商的电子投标（响应）文件上传计算机的IP地址或网卡MAC地址或硬盘序列号等硬件信息相同的；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②上传的电子投标（响应）文件出现使用本项目其他投标（响应）供应商的数字证书加密，或加盖本项目其他投标（响应）供应商的电子印章的；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③不同投标供应商的投标（响应）文件内容存在 3 处（含）以上错误一致的；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④不同投标供应商联系人为同一人或不同联系人的联系电话一致的。</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投标人须知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1.1本招标文件适用于采购公告中所述项目的招标、投标、评标、定标、合同</w:t>
      </w:r>
      <w:r>
        <w:rPr>
          <w:rFonts w:hint="eastAsia" w:ascii="宋体" w:hAnsi="宋体" w:eastAsia="宋体" w:cs="宋体"/>
          <w:color w:val="auto"/>
          <w:sz w:val="21"/>
          <w:szCs w:val="21"/>
          <w:highlight w:val="none"/>
          <w:lang w:val="en-US" w:eastAsia="zh-CN"/>
        </w:rPr>
        <w:t>签订及</w:t>
      </w:r>
      <w:r>
        <w:rPr>
          <w:rFonts w:hint="eastAsia" w:ascii="宋体" w:hAnsi="宋体" w:eastAsia="宋体" w:cs="宋体"/>
          <w:color w:val="auto"/>
          <w:sz w:val="21"/>
          <w:szCs w:val="21"/>
          <w:highlight w:val="none"/>
        </w:rPr>
        <w:t>履约、验收、付款等行为（法律、法规另有规定的，从其规定）。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2.1“采购人”/“招标人”/“买方”系指前附表所指的采购人。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机构” 系指前附表所指的组织本次政府采购的采购代理机构。</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“投标人”/“供应商”/“响应方”/“</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方”/“卖方”系指</w:t>
      </w:r>
      <w:r>
        <w:rPr>
          <w:rFonts w:hint="eastAsia" w:ascii="宋体" w:hAnsi="宋体" w:eastAsia="宋体" w:cs="宋体"/>
          <w:color w:val="auto"/>
          <w:highlight w:val="none"/>
        </w:rPr>
        <w:t>符合本招标文件规定并参加投标的</w:t>
      </w:r>
      <w:r>
        <w:rPr>
          <w:rFonts w:hint="eastAsia" w:ascii="宋体" w:hAnsi="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“货物”指依据本招标文件中所述采购需求，投标人须向采购人提供的一切材料、设备、备品备件、工具、手册及其它有关技术资料和材料，以及实现货物功能价值所必须的配套技术和服务。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“服务”指依据本招标文件中所述采购需求，投标人应该履行的承诺和义务。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2.6“法定代表人”本项目所指的法定代表人包含符合采购要求依法成立的个体工商户、民办非企业单位、个人独资企业、合伙企业、分支机构的负责人。</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关于</w:t>
      </w:r>
      <w:r>
        <w:rPr>
          <w:rFonts w:hint="eastAsia" w:ascii="宋体" w:hAnsi="宋体" w:cs="宋体"/>
          <w:b/>
          <w:bCs/>
          <w:color w:val="auto"/>
          <w:sz w:val="21"/>
          <w:szCs w:val="21"/>
          <w:highlight w:val="none"/>
          <w:lang w:val="en-US" w:eastAsia="zh-CN"/>
        </w:rPr>
        <w:t>分支机构</w:t>
      </w:r>
      <w:r>
        <w:rPr>
          <w:rFonts w:hint="eastAsia" w:ascii="宋体" w:hAnsi="宋体" w:eastAsia="宋体" w:cs="宋体"/>
          <w:b/>
          <w:bCs/>
          <w:color w:val="auto"/>
          <w:sz w:val="21"/>
          <w:szCs w:val="21"/>
          <w:highlight w:val="none"/>
        </w:rPr>
        <w:t>投标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除银行、保险、电信等特定行业的分支机构可直接参加许可证范围内项目的投标外，分支机构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投标费用</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.2无论投标过程中的做法和结果如何，投标人自行承担所有与参加投标有关的全部费用。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参加投标的供应商有义务在采购活动期间浏览</w:t>
      </w:r>
      <w:r>
        <w:rPr>
          <w:rFonts w:hint="eastAsia" w:ascii="宋体" w:hAnsi="宋体" w:eastAsia="宋体" w:cs="宋体"/>
          <w:color w:val="auto"/>
          <w:highlight w:val="none"/>
        </w:rPr>
        <w:t>宁波政府采购网（</w:t>
      </w:r>
      <w:r>
        <w:rPr>
          <w:rFonts w:hint="eastAsia" w:ascii="宋体" w:hAnsi="宋体" w:cs="宋体"/>
          <w:color w:val="auto"/>
          <w:highlight w:val="none"/>
          <w:lang w:eastAsia="zh-CN"/>
        </w:rPr>
        <w:t>zfcg.czj.ningbo.gov.cn</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宁波市政务服务中心网（</w:t>
      </w:r>
      <w:r>
        <w:rPr>
          <w:rFonts w:hint="eastAsia" w:ascii="宋体" w:hAnsi="宋体" w:cs="宋体"/>
          <w:color w:val="auto"/>
          <w:highlight w:val="none"/>
          <w:lang w:eastAsia="zh-CN"/>
        </w:rPr>
        <w:t>jyxt.zwb.ningbo.gov.cn:4011</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，采购人（采购代理机构）在以上两个网站发布的与本次招标项目有关的信息视为已送达各供应商，不再采用其它方式传达相关信息。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B、招标文件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招标文件的构成</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.1招标文件由本文件目录所列内容组成。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.1任何要求对招标文件进行澄清的潜在投标人，应在投标截止时间前以书面方式（包括信函、传真、电子文档等形式）通知采购人或采购代理机构。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.2采购人或采购代理机构可主动地或依据投标人要求澄清的问题而修改招标文件，并以更正公告的方式在原公告发布网站通知所有获取招标文件的投标人。</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.3招标文件的修改内容将作为招标文件的一部分，对投标人有约束力。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C、投标文件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1投标人应仔细阅读招标文件的所有内容，按招标文件要求格式认真细致地编制投标文件，以使其投标对招标文件作出实质性响应。未按要求提交全部资料或者投标文件没有对招标文件的要求做出实质性响应的，投标将被作为无效投标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.2投标人投标文件所提供的全部材料必须真实可靠，所述内容真实有效，不得弄虚作假。若投标文件填报的内容数据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虚假材料的，其投标文件为无效投标文件，并按相关规定处理，由此引起的一切后果及法律责任由投标人承担。</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.1投标文件以及投标人与采购代理机构就有关投标的所有来往函电均应使用中文简体字。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.2除在招标文件技术规格中另有规定外，计量单位使用中华人民共和国法定计量单位。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用以证明投标人是否具备本项目的投标资格。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.2.2投标人应按招标文件要求的内容和格式提供资格证明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.2.4资格证明文件中</w:t>
      </w:r>
      <w:r>
        <w:rPr>
          <w:rFonts w:hint="eastAsia" w:ascii="宋体" w:hAnsi="宋体" w:eastAsia="宋体" w:cs="宋体"/>
          <w:color w:val="auto"/>
          <w:sz w:val="21"/>
          <w:szCs w:val="21"/>
          <w:highlight w:val="none"/>
          <w:lang w:eastAsia="zh-CN"/>
        </w:rPr>
        <w:t>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.3.1技术商务文件用于判断投标人提供的货物、服务是否满足招标需求，还用于包括不限于对投标人供货能力、实施能力、履约能力、项目经验等方面的评价。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.3.2投标人应按招标文件要求的内容和格式提供技术商务文件，具体详见本招标文件第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.3.3技术商务文件中不得出现本项目的投标总价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val="en-US" w:eastAsia="zh-CN"/>
        </w:rPr>
        <w:t>，否则投标无效。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.4.1报价文件用于评价投标人的投标报价是否响应招标要求，是否符合相关的政府采购政策等。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.4.2投标人应按招标文件要求的内容和格式提供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1投标文件分为电子投标文件和备份电子投标文件。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.2投标人应</w:t>
      </w:r>
      <w:r>
        <w:rPr>
          <w:rFonts w:hint="eastAsia" w:ascii="宋体" w:hAnsi="宋体" w:eastAsia="宋体" w:cs="宋体"/>
          <w:color w:val="auto"/>
          <w:highlight w:val="none"/>
        </w:rPr>
        <w:t>按照招标文件和政府采购云平台的要求编制、加密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.3投标文件</w:t>
      </w:r>
      <w:r>
        <w:rPr>
          <w:rFonts w:hint="eastAsia" w:ascii="宋体" w:hAnsi="宋体" w:eastAsia="宋体" w:cs="宋体"/>
          <w:color w:val="auto"/>
          <w:highlight w:val="none"/>
          <w:lang w:val="en-US" w:eastAsia="zh-CN"/>
        </w:rPr>
        <w:t>应根据招标要求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而导致失分或无效投标处理的风险由投标人承担。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.4投标人</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是否提交备份电子投标文件，以便在上传的电子投标文件解密失败后启用备份投标文件。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仅提交备份电子投标文件的，投标响应无效。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.1组成投标文件的各项资料均应遵守本条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.2投标人名称应填写全称，不能随意简称，要求加盖公章的应加盖公章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.3招标文件中规定的全权代表签名应由全权代表亲自签署，法定代表人可以签名或盖章。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.4投标人选择提供</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项目名称、项目编号、投标人名称并加盖公章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.1投标报价是履行合同的最终价格，包含购买货物及服务需交纳的所有税费及其他一切相关费用，具体详见本招标文件第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部分项目内容及要求。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.2投标人少报或漏报的工作量，采购人将视为已包含在投标总价中，并不予调整。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.3所有投标均以人民币报价。投标人如需用外汇购入的设备，须折合人民币计入总报价中，总报价不受汇率变动影响。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.4采购人不接受任何有选择的报价。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rPr>
        <w:t>.5超出采购人最高限价的投标为无效投标。</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.1本项目投标有效期见本招标文件前附表。投标文件应在投标有效期内保持有效，有效期短于这个规定期限的投标，将视为无效。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.2特殊情况下，在原投标有效期期满之前，采购代理机构可征得投标人同意延长投标有效期，这种要求和答复都应以书面形式进行。投标人可以拒绝接受延期要求。同意延长有效期的投标人不能修改其投标文件。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.2投标报价应包括所有应支付的对专利权和版权、设计或其他知识产权而需要向其他方支付的版税等费用。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D、投标文件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投标截止时间和投标地点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投标截止时间和投标地点见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采购代理机构推迟投标截止时间或更改投标地点，将以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公告的方式通知所有投标人。在这种情况下，采购人和投标人的权利和义务将受到新的截止时间和新的投标地点的约束。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上传至政采云平台，逾期上传的投标无效。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.2选择提交备份电子投标文件的投标人应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备份电子投标文件送达至开标现场，</w:t>
      </w:r>
      <w:r>
        <w:rPr>
          <w:rFonts w:hint="eastAsia" w:ascii="宋体" w:hAnsi="宋体" w:eastAsia="宋体" w:cs="宋体"/>
          <w:color w:val="auto"/>
          <w:highlight w:val="none"/>
        </w:rPr>
        <w:t>采购代理机构按要求进行签收登记。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备份电子投标文件</w:t>
      </w:r>
      <w:r>
        <w:rPr>
          <w:rFonts w:hint="eastAsia" w:ascii="宋体" w:hAnsi="宋体" w:eastAsia="宋体" w:cs="宋体"/>
          <w:color w:val="auto"/>
          <w:sz w:val="21"/>
          <w:szCs w:val="21"/>
          <w:highlight w:val="none"/>
        </w:rPr>
        <w:t>采购代理机构拒绝接收。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投标截止时间前，投标人可以对</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补充或者修改投标文件的，应先撤回原</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的投标文件加密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。投标截止时间前未完成上传的，视为投标文件撤回。不接受其他途径的补充和修改。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投标截止时间前，投标人可以撤回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开标后，投标人不得撤回投标，否则报采购监督部门处理。</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E、开标和评标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开标</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highlight w:val="none"/>
        </w:rPr>
        <w:t>采购代理机构按招标文件规定的时间、地点进行开标。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投标供应商法定代表人或其授权代表</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.3投标</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可以根据项目特点确定是否派代表</w:t>
      </w:r>
      <w:r>
        <w:rPr>
          <w:rFonts w:hint="eastAsia" w:ascii="宋体" w:hAnsi="宋体" w:eastAsia="宋体" w:cs="宋体"/>
          <w:b w:val="0"/>
          <w:bCs w:val="0"/>
          <w:color w:val="auto"/>
          <w:sz w:val="21"/>
          <w:szCs w:val="21"/>
          <w:highlight w:val="none"/>
        </w:rPr>
        <w:t>出席现场开标会议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参加现场会议的供应商代表应遵守会场纪律。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.4开标会议由采购代理机构主持，并按以下程序进行：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（1）主持人宣布开标会议开始及会场纪律，介绍到会人员。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（2）采购代理机构发出解密指令，投标供应商对加密电子投标文件进行在线解密。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（3）投标文件解密结束，开启投标文件，对“资格证明文件”进行审查。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（4）资格审查通过后，进行“技术商务文件”评审。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（5）公布技术商务评审情况，开启“报价文件”</w:t>
      </w:r>
      <w:r>
        <w:rPr>
          <w:rFonts w:hint="eastAsia" w:ascii="宋体" w:hAnsi="宋体" w:eastAsia="宋体" w:cs="宋体"/>
          <w:strike w:val="0"/>
          <w:dstrike w:val="0"/>
          <w:color w:val="auto"/>
          <w:highlight w:val="none"/>
          <w:lang w:val="en-US" w:eastAsia="zh-CN"/>
        </w:rPr>
        <w:t>，投标人对投标报价进行在线确认</w:t>
      </w:r>
      <w:r>
        <w:rPr>
          <w:rFonts w:hint="eastAsia" w:ascii="宋体" w:hAnsi="宋体" w:eastAsia="宋体" w:cs="宋体"/>
          <w:strike w:val="0"/>
          <w:color w:val="auto"/>
          <w:highlight w:val="none"/>
          <w:lang w:val="en-US" w:eastAsia="zh-CN"/>
        </w:rPr>
        <w:t>。投标人对报价信息不予确认的不影响后续评标过程。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（6）对“报价文件”进行评审，计算价格分。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（7）汇总技术商务分、价格分，根据总得分排序推荐确定中标候选人，公布评审结果。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开评标期间，投标供应商应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产生的风险由投标人自行承担。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、投标文件解密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.1采购代理机构宣布开标后，将通过政采云平台发出解密指令，投标人登录政采云平台并使用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对加密的电子投标文件进行在线解密。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.2解密电子投标文件的时间为解密指令发出后30分钟内。解密成功的，备份电子投标文件自动失效。若在规定时间内无法解密或解密失败，此时启用</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，若备份投标文件仍无法使用，则视为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电子投标文件在解密前处于保密状态。解密成功后，“资格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文件”、“技术商务文件”、“报价文件”各自处于数据隔离状态，</w:t>
      </w:r>
      <w:r>
        <w:rPr>
          <w:rFonts w:hint="eastAsia" w:ascii="宋体" w:hAnsi="宋体" w:cs="宋体"/>
          <w:color w:val="auto"/>
          <w:highlight w:val="none"/>
          <w:lang w:val="en-US" w:eastAsia="zh-CN"/>
        </w:rPr>
        <w:t>文件的内容</w:t>
      </w:r>
      <w:r>
        <w:rPr>
          <w:rFonts w:hint="eastAsia" w:ascii="宋体" w:hAnsi="宋体" w:eastAsia="宋体" w:cs="宋体"/>
          <w:color w:val="auto"/>
          <w:highlight w:val="none"/>
        </w:rPr>
        <w:t>只有</w:t>
      </w:r>
      <w:r>
        <w:rPr>
          <w:rFonts w:hint="eastAsia" w:ascii="宋体" w:hAnsi="宋体" w:cs="宋体"/>
          <w:color w:val="auto"/>
          <w:highlight w:val="none"/>
          <w:lang w:val="en-US" w:eastAsia="zh-CN"/>
        </w:rPr>
        <w:t>进行到相应的评审</w:t>
      </w:r>
      <w:r>
        <w:rPr>
          <w:rFonts w:hint="eastAsia" w:ascii="宋体" w:hAnsi="宋体" w:eastAsia="宋体" w:cs="宋体"/>
          <w:color w:val="auto"/>
          <w:highlight w:val="none"/>
        </w:rPr>
        <w:t>环节时可见。</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、评标委员会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.1采购人和采购代理机构根据采购项目的内容特点按照规定组建评标委员会。</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、对投标文件的评审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开标后，采购人或者采购代理机构对投标人的资格进行审查。审查内容为投标人提供的资格证明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是否齐全并满足招标文件的要求。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评标委员会对符合资格的投标人的投标文件进行符合性审查，以确定其是否满足招标文件的实质性要求。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评标委员会对具备实质性响应的投标文件进行评估和比较。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评标委员会对投标文件的判定，只依据投标文件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包括样品、演示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的本身内容，不依据开标后的任何外来证明材料。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评标办法及评分标准见本招标文件第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部分评标办法及评分标准。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、投标文件的澄清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评审期间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指派技术（商务）人员及法定代表人（或全权代表）</w:t>
      </w:r>
      <w:r>
        <w:rPr>
          <w:rFonts w:hint="eastAsia" w:ascii="宋体" w:hAnsi="宋体" w:eastAsia="宋体" w:cs="宋体"/>
          <w:color w:val="auto"/>
          <w:highlight w:val="none"/>
          <w:lang w:val="en-US" w:eastAsia="zh-CN"/>
        </w:rPr>
        <w:t>在规定的时间内</w:t>
      </w:r>
      <w:r>
        <w:rPr>
          <w:rFonts w:hint="eastAsia" w:ascii="宋体" w:hAnsi="宋体" w:eastAsia="宋体" w:cs="宋体"/>
          <w:color w:val="auto"/>
          <w:highlight w:val="none"/>
        </w:rPr>
        <w:t>进行澄清</w:t>
      </w:r>
      <w:r>
        <w:rPr>
          <w:rFonts w:hint="eastAsia" w:ascii="宋体" w:hAnsi="宋体" w:eastAsia="宋体" w:cs="宋体"/>
          <w:color w:val="auto"/>
          <w:highlight w:val="none"/>
          <w:lang w:val="en-US" w:eastAsia="zh-CN"/>
        </w:rPr>
        <w:t>和说明</w:t>
      </w:r>
      <w:r>
        <w:rPr>
          <w:rFonts w:hint="eastAsia" w:ascii="宋体" w:hAnsi="宋体" w:eastAsia="宋体" w:cs="宋体"/>
          <w:color w:val="auto"/>
          <w:highlight w:val="none"/>
        </w:rPr>
        <w:t>，否则</w:t>
      </w:r>
      <w:r>
        <w:rPr>
          <w:rFonts w:hint="eastAsia" w:ascii="宋体" w:hAnsi="宋体" w:eastAsia="宋体" w:cs="宋体"/>
          <w:color w:val="auto"/>
          <w:szCs w:val="20"/>
          <w:highlight w:val="none"/>
        </w:rPr>
        <w:t>将被视作自动放弃</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由此造成的后果由投标人自行承担</w:t>
      </w:r>
      <w:r>
        <w:rPr>
          <w:rFonts w:hint="eastAsia" w:ascii="宋体" w:hAnsi="宋体" w:eastAsia="宋体" w:cs="宋体"/>
          <w:color w:val="auto"/>
          <w:szCs w:val="20"/>
          <w:highlight w:val="none"/>
        </w:rPr>
        <w:t>。</w:t>
      </w:r>
    </w:p>
    <w:p>
      <w:pPr>
        <w:spacing w:line="360" w:lineRule="auto"/>
        <w:rPr>
          <w:rFonts w:hint="eastAsia" w:ascii="宋体" w:hAnsi="宋体" w:eastAsia="宋体" w:cs="宋体"/>
          <w:color w:val="auto"/>
          <w:szCs w:val="20"/>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.3对投标文件的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eastAsia="宋体" w:cs="宋体"/>
          <w:color w:val="auto"/>
          <w:highlight w:val="none"/>
        </w:rPr>
        <w:t>投标人的澄清、说明或补正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该澄清、说明或者补正将作为投标文件的一部分。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投标人的澄清、说明或者补正不得超出投标文件的范围或者改变投标文件的实质性内容。不接受投标人提出的主动澄清。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、废标情形</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.1投标人不足3家未能开标的</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.2经资格审查，合格投标人不足3家未能评标的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.3在评标过程中，评标委员会发现有下列情形之一的，应对采购项目予以废标：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（1）有效投标人不足3家的；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.4废标后，采购代理机构</w:t>
      </w:r>
      <w:r>
        <w:rPr>
          <w:rFonts w:hint="eastAsia" w:ascii="宋体" w:hAnsi="宋体" w:eastAsia="宋体" w:cs="宋体"/>
          <w:color w:val="auto"/>
          <w:highlight w:val="none"/>
          <w:lang w:val="en-US" w:eastAsia="zh-CN"/>
        </w:rPr>
        <w:t>通过公告的形式将</w:t>
      </w:r>
      <w:r>
        <w:rPr>
          <w:rFonts w:hint="eastAsia" w:ascii="宋体" w:hAnsi="宋体" w:eastAsia="宋体" w:cs="宋体"/>
          <w:color w:val="auto"/>
          <w:highlight w:val="none"/>
        </w:rPr>
        <w:t>废标结果通知所有投标人。</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.1本项目评标过程实行全程录音、录像监控，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rPr>
        <w:t>评标过程中所进行的试图影响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采购过程中出现以下情形，导致电子交易平台无法正常运行，或者无法保证电子交易的公平、公正和安全时，采购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出现上述情形的，采购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F、授予合同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.1采购人将依法把合同授予最佳投标者，具体方法见本招标文件第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.1中标人确定之日起后2个工作日内，采购代理机构将在指定的政府采购信息发布媒体上公告中标结果，同时向中标人发出中标通知书。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.2中标通知书对采购人和中标供应商具有同等法律效力。中标通知书发出以后，采购人改变中标结果或者中标供应商放弃中标，应当承担相应的法律责任，出现争议的，报财政部门处理。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中标通知书是合同的组成部分。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.1中标人在收到中标通知书后，应按照规定的时间、地点，与采购人签订采购合同。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.2招标文件、补充文件、投标文件及评标过程中的有关澄清、说明或者补正文件均为签订合同的依据。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.3采购人</w:t>
      </w:r>
      <w:r>
        <w:rPr>
          <w:rFonts w:hint="eastAsia" w:ascii="宋体" w:hAnsi="宋体" w:cs="宋体"/>
          <w:color w:val="auto"/>
          <w:sz w:val="21"/>
          <w:szCs w:val="21"/>
          <w:highlight w:val="none"/>
          <w:lang w:val="en-US" w:eastAsia="zh-CN"/>
        </w:rPr>
        <w:t>或中标人</w:t>
      </w:r>
      <w:r>
        <w:rPr>
          <w:rFonts w:hint="eastAsia" w:ascii="宋体" w:hAnsi="宋体" w:eastAsia="宋体" w:cs="宋体"/>
          <w:color w:val="auto"/>
          <w:sz w:val="21"/>
          <w:szCs w:val="21"/>
          <w:highlight w:val="none"/>
        </w:rPr>
        <w:t>不得</w:t>
      </w:r>
      <w:r>
        <w:rPr>
          <w:rFonts w:hint="eastAsia" w:ascii="宋体" w:hAnsi="宋体" w:cs="宋体"/>
          <w:color w:val="auto"/>
          <w:sz w:val="21"/>
          <w:szCs w:val="21"/>
          <w:highlight w:val="none"/>
          <w:lang w:val="en-US" w:eastAsia="zh-CN"/>
        </w:rPr>
        <w:t>向另一方</w:t>
      </w:r>
      <w:r>
        <w:rPr>
          <w:rFonts w:hint="eastAsia" w:ascii="宋体" w:hAnsi="宋体" w:eastAsia="宋体" w:cs="宋体"/>
          <w:color w:val="auto"/>
          <w:sz w:val="21"/>
          <w:szCs w:val="21"/>
          <w:highlight w:val="none"/>
        </w:rPr>
        <w:t>提出超出</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及投标响应文件</w:t>
      </w:r>
      <w:r>
        <w:rPr>
          <w:rFonts w:hint="eastAsia" w:ascii="宋体" w:hAnsi="宋体" w:eastAsia="宋体" w:cs="宋体"/>
          <w:color w:val="auto"/>
          <w:sz w:val="21"/>
          <w:szCs w:val="21"/>
          <w:highlight w:val="none"/>
        </w:rPr>
        <w:t>以外的任何要求作为签订合同的条件，不得订立背离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文件确定的合同文本以及采购标的、规格型号、采购金额、采购数量、技术和服务等实质性内容的协议。如果中标人不能按照招标文件要求及其投标文件的承诺签订合同或其投标文件与事实不符，</w:t>
      </w:r>
      <w:r>
        <w:rPr>
          <w:rFonts w:hint="eastAsia" w:ascii="宋体" w:hAnsi="宋体" w:eastAsia="宋体" w:cs="宋体"/>
          <w:color w:val="auto"/>
          <w:sz w:val="21"/>
          <w:szCs w:val="21"/>
          <w:highlight w:val="none"/>
          <w:lang w:val="en-US" w:eastAsia="zh-CN"/>
        </w:rPr>
        <w:t>影响</w:t>
      </w:r>
      <w:r>
        <w:rPr>
          <w:rFonts w:hint="eastAsia" w:ascii="宋体" w:hAnsi="宋体" w:eastAsia="宋体" w:cs="宋体"/>
          <w:color w:val="auto"/>
          <w:sz w:val="21"/>
          <w:szCs w:val="21"/>
          <w:highlight w:val="none"/>
        </w:rPr>
        <w:t>采购合同的实施，</w:t>
      </w:r>
      <w:r>
        <w:rPr>
          <w:rFonts w:hint="eastAsia" w:ascii="宋体" w:hAnsi="宋体" w:eastAsia="宋体" w:cs="宋体"/>
          <w:color w:val="auto"/>
          <w:sz w:val="21"/>
          <w:szCs w:val="21"/>
          <w:highlight w:val="none"/>
          <w:lang w:val="en-US" w:eastAsia="zh-CN"/>
        </w:rPr>
        <w:t>损害采购人利益，</w:t>
      </w:r>
      <w:r>
        <w:rPr>
          <w:rFonts w:hint="eastAsia" w:ascii="宋体" w:hAnsi="宋体" w:eastAsia="宋体" w:cs="宋体"/>
          <w:color w:val="auto"/>
          <w:sz w:val="21"/>
          <w:szCs w:val="21"/>
          <w:highlight w:val="none"/>
        </w:rPr>
        <w:t>采购人有权</w:t>
      </w:r>
      <w:r>
        <w:rPr>
          <w:rFonts w:hint="eastAsia" w:ascii="宋体" w:hAnsi="宋体" w:cs="宋体"/>
          <w:color w:val="auto"/>
          <w:sz w:val="21"/>
          <w:szCs w:val="21"/>
          <w:highlight w:val="none"/>
          <w:lang w:val="en-US" w:eastAsia="zh-CN"/>
        </w:rPr>
        <w:t>拒绝签订</w:t>
      </w:r>
      <w:r>
        <w:rPr>
          <w:rFonts w:hint="eastAsia" w:ascii="宋体" w:hAnsi="宋体" w:eastAsia="宋体" w:cs="宋体"/>
          <w:color w:val="auto"/>
          <w:sz w:val="21"/>
          <w:szCs w:val="21"/>
          <w:highlight w:val="none"/>
        </w:rPr>
        <w:t>合同，并报采购监督部门处理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.4自采购合同签订之日起2个工作日内，本项目政府采购合同将在财政部指定的媒体上公告，</w:t>
      </w:r>
      <w:r>
        <w:rPr>
          <w:rFonts w:hint="eastAsia" w:ascii="宋体" w:hAnsi="宋体" w:eastAsia="宋体" w:cs="宋体"/>
          <w:color w:val="auto"/>
          <w:highlight w:val="none"/>
        </w:rPr>
        <w:t>但政府采购合同中涉及国家秘密、商业秘密的内容除外。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.5签约后即为招标结束。采购代理机构不退回任何文件资料。</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G、</w:t>
      </w:r>
      <w:r>
        <w:rPr>
          <w:rFonts w:hint="eastAsia" w:ascii="宋体" w:hAnsi="宋体" w:eastAsia="宋体" w:cs="宋体"/>
          <w:b/>
          <w:bCs/>
          <w:color w:val="auto"/>
          <w:sz w:val="32"/>
          <w:highlight w:val="none"/>
          <w:lang w:val="en-US" w:eastAsia="zh-CN"/>
        </w:rPr>
        <w:t>询问、</w:t>
      </w:r>
      <w:r>
        <w:rPr>
          <w:rFonts w:hint="eastAsia" w:ascii="宋体" w:hAnsi="宋体" w:eastAsia="宋体" w:cs="宋体"/>
          <w:b/>
          <w:bCs/>
          <w:color w:val="auto"/>
          <w:sz w:val="32"/>
          <w:highlight w:val="none"/>
        </w:rPr>
        <w:t>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.1供应商对政府采购活动有疑问的，可以向采购人或</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询问可以采用口头或书面方式提出，当采购人或采购代理机构要求采用书面形式时，应当采用书面形式。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val="en-US" w:eastAsia="zh-CN"/>
        </w:rPr>
        <w:t>采购代理机构应当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.2质疑人应将</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应当包括下列主要内容：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部分  项目内容及要求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长江中学学生课桌椅</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BLZFCG2025028</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3.2本次招标项目应按国际标准或专业标准执行，最后按照国家有关规定及合同约定进行验收。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3.3本项目所有工作均由中标供应商负总责任。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3.4本项目要求使用的标准如与中标供应商所执行标准发生矛盾时，按较高标准执行。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4、交付地点与时间要求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4.1本项目交付地点：</w:t>
      </w:r>
      <w:r>
        <w:rPr>
          <w:rFonts w:hint="eastAsia" w:ascii="宋体" w:hAnsi="宋体" w:eastAsia="宋体" w:cs="宋体"/>
          <w:color w:val="auto"/>
          <w:sz w:val="21"/>
          <w:szCs w:val="21"/>
          <w:highlight w:val="none"/>
        </w:rPr>
        <w:t>北仑区，采购人指定地点。</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4.2本项目交付期限：</w:t>
      </w:r>
      <w:r>
        <w:rPr>
          <w:rFonts w:hint="eastAsia" w:ascii="宋体" w:hAnsi="宋体" w:eastAsia="宋体" w:cs="宋体"/>
          <w:color w:val="auto"/>
          <w:sz w:val="21"/>
          <w:szCs w:val="21"/>
          <w:highlight w:val="none"/>
        </w:rPr>
        <w:t>合同签订后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个月内完成安装、调试并交付使用。</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4.3本项目质保期限：质保期为3年。质保期自项目正式验收合格之日起计算。</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4.4本项目服务响应要求：在接到用户的故障维修电话后</w:t>
      </w:r>
      <w:r>
        <w:rPr>
          <w:rFonts w:hint="eastAsia" w:ascii="宋体" w:hAnsi="宋体" w:cs="宋体"/>
          <w:b w:val="0"/>
          <w:bCs w:val="0"/>
          <w:color w:val="auto"/>
          <w:sz w:val="21"/>
          <w:szCs w:val="21"/>
          <w:highlight w:val="none"/>
          <w:lang w:val="en-US" w:eastAsia="zh-CN"/>
        </w:rPr>
        <w:t>立即</w:t>
      </w:r>
      <w:r>
        <w:rPr>
          <w:rFonts w:hint="eastAsia" w:ascii="宋体" w:hAnsi="宋体" w:eastAsia="宋体" w:cs="宋体"/>
          <w:b w:val="0"/>
          <w:bCs w:val="0"/>
          <w:color w:val="auto"/>
          <w:sz w:val="21"/>
          <w:szCs w:val="21"/>
          <w:highlight w:val="none"/>
        </w:rPr>
        <w:t>响应，简单故障能通过电话予以解决，如用户提出需要上门服务，维修人员应在4小时内赶到现场，提供不间断的服务直到维修</w:t>
      </w:r>
      <w:r>
        <w:rPr>
          <w:rFonts w:hint="eastAsia" w:ascii="宋体" w:hAnsi="宋体"/>
          <w:color w:val="auto"/>
          <w:highlight w:val="none"/>
        </w:rPr>
        <w:t>完成。</w:t>
      </w:r>
      <w:r>
        <w:rPr>
          <w:rFonts w:hint="eastAsia" w:ascii="宋体" w:hAnsi="宋体" w:eastAsia="宋体" w:cs="宋体"/>
          <w:b w:val="0"/>
          <w:bCs w:val="0"/>
          <w:color w:val="auto"/>
          <w:sz w:val="21"/>
          <w:szCs w:val="21"/>
          <w:highlight w:val="none"/>
        </w:rPr>
        <w:t xml:space="preserve">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以下为投标人在投标文件中需要包含的最基本内容。若投标人提供的技术服务方案、</w:t>
      </w:r>
      <w:r>
        <w:rPr>
          <w:rFonts w:hint="eastAsia" w:ascii="宋体" w:hAnsi="宋体" w:cs="宋体"/>
          <w:color w:val="auto"/>
          <w:sz w:val="21"/>
          <w:szCs w:val="21"/>
          <w:highlight w:val="none"/>
          <w:lang w:val="en-US" w:eastAsia="zh-CN"/>
        </w:rPr>
        <w:t>货物及</w:t>
      </w:r>
      <w:r>
        <w:rPr>
          <w:rFonts w:hint="eastAsia" w:ascii="宋体" w:hAnsi="宋体" w:eastAsia="宋体" w:cs="宋体"/>
          <w:color w:val="auto"/>
          <w:sz w:val="21"/>
          <w:szCs w:val="21"/>
          <w:highlight w:val="none"/>
        </w:rPr>
        <w:t>材料性能参数与采购人要求不一致，必须在技术及服务条款偏离表中说明。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5.1投标货物说明（技术方案）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5.1.1投标货物清单。根据采购需求，详细列出符合要求的货物配置情况及各项指标对应情况。格式参照第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部分格式：投标货物清单。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5.1.2家具生产的样式和工艺。描述投标产品的生产、技术优势，投标产品的生产工艺流程、工序，并提供投标产品的具体规格、样式（图片）等。格式参照第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部分格式：家具生产样式和工艺。如要求提供样品的，供应商应按招标要求提供样品。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5.1.3主、辅材料和零部件情况。详细说明投标产品制造生产过程中采用的</w:t>
      </w:r>
      <w:r>
        <w:rPr>
          <w:rFonts w:hint="eastAsia" w:ascii="宋体" w:hAnsi="宋体" w:eastAsia="宋体" w:cs="宋体"/>
          <w:color w:val="auto"/>
          <w:sz w:val="21"/>
          <w:szCs w:val="21"/>
          <w:highlight w:val="none"/>
          <w:lang w:val="en-US" w:eastAsia="zh-CN"/>
        </w:rPr>
        <w:t>包括不限于</w:t>
      </w:r>
      <w:r>
        <w:rPr>
          <w:rFonts w:hint="eastAsia" w:ascii="宋体" w:hAnsi="宋体" w:eastAsia="宋体" w:cs="宋体"/>
          <w:color w:val="auto"/>
          <w:sz w:val="21"/>
          <w:szCs w:val="21"/>
          <w:highlight w:val="none"/>
        </w:rPr>
        <w:t>油漆、胶水、基材、木皮、实木、塑料、五金配件等材质和关键部件的具体情况。格式参照第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部分格式：主要材料、辅料、零部件情况表，并提供所列主辅料和零部件的相关质量证明资料。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5.2项目实施方案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5.2.1提供</w:t>
      </w:r>
      <w:r>
        <w:rPr>
          <w:rFonts w:hint="eastAsia" w:ascii="宋体" w:hAnsi="宋体" w:cs="宋体"/>
          <w:color w:val="auto"/>
          <w:sz w:val="21"/>
          <w:szCs w:val="21"/>
          <w:highlight w:val="none"/>
          <w:lang w:val="en-US" w:eastAsia="zh-CN"/>
        </w:rPr>
        <w:t>生产供货方案。</w:t>
      </w:r>
      <w:r>
        <w:rPr>
          <w:rFonts w:hint="eastAsia" w:ascii="宋体" w:hAnsi="宋体" w:eastAsia="宋体" w:cs="宋体"/>
          <w:color w:val="auto"/>
          <w:sz w:val="21"/>
          <w:szCs w:val="21"/>
          <w:highlight w:val="none"/>
        </w:rPr>
        <w:t>在货物交付买方前，负责对货物的保护。在交付前如果货物遇到损坏或丢失，所造成的损失由中标人承担。合同实施过程中，须与使用单位积极配合。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5.2.2提供实施进度计划，注明每个阶段的工作内容、负责人和完成时间。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w:t>
      </w:r>
      <w:r>
        <w:rPr>
          <w:rFonts w:hint="eastAsia" w:ascii="宋体" w:hAnsi="宋体" w:cs="宋体"/>
          <w:color w:val="auto"/>
          <w:sz w:val="21"/>
          <w:szCs w:val="21"/>
          <w:highlight w:val="none"/>
          <w:lang w:val="en-US" w:eastAsia="zh-CN"/>
        </w:rPr>
        <w:t>提供拟派</w:t>
      </w:r>
      <w:r>
        <w:rPr>
          <w:rFonts w:hint="eastAsia" w:ascii="宋体" w:hAnsi="宋体" w:eastAsia="宋体" w:cs="宋体"/>
          <w:color w:val="auto"/>
          <w:sz w:val="21"/>
          <w:szCs w:val="21"/>
          <w:highlight w:val="none"/>
        </w:rPr>
        <w:t>本项目主要实施管理人员的情况，未经采购人允许，不得对主要实施管理人员进行更换。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5.3质量保证及售后服务方案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5.3.1质量标准的评定以国家或行业的质量检验评定标准为依据。因卖方原因产品质量达不到约定的质量标准，卖方承担违约责任。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5.3.2卖方应保证货物质量符合合同规定的要求，所提供的货物为未使用过的全新产品，生产（安装）符合国家标准、规范的要求。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5.3.3家具安装调试完成，试用期满后由采购人进行统一验收。货物验收合格的条件必须至少满足以下二个要求：已提供了合同要求的全部家具；试用期内出现的问题已被解决。</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5.3.4在质保期内，卖方须免费负责修理和替换任何由于产品自身的质量问题造成的损坏及故障。卖方在质保期内的工作还应包括对货物的常规检查、调整。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5.3.5供应商应对本项目提供长期有效的技术支持，投标文件中应提供技术服务和售后服务的内容及措施承诺，并列出售后服务机构设置情况，包括人员数量、人员技术资格情况、办公地址、联系方式及负责人等；售后服务时间安排，如返修的响应时间及解决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合同生效并具备实施条件后，采购人凭中标人开具的发票和预付款保函在7个工作日内，向中标人支付合同总价40%的预付款。预付款保函应当由银行、保险公司等金融机构出具且与预付款同等金额</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货到采购人指定地点经安装、调试，验收合格</w:t>
      </w:r>
      <w:r>
        <w:rPr>
          <w:rFonts w:hint="eastAsia" w:ascii="宋体" w:hAnsi="宋体" w:cs="宋体"/>
          <w:color w:val="auto"/>
          <w:sz w:val="21"/>
          <w:szCs w:val="21"/>
          <w:highlight w:val="none"/>
          <w:lang w:val="en-US" w:eastAsia="zh-CN"/>
        </w:rPr>
        <w:t>后</w:t>
      </w:r>
      <w:r>
        <w:rPr>
          <w:rFonts w:hint="eastAsia" w:ascii="宋体" w:hAnsi="宋体" w:eastAsia="宋体" w:cs="宋体"/>
          <w:color w:val="auto"/>
          <w:sz w:val="21"/>
          <w:szCs w:val="21"/>
          <w:highlight w:val="none"/>
        </w:rPr>
        <w:t>，采购人收到发票后</w:t>
      </w:r>
      <w:r>
        <w:rPr>
          <w:rFonts w:hint="eastAsia" w:ascii="宋体" w:hAnsi="宋体" w:cs="宋体"/>
          <w:color w:val="auto"/>
          <w:sz w:val="21"/>
          <w:szCs w:val="21"/>
          <w:highlight w:val="none"/>
          <w:lang w:val="en-US" w:eastAsia="zh-CN"/>
        </w:rPr>
        <w:t>7个工作</w:t>
      </w:r>
      <w:r>
        <w:rPr>
          <w:rFonts w:hint="eastAsia" w:ascii="宋体" w:hAnsi="宋体" w:eastAsia="宋体" w:cs="宋体"/>
          <w:color w:val="auto"/>
          <w:sz w:val="21"/>
          <w:szCs w:val="21"/>
          <w:highlight w:val="none"/>
        </w:rPr>
        <w:t>日内，向中标供应商</w:t>
      </w:r>
      <w:r>
        <w:rPr>
          <w:rFonts w:hint="eastAsia" w:ascii="宋体" w:hAnsi="宋体" w:cs="宋体"/>
          <w:color w:val="auto"/>
          <w:sz w:val="21"/>
          <w:szCs w:val="21"/>
          <w:highlight w:val="none"/>
          <w:lang w:val="en-US" w:eastAsia="zh-CN"/>
        </w:rPr>
        <w:t>付清剩余合同款</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3</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签订合同时，如果中标人明确表示无需预付款或主动要求降低预付款比例的，允许调整预付款支付比例。</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及履约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7.1采购人和中标人应当自中标通知书发出之日起30 日内，根据招标文件和中标人的投标文件订立书面合同。中标人无正当理由拒签合同的，招标人取消其中标资格，并报采购监督部门处理，给招标人造成的损失的，中标人还应当予以赔偿。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.2如果供应商提供的货物或服务与投标文件、相关澄清文件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合同等承诺的不一致，则供应商必须接受无条件退货，同时退还已支付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合同款并赔偿采购人合同总金额100%的赔款。</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政府采购政策</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8.1本项目落实促进中小企业发展有关政策的规定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本次采购为专门面向中小企业项目，根据《政府采购促进中小企业发展管理办法》（财库[2020]46号）及相关规定，符合中小微企业认定标准的供应商，在参加本次政府采购活动时，须提供《中小企业声明函》，格式参考第六部分格式：中小企业声明函，并对声明的真实性负责。未按要求提供声明函的不被认定为中小</w:t>
      </w:r>
      <w:r>
        <w:rPr>
          <w:rFonts w:hint="eastAsia" w:ascii="宋体" w:hAnsi="宋体" w:cs="宋体"/>
          <w:color w:val="auto"/>
          <w:sz w:val="21"/>
          <w:szCs w:val="21"/>
          <w:highlight w:val="none"/>
          <w:lang w:val="en-US" w:eastAsia="zh-CN"/>
        </w:rPr>
        <w:t>微</w:t>
      </w:r>
      <w:r>
        <w:rPr>
          <w:rFonts w:hint="eastAsia" w:ascii="宋体" w:hAnsi="宋体" w:eastAsia="宋体" w:cs="宋体"/>
          <w:color w:val="auto"/>
          <w:sz w:val="21"/>
          <w:szCs w:val="21"/>
          <w:highlight w:val="none"/>
        </w:rPr>
        <w:t>企业。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8.1.2采购人或采购代理机构将随中标、成交结果公开中标、成交供应商的《中小企业声明函》内容，接受社会监督。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8.2本项目落实促进残疾人就业有关政策的规定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8.2.1根据《三部门联合发布关于促进残疾人就业政府采购政策的通知》（财库[2017]141号）规定</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本次政府采购活动，残疾人福利性单位视同小型、微型企业，享受促进中小企业发展的政府采购政策。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8.2.3符合条件的残疾人福利性单位在参加本次政府采购活动时，应当提供《残疾人福利性单位声明函》，格式参考第六部分格式：残疾人福利性单位声明函，并对声明的真实性负责。未按要求提供声明函的不被认定为残疾人福利性单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8.2.4采购人或采购代理机构将随中标、成交结果公开中标、成交供应商的《残疾人福利性单位声明函》内容，接受社会监督。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8.3本项目落实支持监狱企业发展有关政策的规定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8.3.1根据《财政部司法部关于政府采购支持监狱企业发展有关问题的通知》（财库[2014]68号）规定，本次政府采购活动，监狱企业视同小型、微型企业，享受促进中小企业发展的政府采购政策。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8.3.2监狱企业参加政府采购活动时，应当提供由省级以上监狱管理局、戒毒管理局（含新疆生产建设兵团）出具的属于监狱企业的证明文件。未提供证明文件的不被认定为监狱企业。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8.4本项目落实国家节能环保有关政策的规定</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8.4.1根据《关于调整优化节能产品、环境标志产品政府采购执行机制的通知》（财库[2019]9号）</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lang w:val="en-US" w:eastAsia="zh-CN"/>
        </w:rPr>
        <w:t>采购的产品依据品目清单和认证证书实施政府优先采购和强制采购</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《节能产品政府采购品目清单》和《环境标志产品政府采购品目清单》查询网址：中国政府采购网（www.ccgp.gov.cn）。</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8.4.2根据现行政府采购节能环保政策，台式计算机、便携式计算机、激光打印机、针式打印机、液晶显示器、空调机等为政府强制采购产品，施行强制采购政策。</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8.4.3投标人应依据品目清单在投标文件中提供投标产品有效的节能产品（或环境标志产品）认证证书彩色扫描件 或者 提供投标产品在中国政府采购网（www.ccgp.gov.cn）节能产品（或环境标志产品）查询结果的网页截图的证明材料。</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8.4.4施行强制采购的产品没有提供证明材料的，投标无效；非强制采购产品没有提供证明材料的，不予认定。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、其他说明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类似项目业绩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投标文件中提供投标人最近三年（时间计算以投标截止时间和合同签订时间为准）以来成功实施的同类项目的业绩或案例证明，格式参考第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部分格式：类似项目业绩表，同类项目业绩要求详见评标办法，由评标委员会认定该合同是否属于同类项目业绩。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9.2关于品牌</w:t>
      </w:r>
    </w:p>
    <w:p>
      <w:pPr>
        <w:spacing w:line="360" w:lineRule="auto"/>
        <w:rPr>
          <w:rFonts w:hint="eastAsia" w:ascii="宋体" w:hAnsi="宋体"/>
          <w:strike w:val="0"/>
          <w:dstrike w:val="0"/>
          <w:color w:val="auto"/>
          <w:highlight w:val="none"/>
        </w:rPr>
      </w:pPr>
      <w:r>
        <w:rPr>
          <w:rFonts w:hint="eastAsia" w:ascii="宋体" w:hAnsi="宋体"/>
          <w:strike w:val="0"/>
          <w:dstrike w:val="0"/>
          <w:color w:val="auto"/>
          <w:highlight w:val="none"/>
          <w:lang w:val="en-US" w:eastAsia="zh-CN"/>
        </w:rPr>
        <w:t>9.2.1</w:t>
      </w:r>
      <w:r>
        <w:rPr>
          <w:rFonts w:hint="eastAsia" w:ascii="宋体" w:hAnsi="宋体"/>
          <w:strike w:val="0"/>
          <w:dstrike w:val="0"/>
          <w:color w:val="auto"/>
          <w:highlight w:val="none"/>
        </w:rPr>
        <w:t>不同投标人所投</w:t>
      </w:r>
      <w:r>
        <w:rPr>
          <w:rFonts w:hint="eastAsia" w:ascii="宋体" w:hAnsi="宋体"/>
          <w:strike w:val="0"/>
          <w:dstrike w:val="0"/>
          <w:color w:val="auto"/>
          <w:highlight w:val="none"/>
          <w:lang w:val="en-US" w:eastAsia="zh-CN"/>
        </w:rPr>
        <w:t>核心产品</w:t>
      </w:r>
      <w:r>
        <w:rPr>
          <w:rFonts w:hint="eastAsia" w:ascii="宋体" w:hAnsi="宋体"/>
          <w:strike w:val="0"/>
          <w:dstrike w:val="0"/>
          <w:color w:val="auto"/>
          <w:highlight w:val="none"/>
        </w:rPr>
        <w:t>品牌</w:t>
      </w:r>
      <w:r>
        <w:rPr>
          <w:rFonts w:hint="eastAsia" w:ascii="宋体" w:hAnsi="宋体"/>
          <w:strike w:val="0"/>
          <w:dstrike w:val="0"/>
          <w:color w:val="auto"/>
          <w:highlight w:val="none"/>
          <w:lang w:eastAsia="zh-CN"/>
        </w:rPr>
        <w:t>（</w:t>
      </w:r>
      <w:r>
        <w:rPr>
          <w:rFonts w:hint="eastAsia" w:ascii="宋体" w:hAnsi="宋体"/>
          <w:strike w:val="0"/>
          <w:dstrike w:val="0"/>
          <w:color w:val="auto"/>
          <w:highlight w:val="none"/>
          <w:lang w:val="en-US" w:eastAsia="zh-CN"/>
        </w:rPr>
        <w:t>制造商</w:t>
      </w:r>
      <w:r>
        <w:rPr>
          <w:rFonts w:hint="eastAsia" w:ascii="宋体" w:hAnsi="宋体"/>
          <w:strike w:val="0"/>
          <w:dstrike w:val="0"/>
          <w:color w:val="auto"/>
          <w:highlight w:val="none"/>
          <w:lang w:eastAsia="zh-CN"/>
        </w:rPr>
        <w:t>）</w:t>
      </w:r>
      <w:r>
        <w:rPr>
          <w:rFonts w:hint="eastAsia" w:ascii="宋体" w:hAnsi="宋体"/>
          <w:strike w:val="0"/>
          <w:dstrike w:val="0"/>
          <w:color w:val="auto"/>
          <w:highlight w:val="none"/>
        </w:rPr>
        <w:t>相同时，按以下原则处理：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自行选取一个投标人获得中标人推荐资格，其他同品牌投标人不作为中标候选人。</w:t>
      </w:r>
    </w:p>
    <w:p>
      <w:pPr>
        <w:spacing w:line="360" w:lineRule="auto"/>
        <w:rPr>
          <w:rFonts w:hint="default" w:ascii="宋体" w:hAnsi="宋体" w:eastAsia="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9.2.2</w:t>
      </w:r>
      <w:r>
        <w:rPr>
          <w:rFonts w:hint="eastAsia" w:ascii="宋体" w:hAnsi="宋体"/>
          <w:b w:val="0"/>
          <w:bCs w:val="0"/>
          <w:strike w:val="0"/>
          <w:dstrike w:val="0"/>
          <w:color w:val="auto"/>
          <w:highlight w:val="none"/>
          <w:lang w:val="en-US" w:eastAsia="zh-CN"/>
        </w:rPr>
        <w:t>本项目的核心产品详见本部分附件。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附件：采购清单及要求</w:t>
      </w: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附件：</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采购清单及要求</w:t>
      </w:r>
    </w:p>
    <w:p>
      <w:pPr>
        <w:spacing w:line="360" w:lineRule="auto"/>
        <w:rPr>
          <w:rFonts w:hint="eastAsia" w:ascii="宋体" w:hAnsi="宋体"/>
          <w:b/>
          <w:color w:val="auto"/>
          <w:highlight w:val="none"/>
        </w:rPr>
      </w:pPr>
      <w:r>
        <w:rPr>
          <w:rFonts w:hint="eastAsia" w:ascii="宋体" w:hAnsi="宋体"/>
          <w:b/>
          <w:color w:val="auto"/>
          <w:highlight w:val="none"/>
        </w:rPr>
        <w:t>一、采购清单</w:t>
      </w:r>
    </w:p>
    <w:tbl>
      <w:tblPr>
        <w:tblStyle w:val="7"/>
        <w:tblW w:w="9885" w:type="dxa"/>
        <w:tblInd w:w="-348" w:type="dxa"/>
        <w:tblLayout w:type="fixed"/>
        <w:tblCellMar>
          <w:top w:w="0" w:type="dxa"/>
          <w:left w:w="108" w:type="dxa"/>
          <w:bottom w:w="0" w:type="dxa"/>
          <w:right w:w="108" w:type="dxa"/>
        </w:tblCellMar>
      </w:tblPr>
      <w:tblGrid>
        <w:gridCol w:w="585"/>
        <w:gridCol w:w="648"/>
        <w:gridCol w:w="1167"/>
        <w:gridCol w:w="6150"/>
        <w:gridCol w:w="705"/>
        <w:gridCol w:w="630"/>
      </w:tblGrid>
      <w:tr>
        <w:tblPrEx>
          <w:tblCellMar>
            <w:top w:w="0" w:type="dxa"/>
            <w:left w:w="108" w:type="dxa"/>
            <w:bottom w:w="0" w:type="dxa"/>
            <w:right w:w="108" w:type="dxa"/>
          </w:tblCellMar>
        </w:tblPrEx>
        <w:trPr>
          <w:trHeight w:val="2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序号</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名称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参考图片</w:t>
            </w:r>
          </w:p>
        </w:tc>
        <w:tc>
          <w:tcPr>
            <w:tcW w:w="6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参数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单位</w:t>
            </w:r>
          </w:p>
        </w:tc>
      </w:tr>
      <w:tr>
        <w:trPr>
          <w:trHeight w:val="898"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bidi="ar"/>
              </w:rPr>
              <w:t>课桌</w:t>
            </w:r>
            <w:r>
              <w:rPr>
                <w:rFonts w:hint="eastAsia" w:ascii="宋体" w:hAnsi="宋体" w:eastAsia="宋体" w:cs="宋体"/>
                <w:b/>
                <w:bCs/>
                <w:color w:val="auto"/>
                <w:kern w:val="0"/>
                <w:sz w:val="18"/>
                <w:szCs w:val="18"/>
                <w:highlight w:val="none"/>
                <w:lang w:eastAsia="zh-CN" w:bidi="ar"/>
              </w:rPr>
              <w:t>（</w:t>
            </w:r>
            <w:r>
              <w:rPr>
                <w:rFonts w:hint="eastAsia" w:ascii="宋体" w:hAnsi="宋体" w:eastAsia="宋体" w:cs="宋体"/>
                <w:b/>
                <w:bCs/>
                <w:color w:val="auto"/>
                <w:kern w:val="0"/>
                <w:sz w:val="18"/>
                <w:szCs w:val="18"/>
                <w:highlight w:val="none"/>
                <w:lang w:val="en-US" w:eastAsia="zh-CN" w:bidi="ar"/>
              </w:rPr>
              <w:t>核心产品</w:t>
            </w:r>
            <w:r>
              <w:rPr>
                <w:rFonts w:hint="eastAsia" w:ascii="宋体" w:hAnsi="宋体" w:eastAsia="宋体" w:cs="宋体"/>
                <w:b/>
                <w:bCs/>
                <w:color w:val="auto"/>
                <w:kern w:val="0"/>
                <w:sz w:val="18"/>
                <w:szCs w:val="18"/>
                <w:highlight w:val="none"/>
                <w:lang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drawing>
                <wp:inline distT="0" distB="0" distL="114300" distR="114300">
                  <wp:extent cx="779780" cy="654050"/>
                  <wp:effectExtent l="0" t="0" r="1270" b="12700"/>
                  <wp:docPr id="6" name="图片 6" descr="5beb48b68c424bb09b2dd174100d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beb48b68c424bb09b2dd174100dc04"/>
                          <pic:cNvPicPr>
                            <a:picLocks noChangeAspect="1"/>
                          </pic:cNvPicPr>
                        </pic:nvPicPr>
                        <pic:blipFill>
                          <a:blip r:embed="rId7"/>
                          <a:stretch>
                            <a:fillRect/>
                          </a:stretch>
                        </pic:blipFill>
                        <pic:spPr>
                          <a:xfrm>
                            <a:off x="0" y="0"/>
                            <a:ext cx="779780" cy="654050"/>
                          </a:xfrm>
                          <a:prstGeom prst="rect">
                            <a:avLst/>
                          </a:prstGeom>
                        </pic:spPr>
                      </pic:pic>
                    </a:graphicData>
                  </a:graphic>
                </wp:inline>
              </w:drawing>
            </w:r>
          </w:p>
        </w:tc>
        <w:tc>
          <w:tcPr>
            <w:tcW w:w="6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课桌：W640*D428*H640-790mm。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面板：</w:t>
            </w:r>
            <w:r>
              <w:rPr>
                <w:rFonts w:hint="eastAsia"/>
                <w:color w:val="auto"/>
                <w:highlight w:val="none"/>
              </w:rPr>
              <w:t>★</w:t>
            </w:r>
            <w:r>
              <w:rPr>
                <w:rFonts w:hint="eastAsia" w:ascii="宋体" w:hAnsi="宋体" w:eastAsia="宋体" w:cs="宋体"/>
                <w:color w:val="auto"/>
                <w:kern w:val="0"/>
                <w:sz w:val="18"/>
                <w:szCs w:val="18"/>
                <w:highlight w:val="none"/>
                <w:lang w:bidi="ar"/>
              </w:rPr>
              <w:t>1.材质：采用ABS耐撞击塑料一体注塑成型。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        2.尺寸：长640mm×宽428mm*高30mm±10mm。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        3.功能:（1）靠胸前处有一內弧造型设计，两侧有手臂支撑设计。</w:t>
            </w:r>
            <w:r>
              <w:rPr>
                <w:rFonts w:hint="eastAsia" w:ascii="宋体" w:hAnsi="宋体" w:cs="宋体"/>
                <w:color w:val="auto"/>
                <w:kern w:val="0"/>
                <w:sz w:val="18"/>
                <w:szCs w:val="18"/>
                <w:highlight w:val="none"/>
                <w:lang w:val="en-US" w:eastAsia="zh-CN" w:bidi="ar"/>
              </w:rPr>
              <w:t xml:space="preserve">    </w:t>
            </w:r>
          </w:p>
          <w:p>
            <w:pPr>
              <w:widowControl/>
              <w:ind w:firstLine="1440" w:firstLineChars="80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（2）桌面内凹桌面内凹5mm±1mm设计，无藏污纳垢的凹槽及妨碍双手舒展的凸条，即可达到防止物品掉落的功能。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       4.附加设计：面板底部有強化承重之设计，嵌入30mm*1.2mm±1mm的扁铁。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抽屉：1.材质：采用PP耐冲击塑料一体注塑成型。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      2.尺寸：540×350×81mm±10mm。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      3.功能：大角度内倾式书箱，防止物品滑落，书箱内侧设有排水、通风透气孔，可保持书箱内部干爽清洁。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钢架：1.材质及形状：水滴管、圆管。采用满焊焊接。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      2.管材直径尺寸：升降管材为水滴造型管材，升降下管48*25±2mm*1.35mm，升降上管57*32±2mm*1.35mm。桌脚踢脚管椭圆管，尺寸 40*20mm±2mm 壁厚 1.5mm±0.2mm</w:t>
            </w:r>
            <w:r>
              <w:rPr>
                <w:rFonts w:hint="eastAsia" w:ascii="宋体" w:hAnsi="宋体" w:eastAsia="宋体" w:cs="宋体"/>
                <w:color w:val="auto"/>
                <w:kern w:val="0"/>
                <w:sz w:val="18"/>
                <w:szCs w:val="18"/>
                <w:highlight w:val="none"/>
                <w:lang w:bidi="ar"/>
              </w:rPr>
              <w:br w:type="textWrapping"/>
            </w:r>
            <w:r>
              <w:rPr>
                <w:rFonts w:hint="eastAsia" w:ascii="宋体" w:hAnsi="宋体" w:cs="宋体"/>
                <w:color w:val="auto"/>
                <w:kern w:val="0"/>
                <w:sz w:val="18"/>
                <w:szCs w:val="18"/>
                <w:highlight w:val="none"/>
                <w:lang w:val="en-US" w:eastAsia="zh-CN" w:bidi="ar"/>
              </w:rPr>
              <w:t xml:space="preserve">    </w:t>
            </w:r>
            <w:r>
              <w:rPr>
                <w:rFonts w:hint="eastAsia" w:ascii="宋体" w:hAnsi="宋体" w:eastAsia="宋体" w:cs="宋体"/>
                <w:color w:val="auto"/>
                <w:kern w:val="0"/>
                <w:sz w:val="18"/>
                <w:szCs w:val="18"/>
                <w:highlight w:val="none"/>
                <w:lang w:bidi="ar"/>
              </w:rPr>
              <w:t xml:space="preserve">3.可调节高度：从桌高640mm至790mm±10mm。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    4.挂钩材质：左右两侧各有挂钩配置、 挂钩材质为直径≥6MM 实心 碳钢。不可采用螺丝锁附方式 配置挂钩、在静止状态下可以 承载 30KG 或以上的挂物承重。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    </w:t>
            </w:r>
            <w:r>
              <w:rPr>
                <w:rFonts w:hint="eastAsia" w:ascii="宋体" w:hAnsi="宋体" w:cs="宋体"/>
                <w:color w:val="auto"/>
                <w:kern w:val="0"/>
                <w:sz w:val="18"/>
                <w:szCs w:val="18"/>
                <w:highlight w:val="none"/>
                <w:lang w:val="en-US" w:eastAsia="zh-CN" w:bidi="ar"/>
              </w:rPr>
              <w:t>5</w:t>
            </w:r>
            <w:r>
              <w:rPr>
                <w:rFonts w:hint="eastAsia" w:ascii="宋体" w:hAnsi="宋体" w:eastAsia="宋体" w:cs="宋体"/>
                <w:color w:val="auto"/>
                <w:kern w:val="0"/>
                <w:sz w:val="18"/>
                <w:szCs w:val="18"/>
                <w:highlight w:val="none"/>
                <w:lang w:bidi="ar"/>
              </w:rPr>
              <w:t>.表面涂装：钢管架焊接完成后，经高温粉体烤漆。长时间使用也不会产生表面漆剥落现象。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脚垫：1.材质：采用PP塑料+TPE包胶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2.尺寸：大脚垫：W95mm×D44mm×H90mm） ±5mm；小脚垫： （W60mm×D38×H48mm） ±5mm。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3.特性：TPE材料超强适应、耐用性，使用效果更佳，耐侯性好,可应用于户内外各种恶劣和极端环境！同时耐温性佳， 可在-40～100℃之间长期使用！ 且具备高韧性，高弹度、耐酸碱耐腐蚀等特性</w:t>
            </w:r>
            <w:r>
              <w:rPr>
                <w:rFonts w:hint="eastAsia" w:ascii="宋体" w:hAnsi="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耐低温撞击.降噪,热稳定性.抗蠕变性.热稳定性.食品接触性,高能量吸收.耐化学性。</w:t>
            </w:r>
            <w:r>
              <w:rPr>
                <w:rFonts w:hint="eastAsia" w:ascii="宋体" w:hAnsi="宋体" w:eastAsia="宋体" w:cs="宋体"/>
                <w:color w:val="auto"/>
                <w:kern w:val="0"/>
                <w:sz w:val="18"/>
                <w:szCs w:val="18"/>
                <w:highlight w:val="none"/>
                <w:lang w:bidi="ar"/>
              </w:rPr>
              <w:br w:type="textWrapping"/>
            </w:r>
            <w:r>
              <w:rPr>
                <w:rFonts w:hint="eastAsia"/>
                <w:color w:val="auto"/>
                <w:highlight w:val="none"/>
              </w:rPr>
              <w:t>★</w:t>
            </w:r>
            <w:r>
              <w:rPr>
                <w:rFonts w:hint="eastAsia" w:ascii="宋体" w:hAnsi="宋体" w:eastAsia="宋体" w:cs="宋体"/>
                <w:color w:val="auto"/>
                <w:kern w:val="0"/>
                <w:sz w:val="18"/>
                <w:szCs w:val="18"/>
                <w:highlight w:val="none"/>
                <w:lang w:bidi="ar"/>
              </w:rPr>
              <w:t>功能：配备手摇承载式上下安全升降结构。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张</w:t>
            </w:r>
          </w:p>
        </w:tc>
      </w:tr>
      <w:tr>
        <w:trPr>
          <w:trHeight w:val="34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课椅</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drawing>
                <wp:inline distT="0" distB="0" distL="114300" distR="114300">
                  <wp:extent cx="768985" cy="734695"/>
                  <wp:effectExtent l="0" t="0" r="12065" b="8255"/>
                  <wp:docPr id="7" name="图片 7" descr="76ee9a573019eef788c8f4226a47c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6ee9a573019eef788c8f4226a47ce6"/>
                          <pic:cNvPicPr>
                            <a:picLocks noChangeAspect="1"/>
                          </pic:cNvPicPr>
                        </pic:nvPicPr>
                        <pic:blipFill>
                          <a:blip r:embed="rId8"/>
                          <a:stretch>
                            <a:fillRect/>
                          </a:stretch>
                        </pic:blipFill>
                        <pic:spPr>
                          <a:xfrm>
                            <a:off x="0" y="0"/>
                            <a:ext cx="768985" cy="734695"/>
                          </a:xfrm>
                          <a:prstGeom prst="rect">
                            <a:avLst/>
                          </a:prstGeom>
                        </pic:spPr>
                      </pic:pic>
                    </a:graphicData>
                  </a:graphic>
                </wp:inline>
              </w:drawing>
            </w:r>
          </w:p>
        </w:tc>
        <w:tc>
          <w:tcPr>
            <w:tcW w:w="6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课椅：座高380-460mm。</w:t>
            </w:r>
            <w:r>
              <w:rPr>
                <w:rFonts w:hint="eastAsia" w:ascii="宋体" w:hAnsi="宋体" w:eastAsia="宋体" w:cs="宋体"/>
                <w:color w:val="auto"/>
                <w:kern w:val="0"/>
                <w:sz w:val="18"/>
                <w:szCs w:val="18"/>
                <w:highlight w:val="none"/>
                <w:lang w:bidi="ar"/>
              </w:rPr>
              <w:br w:type="textWrapping"/>
            </w:r>
            <w:r>
              <w:rPr>
                <w:rFonts w:hint="eastAsia"/>
                <w:color w:val="auto"/>
                <w:highlight w:val="none"/>
              </w:rPr>
              <w:t>★</w:t>
            </w:r>
            <w:r>
              <w:rPr>
                <w:rFonts w:hint="eastAsia" w:ascii="宋体" w:hAnsi="宋体" w:eastAsia="宋体" w:cs="宋体"/>
                <w:color w:val="auto"/>
                <w:kern w:val="0"/>
                <w:sz w:val="18"/>
                <w:szCs w:val="18"/>
                <w:highlight w:val="none"/>
                <w:lang w:bidi="ar"/>
              </w:rPr>
              <w:t>1.材质：PP 环保塑料全新料一体注塑成型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2.尺寸：靠背W403mm× D215mm±10mm。坐垫W402mm× D400mm±10mm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3.样式：靠背呈弯孤曲面，设有放射性大小透气散热圆孔，圆孔直径不得超过5mm的透气散热孔。</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脚架：1.材质及形状：水滴管及圆管。采用满焊焊接。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      2.管材直径尺寸：升降管材为水滴造型管材，升降下管48*25±2mm*1.35mm，升降上管57*32±2mm*1.35mm。桌脚贴地部圆管，圆管直径 38mm±2mm 壁厚 1.5mm±0.2mm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3.可调节高度：从座高380mm至460mm±10mm。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4.表面涂装：钢管架焊接完成后，经高温粉体烤漆。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脚垫：1.材质：采用PP塑料+TPE包胶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2.尺寸：大脚垫：W95mm×D44mm×H90mm±5 mm； 小脚垫:W60mm×D38.×H48mm±5 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3.特性：TPE材料超强适应、耐用性，使用效果更佳，耐侯性好,可应用于户内外各种恶劣和极端环境！同时耐温性佳， 可在-40～100℃之间长期使用！且具备高韧性，高弹度、耐酸碱耐腐蚀等特性！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耐低温撞击.降噪,热稳定性.抗蠕变性.热稳定性.食品接触性,高能量吸收.耐化学性。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★功能：配备手摇承载式上下安全升降结构。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把</w:t>
            </w:r>
          </w:p>
        </w:tc>
      </w:tr>
    </w:tbl>
    <w:p>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说明：</w:t>
      </w:r>
    </w:p>
    <w:p>
      <w:pPr>
        <w:spacing w:line="360" w:lineRule="auto"/>
        <w:rPr>
          <w:rFonts w:hint="eastAsia" w:ascii="宋体" w:hAnsi="宋体" w:eastAsia="宋体" w:cs="宋体"/>
          <w:color w:val="auto"/>
          <w:highlight w:val="none"/>
        </w:rPr>
      </w:pPr>
      <w:r>
        <w:rPr>
          <w:rFonts w:hint="eastAsia" w:ascii="宋体" w:hAnsi="宋体" w:cs="宋体"/>
          <w:b/>
          <w:bCs/>
          <w:color w:val="auto"/>
          <w:sz w:val="21"/>
          <w:szCs w:val="21"/>
          <w:highlight w:val="none"/>
          <w:lang w:val="en-US" w:eastAsia="zh-CN"/>
        </w:rPr>
        <w:t>1、清单中的图片仅供参考。</w:t>
      </w: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2、采购清单中的“课桌”（序号1）为本次采购的核心产品。</w:t>
      </w:r>
    </w:p>
    <w:p>
      <w:pPr>
        <w:spacing w:line="360" w:lineRule="auto"/>
        <w:rPr>
          <w:rFonts w:hint="eastAsia" w:ascii="宋体" w:hAnsi="宋体" w:eastAsia="宋体" w:cs="宋体"/>
          <w:b/>
          <w:bCs/>
          <w:strike/>
          <w:dstrike w:val="0"/>
          <w:color w:val="auto"/>
          <w:sz w:val="21"/>
          <w:szCs w:val="21"/>
          <w:highlight w:val="none"/>
          <w:lang w:val="en-US" w:eastAsia="zh-CN"/>
        </w:rPr>
      </w:pPr>
    </w:p>
    <w:p>
      <w:pPr>
        <w:spacing w:line="360" w:lineRule="auto"/>
        <w:rPr>
          <w:rFonts w:hint="eastAsia" w:ascii="宋体" w:hAnsi="宋体"/>
          <w:b/>
          <w:bCs/>
          <w:color w:val="auto"/>
          <w:highlight w:val="none"/>
          <w:lang w:val="en-US" w:eastAsia="zh-CN"/>
        </w:rPr>
      </w:pPr>
    </w:p>
    <w:p>
      <w:pPr>
        <w:spacing w:line="360" w:lineRule="auto"/>
        <w:rPr>
          <w:rFonts w:hint="eastAsia" w:ascii="宋体" w:hAnsi="宋体"/>
          <w:b/>
          <w:bCs/>
          <w:color w:val="auto"/>
          <w:highlight w:val="none"/>
          <w:lang w:val="en-US" w:eastAsia="zh-CN"/>
        </w:rPr>
      </w:pPr>
    </w:p>
    <w:p>
      <w:pPr>
        <w:spacing w:line="360" w:lineRule="auto"/>
        <w:rPr>
          <w:rFonts w:hint="default" w:ascii="宋体" w:hAnsi="宋体" w:eastAsia="宋体"/>
          <w:b/>
          <w:color w:val="auto"/>
          <w:highlight w:val="none"/>
          <w:lang w:val="en-US" w:eastAsia="zh-CN"/>
        </w:rPr>
      </w:pPr>
      <w:r>
        <w:rPr>
          <w:rFonts w:hint="eastAsia" w:ascii="宋体" w:hAnsi="宋体"/>
          <w:b/>
          <w:color w:val="auto"/>
          <w:highlight w:val="none"/>
          <w:lang w:val="en-US" w:eastAsia="zh-CN"/>
        </w:rPr>
        <w:t>二</w:t>
      </w:r>
      <w:r>
        <w:rPr>
          <w:rFonts w:hint="eastAsia" w:ascii="宋体" w:hAnsi="宋体"/>
          <w:b/>
          <w:color w:val="auto"/>
          <w:highlight w:val="none"/>
        </w:rPr>
        <w:t>、</w:t>
      </w:r>
      <w:r>
        <w:rPr>
          <w:rFonts w:hint="eastAsia" w:ascii="宋体" w:hAnsi="宋体"/>
          <w:b/>
          <w:color w:val="auto"/>
          <w:highlight w:val="none"/>
          <w:lang w:val="en-US" w:eastAsia="zh-CN"/>
        </w:rPr>
        <w:t>主要材料技术要求</w:t>
      </w:r>
    </w:p>
    <w:tbl>
      <w:tblPr>
        <w:tblStyle w:val="7"/>
        <w:tblW w:w="9165" w:type="dxa"/>
        <w:jc w:val="center"/>
        <w:tblLayout w:type="fixed"/>
        <w:tblCellMar>
          <w:top w:w="0" w:type="dxa"/>
          <w:left w:w="108" w:type="dxa"/>
          <w:bottom w:w="0" w:type="dxa"/>
          <w:right w:w="108" w:type="dxa"/>
        </w:tblCellMar>
      </w:tblPr>
      <w:tblGrid>
        <w:gridCol w:w="765"/>
        <w:gridCol w:w="1275"/>
        <w:gridCol w:w="7125"/>
      </w:tblGrid>
      <w:tr>
        <w:tblPrEx>
          <w:tblCellMar>
            <w:top w:w="0" w:type="dxa"/>
            <w:left w:w="108" w:type="dxa"/>
            <w:bottom w:w="0" w:type="dxa"/>
            <w:right w:w="108" w:type="dxa"/>
          </w:tblCellMar>
        </w:tblPrEx>
        <w:trPr>
          <w:trHeight w:val="51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cs="宋体"/>
                <w:b/>
                <w:bCs/>
                <w:color w:val="auto"/>
                <w:sz w:val="18"/>
                <w:szCs w:val="18"/>
                <w:highlight w:val="none"/>
              </w:rPr>
              <w:t>项目名称</w:t>
            </w:r>
          </w:p>
        </w:tc>
        <w:tc>
          <w:tcPr>
            <w:tcW w:w="7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技术参数</w:t>
            </w:r>
          </w:p>
        </w:tc>
      </w:tr>
      <w:tr>
        <w:tblPrEx>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ABS面板</w:t>
            </w:r>
          </w:p>
        </w:tc>
        <w:tc>
          <w:tcPr>
            <w:tcW w:w="7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cs="宋体"/>
                <w:color w:val="auto"/>
                <w:sz w:val="18"/>
                <w:szCs w:val="18"/>
                <w:highlight w:val="none"/>
                <w:vertAlign w:val="baseline"/>
                <w:lang w:val="en-US" w:eastAsia="zh-CN"/>
              </w:rPr>
            </w:pPr>
            <w:bookmarkStart w:id="7" w:name="OLE_LINK6"/>
            <w:bookmarkStart w:id="8" w:name="OLE_LINK17"/>
            <w:r>
              <w:rPr>
                <w:rFonts w:hint="eastAsia" w:ascii="宋体" w:hAnsi="宋体" w:cs="宋体"/>
                <w:color w:val="auto"/>
                <w:sz w:val="18"/>
                <w:szCs w:val="18"/>
                <w:highlight w:val="none"/>
                <w:vertAlign w:val="baseline"/>
                <w:lang w:val="en-US" w:eastAsia="zh-CN"/>
              </w:rPr>
              <w:t>参照</w:t>
            </w:r>
            <w:bookmarkEnd w:id="7"/>
            <w:r>
              <w:rPr>
                <w:rFonts w:hint="eastAsia" w:ascii="宋体" w:hAnsi="宋体" w:cs="宋体"/>
                <w:color w:val="auto"/>
                <w:sz w:val="18"/>
                <w:szCs w:val="18"/>
                <w:highlight w:val="none"/>
                <w:vertAlign w:val="baseline"/>
                <w:lang w:val="en-US" w:eastAsia="zh-CN"/>
              </w:rPr>
              <w:t>GB/T 32487-2016标准，以下指标达到：</w:t>
            </w:r>
            <w:bookmarkEnd w:id="8"/>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vertAlign w:val="baseline"/>
                <w:lang w:val="en-US" w:eastAsia="zh-CN"/>
              </w:rPr>
              <w:t>耐老化性（冲击强度保持率≥60%；外观颜色变化评级≥3级）</w:t>
            </w:r>
          </w:p>
        </w:tc>
      </w:tr>
      <w:tr>
        <w:tblPrEx>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PP抽屉</w:t>
            </w:r>
          </w:p>
        </w:tc>
        <w:tc>
          <w:tcPr>
            <w:tcW w:w="7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vertAlign w:val="baseline"/>
                <w:lang w:val="en-US" w:eastAsia="zh-CN"/>
              </w:rPr>
              <w:t>参照</w:t>
            </w:r>
            <w:r>
              <w:rPr>
                <w:rFonts w:hint="eastAsia" w:ascii="宋体" w:hAnsi="宋体" w:eastAsia="宋体" w:cs="宋体"/>
                <w:color w:val="auto"/>
                <w:sz w:val="18"/>
                <w:szCs w:val="18"/>
                <w:highlight w:val="none"/>
              </w:rPr>
              <w:t>GB/T 32487-2016</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GB/T 9345.1-2008</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GB/T 2411-2008</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GB/T 1633-2000</w:t>
            </w:r>
            <w:r>
              <w:rPr>
                <w:rFonts w:hint="eastAsia" w:ascii="宋体" w:hAnsi="宋体" w:cs="宋体"/>
                <w:color w:val="auto"/>
                <w:sz w:val="18"/>
                <w:szCs w:val="18"/>
                <w:highlight w:val="none"/>
              </w:rPr>
              <w:t>标准，以下指标达到：</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耐老化性（冲击强度的保持率≥60%；</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外观颜色变色评级≥3级）；</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冲击强度≥10J/㎡；</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灰分（600℃）；</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邵氏硬度D；</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维卡软化温度</w:t>
            </w:r>
            <w:r>
              <w:rPr>
                <w:rFonts w:hint="eastAsia" w:ascii="宋体" w:hAnsi="宋体" w:eastAsia="宋体" w:cs="宋体"/>
                <w:color w:val="auto"/>
                <w:sz w:val="18"/>
                <w:szCs w:val="18"/>
                <w:highlight w:val="none"/>
                <w:lang w:eastAsia="zh-CN"/>
              </w:rPr>
              <w:t>。</w:t>
            </w:r>
          </w:p>
        </w:tc>
      </w:tr>
      <w:tr>
        <w:tblPrEx>
          <w:tblCellMar>
            <w:top w:w="0" w:type="dxa"/>
            <w:left w:w="108" w:type="dxa"/>
            <w:bottom w:w="0" w:type="dxa"/>
            <w:right w:w="108" w:type="dxa"/>
          </w:tblCellMar>
        </w:tblPrEx>
        <w:trPr>
          <w:trHeight w:val="6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PP脚垫</w:t>
            </w:r>
          </w:p>
        </w:tc>
        <w:tc>
          <w:tcPr>
            <w:tcW w:w="7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bookmarkStart w:id="9" w:name="OLE_LINK9"/>
            <w:r>
              <w:rPr>
                <w:rFonts w:hint="eastAsia" w:ascii="宋体" w:hAnsi="宋体" w:cs="宋体"/>
                <w:color w:val="auto"/>
                <w:sz w:val="18"/>
                <w:szCs w:val="18"/>
                <w:highlight w:val="none"/>
                <w:vertAlign w:val="baseline"/>
                <w:lang w:val="en-US" w:eastAsia="zh-CN"/>
              </w:rPr>
              <w:t>参照</w:t>
            </w:r>
            <w:r>
              <w:rPr>
                <w:rFonts w:hint="eastAsia" w:ascii="宋体" w:hAnsi="宋体" w:eastAsia="宋体" w:cs="宋体"/>
                <w:color w:val="auto"/>
                <w:sz w:val="18"/>
                <w:szCs w:val="18"/>
                <w:highlight w:val="none"/>
              </w:rPr>
              <w:t>GB/T 32487-2016</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GB/T 9345.1-2008</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GB/T 2411-2008</w:t>
            </w:r>
            <w:r>
              <w:rPr>
                <w:rFonts w:hint="eastAsia" w:ascii="宋体" w:hAnsi="宋体" w:cs="宋体"/>
                <w:color w:val="auto"/>
                <w:sz w:val="18"/>
                <w:szCs w:val="18"/>
                <w:highlight w:val="none"/>
              </w:rPr>
              <w:t>标准，以下指标达到：</w:t>
            </w:r>
          </w:p>
          <w:bookmarkEnd w:id="9"/>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耐老化性外观颜色变色评级≥3级；</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灰分（600℃）；</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邵氏硬度D</w:t>
            </w:r>
            <w:r>
              <w:rPr>
                <w:rFonts w:hint="eastAsia" w:ascii="宋体" w:hAnsi="宋体" w:eastAsia="宋体" w:cs="宋体"/>
                <w:color w:val="auto"/>
                <w:sz w:val="18"/>
                <w:szCs w:val="18"/>
                <w:highlight w:val="none"/>
                <w:lang w:eastAsia="zh-CN"/>
              </w:rPr>
              <w:t>。</w:t>
            </w:r>
          </w:p>
        </w:tc>
      </w:tr>
      <w:tr>
        <w:tblPrEx>
          <w:tblCellMar>
            <w:top w:w="0" w:type="dxa"/>
            <w:left w:w="108" w:type="dxa"/>
            <w:bottom w:w="0" w:type="dxa"/>
            <w:right w:w="108" w:type="dxa"/>
          </w:tblCellMar>
        </w:tblPrEx>
        <w:trPr>
          <w:trHeight w:val="60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水滴形钢管</w:t>
            </w:r>
          </w:p>
        </w:tc>
        <w:tc>
          <w:tcPr>
            <w:tcW w:w="7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参照GB/T 3325-2024、GB/T 10125-2021、GB/T 6461-2002标准，以下指标达到：</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vertAlign w:val="baseline"/>
                <w:lang w:val="en-US" w:eastAsia="zh-CN"/>
              </w:rPr>
              <w:t>外观性能、金属喷漆（塑）涂层（硬度、冲击强度、耐盐浴、附着力）符合要求；可迁移有害元素（铅≤90mg/kg、镉≤75mg/kg、铬≤60mg/kg、汞≤60g/kg、锑≤60mg/kg、钡≤1000mg/kg、硒≤500mg/kg、砷≤25mg/kg）；中性盐雾（外观评级：10级、保护评级：10级）。</w:t>
            </w:r>
          </w:p>
        </w:tc>
      </w:tr>
      <w:tr>
        <w:tblPrEx>
          <w:tblCellMar>
            <w:top w:w="0" w:type="dxa"/>
            <w:left w:w="108" w:type="dxa"/>
            <w:bottom w:w="0" w:type="dxa"/>
            <w:right w:w="108" w:type="dxa"/>
          </w:tblCellMar>
        </w:tblPrEx>
        <w:trPr>
          <w:trHeight w:val="60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PP坐垫</w:t>
            </w:r>
          </w:p>
        </w:tc>
        <w:tc>
          <w:tcPr>
            <w:tcW w:w="7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vertAlign w:val="baseline"/>
                <w:lang w:val="en-US" w:eastAsia="zh-CN"/>
              </w:rPr>
              <w:t>参照</w:t>
            </w:r>
            <w:r>
              <w:rPr>
                <w:rFonts w:hint="eastAsia" w:ascii="宋体" w:hAnsi="宋体" w:eastAsia="宋体" w:cs="宋体"/>
                <w:color w:val="auto"/>
                <w:sz w:val="18"/>
                <w:szCs w:val="18"/>
                <w:highlight w:val="none"/>
              </w:rPr>
              <w:t>GB/T 32487-2016</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GB/T 9345.1-2008</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GB/T 2411-2008</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GB/T 1633-2000</w:t>
            </w:r>
            <w:r>
              <w:rPr>
                <w:rFonts w:hint="eastAsia" w:ascii="宋体" w:hAnsi="宋体" w:cs="宋体"/>
                <w:color w:val="auto"/>
                <w:sz w:val="18"/>
                <w:szCs w:val="18"/>
                <w:highlight w:val="none"/>
              </w:rPr>
              <w:t>标准，以下指标达到</w:t>
            </w:r>
            <w:r>
              <w:rPr>
                <w:rFonts w:hint="eastAsia" w:ascii="宋体" w:hAnsi="宋体" w:eastAsia="宋体" w:cs="宋体"/>
                <w:color w:val="auto"/>
                <w:sz w:val="18"/>
                <w:szCs w:val="18"/>
                <w:highlight w:val="none"/>
              </w:rPr>
              <w:t>：</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耐老化性（冲击强度的保持率≥60%；外观颜色变色评级≥3级）；</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冲击强度≥10J/㎡；</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领苯二甲酸酯（DBP\BBP\DEHP\DNOP\DINP\DIDP的总量≤0.1%)；</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灰分（600℃）；</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邵氏硬度D；</w:t>
            </w:r>
          </w:p>
          <w:p>
            <w:pPr>
              <w:pStyle w:val="3"/>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维卡软化温度</w:t>
            </w:r>
            <w:r>
              <w:rPr>
                <w:rFonts w:hint="eastAsia" w:ascii="宋体" w:hAnsi="宋体" w:eastAsia="宋体" w:cs="宋体"/>
                <w:color w:val="auto"/>
                <w:sz w:val="18"/>
                <w:szCs w:val="18"/>
                <w:highlight w:val="none"/>
                <w:lang w:eastAsia="zh-CN"/>
              </w:rPr>
              <w:t>。</w:t>
            </w:r>
          </w:p>
        </w:tc>
      </w:tr>
    </w:tbl>
    <w:p>
      <w:pPr>
        <w:spacing w:line="360" w:lineRule="auto"/>
        <w:rPr>
          <w:rFonts w:hint="eastAsia" w:ascii="宋体" w:hAnsi="宋体"/>
          <w:b/>
          <w:bCs/>
          <w:color w:val="auto"/>
          <w:highlight w:val="none"/>
          <w:lang w:val="en-US" w:eastAsia="zh-CN"/>
        </w:rPr>
      </w:pPr>
      <w:r>
        <w:rPr>
          <w:rFonts w:hint="eastAsia" w:ascii="宋体" w:hAnsi="宋体" w:cs="宋体"/>
          <w:b/>
          <w:bCs/>
          <w:color w:val="auto"/>
          <w:sz w:val="21"/>
          <w:szCs w:val="21"/>
          <w:highlight w:val="none"/>
          <w:lang w:val="en-US" w:eastAsia="zh-CN"/>
        </w:rPr>
        <w:t>说明：</w:t>
      </w:r>
    </w:p>
    <w:p>
      <w:pPr>
        <w:spacing w:line="360" w:lineRule="auto"/>
        <w:rPr>
          <w:rFonts w:hint="default" w:ascii="宋体" w:hAnsi="宋体"/>
          <w:b/>
          <w:bCs/>
          <w:color w:val="auto"/>
          <w:highlight w:val="none"/>
          <w:lang w:val="en-US" w:eastAsia="zh-CN"/>
        </w:rPr>
      </w:pPr>
      <w:r>
        <w:rPr>
          <w:rFonts w:hint="default" w:ascii="宋体" w:hAnsi="宋体"/>
          <w:b/>
          <w:bCs/>
          <w:color w:val="auto"/>
          <w:highlight w:val="none"/>
          <w:lang w:val="en-US" w:eastAsia="zh-CN"/>
        </w:rPr>
        <w:t>根据上述主要材料技术要求，投标时提供有资质的第三方检测机构出具的带CMA或CNAS标识的检测报告，</w:t>
      </w:r>
      <w:r>
        <w:rPr>
          <w:rFonts w:hint="eastAsia" w:ascii="宋体" w:hAnsi="宋体"/>
          <w:b/>
          <w:bCs/>
          <w:color w:val="auto"/>
          <w:highlight w:val="none"/>
          <w:lang w:val="en-US" w:eastAsia="zh-CN"/>
        </w:rPr>
        <w:t>并</w:t>
      </w:r>
      <w:r>
        <w:rPr>
          <w:rFonts w:hint="default" w:ascii="宋体" w:hAnsi="宋体"/>
          <w:b/>
          <w:bCs/>
          <w:color w:val="auto"/>
          <w:highlight w:val="none"/>
          <w:lang w:val="en-US" w:eastAsia="zh-CN"/>
        </w:rPr>
        <w:t>在投标文件中注明检测报告所在页码，以方便评审时查阅。</w:t>
      </w:r>
    </w:p>
    <w:p>
      <w:pPr>
        <w:spacing w:line="360" w:lineRule="auto"/>
        <w:rPr>
          <w:rFonts w:hint="eastAsia" w:ascii="宋体" w:hAnsi="宋体" w:eastAsia="宋体" w:cs="宋体"/>
          <w:b/>
          <w:bCs/>
          <w:color w:val="auto"/>
          <w:sz w:val="21"/>
          <w:szCs w:val="21"/>
          <w:highlight w:val="none"/>
          <w:lang w:val="en-US" w:eastAsia="zh-CN"/>
        </w:rPr>
      </w:pPr>
    </w:p>
    <w:p>
      <w:pPr>
        <w:spacing w:line="360" w:lineRule="auto"/>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b/>
          <w:color w:val="auto"/>
          <w:highlight w:val="none"/>
          <w:lang w:eastAsia="zh-CN"/>
        </w:rPr>
      </w:pPr>
      <w:r>
        <w:rPr>
          <w:rFonts w:ascii="宋体" w:hAnsi="宋体"/>
          <w:color w:val="auto"/>
          <w:highlight w:val="none"/>
        </w:rPr>
        <w:br w:type="page"/>
      </w:r>
      <w:r>
        <w:rPr>
          <w:rFonts w:hint="eastAsia" w:ascii="宋体" w:hAnsi="宋体"/>
          <w:b/>
          <w:bCs/>
          <w:color w:val="auto"/>
          <w:highlight w:val="none"/>
          <w:lang w:val="en-US" w:eastAsia="zh-CN"/>
        </w:rPr>
        <w:t>三</w:t>
      </w:r>
      <w:r>
        <w:rPr>
          <w:rFonts w:hint="eastAsia" w:ascii="宋体" w:hAnsi="宋体"/>
          <w:b/>
          <w:bCs/>
          <w:color w:val="auto"/>
          <w:highlight w:val="none"/>
        </w:rPr>
        <w:t>、</w:t>
      </w:r>
      <w:r>
        <w:rPr>
          <w:rFonts w:hint="eastAsia" w:ascii="宋体" w:hAnsi="宋体"/>
          <w:b/>
          <w:color w:val="auto"/>
          <w:highlight w:val="none"/>
        </w:rPr>
        <w:t>样品要求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本项目须提供样品，清单如下：</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（1）课桌（采购清单序号1） 一张</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（2）课椅（采购清单序号2）  一把</w:t>
      </w:r>
    </w:p>
    <w:p>
      <w:pPr>
        <w:spacing w:line="360" w:lineRule="auto"/>
        <w:rPr>
          <w:rFonts w:hint="eastAsia" w:ascii="宋体" w:hAnsi="宋体"/>
          <w:b/>
          <w:bCs/>
          <w:color w:val="auto"/>
          <w:highlight w:val="none"/>
        </w:rPr>
      </w:pPr>
      <w:r>
        <w:rPr>
          <w:rFonts w:hint="eastAsia" w:ascii="宋体" w:hAnsi="宋体"/>
          <w:b/>
          <w:bCs/>
          <w:color w:val="auto"/>
          <w:highlight w:val="none"/>
        </w:rPr>
        <w:t>未提供样品或样品提供不全的，作无效标处理。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样品外表面上须牢固地粘贴一张写有“投标人名称”的标识，样品请于投标截止时间前送至宁波市北仑区四明山路773号行政大楼B座，并完成摆放。未中标单位的投标样品请于当日拿回，中标单位的样品请于评标结束后送至采购人指定地点进行封样，并作为履约验收的参考。</w:t>
      </w:r>
    </w:p>
    <w:p>
      <w:pPr>
        <w:spacing w:line="360" w:lineRule="auto"/>
        <w:rPr>
          <w:rFonts w:hint="eastAsia" w:ascii="宋体" w:hAnsi="宋体"/>
          <w:b w:val="0"/>
          <w:bCs w:val="0"/>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、其他要求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关于报价：投标人的投标货物要按照本招标文件货物规格尺寸要求一次性报价；未确定尺寸的产品，投标人应根据实际情况自行确定，同时应满足使用要求。报价应包含货物本体、运输、包装、装卸、安装、调试、服务等完税后费用。</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2、投标人必须充分考虑</w:t>
      </w:r>
      <w:r>
        <w:rPr>
          <w:rFonts w:hint="eastAsia" w:ascii="宋体" w:hAnsi="宋体"/>
          <w:b w:val="0"/>
          <w:bCs w:val="0"/>
          <w:color w:val="auto"/>
          <w:highlight w:val="none"/>
          <w:lang w:val="en-US" w:eastAsia="zh-CN"/>
        </w:rPr>
        <w:t>采购需求</w:t>
      </w:r>
      <w:r>
        <w:rPr>
          <w:rFonts w:hint="eastAsia" w:ascii="宋体" w:hAnsi="宋体"/>
          <w:b w:val="0"/>
          <w:bCs w:val="0"/>
          <w:color w:val="auto"/>
          <w:highlight w:val="none"/>
        </w:rPr>
        <w:t>中的技术规范，根据招标产品式样、功能、结构、材质等技术要求，提供相应的设计方案、技术方案和投标货物；投标人可在符合采购人技术规范的情况下，充分发挥自身的优势和特点，投标性价比优良的相应货物。</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 xml:space="preserve">3、项目中各类实木板、E0级中密度纤维板、E1级中密度纤维板、木皮、皮料、油漆等主要材质及部件必须符合招标文件要求，不得冒用、不得降低等级使用，否则视为不合格并取消中标资格。 </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4</w:t>
      </w:r>
      <w:r>
        <w:rPr>
          <w:rFonts w:hint="eastAsia" w:ascii="宋体" w:hAnsi="宋体"/>
          <w:b w:val="0"/>
          <w:bCs w:val="0"/>
          <w:color w:val="auto"/>
          <w:highlight w:val="none"/>
        </w:rPr>
        <w:t>、投标人应提供绿色环保办公家具，质量须达到国家有关家具的标准要求。所使用的</w:t>
      </w:r>
      <w:r>
        <w:rPr>
          <w:rFonts w:hint="eastAsia" w:ascii="宋体" w:hAnsi="宋体"/>
          <w:b w:val="0"/>
          <w:bCs w:val="0"/>
          <w:color w:val="auto"/>
          <w:highlight w:val="none"/>
          <w:lang w:val="en-US" w:eastAsia="zh-CN"/>
        </w:rPr>
        <w:t>各类</w:t>
      </w:r>
      <w:r>
        <w:rPr>
          <w:rFonts w:hint="eastAsia" w:ascii="宋体" w:hAnsi="宋体"/>
          <w:b w:val="0"/>
          <w:bCs w:val="0"/>
          <w:color w:val="auto"/>
          <w:highlight w:val="none"/>
        </w:rPr>
        <w:t>材质</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包括不限于钢材、板材</w:t>
      </w:r>
      <w:r>
        <w:rPr>
          <w:rFonts w:hint="eastAsia" w:ascii="宋体" w:hAnsi="宋体"/>
          <w:b w:val="0"/>
          <w:bCs w:val="0"/>
          <w:color w:val="auto"/>
          <w:highlight w:val="none"/>
          <w:lang w:eastAsia="zh-CN"/>
        </w:rPr>
        <w:t>）</w:t>
      </w:r>
      <w:r>
        <w:rPr>
          <w:rFonts w:hint="eastAsia" w:ascii="宋体" w:hAnsi="宋体"/>
          <w:b w:val="0"/>
          <w:bCs w:val="0"/>
          <w:color w:val="auto"/>
          <w:highlight w:val="none"/>
        </w:rPr>
        <w:t>、油漆、粘接剂及成品等须达到国家有关家具环保标准；甲醛、苯等有害物质的含量及释放量必须低于国家有关家具环保标准值。</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5</w:t>
      </w:r>
      <w:r>
        <w:rPr>
          <w:rFonts w:hint="eastAsia" w:ascii="宋体" w:hAnsi="宋体"/>
          <w:b w:val="0"/>
          <w:bCs w:val="0"/>
          <w:color w:val="auto"/>
          <w:highlight w:val="none"/>
        </w:rPr>
        <w:t>、投标人应保证对其提供的办公家具及其制造工艺享有完全的知识产权，对由此引起的第三方要求承担全部责任。</w:t>
      </w:r>
    </w:p>
    <w:p>
      <w:pPr>
        <w:spacing w:line="360" w:lineRule="auto"/>
        <w:rPr>
          <w:rFonts w:hint="eastAsia" w:ascii="宋体" w:hAnsi="宋体"/>
          <w:b w:val="0"/>
          <w:bCs w:val="0"/>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五</w:t>
      </w:r>
      <w:r>
        <w:rPr>
          <w:rFonts w:hint="eastAsia" w:ascii="宋体" w:hAnsi="宋体"/>
          <w:b/>
          <w:bCs/>
          <w:color w:val="auto"/>
          <w:highlight w:val="none"/>
        </w:rPr>
        <w:t>、关于验收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1、家具安装调试完成，</w:t>
      </w:r>
      <w:r>
        <w:rPr>
          <w:rFonts w:hint="eastAsia" w:ascii="宋体" w:hAnsi="宋体"/>
          <w:color w:val="auto"/>
          <w:highlight w:val="none"/>
        </w:rPr>
        <w:t>经初验合格，进入试</w:t>
      </w:r>
      <w:r>
        <w:rPr>
          <w:rFonts w:hint="eastAsia" w:ascii="宋体" w:hAnsi="宋体"/>
          <w:color w:val="auto"/>
          <w:highlight w:val="none"/>
          <w:lang w:val="en-US" w:eastAsia="zh-CN"/>
        </w:rPr>
        <w:t>用期</w:t>
      </w:r>
      <w:r>
        <w:rPr>
          <w:rFonts w:hint="eastAsia" w:ascii="宋体" w:hAnsi="宋体"/>
          <w:color w:val="auto"/>
          <w:highlight w:val="none"/>
        </w:rPr>
        <w:t>，试</w:t>
      </w:r>
      <w:r>
        <w:rPr>
          <w:rFonts w:hint="eastAsia" w:ascii="宋体" w:hAnsi="宋体"/>
          <w:color w:val="auto"/>
          <w:highlight w:val="none"/>
          <w:lang w:val="en-US" w:eastAsia="zh-CN"/>
        </w:rPr>
        <w:t>用期</w:t>
      </w:r>
      <w:r>
        <w:rPr>
          <w:rFonts w:hint="eastAsia" w:ascii="宋体" w:hAnsi="宋体"/>
          <w:color w:val="auto"/>
          <w:highlight w:val="none"/>
        </w:rPr>
        <w:t>时间为</w:t>
      </w:r>
      <w:r>
        <w:rPr>
          <w:rFonts w:hint="eastAsia" w:ascii="宋体" w:hAnsi="宋体"/>
          <w:color w:val="auto"/>
          <w:highlight w:val="none"/>
          <w:lang w:val="en-US" w:eastAsia="zh-CN"/>
        </w:rPr>
        <w:t>一</w:t>
      </w:r>
      <w:r>
        <w:rPr>
          <w:rFonts w:hint="eastAsia" w:ascii="宋体" w:hAnsi="宋体"/>
          <w:color w:val="auto"/>
          <w:highlight w:val="none"/>
        </w:rPr>
        <w:t>个月</w:t>
      </w:r>
      <w:r>
        <w:rPr>
          <w:rFonts w:hint="eastAsia" w:ascii="宋体" w:hAnsi="宋体"/>
          <w:b w:val="0"/>
          <w:bCs w:val="0"/>
          <w:color w:val="auto"/>
          <w:highlight w:val="none"/>
        </w:rPr>
        <w:t>，试用期满后由</w:t>
      </w:r>
      <w:r>
        <w:rPr>
          <w:rFonts w:hint="eastAsia" w:ascii="宋体" w:hAnsi="宋体"/>
          <w:b w:val="0"/>
          <w:bCs w:val="0"/>
          <w:color w:val="auto"/>
          <w:highlight w:val="none"/>
          <w:lang w:val="en-US" w:eastAsia="zh-CN"/>
        </w:rPr>
        <w:t>买方</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w:t>
      </w:r>
      <w:r>
        <w:rPr>
          <w:rFonts w:hint="eastAsia" w:ascii="宋体" w:hAnsi="宋体"/>
          <w:b w:val="0"/>
          <w:bCs w:val="0"/>
          <w:color w:val="auto"/>
          <w:highlight w:val="none"/>
        </w:rPr>
        <w:t>买方归属管理部门</w:t>
      </w:r>
      <w:r>
        <w:rPr>
          <w:rFonts w:hint="eastAsia" w:ascii="宋体" w:hAnsi="宋体"/>
          <w:b w:val="0"/>
          <w:bCs w:val="0"/>
          <w:color w:val="auto"/>
          <w:highlight w:val="none"/>
          <w:lang w:eastAsia="zh-CN"/>
        </w:rPr>
        <w:t>）</w:t>
      </w:r>
      <w:r>
        <w:rPr>
          <w:rFonts w:hint="eastAsia" w:ascii="宋体" w:hAnsi="宋体"/>
          <w:b w:val="0"/>
          <w:bCs w:val="0"/>
          <w:color w:val="auto"/>
          <w:highlight w:val="none"/>
        </w:rPr>
        <w:t>组织相关部门和专家进行验收，签署验收报告，产品质保期自验收合格之日起算，由投标人提供产品质保文件。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2、当满足以下条件时，采购人才向中标人签发办公家具验收报告：</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1</w:t>
      </w:r>
      <w:r>
        <w:rPr>
          <w:rFonts w:hint="eastAsia" w:ascii="宋体" w:hAnsi="宋体"/>
          <w:b w:val="0"/>
          <w:bCs w:val="0"/>
          <w:color w:val="auto"/>
          <w:highlight w:val="none"/>
          <w:lang w:eastAsia="zh-CN"/>
        </w:rPr>
        <w:t>）</w:t>
      </w:r>
      <w:r>
        <w:rPr>
          <w:rFonts w:hint="eastAsia" w:ascii="宋体" w:hAnsi="宋体"/>
          <w:b w:val="0"/>
          <w:bCs w:val="0"/>
          <w:color w:val="auto"/>
          <w:highlight w:val="none"/>
        </w:rPr>
        <w:t>中标人已按照合同规定提供了全部产品及完整的技术资料。</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（2）</w:t>
      </w:r>
      <w:r>
        <w:rPr>
          <w:rFonts w:hint="eastAsia" w:ascii="宋体" w:hAnsi="宋体"/>
          <w:b w:val="0"/>
          <w:bCs w:val="0"/>
          <w:color w:val="auto"/>
          <w:highlight w:val="none"/>
        </w:rPr>
        <w:t>实木家具符合招标文件技术规格书的要求，性能满足要求。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（3）</w:t>
      </w:r>
      <w:r>
        <w:rPr>
          <w:rFonts w:hint="eastAsia" w:ascii="宋体" w:hAnsi="宋体"/>
          <w:b w:val="0"/>
          <w:bCs w:val="0"/>
          <w:color w:val="auto"/>
          <w:highlight w:val="none"/>
        </w:rPr>
        <w:t>实木家具具备产品合格证。</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3、在生产制作过程中采购人有权进入生产或制作现场，不定期对材质、配件进行原材料到货核查及生产场地、生产过程、生产工艺进行检查，对发现的问题和瑕疵提出整改要求。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4、验收过程中</w:t>
      </w:r>
      <w:r>
        <w:rPr>
          <w:rFonts w:hint="eastAsia" w:ascii="宋体" w:hAnsi="宋体"/>
          <w:b w:val="0"/>
          <w:bCs w:val="0"/>
          <w:color w:val="auto"/>
          <w:highlight w:val="none"/>
          <w:lang w:val="en-US" w:eastAsia="zh-CN"/>
        </w:rPr>
        <w:t>采购人</w:t>
      </w:r>
      <w:r>
        <w:rPr>
          <w:rFonts w:hint="eastAsia" w:ascii="宋体" w:hAnsi="宋体"/>
          <w:b w:val="0"/>
          <w:bCs w:val="0"/>
          <w:color w:val="auto"/>
          <w:highlight w:val="none"/>
        </w:rPr>
        <w:t>有权对货物抽样进行破坏性检验。由双方</w:t>
      </w:r>
      <w:r>
        <w:rPr>
          <w:rFonts w:hint="eastAsia" w:ascii="宋体" w:hAnsi="宋体"/>
          <w:b w:val="0"/>
          <w:bCs w:val="0"/>
          <w:color w:val="auto"/>
          <w:highlight w:val="none"/>
          <w:lang w:val="en-US" w:eastAsia="zh-CN"/>
        </w:rPr>
        <w:t>共同</w:t>
      </w:r>
      <w:r>
        <w:rPr>
          <w:rFonts w:hint="eastAsia" w:ascii="宋体" w:hAnsi="宋体"/>
          <w:b w:val="0"/>
          <w:bCs w:val="0"/>
          <w:color w:val="auto"/>
          <w:highlight w:val="none"/>
        </w:rPr>
        <w:t>认可的有资质的</w:t>
      </w:r>
      <w:r>
        <w:rPr>
          <w:rFonts w:hint="eastAsia" w:ascii="宋体" w:hAnsi="宋体"/>
          <w:b w:val="0"/>
          <w:bCs w:val="0"/>
          <w:color w:val="auto"/>
          <w:highlight w:val="none"/>
          <w:lang w:val="en-US" w:eastAsia="zh-CN"/>
        </w:rPr>
        <w:t>第三方</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或政府采购监管部门指定的</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b w:val="0"/>
          <w:bCs w:val="0"/>
          <w:color w:val="auto"/>
          <w:highlight w:val="none"/>
        </w:rPr>
        <w:t>对样品技术性能进行检测。检测合格的，检测费及货物费用由采购人支付。如检测结果不符合国家相关标准或投标文件中的技术性能，检测费用由供应商支付，并按本招标文件第</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部分</w:t>
      </w:r>
      <w:r>
        <w:rPr>
          <w:rFonts w:hint="eastAsia" w:ascii="宋体" w:hAnsi="宋体"/>
          <w:b w:val="0"/>
          <w:bCs w:val="0"/>
          <w:color w:val="auto"/>
          <w:highlight w:val="none"/>
          <w:lang w:val="en-US" w:eastAsia="zh-CN"/>
        </w:rPr>
        <w:t>采购合同</w:t>
      </w:r>
      <w:r>
        <w:rPr>
          <w:rFonts w:hint="eastAsia" w:ascii="宋体" w:hAnsi="宋体"/>
          <w:b w:val="0"/>
          <w:bCs w:val="0"/>
          <w:color w:val="auto"/>
          <w:highlight w:val="none"/>
        </w:rPr>
        <w:t>的相关条款处理</w:t>
      </w:r>
      <w:r>
        <w:rPr>
          <w:rFonts w:hint="eastAsia" w:ascii="宋体" w:hAnsi="宋体"/>
          <w:b w:val="0"/>
          <w:bCs w:val="0"/>
          <w:color w:val="auto"/>
          <w:highlight w:val="none"/>
          <w:lang w:eastAsia="zh-CN"/>
        </w:rPr>
        <w:t>，</w:t>
      </w:r>
      <w:r>
        <w:rPr>
          <w:rFonts w:hint="eastAsia" w:ascii="宋体" w:hAnsi="宋体"/>
          <w:b w:val="0"/>
          <w:bCs w:val="0"/>
          <w:color w:val="auto"/>
          <w:highlight w:val="none"/>
        </w:rPr>
        <w:t>另外采购人将报政府采购监管部门进行处理。</w:t>
      </w:r>
    </w:p>
    <w:p>
      <w:pPr>
        <w:spacing w:line="360" w:lineRule="auto"/>
        <w:rPr>
          <w:rFonts w:hint="eastAsia" w:ascii="宋体" w:hAnsi="宋体"/>
          <w:b/>
          <w:bCs/>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六</w:t>
      </w:r>
      <w:r>
        <w:rPr>
          <w:rFonts w:hint="eastAsia" w:ascii="宋体" w:hAnsi="宋体"/>
          <w:b/>
          <w:bCs/>
          <w:color w:val="auto"/>
          <w:highlight w:val="none"/>
        </w:rPr>
        <w:t>、特别说明</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1、采购需求中，带“▲”（如有）的为实质性条款，不得出现负偏离，否则做无效标处理。技术指标中带“★”（如有）为重要指标，不满足将按评标办法进行扣分。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2、采购需求中的品牌、型号（如有）仅供投标人参考，投标人可选择同等或更优档次的产品，但必须满足相应（实质性）技术要求、规格及安装条件。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3、投标人应自行组织现场踏勘（如有需要），自行确定货物的安装方法和安装费用，并将安装费用列入报价，安装费用中标后不予调整。</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4</w:t>
      </w:r>
      <w:r>
        <w:rPr>
          <w:rFonts w:hint="eastAsia" w:ascii="宋体" w:hAnsi="宋体"/>
          <w:b w:val="0"/>
          <w:bCs w:val="0"/>
          <w:color w:val="auto"/>
          <w:highlight w:val="none"/>
        </w:rPr>
        <w:t>、家具图样由供应商自行设计，合同签订前再根据采购人要求深化设计。家具产品色泽暂按招标文件中规定的颜色为准，如采购人供货前需要更改的，中标人应积极配合，中标价格不变。采购人有权在不改基本规格尺寸的基础上，要求中标人提供的货物在样式上稍做改动，价格不变。</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before="62" w:beforeLines="20" w:after="62" w:afterLines="20" w:line="288" w:lineRule="auto"/>
        <w:jc w:val="center"/>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采购合同（货物）</w:t>
      </w:r>
    </w:p>
    <w:p>
      <w:pPr>
        <w:spacing w:line="360" w:lineRule="auto"/>
        <w:rPr>
          <w:rFonts w:hint="eastAsia" w:ascii="宋体" w:hAnsi="宋体"/>
          <w:color w:val="auto"/>
          <w:highlight w:val="none"/>
          <w:shd w:val="clear" w:color="auto" w:fill="auto"/>
        </w:rPr>
      </w:pPr>
    </w:p>
    <w:p>
      <w:pPr>
        <w:spacing w:line="360" w:lineRule="auto"/>
        <w:rPr>
          <w:rFonts w:hint="eastAsia" w:ascii="宋体" w:hAnsi="宋体"/>
          <w:color w:val="auto"/>
          <w:highlight w:val="none"/>
          <w:shd w:val="clear" w:color="auto" w:fill="auto"/>
        </w:rPr>
      </w:pPr>
    </w:p>
    <w:p>
      <w:pPr>
        <w:spacing w:line="360" w:lineRule="auto"/>
        <w:rPr>
          <w:rFonts w:hint="eastAsia" w:ascii="宋体" w:hAnsi="宋体"/>
          <w:color w:val="auto"/>
          <w:highlight w:val="none"/>
          <w:shd w:val="clear" w:color="auto" w:fill="auto"/>
        </w:rPr>
      </w:pPr>
      <w:r>
        <w:rPr>
          <w:rFonts w:hint="eastAsia" w:ascii="宋体" w:hAnsi="宋体"/>
          <w:color w:val="auto"/>
          <w:highlight w:val="none"/>
          <w:shd w:val="clear" w:color="auto" w:fill="auto"/>
        </w:rPr>
        <w:t xml:space="preserve">甲方：（买方） </w:t>
      </w:r>
      <w:r>
        <w:rPr>
          <w:rFonts w:hint="eastAsia" w:ascii="宋体" w:hAnsi="宋体"/>
          <w:color w:val="auto"/>
          <w:highlight w:val="none"/>
          <w:u w:val="single"/>
          <w:shd w:val="clear" w:color="auto" w:fill="auto"/>
        </w:rPr>
        <w:t xml:space="preserve">                                    </w:t>
      </w:r>
    </w:p>
    <w:p>
      <w:pPr>
        <w:spacing w:line="360" w:lineRule="auto"/>
        <w:rPr>
          <w:rFonts w:hint="eastAsia" w:ascii="宋体" w:hAnsi="宋体"/>
          <w:color w:val="auto"/>
          <w:highlight w:val="none"/>
          <w:shd w:val="clear" w:color="auto" w:fill="auto"/>
        </w:rPr>
      </w:pPr>
      <w:r>
        <w:rPr>
          <w:rFonts w:hint="eastAsia" w:ascii="宋体" w:hAnsi="宋体"/>
          <w:color w:val="auto"/>
          <w:highlight w:val="none"/>
          <w:shd w:val="clear" w:color="auto" w:fill="auto"/>
        </w:rPr>
        <w:t xml:space="preserve">乙方：（卖方） </w:t>
      </w:r>
      <w:r>
        <w:rPr>
          <w:rFonts w:hint="eastAsia" w:ascii="宋体" w:hAnsi="宋体"/>
          <w:color w:val="auto"/>
          <w:highlight w:val="none"/>
          <w:u w:val="single"/>
          <w:shd w:val="clear" w:color="auto" w:fill="auto"/>
        </w:rPr>
        <w:t xml:space="preserve">                                    </w:t>
      </w:r>
    </w:p>
    <w:p>
      <w:pPr>
        <w:adjustRightInd w:val="0"/>
        <w:spacing w:line="360" w:lineRule="auto"/>
        <w:rPr>
          <w:rFonts w:hint="eastAsia" w:ascii="宋体" w:hAnsi="宋体"/>
          <w:color w:val="auto"/>
          <w:szCs w:val="21"/>
          <w:highlight w:val="none"/>
          <w:shd w:val="clear" w:color="auto" w:fill="auto"/>
        </w:rPr>
      </w:pP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甲、乙双方根据</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项目</w:t>
      </w:r>
      <w:r>
        <w:rPr>
          <w:rFonts w:hint="eastAsia" w:ascii="宋体" w:hAnsi="宋体"/>
          <w:color w:val="auto"/>
          <w:szCs w:val="21"/>
          <w:highlight w:val="none"/>
          <w:shd w:val="clear" w:color="auto" w:fill="auto"/>
        </w:rPr>
        <w:t>（项目编号：</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公开招标的结果，签署本合同。</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一、货物</w:t>
      </w:r>
      <w:r>
        <w:rPr>
          <w:rFonts w:hint="eastAsia" w:ascii="宋体" w:hAnsi="宋体"/>
          <w:b/>
          <w:color w:val="auto"/>
          <w:szCs w:val="21"/>
          <w:highlight w:val="none"/>
          <w:shd w:val="clear" w:color="auto" w:fill="auto"/>
        </w:rPr>
        <w:t>清单</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货物名称：</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型号规格：</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r>
        <w:rPr>
          <w:rFonts w:ascii="宋体" w:hAnsi="宋体"/>
          <w:color w:val="auto"/>
          <w:szCs w:val="21"/>
          <w:highlight w:val="none"/>
          <w:shd w:val="clear" w:color="auto" w:fill="auto"/>
        </w:rPr>
        <w:t>技术参数：</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数量（单位）：</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二、合同金额</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本合同金额为（大写）：</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元（￥</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元）人民币。</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三、技术资料</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乙方应按招标文件规定的时间向甲方提供使用货物的有关技术资料。</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四、知识产权</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乙方应保证所提供的货物或其任何一部分均不会侵犯任何第三方的知识产权。</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五、产权担保</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乙方保证所交付的货物的所有权完全属于乙方且无任何抵押、查封等产权瑕疵。</w:t>
      </w:r>
    </w:p>
    <w:p>
      <w:pPr>
        <w:adjustRightInd w:val="0"/>
        <w:spacing w:line="360" w:lineRule="auto"/>
        <w:rPr>
          <w:rFonts w:hint="eastAsia" w:ascii="宋体" w:hAnsi="宋体"/>
          <w:b/>
          <w:color w:val="auto"/>
          <w:szCs w:val="21"/>
          <w:highlight w:val="none"/>
          <w:shd w:val="clear" w:color="auto" w:fill="auto"/>
        </w:rPr>
      </w:pPr>
      <w:r>
        <w:rPr>
          <w:rFonts w:ascii="宋体" w:hAnsi="宋体"/>
          <w:b/>
          <w:color w:val="auto"/>
          <w:szCs w:val="21"/>
          <w:highlight w:val="none"/>
          <w:shd w:val="clear" w:color="auto" w:fill="auto"/>
        </w:rPr>
        <w:t>六、履约保证金</w:t>
      </w:r>
    </w:p>
    <w:p>
      <w:pPr>
        <w:adjustRightIn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本项目不收取履约保证金。</w:t>
      </w:r>
    </w:p>
    <w:p>
      <w:pPr>
        <w:adjustRightInd w:val="0"/>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七、转包或分包</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．本合同范围的货物，应由</w:t>
      </w:r>
      <w:r>
        <w:rPr>
          <w:rFonts w:ascii="宋体" w:hAnsi="宋体"/>
          <w:color w:val="auto"/>
          <w:szCs w:val="21"/>
          <w:highlight w:val="none"/>
          <w:shd w:val="clear" w:color="auto" w:fill="auto"/>
        </w:rPr>
        <w:t>乙</w:t>
      </w:r>
      <w:r>
        <w:rPr>
          <w:rFonts w:hint="eastAsia" w:ascii="宋体" w:hAnsi="宋体"/>
          <w:color w:val="auto"/>
          <w:szCs w:val="21"/>
          <w:highlight w:val="none"/>
          <w:shd w:val="clear" w:color="auto" w:fill="auto"/>
        </w:rPr>
        <w:t>方直接供应，不得转让他人供应；</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．除非得到</w:t>
      </w:r>
      <w:r>
        <w:rPr>
          <w:rFonts w:ascii="宋体" w:hAnsi="宋体"/>
          <w:color w:val="auto"/>
          <w:szCs w:val="21"/>
          <w:highlight w:val="none"/>
          <w:shd w:val="clear" w:color="auto" w:fill="auto"/>
        </w:rPr>
        <w:t>甲</w:t>
      </w:r>
      <w:r>
        <w:rPr>
          <w:rFonts w:hint="eastAsia" w:ascii="宋体" w:hAnsi="宋体"/>
          <w:color w:val="auto"/>
          <w:szCs w:val="21"/>
          <w:highlight w:val="none"/>
          <w:shd w:val="clear" w:color="auto" w:fill="auto"/>
        </w:rPr>
        <w:t>方的书面同意，</w:t>
      </w:r>
      <w:r>
        <w:rPr>
          <w:rFonts w:ascii="宋体" w:hAnsi="宋体"/>
          <w:color w:val="auto"/>
          <w:szCs w:val="21"/>
          <w:highlight w:val="none"/>
          <w:shd w:val="clear" w:color="auto" w:fill="auto"/>
        </w:rPr>
        <w:t>乙</w:t>
      </w:r>
      <w:r>
        <w:rPr>
          <w:rFonts w:hint="eastAsia" w:ascii="宋体" w:hAnsi="宋体"/>
          <w:color w:val="auto"/>
          <w:szCs w:val="21"/>
          <w:highlight w:val="none"/>
          <w:shd w:val="clear" w:color="auto" w:fill="auto"/>
        </w:rPr>
        <w:t>方不得将本合同范围的货物全部或部分分包给他人供应；</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．如有转让和未经</w:t>
      </w:r>
      <w:r>
        <w:rPr>
          <w:rFonts w:ascii="宋体" w:hAnsi="宋体"/>
          <w:color w:val="auto"/>
          <w:szCs w:val="21"/>
          <w:highlight w:val="none"/>
          <w:shd w:val="clear" w:color="auto" w:fill="auto"/>
        </w:rPr>
        <w:t>甲</w:t>
      </w:r>
      <w:r>
        <w:rPr>
          <w:rFonts w:hint="eastAsia" w:ascii="宋体" w:hAnsi="宋体"/>
          <w:color w:val="auto"/>
          <w:szCs w:val="21"/>
          <w:highlight w:val="none"/>
          <w:shd w:val="clear" w:color="auto" w:fill="auto"/>
        </w:rPr>
        <w:t>方同意的分包行为，</w:t>
      </w:r>
      <w:r>
        <w:rPr>
          <w:rFonts w:ascii="宋体" w:hAnsi="宋体"/>
          <w:color w:val="auto"/>
          <w:szCs w:val="21"/>
          <w:highlight w:val="none"/>
          <w:shd w:val="clear" w:color="auto" w:fill="auto"/>
        </w:rPr>
        <w:t>甲</w:t>
      </w:r>
      <w:r>
        <w:rPr>
          <w:rFonts w:hint="eastAsia" w:ascii="宋体" w:hAnsi="宋体"/>
          <w:color w:val="auto"/>
          <w:szCs w:val="21"/>
          <w:highlight w:val="none"/>
          <w:shd w:val="clear" w:color="auto" w:fill="auto"/>
        </w:rPr>
        <w:t>方有权解除合同，</w:t>
      </w:r>
      <w:r>
        <w:rPr>
          <w:rFonts w:hint="eastAsia" w:ascii="宋体" w:hAnsi="宋体"/>
          <w:color w:val="auto"/>
          <w:highlight w:val="none"/>
          <w:shd w:val="clear" w:color="auto" w:fill="auto"/>
        </w:rPr>
        <w:t>没收履约保证金（如有）</w:t>
      </w:r>
      <w:r>
        <w:rPr>
          <w:rFonts w:hint="eastAsia" w:ascii="宋体" w:hAnsi="宋体"/>
          <w:color w:val="auto"/>
          <w:szCs w:val="21"/>
          <w:highlight w:val="none"/>
          <w:shd w:val="clear" w:color="auto" w:fill="auto"/>
        </w:rPr>
        <w:t>并追究乙方的违约责任。</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八、质保期</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质保期</w:t>
      </w:r>
      <w:r>
        <w:rPr>
          <w:rFonts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年。（自交货验收合格之日起计）</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九、交货期、交货方式及交货地点</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交货期：</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交货方式：</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交货地点：</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十、货款支付</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付款方式：</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当采购数量与实际使用数量不一致时，乙</w:t>
      </w:r>
      <w:r>
        <w:rPr>
          <w:rFonts w:hint="eastAsia" w:ascii="宋体" w:hAnsi="宋体"/>
          <w:color w:val="auto"/>
          <w:szCs w:val="21"/>
          <w:highlight w:val="none"/>
          <w:shd w:val="clear" w:color="auto" w:fill="auto"/>
        </w:rPr>
        <w:t>方</w:t>
      </w:r>
      <w:r>
        <w:rPr>
          <w:rFonts w:ascii="宋体" w:hAnsi="宋体"/>
          <w:color w:val="auto"/>
          <w:szCs w:val="21"/>
          <w:highlight w:val="none"/>
          <w:shd w:val="clear" w:color="auto" w:fill="auto"/>
        </w:rPr>
        <w:t>应根据实际使用量供货，合同的最终结算金额按实际使用量乘以成交单价进行计算。</w:t>
      </w:r>
    </w:p>
    <w:p>
      <w:pPr>
        <w:adjustRightInd w:val="0"/>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十一、税费</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本合同执行中相关的一切税费均由</w:t>
      </w:r>
      <w:r>
        <w:rPr>
          <w:rFonts w:ascii="宋体" w:hAnsi="宋体"/>
          <w:color w:val="auto"/>
          <w:szCs w:val="21"/>
          <w:highlight w:val="none"/>
          <w:shd w:val="clear" w:color="auto" w:fill="auto"/>
        </w:rPr>
        <w:t>乙</w:t>
      </w:r>
      <w:r>
        <w:rPr>
          <w:rFonts w:hint="eastAsia" w:ascii="宋体" w:hAnsi="宋体"/>
          <w:color w:val="auto"/>
          <w:szCs w:val="21"/>
          <w:highlight w:val="none"/>
          <w:shd w:val="clear" w:color="auto" w:fill="auto"/>
        </w:rPr>
        <w:t>方负担。</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十二、质量保证及售后服务</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乙方应按</w:t>
      </w:r>
      <w:r>
        <w:rPr>
          <w:rFonts w:hint="eastAsia" w:ascii="宋体" w:hAnsi="宋体"/>
          <w:color w:val="auto"/>
          <w:szCs w:val="21"/>
          <w:highlight w:val="none"/>
          <w:shd w:val="clear" w:color="auto" w:fill="auto"/>
        </w:rPr>
        <w:t>投标文件承诺</w:t>
      </w:r>
      <w:r>
        <w:rPr>
          <w:rFonts w:ascii="宋体" w:hAnsi="宋体"/>
          <w:color w:val="auto"/>
          <w:szCs w:val="21"/>
          <w:highlight w:val="none"/>
          <w:shd w:val="clear" w:color="auto" w:fill="auto"/>
        </w:rPr>
        <w:t>的货物性能、技术要求、质量标准向甲方提供未经使用的全新产品。</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乙方提供的货物在质</w:t>
      </w:r>
      <w:r>
        <w:rPr>
          <w:rFonts w:hint="eastAsia" w:ascii="宋体" w:hAnsi="宋体"/>
          <w:color w:val="auto"/>
          <w:szCs w:val="21"/>
          <w:highlight w:val="none"/>
          <w:shd w:val="clear" w:color="auto" w:fill="auto"/>
        </w:rPr>
        <w:t>保</w:t>
      </w:r>
      <w:r>
        <w:rPr>
          <w:rFonts w:ascii="宋体" w:hAnsi="宋体"/>
          <w:color w:val="auto"/>
          <w:szCs w:val="21"/>
          <w:highlight w:val="none"/>
          <w:shd w:val="clear" w:color="auto" w:fill="auto"/>
        </w:rPr>
        <w:t>期内因货物本身的质量问题发生故障，乙方应负责免费更换。对达不到技术要求者，根据实际情况，经双方协商，可按以下办法处理：</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⑴ </w:t>
      </w:r>
      <w:r>
        <w:rPr>
          <w:rFonts w:ascii="宋体" w:hAnsi="宋体"/>
          <w:color w:val="auto"/>
          <w:szCs w:val="21"/>
          <w:highlight w:val="none"/>
          <w:shd w:val="clear" w:color="auto" w:fill="auto"/>
        </w:rPr>
        <w:t>更换：由乙方承担所发生的全部费用。</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⑵ </w:t>
      </w:r>
      <w:r>
        <w:rPr>
          <w:rFonts w:ascii="宋体" w:hAnsi="宋体"/>
          <w:color w:val="auto"/>
          <w:szCs w:val="21"/>
          <w:highlight w:val="none"/>
          <w:shd w:val="clear" w:color="auto" w:fill="auto"/>
        </w:rPr>
        <w:t>贬值处理：由甲乙双方合议定价。</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⑶ </w:t>
      </w:r>
      <w:r>
        <w:rPr>
          <w:rFonts w:ascii="宋体" w:hAnsi="宋体"/>
          <w:color w:val="auto"/>
          <w:szCs w:val="21"/>
          <w:highlight w:val="none"/>
          <w:shd w:val="clear" w:color="auto" w:fill="auto"/>
        </w:rPr>
        <w:t>退货处理：乙方应退还甲方支付的合同款，同时应承担该货物的直接费用（运输、保险、检验、货款利息及银行手续费等）。</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如在使用过程中发生质量问题，乙方在接到甲方通知后在</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小时内到达甲方现场。</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在质保期内，乙方应对货物出现的质量及安全问题负责处理解决并承担一切费用。</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上述的货物免费保修期为</w:t>
      </w:r>
      <w:r>
        <w:rPr>
          <w:rFonts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年，因人为因素出现的故障不在免费保修范围内。超过保修期的</w:t>
      </w:r>
      <w:r>
        <w:rPr>
          <w:rFonts w:hint="eastAsia" w:ascii="宋体" w:hAnsi="宋体"/>
          <w:color w:val="auto"/>
          <w:szCs w:val="21"/>
          <w:highlight w:val="none"/>
          <w:shd w:val="clear" w:color="auto" w:fill="auto"/>
          <w:lang w:val="en-US" w:eastAsia="zh-CN"/>
        </w:rPr>
        <w:t>货物</w:t>
      </w:r>
      <w:r>
        <w:rPr>
          <w:rFonts w:ascii="宋体" w:hAnsi="宋体"/>
          <w:color w:val="auto"/>
          <w:szCs w:val="21"/>
          <w:highlight w:val="none"/>
          <w:shd w:val="clear" w:color="auto" w:fill="auto"/>
        </w:rPr>
        <w:t>，终</w:t>
      </w:r>
      <w:r>
        <w:rPr>
          <w:rFonts w:hint="eastAsia" w:ascii="宋体" w:hAnsi="宋体"/>
          <w:color w:val="auto"/>
          <w:szCs w:val="21"/>
          <w:highlight w:val="none"/>
          <w:shd w:val="clear" w:color="auto" w:fill="auto"/>
          <w:lang w:eastAsia="zh-CN"/>
        </w:rPr>
        <w:t>身</w:t>
      </w:r>
      <w:r>
        <w:rPr>
          <w:rFonts w:ascii="宋体" w:hAnsi="宋体"/>
          <w:color w:val="auto"/>
          <w:szCs w:val="21"/>
          <w:highlight w:val="none"/>
          <w:shd w:val="clear" w:color="auto" w:fill="auto"/>
        </w:rPr>
        <w:t>维修，维修时只收部件成本费。</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十三、调试和验收</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甲方对乙方提交的货物依据招标文件上的技术规格要求</w:t>
      </w:r>
      <w:r>
        <w:rPr>
          <w:rFonts w:hint="eastAsia" w:ascii="宋体" w:hAnsi="宋体"/>
          <w:color w:val="auto"/>
          <w:szCs w:val="21"/>
          <w:highlight w:val="none"/>
          <w:shd w:val="clear" w:color="auto" w:fill="auto"/>
        </w:rPr>
        <w:t>、乙方投标时的技术响应承诺</w:t>
      </w:r>
      <w:r>
        <w:rPr>
          <w:rFonts w:ascii="宋体" w:hAnsi="宋体"/>
          <w:color w:val="auto"/>
          <w:szCs w:val="21"/>
          <w:highlight w:val="none"/>
          <w:shd w:val="clear" w:color="auto" w:fill="auto"/>
        </w:rPr>
        <w:t>和国家有关质量标准进行现场初步验收，外观、说明书符合招标文件技术要求</w:t>
      </w:r>
      <w:r>
        <w:rPr>
          <w:rFonts w:hint="eastAsia" w:ascii="宋体" w:hAnsi="宋体"/>
          <w:color w:val="auto"/>
          <w:szCs w:val="21"/>
          <w:highlight w:val="none"/>
          <w:shd w:val="clear" w:color="auto" w:fill="auto"/>
        </w:rPr>
        <w:t>和投标技术响应</w:t>
      </w:r>
      <w:r>
        <w:rPr>
          <w:rFonts w:ascii="宋体" w:hAnsi="宋体"/>
          <w:color w:val="auto"/>
          <w:szCs w:val="21"/>
          <w:highlight w:val="none"/>
          <w:shd w:val="clear" w:color="auto" w:fill="auto"/>
        </w:rPr>
        <w:t>的，给予签收，初步验收不合格的不予签收。货到后，甲方需在五个工作日内验收。</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乙方交货前应对产品作出全面检查和对验收文件进行整理，并列出清单，作为甲方收货验收和使用的技术条件依据，检验的结果应随货物交甲方。</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甲方对乙方提供的货物在使用前进行调试时，乙方需负责安装并培训甲方的使用操作人员，并协助甲方一起调试，直到符合技术要求，甲方才做最终验收。</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w:t>
      </w:r>
      <w:r>
        <w:rPr>
          <w:rFonts w:hint="eastAsia" w:ascii="宋体" w:hAnsi="宋体"/>
          <w:color w:val="auto"/>
          <w:szCs w:val="21"/>
          <w:highlight w:val="none"/>
          <w:shd w:val="clear" w:color="auto" w:fill="auto"/>
        </w:rPr>
        <w:t>有权对项目内的产品及设备对照招标参数要求及投标文件设备技术响应参数进行检测。由双方共同认可的有资质的第三方检测机构（或政府采购监管部门指定的检测机构）进行检测，检测合格的，检测费用由</w:t>
      </w:r>
      <w:r>
        <w:rPr>
          <w:rFonts w:ascii="宋体" w:hAnsi="宋体"/>
          <w:color w:val="auto"/>
          <w:szCs w:val="21"/>
          <w:highlight w:val="none"/>
          <w:shd w:val="clear" w:color="auto" w:fill="auto"/>
        </w:rPr>
        <w:t>甲方</w:t>
      </w:r>
      <w:r>
        <w:rPr>
          <w:rFonts w:hint="eastAsia" w:ascii="宋体" w:hAnsi="宋体"/>
          <w:color w:val="auto"/>
          <w:szCs w:val="21"/>
          <w:highlight w:val="none"/>
          <w:shd w:val="clear" w:color="auto" w:fill="auto"/>
        </w:rPr>
        <w:t>支付。如检测结果不符合国家相关标准或投标文件中的技术性能承诺的，检测费用由</w:t>
      </w:r>
      <w:r>
        <w:rPr>
          <w:rFonts w:ascii="宋体" w:hAnsi="宋体"/>
          <w:color w:val="auto"/>
          <w:szCs w:val="21"/>
          <w:highlight w:val="none"/>
          <w:shd w:val="clear" w:color="auto" w:fill="auto"/>
        </w:rPr>
        <w:t>乙方</w:t>
      </w:r>
      <w:r>
        <w:rPr>
          <w:rFonts w:hint="eastAsia" w:ascii="宋体" w:hAnsi="宋体"/>
          <w:color w:val="auto"/>
          <w:szCs w:val="21"/>
          <w:highlight w:val="none"/>
          <w:shd w:val="clear" w:color="auto" w:fill="auto"/>
        </w:rPr>
        <w:t>支付。</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验收时乙方必须在现场，验收完毕后作出验收结果报告；验收费用由乙方负责。</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十四、货物包装、发运及运输</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乙方应在货物发运前对其进行满足运输距离、防潮、防震、防锈和防破损装卸等要求包装，以保证货物安全运达甲方指定地点。</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使用说明书、质量检验证明书、随配附件和工具以及清单一并附于货物内。</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乙方在货物发运手续办理完毕后24小时内或货到甲方48小时前通知甲方，以准备接货。</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货物在交付甲方前发生的风险均由乙方负责。</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货物在规定的交付期限内由乙方送达甲方指定的地点视为交付，乙方同时需通知甲方货物已送达。</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十五、违约责任</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甲方无正当理由拒收货物的，甲方向乙方偿付拒收货款总值的百分之五违约金。</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甲方无故逾期验收和办理货款支付手续的</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甲方应按逾期付款总额每日万分之五向乙方支付违约金。</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乙方所交的货物品种、型号、规格、技术参数、质量不符合合同规定及招标文件规定标准</w:t>
      </w:r>
      <w:r>
        <w:rPr>
          <w:rFonts w:hint="eastAsia" w:ascii="宋体" w:hAnsi="宋体"/>
          <w:color w:val="auto"/>
          <w:szCs w:val="21"/>
          <w:highlight w:val="none"/>
          <w:shd w:val="clear" w:color="auto" w:fill="auto"/>
        </w:rPr>
        <w:t>和投标响应承诺</w:t>
      </w:r>
      <w:r>
        <w:rPr>
          <w:rFonts w:ascii="宋体" w:hAnsi="宋体"/>
          <w:color w:val="auto"/>
          <w:szCs w:val="21"/>
          <w:highlight w:val="none"/>
          <w:shd w:val="clear" w:color="auto" w:fill="auto"/>
        </w:rPr>
        <w:t>的，甲方有权拒收该货物，乙方愿意更换货物但逾期交货的，按乙方逾期交货处理。乙方拒绝更换货物的，甲方可单方面解除合同。</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十六、不可抗力事件处理</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在合同有效期内，任何一方因不可抗力事件导致不能履行合同，则合同履行期可延长，其延长期与不可抗力影响期相同。</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不可抗力事件发生后，应立即通知对方，并寄送有关权威机构出具的证明。</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不可抗力事件延续120天以上，双方应通过友好协商，确定是否继续履行合同。</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十七、诉讼</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双方在执行合同中所发生的一切争议，应通过协商解决。如协商不成，可向</w:t>
      </w:r>
      <w:r>
        <w:rPr>
          <w:rFonts w:hint="eastAsia" w:ascii="宋体" w:hAnsi="宋体"/>
          <w:color w:val="auto"/>
          <w:szCs w:val="21"/>
          <w:highlight w:val="none"/>
          <w:shd w:val="clear" w:color="auto" w:fill="auto"/>
        </w:rPr>
        <w:t>甲方所在</w:t>
      </w:r>
      <w:r>
        <w:rPr>
          <w:rFonts w:ascii="宋体" w:hAnsi="宋体"/>
          <w:color w:val="auto"/>
          <w:szCs w:val="21"/>
          <w:highlight w:val="none"/>
          <w:shd w:val="clear" w:color="auto" w:fill="auto"/>
        </w:rPr>
        <w:t>地法院起诉。</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十八、合同生效及其它</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合同经双方法定代表人或授权代表签字并加盖单位公章后生效。</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合同执行中涉及采购资金和采购内容修改或补充的，须经财政部门审批，并签书面补充协议报政府采购监督管理部门备案，方可作为主合同不可分割的一部分。</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本合同未尽事宜，遵照</w:t>
      </w:r>
      <w:r>
        <w:rPr>
          <w:rFonts w:hint="eastAsia" w:ascii="宋体" w:hAnsi="宋体"/>
          <w:color w:val="auto"/>
          <w:highlight w:val="none"/>
          <w:shd w:val="clear" w:color="auto" w:fill="auto"/>
        </w:rPr>
        <w:t>《民法典》</w:t>
      </w:r>
      <w:r>
        <w:rPr>
          <w:rFonts w:ascii="宋体" w:hAnsi="宋体"/>
          <w:color w:val="auto"/>
          <w:szCs w:val="21"/>
          <w:highlight w:val="none"/>
          <w:shd w:val="clear" w:color="auto" w:fill="auto"/>
        </w:rPr>
        <w:t>有关条文执行。</w:t>
      </w:r>
    </w:p>
    <w:p>
      <w:pPr>
        <w:adjustRightInd w:val="0"/>
        <w:spacing w:line="360" w:lineRule="auto"/>
        <w:rPr>
          <w:rFonts w:hint="eastAsia"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．本合同正本一式</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份，</w:t>
      </w:r>
      <w:r>
        <w:rPr>
          <w:rFonts w:hint="eastAsia" w:ascii="宋体" w:hAnsi="宋体"/>
          <w:color w:val="auto"/>
          <w:highlight w:val="none"/>
          <w:shd w:val="clear" w:color="auto" w:fill="auto"/>
        </w:rPr>
        <w:t>具有同等法律效力，</w:t>
      </w:r>
      <w:r>
        <w:rPr>
          <w:rFonts w:hint="eastAsia" w:ascii="宋体" w:hAnsi="宋体"/>
          <w:color w:val="auto"/>
          <w:szCs w:val="21"/>
          <w:highlight w:val="none"/>
          <w:shd w:val="clear" w:color="auto" w:fill="auto"/>
        </w:rPr>
        <w:t>双方各执</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份，区政务服务中心</w:t>
      </w:r>
      <w:r>
        <w:rPr>
          <w:rFonts w:hint="eastAsia" w:ascii="宋体" w:hAnsi="宋体"/>
          <w:color w:val="auto"/>
          <w:highlight w:val="none"/>
          <w:shd w:val="clear" w:color="auto" w:fill="auto"/>
        </w:rPr>
        <w:t>一份。</w:t>
      </w:r>
    </w:p>
    <w:p>
      <w:pPr>
        <w:adjustRightInd w:val="0"/>
        <w:spacing w:line="360" w:lineRule="auto"/>
        <w:rPr>
          <w:rFonts w:hint="eastAsia" w:ascii="宋体" w:hAnsi="宋体"/>
          <w:color w:val="auto"/>
          <w:szCs w:val="21"/>
          <w:highlight w:val="none"/>
          <w:shd w:val="clear" w:color="auto" w:fill="auto"/>
        </w:rPr>
      </w:pPr>
    </w:p>
    <w:p>
      <w:pPr>
        <w:adjustRightInd w:val="0"/>
        <w:spacing w:line="360" w:lineRule="auto"/>
        <w:textAlignment w:val="baseline"/>
        <w:rPr>
          <w:rFonts w:hint="eastAsia" w:ascii="宋体" w:hAnsi="宋体"/>
          <w:color w:val="auto"/>
          <w:szCs w:val="21"/>
          <w:highlight w:val="none"/>
          <w:shd w:val="clear" w:color="auto" w:fill="auto"/>
        </w:rPr>
      </w:pPr>
    </w:p>
    <w:p>
      <w:pPr>
        <w:adjustRightInd w:val="0"/>
        <w:spacing w:line="360" w:lineRule="auto"/>
        <w:textAlignment w:val="baseline"/>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甲方：(公章)                                   乙方：(公章) </w:t>
      </w:r>
    </w:p>
    <w:p>
      <w:pPr>
        <w:adjustRightInd w:val="0"/>
        <w:spacing w:line="360" w:lineRule="auto"/>
        <w:textAlignment w:val="baseline"/>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地址：                                         地址：</w:t>
      </w:r>
    </w:p>
    <w:p>
      <w:pPr>
        <w:adjustRightInd w:val="0"/>
        <w:spacing w:line="360" w:lineRule="auto"/>
        <w:textAlignment w:val="baseline"/>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法定代表人或授权代表（签字）：                 法定代表人或授权代表（签字）：</w:t>
      </w:r>
    </w:p>
    <w:p>
      <w:pPr>
        <w:adjustRightInd w:val="0"/>
        <w:spacing w:line="360" w:lineRule="auto"/>
        <w:textAlignment w:val="baseline"/>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联系方式：（电话）                             联系方式：（电话）</w:t>
      </w:r>
    </w:p>
    <w:p>
      <w:pPr>
        <w:spacing w:line="360" w:lineRule="auto"/>
        <w:rPr>
          <w:rFonts w:hint="eastAsia" w:ascii="宋体" w:hAnsi="宋体" w:eastAsia="宋体" w:cs="宋体"/>
          <w:color w:val="auto"/>
          <w:highlight w:val="none"/>
          <w:shd w:val="clear" w:color="auto" w:fill="auto"/>
        </w:rPr>
      </w:pPr>
      <w:r>
        <w:rPr>
          <w:rFonts w:hint="eastAsia" w:ascii="宋体" w:hAnsi="宋体"/>
          <w:color w:val="auto"/>
          <w:szCs w:val="21"/>
          <w:highlight w:val="none"/>
          <w:shd w:val="clear" w:color="auto" w:fill="auto"/>
        </w:rPr>
        <w:t>签字日期：      年   月   日                   签字日期：     年   月   日</w:t>
      </w:r>
    </w:p>
    <w:p>
      <w:pPr>
        <w:spacing w:line="360" w:lineRule="auto"/>
        <w:rPr>
          <w:rFonts w:hint="eastAsia" w:ascii="宋体" w:hAnsi="宋体" w:eastAsia="宋体" w:cs="宋体"/>
          <w:color w:val="auto"/>
          <w:highlight w:val="none"/>
          <w:shd w:val="clear" w:color="auto" w:fill="auto"/>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投标文件</w:t>
      </w:r>
      <w:r>
        <w:rPr>
          <w:rFonts w:hint="eastAsia" w:ascii="宋体" w:hAnsi="宋体" w:eastAsia="宋体" w:cs="宋体"/>
          <w:b/>
          <w:bCs/>
          <w:color w:val="auto"/>
          <w:sz w:val="36"/>
          <w:szCs w:val="36"/>
          <w:highlight w:val="none"/>
          <w:lang w:val="en-US" w:eastAsia="zh-CN"/>
        </w:rPr>
        <w:t>组成及</w:t>
      </w:r>
      <w:r>
        <w:rPr>
          <w:rFonts w:hint="eastAsia" w:ascii="宋体" w:hAnsi="宋体" w:eastAsia="宋体" w:cs="宋体"/>
          <w:b/>
          <w:bCs/>
          <w:color w:val="auto"/>
          <w:sz w:val="36"/>
          <w:szCs w:val="36"/>
          <w:highlight w:val="none"/>
        </w:rPr>
        <w:t>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2、投标人应按照招标文件要求的内容和提供的格式编写投标文件。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3、如果是</w:t>
      </w:r>
      <w:r>
        <w:rPr>
          <w:rFonts w:hint="eastAsia" w:ascii="宋体" w:hAnsi="宋体" w:cs="宋体"/>
          <w:color w:val="auto"/>
          <w:sz w:val="21"/>
          <w:szCs w:val="21"/>
          <w:highlight w:val="none"/>
          <w:lang w:val="en-US" w:eastAsia="zh-CN"/>
        </w:rPr>
        <w:t>分支机构（分公司）</w:t>
      </w:r>
      <w:r>
        <w:rPr>
          <w:rFonts w:hint="eastAsia" w:ascii="宋体" w:hAnsi="宋体" w:eastAsia="宋体" w:cs="宋体"/>
          <w:color w:val="auto"/>
          <w:sz w:val="21"/>
          <w:szCs w:val="21"/>
          <w:highlight w:val="none"/>
        </w:rPr>
        <w:t>投标的，除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保险、电信等特定行业外，投标人应按招标文件第三部分投标人须知</w:t>
      </w:r>
      <w:r>
        <w:rPr>
          <w:rFonts w:hint="eastAsia" w:ascii="宋体" w:hAnsi="宋体" w:cs="宋体"/>
          <w:color w:val="auto"/>
          <w:sz w:val="21"/>
          <w:szCs w:val="21"/>
          <w:highlight w:val="none"/>
          <w:lang w:val="en-US" w:eastAsia="zh-CN"/>
        </w:rPr>
        <w:t>中的</w:t>
      </w:r>
      <w:r>
        <w:rPr>
          <w:rFonts w:hint="eastAsia" w:ascii="宋体" w:hAnsi="宋体" w:eastAsia="宋体" w:cs="宋体"/>
          <w:color w:val="auto"/>
          <w:sz w:val="21"/>
          <w:szCs w:val="21"/>
          <w:highlight w:val="none"/>
        </w:rPr>
        <w:t>要求提供总公司营业执照和授权书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1、投标人声明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原件彩色扫描件）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原件彩色扫描件）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投标人营业执照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、投标人中小企业声明函（中小微企业提供）（见格式3）（或 残疾人福利性单位声明函（残疾人福利性单位提供）（见格式4）</w:t>
      </w:r>
      <w:r>
        <w:rPr>
          <w:rFonts w:hint="eastAsia" w:ascii="宋体" w:hAnsi="宋体"/>
          <w:color w:val="auto"/>
          <w:highlight w:val="none"/>
          <w:lang w:val="en-US" w:eastAsia="zh-CN"/>
        </w:rPr>
        <w:t xml:space="preserve"> 或 </w:t>
      </w:r>
      <w:r>
        <w:rPr>
          <w:rFonts w:hint="eastAsia" w:ascii="宋体" w:hAnsi="宋体"/>
          <w:color w:val="auto"/>
          <w:highlight w:val="none"/>
        </w:rPr>
        <w:t>监狱企业证明文件（监狱企业提供）（要求见采购文件第四部分））（提供原件彩色扫描件）</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1、投标人应按照资格证明文件组成所列内容提供资格证明材料。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default" w:ascii="宋体" w:hAnsi="宋体"/>
          <w:color w:val="auto"/>
          <w:sz w:val="21"/>
          <w:szCs w:val="21"/>
          <w:highlight w:val="none"/>
          <w:lang w:val="en-US" w:eastAsia="zh-CN"/>
        </w:rPr>
        <w:t>资格证明文件中不得出现本项目的投标总价</w:t>
      </w:r>
      <w:r>
        <w:rPr>
          <w:rFonts w:hint="eastAsia" w:ascii="宋体" w:hAnsi="宋体" w:cs="宋体"/>
          <w:color w:val="auto"/>
          <w:szCs w:val="21"/>
          <w:highlight w:val="none"/>
        </w:rPr>
        <w:t>（固定价格采购除外）</w:t>
      </w:r>
      <w:r>
        <w:rPr>
          <w:rFonts w:hint="default" w:ascii="宋体" w:hAnsi="宋体"/>
          <w:color w:val="auto"/>
          <w:sz w:val="21"/>
          <w:szCs w:val="21"/>
          <w:highlight w:val="none"/>
          <w:lang w:val="en-US" w:eastAsia="zh-CN"/>
        </w:rPr>
        <w:t>，否则为无效投标。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w:t>
      </w:r>
      <w:r>
        <w:rPr>
          <w:rFonts w:hint="eastAsia" w:ascii="宋体" w:hAnsi="宋体" w:eastAsia="宋体" w:cs="宋体"/>
          <w:color w:val="auto"/>
          <w:sz w:val="21"/>
          <w:szCs w:val="21"/>
          <w:highlight w:val="none"/>
          <w:lang w:val="en-US" w:eastAsia="zh-CN"/>
        </w:rPr>
        <w:t>分支机构（</w:t>
      </w:r>
      <w:r>
        <w:rPr>
          <w:rFonts w:hint="eastAsia" w:ascii="宋体" w:hAnsi="宋体" w:eastAsia="宋体" w:cs="宋体"/>
          <w:color w:val="auto"/>
          <w:sz w:val="21"/>
          <w:szCs w:val="21"/>
          <w:highlight w:val="none"/>
        </w:rPr>
        <w:t>分公司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提供总公司营业执照和授权书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color w:val="auto"/>
          <w:sz w:val="21"/>
          <w:szCs w:val="21"/>
          <w:highlight w:val="none"/>
          <w:lang w:val="en-US" w:eastAsia="zh-CN"/>
        </w:rPr>
        <w:t>资格审查不</w:t>
      </w:r>
      <w:r>
        <w:rPr>
          <w:rFonts w:hint="eastAsia" w:ascii="宋体" w:hAnsi="宋体"/>
          <w:color w:val="auto"/>
          <w:sz w:val="21"/>
          <w:szCs w:val="21"/>
          <w:highlight w:val="none"/>
          <w:lang w:val="en-US" w:eastAsia="zh-CN"/>
        </w:rPr>
        <w:t>予</w:t>
      </w:r>
      <w:r>
        <w:rPr>
          <w:rFonts w:hint="default" w:ascii="宋体" w:hAnsi="宋体"/>
          <w:color w:val="auto"/>
          <w:sz w:val="21"/>
          <w:szCs w:val="21"/>
          <w:highlight w:val="none"/>
          <w:lang w:val="en-US" w:eastAsia="zh-CN"/>
        </w:rPr>
        <w:t>通过。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长江中学学生课桌椅</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BLZFCG2025028</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项目的投标，我方就本次投标有关事项郑重声明如下：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签署上述项目的投标文件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lang w:val="en-US" w:eastAsia="zh-CN"/>
        </w:rPr>
      </w:pPr>
      <w:r>
        <w:rPr>
          <w:rFonts w:hint="eastAsia" w:eastAsia="黑体"/>
          <w:color w:val="auto"/>
          <w:spacing w:val="20"/>
          <w:sz w:val="36"/>
          <w:szCs w:val="32"/>
          <w:highlight w:val="none"/>
          <w:lang w:val="en-US" w:eastAsia="zh-CN"/>
        </w:rPr>
        <w:t>中小企业声明函（货物）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本公司郑重声明，根据《政府采购促进中小企业发展管理办法》（财库[2020]46号）的规定，本公司参加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采购活动，提供的货物全部由符合政策要求的中小企业制造。相关企业的具体情况如下：</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1、（货物名称1）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2、（货物名称2）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以上企业</w:t>
      </w:r>
      <w:r>
        <w:rPr>
          <w:rFonts w:hint="eastAsia" w:ascii="宋体" w:hAnsi="宋体" w:eastAsia="宋体" w:cs="宋体"/>
          <w:color w:val="auto"/>
          <w:highlight w:val="none"/>
          <w:lang w:eastAsia="zh-CN"/>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企业划分标准，按照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中小企业划型标准规定</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（工信部联企业[2011]300号）文件的规定。从业人员、营业收入、资产总额填报上一年度数据，无上一年度数据的新成立企业可不填报。</w:t>
      </w:r>
    </w:p>
    <w:p>
      <w:pPr>
        <w:spacing w:line="360" w:lineRule="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2、投标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应按本招标文件第四部分中的采购清单所列产品顺序，列出相关企业的具体情况</w:t>
      </w:r>
      <w:r>
        <w:rPr>
          <w:rFonts w:hint="eastAsia" w:ascii="宋体" w:hAnsi="宋体" w:cs="宋体"/>
          <w:color w:val="auto"/>
          <w:highlight w:val="none"/>
          <w:lang w:val="en-US" w:eastAsia="zh-CN"/>
        </w:rPr>
        <w:t>。由同一制造商生产的货物，允许合并列出。</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投标供应商提供的货物既有中小企业制造货物，也有大型企业制造货物的，不享受《政府采购促进中小企业发展管理办法》规定的中小企业扶持政策。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符合相应条件的企业应根据招标文件要求提供《中小企业声明函》，未按要求提供声明函的不被认定为中小微型企业。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提交中小企业声明函享受中小企业扶持政策并中标的，内容随中标公告一同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val="en-US" w:eastAsia="zh-CN"/>
        </w:rPr>
      </w:pPr>
      <w:r>
        <w:rPr>
          <w:rFonts w:ascii="宋体" w:hAnsi="宋体"/>
          <w:color w:val="auto"/>
          <w:highlight w:val="none"/>
        </w:rPr>
        <w:br w:type="page"/>
      </w:r>
      <w:r>
        <w:rPr>
          <w:rFonts w:hint="eastAsia" w:ascii="宋体" w:hAnsi="宋体" w:eastAsia="宋体" w:cs="宋体"/>
          <w:b/>
          <w:bCs/>
          <w:color w:val="auto"/>
          <w:highlight w:val="none"/>
          <w:lang w:val="en-US" w:eastAsia="zh-CN"/>
        </w:rPr>
        <w:t>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（1）、在货物采购项目中，货物由中小企业制造，即货物由中小企业生产且使用该中小企业商号或者注册商标；</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以联合体形式参加政府采购活动，联合体各方均为中小企业的，联合体视同中小企业。其中，联合体各方均为小微企业的，联合体视同小微企业。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5612765" cy="8722995"/>
            <wp:effectExtent l="0" t="0" r="6985" b="190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9"/>
                    <a:stretch>
                      <a:fillRect/>
                    </a:stretch>
                  </pic:blipFill>
                  <pic:spPr>
                    <a:xfrm>
                      <a:off x="0" y="0"/>
                      <a:ext cx="5612765" cy="8722995"/>
                    </a:xfrm>
                    <a:prstGeom prst="rect">
                      <a:avLst/>
                    </a:prstGeom>
                  </pic:spPr>
                </pic:pic>
              </a:graphicData>
            </a:graphic>
          </wp:inline>
        </w:drawing>
      </w:r>
      <w:r>
        <w:rPr>
          <w:rFonts w:hint="eastAsia" w:ascii="宋体" w:hAnsi="宋体" w:eastAsia="宋体" w:cs="宋体"/>
          <w:b/>
          <w:bCs/>
          <w:color w:val="auto"/>
          <w:highlight w:val="none"/>
          <w:lang w:eastAsia="zh-CN"/>
        </w:rPr>
        <w:t>风险提示：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2.投标人应当对其出具的《中小企业声明函》真实性负责，投标人出具的《中小企业声明函》内容不实的，</w:t>
      </w:r>
      <w:r>
        <w:rPr>
          <w:rFonts w:hint="eastAsia" w:ascii="宋体" w:hAnsi="宋体" w:eastAsia="宋体" w:cs="宋体"/>
          <w:b/>
          <w:bCs/>
          <w:color w:val="auto"/>
          <w:highlight w:val="none"/>
          <w:lang w:eastAsia="zh-CN"/>
        </w:rPr>
        <w:t>属于提供虚假材料谋取中标</w:t>
      </w:r>
      <w:r>
        <w:rPr>
          <w:rFonts w:hint="eastAsia" w:ascii="宋体" w:hAnsi="宋体" w:eastAsia="宋体" w:cs="宋体"/>
          <w:color w:val="auto"/>
          <w:highlight w:val="none"/>
          <w:lang w:eastAsia="zh-CN"/>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残疾人福利性单位声明函（投标人出具）</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采购活动，提供本单位制造的货物</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提供其他残疾人福利性单位制造的货物（不包括使用非残疾人福利性单位注册商标的货物）。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在本次政府采购活动中，残疾人福利性单位视同小型、微型企业，享受促进中小企业发展的政府采购政策。残疾人福利性单位属于小型、微型企业的，不重复享受政策。</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2、投标货物全部由投标人自己生产的，只要提供本声明函即可。如果投标货物（全部或部分）由其他制造商生产的，则必须同时提供该制造商的残疾人福利性单位声明函。</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3、符合相应条件的企业应根据招标文件要求提供《残疾人福利性单位声明函》，未按要求提供声明函的不被认定为残疾人福利性单位。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4、提交残疾人福利性单位声明函享受促进中小企业发展的政府采购政策并中标的，内容随中标公告一同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残疾人福利性单位声明函（其他制造商出具）</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rPr>
      </w:pPr>
      <w:r>
        <w:rPr>
          <w:rFonts w:hint="eastAsia" w:ascii="宋体" w:hAnsi="宋体"/>
          <w:color w:val="auto"/>
          <w:szCs w:val="21"/>
          <w:highlight w:val="none"/>
        </w:rPr>
        <w:t>制造商（单位公章）：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1、投标货物中含有其他制造商生产的产品的，须提供由该产品制造商出具的残疾人福利性单位声明函，未按要求提供声明函的该制造商不被认定为残疾人福利性单位。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2、在投标文件中提供由其他制造商出具的残疾人福利性单位声明函原件彩色扫描件。</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评标索引表</w:t>
      </w:r>
      <w:r>
        <w:rPr>
          <w:rFonts w:hint="eastAsia" w:ascii="宋体" w:hAnsi="宋体"/>
          <w:color w:val="auto"/>
          <w:highlight w:val="none"/>
          <w:lang w:eastAsia="zh-CN"/>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4、投标函（见</w:t>
      </w:r>
      <w:r>
        <w:rPr>
          <w:rFonts w:hint="eastAsia" w:ascii="宋体" w:hAnsi="宋体"/>
          <w:color w:val="auto"/>
          <w:highlight w:val="none"/>
        </w:rPr>
        <w:t>格式</w:t>
      </w:r>
      <w:r>
        <w:rPr>
          <w:rFonts w:hint="eastAsia" w:ascii="宋体" w:hAnsi="宋体"/>
          <w:color w:val="auto"/>
          <w:highlight w:val="none"/>
          <w:lang w:val="en-US" w:eastAsia="zh-CN"/>
        </w:rPr>
        <w:t>6）</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技术及服务条款偏离表（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商务条款偏离表（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投标货物清单（</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家具生产样式和工艺（</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主要材料、辅料、零部件情况表（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项目实施方案（内容格式自拟，要求见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拟派本项目主要实施人员情况表（见格式</w:t>
      </w:r>
      <w:r>
        <w:rPr>
          <w:rFonts w:hint="eastAsia" w:ascii="宋体" w:hAnsi="宋体"/>
          <w:color w:val="auto"/>
          <w:highlight w:val="none"/>
          <w:lang w:val="en-US" w:eastAsia="zh-CN"/>
        </w:rPr>
        <w:t>12</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质量保证和售后服务方案（内容格式自拟，要求见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rPr>
        <w:t>投标产品生产厂家取得证书情况表（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14、</w:t>
      </w:r>
      <w:r>
        <w:rPr>
          <w:rFonts w:hint="eastAsia" w:ascii="宋体" w:hAnsi="宋体"/>
          <w:color w:val="auto"/>
          <w:highlight w:val="none"/>
        </w:rPr>
        <w:t>类似项目业绩表（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15、投标产品取得节能环保认证证书情况表</w:t>
      </w:r>
      <w:r>
        <w:rPr>
          <w:rFonts w:hint="eastAsia" w:ascii="宋体" w:hAnsi="宋体"/>
          <w:color w:val="auto"/>
          <w:highlight w:val="none"/>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15</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16、</w:t>
      </w:r>
      <w:r>
        <w:rPr>
          <w:rFonts w:hint="eastAsia" w:ascii="宋体" w:hAnsi="宋体"/>
          <w:color w:val="auto"/>
          <w:highlight w:val="none"/>
        </w:rPr>
        <w:t>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1、投标人应按照技术商务文件组成所列内容和顺序编制技术商务文件。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2、技术商务文件应按照招标文件格式要求进行CA电子签章，未有规定的投标人视情况签章。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技术商务文件中不得出现本项目的投标总价</w:t>
      </w:r>
      <w:r>
        <w:rPr>
          <w:rFonts w:hint="eastAsia" w:ascii="宋体" w:hAnsi="宋体" w:cs="宋体"/>
          <w:color w:val="auto"/>
          <w:szCs w:val="21"/>
          <w:highlight w:val="none"/>
        </w:rPr>
        <w:t>（固定价格采购除外）</w:t>
      </w:r>
      <w:r>
        <w:rPr>
          <w:rFonts w:hint="eastAsia" w:ascii="宋体" w:hAnsi="宋体"/>
          <w:color w:val="auto"/>
          <w:highlight w:val="none"/>
        </w:rPr>
        <w:t>，否则为无效投标。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长江中学学生课桌椅</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BLZFCG2025028</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val="en-US"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评标索引表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5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5321"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评分项目</w:t>
            </w:r>
          </w:p>
        </w:tc>
        <w:tc>
          <w:tcPr>
            <w:tcW w:w="150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w:t>
            </w:r>
          </w:p>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对应页码</w:t>
            </w:r>
          </w:p>
        </w:tc>
        <w:tc>
          <w:tcPr>
            <w:tcW w:w="1449"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1、根据评分标准</w:t>
      </w:r>
      <w:r>
        <w:rPr>
          <w:rFonts w:hint="eastAsia" w:ascii="宋体" w:hAnsi="宋体" w:eastAsia="宋体" w:cs="宋体"/>
          <w:color w:val="auto"/>
          <w:highlight w:val="none"/>
          <w:lang w:val="en-US" w:eastAsia="zh-CN"/>
        </w:rPr>
        <w:t>表技术商务部分</w:t>
      </w:r>
      <w:r>
        <w:rPr>
          <w:rFonts w:hint="eastAsia" w:ascii="宋体" w:hAnsi="宋体" w:eastAsia="宋体" w:cs="宋体"/>
          <w:color w:val="auto"/>
          <w:highlight w:val="none"/>
          <w:lang w:eastAsia="zh-CN"/>
        </w:rPr>
        <w:t>逐条填写。</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项目公开招标的有关活动，并对此项目进行投标。为此：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我方同意在本项目招标文件中规定的</w:t>
      </w:r>
      <w:r>
        <w:rPr>
          <w:rFonts w:hint="eastAsia" w:ascii="宋体" w:hAnsi="宋体" w:eastAsia="宋体" w:cs="宋体"/>
          <w:color w:val="auto"/>
          <w:highlight w:val="none"/>
          <w:u w:val="none"/>
          <w:lang w:val="en-US" w:eastAsia="zh-CN"/>
        </w:rPr>
        <w:t>投标有效期内，</w:t>
      </w:r>
      <w:r>
        <w:rPr>
          <w:rFonts w:hint="eastAsia" w:ascii="宋体" w:hAnsi="宋体" w:eastAsia="宋体" w:cs="宋体"/>
          <w:color w:val="auto"/>
          <w:highlight w:val="none"/>
          <w:u w:val="none"/>
        </w:rPr>
        <w:t>遵守本投标文件中的承诺且在此期限</w:t>
      </w:r>
      <w:r>
        <w:rPr>
          <w:rFonts w:hint="eastAsia" w:ascii="宋体" w:hAnsi="宋体" w:cs="宋体"/>
          <w:color w:val="auto"/>
          <w:highlight w:val="none"/>
          <w:u w:val="none"/>
          <w:lang w:val="en-US" w:eastAsia="zh-CN"/>
        </w:rPr>
        <w:t>届</w:t>
      </w:r>
      <w:r>
        <w:rPr>
          <w:rFonts w:hint="eastAsia" w:ascii="宋体" w:hAnsi="宋体" w:eastAsia="宋体" w:cs="宋体"/>
          <w:color w:val="auto"/>
          <w:highlight w:val="none"/>
          <w:u w:val="none"/>
        </w:rPr>
        <w:t>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我方保证遵守招标文件的全部规定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提供招标文件规定的全部投标文件。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本项目投标总价见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如果我方中标，保证忠实地执行双方所签订的政府采购合同，并承担政府采购合同规定的责任和义务。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我方保证尊重评标委员会的评标结果，完全理解本项目不一定接受最低报价的投标。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我方已详细审查全部招标文件，在投标之前已经与招标方进行了充分的沟通，完全理解并接受招标文件的各项规定和要求，对招标文件的合理性、合法性不再有异议。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与本项目投标活动有关的一切正式往来信函请寄：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技术及服务条款偏离表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招标文件技术、服务要求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bl>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1、技术、服务条款内容主要是针对招标文件有关的技术规格、服务要求等内容。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2、无偏离应在本表“投标文件响应情况”栏注明“无技术及服务条款偏离”的字样。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交付时间</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质保期</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4</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1、商务条款内容主要是针对招标文件有关的付款条件、交付期、质保期、合同主要条款等内容。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2、无偏离应在本表“投标文件响应情况”栏注明“无商务条款偏离”的字样。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投标货物清单</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67"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60"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2551"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主要性能参数</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342" w:type="dxa"/>
            <w:shd w:val="clear" w:color="auto" w:fill="auto"/>
            <w:noWrap w:val="0"/>
            <w:vAlign w:val="center"/>
          </w:tcPr>
          <w:p>
            <w:pPr>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制造商及</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部分中的采购清单相一致。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家具生产样式和工艺</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80"/>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使用区域</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restart"/>
            <w:noWrap w:val="0"/>
            <w:vAlign w:val="center"/>
          </w:tcPr>
          <w:p>
            <w:pPr>
              <w:snapToGrid w:val="0"/>
              <w:jc w:val="center"/>
              <w:rPr>
                <w:rFonts w:ascii="宋体" w:hAnsi="宋体"/>
                <w:b/>
                <w:color w:val="auto"/>
                <w:kern w:val="44"/>
                <w:sz w:val="21"/>
                <w:szCs w:val="21"/>
                <w:highlight w:val="none"/>
              </w:rPr>
            </w:pPr>
            <w:r>
              <w:rPr>
                <w:rFonts w:hint="eastAsia" w:ascii="宋体" w:hAnsi="宋体"/>
                <w:b/>
                <w:color w:val="auto"/>
                <w:kern w:val="44"/>
                <w:sz w:val="21"/>
                <w:szCs w:val="21"/>
                <w:highlight w:val="none"/>
              </w:rPr>
              <w:t>（家具图片）</w:t>
            </w:r>
          </w:p>
          <w:p>
            <w:pPr>
              <w:snapToGrid w:val="0"/>
              <w:jc w:val="center"/>
              <w:rPr>
                <w:rFonts w:ascii="宋体" w:hAnsi="宋体"/>
                <w:color w:val="auto"/>
                <w:kern w:val="44"/>
                <w:sz w:val="21"/>
                <w:szCs w:val="21"/>
                <w:highlight w:val="none"/>
              </w:rPr>
            </w:pPr>
            <w:r>
              <w:rPr>
                <w:rFonts w:hint="eastAsia" w:ascii="宋体" w:hAnsi="宋体"/>
                <w:b/>
                <w:color w:val="auto"/>
                <w:kern w:val="44"/>
                <w:sz w:val="21"/>
                <w:szCs w:val="21"/>
                <w:highlight w:val="none"/>
              </w:rPr>
              <w:t>（款式选择说明）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序号</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货物名称</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lang w:val="en-US" w:eastAsia="zh-CN"/>
              </w:rPr>
              <w:t>货物制造商</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规格</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材质1</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材质2</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材质3</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数量</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工艺流程</w:t>
            </w:r>
          </w:p>
        </w:tc>
        <w:tc>
          <w:tcPr>
            <w:tcW w:w="7671" w:type="dxa"/>
            <w:gridSpan w:val="2"/>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备注</w:t>
            </w:r>
          </w:p>
        </w:tc>
        <w:tc>
          <w:tcPr>
            <w:tcW w:w="7671" w:type="dxa"/>
            <w:gridSpan w:val="2"/>
            <w:noWrap w:val="0"/>
            <w:vAlign w:val="center"/>
          </w:tcPr>
          <w:p>
            <w:pPr>
              <w:snapToGrid w:val="0"/>
              <w:jc w:val="center"/>
              <w:rPr>
                <w:rFonts w:ascii="宋体" w:hAnsi="宋体"/>
                <w:b/>
                <w:color w:val="auto"/>
                <w:kern w:val="44"/>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1、此表中的序号及货物名称请按照招标文件第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部分采购清单中的顺序来，一种货物一张表格，请详细列出产品的技术规格描述，施工工艺（尤其是喷涂工艺）。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2、此表的材质1、材质2、材质3等请按具体产品使用的材质来填写，例如异形沙发有面料，海绵，内架等，请列明配件的厂商、材质产地、型号、规格等详细参数。</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主要材料、辅料、零部件情况表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2268"/>
        <w:gridCol w:w="1134"/>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690"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名称</w:t>
            </w:r>
          </w:p>
        </w:tc>
        <w:tc>
          <w:tcPr>
            <w:tcW w:w="2268"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规格型号</w:t>
            </w:r>
          </w:p>
        </w:tc>
        <w:tc>
          <w:tcPr>
            <w:tcW w:w="1134"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产地</w:t>
            </w:r>
          </w:p>
        </w:tc>
        <w:tc>
          <w:tcPr>
            <w:tcW w:w="3227"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品牌/制造商名称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1、表后附所列产品的供货证明、合格证、检测报告等相关质量证明材料</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拟派本项目主要实施人员情况表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475"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拟在本项目中担任职务</w:t>
            </w:r>
          </w:p>
        </w:tc>
        <w:tc>
          <w:tcPr>
            <w:tcW w:w="1620"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898"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身份证号码</w:t>
            </w:r>
          </w:p>
        </w:tc>
        <w:tc>
          <w:tcPr>
            <w:tcW w:w="3595" w:type="dxa"/>
            <w:noWrap w:val="0"/>
            <w:vAlign w:val="center"/>
          </w:tcPr>
          <w:p>
            <w:pPr>
              <w:tabs>
                <w:tab w:val="left" w:pos="0"/>
              </w:tabs>
              <w:adjustRightInd w:val="0"/>
              <w:snapToGrid w:val="0"/>
              <w:jc w:val="center"/>
              <w:rPr>
                <w:rFonts w:hint="eastAsia"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noWrap w:val="0"/>
            <w:vAlign w:val="center"/>
          </w:tcPr>
          <w:p>
            <w:pPr>
              <w:tabs>
                <w:tab w:val="left" w:pos="0"/>
              </w:tabs>
              <w:adjustRightInd w:val="0"/>
              <w:snapToGrid w:val="0"/>
              <w:spacing w:line="276" w:lineRule="auto"/>
              <w:rPr>
                <w:rFonts w:hint="eastAsia"/>
                <w:color w:val="auto"/>
                <w:sz w:val="21"/>
                <w:szCs w:val="21"/>
                <w:highlight w:val="none"/>
              </w:rPr>
            </w:pPr>
            <w:r>
              <w:rPr>
                <w:rFonts w:hint="eastAsia"/>
                <w:color w:val="auto"/>
                <w:sz w:val="21"/>
                <w:szCs w:val="21"/>
                <w:highlight w:val="none"/>
              </w:rPr>
              <w:t>声明：一旦我单位中标，将实行项目经理负责制，并配备上述项目实施人员。我方保证上述填报内容真实，若不真实，愿按有关规定接受处理。</w:t>
            </w:r>
          </w:p>
        </w:tc>
      </w:tr>
    </w:tbl>
    <w:p>
      <w:pPr>
        <w:spacing w:line="360" w:lineRule="auto"/>
        <w:ind w:firstLine="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1、拟派人员须是投标单位正式职工，以社保证明为准，如为</w:t>
      </w:r>
      <w:r>
        <w:rPr>
          <w:rFonts w:hint="eastAsia" w:ascii="宋体" w:hAnsi="宋体" w:eastAsia="宋体" w:cs="宋体"/>
          <w:color w:val="auto"/>
          <w:highlight w:val="none"/>
          <w:lang w:val="en-US" w:eastAsia="zh-CN"/>
        </w:rPr>
        <w:t>符合法律规定的</w:t>
      </w:r>
      <w:r>
        <w:rPr>
          <w:rFonts w:hint="eastAsia" w:ascii="宋体" w:hAnsi="宋体" w:eastAsia="宋体" w:cs="宋体"/>
          <w:color w:val="auto"/>
          <w:highlight w:val="none"/>
          <w:lang w:eastAsia="zh-CN"/>
        </w:rPr>
        <w:t>离退休返聘人员的，须提供退休证明及单位聘用证明。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表后</w:t>
      </w:r>
      <w:r>
        <w:rPr>
          <w:rFonts w:hint="eastAsia" w:ascii="宋体" w:hAnsi="宋体" w:eastAsia="宋体" w:cs="宋体"/>
          <w:color w:val="auto"/>
          <w:highlight w:val="none"/>
          <w:lang w:val="en-US" w:eastAsia="zh-CN"/>
        </w:rPr>
        <w:t>附拟派</w:t>
      </w:r>
      <w:r>
        <w:rPr>
          <w:rFonts w:hint="eastAsia" w:ascii="宋体" w:hAnsi="宋体" w:eastAsia="宋体" w:cs="宋体"/>
          <w:color w:val="auto"/>
          <w:highlight w:val="none"/>
          <w:lang w:eastAsia="zh-CN"/>
        </w:rPr>
        <w:t>人员的</w:t>
      </w:r>
      <w:r>
        <w:rPr>
          <w:rFonts w:hint="eastAsia" w:ascii="宋体" w:hAnsi="宋体" w:eastAsia="宋体" w:cs="宋体"/>
          <w:color w:val="auto"/>
          <w:highlight w:val="none"/>
          <w:lang w:val="en-US" w:eastAsia="zh-CN"/>
        </w:rPr>
        <w:t>社保</w:t>
      </w:r>
      <w:r>
        <w:rPr>
          <w:rFonts w:hint="eastAsia" w:ascii="宋体" w:hAnsi="宋体" w:eastAsia="宋体" w:cs="宋体"/>
          <w:color w:val="auto"/>
          <w:highlight w:val="none"/>
          <w:lang w:eastAsia="zh-CN"/>
        </w:rPr>
        <w:t>证明（</w:t>
      </w:r>
      <w:r>
        <w:rPr>
          <w:rFonts w:hint="eastAsia" w:ascii="宋体" w:hAnsi="宋体" w:eastAsia="宋体" w:cs="宋体"/>
          <w:color w:val="auto"/>
          <w:highlight w:val="none"/>
          <w:lang w:val="en-US" w:eastAsia="zh-CN"/>
        </w:rPr>
        <w:t>或返聘人员证明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业绩证明、相关</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3、列入本表人员如要更换，需经采购人同意，擅自更换或不到位的属违约行为。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4、投标人为谋取评审优势而提供无法为本项目服务的人员，将影响任务的分配，情况严重的将被解除合同，并按照相关规定处理，投标人必须慎重考虑并提供相关服务人员。</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lang w:val="en-US" w:eastAsia="zh-CN"/>
        </w:rPr>
        <w:t>投标产品生产厂家取得</w:t>
      </w:r>
      <w:r>
        <w:rPr>
          <w:rFonts w:hint="eastAsia" w:eastAsia="黑体"/>
          <w:color w:val="auto"/>
          <w:spacing w:val="20"/>
          <w:sz w:val="36"/>
          <w:szCs w:val="32"/>
          <w:highlight w:val="none"/>
        </w:rPr>
        <w:t>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2410"/>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8" w:type="dxa"/>
            <w:noWrap w:val="0"/>
            <w:vAlign w:val="center"/>
          </w:tcPr>
          <w:p>
            <w:pPr>
              <w:jc w:val="center"/>
              <w:rPr>
                <w:rFonts w:hint="eastAsia"/>
                <w:b/>
                <w:color w:val="auto"/>
                <w:sz w:val="21"/>
                <w:szCs w:val="21"/>
                <w:highlight w:val="none"/>
              </w:rPr>
            </w:pPr>
            <w:r>
              <w:rPr>
                <w:rFonts w:hint="eastAsia"/>
                <w:b/>
                <w:color w:val="auto"/>
                <w:sz w:val="21"/>
                <w:szCs w:val="21"/>
                <w:highlight w:val="none"/>
              </w:rPr>
              <w:t>序号</w:t>
            </w:r>
          </w:p>
        </w:tc>
        <w:tc>
          <w:tcPr>
            <w:tcW w:w="2824" w:type="dxa"/>
            <w:noWrap w:val="0"/>
            <w:vAlign w:val="center"/>
          </w:tcPr>
          <w:p>
            <w:pPr>
              <w:jc w:val="center"/>
              <w:rPr>
                <w:rFonts w:hint="eastAsia"/>
                <w:b/>
                <w:color w:val="auto"/>
                <w:sz w:val="21"/>
                <w:szCs w:val="21"/>
                <w:highlight w:val="none"/>
              </w:rPr>
            </w:pPr>
            <w:r>
              <w:rPr>
                <w:rFonts w:hint="eastAsia"/>
                <w:b/>
                <w:color w:val="auto"/>
                <w:sz w:val="21"/>
                <w:szCs w:val="21"/>
                <w:highlight w:val="none"/>
              </w:rPr>
              <w:t>名  称</w:t>
            </w:r>
          </w:p>
        </w:tc>
        <w:tc>
          <w:tcPr>
            <w:tcW w:w="2410" w:type="dxa"/>
            <w:noWrap w:val="0"/>
            <w:vAlign w:val="center"/>
          </w:tcPr>
          <w:p>
            <w:pPr>
              <w:jc w:val="center"/>
              <w:rPr>
                <w:rFonts w:hint="eastAsia"/>
                <w:b/>
                <w:color w:val="auto"/>
                <w:sz w:val="21"/>
                <w:szCs w:val="21"/>
                <w:highlight w:val="none"/>
              </w:rPr>
            </w:pPr>
            <w:r>
              <w:rPr>
                <w:rFonts w:hint="eastAsia"/>
                <w:b/>
                <w:color w:val="auto"/>
                <w:sz w:val="21"/>
                <w:szCs w:val="21"/>
                <w:highlight w:val="none"/>
              </w:rPr>
              <w:t>发证单位</w:t>
            </w:r>
          </w:p>
        </w:tc>
        <w:tc>
          <w:tcPr>
            <w:tcW w:w="1701" w:type="dxa"/>
            <w:noWrap w:val="0"/>
            <w:vAlign w:val="center"/>
          </w:tcPr>
          <w:p>
            <w:pPr>
              <w:jc w:val="center"/>
              <w:rPr>
                <w:rFonts w:hint="eastAsia"/>
                <w:b/>
                <w:color w:val="auto"/>
                <w:sz w:val="21"/>
                <w:szCs w:val="21"/>
                <w:highlight w:val="none"/>
              </w:rPr>
            </w:pPr>
            <w:r>
              <w:rPr>
                <w:rFonts w:hint="eastAsia"/>
                <w:b/>
                <w:color w:val="auto"/>
                <w:sz w:val="21"/>
                <w:szCs w:val="21"/>
                <w:highlight w:val="none"/>
              </w:rPr>
              <w:t>发证时间</w:t>
            </w:r>
          </w:p>
        </w:tc>
        <w:tc>
          <w:tcPr>
            <w:tcW w:w="1417" w:type="dxa"/>
            <w:noWrap w:val="0"/>
            <w:vAlign w:val="center"/>
          </w:tcPr>
          <w:p>
            <w:pPr>
              <w:jc w:val="center"/>
              <w:rPr>
                <w:rFonts w:hint="eastAsia"/>
                <w:b/>
                <w:color w:val="auto"/>
                <w:sz w:val="21"/>
                <w:szCs w:val="21"/>
                <w:highlight w:val="none"/>
              </w:rPr>
            </w:pPr>
            <w:r>
              <w:rPr>
                <w:rFonts w:hint="eastAsia"/>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1、对照评分标准表，表后附相关证书的原件彩色扫描件，未提供的，相关项目不得分。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、以上内容必须是真实的，否则一经查实，按相关规定处理。</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类似项目业绩表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85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项目名称</w:t>
            </w:r>
          </w:p>
        </w:tc>
        <w:tc>
          <w:tcPr>
            <w:tcW w:w="184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cs="宋体"/>
                <w:b/>
                <w:color w:val="auto"/>
                <w:kern w:val="0"/>
                <w:sz w:val="21"/>
                <w:szCs w:val="21"/>
                <w:highlight w:val="none"/>
              </w:rPr>
              <w:t>名称</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合同金额</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合同签订时间</w:t>
            </w:r>
          </w:p>
        </w:tc>
        <w:tc>
          <w:tcPr>
            <w:tcW w:w="1417"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cs="宋体"/>
                <w:b/>
                <w:color w:val="auto"/>
                <w:kern w:val="0"/>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1、提供符合本招标文件要求的类似项目业绩，表后附合同和验收证明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color w:val="auto"/>
          <w:highlight w:val="none"/>
          <w:lang w:val="en-US" w:eastAsia="zh-CN"/>
        </w:rPr>
        <w:t>的原件彩色扫描件，未提供的，相关项目不得分。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2、以上内容必须是真实的，否则一经查实，按相关规定处理。</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投标产品取得节能环</w:t>
      </w:r>
      <w:r>
        <w:rPr>
          <w:rFonts w:hint="eastAsia" w:eastAsia="黑体"/>
          <w:color w:val="auto"/>
          <w:spacing w:val="20"/>
          <w:sz w:val="36"/>
          <w:szCs w:val="32"/>
          <w:highlight w:val="none"/>
          <w:lang w:val="en-US" w:eastAsia="zh-CN"/>
        </w:rPr>
        <w:t>保</w:t>
      </w:r>
      <w:r>
        <w:rPr>
          <w:rFonts w:hint="eastAsia" w:eastAsia="黑体"/>
          <w:color w:val="auto"/>
          <w:spacing w:val="20"/>
          <w:sz w:val="36"/>
          <w:szCs w:val="32"/>
          <w:highlight w:val="none"/>
        </w:rPr>
        <w:t>认证证书情况表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1367"/>
        <w:gridCol w:w="856"/>
        <w:gridCol w:w="2564"/>
        <w:gridCol w:w="1665"/>
        <w:gridCol w:w="960"/>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产品名称</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品牌</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制造商（生产者）名称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证书颁发机构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证书有效截止日期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证书扫描件（或网页截图）在投标文件对应页码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一、</w:t>
            </w:r>
            <w:r>
              <w:rPr>
                <w:rFonts w:hint="eastAsia" w:ascii="宋体" w:hAnsi="宋体" w:eastAsia="宋体" w:cs="宋体"/>
                <w:b/>
                <w:bCs/>
                <w:i w:val="0"/>
                <w:color w:val="auto"/>
                <w:sz w:val="21"/>
                <w:szCs w:val="21"/>
                <w:highlight w:val="none"/>
                <w:u w:val="none"/>
              </w:rPr>
              <w:t>节能产品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二、</w:t>
            </w:r>
            <w:r>
              <w:rPr>
                <w:rFonts w:hint="eastAsia" w:ascii="宋体" w:hAnsi="宋体" w:eastAsia="宋体" w:cs="宋体"/>
                <w:b/>
                <w:bCs/>
                <w:i w:val="0"/>
                <w:color w:val="auto"/>
                <w:sz w:val="21"/>
                <w:szCs w:val="21"/>
                <w:highlight w:val="none"/>
                <w:u w:val="none"/>
              </w:rPr>
              <w:t>环境标志产品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、根据现行政府采购政策</w:t>
      </w:r>
      <w:r>
        <w:rPr>
          <w:rFonts w:hint="eastAsia" w:ascii="宋体" w:hAnsi="宋体" w:cs="宋体"/>
          <w:color w:val="auto"/>
          <w:highlight w:val="none"/>
          <w:lang w:val="en-US" w:eastAsia="zh-CN"/>
        </w:rPr>
        <w:t>和</w:t>
      </w:r>
      <w:r>
        <w:rPr>
          <w:rFonts w:hint="eastAsia" w:ascii="宋体" w:hAnsi="宋体" w:eastAsia="宋体" w:cs="宋体"/>
          <w:color w:val="auto"/>
          <w:highlight w:val="none"/>
          <w:lang w:eastAsia="zh-CN"/>
        </w:rPr>
        <w:t>招标文件要求提供</w:t>
      </w:r>
      <w:r>
        <w:rPr>
          <w:rFonts w:hint="eastAsia" w:ascii="宋体" w:hAnsi="宋体" w:cs="宋体"/>
          <w:color w:val="auto"/>
          <w:highlight w:val="none"/>
          <w:lang w:val="en-US" w:eastAsia="zh-CN"/>
        </w:rPr>
        <w:t>投标</w:t>
      </w:r>
      <w:r>
        <w:rPr>
          <w:rFonts w:hint="eastAsia" w:ascii="宋体" w:hAnsi="宋体" w:eastAsia="宋体" w:cs="宋体"/>
          <w:color w:val="auto"/>
          <w:highlight w:val="none"/>
          <w:lang w:eastAsia="zh-CN"/>
        </w:rPr>
        <w:t>产品取得节能环保认证的证明材料，未提供的相关项目不得分。施行强制采购的节能产品，没有提供</w:t>
      </w:r>
      <w:r>
        <w:rPr>
          <w:rFonts w:hint="eastAsia" w:ascii="宋体" w:hAnsi="宋体" w:cs="宋体"/>
          <w:color w:val="auto"/>
          <w:highlight w:val="none"/>
          <w:lang w:val="en-US" w:eastAsia="zh-CN"/>
        </w:rPr>
        <w:t>节能</w:t>
      </w:r>
      <w:r>
        <w:rPr>
          <w:rFonts w:hint="eastAsia" w:ascii="宋体" w:hAnsi="宋体" w:eastAsia="宋体" w:cs="宋体"/>
          <w:color w:val="auto"/>
          <w:highlight w:val="none"/>
          <w:lang w:eastAsia="zh-CN"/>
        </w:rPr>
        <w:t>认证证明的</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投标无效。</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3、开标一览表（见</w:t>
      </w:r>
      <w:r>
        <w:rPr>
          <w:rFonts w:hint="eastAsia" w:ascii="宋体" w:hAnsi="宋体"/>
          <w:color w:val="auto"/>
          <w:highlight w:val="none"/>
        </w:rPr>
        <w:t>格式</w:t>
      </w:r>
      <w:r>
        <w:rPr>
          <w:rFonts w:hint="eastAsia" w:ascii="宋体" w:hAnsi="宋体"/>
          <w:color w:val="auto"/>
          <w:highlight w:val="none"/>
          <w:lang w:val="en-US" w:eastAsia="zh-CN"/>
        </w:rPr>
        <w:t>16）</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4、投标分项报价表（见</w:t>
      </w:r>
      <w:r>
        <w:rPr>
          <w:rFonts w:hint="eastAsia" w:ascii="宋体" w:hAnsi="宋体"/>
          <w:color w:val="auto"/>
          <w:highlight w:val="none"/>
        </w:rPr>
        <w:t>格式</w:t>
      </w:r>
      <w:r>
        <w:rPr>
          <w:rFonts w:hint="eastAsia" w:ascii="宋体" w:hAnsi="宋体"/>
          <w:color w:val="auto"/>
          <w:highlight w:val="none"/>
          <w:lang w:val="en-US" w:eastAsia="zh-CN"/>
        </w:rPr>
        <w:t>17）</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1、投标人应按照报价文件组成所列内容和顺序编制报价文件。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2、报价文件应按照招标文件格式要求进行CA电子签章，未有规定的投标人视情况签章。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长江中学学生课桌椅</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BLZFCG2025028</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开标一览表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b/>
                <w:bCs/>
                <w:color w:val="auto"/>
                <w:sz w:val="21"/>
                <w:szCs w:val="21"/>
                <w:highlight w:val="none"/>
              </w:rPr>
              <w:t>投标总价（元）</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b/>
                <w:bCs/>
                <w:color w:val="auto"/>
                <w:sz w:val="21"/>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color w:val="auto"/>
                <w:sz w:val="21"/>
                <w:szCs w:val="21"/>
                <w:highlight w:val="none"/>
                <w:lang w:eastAsia="zh-CN"/>
              </w:rPr>
              <w:t>长江中学学生课桌椅</w:t>
            </w: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小写</w:t>
            </w:r>
            <w:r>
              <w:rPr>
                <w:rFonts w:hint="eastAsia" w:ascii="宋体" w:hAnsi="宋体"/>
                <w:color w:val="auto"/>
                <w:sz w:val="21"/>
                <w:szCs w:val="21"/>
                <w:highlight w:val="none"/>
                <w:lang w:eastAsia="zh-CN"/>
              </w:rPr>
              <w:t>：</w:t>
            </w:r>
          </w:p>
        </w:tc>
        <w:tc>
          <w:tcPr>
            <w:tcW w:w="2127" w:type="dxa"/>
            <w:vMerge w:val="restart"/>
            <w:shd w:val="clear" w:color="auto" w:fill="auto"/>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olor w:val="auto"/>
                <w:sz w:val="21"/>
                <w:szCs w:val="21"/>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auto"/>
                <w:sz w:val="21"/>
                <w:szCs w:val="21"/>
                <w:highlight w:val="none"/>
              </w:rPr>
            </w:pP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大写</w:t>
            </w:r>
            <w:r>
              <w:rPr>
                <w:rFonts w:hint="eastAsia" w:ascii="宋体" w:hAnsi="宋体"/>
                <w:color w:val="auto"/>
                <w:sz w:val="21"/>
                <w:szCs w:val="21"/>
                <w:highlight w:val="none"/>
                <w:lang w:eastAsia="zh-CN"/>
              </w:rPr>
              <w:t>：</w:t>
            </w:r>
          </w:p>
        </w:tc>
        <w:tc>
          <w:tcPr>
            <w:tcW w:w="2127" w:type="dxa"/>
            <w:vMerge w:val="continue"/>
            <w:shd w:val="clear" w:color="auto" w:fill="auto"/>
            <w:noWrap w:val="0"/>
            <w:vAlign w:val="center"/>
          </w:tcPr>
          <w:p>
            <w:pPr>
              <w:widowControl/>
              <w:jc w:val="left"/>
              <w:rPr>
                <w:rFonts w:hint="eastAsia"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1、投标总价应为供应商提供本项目采购范围内的货物和服务所需的一切费用。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2、本表格的“投标总价”应与投标分项报价表的“投标总价”一致。</w:t>
      </w:r>
    </w:p>
    <w:p>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投标分项报价表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长江中学学生课桌椅</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268"/>
        <w:gridCol w:w="851"/>
        <w:gridCol w:w="850"/>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7"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01"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2268" w:type="dxa"/>
            <w:noWrap w:val="0"/>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品牌、规格及型号</w:t>
            </w:r>
          </w:p>
        </w:tc>
        <w:tc>
          <w:tcPr>
            <w:tcW w:w="851" w:type="dxa"/>
            <w:noWrap w:val="0"/>
            <w:vAlign w:val="center"/>
          </w:tcPr>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850" w:type="dxa"/>
            <w:noWrap w:val="0"/>
            <w:vAlign w:val="center"/>
          </w:tcPr>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418" w:type="dxa"/>
            <w:noWrap w:val="0"/>
            <w:vAlign w:val="center"/>
          </w:tcPr>
          <w:p>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单价</w:t>
            </w:r>
          </w:p>
          <w:p>
            <w:pPr>
              <w:snapToGri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(元/单位)</w:t>
            </w:r>
          </w:p>
        </w:tc>
        <w:tc>
          <w:tcPr>
            <w:tcW w:w="1275" w:type="dxa"/>
            <w:noWrap w:val="0"/>
            <w:vAlign w:val="center"/>
          </w:tcPr>
          <w:p>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总价</w:t>
            </w:r>
          </w:p>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18" w:type="dxa"/>
            <w:gridSpan w:val="2"/>
            <w:vMerge w:val="restart"/>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投标总价（元）</w:t>
            </w: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18" w:type="dxa"/>
            <w:gridSpan w:val="2"/>
            <w:vMerge w:val="continue"/>
            <w:noWrap w:val="0"/>
            <w:vAlign w:val="center"/>
          </w:tcPr>
          <w:p>
            <w:pPr>
              <w:rPr>
                <w:rFonts w:hint="eastAsia" w:ascii="宋体" w:hAnsi="宋体" w:eastAsia="宋体" w:cs="宋体"/>
                <w:b/>
                <w:color w:val="auto"/>
                <w:sz w:val="21"/>
                <w:szCs w:val="21"/>
                <w:highlight w:val="none"/>
              </w:rPr>
            </w:pP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大写:</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部分中的采购清单相一致。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2、本表格的“投标总价”应与开标一览表的“投标总价”一致。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ascii="宋体" w:hAnsi="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部分  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评标原则</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评标活动遵循公平、公正、客观的原则，按招标文件中规定的评标方法和标准进行。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本次招标采用综合评分法。</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采购人和采购代理机构根据采购项目的内容特点按照规定组建评标委员会。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评标委员会由采购人代表和评审专家组成，成员人数为5人以上单数，其中评审专家不少于成员总数的三分之二。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4.1资格文件审查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开标后，采购人、采购代理机构按照招标文件的规定对投标人的资格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文件进行审查，以确定投标供应商是否具备投标资格。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审查内容包括投标人提供的资格证明材料是否齐全规范，投标人资格、信用信息等是否满足招标文件的要求。审查不合格的投标人，不进入技术商务文件评审。（具体见本部分无效投标的认定）</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4.2技术商务文件评审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4.2.1</w:t>
      </w:r>
      <w:r>
        <w:rPr>
          <w:rFonts w:hint="eastAsia" w:ascii="宋体" w:hAnsi="宋体" w:eastAsia="宋体" w:cs="宋体"/>
          <w:color w:val="auto"/>
          <w:highlight w:val="none"/>
        </w:rPr>
        <w:t>技术商务文件符合性审查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资格审查通过后，开启合格投标人的技术商务文件。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评标委员会依据招标文件的规定，对投标人的技术商务文件的有效性、完整性和对招标文件的响应程度进行审查，以确定是否对招标文件的实质性要求作出响应。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技术商务文件是否完整、文件签署是否齐全等，还包括投标文件是否对招标文件提出的所有实质性要求和条件作出响应，有无重大偏差；如有重大偏差者，作无效投标处理，不予进入详细评审。（具体见本部分无效投标的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4.2.2</w:t>
      </w:r>
      <w:r>
        <w:rPr>
          <w:rFonts w:hint="eastAsia" w:ascii="宋体" w:hAnsi="宋体" w:eastAsia="宋体" w:cs="宋体"/>
          <w:color w:val="auto"/>
          <w:highlight w:val="none"/>
        </w:rPr>
        <w:t>技术商务文件详细评审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评标委员会对具备实质性响应的技术商务文件进行</w:t>
      </w:r>
      <w:r>
        <w:rPr>
          <w:rFonts w:hint="eastAsia" w:ascii="宋体" w:hAnsi="宋体" w:eastAsia="宋体" w:cs="宋体"/>
          <w:color w:val="auto"/>
          <w:highlight w:val="none"/>
          <w:lang w:val="en-US" w:eastAsia="zh-CN"/>
        </w:rPr>
        <w:t>进一步</w:t>
      </w:r>
      <w:r>
        <w:rPr>
          <w:rFonts w:hint="eastAsia" w:ascii="宋体" w:hAnsi="宋体" w:eastAsia="宋体" w:cs="宋体"/>
          <w:color w:val="auto"/>
          <w:highlight w:val="none"/>
        </w:rPr>
        <w:t>评估和比较</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评标委员会成员根据投标人的技术商务文件及相关澄清文件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按照评分标准表（具体见本部分评分标准表）对各投标人技术商务</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进行打分。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评标委员会成员打分采用记名方式，统计时汇总每一细项每位评标委员会成员的评分，取算术平均分（小数点后保留二位小数，四舍五入）。</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4.3报价文件评审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4.3.1报价文件</w:t>
      </w:r>
      <w:r>
        <w:rPr>
          <w:rFonts w:hint="eastAsia" w:ascii="宋体" w:hAnsi="宋体" w:eastAsia="宋体" w:cs="宋体"/>
          <w:color w:val="auto"/>
          <w:highlight w:val="none"/>
        </w:rPr>
        <w:t>符合性审查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技术商务文件评审结束后，开启有效投标人的报价文件。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评标委员会对投标人的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文件是否完整、文件签署是否齐全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报价是否超出采购预算或最高限价，</w:t>
      </w:r>
      <w:r>
        <w:rPr>
          <w:rFonts w:hint="eastAsia" w:ascii="宋体" w:hAnsi="宋体" w:eastAsia="宋体" w:cs="宋体"/>
          <w:color w:val="auto"/>
          <w:highlight w:val="none"/>
        </w:rPr>
        <w:t>投标文件是否对招标文件提出的实质性要求作出响应，有无重大偏差；如有重大偏差者，作无效投标处理，不予进入详细评审。（具体见本部分无效投标的认定）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4.3.2报价文件</w:t>
      </w:r>
      <w:r>
        <w:rPr>
          <w:rFonts w:hint="eastAsia" w:ascii="宋体" w:hAnsi="宋体" w:eastAsia="宋体" w:cs="宋体"/>
          <w:color w:val="auto"/>
          <w:highlight w:val="none"/>
        </w:rPr>
        <w:t>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评标委员会对具备实质性响应的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文件进行</w:t>
      </w:r>
      <w:r>
        <w:rPr>
          <w:rFonts w:hint="eastAsia" w:ascii="宋体" w:hAnsi="宋体" w:eastAsia="宋体" w:cs="宋体"/>
          <w:color w:val="auto"/>
          <w:highlight w:val="none"/>
          <w:lang w:val="en-US" w:eastAsia="zh-CN"/>
        </w:rPr>
        <w:t>进一步评审</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认为投标人的报价明显低于其他通过符合性审查投标人的报价，有可能影响产品质量或者不能诚信履约的，应当要求其在评标</w:t>
      </w:r>
      <w:r>
        <w:rPr>
          <w:rFonts w:hint="eastAsia" w:ascii="宋体" w:hAnsi="宋体" w:eastAsia="宋体" w:cs="宋体"/>
          <w:color w:val="auto"/>
          <w:highlight w:val="none"/>
          <w:lang w:val="en-US" w:eastAsia="zh-CN"/>
        </w:rPr>
        <w:t>期间</w:t>
      </w:r>
      <w:r>
        <w:rPr>
          <w:rFonts w:hint="eastAsia" w:ascii="宋体" w:hAnsi="宋体" w:eastAsia="宋体" w:cs="宋体"/>
          <w:color w:val="auto"/>
          <w:highlight w:val="none"/>
        </w:rPr>
        <w:t>合理的时间内提供书面说明，必要时提交相关证明材料，投标人不能证明其报价合理性的，作无效投标处理</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4.3.3报价修正规则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在评审中，对投标报价出现前后不一致的，除招标文件另有规定外，按照下列规定修正：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（1）投标文件中开标一览表内容与投标文件中明细表内容不一致的，以开标一览表为准。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按上述方法调整后的投标报价经投标人确认后产生约束力，投标人不确认的，其投标无效。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4.3.4</w:t>
      </w:r>
      <w:r>
        <w:rPr>
          <w:rFonts w:hint="eastAsia" w:ascii="宋体" w:hAnsi="宋体" w:eastAsia="宋体" w:cs="宋体"/>
          <w:color w:val="auto"/>
          <w:highlight w:val="none"/>
        </w:rPr>
        <w:t>计算报价得分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结束后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按评分标准表</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计算</w:t>
      </w:r>
      <w:r>
        <w:rPr>
          <w:rFonts w:hint="eastAsia" w:ascii="宋体" w:hAnsi="宋体" w:eastAsia="宋体" w:cs="宋体"/>
          <w:color w:val="auto"/>
          <w:highlight w:val="none"/>
          <w:lang w:val="en-US" w:eastAsia="zh-CN"/>
        </w:rPr>
        <w:t>各投标人的报价得分</w:t>
      </w:r>
      <w:r>
        <w:rPr>
          <w:rFonts w:hint="eastAsia" w:ascii="宋体" w:hAnsi="宋体" w:eastAsia="宋体" w:cs="宋体"/>
          <w:color w:val="auto"/>
          <w:highlight w:val="none"/>
        </w:rPr>
        <w:t>（小数点后保留二位小数，四舍五入）</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4.4评审结果</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评标委员会对各投标人技术商务得分和报价得分进行汇总并排序。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评标委员会根据全体评标成员签字的原始评标记录和评标结果编写评标报告。按得分由高到低顺序推荐中标候选人。</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5、询标澄清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5.2除</w:t>
      </w:r>
      <w:r>
        <w:rPr>
          <w:rFonts w:hint="eastAsia" w:ascii="宋体" w:hAnsi="宋体" w:eastAsia="宋体" w:cs="宋体"/>
          <w:color w:val="auto"/>
          <w:highlight w:val="none"/>
        </w:rPr>
        <w:t>依法进行</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澄清、说明、补正外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投标人不得通过对投标文件修正、</w:t>
      </w:r>
      <w:r>
        <w:rPr>
          <w:rFonts w:hint="eastAsia" w:ascii="宋体" w:hAnsi="宋体" w:eastAsia="宋体" w:cs="宋体"/>
          <w:color w:val="auto"/>
          <w:highlight w:val="none"/>
          <w:lang w:val="en-US" w:eastAsia="zh-CN"/>
        </w:rPr>
        <w:t>撤销</w:t>
      </w:r>
      <w:r>
        <w:rPr>
          <w:rFonts w:hint="eastAsia" w:ascii="宋体" w:hAnsi="宋体" w:eastAsia="宋体" w:cs="宋体"/>
          <w:color w:val="auto"/>
          <w:highlight w:val="none"/>
        </w:rPr>
        <w:t>不符合要求的条款或通过投标文件以外的补充、纠正、佐证等，使其投标成为实质上响应的投标</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6、无效投标的认定</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实质上没有响应招标文件要求的投标被视为无效投标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投标响应文件有下列情形之一的作无效投标处理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6.1未按</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6.2</w:t>
      </w:r>
      <w:r>
        <w:rPr>
          <w:rFonts w:hint="eastAsia" w:ascii="宋体" w:hAnsi="宋体" w:eastAsia="宋体" w:cs="宋体"/>
          <w:color w:val="auto"/>
          <w:sz w:val="21"/>
          <w:szCs w:val="21"/>
          <w:highlight w:val="none"/>
        </w:rPr>
        <w:t>仅提交备份电子投标文件的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6.3不具备招标文件规定的资格要求的</w:t>
      </w:r>
      <w:r>
        <w:rPr>
          <w:rFonts w:hint="eastAsia" w:ascii="宋体" w:hAnsi="宋体" w:eastAsia="宋体" w:cs="宋体"/>
          <w:color w:val="auto"/>
          <w:highlight w:val="none"/>
          <w:lang w:val="en-US" w:eastAsia="zh-CN"/>
        </w:rPr>
        <w:t>或者</w:t>
      </w:r>
      <w:r>
        <w:rPr>
          <w:rFonts w:hint="eastAsia" w:ascii="宋体" w:hAnsi="宋体" w:eastAsia="宋体" w:cs="宋体"/>
          <w:color w:val="auto"/>
          <w:highlight w:val="none"/>
          <w:lang w:eastAsia="zh-CN"/>
        </w:rPr>
        <w:t>未按招标文件要求提供资格证明文件的。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highlight w:val="none"/>
        </w:rPr>
        <w:t>单位负责人为同一人或者存在直接控股、管理关系的不同供应商，参加同一合同项下的政府采购活动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相关投标人</w:t>
      </w:r>
      <w:r>
        <w:rPr>
          <w:rFonts w:hint="eastAsia" w:ascii="宋体" w:hAnsi="宋体" w:eastAsia="宋体" w:cs="宋体"/>
          <w:color w:val="auto"/>
          <w:sz w:val="21"/>
          <w:szCs w:val="21"/>
          <w:highlight w:val="none"/>
        </w:rPr>
        <w:t>均作无效投标处理）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highlight w:val="none"/>
        </w:rPr>
        <w:t>为采购项目提供整体设计、规范编制或者项目管理、监理、检测等服务的供应商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再参加该采购项目的其他采购活动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6.6经查询，投标人被“信用中国”、“中国政府采购网”列入失信被执行人、重大税收违法案件当事人名单、政府采购严重违法失信行为记录名单，且在禁止参加采购期限内的。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6.7投标文件</w:t>
      </w: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rPr>
        <w:t>签署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盖章的。</w:t>
      </w:r>
    </w:p>
    <w:p>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6.8投标文件项目不齐全，经评审委员会认定为无法评审的。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rPr>
        <w:t>投标有效期、付款方式、交货（服务）期限、质保期等条款不能满足招标文件要求的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6.10</w:t>
      </w:r>
      <w:r>
        <w:rPr>
          <w:rFonts w:hint="eastAsia" w:ascii="宋体" w:hAnsi="宋体" w:eastAsia="宋体" w:cs="宋体"/>
          <w:color w:val="auto"/>
          <w:sz w:val="21"/>
          <w:szCs w:val="21"/>
          <w:highlight w:val="none"/>
        </w:rPr>
        <w:t>不符合招标文件中有关分包、转包规定的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文件”或“技术商务文件”中出现</w:t>
      </w:r>
      <w:r>
        <w:rPr>
          <w:rFonts w:hint="eastAsia" w:ascii="宋体" w:hAnsi="宋体" w:eastAsia="宋体" w:cs="宋体"/>
          <w:color w:val="auto"/>
          <w:highlight w:val="none"/>
          <w:lang w:eastAsia="zh-CN"/>
        </w:rPr>
        <w:t>本项目的投标总价的</w:t>
      </w:r>
      <w:r>
        <w:rPr>
          <w:rFonts w:hint="eastAsia" w:ascii="宋体" w:hAnsi="宋体" w:eastAsia="宋体" w:cs="宋体"/>
          <w:color w:val="auto"/>
          <w:szCs w:val="21"/>
          <w:highlight w:val="none"/>
        </w:rPr>
        <w:t>（固定价格采购除外）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z w:val="21"/>
          <w:szCs w:val="21"/>
          <w:highlight w:val="none"/>
          <w:lang w:eastAsia="zh-CN"/>
        </w:rPr>
        <w:t>投标文件标明的响应或偏离与事实不符或提供虚假材料投标的。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6.14</w:t>
      </w:r>
      <w:r>
        <w:rPr>
          <w:rFonts w:hint="eastAsia" w:ascii="宋体" w:hAnsi="宋体" w:eastAsia="宋体" w:cs="宋体"/>
          <w:color w:val="auto"/>
          <w:sz w:val="21"/>
          <w:szCs w:val="21"/>
          <w:highlight w:val="none"/>
        </w:rPr>
        <w:t>标“▲”的条款不能满足招标文件要求的。</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6.15</w:t>
      </w:r>
      <w:r>
        <w:rPr>
          <w:rFonts w:hint="eastAsia" w:ascii="宋体" w:hAnsi="宋体" w:eastAsia="宋体" w:cs="宋体"/>
          <w:color w:val="auto"/>
          <w:sz w:val="21"/>
          <w:szCs w:val="21"/>
          <w:highlight w:val="none"/>
          <w:lang w:eastAsia="zh-CN"/>
        </w:rPr>
        <w:t>在报价评审时，如发现下列情形之一的，投标文件将被视为无效：</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）未采用人民币报价或者未按照招标文件标明的币种报价的；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（2）报价超过招标文件中规定的预算金额或者最高限价的；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）未按照招标文件规定报价的；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）投标报价具有选择性的；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）评标委员会认为投标人报价明显低于其他通过符合性审查投标人报价的，且在合理的时间内不能提供其报价合理性书面说明的。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有下列情形之一的，视为投标人串通投标，其投标无效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并书面报告财政部门</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不同投标人的投标文件由同一单位或者个人编制；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不同投标人委托同一单位或者个人办理投标事宜；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不同投标人的投标文件载明的项目管理成员或者联系人员为同一人；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不同投标人的投标文件异常一致或者投标报价呈规律性差异；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不同投标人的投标文件相互混装</w:t>
      </w:r>
      <w:r>
        <w:rPr>
          <w:rFonts w:hint="eastAsia" w:ascii="宋体" w:hAnsi="宋体" w:eastAsia="宋体" w:cs="宋体"/>
          <w:color w:val="auto"/>
          <w:sz w:val="21"/>
          <w:szCs w:val="21"/>
          <w:highlight w:val="none"/>
          <w:lang w:eastAsia="zh-CN"/>
        </w:rPr>
        <w:t>。</w:t>
      </w:r>
    </w:p>
    <w:p>
      <w:pPr>
        <w:spacing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有重大偏差或</w:t>
      </w:r>
      <w:r>
        <w:rPr>
          <w:rFonts w:hint="eastAsia" w:ascii="宋体" w:hAnsi="宋体" w:eastAsia="宋体" w:cs="宋体"/>
          <w:color w:val="auto"/>
          <w:highlight w:val="none"/>
        </w:rPr>
        <w:t>未实质性响应招标文件要求</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或者投标文件</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rPr>
        <w:t>有采购人不能接受的附加条件的。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违反法律、法规及本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文件规定的其他无效投标情形。</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7、中标原则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7.1评标委员会根据投标人的技术商务文件和报价文件的总得分高低排定顺序，推荐中标候选人，得分最高者即为中标候选人。得分相同的，按投标报价由低到高顺序排列。得分且投标报价相同的，按</w:t>
      </w:r>
      <w:r>
        <w:rPr>
          <w:rFonts w:hint="eastAsia" w:ascii="宋体" w:hAnsi="宋体" w:eastAsia="宋体" w:cs="宋体"/>
          <w:color w:val="auto"/>
          <w:sz w:val="21"/>
          <w:szCs w:val="21"/>
          <w:highlight w:val="none"/>
          <w:lang w:val="en-US" w:eastAsia="zh-CN"/>
        </w:rPr>
        <w:t>评分标准表1-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项合计得分</w:t>
      </w:r>
      <w:r>
        <w:rPr>
          <w:rFonts w:hint="eastAsia" w:ascii="宋体" w:hAnsi="宋体" w:eastAsia="宋体" w:cs="宋体"/>
          <w:color w:val="auto"/>
          <w:sz w:val="21"/>
          <w:szCs w:val="21"/>
          <w:highlight w:val="none"/>
        </w:rPr>
        <w:t>优劣顺序排列。如出现其它情况，由评标委员会决定。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7.2采购人根据评审报告推荐的中标候选人确定中标供应商。</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8、中标结果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采购代理机构将中标结果在政府采购指定媒体上公告，并同时向中标供应商发出中标通知书。</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9、评分标准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详见后附评分标准表。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附：评分标准表</w:t>
      </w:r>
    </w:p>
    <w:p>
      <w:pPr>
        <w:spacing w:line="360" w:lineRule="auto"/>
        <w:rPr>
          <w:rFonts w:hint="eastAsia" w:ascii="宋体" w:hAnsi="宋体" w:eastAsia="宋体" w:cs="宋体"/>
          <w:b w:val="0"/>
          <w:bCs w:val="0"/>
          <w:color w:val="auto"/>
          <w:sz w:val="21"/>
          <w:szCs w:val="21"/>
          <w:highlight w:val="none"/>
        </w:rPr>
      </w:pPr>
    </w:p>
    <w:p>
      <w:pPr>
        <w:spacing w:line="360" w:lineRule="auto"/>
        <w:rPr>
          <w:rFonts w:hint="eastAsia" w:ascii="宋体" w:hAnsi="宋体" w:eastAsia="宋体" w:cs="宋体"/>
          <w:b w:val="0"/>
          <w:bCs w:val="0"/>
          <w:color w:val="auto"/>
          <w:sz w:val="21"/>
          <w:szCs w:val="21"/>
          <w:highlight w:val="none"/>
        </w:rPr>
      </w:pPr>
    </w:p>
    <w:p>
      <w:pPr>
        <w:spacing w:line="360" w:lineRule="auto"/>
        <w:ind w:left="0" w:firstLine="0"/>
        <w:jc w:val="left"/>
        <w:rPr>
          <w:rFonts w:hint="eastAsia" w:ascii="宋体" w:hAnsi="宋体" w:eastAsia="宋体" w:cs="宋体"/>
          <w:b/>
          <w:bCs/>
          <w:color w:val="auto"/>
          <w:sz w:val="21"/>
          <w:highlight w:val="none"/>
        </w:rPr>
      </w:pPr>
      <w:r>
        <w:rPr>
          <w:rFonts w:hint="eastAsia" w:ascii="宋体" w:hAnsi="宋体" w:eastAsia="宋体" w:cs="宋体"/>
          <w:color w:val="auto"/>
          <w:sz w:val="21"/>
          <w:highlight w:val="none"/>
        </w:rPr>
        <w:br w:type="page"/>
      </w:r>
      <w:r>
        <w:rPr>
          <w:rFonts w:hint="eastAsia" w:ascii="宋体" w:hAnsi="宋体" w:eastAsia="宋体" w:cs="宋体"/>
          <w:b/>
          <w:bCs/>
          <w:color w:val="auto"/>
          <w:sz w:val="21"/>
          <w:highlight w:val="none"/>
        </w:rPr>
        <w:t>附：</w:t>
      </w:r>
    </w:p>
    <w:p>
      <w:pPr>
        <w:adjustRightInd w:val="0"/>
        <w:snapToGrid w:val="0"/>
        <w:spacing w:before="156" w:beforeLines="50" w:after="156"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评分标准表</w:t>
      </w:r>
    </w:p>
    <w:tbl>
      <w:tblPr>
        <w:tblStyle w:val="7"/>
        <w:tblW w:w="9501"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9"/>
        <w:gridCol w:w="1337"/>
        <w:gridCol w:w="5985"/>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评分内容及标准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 xml:space="preserve">部分 </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zh-CN"/>
              </w:rPr>
              <w:t>指标响应情况</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根据对采购清单中</w:t>
            </w:r>
            <w:r>
              <w:rPr>
                <w:rFonts w:hint="eastAsia" w:ascii="宋体" w:hAnsi="宋体" w:cs="宋体"/>
                <w:b w:val="0"/>
                <w:bCs w:val="0"/>
                <w:color w:val="auto"/>
                <w:sz w:val="21"/>
                <w:szCs w:val="21"/>
                <w:highlight w:val="none"/>
                <w:lang w:val="en-US" w:eastAsia="zh-CN"/>
              </w:rPr>
              <w:t>材质及</w:t>
            </w:r>
            <w:r>
              <w:rPr>
                <w:rFonts w:hint="eastAsia" w:ascii="宋体" w:hAnsi="宋体" w:eastAsia="宋体" w:cs="宋体"/>
                <w:b w:val="0"/>
                <w:bCs w:val="0"/>
                <w:color w:val="auto"/>
                <w:sz w:val="21"/>
                <w:szCs w:val="21"/>
                <w:highlight w:val="none"/>
                <w:lang w:val="en-US" w:eastAsia="zh-CN"/>
              </w:rPr>
              <w:t>技术参数的响应情况进行评审。</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完全响应各项指标的，得</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标▲的指标（如有）不得负偏离，否则投标无效；</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标★的指标（如有）每有1项负偏离扣</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一般指标每有1项负偏离扣0.</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当扣减至0分或以下时作无效标处理。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20</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1337" w:type="dxa"/>
            <w:vMerge w:val="restart"/>
            <w:tcBorders>
              <w:top w:val="single" w:color="auto" w:sz="4" w:space="0"/>
              <w:left w:val="single" w:color="auto" w:sz="4" w:space="0"/>
              <w:right w:val="single" w:color="auto" w:sz="4" w:space="0"/>
            </w:tcBorders>
            <w:noWrap w:val="0"/>
            <w:tcMar>
              <w:top w:w="113" w:type="dxa"/>
              <w:left w:w="113" w:type="dxa"/>
              <w:bottom w:w="113" w:type="dxa"/>
              <w:right w:w="113" w:type="dxa"/>
            </w:tcMar>
            <w:vAlign w:val="center"/>
          </w:tcPr>
          <w:p>
            <w:pPr>
              <w:tabs>
                <w:tab w:val="left" w:pos="355"/>
              </w:tabs>
              <w:jc w:val="center"/>
              <w:rPr>
                <w:rFonts w:hint="eastAsia" w:ascii="宋体" w:hAnsi="宋体" w:eastAsia="宋体" w:cs="宋体"/>
                <w:b w:val="0"/>
                <w:bCs w:val="0"/>
                <w:color w:val="auto"/>
                <w:sz w:val="21"/>
                <w:szCs w:val="21"/>
                <w:highlight w:val="none"/>
                <w:lang w:eastAsia="zh-CN"/>
              </w:rPr>
            </w:pPr>
            <w:r>
              <w:rPr>
                <w:rFonts w:hint="eastAsia"/>
                <w:color w:val="auto"/>
                <w:highlight w:val="none"/>
              </w:rPr>
              <w:t>技术方案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根据提供的技术方案进行评审，包含但不限于以下内容：①产品的设计方案；②产品效果图。</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产品设计方案完全满足采购需求，产品效果图美观齐全的得5分；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产品设计方案较满足采购需求，产品效果图较美观齐全的得3分；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产品设计方案仅部分满足采购需求，产品效果图不美观齐全的得1分；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1337" w:type="dxa"/>
            <w:vMerge w:val="continue"/>
            <w:tcBorders>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根据提供的技术方案进行评审，包含但不限于以下内容：①工艺结构图；②加工生产流程。 </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产品工艺结构清晰，加工生产流程完整的得5分；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产品工艺结构较清晰，加工生产流程较完整的得3分；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产品工艺结构较不清晰，加工生产流程不完整的得1分；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主要材料检测报告</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材料名称：①ABS面板、②PP抽屉、③PP脚垫、④水滴形钢管、⑤PP坐垫。</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材料检测项目及参数要求见招标文件第四部分采购需求。</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提供上述材料第三方检测机构出具的带CMA或CNAS标识的检测合格的检测报告，每提供1份得1分，本项最多5分。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在投标文件中提供检测报告原件彩色扫描件，否则不得分。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1337" w:type="dxa"/>
            <w:vMerge w:val="restart"/>
            <w:tcBorders>
              <w:top w:val="single" w:color="auto" w:sz="4" w:space="0"/>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样品（未提供样品或样品提供不全的，投标无效）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rPr>
              <w:t>根据</w:t>
            </w:r>
            <w:r>
              <w:rPr>
                <w:rFonts w:hint="eastAsia" w:ascii="宋体" w:hAnsi="宋体" w:cs="宋体"/>
                <w:color w:val="auto"/>
                <w:szCs w:val="21"/>
                <w:highlight w:val="none"/>
              </w:rPr>
              <w:t>各供应商</w:t>
            </w:r>
            <w:r>
              <w:rPr>
                <w:rFonts w:hint="eastAsia" w:ascii="宋体" w:hAnsi="宋体" w:cs="宋体"/>
                <w:color w:val="auto"/>
                <w:kern w:val="0"/>
                <w:szCs w:val="21"/>
                <w:highlight w:val="none"/>
              </w:rPr>
              <w:t>所提供样品的</w:t>
            </w:r>
            <w:r>
              <w:rPr>
                <w:rFonts w:hint="eastAsia" w:ascii="宋体" w:hAnsi="宋体" w:cs="宋体"/>
                <w:color w:val="auto"/>
                <w:szCs w:val="21"/>
                <w:highlight w:val="none"/>
              </w:rPr>
              <w:t>尺寸、款式造型等进行评审：</w:t>
            </w:r>
          </w:p>
          <w:p>
            <w:pPr>
              <w:rPr>
                <w:rFonts w:hint="eastAsia" w:ascii="宋体" w:hAnsi="宋体" w:cs="宋体"/>
                <w:color w:val="auto"/>
                <w:szCs w:val="21"/>
                <w:highlight w:val="none"/>
              </w:rPr>
            </w:pPr>
            <w:r>
              <w:rPr>
                <w:rFonts w:hint="eastAsia" w:ascii="宋体" w:hAnsi="宋体" w:cs="宋体"/>
                <w:color w:val="auto"/>
                <w:szCs w:val="21"/>
                <w:highlight w:val="none"/>
              </w:rPr>
              <w:t>尺寸符合采购需求，款式造型美观的得5分；</w:t>
            </w:r>
          </w:p>
          <w:p>
            <w:pPr>
              <w:rPr>
                <w:rFonts w:hint="eastAsia" w:ascii="宋体" w:hAnsi="宋体" w:cs="宋体"/>
                <w:color w:val="auto"/>
                <w:szCs w:val="21"/>
                <w:highlight w:val="none"/>
              </w:rPr>
            </w:pPr>
            <w:r>
              <w:rPr>
                <w:rFonts w:hint="eastAsia" w:ascii="宋体" w:hAnsi="宋体" w:cs="宋体"/>
                <w:color w:val="auto"/>
                <w:szCs w:val="21"/>
                <w:highlight w:val="none"/>
              </w:rPr>
              <w:t>尺寸与采购需求有细微偏离，款式造型较美观一般的得3分；</w:t>
            </w:r>
          </w:p>
          <w:p>
            <w:pPr>
              <w:rPr>
                <w:rFonts w:hint="eastAsia" w:ascii="宋体" w:hAnsi="宋体" w:cs="宋体"/>
                <w:color w:val="auto"/>
                <w:szCs w:val="21"/>
                <w:highlight w:val="none"/>
              </w:rPr>
            </w:pPr>
            <w:r>
              <w:rPr>
                <w:rFonts w:hint="eastAsia" w:ascii="宋体" w:hAnsi="宋体" w:cs="宋体"/>
                <w:color w:val="auto"/>
                <w:szCs w:val="21"/>
                <w:highlight w:val="none"/>
              </w:rPr>
              <w:t>尺寸与采购需求偏离大，款式造型不美观的得1分；</w:t>
            </w:r>
          </w:p>
          <w:p>
            <w:pPr>
              <w:rPr>
                <w:rFonts w:hint="eastAsia" w:ascii="Calibri" w:hAnsi="Calibri" w:eastAsia="宋体" w:cs="Times New Roman"/>
                <w:color w:val="auto"/>
                <w:kern w:val="2"/>
                <w:sz w:val="21"/>
                <w:szCs w:val="22"/>
                <w:highlight w:val="none"/>
                <w:lang w:val="en-US" w:eastAsia="zh-CN" w:bidi="ar-SA"/>
              </w:rPr>
            </w:pPr>
            <w:r>
              <w:rPr>
                <w:rFonts w:hint="eastAsia" w:ascii="宋体" w:hAnsi="宋体" w:cs="宋体"/>
                <w:color w:val="auto"/>
                <w:szCs w:val="21"/>
                <w:highlight w:val="none"/>
              </w:rPr>
              <w:t>提供的样品完全不符合的，不得分。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Calibri" w:hAnsi="Calibri" w:eastAsia="宋体" w:cs="Times New Roman"/>
                <w:b w:val="0"/>
                <w:bCs w:val="0"/>
                <w:color w:val="auto"/>
                <w:kern w:val="2"/>
                <w:sz w:val="21"/>
                <w:szCs w:val="22"/>
                <w:highlight w:val="none"/>
                <w:lang w:val="en-US" w:eastAsia="zh-CN" w:bidi="ar-SA"/>
              </w:rPr>
            </w:pPr>
            <w:r>
              <w:rPr>
                <w:rFonts w:hint="eastAsia" w:ascii="宋体" w:hAnsi="宋体" w:cs="宋体"/>
                <w:b w:val="0"/>
                <w:bCs w:val="0"/>
                <w:color w:val="auto"/>
                <w:szCs w:val="21"/>
                <w:highlight w:val="none"/>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kern w:val="2"/>
                <w:sz w:val="21"/>
                <w:szCs w:val="21"/>
                <w:highlight w:val="none"/>
                <w:lang w:val="en-US" w:eastAsia="zh-CN" w:bidi="ar-SA"/>
              </w:rPr>
            </w:pPr>
            <w:bookmarkStart w:id="10" w:name="OLE_LINK2"/>
            <w:r>
              <w:rPr>
                <w:rFonts w:hint="eastAsia" w:ascii="宋体" w:hAnsi="宋体" w:cs="宋体"/>
                <w:b w:val="0"/>
                <w:bCs w:val="0"/>
                <w:color w:val="auto"/>
                <w:sz w:val="21"/>
                <w:szCs w:val="21"/>
                <w:highlight w:val="none"/>
                <w:lang w:val="en-US" w:eastAsia="zh-CN"/>
              </w:rPr>
              <w:t>主观</w:t>
            </w:r>
            <w:r>
              <w:rPr>
                <w:rFonts w:hint="eastAsia" w:ascii="宋体" w:hAnsi="宋体" w:eastAsia="宋体" w:cs="宋体"/>
                <w:b w:val="0"/>
                <w:bCs w:val="0"/>
                <w:color w:val="auto"/>
                <w:sz w:val="21"/>
                <w:szCs w:val="21"/>
                <w:highlight w:val="none"/>
                <w:lang w:val="en-US" w:eastAsia="zh-CN"/>
              </w:rPr>
              <w:t>评价</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6</w:t>
            </w:r>
          </w:p>
        </w:tc>
        <w:tc>
          <w:tcPr>
            <w:tcW w:w="1337" w:type="dxa"/>
            <w:vMerge w:val="continue"/>
            <w:tcBorders>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rPr>
              <w:t>根据</w:t>
            </w:r>
            <w:r>
              <w:rPr>
                <w:rFonts w:hint="eastAsia" w:ascii="宋体" w:hAnsi="宋体" w:cs="宋体"/>
                <w:color w:val="auto"/>
                <w:szCs w:val="21"/>
                <w:highlight w:val="none"/>
              </w:rPr>
              <w:t>各供应商</w:t>
            </w:r>
            <w:r>
              <w:rPr>
                <w:rFonts w:hint="eastAsia" w:ascii="宋体" w:hAnsi="宋体" w:cs="宋体"/>
                <w:color w:val="auto"/>
                <w:kern w:val="0"/>
                <w:szCs w:val="21"/>
                <w:highlight w:val="none"/>
              </w:rPr>
              <w:t>所提供样品</w:t>
            </w:r>
            <w:r>
              <w:rPr>
                <w:rFonts w:hint="eastAsia" w:ascii="宋体" w:hAnsi="宋体" w:cs="宋体"/>
                <w:color w:val="auto"/>
                <w:szCs w:val="21"/>
                <w:highlight w:val="none"/>
              </w:rPr>
              <w:t>的制作工艺、使用说明等进行评审：</w:t>
            </w:r>
          </w:p>
          <w:p>
            <w:pPr>
              <w:rPr>
                <w:rFonts w:hint="eastAsia" w:ascii="宋体" w:hAnsi="宋体" w:cs="宋体"/>
                <w:color w:val="auto"/>
                <w:szCs w:val="21"/>
                <w:highlight w:val="none"/>
              </w:rPr>
            </w:pPr>
            <w:r>
              <w:rPr>
                <w:rFonts w:hint="eastAsia" w:ascii="宋体" w:hAnsi="宋体" w:cs="宋体"/>
                <w:color w:val="auto"/>
                <w:szCs w:val="21"/>
                <w:highlight w:val="none"/>
              </w:rPr>
              <w:t>制作工艺牢固、严密、平整，</w:t>
            </w:r>
            <w:r>
              <w:rPr>
                <w:rFonts w:hint="eastAsia"/>
                <w:color w:val="auto"/>
                <w:highlight w:val="none"/>
              </w:rPr>
              <w:t>喷涂平整、光滑、无异味，</w:t>
            </w:r>
            <w:r>
              <w:rPr>
                <w:rFonts w:hint="eastAsia" w:ascii="宋体" w:hAnsi="宋体" w:cs="宋体"/>
                <w:color w:val="auto"/>
                <w:szCs w:val="21"/>
                <w:highlight w:val="none"/>
              </w:rPr>
              <w:t>使用说明详细完整的得5分；</w:t>
            </w:r>
          </w:p>
          <w:p>
            <w:pPr>
              <w:rPr>
                <w:rFonts w:hint="eastAsia" w:ascii="宋体" w:hAnsi="宋体" w:cs="宋体"/>
                <w:color w:val="auto"/>
                <w:szCs w:val="21"/>
                <w:highlight w:val="none"/>
              </w:rPr>
            </w:pPr>
            <w:r>
              <w:rPr>
                <w:rFonts w:hint="eastAsia" w:ascii="宋体" w:hAnsi="宋体" w:cs="宋体"/>
                <w:color w:val="auto"/>
                <w:szCs w:val="21"/>
                <w:highlight w:val="none"/>
              </w:rPr>
              <w:t>制作工艺较牢固、严密、平整，</w:t>
            </w:r>
            <w:r>
              <w:rPr>
                <w:rFonts w:hint="eastAsia"/>
                <w:color w:val="auto"/>
                <w:highlight w:val="none"/>
              </w:rPr>
              <w:t>喷涂较平整、较光滑、轻微异味，</w:t>
            </w:r>
            <w:r>
              <w:rPr>
                <w:rFonts w:hint="eastAsia" w:ascii="宋体" w:hAnsi="宋体" w:cs="宋体"/>
                <w:color w:val="auto"/>
                <w:szCs w:val="21"/>
                <w:highlight w:val="none"/>
              </w:rPr>
              <w:t>使用说明较详细完整的得3分；</w:t>
            </w:r>
          </w:p>
          <w:p>
            <w:pPr>
              <w:rPr>
                <w:rFonts w:hint="eastAsia" w:ascii="宋体" w:hAnsi="宋体" w:cs="宋体"/>
                <w:color w:val="auto"/>
                <w:szCs w:val="21"/>
                <w:highlight w:val="none"/>
              </w:rPr>
            </w:pPr>
            <w:r>
              <w:rPr>
                <w:rFonts w:hint="eastAsia" w:ascii="宋体" w:hAnsi="宋体" w:cs="宋体"/>
                <w:color w:val="auto"/>
                <w:szCs w:val="21"/>
                <w:highlight w:val="none"/>
              </w:rPr>
              <w:t>制作工艺粗糙，</w:t>
            </w:r>
            <w:r>
              <w:rPr>
                <w:rFonts w:hint="eastAsia"/>
                <w:color w:val="auto"/>
                <w:highlight w:val="none"/>
              </w:rPr>
              <w:t>喷涂不平整、不光滑、有刺鼻异味，</w:t>
            </w:r>
            <w:r>
              <w:rPr>
                <w:rFonts w:hint="eastAsia" w:ascii="宋体" w:hAnsi="宋体" w:cs="宋体"/>
                <w:color w:val="auto"/>
                <w:szCs w:val="21"/>
                <w:highlight w:val="none"/>
              </w:rPr>
              <w:t>使用说明不详细完整的得1分；</w:t>
            </w:r>
          </w:p>
          <w:p>
            <w:pPr>
              <w:rPr>
                <w:rFonts w:hint="eastAsia" w:ascii="Calibri" w:hAnsi="Calibri" w:eastAsia="宋体" w:cs="Times New Roman"/>
                <w:color w:val="auto"/>
                <w:kern w:val="2"/>
                <w:sz w:val="21"/>
                <w:szCs w:val="22"/>
                <w:highlight w:val="none"/>
                <w:lang w:val="en-US" w:eastAsia="zh-CN" w:bidi="ar-SA"/>
              </w:rPr>
            </w:pPr>
            <w:r>
              <w:rPr>
                <w:rFonts w:hint="eastAsia" w:ascii="宋体" w:hAnsi="宋体" w:cs="宋体"/>
                <w:color w:val="auto"/>
                <w:szCs w:val="21"/>
                <w:highlight w:val="none"/>
              </w:rPr>
              <w:t>提供的样品完全不符合，没有使用说明的不得分。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Calibri" w:hAnsi="Calibri" w:eastAsia="宋体" w:cs="Times New Roman"/>
                <w:b w:val="0"/>
                <w:bCs w:val="0"/>
                <w:color w:val="auto"/>
                <w:kern w:val="2"/>
                <w:sz w:val="21"/>
                <w:szCs w:val="22"/>
                <w:highlight w:val="none"/>
                <w:lang w:val="en-US" w:eastAsia="zh-CN" w:bidi="ar-SA"/>
              </w:rPr>
            </w:pPr>
            <w:r>
              <w:rPr>
                <w:rFonts w:hint="eastAsia" w:ascii="宋体" w:hAnsi="宋体" w:cs="宋体"/>
                <w:b w:val="0"/>
                <w:bCs w:val="0"/>
                <w:color w:val="auto"/>
                <w:szCs w:val="21"/>
                <w:highlight w:val="none"/>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主观</w:t>
            </w:r>
            <w:r>
              <w:rPr>
                <w:rFonts w:hint="eastAsia" w:ascii="宋体" w:hAnsi="宋体" w:eastAsia="宋体" w:cs="宋体"/>
                <w:b w:val="0"/>
                <w:bCs w:val="0"/>
                <w:color w:val="auto"/>
                <w:sz w:val="21"/>
                <w:szCs w:val="21"/>
                <w:highlight w:val="no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1337" w:type="dxa"/>
            <w:vMerge w:val="continue"/>
            <w:tcBorders>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根据各供应商所提供样品的所用材料及五金件的品质，整体产品的轻便程度等进行评审</w:t>
            </w:r>
            <w:r>
              <w:rPr>
                <w:rFonts w:ascii="宋体" w:hAnsi="宋体" w:cs="宋体"/>
                <w:color w:val="auto"/>
                <w:szCs w:val="21"/>
                <w:highlight w:val="none"/>
              </w:rPr>
              <w:t>（</w:t>
            </w:r>
            <w:r>
              <w:rPr>
                <w:rFonts w:hint="eastAsia" w:ascii="宋体" w:hAnsi="宋体" w:cs="宋体"/>
                <w:color w:val="auto"/>
                <w:szCs w:val="21"/>
                <w:highlight w:val="none"/>
              </w:rPr>
              <w:t>5</w:t>
            </w:r>
            <w:r>
              <w:rPr>
                <w:rFonts w:ascii="宋体" w:hAnsi="宋体" w:cs="宋体"/>
                <w:color w:val="auto"/>
                <w:szCs w:val="21"/>
                <w:highlight w:val="none"/>
              </w:rPr>
              <w:t>分）。</w:t>
            </w:r>
          </w:p>
          <w:p>
            <w:pPr>
              <w:rPr>
                <w:rFonts w:hint="eastAsia" w:ascii="Calibri" w:hAnsi="Calibri" w:eastAsia="宋体" w:cs="Times New Roman"/>
                <w:color w:val="auto"/>
                <w:kern w:val="2"/>
                <w:sz w:val="21"/>
                <w:szCs w:val="22"/>
                <w:highlight w:val="none"/>
                <w:lang w:val="en-US" w:eastAsia="zh-CN" w:bidi="ar-SA"/>
              </w:rPr>
            </w:pPr>
            <w:r>
              <w:rPr>
                <w:rFonts w:hint="eastAsia" w:ascii="宋体" w:hAnsi="宋体" w:cs="宋体"/>
                <w:color w:val="auto"/>
                <w:szCs w:val="21"/>
                <w:highlight w:val="none"/>
              </w:rPr>
              <w:t>所用材料及五金件的品质好，整体产品使用舒适、轻便的得5分；</w:t>
            </w:r>
            <w:r>
              <w:rPr>
                <w:rFonts w:hint="eastAsia" w:ascii="宋体" w:hAnsi="宋体" w:cs="宋体"/>
                <w:color w:val="auto"/>
                <w:szCs w:val="21"/>
                <w:highlight w:val="none"/>
              </w:rPr>
              <w:br w:type="textWrapping"/>
            </w:r>
            <w:r>
              <w:rPr>
                <w:rFonts w:hint="eastAsia" w:ascii="宋体" w:hAnsi="宋体" w:cs="宋体"/>
                <w:color w:val="auto"/>
                <w:szCs w:val="21"/>
                <w:highlight w:val="none"/>
              </w:rPr>
              <w:t>所用材料及五金件的品质较好，整体产品使用较舒适、较轻便的得3分；</w:t>
            </w:r>
            <w:r>
              <w:rPr>
                <w:rFonts w:hint="eastAsia" w:ascii="宋体" w:hAnsi="宋体" w:cs="宋体"/>
                <w:color w:val="auto"/>
                <w:szCs w:val="21"/>
                <w:highlight w:val="none"/>
              </w:rPr>
              <w:br w:type="textWrapping"/>
            </w:r>
            <w:r>
              <w:rPr>
                <w:rFonts w:hint="eastAsia" w:ascii="宋体" w:hAnsi="宋体" w:cs="宋体"/>
                <w:color w:val="auto"/>
                <w:szCs w:val="21"/>
                <w:highlight w:val="none"/>
              </w:rPr>
              <w:t>所用材料及五金件的品质一般，整体产品使用舒适感差、不轻便的得1分；</w:t>
            </w:r>
            <w:r>
              <w:rPr>
                <w:rFonts w:hint="eastAsia" w:ascii="微软雅黑" w:hAnsi="微软雅黑" w:eastAsia="微软雅黑" w:cs="微软雅黑"/>
                <w:color w:val="auto"/>
                <w:szCs w:val="21"/>
                <w:highlight w:val="none"/>
                <w:shd w:val="clear" w:color="auto" w:fill="FFFFFF"/>
              </w:rPr>
              <w:br w:type="textWrapping"/>
            </w:r>
            <w:r>
              <w:rPr>
                <w:rFonts w:hint="eastAsia" w:ascii="宋体" w:hAnsi="宋体" w:cs="宋体"/>
                <w:color w:val="auto"/>
                <w:szCs w:val="21"/>
                <w:highlight w:val="none"/>
              </w:rPr>
              <w:t>提供的样品完全不符合的，不得分。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Calibri" w:hAnsi="Calibri" w:eastAsia="宋体" w:cs="Times New Roman"/>
                <w:color w:val="auto"/>
                <w:kern w:val="2"/>
                <w:sz w:val="21"/>
                <w:szCs w:val="22"/>
                <w:highlight w:val="none"/>
                <w:lang w:val="en-US" w:eastAsia="zh-CN" w:bidi="ar-SA"/>
              </w:rPr>
            </w:pPr>
            <w:r>
              <w:rPr>
                <w:rFonts w:hint="eastAsia" w:ascii="宋体" w:hAnsi="宋体" w:cs="宋体"/>
                <w:b w:val="0"/>
                <w:bCs w:val="0"/>
                <w:color w:val="auto"/>
                <w:szCs w:val="21"/>
                <w:highlight w:val="none"/>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主观</w:t>
            </w:r>
            <w:r>
              <w:rPr>
                <w:rFonts w:hint="eastAsia" w:ascii="宋体" w:hAnsi="宋体" w:eastAsia="宋体" w:cs="宋体"/>
                <w:b w:val="0"/>
                <w:bCs w:val="0"/>
                <w:color w:val="auto"/>
                <w:sz w:val="21"/>
                <w:szCs w:val="21"/>
                <w:highlight w:val="no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项目实施方案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根据提供的供货方案、安装</w:t>
            </w:r>
            <w:r>
              <w:rPr>
                <w:rFonts w:hint="eastAsia" w:ascii="宋体" w:hAnsi="宋体" w:cs="宋体"/>
                <w:b w:val="0"/>
                <w:bCs w:val="0"/>
                <w:color w:val="auto"/>
                <w:sz w:val="21"/>
                <w:szCs w:val="21"/>
                <w:highlight w:val="none"/>
                <w:lang w:val="en-US" w:eastAsia="zh-CN"/>
              </w:rPr>
              <w:t>调试</w:t>
            </w:r>
            <w:r>
              <w:rPr>
                <w:rFonts w:hint="eastAsia" w:ascii="宋体" w:hAnsi="宋体" w:eastAsia="宋体" w:cs="宋体"/>
                <w:b w:val="0"/>
                <w:bCs w:val="0"/>
                <w:color w:val="auto"/>
                <w:sz w:val="21"/>
                <w:szCs w:val="21"/>
                <w:highlight w:val="none"/>
              </w:rPr>
              <w:t>、人员安排、进度计划、保障措施等情况进行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方案完整阐述详细、能够保障项目顺利实施的，得5分；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方案较为完整全面、可保障项目顺利实施的，得4分；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方案全面详实性尚可，细节的缺漏不足以影响项目顺利实施的，得3分；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方案有欠缺，阐述不够详实，具有一定可行性的，得2分；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方案有明显缺失，可能影响项目顺利实施的，得1分；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bookmarkStart w:id="11" w:name="OLE_LINK12"/>
            <w:r>
              <w:rPr>
                <w:rFonts w:hint="eastAsia" w:ascii="宋体" w:hAnsi="宋体" w:cs="宋体"/>
                <w:b w:val="0"/>
                <w:bCs w:val="0"/>
                <w:color w:val="auto"/>
                <w:sz w:val="21"/>
                <w:szCs w:val="21"/>
                <w:highlight w:val="none"/>
                <w:lang w:val="en-US" w:eastAsia="zh-CN"/>
              </w:rPr>
              <w:t>5</w:t>
            </w:r>
            <w:bookmarkEnd w:id="11"/>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质量保证和售后服务方案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根据提供的质量保证</w:t>
            </w:r>
            <w:r>
              <w:rPr>
                <w:rFonts w:hint="eastAsia" w:ascii="宋体" w:hAnsi="宋体" w:cs="宋体"/>
                <w:b w:val="0"/>
                <w:bCs w:val="0"/>
                <w:color w:val="auto"/>
                <w:sz w:val="21"/>
                <w:szCs w:val="21"/>
                <w:highlight w:val="none"/>
                <w:lang w:val="en-US" w:eastAsia="zh-CN"/>
              </w:rPr>
              <w:t>措施</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验收方案</w:t>
            </w:r>
            <w:r>
              <w:rPr>
                <w:rFonts w:hint="eastAsia" w:ascii="宋体" w:hAnsi="宋体" w:eastAsia="宋体" w:cs="宋体"/>
                <w:b w:val="0"/>
                <w:bCs w:val="0"/>
                <w:color w:val="auto"/>
                <w:sz w:val="21"/>
                <w:szCs w:val="21"/>
                <w:highlight w:val="none"/>
              </w:rPr>
              <w:t>、售后服务方案、服务响应、故障处理、</w:t>
            </w:r>
            <w:r>
              <w:rPr>
                <w:rFonts w:hint="eastAsia" w:ascii="宋体" w:hAnsi="宋体" w:eastAsia="宋体" w:cs="宋体"/>
                <w:color w:val="auto"/>
                <w:kern w:val="0"/>
                <w:szCs w:val="21"/>
                <w:highlight w:val="none"/>
              </w:rPr>
              <w:t>售后服务机构设置</w:t>
            </w:r>
            <w:r>
              <w:rPr>
                <w:rFonts w:hint="eastAsia" w:ascii="宋体" w:hAnsi="宋体" w:eastAsia="宋体" w:cs="宋体"/>
                <w:b w:val="0"/>
                <w:bCs w:val="0"/>
                <w:color w:val="auto"/>
                <w:sz w:val="21"/>
                <w:szCs w:val="21"/>
                <w:highlight w:val="none"/>
              </w:rPr>
              <w:t>等</w:t>
            </w:r>
            <w:r>
              <w:rPr>
                <w:rFonts w:hint="eastAsia" w:ascii="宋体" w:hAnsi="宋体" w:eastAsia="宋体" w:cs="宋体"/>
                <w:b w:val="0"/>
                <w:bCs w:val="0"/>
                <w:color w:val="auto"/>
                <w:sz w:val="21"/>
                <w:szCs w:val="21"/>
                <w:highlight w:val="none"/>
                <w:lang w:val="zh-CN"/>
              </w:rPr>
              <w:t>情况</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方案完全满足采购需求，服务体系完善、响应及时、服务保障措施到位的，得5分；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方案能较好的满足采购需求，服务措施及承诺中存在细小不足的，得4分；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方案基本满足采购需求，服务措施及承诺中存在不足或缺失、或响应不够及时的，得3分；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方案部分满足采购需求，服务承诺不完整、或有比较明显不合理之处的，得2分；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质保期</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质保期在满足招标文件要求的基础上，每增加一年得1分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最多得2分。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客</w:t>
            </w:r>
            <w:r>
              <w:rPr>
                <w:rFonts w:hint="eastAsia" w:ascii="宋体" w:hAnsi="宋体" w:eastAsia="宋体" w:cs="宋体"/>
                <w:b w:val="0"/>
                <w:bCs w:val="0"/>
                <w:color w:val="auto"/>
                <w:sz w:val="21"/>
                <w:szCs w:val="21"/>
                <w:highlight w:val="none"/>
                <w:lang w:val="en-US" w:eastAsia="zh-CN"/>
              </w:rPr>
              <w:t>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认证</w:t>
            </w:r>
            <w:r>
              <w:rPr>
                <w:rFonts w:hint="eastAsia" w:ascii="宋体" w:hAnsi="宋体" w:eastAsia="宋体" w:cs="宋体"/>
                <w:b w:val="0"/>
                <w:bCs w:val="0"/>
                <w:color w:val="auto"/>
                <w:sz w:val="21"/>
                <w:szCs w:val="21"/>
                <w:highlight w:val="none"/>
              </w:rPr>
              <w:t>证书</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核心产品的生产厂家具有有效质量管理体系认证证书的，得1分。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核心产品的生产厂家具有有效环境管理体系认证证书的，得1分。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核心产品的生产厂家具有有效职业健康安全管理体系认证证书的，得1分。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所投产品中任一款产品具有有效中国环保产品认证证书的，得1</w:t>
            </w:r>
          </w:p>
          <w:p>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在投标文件中提供证书的原件彩色扫描件，否则不得分。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投标人最近三年</w:t>
            </w:r>
            <w:r>
              <w:rPr>
                <w:rFonts w:hint="eastAsia" w:ascii="宋体" w:hAnsi="宋体" w:eastAsia="宋体" w:cs="宋体"/>
                <w:color w:val="auto"/>
                <w:sz w:val="21"/>
                <w:szCs w:val="21"/>
                <w:highlight w:val="none"/>
              </w:rPr>
              <w:t>（时间计算以投标截止时间和合同签订时间为准）</w:t>
            </w:r>
            <w:r>
              <w:rPr>
                <w:rFonts w:hint="eastAsia" w:ascii="宋体" w:hAnsi="宋体" w:eastAsia="宋体" w:cs="宋体"/>
                <w:b w:val="0"/>
                <w:bCs w:val="0"/>
                <w:color w:val="auto"/>
                <w:sz w:val="21"/>
                <w:szCs w:val="21"/>
                <w:highlight w:val="none"/>
              </w:rPr>
              <w:t>以来成功实施的同类项目的业绩或案例证明。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投标人每提供一个类似业绩的证明材料，得1分，本项最高得3分。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类似业绩认定标准：</w:t>
            </w:r>
            <w:r>
              <w:rPr>
                <w:rFonts w:hint="eastAsia" w:ascii="宋体" w:hAnsi="宋体" w:eastAsia="宋体" w:cs="宋体"/>
                <w:b w:val="0"/>
                <w:bCs w:val="0"/>
                <w:color w:val="auto"/>
                <w:sz w:val="21"/>
                <w:szCs w:val="21"/>
                <w:highlight w:val="none"/>
                <w:lang w:val="en-US" w:eastAsia="zh-CN"/>
              </w:rPr>
              <w:t>①供货</w:t>
            </w:r>
            <w:r>
              <w:rPr>
                <w:rFonts w:hint="eastAsia" w:ascii="宋体" w:hAnsi="宋体" w:eastAsia="宋体" w:cs="宋体"/>
                <w:b w:val="0"/>
                <w:bCs w:val="0"/>
                <w:color w:val="auto"/>
                <w:sz w:val="21"/>
                <w:szCs w:val="21"/>
                <w:highlight w:val="none"/>
              </w:rPr>
              <w:t>内容与本次采购类似，并在合同或合同清单等附件资料中能体现。</w:t>
            </w:r>
            <w:r>
              <w:rPr>
                <w:rFonts w:hint="eastAsia" w:ascii="宋体" w:hAnsi="宋体" w:eastAsia="宋体" w:cs="宋体"/>
                <w:b w:val="0"/>
                <w:bCs w:val="0"/>
                <w:color w:val="auto"/>
                <w:sz w:val="21"/>
                <w:szCs w:val="21"/>
                <w:highlight w:val="none"/>
                <w:lang w:val="en-US" w:eastAsia="zh-CN"/>
              </w:rPr>
              <w:t>②同一个采购单位，签订多个合同的，按1个业绩计算。</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证明材料：</w:t>
            </w:r>
            <w:r>
              <w:rPr>
                <w:rFonts w:hint="eastAsia" w:ascii="宋体" w:hAnsi="宋体" w:eastAsia="宋体" w:cs="宋体"/>
                <w:b w:val="0"/>
                <w:bCs w:val="0"/>
                <w:color w:val="auto"/>
                <w:sz w:val="21"/>
                <w:szCs w:val="21"/>
                <w:highlight w:val="none"/>
                <w:lang w:val="en-US" w:eastAsia="zh-CN"/>
              </w:rPr>
              <w:t>在投标文件中提供合同</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t>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的原件彩色扫描件，合同和验收证明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缺一不可，否则不得分。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13</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节能环保</w:t>
            </w:r>
          </w:p>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且取得认证证书的（强制</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产品除外），每提供一个得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环境标志产品政府采购品目清单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投标文件中提供投标产品有效的节能产品（或环境标志产品）认证证书彩色扫描件 或者 提供投标产品在中国政府采购网（www.ccgp.gov.cn）节能产品（或环境标志产品）查询结果的网页截图的证明材料，否则不得分。</w:t>
            </w:r>
          </w:p>
          <w:p>
            <w:pPr>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中标“★”</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为政府强制采购产品，施行强制采购政策。</w:t>
            </w:r>
          </w:p>
          <w:p>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施行强制采购的节能产品如无证明材料，投标无效。</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报价部分 </w:t>
            </w:r>
            <w:bookmarkStart w:id="12" w:name="OLE_LINK11"/>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0</w:t>
            </w:r>
            <w:bookmarkEnd w:id="12"/>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28"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8792"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基准价得分：30分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报价得分＝（评标基准价/参与评审的价格）×30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说明：投标人的报价超过最高限价（不含最高限价）的作为无效报价。</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sectPr>
      <w:pgSz w:w="11906" w:h="16838"/>
      <w:pgMar w:top="1474" w:right="1474" w:bottom="1417" w:left="1587" w:header="851" w:footer="85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ascii="宋体" w:hAnsi="宋体" w:eastAsia="宋体"/>
        <w:lang w:eastAsia="zh-CN"/>
      </w:rPr>
    </w:pPr>
    <w:r>
      <w:rPr>
        <w:rFonts w:hint="eastAsia" w:ascii="宋体" w:hAnsi="宋体"/>
      </w:rPr>
      <w:t>项目名称：</w:t>
    </w:r>
    <w:r>
      <w:rPr>
        <w:rFonts w:hint="eastAsia" w:ascii="宋体" w:hAnsi="宋体"/>
        <w:lang w:eastAsia="zh-CN"/>
      </w:rPr>
      <w:t>长江中学学生课桌椅</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BLZFCG2025028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D28C1"/>
    <w:rsid w:val="000E2877"/>
    <w:rsid w:val="000E5B56"/>
    <w:rsid w:val="00121526"/>
    <w:rsid w:val="00135C07"/>
    <w:rsid w:val="0014118F"/>
    <w:rsid w:val="001B417A"/>
    <w:rsid w:val="001C60F1"/>
    <w:rsid w:val="002613EB"/>
    <w:rsid w:val="002878C2"/>
    <w:rsid w:val="002C0E4C"/>
    <w:rsid w:val="00391516"/>
    <w:rsid w:val="003A4272"/>
    <w:rsid w:val="00461B2C"/>
    <w:rsid w:val="00497742"/>
    <w:rsid w:val="004C193B"/>
    <w:rsid w:val="005700E9"/>
    <w:rsid w:val="006A2BBF"/>
    <w:rsid w:val="006F4EA6"/>
    <w:rsid w:val="0070020E"/>
    <w:rsid w:val="00705EB9"/>
    <w:rsid w:val="00723F96"/>
    <w:rsid w:val="00871EA8"/>
    <w:rsid w:val="00895663"/>
    <w:rsid w:val="00961685"/>
    <w:rsid w:val="00970FAA"/>
    <w:rsid w:val="00A30CB3"/>
    <w:rsid w:val="00A4772F"/>
    <w:rsid w:val="00AA573D"/>
    <w:rsid w:val="00AE6B0D"/>
    <w:rsid w:val="00B728A5"/>
    <w:rsid w:val="00BB26DA"/>
    <w:rsid w:val="00BF693D"/>
    <w:rsid w:val="00CC07EC"/>
    <w:rsid w:val="00CC1E09"/>
    <w:rsid w:val="00CE7AF8"/>
    <w:rsid w:val="00D15AA5"/>
    <w:rsid w:val="00E46C55"/>
    <w:rsid w:val="00E60A37"/>
    <w:rsid w:val="00F21B99"/>
    <w:rsid w:val="00F400A7"/>
    <w:rsid w:val="00F4016E"/>
    <w:rsid w:val="01161F4F"/>
    <w:rsid w:val="013A4489"/>
    <w:rsid w:val="01425064"/>
    <w:rsid w:val="01664C41"/>
    <w:rsid w:val="017D298C"/>
    <w:rsid w:val="018E3217"/>
    <w:rsid w:val="019A23F4"/>
    <w:rsid w:val="019C6C58"/>
    <w:rsid w:val="01A53386"/>
    <w:rsid w:val="01AE7459"/>
    <w:rsid w:val="01B83507"/>
    <w:rsid w:val="01B933AA"/>
    <w:rsid w:val="01C76819"/>
    <w:rsid w:val="01F40356"/>
    <w:rsid w:val="020A0BA6"/>
    <w:rsid w:val="021A2B78"/>
    <w:rsid w:val="02821B99"/>
    <w:rsid w:val="029047B6"/>
    <w:rsid w:val="02955C9B"/>
    <w:rsid w:val="02B20F0A"/>
    <w:rsid w:val="02C63933"/>
    <w:rsid w:val="02D6293B"/>
    <w:rsid w:val="02FA24BF"/>
    <w:rsid w:val="03016BFF"/>
    <w:rsid w:val="030755DA"/>
    <w:rsid w:val="03163D9C"/>
    <w:rsid w:val="032F3AE3"/>
    <w:rsid w:val="037921F7"/>
    <w:rsid w:val="037B577A"/>
    <w:rsid w:val="039C5690"/>
    <w:rsid w:val="03A357FE"/>
    <w:rsid w:val="03BF6158"/>
    <w:rsid w:val="03D25340"/>
    <w:rsid w:val="03E80B47"/>
    <w:rsid w:val="03EB55EB"/>
    <w:rsid w:val="03FA3367"/>
    <w:rsid w:val="03FE27DD"/>
    <w:rsid w:val="041A583C"/>
    <w:rsid w:val="043F5274"/>
    <w:rsid w:val="04484C31"/>
    <w:rsid w:val="04756809"/>
    <w:rsid w:val="047B0A3C"/>
    <w:rsid w:val="04893842"/>
    <w:rsid w:val="04B20E2A"/>
    <w:rsid w:val="04C07991"/>
    <w:rsid w:val="04C6192C"/>
    <w:rsid w:val="04D17CC9"/>
    <w:rsid w:val="04D7530F"/>
    <w:rsid w:val="04DA7C3B"/>
    <w:rsid w:val="04DE679D"/>
    <w:rsid w:val="04EB5C24"/>
    <w:rsid w:val="04F53DDC"/>
    <w:rsid w:val="0509588F"/>
    <w:rsid w:val="05102512"/>
    <w:rsid w:val="05285869"/>
    <w:rsid w:val="052F28DF"/>
    <w:rsid w:val="053B4994"/>
    <w:rsid w:val="05544863"/>
    <w:rsid w:val="05563C46"/>
    <w:rsid w:val="055F5B35"/>
    <w:rsid w:val="05607711"/>
    <w:rsid w:val="05650F6C"/>
    <w:rsid w:val="056E6B3B"/>
    <w:rsid w:val="05957C4B"/>
    <w:rsid w:val="05B03ACD"/>
    <w:rsid w:val="05CD7AD2"/>
    <w:rsid w:val="05D3507C"/>
    <w:rsid w:val="05E64108"/>
    <w:rsid w:val="060C1C39"/>
    <w:rsid w:val="060E3E53"/>
    <w:rsid w:val="061B1669"/>
    <w:rsid w:val="06253790"/>
    <w:rsid w:val="063A520D"/>
    <w:rsid w:val="063E391A"/>
    <w:rsid w:val="065756D3"/>
    <w:rsid w:val="066A0AA1"/>
    <w:rsid w:val="066D1330"/>
    <w:rsid w:val="06833C80"/>
    <w:rsid w:val="06941A0B"/>
    <w:rsid w:val="06A31DD3"/>
    <w:rsid w:val="06B70E9A"/>
    <w:rsid w:val="06BF37EF"/>
    <w:rsid w:val="06D32A2E"/>
    <w:rsid w:val="06D57221"/>
    <w:rsid w:val="06E96117"/>
    <w:rsid w:val="06E96B6D"/>
    <w:rsid w:val="06EA36AB"/>
    <w:rsid w:val="06FC0243"/>
    <w:rsid w:val="071C5C13"/>
    <w:rsid w:val="071F35FD"/>
    <w:rsid w:val="0740342C"/>
    <w:rsid w:val="07527784"/>
    <w:rsid w:val="077D4558"/>
    <w:rsid w:val="078534F4"/>
    <w:rsid w:val="07915B3B"/>
    <w:rsid w:val="07A546C1"/>
    <w:rsid w:val="07AC5381"/>
    <w:rsid w:val="07B656A7"/>
    <w:rsid w:val="07CA5A63"/>
    <w:rsid w:val="07DE0BC0"/>
    <w:rsid w:val="07DF5AEC"/>
    <w:rsid w:val="07E454F7"/>
    <w:rsid w:val="080B775A"/>
    <w:rsid w:val="0815374C"/>
    <w:rsid w:val="081F3E10"/>
    <w:rsid w:val="08734EB1"/>
    <w:rsid w:val="087C4A88"/>
    <w:rsid w:val="089519B3"/>
    <w:rsid w:val="08AB620D"/>
    <w:rsid w:val="08D957B4"/>
    <w:rsid w:val="08DE1650"/>
    <w:rsid w:val="08DF47BB"/>
    <w:rsid w:val="08F3614A"/>
    <w:rsid w:val="090B26F7"/>
    <w:rsid w:val="090D0587"/>
    <w:rsid w:val="092B5815"/>
    <w:rsid w:val="093F5D0F"/>
    <w:rsid w:val="0953691B"/>
    <w:rsid w:val="095B5504"/>
    <w:rsid w:val="09630758"/>
    <w:rsid w:val="0969543E"/>
    <w:rsid w:val="099013AC"/>
    <w:rsid w:val="099110C8"/>
    <w:rsid w:val="0992460A"/>
    <w:rsid w:val="0995545B"/>
    <w:rsid w:val="09976256"/>
    <w:rsid w:val="09A2678E"/>
    <w:rsid w:val="09BE54EE"/>
    <w:rsid w:val="09D71826"/>
    <w:rsid w:val="0A326443"/>
    <w:rsid w:val="0A347FCD"/>
    <w:rsid w:val="0A70511D"/>
    <w:rsid w:val="0A8E0967"/>
    <w:rsid w:val="0A9342E4"/>
    <w:rsid w:val="0A9C5906"/>
    <w:rsid w:val="0AA17EF5"/>
    <w:rsid w:val="0AA32829"/>
    <w:rsid w:val="0AAE392C"/>
    <w:rsid w:val="0AC8769D"/>
    <w:rsid w:val="0ACA711F"/>
    <w:rsid w:val="0ADD1CA5"/>
    <w:rsid w:val="0AF514F3"/>
    <w:rsid w:val="0AFF3E15"/>
    <w:rsid w:val="0B052DE6"/>
    <w:rsid w:val="0B0C319B"/>
    <w:rsid w:val="0B1F69A9"/>
    <w:rsid w:val="0B28171D"/>
    <w:rsid w:val="0B4534CD"/>
    <w:rsid w:val="0B671A34"/>
    <w:rsid w:val="0B672468"/>
    <w:rsid w:val="0B833327"/>
    <w:rsid w:val="0B8847DD"/>
    <w:rsid w:val="0B9030F4"/>
    <w:rsid w:val="0BA60420"/>
    <w:rsid w:val="0BAC4891"/>
    <w:rsid w:val="0BBB1546"/>
    <w:rsid w:val="0BBF0E37"/>
    <w:rsid w:val="0BC626FB"/>
    <w:rsid w:val="0BC762D4"/>
    <w:rsid w:val="0BE8747A"/>
    <w:rsid w:val="0BE915EF"/>
    <w:rsid w:val="0BEF6E22"/>
    <w:rsid w:val="0BF36E8C"/>
    <w:rsid w:val="0BF846D0"/>
    <w:rsid w:val="0BFD0E60"/>
    <w:rsid w:val="0C01510C"/>
    <w:rsid w:val="0C0A4350"/>
    <w:rsid w:val="0C120C55"/>
    <w:rsid w:val="0C72360F"/>
    <w:rsid w:val="0CA12188"/>
    <w:rsid w:val="0CA72B71"/>
    <w:rsid w:val="0CAD3E44"/>
    <w:rsid w:val="0CDE5093"/>
    <w:rsid w:val="0CE02634"/>
    <w:rsid w:val="0D01205A"/>
    <w:rsid w:val="0D037AC7"/>
    <w:rsid w:val="0D141DB2"/>
    <w:rsid w:val="0D2E340C"/>
    <w:rsid w:val="0D300437"/>
    <w:rsid w:val="0D4732B1"/>
    <w:rsid w:val="0D7738B2"/>
    <w:rsid w:val="0DA226FB"/>
    <w:rsid w:val="0DB41252"/>
    <w:rsid w:val="0DBE46F7"/>
    <w:rsid w:val="0DD35A03"/>
    <w:rsid w:val="0DE076A7"/>
    <w:rsid w:val="0DEC5005"/>
    <w:rsid w:val="0DF2012F"/>
    <w:rsid w:val="0E6114CA"/>
    <w:rsid w:val="0E7F5C61"/>
    <w:rsid w:val="0E8F2B42"/>
    <w:rsid w:val="0E93723B"/>
    <w:rsid w:val="0E9537EC"/>
    <w:rsid w:val="0E980D8D"/>
    <w:rsid w:val="0ED3103C"/>
    <w:rsid w:val="0ED72C20"/>
    <w:rsid w:val="0EF62068"/>
    <w:rsid w:val="0F0A6671"/>
    <w:rsid w:val="0F1215F7"/>
    <w:rsid w:val="0F1F433C"/>
    <w:rsid w:val="0F302F5C"/>
    <w:rsid w:val="0F3908B1"/>
    <w:rsid w:val="0F6350DD"/>
    <w:rsid w:val="0F780FB2"/>
    <w:rsid w:val="0F8260A1"/>
    <w:rsid w:val="0F87456B"/>
    <w:rsid w:val="0F9B764A"/>
    <w:rsid w:val="0FB33D7D"/>
    <w:rsid w:val="0FD74111"/>
    <w:rsid w:val="0FDA3451"/>
    <w:rsid w:val="0FDF2A3C"/>
    <w:rsid w:val="0FDF761B"/>
    <w:rsid w:val="0FE47DAC"/>
    <w:rsid w:val="0FF70A10"/>
    <w:rsid w:val="100754B8"/>
    <w:rsid w:val="101C7237"/>
    <w:rsid w:val="102D2BA5"/>
    <w:rsid w:val="103E2E4D"/>
    <w:rsid w:val="10495B60"/>
    <w:rsid w:val="105813F5"/>
    <w:rsid w:val="106E7E34"/>
    <w:rsid w:val="10954028"/>
    <w:rsid w:val="10B27530"/>
    <w:rsid w:val="10B63D07"/>
    <w:rsid w:val="10CB4329"/>
    <w:rsid w:val="10D00070"/>
    <w:rsid w:val="10D11BFE"/>
    <w:rsid w:val="10ED4CBA"/>
    <w:rsid w:val="1105265F"/>
    <w:rsid w:val="11155938"/>
    <w:rsid w:val="11214408"/>
    <w:rsid w:val="112F056E"/>
    <w:rsid w:val="11314455"/>
    <w:rsid w:val="1139291F"/>
    <w:rsid w:val="1141656C"/>
    <w:rsid w:val="11557AE3"/>
    <w:rsid w:val="11630C64"/>
    <w:rsid w:val="1171136D"/>
    <w:rsid w:val="118A66B3"/>
    <w:rsid w:val="11944960"/>
    <w:rsid w:val="11A404CE"/>
    <w:rsid w:val="11B40C2C"/>
    <w:rsid w:val="11B40C40"/>
    <w:rsid w:val="11D01ADC"/>
    <w:rsid w:val="11F33485"/>
    <w:rsid w:val="12141B61"/>
    <w:rsid w:val="12154B80"/>
    <w:rsid w:val="121A74BF"/>
    <w:rsid w:val="123D1F2D"/>
    <w:rsid w:val="12440EC6"/>
    <w:rsid w:val="1245068D"/>
    <w:rsid w:val="124977D5"/>
    <w:rsid w:val="126A6C08"/>
    <w:rsid w:val="127630AE"/>
    <w:rsid w:val="12A53392"/>
    <w:rsid w:val="12F444D4"/>
    <w:rsid w:val="130C4D96"/>
    <w:rsid w:val="13145E0C"/>
    <w:rsid w:val="13376695"/>
    <w:rsid w:val="134165F5"/>
    <w:rsid w:val="134469D4"/>
    <w:rsid w:val="134F3F73"/>
    <w:rsid w:val="135C1BE0"/>
    <w:rsid w:val="13673605"/>
    <w:rsid w:val="137E5009"/>
    <w:rsid w:val="137F0401"/>
    <w:rsid w:val="138648CB"/>
    <w:rsid w:val="138E44E3"/>
    <w:rsid w:val="1396463B"/>
    <w:rsid w:val="13B45A02"/>
    <w:rsid w:val="13B50381"/>
    <w:rsid w:val="13CB5BBA"/>
    <w:rsid w:val="13D77D59"/>
    <w:rsid w:val="140F0496"/>
    <w:rsid w:val="1410624E"/>
    <w:rsid w:val="1418079E"/>
    <w:rsid w:val="141E4EB5"/>
    <w:rsid w:val="14250E9B"/>
    <w:rsid w:val="142B633C"/>
    <w:rsid w:val="14316B21"/>
    <w:rsid w:val="14495F5E"/>
    <w:rsid w:val="14577520"/>
    <w:rsid w:val="14796F4E"/>
    <w:rsid w:val="14896B78"/>
    <w:rsid w:val="148F1346"/>
    <w:rsid w:val="14BC1AC1"/>
    <w:rsid w:val="14CE233F"/>
    <w:rsid w:val="14DF54C8"/>
    <w:rsid w:val="14E74192"/>
    <w:rsid w:val="15086C88"/>
    <w:rsid w:val="15101F55"/>
    <w:rsid w:val="151843DF"/>
    <w:rsid w:val="15223EB1"/>
    <w:rsid w:val="15387F4B"/>
    <w:rsid w:val="15494556"/>
    <w:rsid w:val="15521EA2"/>
    <w:rsid w:val="155E3876"/>
    <w:rsid w:val="15847557"/>
    <w:rsid w:val="15886390"/>
    <w:rsid w:val="15B33315"/>
    <w:rsid w:val="15BB2629"/>
    <w:rsid w:val="15C162D5"/>
    <w:rsid w:val="15C35743"/>
    <w:rsid w:val="15DD560C"/>
    <w:rsid w:val="15F31AC3"/>
    <w:rsid w:val="15F934C0"/>
    <w:rsid w:val="16240C6E"/>
    <w:rsid w:val="16407AD6"/>
    <w:rsid w:val="16527EBB"/>
    <w:rsid w:val="165C730A"/>
    <w:rsid w:val="1668358F"/>
    <w:rsid w:val="16767EC7"/>
    <w:rsid w:val="1698574F"/>
    <w:rsid w:val="16B31F25"/>
    <w:rsid w:val="16E3427B"/>
    <w:rsid w:val="16EA089D"/>
    <w:rsid w:val="16EC606C"/>
    <w:rsid w:val="17037A9A"/>
    <w:rsid w:val="175E4789"/>
    <w:rsid w:val="175F4AD7"/>
    <w:rsid w:val="176621E0"/>
    <w:rsid w:val="176E1C79"/>
    <w:rsid w:val="17743652"/>
    <w:rsid w:val="177634B6"/>
    <w:rsid w:val="17791496"/>
    <w:rsid w:val="17820498"/>
    <w:rsid w:val="17BE5AF5"/>
    <w:rsid w:val="17BF7345"/>
    <w:rsid w:val="17EC683A"/>
    <w:rsid w:val="17F17C59"/>
    <w:rsid w:val="181564CC"/>
    <w:rsid w:val="183D0A97"/>
    <w:rsid w:val="18401FE8"/>
    <w:rsid w:val="184D1FA1"/>
    <w:rsid w:val="18541C7D"/>
    <w:rsid w:val="18556E59"/>
    <w:rsid w:val="186E5AB7"/>
    <w:rsid w:val="1879674C"/>
    <w:rsid w:val="187E017C"/>
    <w:rsid w:val="18913B72"/>
    <w:rsid w:val="189649B3"/>
    <w:rsid w:val="18A1422E"/>
    <w:rsid w:val="18A433C6"/>
    <w:rsid w:val="18C56A58"/>
    <w:rsid w:val="18C776CD"/>
    <w:rsid w:val="18DC7596"/>
    <w:rsid w:val="18E72586"/>
    <w:rsid w:val="18F408DA"/>
    <w:rsid w:val="195F7BA3"/>
    <w:rsid w:val="19755143"/>
    <w:rsid w:val="198D4BBB"/>
    <w:rsid w:val="19945584"/>
    <w:rsid w:val="19A91F54"/>
    <w:rsid w:val="19B51AAA"/>
    <w:rsid w:val="19CF5549"/>
    <w:rsid w:val="19D157BB"/>
    <w:rsid w:val="19E8490B"/>
    <w:rsid w:val="19EE4126"/>
    <w:rsid w:val="19FC3484"/>
    <w:rsid w:val="1A094893"/>
    <w:rsid w:val="1A232E15"/>
    <w:rsid w:val="1A297FD2"/>
    <w:rsid w:val="1A31109A"/>
    <w:rsid w:val="1A340363"/>
    <w:rsid w:val="1A424041"/>
    <w:rsid w:val="1A475519"/>
    <w:rsid w:val="1A5933D2"/>
    <w:rsid w:val="1A620E51"/>
    <w:rsid w:val="1A872DB1"/>
    <w:rsid w:val="1A8D3866"/>
    <w:rsid w:val="1A955AFD"/>
    <w:rsid w:val="1A9D34F7"/>
    <w:rsid w:val="1AB5169E"/>
    <w:rsid w:val="1AB70653"/>
    <w:rsid w:val="1AC84749"/>
    <w:rsid w:val="1AC9201F"/>
    <w:rsid w:val="1AD460D2"/>
    <w:rsid w:val="1AD92F66"/>
    <w:rsid w:val="1AF052B1"/>
    <w:rsid w:val="1B052B57"/>
    <w:rsid w:val="1B0E0471"/>
    <w:rsid w:val="1B3618E7"/>
    <w:rsid w:val="1B3F2E65"/>
    <w:rsid w:val="1B4068BC"/>
    <w:rsid w:val="1B4A73B3"/>
    <w:rsid w:val="1B7F5A1F"/>
    <w:rsid w:val="1B861BDC"/>
    <w:rsid w:val="1B984897"/>
    <w:rsid w:val="1BA02E23"/>
    <w:rsid w:val="1BBC3641"/>
    <w:rsid w:val="1BC602AE"/>
    <w:rsid w:val="1BD65666"/>
    <w:rsid w:val="1BF540A1"/>
    <w:rsid w:val="1C3A7381"/>
    <w:rsid w:val="1C4D4802"/>
    <w:rsid w:val="1C4E792B"/>
    <w:rsid w:val="1C617263"/>
    <w:rsid w:val="1C7007E8"/>
    <w:rsid w:val="1C8E5A9E"/>
    <w:rsid w:val="1CA3463F"/>
    <w:rsid w:val="1CC40005"/>
    <w:rsid w:val="1CCB2653"/>
    <w:rsid w:val="1CE01EEC"/>
    <w:rsid w:val="1CE96590"/>
    <w:rsid w:val="1D027ADC"/>
    <w:rsid w:val="1D207934"/>
    <w:rsid w:val="1D251ECC"/>
    <w:rsid w:val="1D26151C"/>
    <w:rsid w:val="1D403BD3"/>
    <w:rsid w:val="1D555136"/>
    <w:rsid w:val="1D6E0551"/>
    <w:rsid w:val="1D7A6120"/>
    <w:rsid w:val="1D7C62F9"/>
    <w:rsid w:val="1D7E5055"/>
    <w:rsid w:val="1D8164C2"/>
    <w:rsid w:val="1D9938A2"/>
    <w:rsid w:val="1DAC751A"/>
    <w:rsid w:val="1DCE1935"/>
    <w:rsid w:val="1DE41473"/>
    <w:rsid w:val="1DE550D9"/>
    <w:rsid w:val="1DF10D10"/>
    <w:rsid w:val="1E256726"/>
    <w:rsid w:val="1E334A61"/>
    <w:rsid w:val="1E3B2C33"/>
    <w:rsid w:val="1E5C6074"/>
    <w:rsid w:val="1E641053"/>
    <w:rsid w:val="1E8C37BD"/>
    <w:rsid w:val="1E912928"/>
    <w:rsid w:val="1EAC2554"/>
    <w:rsid w:val="1ED929D2"/>
    <w:rsid w:val="1EDA5857"/>
    <w:rsid w:val="1EEC49E3"/>
    <w:rsid w:val="1EFE27F0"/>
    <w:rsid w:val="1F076DED"/>
    <w:rsid w:val="1F103B84"/>
    <w:rsid w:val="1F186157"/>
    <w:rsid w:val="1F3C64D2"/>
    <w:rsid w:val="1F7F77BA"/>
    <w:rsid w:val="1FAD50AE"/>
    <w:rsid w:val="1FAF2C93"/>
    <w:rsid w:val="1FB614BE"/>
    <w:rsid w:val="1FD32171"/>
    <w:rsid w:val="1FEA6D47"/>
    <w:rsid w:val="20031954"/>
    <w:rsid w:val="20156BF0"/>
    <w:rsid w:val="202B63C4"/>
    <w:rsid w:val="2041191C"/>
    <w:rsid w:val="20626BEF"/>
    <w:rsid w:val="2067163B"/>
    <w:rsid w:val="20797C12"/>
    <w:rsid w:val="2087037A"/>
    <w:rsid w:val="20966664"/>
    <w:rsid w:val="20C16DEA"/>
    <w:rsid w:val="20D863E9"/>
    <w:rsid w:val="20DC45BC"/>
    <w:rsid w:val="21190F27"/>
    <w:rsid w:val="213B3AB2"/>
    <w:rsid w:val="21761DCE"/>
    <w:rsid w:val="21C40F15"/>
    <w:rsid w:val="21DD7F7D"/>
    <w:rsid w:val="21E02CC5"/>
    <w:rsid w:val="21E749B5"/>
    <w:rsid w:val="21E85BEA"/>
    <w:rsid w:val="21F71137"/>
    <w:rsid w:val="21FF556D"/>
    <w:rsid w:val="22020E19"/>
    <w:rsid w:val="220F11B2"/>
    <w:rsid w:val="223B1D3D"/>
    <w:rsid w:val="225077F9"/>
    <w:rsid w:val="2252374B"/>
    <w:rsid w:val="22601DA4"/>
    <w:rsid w:val="22713919"/>
    <w:rsid w:val="2279379F"/>
    <w:rsid w:val="22960938"/>
    <w:rsid w:val="229C37A3"/>
    <w:rsid w:val="22D4503A"/>
    <w:rsid w:val="22E43F69"/>
    <w:rsid w:val="22F50E74"/>
    <w:rsid w:val="22FD0971"/>
    <w:rsid w:val="231F7176"/>
    <w:rsid w:val="232E1888"/>
    <w:rsid w:val="23461269"/>
    <w:rsid w:val="23554516"/>
    <w:rsid w:val="23586838"/>
    <w:rsid w:val="23780867"/>
    <w:rsid w:val="239148FA"/>
    <w:rsid w:val="23A73990"/>
    <w:rsid w:val="23B20C63"/>
    <w:rsid w:val="23BD0220"/>
    <w:rsid w:val="23C33555"/>
    <w:rsid w:val="23C60EC6"/>
    <w:rsid w:val="23C76028"/>
    <w:rsid w:val="23E856B1"/>
    <w:rsid w:val="23EA223B"/>
    <w:rsid w:val="2405168C"/>
    <w:rsid w:val="24161FBD"/>
    <w:rsid w:val="2429472D"/>
    <w:rsid w:val="243C4DD2"/>
    <w:rsid w:val="244451DA"/>
    <w:rsid w:val="244535C3"/>
    <w:rsid w:val="24474959"/>
    <w:rsid w:val="2451787D"/>
    <w:rsid w:val="245C0BFD"/>
    <w:rsid w:val="24B9119A"/>
    <w:rsid w:val="24E0727C"/>
    <w:rsid w:val="24E112DB"/>
    <w:rsid w:val="24F839B5"/>
    <w:rsid w:val="251F541A"/>
    <w:rsid w:val="25236158"/>
    <w:rsid w:val="253C725A"/>
    <w:rsid w:val="254B2375"/>
    <w:rsid w:val="25542B8A"/>
    <w:rsid w:val="25635A40"/>
    <w:rsid w:val="256D597E"/>
    <w:rsid w:val="25707CCB"/>
    <w:rsid w:val="25906864"/>
    <w:rsid w:val="25924EBC"/>
    <w:rsid w:val="25D427ED"/>
    <w:rsid w:val="25DB7EA6"/>
    <w:rsid w:val="26077AAE"/>
    <w:rsid w:val="262D563A"/>
    <w:rsid w:val="263A356C"/>
    <w:rsid w:val="265748F8"/>
    <w:rsid w:val="26756C9A"/>
    <w:rsid w:val="26F31991"/>
    <w:rsid w:val="26F653E0"/>
    <w:rsid w:val="270D56A1"/>
    <w:rsid w:val="270D5B6F"/>
    <w:rsid w:val="27237C25"/>
    <w:rsid w:val="272A6A19"/>
    <w:rsid w:val="27312457"/>
    <w:rsid w:val="27354DE3"/>
    <w:rsid w:val="273A053A"/>
    <w:rsid w:val="27427C6E"/>
    <w:rsid w:val="27430F49"/>
    <w:rsid w:val="275F7F09"/>
    <w:rsid w:val="27760CFD"/>
    <w:rsid w:val="27885E75"/>
    <w:rsid w:val="27943A5C"/>
    <w:rsid w:val="27B97E2D"/>
    <w:rsid w:val="27E43AED"/>
    <w:rsid w:val="27F27B46"/>
    <w:rsid w:val="280C00BC"/>
    <w:rsid w:val="280E1606"/>
    <w:rsid w:val="2816667B"/>
    <w:rsid w:val="281D789C"/>
    <w:rsid w:val="284625DC"/>
    <w:rsid w:val="28563BA1"/>
    <w:rsid w:val="28577774"/>
    <w:rsid w:val="28923B61"/>
    <w:rsid w:val="28A111DB"/>
    <w:rsid w:val="28A8662A"/>
    <w:rsid w:val="28AB7228"/>
    <w:rsid w:val="28B17186"/>
    <w:rsid w:val="28C834C4"/>
    <w:rsid w:val="28CA2EB3"/>
    <w:rsid w:val="28DB576B"/>
    <w:rsid w:val="28E32F1F"/>
    <w:rsid w:val="28E43A0D"/>
    <w:rsid w:val="28F73102"/>
    <w:rsid w:val="28F82CEE"/>
    <w:rsid w:val="29102F3A"/>
    <w:rsid w:val="291F0C7D"/>
    <w:rsid w:val="29730218"/>
    <w:rsid w:val="29873A6F"/>
    <w:rsid w:val="298F620E"/>
    <w:rsid w:val="2990186E"/>
    <w:rsid w:val="29943091"/>
    <w:rsid w:val="29A17581"/>
    <w:rsid w:val="29BA3BAB"/>
    <w:rsid w:val="29CB41EA"/>
    <w:rsid w:val="29D63E9E"/>
    <w:rsid w:val="29F82483"/>
    <w:rsid w:val="2A0C7037"/>
    <w:rsid w:val="2A64477C"/>
    <w:rsid w:val="2A6B2C43"/>
    <w:rsid w:val="2A7C3988"/>
    <w:rsid w:val="2A816F32"/>
    <w:rsid w:val="2A866E3E"/>
    <w:rsid w:val="2A8C309D"/>
    <w:rsid w:val="2A992F79"/>
    <w:rsid w:val="2AB45700"/>
    <w:rsid w:val="2AC37771"/>
    <w:rsid w:val="2AFF0AA7"/>
    <w:rsid w:val="2B0A765E"/>
    <w:rsid w:val="2B155AEC"/>
    <w:rsid w:val="2B2F6B8C"/>
    <w:rsid w:val="2B4A39AF"/>
    <w:rsid w:val="2B4F6ADA"/>
    <w:rsid w:val="2B54358A"/>
    <w:rsid w:val="2B8078C6"/>
    <w:rsid w:val="2B812A0F"/>
    <w:rsid w:val="2BB6178F"/>
    <w:rsid w:val="2BB62454"/>
    <w:rsid w:val="2BCD07B9"/>
    <w:rsid w:val="2BF524B4"/>
    <w:rsid w:val="2BF67A19"/>
    <w:rsid w:val="2C042DA5"/>
    <w:rsid w:val="2C2D7467"/>
    <w:rsid w:val="2C343419"/>
    <w:rsid w:val="2C38048A"/>
    <w:rsid w:val="2C4405C4"/>
    <w:rsid w:val="2C525CC8"/>
    <w:rsid w:val="2C6173F1"/>
    <w:rsid w:val="2C631DE2"/>
    <w:rsid w:val="2C8F150E"/>
    <w:rsid w:val="2CA25B60"/>
    <w:rsid w:val="2CB33FB1"/>
    <w:rsid w:val="2CBD15EB"/>
    <w:rsid w:val="2CC04336"/>
    <w:rsid w:val="2CD35016"/>
    <w:rsid w:val="2CEC076D"/>
    <w:rsid w:val="2CF67922"/>
    <w:rsid w:val="2CFB3DB7"/>
    <w:rsid w:val="2D037A4F"/>
    <w:rsid w:val="2D052932"/>
    <w:rsid w:val="2D0A6D94"/>
    <w:rsid w:val="2D0C694F"/>
    <w:rsid w:val="2D177B3B"/>
    <w:rsid w:val="2D2508F9"/>
    <w:rsid w:val="2D2739FE"/>
    <w:rsid w:val="2D577C1E"/>
    <w:rsid w:val="2D6265DD"/>
    <w:rsid w:val="2D627807"/>
    <w:rsid w:val="2D6E75AF"/>
    <w:rsid w:val="2D776D7C"/>
    <w:rsid w:val="2D8A799F"/>
    <w:rsid w:val="2DAD0B89"/>
    <w:rsid w:val="2DB46083"/>
    <w:rsid w:val="2DDE1861"/>
    <w:rsid w:val="2DEF69FE"/>
    <w:rsid w:val="2E0B598F"/>
    <w:rsid w:val="2E1E2349"/>
    <w:rsid w:val="2E372719"/>
    <w:rsid w:val="2E3D2E5C"/>
    <w:rsid w:val="2E7573F0"/>
    <w:rsid w:val="2E7A4A66"/>
    <w:rsid w:val="2E884A80"/>
    <w:rsid w:val="2E8F179C"/>
    <w:rsid w:val="2E987FC8"/>
    <w:rsid w:val="2EBD0DE5"/>
    <w:rsid w:val="2ECA3BCE"/>
    <w:rsid w:val="2ED524A2"/>
    <w:rsid w:val="2EEF15E5"/>
    <w:rsid w:val="2F0451D0"/>
    <w:rsid w:val="2F070D8E"/>
    <w:rsid w:val="2F49141D"/>
    <w:rsid w:val="2F4A1DE5"/>
    <w:rsid w:val="2F552C3E"/>
    <w:rsid w:val="2F7B79E3"/>
    <w:rsid w:val="2F7B7A98"/>
    <w:rsid w:val="2F7F78DA"/>
    <w:rsid w:val="2F8E2752"/>
    <w:rsid w:val="2FA22A8D"/>
    <w:rsid w:val="2FA51D09"/>
    <w:rsid w:val="2FA538E8"/>
    <w:rsid w:val="2FB26A72"/>
    <w:rsid w:val="2FC50151"/>
    <w:rsid w:val="2FDB7F84"/>
    <w:rsid w:val="2FFB3D4D"/>
    <w:rsid w:val="300577C9"/>
    <w:rsid w:val="30147E30"/>
    <w:rsid w:val="302C0148"/>
    <w:rsid w:val="305266BF"/>
    <w:rsid w:val="305E5707"/>
    <w:rsid w:val="30774CBB"/>
    <w:rsid w:val="308405BA"/>
    <w:rsid w:val="309767BD"/>
    <w:rsid w:val="30B63A56"/>
    <w:rsid w:val="30B77DF8"/>
    <w:rsid w:val="30BD4E97"/>
    <w:rsid w:val="30D05639"/>
    <w:rsid w:val="30F37CC9"/>
    <w:rsid w:val="30FC566E"/>
    <w:rsid w:val="311912AE"/>
    <w:rsid w:val="31245AB2"/>
    <w:rsid w:val="312D02F7"/>
    <w:rsid w:val="31514988"/>
    <w:rsid w:val="31676662"/>
    <w:rsid w:val="31860E50"/>
    <w:rsid w:val="31894F6F"/>
    <w:rsid w:val="31E444C9"/>
    <w:rsid w:val="31E74446"/>
    <w:rsid w:val="32125145"/>
    <w:rsid w:val="321F0722"/>
    <w:rsid w:val="322272C7"/>
    <w:rsid w:val="323F4806"/>
    <w:rsid w:val="32733A5C"/>
    <w:rsid w:val="3284349E"/>
    <w:rsid w:val="3297148B"/>
    <w:rsid w:val="32A365EC"/>
    <w:rsid w:val="32A40BA7"/>
    <w:rsid w:val="32F37D11"/>
    <w:rsid w:val="33005A44"/>
    <w:rsid w:val="33030C23"/>
    <w:rsid w:val="33054A89"/>
    <w:rsid w:val="33342A24"/>
    <w:rsid w:val="33376F17"/>
    <w:rsid w:val="334D239E"/>
    <w:rsid w:val="339E23A0"/>
    <w:rsid w:val="33C36A7B"/>
    <w:rsid w:val="33EA6DB0"/>
    <w:rsid w:val="33F62651"/>
    <w:rsid w:val="33FB45DE"/>
    <w:rsid w:val="342D62CF"/>
    <w:rsid w:val="343D12DB"/>
    <w:rsid w:val="346877B7"/>
    <w:rsid w:val="34823B76"/>
    <w:rsid w:val="349C7EAD"/>
    <w:rsid w:val="34BA5CF1"/>
    <w:rsid w:val="34BA7332"/>
    <w:rsid w:val="34CF65D8"/>
    <w:rsid w:val="351A4472"/>
    <w:rsid w:val="354B056A"/>
    <w:rsid w:val="35646C4F"/>
    <w:rsid w:val="357327B6"/>
    <w:rsid w:val="35834FA2"/>
    <w:rsid w:val="358A3573"/>
    <w:rsid w:val="358D17E7"/>
    <w:rsid w:val="35954265"/>
    <w:rsid w:val="359E5A15"/>
    <w:rsid w:val="35AA1BA9"/>
    <w:rsid w:val="35C718EF"/>
    <w:rsid w:val="35CE3CA0"/>
    <w:rsid w:val="35E14B97"/>
    <w:rsid w:val="35EA3E66"/>
    <w:rsid w:val="35EB0CCB"/>
    <w:rsid w:val="35F136E7"/>
    <w:rsid w:val="360139DC"/>
    <w:rsid w:val="360F32EC"/>
    <w:rsid w:val="3619796B"/>
    <w:rsid w:val="361A0F27"/>
    <w:rsid w:val="36433EB3"/>
    <w:rsid w:val="365C50E6"/>
    <w:rsid w:val="366E0621"/>
    <w:rsid w:val="36775853"/>
    <w:rsid w:val="3690369F"/>
    <w:rsid w:val="36A60150"/>
    <w:rsid w:val="36D21BB2"/>
    <w:rsid w:val="36D4562E"/>
    <w:rsid w:val="36E21D63"/>
    <w:rsid w:val="36E42D8D"/>
    <w:rsid w:val="36E4734E"/>
    <w:rsid w:val="36EE0537"/>
    <w:rsid w:val="36F870A6"/>
    <w:rsid w:val="36FF3892"/>
    <w:rsid w:val="37027F37"/>
    <w:rsid w:val="3707366D"/>
    <w:rsid w:val="37106AD8"/>
    <w:rsid w:val="37185172"/>
    <w:rsid w:val="37253A78"/>
    <w:rsid w:val="374925D7"/>
    <w:rsid w:val="374F6631"/>
    <w:rsid w:val="376C6BB9"/>
    <w:rsid w:val="37894D67"/>
    <w:rsid w:val="37914409"/>
    <w:rsid w:val="37A60FA7"/>
    <w:rsid w:val="37B71BED"/>
    <w:rsid w:val="37DC05CB"/>
    <w:rsid w:val="37E3743A"/>
    <w:rsid w:val="37EA30E5"/>
    <w:rsid w:val="380B3320"/>
    <w:rsid w:val="3817300A"/>
    <w:rsid w:val="382702D4"/>
    <w:rsid w:val="38351A7B"/>
    <w:rsid w:val="38420F9D"/>
    <w:rsid w:val="38485904"/>
    <w:rsid w:val="38490451"/>
    <w:rsid w:val="386D700D"/>
    <w:rsid w:val="387704E8"/>
    <w:rsid w:val="38904C3F"/>
    <w:rsid w:val="38940E8A"/>
    <w:rsid w:val="38A66799"/>
    <w:rsid w:val="38BF2A60"/>
    <w:rsid w:val="38E944FB"/>
    <w:rsid w:val="38ED3F5B"/>
    <w:rsid w:val="39046035"/>
    <w:rsid w:val="39161D88"/>
    <w:rsid w:val="392B088C"/>
    <w:rsid w:val="3949013B"/>
    <w:rsid w:val="395545D6"/>
    <w:rsid w:val="3959641A"/>
    <w:rsid w:val="396225A8"/>
    <w:rsid w:val="3965558C"/>
    <w:rsid w:val="397C5951"/>
    <w:rsid w:val="3983748D"/>
    <w:rsid w:val="399332B5"/>
    <w:rsid w:val="399961A1"/>
    <w:rsid w:val="39BF5515"/>
    <w:rsid w:val="39CC65F1"/>
    <w:rsid w:val="39D41C68"/>
    <w:rsid w:val="39D473B6"/>
    <w:rsid w:val="39E856FE"/>
    <w:rsid w:val="39F96117"/>
    <w:rsid w:val="3A0A7D55"/>
    <w:rsid w:val="3A1174CC"/>
    <w:rsid w:val="3A4B7449"/>
    <w:rsid w:val="3A521D71"/>
    <w:rsid w:val="3A6223B9"/>
    <w:rsid w:val="3A6B1F2C"/>
    <w:rsid w:val="3A75018A"/>
    <w:rsid w:val="3A7755AB"/>
    <w:rsid w:val="3A9679AC"/>
    <w:rsid w:val="3A9F36F4"/>
    <w:rsid w:val="3AAF76A0"/>
    <w:rsid w:val="3AEB5A3F"/>
    <w:rsid w:val="3AED1F00"/>
    <w:rsid w:val="3AF71E6A"/>
    <w:rsid w:val="3AFF40C1"/>
    <w:rsid w:val="3B031276"/>
    <w:rsid w:val="3B817163"/>
    <w:rsid w:val="3BA142E5"/>
    <w:rsid w:val="3C1F6EE0"/>
    <w:rsid w:val="3C21007B"/>
    <w:rsid w:val="3C280836"/>
    <w:rsid w:val="3C4643CD"/>
    <w:rsid w:val="3C5714F5"/>
    <w:rsid w:val="3C595CF9"/>
    <w:rsid w:val="3C7D687B"/>
    <w:rsid w:val="3C9A5EF9"/>
    <w:rsid w:val="3C9D4842"/>
    <w:rsid w:val="3CA05414"/>
    <w:rsid w:val="3CC53CF8"/>
    <w:rsid w:val="3CDB7597"/>
    <w:rsid w:val="3CEF0816"/>
    <w:rsid w:val="3CF227E3"/>
    <w:rsid w:val="3CF628C8"/>
    <w:rsid w:val="3D1C46F6"/>
    <w:rsid w:val="3D51706F"/>
    <w:rsid w:val="3D6607DF"/>
    <w:rsid w:val="3D802ACE"/>
    <w:rsid w:val="3D9229AA"/>
    <w:rsid w:val="3DD16322"/>
    <w:rsid w:val="3DD5384D"/>
    <w:rsid w:val="3DE503F8"/>
    <w:rsid w:val="3DEE68C1"/>
    <w:rsid w:val="3DF06ACB"/>
    <w:rsid w:val="3E0F05D0"/>
    <w:rsid w:val="3E1C6886"/>
    <w:rsid w:val="3E333AEC"/>
    <w:rsid w:val="3E4F3EC1"/>
    <w:rsid w:val="3E5B2519"/>
    <w:rsid w:val="3E6238D1"/>
    <w:rsid w:val="3E79544F"/>
    <w:rsid w:val="3E942232"/>
    <w:rsid w:val="3E9614E4"/>
    <w:rsid w:val="3E9E3090"/>
    <w:rsid w:val="3EA9200D"/>
    <w:rsid w:val="3EAF56AE"/>
    <w:rsid w:val="3EB01D2E"/>
    <w:rsid w:val="3EB21CD2"/>
    <w:rsid w:val="3EB6036A"/>
    <w:rsid w:val="3EB71C7B"/>
    <w:rsid w:val="3EBF3FC7"/>
    <w:rsid w:val="3EC141CA"/>
    <w:rsid w:val="3ED44F48"/>
    <w:rsid w:val="3EEE62B1"/>
    <w:rsid w:val="3EF55C4B"/>
    <w:rsid w:val="3EF80599"/>
    <w:rsid w:val="3F2248A9"/>
    <w:rsid w:val="3F4A3258"/>
    <w:rsid w:val="3F595ABD"/>
    <w:rsid w:val="3FA46875"/>
    <w:rsid w:val="3FC24A26"/>
    <w:rsid w:val="3FCF3004"/>
    <w:rsid w:val="3FEF55CD"/>
    <w:rsid w:val="402E4649"/>
    <w:rsid w:val="40481853"/>
    <w:rsid w:val="40517DE4"/>
    <w:rsid w:val="4060590B"/>
    <w:rsid w:val="407C4081"/>
    <w:rsid w:val="408369B1"/>
    <w:rsid w:val="408B589A"/>
    <w:rsid w:val="40910FC0"/>
    <w:rsid w:val="40C63A90"/>
    <w:rsid w:val="40D92788"/>
    <w:rsid w:val="40DF216C"/>
    <w:rsid w:val="40E1222E"/>
    <w:rsid w:val="411A5968"/>
    <w:rsid w:val="411E27CA"/>
    <w:rsid w:val="411E4222"/>
    <w:rsid w:val="413565B8"/>
    <w:rsid w:val="413614F2"/>
    <w:rsid w:val="416305B6"/>
    <w:rsid w:val="419518FB"/>
    <w:rsid w:val="41AB13E6"/>
    <w:rsid w:val="41AF5DD8"/>
    <w:rsid w:val="41C62BED"/>
    <w:rsid w:val="41E23B57"/>
    <w:rsid w:val="41F867A7"/>
    <w:rsid w:val="420341F8"/>
    <w:rsid w:val="42066524"/>
    <w:rsid w:val="422E19C7"/>
    <w:rsid w:val="422F4080"/>
    <w:rsid w:val="42466E75"/>
    <w:rsid w:val="424D372A"/>
    <w:rsid w:val="42642026"/>
    <w:rsid w:val="42656AAA"/>
    <w:rsid w:val="426E7F1A"/>
    <w:rsid w:val="42727C6F"/>
    <w:rsid w:val="42885795"/>
    <w:rsid w:val="42A02D8A"/>
    <w:rsid w:val="42BB3613"/>
    <w:rsid w:val="42C67A6B"/>
    <w:rsid w:val="42EF2825"/>
    <w:rsid w:val="42F60BE4"/>
    <w:rsid w:val="42F73D2F"/>
    <w:rsid w:val="43390B63"/>
    <w:rsid w:val="433B2095"/>
    <w:rsid w:val="43494B5D"/>
    <w:rsid w:val="435B7DF5"/>
    <w:rsid w:val="438011AD"/>
    <w:rsid w:val="438132DD"/>
    <w:rsid w:val="43A939C0"/>
    <w:rsid w:val="43AB6138"/>
    <w:rsid w:val="43B24252"/>
    <w:rsid w:val="43B248B5"/>
    <w:rsid w:val="43BF4955"/>
    <w:rsid w:val="43D622B0"/>
    <w:rsid w:val="43D823EE"/>
    <w:rsid w:val="43EC703C"/>
    <w:rsid w:val="43F11E8E"/>
    <w:rsid w:val="44122884"/>
    <w:rsid w:val="442633D0"/>
    <w:rsid w:val="44330FD2"/>
    <w:rsid w:val="443A6B2B"/>
    <w:rsid w:val="44487963"/>
    <w:rsid w:val="44705E45"/>
    <w:rsid w:val="447D08B4"/>
    <w:rsid w:val="447D6659"/>
    <w:rsid w:val="447F110D"/>
    <w:rsid w:val="44A63366"/>
    <w:rsid w:val="44C0323A"/>
    <w:rsid w:val="44C27A29"/>
    <w:rsid w:val="44C37C6B"/>
    <w:rsid w:val="44E613F4"/>
    <w:rsid w:val="44E827CB"/>
    <w:rsid w:val="44F47784"/>
    <w:rsid w:val="451F2592"/>
    <w:rsid w:val="45220FCA"/>
    <w:rsid w:val="45405909"/>
    <w:rsid w:val="454D3BB7"/>
    <w:rsid w:val="456104B9"/>
    <w:rsid w:val="456757D8"/>
    <w:rsid w:val="457728FD"/>
    <w:rsid w:val="45772DB4"/>
    <w:rsid w:val="45912226"/>
    <w:rsid w:val="45BB68DF"/>
    <w:rsid w:val="45CA2768"/>
    <w:rsid w:val="45CE66C2"/>
    <w:rsid w:val="45D259E5"/>
    <w:rsid w:val="45D4490F"/>
    <w:rsid w:val="45D66747"/>
    <w:rsid w:val="45F472DF"/>
    <w:rsid w:val="46156C09"/>
    <w:rsid w:val="46173A6C"/>
    <w:rsid w:val="462635FC"/>
    <w:rsid w:val="464051C6"/>
    <w:rsid w:val="467A4F9D"/>
    <w:rsid w:val="468A042F"/>
    <w:rsid w:val="46AF3A3E"/>
    <w:rsid w:val="46C4567C"/>
    <w:rsid w:val="46C52741"/>
    <w:rsid w:val="46CB223B"/>
    <w:rsid w:val="46CF68EE"/>
    <w:rsid w:val="46D45767"/>
    <w:rsid w:val="46E81F21"/>
    <w:rsid w:val="47071167"/>
    <w:rsid w:val="471F1B29"/>
    <w:rsid w:val="472C3C99"/>
    <w:rsid w:val="473A77FF"/>
    <w:rsid w:val="47472DF1"/>
    <w:rsid w:val="47613E85"/>
    <w:rsid w:val="476360FF"/>
    <w:rsid w:val="477B7EE4"/>
    <w:rsid w:val="47C507D3"/>
    <w:rsid w:val="47D65CAD"/>
    <w:rsid w:val="47D72D0E"/>
    <w:rsid w:val="47D83DBE"/>
    <w:rsid w:val="47DF45D4"/>
    <w:rsid w:val="48240225"/>
    <w:rsid w:val="48273267"/>
    <w:rsid w:val="484D7B05"/>
    <w:rsid w:val="485208BC"/>
    <w:rsid w:val="48560A64"/>
    <w:rsid w:val="48651F98"/>
    <w:rsid w:val="48790A15"/>
    <w:rsid w:val="487B125B"/>
    <w:rsid w:val="487B5097"/>
    <w:rsid w:val="48867F6B"/>
    <w:rsid w:val="488704BE"/>
    <w:rsid w:val="48B13100"/>
    <w:rsid w:val="48B20D65"/>
    <w:rsid w:val="48B73407"/>
    <w:rsid w:val="48E76D74"/>
    <w:rsid w:val="48F071E0"/>
    <w:rsid w:val="490005BF"/>
    <w:rsid w:val="49190D43"/>
    <w:rsid w:val="491A0E67"/>
    <w:rsid w:val="496219E7"/>
    <w:rsid w:val="497F3F34"/>
    <w:rsid w:val="49892D5C"/>
    <w:rsid w:val="499C0401"/>
    <w:rsid w:val="49A71948"/>
    <w:rsid w:val="49BF3470"/>
    <w:rsid w:val="49CF2371"/>
    <w:rsid w:val="49DF3E55"/>
    <w:rsid w:val="49E05241"/>
    <w:rsid w:val="49E07309"/>
    <w:rsid w:val="49EC25EA"/>
    <w:rsid w:val="4A1C2238"/>
    <w:rsid w:val="4A5116F5"/>
    <w:rsid w:val="4A703F7A"/>
    <w:rsid w:val="4A8E6E4F"/>
    <w:rsid w:val="4A90490E"/>
    <w:rsid w:val="4AA364FF"/>
    <w:rsid w:val="4AB044CD"/>
    <w:rsid w:val="4AB3753C"/>
    <w:rsid w:val="4ABA1CAB"/>
    <w:rsid w:val="4AD33509"/>
    <w:rsid w:val="4AF81536"/>
    <w:rsid w:val="4B0E5CF0"/>
    <w:rsid w:val="4B156FF4"/>
    <w:rsid w:val="4B1F634E"/>
    <w:rsid w:val="4B2B675B"/>
    <w:rsid w:val="4B3927A2"/>
    <w:rsid w:val="4B4F1305"/>
    <w:rsid w:val="4B590B74"/>
    <w:rsid w:val="4B6211DC"/>
    <w:rsid w:val="4B622C82"/>
    <w:rsid w:val="4B885F1B"/>
    <w:rsid w:val="4B941F8D"/>
    <w:rsid w:val="4B9B3594"/>
    <w:rsid w:val="4BA42905"/>
    <w:rsid w:val="4BAC36C9"/>
    <w:rsid w:val="4BF219E8"/>
    <w:rsid w:val="4C0C32F3"/>
    <w:rsid w:val="4C3175E5"/>
    <w:rsid w:val="4C631EDA"/>
    <w:rsid w:val="4C76624D"/>
    <w:rsid w:val="4C7B2EAA"/>
    <w:rsid w:val="4C9A2E59"/>
    <w:rsid w:val="4CB04D2B"/>
    <w:rsid w:val="4CCB3D3B"/>
    <w:rsid w:val="4CF177CB"/>
    <w:rsid w:val="4CF678CA"/>
    <w:rsid w:val="4CF73566"/>
    <w:rsid w:val="4D0127A3"/>
    <w:rsid w:val="4D175216"/>
    <w:rsid w:val="4D191608"/>
    <w:rsid w:val="4D201B8C"/>
    <w:rsid w:val="4D700A94"/>
    <w:rsid w:val="4D9022F4"/>
    <w:rsid w:val="4D967BF5"/>
    <w:rsid w:val="4D974BCF"/>
    <w:rsid w:val="4D9C78F5"/>
    <w:rsid w:val="4DB9716F"/>
    <w:rsid w:val="4DD51956"/>
    <w:rsid w:val="4E0E5695"/>
    <w:rsid w:val="4E1A701F"/>
    <w:rsid w:val="4E4F0B37"/>
    <w:rsid w:val="4E561AB8"/>
    <w:rsid w:val="4E7B75DD"/>
    <w:rsid w:val="4EB4046C"/>
    <w:rsid w:val="4EB777B3"/>
    <w:rsid w:val="4EC04A15"/>
    <w:rsid w:val="4EDC6BC6"/>
    <w:rsid w:val="4EF55AAD"/>
    <w:rsid w:val="4F0300AC"/>
    <w:rsid w:val="4F0C13D7"/>
    <w:rsid w:val="4F2471BE"/>
    <w:rsid w:val="4F4C19E2"/>
    <w:rsid w:val="4F5C0123"/>
    <w:rsid w:val="4F5E3F6C"/>
    <w:rsid w:val="4F6F300B"/>
    <w:rsid w:val="4F7026DE"/>
    <w:rsid w:val="4F7821DB"/>
    <w:rsid w:val="4F85252D"/>
    <w:rsid w:val="4F911A9D"/>
    <w:rsid w:val="4FB156DB"/>
    <w:rsid w:val="4FC04D6D"/>
    <w:rsid w:val="4FC15B95"/>
    <w:rsid w:val="4FEC2B8D"/>
    <w:rsid w:val="4FF53A7A"/>
    <w:rsid w:val="4FFE3BFE"/>
    <w:rsid w:val="50263429"/>
    <w:rsid w:val="503E20A8"/>
    <w:rsid w:val="507E0FEA"/>
    <w:rsid w:val="50841485"/>
    <w:rsid w:val="5097037B"/>
    <w:rsid w:val="50B520E2"/>
    <w:rsid w:val="50E52A97"/>
    <w:rsid w:val="50EE381F"/>
    <w:rsid w:val="51005BB2"/>
    <w:rsid w:val="51197D54"/>
    <w:rsid w:val="511A208C"/>
    <w:rsid w:val="513423E9"/>
    <w:rsid w:val="514E3B10"/>
    <w:rsid w:val="5153765D"/>
    <w:rsid w:val="51721A57"/>
    <w:rsid w:val="51921376"/>
    <w:rsid w:val="519A2902"/>
    <w:rsid w:val="519C4E03"/>
    <w:rsid w:val="51A359FA"/>
    <w:rsid w:val="51A5175E"/>
    <w:rsid w:val="51B56DA5"/>
    <w:rsid w:val="51D266A4"/>
    <w:rsid w:val="51D436FC"/>
    <w:rsid w:val="51D51C69"/>
    <w:rsid w:val="51DE56EE"/>
    <w:rsid w:val="51E33326"/>
    <w:rsid w:val="51E6779B"/>
    <w:rsid w:val="51F07C41"/>
    <w:rsid w:val="5202724E"/>
    <w:rsid w:val="522A562A"/>
    <w:rsid w:val="523C7246"/>
    <w:rsid w:val="523E2E24"/>
    <w:rsid w:val="52467DC7"/>
    <w:rsid w:val="525126EB"/>
    <w:rsid w:val="52547D17"/>
    <w:rsid w:val="52984FFB"/>
    <w:rsid w:val="52990C1F"/>
    <w:rsid w:val="52A5443D"/>
    <w:rsid w:val="52D6673B"/>
    <w:rsid w:val="52E93545"/>
    <w:rsid w:val="52EF5B87"/>
    <w:rsid w:val="530A0C73"/>
    <w:rsid w:val="532958C2"/>
    <w:rsid w:val="532A538F"/>
    <w:rsid w:val="532C23EF"/>
    <w:rsid w:val="53336FC0"/>
    <w:rsid w:val="53594062"/>
    <w:rsid w:val="5367340B"/>
    <w:rsid w:val="53814A6A"/>
    <w:rsid w:val="53835FCF"/>
    <w:rsid w:val="53940164"/>
    <w:rsid w:val="53C76394"/>
    <w:rsid w:val="53DF58E9"/>
    <w:rsid w:val="53E30766"/>
    <w:rsid w:val="53FC748C"/>
    <w:rsid w:val="540E237B"/>
    <w:rsid w:val="541B33C9"/>
    <w:rsid w:val="548375C7"/>
    <w:rsid w:val="548C049A"/>
    <w:rsid w:val="548E5803"/>
    <w:rsid w:val="54D9267C"/>
    <w:rsid w:val="54E10F50"/>
    <w:rsid w:val="54E43EB4"/>
    <w:rsid w:val="54F749A7"/>
    <w:rsid w:val="55042847"/>
    <w:rsid w:val="5507003D"/>
    <w:rsid w:val="551662CA"/>
    <w:rsid w:val="551E01D6"/>
    <w:rsid w:val="552E0B1D"/>
    <w:rsid w:val="553232B5"/>
    <w:rsid w:val="55367803"/>
    <w:rsid w:val="55485AA9"/>
    <w:rsid w:val="554A4F30"/>
    <w:rsid w:val="5555434C"/>
    <w:rsid w:val="555636D1"/>
    <w:rsid w:val="556C79FD"/>
    <w:rsid w:val="556F6D99"/>
    <w:rsid w:val="557E5697"/>
    <w:rsid w:val="557F569B"/>
    <w:rsid w:val="55A55AD4"/>
    <w:rsid w:val="55AD6E6F"/>
    <w:rsid w:val="55E13557"/>
    <w:rsid w:val="55F417F2"/>
    <w:rsid w:val="55FB6B21"/>
    <w:rsid w:val="5611226E"/>
    <w:rsid w:val="56235D02"/>
    <w:rsid w:val="562F0788"/>
    <w:rsid w:val="564E62D7"/>
    <w:rsid w:val="5659399A"/>
    <w:rsid w:val="56600267"/>
    <w:rsid w:val="56644F43"/>
    <w:rsid w:val="56645440"/>
    <w:rsid w:val="56704D0A"/>
    <w:rsid w:val="56866AEA"/>
    <w:rsid w:val="56894A3D"/>
    <w:rsid w:val="568A72E2"/>
    <w:rsid w:val="568F3A6F"/>
    <w:rsid w:val="568F6B3B"/>
    <w:rsid w:val="569A7979"/>
    <w:rsid w:val="569B2463"/>
    <w:rsid w:val="569D2065"/>
    <w:rsid w:val="56B8428B"/>
    <w:rsid w:val="56C44612"/>
    <w:rsid w:val="56CF5904"/>
    <w:rsid w:val="56D23E27"/>
    <w:rsid w:val="56F30B79"/>
    <w:rsid w:val="56F41FE6"/>
    <w:rsid w:val="571621EF"/>
    <w:rsid w:val="572A3149"/>
    <w:rsid w:val="573A040C"/>
    <w:rsid w:val="574B69B1"/>
    <w:rsid w:val="575139B6"/>
    <w:rsid w:val="5776771B"/>
    <w:rsid w:val="57937FFB"/>
    <w:rsid w:val="57AA7FC2"/>
    <w:rsid w:val="57BF65B4"/>
    <w:rsid w:val="57CE0B1A"/>
    <w:rsid w:val="57D51302"/>
    <w:rsid w:val="57E05AD1"/>
    <w:rsid w:val="57F06326"/>
    <w:rsid w:val="580225DA"/>
    <w:rsid w:val="581F6200"/>
    <w:rsid w:val="58270485"/>
    <w:rsid w:val="582D6394"/>
    <w:rsid w:val="583D4506"/>
    <w:rsid w:val="584C377E"/>
    <w:rsid w:val="585218B4"/>
    <w:rsid w:val="585F74A0"/>
    <w:rsid w:val="58762DC6"/>
    <w:rsid w:val="589C427F"/>
    <w:rsid w:val="58A8618E"/>
    <w:rsid w:val="58B02DED"/>
    <w:rsid w:val="58B052FB"/>
    <w:rsid w:val="58FC7AC9"/>
    <w:rsid w:val="58FE1F4B"/>
    <w:rsid w:val="590B0801"/>
    <w:rsid w:val="593B6397"/>
    <w:rsid w:val="593F2508"/>
    <w:rsid w:val="594D560E"/>
    <w:rsid w:val="594E189C"/>
    <w:rsid w:val="595015EF"/>
    <w:rsid w:val="59516E31"/>
    <w:rsid w:val="596F07B3"/>
    <w:rsid w:val="597437D9"/>
    <w:rsid w:val="597A288C"/>
    <w:rsid w:val="598E4209"/>
    <w:rsid w:val="59953BFB"/>
    <w:rsid w:val="599A41DC"/>
    <w:rsid w:val="59B95C5B"/>
    <w:rsid w:val="59D32C10"/>
    <w:rsid w:val="5A1030A8"/>
    <w:rsid w:val="5A2550BF"/>
    <w:rsid w:val="5A2B12F0"/>
    <w:rsid w:val="5A4B6CB8"/>
    <w:rsid w:val="5A5D7CE2"/>
    <w:rsid w:val="5A693BAD"/>
    <w:rsid w:val="5A6B0C6D"/>
    <w:rsid w:val="5A8C3A1A"/>
    <w:rsid w:val="5A9206A4"/>
    <w:rsid w:val="5ABF7F74"/>
    <w:rsid w:val="5AC501CE"/>
    <w:rsid w:val="5ACB7E61"/>
    <w:rsid w:val="5ADC5003"/>
    <w:rsid w:val="5AE11FC3"/>
    <w:rsid w:val="5AFC466A"/>
    <w:rsid w:val="5AFC632C"/>
    <w:rsid w:val="5AFF6746"/>
    <w:rsid w:val="5B0C4999"/>
    <w:rsid w:val="5B210307"/>
    <w:rsid w:val="5B236068"/>
    <w:rsid w:val="5B4A5638"/>
    <w:rsid w:val="5B4C1F7B"/>
    <w:rsid w:val="5B5263FF"/>
    <w:rsid w:val="5B992DEF"/>
    <w:rsid w:val="5B9D0309"/>
    <w:rsid w:val="5BBE7722"/>
    <w:rsid w:val="5BCF3EF7"/>
    <w:rsid w:val="5BD46745"/>
    <w:rsid w:val="5BD529D9"/>
    <w:rsid w:val="5BF738E3"/>
    <w:rsid w:val="5C1318A1"/>
    <w:rsid w:val="5C1E3E80"/>
    <w:rsid w:val="5C2E27B9"/>
    <w:rsid w:val="5C343794"/>
    <w:rsid w:val="5C367850"/>
    <w:rsid w:val="5C3A0A96"/>
    <w:rsid w:val="5C5753FF"/>
    <w:rsid w:val="5C5B6A90"/>
    <w:rsid w:val="5C6502BC"/>
    <w:rsid w:val="5C7034D0"/>
    <w:rsid w:val="5C777375"/>
    <w:rsid w:val="5CB20728"/>
    <w:rsid w:val="5CBB606D"/>
    <w:rsid w:val="5CCD36EE"/>
    <w:rsid w:val="5CD075F2"/>
    <w:rsid w:val="5CD6638E"/>
    <w:rsid w:val="5CDA6EEE"/>
    <w:rsid w:val="5CDE77B7"/>
    <w:rsid w:val="5CF8464B"/>
    <w:rsid w:val="5D0B614D"/>
    <w:rsid w:val="5D23775A"/>
    <w:rsid w:val="5D3E4B67"/>
    <w:rsid w:val="5D4C11EC"/>
    <w:rsid w:val="5D5B5E00"/>
    <w:rsid w:val="5D706C40"/>
    <w:rsid w:val="5D860304"/>
    <w:rsid w:val="5DA76F13"/>
    <w:rsid w:val="5DA868FA"/>
    <w:rsid w:val="5DCA0394"/>
    <w:rsid w:val="5DCC5AF2"/>
    <w:rsid w:val="5E0013EB"/>
    <w:rsid w:val="5E03225B"/>
    <w:rsid w:val="5E177981"/>
    <w:rsid w:val="5E4E0B0D"/>
    <w:rsid w:val="5E69492E"/>
    <w:rsid w:val="5E6D14C7"/>
    <w:rsid w:val="5E820C76"/>
    <w:rsid w:val="5EC657EF"/>
    <w:rsid w:val="5ED73A49"/>
    <w:rsid w:val="5EE4058A"/>
    <w:rsid w:val="5EE81921"/>
    <w:rsid w:val="5EF1732C"/>
    <w:rsid w:val="5F3773E5"/>
    <w:rsid w:val="5F396834"/>
    <w:rsid w:val="5F8D14A3"/>
    <w:rsid w:val="5F911AEB"/>
    <w:rsid w:val="5F92337B"/>
    <w:rsid w:val="5F9A5D49"/>
    <w:rsid w:val="5FDE1BB7"/>
    <w:rsid w:val="5FE420BD"/>
    <w:rsid w:val="5FE7021A"/>
    <w:rsid w:val="600B47D9"/>
    <w:rsid w:val="60112064"/>
    <w:rsid w:val="60140FAF"/>
    <w:rsid w:val="60207EA1"/>
    <w:rsid w:val="602613EA"/>
    <w:rsid w:val="602A00E5"/>
    <w:rsid w:val="60386E33"/>
    <w:rsid w:val="60680AAE"/>
    <w:rsid w:val="6070786D"/>
    <w:rsid w:val="607B0D84"/>
    <w:rsid w:val="60A46F13"/>
    <w:rsid w:val="60B45576"/>
    <w:rsid w:val="60BA3017"/>
    <w:rsid w:val="60BB0ECE"/>
    <w:rsid w:val="60E211C1"/>
    <w:rsid w:val="60E420DF"/>
    <w:rsid w:val="60FB4A82"/>
    <w:rsid w:val="60FD3345"/>
    <w:rsid w:val="60FE01F7"/>
    <w:rsid w:val="61121FF6"/>
    <w:rsid w:val="612800F5"/>
    <w:rsid w:val="61341D2E"/>
    <w:rsid w:val="6153492F"/>
    <w:rsid w:val="615C762F"/>
    <w:rsid w:val="6168749F"/>
    <w:rsid w:val="61730FDD"/>
    <w:rsid w:val="61771BCF"/>
    <w:rsid w:val="6192421A"/>
    <w:rsid w:val="61AA75B1"/>
    <w:rsid w:val="61B70CB2"/>
    <w:rsid w:val="61C436DB"/>
    <w:rsid w:val="61C914C6"/>
    <w:rsid w:val="61D73478"/>
    <w:rsid w:val="61E778D7"/>
    <w:rsid w:val="61F3365A"/>
    <w:rsid w:val="62040EFB"/>
    <w:rsid w:val="62122ADE"/>
    <w:rsid w:val="623A77D3"/>
    <w:rsid w:val="623F74EC"/>
    <w:rsid w:val="626929CB"/>
    <w:rsid w:val="626F340D"/>
    <w:rsid w:val="6271160A"/>
    <w:rsid w:val="62896E74"/>
    <w:rsid w:val="6291545C"/>
    <w:rsid w:val="62AB3017"/>
    <w:rsid w:val="62C9318E"/>
    <w:rsid w:val="62CC6328"/>
    <w:rsid w:val="62D558B4"/>
    <w:rsid w:val="62E1714E"/>
    <w:rsid w:val="62E6347A"/>
    <w:rsid w:val="630028D4"/>
    <w:rsid w:val="63305A1E"/>
    <w:rsid w:val="63830177"/>
    <w:rsid w:val="639026F2"/>
    <w:rsid w:val="63A15040"/>
    <w:rsid w:val="63A24C2F"/>
    <w:rsid w:val="63A31F1E"/>
    <w:rsid w:val="63B04BE3"/>
    <w:rsid w:val="63CE00DD"/>
    <w:rsid w:val="63E04A73"/>
    <w:rsid w:val="64213708"/>
    <w:rsid w:val="6433716C"/>
    <w:rsid w:val="646D2F79"/>
    <w:rsid w:val="647D013D"/>
    <w:rsid w:val="64B33E67"/>
    <w:rsid w:val="64C146F8"/>
    <w:rsid w:val="64D055EA"/>
    <w:rsid w:val="64D428D6"/>
    <w:rsid w:val="64D7741D"/>
    <w:rsid w:val="64F40D0D"/>
    <w:rsid w:val="64F46726"/>
    <w:rsid w:val="64FD407F"/>
    <w:rsid w:val="65000059"/>
    <w:rsid w:val="65053BE9"/>
    <w:rsid w:val="65055E4D"/>
    <w:rsid w:val="65071641"/>
    <w:rsid w:val="650826A5"/>
    <w:rsid w:val="650D2548"/>
    <w:rsid w:val="65131420"/>
    <w:rsid w:val="65194D81"/>
    <w:rsid w:val="65257EEF"/>
    <w:rsid w:val="65261AFA"/>
    <w:rsid w:val="65343BB9"/>
    <w:rsid w:val="65510EFB"/>
    <w:rsid w:val="65581AB3"/>
    <w:rsid w:val="656D2D8C"/>
    <w:rsid w:val="65883984"/>
    <w:rsid w:val="658F68AE"/>
    <w:rsid w:val="65976E06"/>
    <w:rsid w:val="65A947EC"/>
    <w:rsid w:val="65D53232"/>
    <w:rsid w:val="65D83EF7"/>
    <w:rsid w:val="65F40795"/>
    <w:rsid w:val="65F761A2"/>
    <w:rsid w:val="661A56A8"/>
    <w:rsid w:val="662C53CC"/>
    <w:rsid w:val="6639371C"/>
    <w:rsid w:val="66416913"/>
    <w:rsid w:val="6655781C"/>
    <w:rsid w:val="66614173"/>
    <w:rsid w:val="666D30F1"/>
    <w:rsid w:val="667B12DC"/>
    <w:rsid w:val="668C712F"/>
    <w:rsid w:val="66A849BA"/>
    <w:rsid w:val="66A963E0"/>
    <w:rsid w:val="66AC540F"/>
    <w:rsid w:val="66B23796"/>
    <w:rsid w:val="66B65345"/>
    <w:rsid w:val="66CA26B4"/>
    <w:rsid w:val="66E10157"/>
    <w:rsid w:val="66E20972"/>
    <w:rsid w:val="67073BA4"/>
    <w:rsid w:val="6717091B"/>
    <w:rsid w:val="671E3BAE"/>
    <w:rsid w:val="674D2572"/>
    <w:rsid w:val="67574127"/>
    <w:rsid w:val="67593735"/>
    <w:rsid w:val="677D178E"/>
    <w:rsid w:val="67906A0A"/>
    <w:rsid w:val="679851B1"/>
    <w:rsid w:val="67A355E4"/>
    <w:rsid w:val="67BD5F49"/>
    <w:rsid w:val="67E17D40"/>
    <w:rsid w:val="68151294"/>
    <w:rsid w:val="681F5F6D"/>
    <w:rsid w:val="68432C37"/>
    <w:rsid w:val="685A7BF3"/>
    <w:rsid w:val="687C7890"/>
    <w:rsid w:val="68A12FA5"/>
    <w:rsid w:val="68B87986"/>
    <w:rsid w:val="68BF355A"/>
    <w:rsid w:val="68BF6331"/>
    <w:rsid w:val="68DA38B3"/>
    <w:rsid w:val="69030B95"/>
    <w:rsid w:val="691A4EC3"/>
    <w:rsid w:val="69204E4A"/>
    <w:rsid w:val="69371B9A"/>
    <w:rsid w:val="6947681E"/>
    <w:rsid w:val="694E1880"/>
    <w:rsid w:val="694F4832"/>
    <w:rsid w:val="697670FF"/>
    <w:rsid w:val="699D4DD9"/>
    <w:rsid w:val="69D81708"/>
    <w:rsid w:val="69EF2D7F"/>
    <w:rsid w:val="6A1379FB"/>
    <w:rsid w:val="6A16644F"/>
    <w:rsid w:val="6A190A53"/>
    <w:rsid w:val="6A2E6725"/>
    <w:rsid w:val="6A36467C"/>
    <w:rsid w:val="6A435241"/>
    <w:rsid w:val="6A475142"/>
    <w:rsid w:val="6A5C053E"/>
    <w:rsid w:val="6A6E1A2A"/>
    <w:rsid w:val="6A6E3AC3"/>
    <w:rsid w:val="6A74759A"/>
    <w:rsid w:val="6A8C6BF6"/>
    <w:rsid w:val="6A9A03D2"/>
    <w:rsid w:val="6AAE32F7"/>
    <w:rsid w:val="6AC008AC"/>
    <w:rsid w:val="6AC73A60"/>
    <w:rsid w:val="6AD173AD"/>
    <w:rsid w:val="6AD63F97"/>
    <w:rsid w:val="6AF157BE"/>
    <w:rsid w:val="6AF721E5"/>
    <w:rsid w:val="6B037AF9"/>
    <w:rsid w:val="6B134CBB"/>
    <w:rsid w:val="6B415C3A"/>
    <w:rsid w:val="6B4C1C90"/>
    <w:rsid w:val="6B754AD0"/>
    <w:rsid w:val="6B806B8A"/>
    <w:rsid w:val="6BE14913"/>
    <w:rsid w:val="6BEC55D3"/>
    <w:rsid w:val="6BF75F09"/>
    <w:rsid w:val="6C0024E4"/>
    <w:rsid w:val="6C2422D2"/>
    <w:rsid w:val="6C282983"/>
    <w:rsid w:val="6C43155D"/>
    <w:rsid w:val="6C4528A7"/>
    <w:rsid w:val="6C500B83"/>
    <w:rsid w:val="6C504565"/>
    <w:rsid w:val="6C524C67"/>
    <w:rsid w:val="6C687391"/>
    <w:rsid w:val="6C7936E6"/>
    <w:rsid w:val="6C7B26A4"/>
    <w:rsid w:val="6C922D49"/>
    <w:rsid w:val="6CBC536B"/>
    <w:rsid w:val="6CD26A08"/>
    <w:rsid w:val="6CDC31C0"/>
    <w:rsid w:val="6CEF2C30"/>
    <w:rsid w:val="6CF818CA"/>
    <w:rsid w:val="6D374B9F"/>
    <w:rsid w:val="6D5178C2"/>
    <w:rsid w:val="6D565E19"/>
    <w:rsid w:val="6D591866"/>
    <w:rsid w:val="6D8B4C36"/>
    <w:rsid w:val="6D94576F"/>
    <w:rsid w:val="6DA66AC4"/>
    <w:rsid w:val="6DA82030"/>
    <w:rsid w:val="6DC764D3"/>
    <w:rsid w:val="6E1A7C70"/>
    <w:rsid w:val="6E205C95"/>
    <w:rsid w:val="6E34283D"/>
    <w:rsid w:val="6E5637C0"/>
    <w:rsid w:val="6E776F35"/>
    <w:rsid w:val="6E8F498E"/>
    <w:rsid w:val="6EA546E2"/>
    <w:rsid w:val="6EBB2294"/>
    <w:rsid w:val="6EBB6143"/>
    <w:rsid w:val="6EBC4341"/>
    <w:rsid w:val="6ED264C4"/>
    <w:rsid w:val="6ED809D8"/>
    <w:rsid w:val="6EEB1CF3"/>
    <w:rsid w:val="6EEC645D"/>
    <w:rsid w:val="6EF53B92"/>
    <w:rsid w:val="6F046D57"/>
    <w:rsid w:val="6F151709"/>
    <w:rsid w:val="6F5E521F"/>
    <w:rsid w:val="6F5F07CC"/>
    <w:rsid w:val="6F616E58"/>
    <w:rsid w:val="6F6646E9"/>
    <w:rsid w:val="6F8119CC"/>
    <w:rsid w:val="6F94533D"/>
    <w:rsid w:val="6FA36B46"/>
    <w:rsid w:val="6FA45754"/>
    <w:rsid w:val="6FC12DB3"/>
    <w:rsid w:val="6FCF55B3"/>
    <w:rsid w:val="6FD6505F"/>
    <w:rsid w:val="6FD66AE3"/>
    <w:rsid w:val="6FE30CD2"/>
    <w:rsid w:val="6FF32484"/>
    <w:rsid w:val="6FF466BD"/>
    <w:rsid w:val="6FFB415F"/>
    <w:rsid w:val="701A2F1E"/>
    <w:rsid w:val="70274D4E"/>
    <w:rsid w:val="707067DA"/>
    <w:rsid w:val="70727DFF"/>
    <w:rsid w:val="709C5649"/>
    <w:rsid w:val="70A4359F"/>
    <w:rsid w:val="70A528A7"/>
    <w:rsid w:val="70B654BE"/>
    <w:rsid w:val="70C41740"/>
    <w:rsid w:val="70CE5045"/>
    <w:rsid w:val="70D32396"/>
    <w:rsid w:val="70D71582"/>
    <w:rsid w:val="70F5771E"/>
    <w:rsid w:val="716A021D"/>
    <w:rsid w:val="717B3F53"/>
    <w:rsid w:val="7182743B"/>
    <w:rsid w:val="719159E5"/>
    <w:rsid w:val="719F0403"/>
    <w:rsid w:val="71A17AAB"/>
    <w:rsid w:val="71B743A0"/>
    <w:rsid w:val="71CE231F"/>
    <w:rsid w:val="71D224F4"/>
    <w:rsid w:val="71EE564A"/>
    <w:rsid w:val="724667CC"/>
    <w:rsid w:val="7257225B"/>
    <w:rsid w:val="72892D7D"/>
    <w:rsid w:val="729E3D0C"/>
    <w:rsid w:val="72B54F92"/>
    <w:rsid w:val="72CC0920"/>
    <w:rsid w:val="72E06080"/>
    <w:rsid w:val="72E67FB9"/>
    <w:rsid w:val="72E739EA"/>
    <w:rsid w:val="73026CFD"/>
    <w:rsid w:val="732D7F0C"/>
    <w:rsid w:val="73300DCB"/>
    <w:rsid w:val="73325730"/>
    <w:rsid w:val="7348728B"/>
    <w:rsid w:val="73637282"/>
    <w:rsid w:val="736A164B"/>
    <w:rsid w:val="73B37B7D"/>
    <w:rsid w:val="73C41B59"/>
    <w:rsid w:val="73C609F1"/>
    <w:rsid w:val="73CD70A4"/>
    <w:rsid w:val="740639BB"/>
    <w:rsid w:val="741C34F8"/>
    <w:rsid w:val="741D0651"/>
    <w:rsid w:val="743417C6"/>
    <w:rsid w:val="743A7ABC"/>
    <w:rsid w:val="743E056C"/>
    <w:rsid w:val="744D0FB9"/>
    <w:rsid w:val="749771DD"/>
    <w:rsid w:val="749876E8"/>
    <w:rsid w:val="74A124AA"/>
    <w:rsid w:val="74B010EE"/>
    <w:rsid w:val="74BA69AB"/>
    <w:rsid w:val="74BE0D67"/>
    <w:rsid w:val="74DE2189"/>
    <w:rsid w:val="74DE462D"/>
    <w:rsid w:val="74FA794F"/>
    <w:rsid w:val="750E5C66"/>
    <w:rsid w:val="751D3A68"/>
    <w:rsid w:val="75246688"/>
    <w:rsid w:val="75565667"/>
    <w:rsid w:val="755728A1"/>
    <w:rsid w:val="756842A3"/>
    <w:rsid w:val="75826D3A"/>
    <w:rsid w:val="7589779F"/>
    <w:rsid w:val="758E203F"/>
    <w:rsid w:val="75900F33"/>
    <w:rsid w:val="759B6ED9"/>
    <w:rsid w:val="759D178C"/>
    <w:rsid w:val="75BE13F7"/>
    <w:rsid w:val="75D436B7"/>
    <w:rsid w:val="75E0592A"/>
    <w:rsid w:val="75E15891"/>
    <w:rsid w:val="75E23EC1"/>
    <w:rsid w:val="75EA480E"/>
    <w:rsid w:val="76092290"/>
    <w:rsid w:val="761F408D"/>
    <w:rsid w:val="762478FB"/>
    <w:rsid w:val="763543A5"/>
    <w:rsid w:val="76413178"/>
    <w:rsid w:val="765467AB"/>
    <w:rsid w:val="766E2A7D"/>
    <w:rsid w:val="767A0EE3"/>
    <w:rsid w:val="76825735"/>
    <w:rsid w:val="769260FE"/>
    <w:rsid w:val="769446ED"/>
    <w:rsid w:val="76AF1F9D"/>
    <w:rsid w:val="76CA10E0"/>
    <w:rsid w:val="76D25CCB"/>
    <w:rsid w:val="76DA7F3B"/>
    <w:rsid w:val="76EF4690"/>
    <w:rsid w:val="76F6420D"/>
    <w:rsid w:val="77086378"/>
    <w:rsid w:val="7709218B"/>
    <w:rsid w:val="771646E6"/>
    <w:rsid w:val="77172036"/>
    <w:rsid w:val="772E1D4C"/>
    <w:rsid w:val="772E33A5"/>
    <w:rsid w:val="773E75AE"/>
    <w:rsid w:val="777C2930"/>
    <w:rsid w:val="777F0EDD"/>
    <w:rsid w:val="77A80880"/>
    <w:rsid w:val="77C054A1"/>
    <w:rsid w:val="77C86312"/>
    <w:rsid w:val="77DE0C08"/>
    <w:rsid w:val="77F76905"/>
    <w:rsid w:val="780D1D6D"/>
    <w:rsid w:val="78135A45"/>
    <w:rsid w:val="78172DEF"/>
    <w:rsid w:val="782D121E"/>
    <w:rsid w:val="78364A07"/>
    <w:rsid w:val="7844580C"/>
    <w:rsid w:val="78567139"/>
    <w:rsid w:val="7868607B"/>
    <w:rsid w:val="78795DE5"/>
    <w:rsid w:val="78AA22B0"/>
    <w:rsid w:val="78AD76A5"/>
    <w:rsid w:val="78B82753"/>
    <w:rsid w:val="78BB59D2"/>
    <w:rsid w:val="78C11DD3"/>
    <w:rsid w:val="78C3736C"/>
    <w:rsid w:val="78C55C7B"/>
    <w:rsid w:val="78E01CAB"/>
    <w:rsid w:val="78F43778"/>
    <w:rsid w:val="78F65255"/>
    <w:rsid w:val="79030302"/>
    <w:rsid w:val="79065572"/>
    <w:rsid w:val="790A0DAD"/>
    <w:rsid w:val="790E60C0"/>
    <w:rsid w:val="79266B4E"/>
    <w:rsid w:val="792B2A61"/>
    <w:rsid w:val="79624778"/>
    <w:rsid w:val="7981712B"/>
    <w:rsid w:val="798771CE"/>
    <w:rsid w:val="79A46CA4"/>
    <w:rsid w:val="79A61F0D"/>
    <w:rsid w:val="79AC2293"/>
    <w:rsid w:val="79AD407B"/>
    <w:rsid w:val="79C474B4"/>
    <w:rsid w:val="79D31B62"/>
    <w:rsid w:val="79DA00C0"/>
    <w:rsid w:val="79E3197D"/>
    <w:rsid w:val="7A1122C9"/>
    <w:rsid w:val="7A243F18"/>
    <w:rsid w:val="7A2C6DAC"/>
    <w:rsid w:val="7A310B04"/>
    <w:rsid w:val="7A406322"/>
    <w:rsid w:val="7A462DA1"/>
    <w:rsid w:val="7A645054"/>
    <w:rsid w:val="7A6512EE"/>
    <w:rsid w:val="7A6B7715"/>
    <w:rsid w:val="7A79172B"/>
    <w:rsid w:val="7A9A1494"/>
    <w:rsid w:val="7AA33C93"/>
    <w:rsid w:val="7AA53EB3"/>
    <w:rsid w:val="7ABF12DC"/>
    <w:rsid w:val="7ACE0282"/>
    <w:rsid w:val="7AD65423"/>
    <w:rsid w:val="7ADD51B9"/>
    <w:rsid w:val="7AE2047B"/>
    <w:rsid w:val="7AF606D5"/>
    <w:rsid w:val="7AF84C6C"/>
    <w:rsid w:val="7AFE2079"/>
    <w:rsid w:val="7AFE2E1A"/>
    <w:rsid w:val="7B143886"/>
    <w:rsid w:val="7B2E64F8"/>
    <w:rsid w:val="7B3D3CDC"/>
    <w:rsid w:val="7B463A7D"/>
    <w:rsid w:val="7B4D06F4"/>
    <w:rsid w:val="7B504560"/>
    <w:rsid w:val="7B546145"/>
    <w:rsid w:val="7B58401B"/>
    <w:rsid w:val="7B653887"/>
    <w:rsid w:val="7B932E58"/>
    <w:rsid w:val="7B96509F"/>
    <w:rsid w:val="7BB51A75"/>
    <w:rsid w:val="7BC33D93"/>
    <w:rsid w:val="7BD42193"/>
    <w:rsid w:val="7BD631E9"/>
    <w:rsid w:val="7BDF7CCD"/>
    <w:rsid w:val="7BF57461"/>
    <w:rsid w:val="7C1F4C6C"/>
    <w:rsid w:val="7C2E4FDA"/>
    <w:rsid w:val="7C467BBF"/>
    <w:rsid w:val="7C642D20"/>
    <w:rsid w:val="7C753399"/>
    <w:rsid w:val="7C7C74F4"/>
    <w:rsid w:val="7C833A2B"/>
    <w:rsid w:val="7C9326D5"/>
    <w:rsid w:val="7CD35875"/>
    <w:rsid w:val="7CDF2114"/>
    <w:rsid w:val="7CF43FAD"/>
    <w:rsid w:val="7D0503FE"/>
    <w:rsid w:val="7D083A1E"/>
    <w:rsid w:val="7D197055"/>
    <w:rsid w:val="7D250A5C"/>
    <w:rsid w:val="7D306717"/>
    <w:rsid w:val="7D3A2075"/>
    <w:rsid w:val="7D3E337A"/>
    <w:rsid w:val="7D5B03B2"/>
    <w:rsid w:val="7D6543D6"/>
    <w:rsid w:val="7D8C10BB"/>
    <w:rsid w:val="7D98473E"/>
    <w:rsid w:val="7DA94701"/>
    <w:rsid w:val="7DB70173"/>
    <w:rsid w:val="7DB93C40"/>
    <w:rsid w:val="7DC52577"/>
    <w:rsid w:val="7DC735BA"/>
    <w:rsid w:val="7DDF1D74"/>
    <w:rsid w:val="7DE219FE"/>
    <w:rsid w:val="7DFA1B73"/>
    <w:rsid w:val="7DFF2D37"/>
    <w:rsid w:val="7E0F6644"/>
    <w:rsid w:val="7E173840"/>
    <w:rsid w:val="7E4A6AF4"/>
    <w:rsid w:val="7E5343EF"/>
    <w:rsid w:val="7E5837F3"/>
    <w:rsid w:val="7E5D0626"/>
    <w:rsid w:val="7E8726CD"/>
    <w:rsid w:val="7EB90764"/>
    <w:rsid w:val="7EC5431A"/>
    <w:rsid w:val="7ED03074"/>
    <w:rsid w:val="7EE0446A"/>
    <w:rsid w:val="7EE27E94"/>
    <w:rsid w:val="7F016DA4"/>
    <w:rsid w:val="7F0909DD"/>
    <w:rsid w:val="7F6B083A"/>
    <w:rsid w:val="7F903BC3"/>
    <w:rsid w:val="7FA15205"/>
    <w:rsid w:val="7FCA5CB8"/>
    <w:rsid w:val="7FCD6220"/>
    <w:rsid w:val="7FD768A1"/>
    <w:rsid w:val="7FF5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0"/>
    <w:pPr>
      <w:ind w:firstLine="200" w:firstLineChars="200"/>
    </w:pPr>
    <w:rPr>
      <w:szCs w:val="24"/>
    </w:rPr>
  </w:style>
  <w:style w:type="paragraph" w:styleId="3">
    <w:name w:val="Body Text"/>
    <w:basedOn w:val="1"/>
    <w:next w:val="4"/>
    <w:qFormat/>
    <w:uiPriority w:val="0"/>
    <w:pPr>
      <w:spacing w:after="120"/>
    </w:pPr>
  </w:style>
  <w:style w:type="paragraph" w:styleId="4">
    <w:name w:val="Body Text First Indent"/>
    <w:basedOn w:val="3"/>
    <w:next w:val="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5">
    <w:name w:val="footer"/>
    <w:basedOn w:val="1"/>
    <w:link w:val="10"/>
    <w:unhideWhenUsed/>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29258</Words>
  <Characters>30753</Characters>
  <Lines>30</Lines>
  <Paragraphs>8</Paragraphs>
  <TotalTime>109</TotalTime>
  <ScaleCrop>false</ScaleCrop>
  <LinksUpToDate>false</LinksUpToDate>
  <CharactersWithSpaces>33899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电子投标（2025版）</dc:description>
  <cp:lastModifiedBy>若若</cp:lastModifiedBy>
  <cp:lastPrinted>2025-07-07T01:34:00Z</cp:lastPrinted>
  <dcterms:modified xsi:type="dcterms:W3CDTF">2025-07-07T06:18:30Z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