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lang w:eastAsia="zh-CN"/>
        </w:rPr>
        <w:t>2023-2026年宁海县城区市政道路交通设施养护维修项目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：GXZB-NH2023-008</w:t>
      </w:r>
    </w:p>
    <w:p>
      <w:pPr>
        <w:adjustRightInd/>
        <w:spacing w:line="360" w:lineRule="auto"/>
        <w:rPr>
          <w:rFonts w:ascii="宋体" w:hAnsi="宋体" w:cs="宋体"/>
          <w:color w:val="auto"/>
          <w:sz w:val="28"/>
          <w:szCs w:val="20"/>
          <w:highlight w:val="none"/>
        </w:rPr>
      </w:pPr>
    </w:p>
    <w:p>
      <w:pPr>
        <w:spacing w:line="360" w:lineRule="auto"/>
        <w:jc w:val="both"/>
        <w:rPr>
          <w:rFonts w:ascii="宋体" w:hAnsi="宋体" w:cs="宋体"/>
          <w:b/>
          <w:color w:val="auto"/>
          <w:sz w:val="44"/>
          <w:szCs w:val="44"/>
          <w:highlight w:val="none"/>
        </w:rPr>
      </w:pPr>
    </w:p>
    <w:p>
      <w:pPr>
        <w:spacing w:line="360" w:lineRule="auto"/>
        <w:jc w:val="both"/>
        <w:rPr>
          <w:rFonts w:ascii="宋体" w:hAnsi="宋体" w:cs="宋体"/>
          <w:b/>
          <w:color w:val="auto"/>
          <w:sz w:val="44"/>
          <w:szCs w:val="44"/>
          <w:highlight w:val="none"/>
        </w:rPr>
      </w:pPr>
    </w:p>
    <w:p>
      <w:pPr>
        <w:spacing w:line="360" w:lineRule="auto"/>
        <w:jc w:val="both"/>
        <w:rPr>
          <w:rFonts w:ascii="宋体" w:hAnsi="宋体" w:cs="宋体"/>
          <w:color w:val="auto"/>
          <w:sz w:val="24"/>
          <w:highlight w:val="none"/>
        </w:rPr>
      </w:pPr>
    </w:p>
    <w:p>
      <w:pPr>
        <w:pStyle w:val="81"/>
        <w:rPr>
          <w:rFonts w:ascii="宋体" w:hAnsi="宋体" w:cs="宋体"/>
          <w:color w:val="auto"/>
          <w:sz w:val="24"/>
          <w:highlight w:val="none"/>
        </w:rPr>
      </w:pPr>
    </w:p>
    <w:p>
      <w:pPr>
        <w:pStyle w:val="81"/>
        <w:rPr>
          <w:rFonts w:ascii="宋体" w:hAnsi="宋体" w:cs="宋体"/>
          <w:color w:val="auto"/>
          <w:sz w:val="24"/>
          <w:highlight w:val="none"/>
        </w:rPr>
      </w:pPr>
    </w:p>
    <w:p>
      <w:pPr>
        <w:spacing w:line="360" w:lineRule="auto"/>
        <w:jc w:val="both"/>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lang w:eastAsia="zh-CN"/>
        </w:rPr>
        <w:t>宁海县综合行政执法局</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浙江国信工程管理咨询有限公司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九</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7"/>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2"/>
    <w:p>
      <w:pPr>
        <w:adjustRightInd/>
        <w:spacing w:line="360" w:lineRule="auto"/>
        <w:jc w:val="center"/>
        <w:outlineLvl w:val="0"/>
        <w:rPr>
          <w:rFonts w:hint="eastAsia" w:ascii="宋体" w:hAnsi="宋体" w:cs="宋体"/>
          <w:b/>
          <w:color w:val="auto"/>
          <w:sz w:val="36"/>
          <w:szCs w:val="20"/>
          <w:highlight w:val="none"/>
        </w:rPr>
        <w:sectPr>
          <w:footerReference r:id="rId3" w:type="even"/>
          <w:pgSz w:w="11905" w:h="16838"/>
          <w:pgMar w:top="1134" w:right="1304" w:bottom="1134" w:left="1304" w:header="850" w:footer="850" w:gutter="283"/>
          <w:pgBorders>
            <w:top w:val="none" w:sz="0" w:space="0"/>
            <w:left w:val="none" w:sz="0" w:space="0"/>
            <w:bottom w:val="none" w:sz="0" w:space="0"/>
            <w:right w:val="none" w:sz="0" w:space="0"/>
          </w:pgBorders>
          <w:cols w:space="0" w:num="1"/>
          <w:titlePg/>
          <w:rtlGutter w:val="0"/>
          <w:docGrid w:linePitch="312" w:charSpace="0"/>
        </w:sectPr>
      </w:pPr>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项目概况</w:t>
      </w:r>
      <w:r>
        <w:rPr>
          <w:rFonts w:hint="eastAsia" w:ascii="宋体" w:hAnsi="宋体" w:cs="宋体"/>
          <w:color w:val="auto"/>
          <w:sz w:val="24"/>
          <w:highlight w:val="none"/>
          <w:lang w:eastAsia="zh-CN"/>
        </w:rPr>
        <w:t>：</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2023-2026年宁海县城区市政道路交通设施养护维修项目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cs="宋体"/>
          <w:snapToGrid/>
          <w:color w:val="auto"/>
          <w:kern w:val="2"/>
          <w:sz w:val="24"/>
          <w:szCs w:val="24"/>
          <w:highlight w:val="none"/>
          <w:lang w:val="en-US" w:eastAsia="zh-CN"/>
        </w:rPr>
        <w:t>3</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9</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28</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09</w:t>
      </w:r>
      <w:r>
        <w:rPr>
          <w:rStyle w:val="77"/>
          <w:rFonts w:hint="eastAsia" w:ascii="宋体" w:hAnsi="宋体" w:eastAsia="宋体" w:cs="宋体"/>
          <w:snapToGrid/>
          <w:color w:val="auto"/>
          <w:kern w:val="2"/>
          <w:sz w:val="24"/>
          <w:szCs w:val="24"/>
          <w:highlight w:val="none"/>
        </w:rPr>
        <w:t>点</w:t>
      </w:r>
      <w:r>
        <w:rPr>
          <w:rStyle w:val="77"/>
          <w:rFonts w:hint="eastAsia" w:ascii="宋体" w:hAnsi="宋体" w:cs="宋体"/>
          <w:snapToGrid/>
          <w:color w:val="auto"/>
          <w:kern w:val="2"/>
          <w:sz w:val="24"/>
          <w:szCs w:val="24"/>
          <w:highlight w:val="none"/>
          <w:lang w:val="en-US" w:eastAsia="zh-CN"/>
        </w:rPr>
        <w:t>00</w:t>
      </w:r>
      <w:r>
        <w:rPr>
          <w:rStyle w:val="77"/>
          <w:rFonts w:hint="eastAsia" w:ascii="宋体" w:hAnsi="宋体" w:eastAsia="宋体" w:cs="宋体"/>
          <w:snapToGrid/>
          <w:color w:val="auto"/>
          <w:kern w:val="2"/>
          <w:sz w:val="24"/>
          <w:szCs w:val="24"/>
          <w:highlight w:val="none"/>
        </w:rPr>
        <w:t>分</w:t>
      </w:r>
      <w:r>
        <w:rPr>
          <w:rStyle w:val="77"/>
          <w:rFonts w:hint="eastAsia" w:ascii="宋体" w:hAnsi="宋体" w:cs="宋体"/>
          <w:bCs/>
          <w:snapToGrid/>
          <w:color w:val="auto"/>
          <w:kern w:val="2"/>
          <w:sz w:val="24"/>
          <w:szCs w:val="24"/>
          <w:highlight w:val="none"/>
          <w:lang w:val="en-US" w:eastAsia="zh-CN"/>
        </w:rPr>
        <w:t>00</w:t>
      </w:r>
      <w:r>
        <w:rPr>
          <w:rStyle w:val="77"/>
          <w:rFonts w:hint="eastAsia" w:ascii="宋体" w:hAnsi="宋体" w:eastAsia="宋体" w:cs="宋体"/>
          <w:bCs/>
          <w:snapToGrid/>
          <w:color w:val="auto"/>
          <w:kern w:val="2"/>
          <w:sz w:val="24"/>
          <w:szCs w:val="24"/>
          <w:highlight w:val="none"/>
        </w:rPr>
        <w:t>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GXZB-NH2023-008</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2023-2026年宁海县城区市政道路交通设施养护维修项目</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rPr>
        <w:t>预算金额（元）：</w:t>
      </w:r>
      <w:r>
        <w:rPr>
          <w:rFonts w:hint="eastAsia" w:ascii="宋体" w:hAnsi="宋体" w:eastAsia="宋体" w:cs="宋体"/>
          <w:color w:val="auto"/>
          <w:sz w:val="24"/>
          <w:szCs w:val="24"/>
          <w:lang w:eastAsia="zh-CN"/>
        </w:rPr>
        <w:t>9000000</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eastAsia="宋体" w:cs="宋体"/>
          <w:color w:val="auto"/>
          <w:sz w:val="24"/>
          <w:szCs w:val="24"/>
          <w:lang w:val="en-US" w:eastAsia="zh-CN"/>
        </w:rPr>
        <w:t>4500000，4500000</w:t>
      </w:r>
    </w:p>
    <w:p>
      <w:pPr>
        <w:pStyle w:val="7"/>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hAnsi="宋体" w:cs="宋体"/>
          <w:b/>
          <w:color w:val="auto"/>
          <w:sz w:val="24"/>
          <w:highlight w:val="none"/>
        </w:rPr>
      </w:pPr>
      <w:r>
        <w:rPr>
          <w:rFonts w:hint="eastAsia" w:hAnsi="宋体" w:cs="宋体"/>
          <w:b/>
          <w:color w:val="auto"/>
          <w:sz w:val="24"/>
          <w:highlight w:val="none"/>
        </w:rPr>
        <w:t>采购需求：</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标项名称：2023-2026年宁海县城区市政道路交通设施养护维修项目</w:t>
      </w:r>
      <w:r>
        <w:rPr>
          <w:rFonts w:hint="eastAsia" w:ascii="宋体" w:hAnsi="宋体" w:eastAsia="宋体" w:cs="宋体"/>
          <w:color w:val="auto"/>
          <w:kern w:val="0"/>
          <w:sz w:val="24"/>
          <w:szCs w:val="24"/>
          <w:lang w:val="en-US" w:eastAsia="zh-CN"/>
        </w:rPr>
        <w:t>一标段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数量：</w:t>
      </w:r>
      <w:r>
        <w:rPr>
          <w:rFonts w:hint="eastAsia" w:ascii="宋体" w:hAnsi="宋体" w:eastAsia="宋体" w:cs="宋体"/>
          <w:color w:val="auto"/>
          <w:kern w:val="0"/>
          <w:sz w:val="24"/>
          <w:szCs w:val="24"/>
          <w:lang w:val="en-US" w:eastAsia="zh-CN"/>
        </w:rPr>
        <w:t>3</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预算金额（元）：</w:t>
      </w:r>
      <w:r>
        <w:rPr>
          <w:rFonts w:hint="eastAsia" w:ascii="宋体" w:hAnsi="宋体" w:eastAsia="宋体" w:cs="宋体"/>
          <w:color w:val="auto"/>
          <w:kern w:val="0"/>
          <w:sz w:val="24"/>
          <w:szCs w:val="24"/>
          <w:lang w:val="en-US" w:eastAsia="zh-CN"/>
        </w:rPr>
        <w:t>4500000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lang w:val="en-US" w:eastAsia="zh-CN"/>
        </w:rPr>
      </w:pPr>
      <w:r>
        <w:rPr>
          <w:rFonts w:hint="eastAsia" w:ascii="宋体" w:hAnsi="宋体" w:eastAsia="宋体" w:cs="宋体"/>
          <w:color w:val="auto"/>
          <w:kern w:val="0"/>
          <w:sz w:val="24"/>
          <w:szCs w:val="24"/>
          <w:lang w:val="en-US" w:eastAsia="zh-CN"/>
        </w:rPr>
        <w:t>单位：年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简要规格描述或项目基本概况介绍、用途：</w:t>
      </w:r>
      <w:r>
        <w:rPr>
          <w:rFonts w:hint="eastAsia" w:ascii="宋体" w:hAnsi="宋体" w:eastAsia="宋体" w:cs="宋体"/>
          <w:color w:val="auto"/>
          <w:kern w:val="0"/>
          <w:sz w:val="24"/>
          <w:szCs w:val="24"/>
          <w:lang w:val="en-US" w:eastAsia="zh-CN"/>
        </w:rPr>
        <w:t>2023</w:t>
      </w:r>
      <w:r>
        <w:rPr>
          <w:rFonts w:hint="eastAsia" w:ascii="宋体" w:hAnsi="宋体" w:eastAsia="宋体" w:cs="宋体"/>
          <w:color w:val="auto"/>
          <w:kern w:val="0"/>
          <w:sz w:val="24"/>
          <w:szCs w:val="24"/>
          <w:lang w:eastAsia="zh-CN"/>
        </w:rPr>
        <w:t>-2026年宁海县城区市政道路交通设施养护维修（</w:t>
      </w:r>
      <w:r>
        <w:rPr>
          <w:rFonts w:hint="eastAsia" w:ascii="宋体" w:hAnsi="宋体" w:eastAsia="宋体" w:cs="宋体"/>
          <w:color w:val="auto"/>
          <w:kern w:val="0"/>
          <w:sz w:val="24"/>
          <w:szCs w:val="24"/>
          <w:lang w:val="en-US" w:eastAsia="zh-CN"/>
        </w:rPr>
        <w:t>具体详见采购需求</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备注：</w:t>
      </w:r>
      <w:r>
        <w:rPr>
          <w:rFonts w:hint="eastAsia" w:ascii="宋体" w:hAnsi="宋体" w:eastAsia="宋体" w:cs="宋体"/>
          <w:color w:val="auto"/>
          <w:kern w:val="0"/>
          <w:sz w:val="24"/>
          <w:szCs w:val="24"/>
          <w:lang w:val="en-US" w:eastAsia="zh-CN"/>
        </w:rPr>
        <w:t>年度最高限价1500000元。</w:t>
      </w:r>
    </w:p>
    <w:p>
      <w:pPr>
        <w:keepNext w:val="0"/>
        <w:keepLines w:val="0"/>
        <w:pageBreakBefore w:val="0"/>
        <w:widowControl/>
        <w:kinsoku/>
        <w:wordWrap/>
        <w:overflowPunct/>
        <w:topLinePunct w:val="0"/>
        <w:autoSpaceDE/>
        <w:autoSpaceDN/>
        <w:bidi w:val="0"/>
        <w:adjustRightInd/>
        <w:spacing w:line="360" w:lineRule="auto"/>
        <w:ind w:firstLine="480" w:firstLineChars="200"/>
        <w:jc w:val="both"/>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标项二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标项名称：2023-2026年宁海县城区市政道路交通设施养护维修项目</w:t>
      </w:r>
      <w:r>
        <w:rPr>
          <w:rFonts w:hint="eastAsia" w:ascii="宋体" w:hAnsi="宋体" w:eastAsia="宋体" w:cs="宋体"/>
          <w:color w:val="auto"/>
          <w:kern w:val="0"/>
          <w:sz w:val="24"/>
          <w:szCs w:val="24"/>
          <w:lang w:val="en-US" w:eastAsia="zh-CN"/>
        </w:rPr>
        <w:t>二标段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数量：</w:t>
      </w:r>
      <w:r>
        <w:rPr>
          <w:rFonts w:hint="eastAsia" w:ascii="宋体" w:hAnsi="宋体" w:eastAsia="宋体" w:cs="宋体"/>
          <w:color w:val="auto"/>
          <w:kern w:val="0"/>
          <w:sz w:val="24"/>
          <w:szCs w:val="24"/>
          <w:lang w:val="en-US" w:eastAsia="zh-CN"/>
        </w:rPr>
        <w:t>3</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预算金额（元）：</w:t>
      </w:r>
      <w:r>
        <w:rPr>
          <w:rFonts w:hint="eastAsia" w:ascii="宋体" w:hAnsi="宋体" w:eastAsia="宋体" w:cs="宋体"/>
          <w:color w:val="auto"/>
          <w:kern w:val="0"/>
          <w:sz w:val="24"/>
          <w:szCs w:val="24"/>
          <w:lang w:val="en-US" w:eastAsia="zh-CN"/>
        </w:rPr>
        <w:t>4500000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lang w:val="en-US" w:eastAsia="zh-CN"/>
        </w:rPr>
      </w:pPr>
      <w:r>
        <w:rPr>
          <w:rFonts w:hint="eastAsia" w:ascii="宋体" w:hAnsi="宋体" w:eastAsia="宋体" w:cs="宋体"/>
          <w:color w:val="auto"/>
          <w:kern w:val="0"/>
          <w:sz w:val="24"/>
          <w:szCs w:val="24"/>
          <w:lang w:val="en-US" w:eastAsia="zh-CN"/>
        </w:rPr>
        <w:t>单位：年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简要规格描述或项目基本概况介绍、用途：</w:t>
      </w:r>
      <w:r>
        <w:rPr>
          <w:rFonts w:hint="eastAsia" w:ascii="宋体" w:hAnsi="宋体" w:eastAsia="宋体" w:cs="宋体"/>
          <w:color w:val="auto"/>
          <w:kern w:val="0"/>
          <w:sz w:val="24"/>
          <w:szCs w:val="24"/>
          <w:lang w:val="en-US" w:eastAsia="zh-CN"/>
        </w:rPr>
        <w:t>2023</w:t>
      </w:r>
      <w:r>
        <w:rPr>
          <w:rFonts w:hint="eastAsia" w:ascii="宋体" w:hAnsi="宋体" w:eastAsia="宋体" w:cs="宋体"/>
          <w:color w:val="auto"/>
          <w:kern w:val="0"/>
          <w:sz w:val="24"/>
          <w:szCs w:val="24"/>
          <w:lang w:eastAsia="zh-CN"/>
        </w:rPr>
        <w:t>-2026年宁海县城区市政道路交通设施养护维修（</w:t>
      </w:r>
      <w:r>
        <w:rPr>
          <w:rFonts w:hint="eastAsia" w:ascii="宋体" w:hAnsi="宋体" w:eastAsia="宋体" w:cs="宋体"/>
          <w:color w:val="auto"/>
          <w:kern w:val="0"/>
          <w:sz w:val="24"/>
          <w:szCs w:val="24"/>
          <w:lang w:val="en-US" w:eastAsia="zh-CN"/>
        </w:rPr>
        <w:t>具体详见采购需求</w:t>
      </w:r>
      <w:r>
        <w:rPr>
          <w:rFonts w:hint="eastAsia" w:ascii="宋体" w:hAnsi="宋体" w:eastAsia="宋体" w:cs="宋体"/>
          <w:color w:val="auto"/>
          <w:kern w:val="0"/>
          <w:sz w:val="24"/>
          <w:szCs w:val="24"/>
          <w:lang w:eastAsia="zh-CN"/>
        </w:rPr>
        <w:t>）。</w:t>
      </w:r>
    </w:p>
    <w:p>
      <w:pPr>
        <w:pStyle w:val="7"/>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hAnsi="宋体" w:cs="宋体"/>
          <w:bCs/>
          <w:snapToGrid/>
          <w:color w:val="auto"/>
          <w:kern w:val="2"/>
          <w:sz w:val="24"/>
          <w:szCs w:val="24"/>
          <w:highlight w:val="none"/>
          <w:lang w:eastAsia="zh-CN"/>
        </w:rPr>
      </w:pPr>
      <w:r>
        <w:rPr>
          <w:rFonts w:hint="eastAsia" w:ascii="宋体" w:hAnsi="宋体" w:eastAsia="宋体" w:cs="宋体"/>
          <w:color w:val="auto"/>
          <w:kern w:val="0"/>
          <w:sz w:val="24"/>
          <w:szCs w:val="24"/>
          <w:lang w:eastAsia="zh-CN"/>
        </w:rPr>
        <w:t>备注：</w:t>
      </w:r>
      <w:r>
        <w:rPr>
          <w:rFonts w:hint="eastAsia" w:ascii="宋体" w:hAnsi="宋体" w:eastAsia="宋体" w:cs="宋体"/>
          <w:color w:val="auto"/>
          <w:kern w:val="0"/>
          <w:sz w:val="24"/>
          <w:szCs w:val="24"/>
          <w:lang w:val="en-US" w:eastAsia="zh-CN"/>
        </w:rPr>
        <w:t>年度最高限价1500000元。</w:t>
      </w:r>
      <w:bookmarkStart w:id="404" w:name="_GoBack"/>
      <w:bookmarkEnd w:id="404"/>
    </w:p>
    <w:p>
      <w:pPr>
        <w:pStyle w:val="132"/>
        <w:keepNext w:val="0"/>
        <w:keepLines w:val="0"/>
        <w:pageBreakBefore w:val="0"/>
        <w:kinsoku/>
        <w:wordWrap/>
        <w:overflowPunct/>
        <w:topLinePunct w:val="0"/>
        <w:autoSpaceDE/>
        <w:autoSpaceDN/>
        <w:bidi w:val="0"/>
        <w:spacing w:before="0" w:line="360" w:lineRule="auto"/>
        <w:ind w:firstLine="482" w:firstLineChars="200"/>
        <w:jc w:val="both"/>
        <w:textAlignment w:val="auto"/>
        <w:outlineLvl w:val="2"/>
        <w:rPr>
          <w:rFonts w:hint="eastAsia" w:ascii="宋体" w:hAnsi="宋体" w:eastAsia="宋体" w:cs="宋体"/>
          <w:bCs/>
          <w:snapToGrid/>
          <w:color w:val="auto"/>
          <w:kern w:val="2"/>
          <w:sz w:val="24"/>
          <w:szCs w:val="24"/>
          <w:highlight w:val="none"/>
          <w:lang w:val="en-US" w:eastAsia="zh-CN" w:bidi="ar-SA"/>
        </w:rPr>
      </w:pPr>
      <w:r>
        <w:rPr>
          <w:rFonts w:hint="eastAsia" w:ascii="宋体" w:hAnsi="宋体" w:cs="宋体"/>
          <w:b/>
          <w:color w:val="auto"/>
          <w:highlight w:val="none"/>
        </w:rPr>
        <w:t>合同履约期限：</w:t>
      </w:r>
      <w:r>
        <w:rPr>
          <w:rFonts w:hint="eastAsia" w:ascii="宋体" w:hAnsi="宋体" w:eastAsia="宋体" w:cs="宋体"/>
          <w:color w:val="auto"/>
          <w:kern w:val="0"/>
          <w:sz w:val="24"/>
          <w:lang w:val="en-US" w:eastAsia="zh-CN"/>
        </w:rPr>
        <w:t>标项一、二，</w:t>
      </w:r>
      <w:r>
        <w:rPr>
          <w:rFonts w:hint="eastAsia" w:ascii="宋体" w:hAnsi="宋体" w:eastAsia="宋体" w:cs="宋体"/>
          <w:bCs/>
          <w:snapToGrid/>
          <w:color w:val="auto"/>
          <w:kern w:val="2"/>
          <w:sz w:val="24"/>
          <w:szCs w:val="24"/>
          <w:highlight w:val="none"/>
          <w:lang w:val="en-US" w:eastAsia="zh-CN" w:bidi="ar-SA"/>
        </w:rPr>
        <w:t>自合同签订之日起三年</w:t>
      </w:r>
      <w:r>
        <w:rPr>
          <w:rFonts w:hint="eastAsia" w:ascii="宋体" w:hAnsi="宋体" w:cs="宋体"/>
          <w:bCs/>
          <w:snapToGrid/>
          <w:color w:val="auto"/>
          <w:kern w:val="2"/>
          <w:sz w:val="24"/>
          <w:szCs w:val="24"/>
          <w:highlight w:val="none"/>
          <w:lang w:val="en-US" w:eastAsia="zh-CN" w:bidi="ar-SA"/>
        </w:rPr>
        <w:t>，</w:t>
      </w:r>
      <w:r>
        <w:rPr>
          <w:rFonts w:hint="eastAsia" w:ascii="宋体" w:hAnsi="宋体" w:eastAsia="宋体" w:cs="宋体"/>
          <w:bCs/>
          <w:snapToGrid/>
          <w:color w:val="auto"/>
          <w:kern w:val="2"/>
          <w:sz w:val="24"/>
          <w:szCs w:val="24"/>
          <w:highlight w:val="none"/>
          <w:lang w:val="en-US" w:eastAsia="zh-CN" w:bidi="ar-SA"/>
        </w:rPr>
        <w:t>合同必须为一年一签。合同应符合政府采购预算安排要求，经批准，并经采购人考核验收通过，双方同意后，方可续签订下一年度的合同。</w:t>
      </w:r>
    </w:p>
    <w:p>
      <w:pPr>
        <w:pStyle w:val="7"/>
        <w:keepNext w:val="0"/>
        <w:keepLines w:val="0"/>
        <w:pageBreakBefore w:val="0"/>
        <w:kinsoku/>
        <w:wordWrap/>
        <w:overflowPunct/>
        <w:topLinePunct w:val="0"/>
        <w:autoSpaceDE/>
        <w:autoSpaceDN/>
        <w:bidi w:val="0"/>
        <w:spacing w:line="360" w:lineRule="auto"/>
        <w:ind w:firstLine="482" w:firstLineChars="200"/>
        <w:jc w:val="both"/>
        <w:textAlignment w:val="auto"/>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Segoe UI Symbol"/>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snapToGrid w:val="0"/>
          <w:color w:val="auto"/>
          <w:kern w:val="28"/>
          <w:sz w:val="24"/>
          <w:szCs w:val="20"/>
          <w:highlight w:val="none"/>
          <w:lang w:eastAsia="zh-CN"/>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snapToGrid w:val="0"/>
          <w:color w:val="auto"/>
          <w:kern w:val="28"/>
          <w:sz w:val="24"/>
          <w:szCs w:val="20"/>
          <w:highlight w:val="none"/>
          <w:lang w:eastAsia="zh-CN"/>
        </w:rPr>
        <w:t>。</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lang w:val="en-US" w:eastAsia="zh-CN"/>
        </w:rPr>
        <w:t>2</w:t>
      </w:r>
      <w:r>
        <w:rPr>
          <w:rFonts w:hint="eastAsia" w:ascii="宋体" w:hAnsi="宋体" w:cs="宋体"/>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widowControl w:val="0"/>
        <w:kinsoku/>
        <w:wordWrap/>
        <w:overflowPunct/>
        <w:topLinePunct w:val="0"/>
        <w:autoSpaceDE/>
        <w:autoSpaceDN/>
        <w:bidi w:val="0"/>
        <w:adjustRightInd w:val="0"/>
        <w:snapToGrid/>
        <w:spacing w:line="360" w:lineRule="auto"/>
        <w:ind w:firstLine="960" w:firstLineChars="400"/>
        <w:jc w:val="both"/>
        <w:textAlignment w:val="auto"/>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960" w:firstLineChars="400"/>
        <w:jc w:val="both"/>
        <w:textAlignment w:val="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宋体" w:hAnsi="宋体" w:eastAsia="宋体" w:cs="宋体"/>
          <w:color w:val="auto"/>
          <w:sz w:val="24"/>
          <w:highlight w:val="none"/>
          <w:lang w:eastAsia="zh-CN"/>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pacing w:val="8"/>
          <w:kern w:val="0"/>
          <w:sz w:val="24"/>
          <w:highlight w:val="none"/>
          <w:lang w:eastAsia="zh-CN"/>
        </w:rPr>
        <w:t>。</w:t>
      </w:r>
    </w:p>
    <w:p>
      <w:pPr>
        <w:pStyle w:val="80"/>
        <w:keepNext w:val="0"/>
        <w:keepLines w:val="0"/>
        <w:pageBreakBefore w:val="0"/>
        <w:widowControl w:val="0"/>
        <w:kinsoku/>
        <w:wordWrap/>
        <w:overflowPunct/>
        <w:topLinePunct w:val="0"/>
        <w:autoSpaceDE/>
        <w:autoSpaceDN/>
        <w:bidi w:val="0"/>
        <w:snapToGrid/>
        <w:ind w:firstLine="480" w:firstLineChars="200"/>
        <w:textAlignment w:val="auto"/>
        <w:rPr>
          <w:rFonts w:hint="eastAsia" w:ascii="宋体" w:hAnsi="宋体" w:eastAsia="宋体" w:cs="宋体"/>
          <w:color w:val="auto"/>
          <w:sz w:val="24"/>
          <w:highlight w:val="none"/>
          <w:lang w:eastAsia="zh-CN"/>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lang w:eastAsia="zh-CN"/>
        </w:rPr>
        <w:t>。</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p>
    <w:p>
      <w:pPr>
        <w:keepNext w:val="0"/>
        <w:keepLines w:val="0"/>
        <w:pageBreakBefore w:val="0"/>
        <w:kinsoku/>
        <w:wordWrap/>
        <w:overflowPunct/>
        <w:topLinePunct w:val="0"/>
        <w:autoSpaceDE/>
        <w:autoSpaceDN/>
        <w:bidi w:val="0"/>
        <w:snapToGrid w:val="0"/>
        <w:spacing w:line="360" w:lineRule="auto"/>
        <w:ind w:firstLine="480" w:firstLineChars="200"/>
        <w:jc w:val="both"/>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napToGrid w:val="0"/>
        <w:spacing w:line="360" w:lineRule="auto"/>
        <w:ind w:firstLine="480" w:firstLineChars="200"/>
        <w:jc w:val="both"/>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b/>
          <w:color w:val="auto"/>
          <w:sz w:val="24"/>
          <w:highlight w:val="none"/>
          <w:lang w:eastAsia="zh-CN"/>
        </w:rPr>
        <w:t>：</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日，每天上午00:00至12:00</w:t>
      </w:r>
      <w:r>
        <w:rPr>
          <w:rFonts w:hint="eastAsia" w:ascii="宋体" w:hAnsi="宋体" w:cs="宋体"/>
          <w:color w:val="auto"/>
          <w:sz w:val="24"/>
          <w:highlight w:val="none"/>
          <w:lang w:eastAsia="zh-CN"/>
        </w:rPr>
        <w:t>，</w:t>
      </w:r>
      <w:r>
        <w:rPr>
          <w:rFonts w:hint="eastAsia" w:ascii="宋体" w:hAnsi="宋体" w:cs="宋体"/>
          <w:color w:val="auto"/>
          <w:sz w:val="24"/>
          <w:highlight w:val="none"/>
        </w:rPr>
        <w:t>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b w:val="0"/>
          <w:bCs/>
          <w:color w:val="auto"/>
          <w:sz w:val="24"/>
          <w:highlight w:val="none"/>
          <w:lang w:val="en-US" w:eastAsia="zh-CN"/>
        </w:rPr>
      </w:pPr>
      <w:r>
        <w:rPr>
          <w:rFonts w:hint="eastAsia" w:ascii="宋体" w:hAnsi="宋体" w:cs="宋体"/>
          <w:b/>
          <w:color w:val="auto"/>
          <w:sz w:val="24"/>
          <w:highlight w:val="none"/>
        </w:rPr>
        <w:t>售价（元）：</w:t>
      </w:r>
      <w:r>
        <w:rPr>
          <w:rFonts w:hint="eastAsia" w:ascii="宋体" w:hAnsi="宋体" w:cs="宋体"/>
          <w:b w:val="0"/>
          <w:bCs/>
          <w:color w:val="auto"/>
          <w:sz w:val="24"/>
          <w:highlight w:val="none"/>
          <w:lang w:val="en-US" w:eastAsia="zh-CN"/>
        </w:rPr>
        <w:t>0</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9月28日09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政采云平台（https://www.zcygov.cn/）</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9月28日09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秒</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五、公告期限</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4.其他事项</w:t>
      </w:r>
      <w:r>
        <w:rPr>
          <w:rFonts w:hint="eastAsia" w:ascii="宋体" w:hAnsi="宋体" w:cs="宋体"/>
          <w:color w:val="auto"/>
          <w:sz w:val="24"/>
          <w:highlight w:val="none"/>
          <w:lang w:eastAsia="zh-CN"/>
        </w:rPr>
        <w:t>：</w:t>
      </w:r>
      <w:r>
        <w:rPr>
          <w:rFonts w:hint="eastAsia" w:ascii="宋体" w:hAnsi="宋体" w:cs="宋体"/>
          <w:color w:val="auto"/>
          <w:sz w:val="24"/>
          <w:highlight w:val="none"/>
        </w:rPr>
        <w:t>（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w:t>
      </w:r>
      <w:r>
        <w:rPr>
          <w:rFonts w:hint="eastAsia" w:ascii="宋体" w:hAnsi="宋体" w:cs="宋体"/>
          <w:color w:val="auto"/>
          <w:sz w:val="24"/>
          <w:highlight w:val="none"/>
          <w:lang w:eastAsia="zh-CN"/>
        </w:rPr>
        <w:t>；</w:t>
      </w:r>
      <w:r>
        <w:rPr>
          <w:rFonts w:hint="eastAsia" w:ascii="宋体" w:hAnsi="宋体" w:cs="宋体"/>
          <w:color w:val="auto"/>
          <w:sz w:val="24"/>
          <w:highlight w:val="none"/>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本招标公告中二、申请人的资格要求：第一条中的“重大税收违法案件当事人名单”即为“重大税收违法失信主体”。</w:t>
      </w:r>
    </w:p>
    <w:p>
      <w:pPr>
        <w:keepNext w:val="0"/>
        <w:keepLines w:val="0"/>
        <w:pageBreakBefore w:val="0"/>
        <w:kinsoku/>
        <w:wordWrap/>
        <w:overflowPunct/>
        <w:topLinePunct w:val="0"/>
        <w:autoSpaceDE/>
        <w:autoSpaceDN/>
        <w:bidi w:val="0"/>
        <w:spacing w:line="360" w:lineRule="auto"/>
        <w:ind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1.采购人信息</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宁海县综合行政执法局</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kern w:val="0"/>
          <w:sz w:val="24"/>
          <w:szCs w:val="24"/>
        </w:rPr>
        <w:t>宁海县跃龙街道桃源中路135号</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default" w:ascii="宋体" w:hAnsi="宋体" w:cs="宋体"/>
          <w:color w:val="auto"/>
          <w:sz w:val="24"/>
          <w:highlight w:val="none"/>
          <w:lang w:val="en-US"/>
        </w:rPr>
      </w:pPr>
      <w:r>
        <w:rPr>
          <w:rFonts w:hint="eastAsia" w:ascii="宋体" w:hAnsi="宋体" w:cs="宋体"/>
          <w:color w:val="auto"/>
          <w:sz w:val="24"/>
          <w:highlight w:val="none"/>
        </w:rPr>
        <w:t>项目联系人（询问）：</w:t>
      </w:r>
      <w:r>
        <w:rPr>
          <w:rFonts w:hint="eastAsia" w:ascii="宋体" w:hAnsi="宋体" w:cs="宋体"/>
          <w:kern w:val="0"/>
          <w:sz w:val="24"/>
          <w:lang w:eastAsia="zh-CN"/>
        </w:rPr>
        <w:t>郑老师</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项目联系方式（询问）：</w:t>
      </w:r>
      <w:r>
        <w:rPr>
          <w:rFonts w:hint="eastAsia" w:ascii="宋体" w:hAnsi="宋体" w:cs="宋体"/>
          <w:kern w:val="0"/>
          <w:sz w:val="24"/>
          <w:lang w:eastAsia="zh-CN"/>
        </w:rPr>
        <w:t>0574-59957726</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eastAsia="宋体" w:cs="宋体"/>
          <w:color w:val="auto"/>
          <w:kern w:val="0"/>
          <w:sz w:val="24"/>
          <w:szCs w:val="24"/>
          <w:lang w:val="en-US" w:eastAsia="zh-CN"/>
        </w:rPr>
        <w:t>杨老师</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kern w:val="0"/>
          <w:sz w:val="24"/>
          <w:szCs w:val="24"/>
          <w:lang w:val="en-US" w:eastAsia="zh-CN"/>
        </w:rPr>
        <w:t>0574-65578961</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2.采购代理机构信息</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浙江国信工程管理咨询有限公司</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宁海县跃龙街道兴海中路99号兴海菜场东门东8</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传    真：</w:t>
      </w:r>
      <w:r>
        <w:rPr>
          <w:rFonts w:hint="eastAsia" w:ascii="宋体" w:hAnsi="宋体" w:cs="宋体"/>
          <w:color w:val="auto"/>
          <w:sz w:val="24"/>
          <w:highlight w:val="none"/>
          <w:lang w:eastAsia="zh-CN"/>
        </w:rPr>
        <w:t>0574-82538390</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刘家俊</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eastAsia="zh-CN"/>
        </w:rPr>
        <w:t>0574-82538390</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邬永飞</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eastAsia="zh-CN"/>
        </w:rPr>
        <w:t>0574-82538390</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cs="宋体"/>
          <w:color w:val="auto"/>
          <w:sz w:val="24"/>
          <w:highlight w:val="none"/>
        </w:rPr>
      </w:pPr>
      <w:r>
        <w:rPr>
          <w:rFonts w:hint="eastAsia" w:ascii="宋体" w:hAnsi="宋体" w:cs="宋体"/>
          <w:color w:val="auto"/>
          <w:sz w:val="24"/>
          <w:highlight w:val="none"/>
        </w:rPr>
        <w:t>名    称：宁海县政府采购管理办公室</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地    址：宁海县跃龙街道桃源中路218号</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传    真：0574-65265612</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w:t>
      </w:r>
      <w:r>
        <w:rPr>
          <w:rFonts w:hint="eastAsia" w:ascii="宋体" w:hAnsi="宋体" w:cs="宋体"/>
          <w:color w:val="auto"/>
          <w:sz w:val="24"/>
          <w:highlight w:val="none"/>
        </w:rPr>
        <w:t>王老师</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cs="宋体"/>
          <w:color w:val="auto"/>
          <w:sz w:val="24"/>
          <w:highlight w:val="none"/>
        </w:rPr>
      </w:pPr>
      <w:r>
        <w:rPr>
          <w:rFonts w:hint="eastAsia" w:ascii="宋体" w:hAnsi="宋体" w:cs="宋体"/>
          <w:color w:val="auto"/>
          <w:sz w:val="24"/>
          <w:highlight w:val="none"/>
        </w:rPr>
        <w:t>监督投诉电话：0574-65265668</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hint="eastAsia" w:ascii="宋体" w:hAnsi="宋体" w:cs="宋体"/>
          <w:color w:val="auto"/>
          <w:sz w:val="24"/>
          <w:highlight w:val="none"/>
        </w:rPr>
      </w:pP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spacing w:line="360" w:lineRule="auto"/>
        <w:ind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keepNext w:val="0"/>
        <w:keepLines w:val="0"/>
        <w:pageBreakBefore w:val="0"/>
        <w:widowControl/>
        <w:kinsoku/>
        <w:wordWrap/>
        <w:overflowPunct/>
        <w:topLinePunct w:val="0"/>
        <w:autoSpaceDE/>
        <w:autoSpaceDN/>
        <w:bidi w:val="0"/>
        <w:adjustRightInd/>
        <w:spacing w:line="360" w:lineRule="auto"/>
        <w:ind w:firstLine="723" w:firstLineChars="200"/>
        <w:jc w:val="both"/>
        <w:textAlignment w:val="auto"/>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8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857"/>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事项</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43"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项目属性</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采购标的及其对应的中小企业划分标准所属行业</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（1）标的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u w:val="single"/>
                <w:lang w:val="en-US" w:eastAsia="zh-CN"/>
              </w:rPr>
              <w:t>市政道路交通设施养护维修</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属于</w:t>
            </w:r>
            <w:r>
              <w:rPr>
                <w:rFonts w:hint="eastAsia" w:ascii="宋体" w:hAnsi="宋体" w:eastAsia="宋体" w:cs="宋体"/>
                <w:sz w:val="24"/>
                <w:szCs w:val="24"/>
                <w:u w:val="single"/>
              </w:rPr>
              <w:t>其他未列明行业</w:t>
            </w:r>
            <w:r>
              <w:rPr>
                <w:rFonts w:hint="eastAsia" w:ascii="宋体" w:hAnsi="宋体" w:eastAsia="宋体" w:cs="宋体"/>
                <w:color w:val="auto"/>
                <w:kern w:val="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是否允许采购进口产品</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sdt>
              <w:sdtPr>
                <w:rPr>
                  <w:rFonts w:hint="eastAsia" w:ascii="宋体" w:hAnsi="宋体" w:eastAsia="宋体" w:cs="宋体"/>
                  <w:color w:val="auto"/>
                  <w:kern w:val="0"/>
                  <w:sz w:val="24"/>
                  <w:szCs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sym w:font="Wingdings" w:char="F0FE"/>
                </w:r>
              </w:sdtContent>
            </w:sdt>
            <w:r>
              <w:rPr>
                <w:rFonts w:hint="eastAsia" w:ascii="宋体" w:hAnsi="宋体" w:eastAsia="宋体" w:cs="宋体"/>
                <w:color w:val="auto"/>
                <w:kern w:val="0"/>
                <w:sz w:val="24"/>
                <w:szCs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t>☐</w:t>
                </w:r>
              </w:sdtContent>
            </w:sdt>
            <w:r>
              <w:rPr>
                <w:rFonts w:hint="eastAsia" w:ascii="宋体" w:hAnsi="宋体" w:eastAsia="宋体" w:cs="宋体"/>
                <w:color w:val="auto"/>
                <w:kern w:val="0"/>
                <w:sz w:val="24"/>
                <w:szCs w:val="24"/>
                <w:highlight w:val="none"/>
              </w:rPr>
              <w:t>可以就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分包</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left"/>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szCs w:val="24"/>
                <w:highlight w:val="none"/>
              </w:rPr>
              <w:t xml:space="preserve"> A</w:t>
            </w:r>
            <w:r>
              <w:rPr>
                <w:rFonts w:hint="eastAsia" w:ascii="宋体" w:hAnsi="宋体" w:eastAsia="宋体" w:cs="宋体"/>
                <w:color w:val="auto"/>
                <w:sz w:val="24"/>
                <w:szCs w:val="24"/>
                <w:highlight w:val="none"/>
              </w:rPr>
              <w:t>同意将非主体、非关键性的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工作分包。</w:t>
            </w:r>
            <w:sdt>
              <w:sdtPr>
                <w:rPr>
                  <w:rFonts w:hint="eastAsia" w:ascii="宋体" w:hAnsi="宋体" w:eastAsia="宋体" w:cs="宋体"/>
                  <w:color w:val="auto"/>
                  <w:kern w:val="0"/>
                  <w:sz w:val="24"/>
                  <w:szCs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 xml:space="preserve"> B</w:t>
            </w:r>
            <w:r>
              <w:rPr>
                <w:rFonts w:hint="eastAsia" w:ascii="宋体" w:hAnsi="宋体" w:eastAsia="宋体" w:cs="宋体"/>
                <w:color w:val="auto"/>
                <w:sz w:val="24"/>
                <w:szCs w:val="24"/>
                <w:highlight w:val="none"/>
              </w:rPr>
              <w:t>不同意分包。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开标前答疑会或现场考察</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B组织，</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8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样品提供</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639946486"/>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不要求提供。</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sdt>
              <w:sdtPr>
                <w:rPr>
                  <w:rFonts w:hint="eastAsia" w:ascii="宋体" w:hAnsi="宋体" w:eastAsia="宋体" w:cs="宋体"/>
                  <w:color w:val="auto"/>
                  <w:kern w:val="0"/>
                  <w:sz w:val="24"/>
                  <w:szCs w:val="24"/>
                  <w:highlight w:val="none"/>
                </w:rPr>
                <w:id w:val="1026831988"/>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B要求提供，</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snapToGrid w:val="0"/>
                <w:color w:val="auto"/>
                <w:kern w:val="28"/>
                <w:sz w:val="24"/>
                <w:szCs w:val="24"/>
                <w:highlight w:val="none"/>
              </w:rPr>
              <w:t>样品：</w:t>
            </w:r>
            <w:r>
              <w:rPr>
                <w:rFonts w:hint="eastAsia" w:ascii="宋体" w:hAnsi="宋体" w:eastAsia="宋体" w:cs="宋体"/>
                <w:color w:val="auto"/>
                <w:sz w:val="24"/>
                <w:szCs w:val="24"/>
                <w:u w:val="single"/>
                <w:lang w:val="en-US" w:eastAsia="zh-CN"/>
              </w:rPr>
              <w:t>标线、除线、警示桩、</w:t>
            </w:r>
            <w:r>
              <w:rPr>
                <w:rFonts w:hint="eastAsia" w:ascii="宋体" w:hAnsi="宋体" w:eastAsia="宋体" w:cs="宋体"/>
                <w:i w:val="0"/>
                <w:iCs w:val="0"/>
                <w:color w:val="000000"/>
                <w:kern w:val="0"/>
                <w:sz w:val="24"/>
                <w:szCs w:val="24"/>
                <w:u w:val="single"/>
                <w:lang w:val="en-US" w:eastAsia="zh-CN" w:bidi="ar"/>
              </w:rPr>
              <w:t>机非隔离护栏（详见评标办法）</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snapToGrid w:val="0"/>
                <w:color w:val="auto"/>
                <w:kern w:val="28"/>
                <w:sz w:val="24"/>
                <w:szCs w:val="24"/>
                <w:highlight w:val="none"/>
              </w:rPr>
              <w:t>样品制作的标准和要求</w:t>
            </w:r>
            <w:r>
              <w:rPr>
                <w:rFonts w:hint="eastAsia" w:ascii="宋体" w:hAnsi="宋体" w:eastAsia="宋体" w:cs="宋体"/>
                <w:snapToGrid w:val="0"/>
                <w:color w:val="auto"/>
                <w:kern w:val="28"/>
                <w:sz w:val="24"/>
                <w:szCs w:val="24"/>
                <w:highlight w:val="none"/>
                <w:lang w:eastAsia="zh-CN"/>
              </w:rPr>
              <w:t>：</w:t>
            </w:r>
            <w:r>
              <w:rPr>
                <w:rFonts w:hint="eastAsia" w:ascii="宋体" w:hAnsi="宋体" w:eastAsia="宋体" w:cs="宋体"/>
                <w:snapToGrid w:val="0"/>
                <w:color w:val="auto"/>
                <w:kern w:val="28"/>
                <w:sz w:val="24"/>
                <w:szCs w:val="24"/>
                <w:highlight w:val="none"/>
              </w:rPr>
              <w:t>详见</w:t>
            </w:r>
            <w:r>
              <w:rPr>
                <w:rFonts w:hint="eastAsia" w:ascii="宋体" w:hAnsi="宋体" w:eastAsia="宋体" w:cs="宋体"/>
                <w:color w:val="auto"/>
                <w:sz w:val="24"/>
                <w:szCs w:val="24"/>
                <w:highlight w:val="none"/>
                <w:u w:val="single"/>
                <w:lang w:val="en-US" w:eastAsia="zh-CN"/>
              </w:rPr>
              <w:t>采购需求和</w:t>
            </w:r>
            <w:r>
              <w:rPr>
                <w:rFonts w:hint="eastAsia" w:ascii="宋体" w:hAnsi="宋体" w:eastAsia="宋体" w:cs="宋体"/>
                <w:color w:val="auto"/>
                <w:sz w:val="24"/>
                <w:szCs w:val="24"/>
                <w:highlight w:val="none"/>
                <w:u w:val="single"/>
              </w:rPr>
              <w:t>评标办法</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（3）样品的评审方法以及评审标准</w:t>
            </w:r>
            <w:r>
              <w:rPr>
                <w:rFonts w:hint="eastAsia" w:ascii="宋体" w:hAnsi="宋体" w:eastAsia="宋体" w:cs="宋体"/>
                <w:snapToGrid w:val="0"/>
                <w:color w:val="auto"/>
                <w:kern w:val="28"/>
                <w:sz w:val="24"/>
                <w:szCs w:val="24"/>
                <w:highlight w:val="none"/>
              </w:rPr>
              <w:t>：详见</w:t>
            </w:r>
            <w:r>
              <w:rPr>
                <w:rFonts w:hint="eastAsia" w:ascii="宋体" w:hAnsi="宋体" w:eastAsia="宋体" w:cs="宋体"/>
                <w:color w:val="auto"/>
                <w:sz w:val="24"/>
                <w:szCs w:val="24"/>
                <w:highlight w:val="none"/>
                <w:u w:val="single"/>
              </w:rPr>
              <w:t>评标办法</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（4）是否需要随样品提交检测报告：</w:t>
            </w:r>
            <w:sdt>
              <w:sdtPr>
                <w:rPr>
                  <w:rFonts w:hint="eastAsia" w:ascii="宋体" w:hAnsi="宋体" w:eastAsia="宋体" w:cs="宋体"/>
                  <w:color w:val="auto"/>
                  <w:kern w:val="0"/>
                  <w:sz w:val="24"/>
                  <w:szCs w:val="24"/>
                  <w:highlight w:val="none"/>
                </w:rPr>
                <w:id w:val="1303421454"/>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rPr>
              <w:t>否；</w:t>
            </w:r>
            <w:sdt>
              <w:sdtPr>
                <w:rPr>
                  <w:rFonts w:hint="eastAsia" w:ascii="宋体" w:hAnsi="宋体" w:eastAsia="宋体" w:cs="宋体"/>
                  <w:color w:val="auto"/>
                  <w:kern w:val="0"/>
                  <w:sz w:val="24"/>
                  <w:szCs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rPr>
                  <w:t>☐</w:t>
                </w:r>
              </w:sdtContent>
            </w:sdt>
            <w:r>
              <w:rPr>
                <w:rFonts w:hint="eastAsia" w:ascii="宋体" w:hAnsi="宋体" w:eastAsia="宋体" w:cs="宋体"/>
                <w:color w:val="auto"/>
                <w:kern w:val="0"/>
                <w:sz w:val="24"/>
                <w:szCs w:val="24"/>
                <w:highlight w:val="none"/>
              </w:rPr>
              <w:t>是，检测机构的要求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；检测内容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（5）提供样品的时间：</w:t>
            </w:r>
            <w:r>
              <w:rPr>
                <w:rFonts w:hint="eastAsia" w:ascii="宋体" w:hAnsi="宋体" w:eastAsia="宋体" w:cs="宋体"/>
                <w:color w:val="auto"/>
                <w:sz w:val="24"/>
                <w:szCs w:val="24"/>
                <w:highlight w:val="none"/>
                <w:u w:val="single"/>
                <w:lang w:val="en-US" w:eastAsia="zh-CN"/>
              </w:rPr>
              <w:t>2023年9月28日08:00时</w:t>
            </w:r>
            <w:r>
              <w:rPr>
                <w:rFonts w:hint="eastAsia" w:ascii="宋体" w:hAnsi="宋体" w:eastAsia="宋体" w:cs="宋体"/>
                <w:color w:val="auto"/>
                <w:kern w:val="0"/>
                <w:sz w:val="24"/>
                <w:szCs w:val="24"/>
                <w:highlight w:val="none"/>
              </w:rPr>
              <w:t>；地点：</w:t>
            </w:r>
            <w:r>
              <w:rPr>
                <w:rFonts w:hint="eastAsia" w:ascii="宋体" w:hAnsi="宋体" w:eastAsia="宋体" w:cs="宋体"/>
                <w:color w:val="auto"/>
                <w:sz w:val="24"/>
                <w:szCs w:val="24"/>
                <w:highlight w:val="none"/>
                <w:u w:val="single"/>
                <w:lang w:val="en-US" w:eastAsia="zh-CN"/>
              </w:rPr>
              <w:t>宁海县公共资源交易中心</w:t>
            </w:r>
            <w:r>
              <w:rPr>
                <w:rFonts w:hint="eastAsia" w:ascii="宋体" w:hAnsi="宋体" w:eastAsia="宋体" w:cs="宋体"/>
                <w:color w:val="auto"/>
                <w:kern w:val="0"/>
                <w:sz w:val="24"/>
                <w:szCs w:val="24"/>
                <w:highlight w:val="none"/>
              </w:rPr>
              <w:t>；联系人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刘家俊</w:t>
            </w:r>
            <w:r>
              <w:rPr>
                <w:rFonts w:hint="eastAsia" w:ascii="宋体" w:hAnsi="宋体" w:eastAsia="宋体" w:cs="宋体"/>
                <w:color w:val="auto"/>
                <w:sz w:val="24"/>
                <w:szCs w:val="24"/>
                <w:highlight w:val="none"/>
              </w:rPr>
              <w:t>，</w:t>
            </w:r>
            <w:r>
              <w:rPr>
                <w:rFonts w:hint="eastAsia" w:ascii="宋体" w:hAnsi="宋体" w:eastAsia="宋体" w:cs="宋体"/>
                <w:color w:val="auto"/>
                <w:kern w:val="28"/>
                <w:sz w:val="24"/>
                <w:szCs w:val="24"/>
                <w:highlight w:val="none"/>
              </w:rPr>
              <w:t>联系电话：</w:t>
            </w:r>
            <w:r>
              <w:rPr>
                <w:rFonts w:hint="eastAsia" w:ascii="宋体" w:hAnsi="宋体" w:eastAsia="宋体" w:cs="宋体"/>
                <w:color w:val="auto"/>
                <w:kern w:val="28"/>
                <w:sz w:val="24"/>
                <w:szCs w:val="24"/>
                <w:highlight w:val="none"/>
                <w:u w:val="single"/>
                <w:lang w:val="en-US" w:eastAsia="zh-CN"/>
              </w:rPr>
              <w:t>13566391453</w:t>
            </w:r>
            <w:r>
              <w:rPr>
                <w:rFonts w:hint="eastAsia" w:ascii="宋体" w:hAnsi="宋体" w:eastAsia="宋体" w:cs="宋体"/>
                <w:color w:val="auto"/>
                <w:sz w:val="24"/>
                <w:szCs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(6)采购活动结束后，对于未中标人提供的样品，采购人、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将通知未中标人在规定的时间内取回，逾期未取回的，采购人、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（7）制作、运输、安装和保管样品所发生的一切费用由投标人自理。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93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方案讲解演示</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rPr>
            </w:pPr>
            <w:sdt>
              <w:sdtPr>
                <w:rPr>
                  <w:rFonts w:hint="eastAsia" w:ascii="宋体" w:hAnsi="宋体" w:eastAsia="宋体" w:cs="宋体"/>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B组织。</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（1）在评标时安排每个投标人进行方案讲解演示。每个投标人时间不超过</w:t>
            </w:r>
            <w:r>
              <w:rPr>
                <w:rFonts w:hint="eastAsia" w:ascii="宋体" w:hAnsi="宋体" w:eastAsia="宋体" w:cs="宋体"/>
                <w:color w:val="auto"/>
                <w:kern w:val="0"/>
                <w:sz w:val="24"/>
                <w:szCs w:val="24"/>
                <w:highlight w:val="none"/>
                <w:u w:val="single"/>
              </w:rPr>
              <w:t>20</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编制时可根据项目情况进行调整</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rPr>
              <w:t>分钟，讲解次序以投标文件解密时间先后次序为准，讲解演示人员不超过</w:t>
            </w:r>
            <w:r>
              <w:rPr>
                <w:rFonts w:hint="eastAsia" w:ascii="宋体" w:hAnsi="宋体" w:eastAsia="宋体" w:cs="宋体"/>
                <w:color w:val="auto"/>
                <w:kern w:val="0"/>
                <w:sz w:val="24"/>
                <w:szCs w:val="24"/>
                <w:highlight w:val="none"/>
                <w:u w:val="single"/>
              </w:rPr>
              <w:t>3</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编制时可根据项目情况进行调整</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方式二：交易中心现场讲解演示。现场讲解地点为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b/>
                <w:color w:val="auto"/>
                <w:kern w:val="0"/>
                <w:sz w:val="24"/>
                <w:szCs w:val="24"/>
                <w:highlight w:val="none"/>
                <w:lang w:val="zh-CN"/>
              </w:rPr>
            </w:pPr>
            <w:r>
              <w:rPr>
                <w:rFonts w:hint="eastAsia" w:ascii="宋体" w:hAnsi="宋体" w:eastAsia="宋体" w:cs="宋体"/>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00" w:hRule="atLeast"/>
          <w:tblHeader/>
          <w:jc w:val="center"/>
        </w:trPr>
        <w:tc>
          <w:tcPr>
            <w:tcW w:w="85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8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投标人应当提供的资格、资信证明文件</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color w:val="auto"/>
                <w:kern w:val="0"/>
                <w:sz w:val="24"/>
                <w:szCs w:val="24"/>
                <w:highlight w:val="none"/>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1" w:hRule="atLeast"/>
          <w:tblHeader/>
          <w:jc w:val="center"/>
        </w:trPr>
        <w:tc>
          <w:tcPr>
            <w:tcW w:w="8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p>
        </w:tc>
        <w:tc>
          <w:tcPr>
            <w:tcW w:w="18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3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节能产品、环境标志产品</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31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报价要求</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有关本项目实施所需的所有费用（含税费）均计入报价。</w:t>
            </w:r>
            <w:r>
              <w:rPr>
                <w:rFonts w:hint="eastAsia" w:ascii="宋体" w:hAnsi="宋体" w:eastAsia="宋体" w:cs="宋体"/>
                <w:b/>
                <w:bCs/>
                <w:color w:val="auto"/>
                <w:kern w:val="0"/>
                <w:sz w:val="24"/>
                <w:szCs w:val="24"/>
                <w:highlight w:val="none"/>
                <w:lang w:val="zh-CN"/>
              </w:rPr>
              <w:t>投标文件</w:t>
            </w:r>
            <w:r>
              <w:rPr>
                <w:rFonts w:hint="eastAsia" w:ascii="宋体" w:hAnsi="宋体" w:eastAsia="宋体" w:cs="宋体"/>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szCs w:val="24"/>
                <w:highlight w:val="none"/>
                <w:lang w:val="zh-CN"/>
              </w:rPr>
              <w:t>投标文件中价格全部采用人民币报价。招标文件未列明，而投标人认为必需的费用也需列入报价。供应商须报出一年</w:t>
            </w:r>
            <w:r>
              <w:rPr>
                <w:rFonts w:hint="eastAsia" w:ascii="宋体" w:hAnsi="宋体" w:eastAsia="宋体" w:cs="宋体"/>
                <w:color w:val="auto"/>
                <w:kern w:val="0"/>
                <w:sz w:val="24"/>
                <w:szCs w:val="24"/>
                <w:highlight w:val="none"/>
                <w:lang w:val="zh-CN" w:eastAsia="zh-CN"/>
              </w:rPr>
              <w:t>报价</w:t>
            </w:r>
            <w:r>
              <w:rPr>
                <w:rFonts w:hint="eastAsia" w:ascii="宋体" w:hAnsi="宋体" w:eastAsia="宋体" w:cs="宋体"/>
                <w:color w:val="auto"/>
                <w:kern w:val="0"/>
                <w:sz w:val="24"/>
                <w:szCs w:val="24"/>
                <w:highlight w:val="none"/>
                <w:lang w:val="zh-CN"/>
              </w:rPr>
              <w:t>及</w:t>
            </w:r>
            <w:r>
              <w:rPr>
                <w:rFonts w:hint="eastAsia" w:ascii="宋体" w:hAnsi="宋体" w:eastAsia="宋体" w:cs="宋体"/>
                <w:color w:val="auto"/>
                <w:kern w:val="0"/>
                <w:sz w:val="24"/>
                <w:szCs w:val="24"/>
                <w:highlight w:val="none"/>
                <w:lang w:val="zh-CN" w:eastAsia="zh-CN"/>
              </w:rPr>
              <w:t>三年</w:t>
            </w:r>
            <w:r>
              <w:rPr>
                <w:rFonts w:hint="eastAsia" w:ascii="宋体" w:hAnsi="宋体" w:eastAsia="宋体" w:cs="宋体"/>
                <w:color w:val="auto"/>
                <w:kern w:val="0"/>
                <w:sz w:val="24"/>
                <w:szCs w:val="24"/>
                <w:highlight w:val="none"/>
                <w:lang w:val="zh-CN"/>
              </w:rPr>
              <w:t>的投标总价，投标报价为供应商正确地完全履行采购内容及要求的价格体现，应包含</w:t>
            </w:r>
            <w:r>
              <w:rPr>
                <w:rFonts w:hint="eastAsia" w:ascii="宋体" w:hAnsi="宋体" w:eastAsia="宋体" w:cs="宋体"/>
                <w:color w:val="auto"/>
                <w:sz w:val="24"/>
                <w:szCs w:val="24"/>
                <w:lang w:val="en-US" w:eastAsia="zh-CN"/>
              </w:rPr>
              <w:t>完成对应项目所需的全部费用在内，包括但不限于人工（含工资、社保、福利、补贴、意外险等）、原材料成本、包装、运输、装卸、安装、保险、税金、利润、管理费、售后服务、政策性规费等所有费用。</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both"/>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投标人对根据修正原则修正后的报价不确认的</w:t>
            </w:r>
            <w:r>
              <w:rPr>
                <w:rFonts w:hint="eastAsia" w:ascii="宋体" w:hAnsi="宋体" w:eastAsia="宋体" w:cs="宋体"/>
                <w:b/>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348"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中小企业信用融资</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68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备份投标文件送达</w:t>
            </w:r>
            <w:r>
              <w:rPr>
                <w:rFonts w:hint="eastAsia" w:ascii="宋体" w:hAnsi="宋体" w:eastAsia="宋体" w:cs="宋体"/>
                <w:b/>
                <w:color w:val="auto"/>
                <w:sz w:val="24"/>
                <w:szCs w:val="24"/>
                <w:highlight w:val="none"/>
                <w:lang w:val="en-US" w:eastAsia="zh-CN"/>
              </w:rPr>
              <w:t>时间、</w:t>
            </w:r>
            <w:r>
              <w:rPr>
                <w:rFonts w:hint="eastAsia" w:ascii="宋体" w:hAnsi="宋体" w:eastAsia="宋体" w:cs="宋体"/>
                <w:b/>
                <w:color w:val="auto"/>
                <w:sz w:val="24"/>
                <w:szCs w:val="24"/>
                <w:highlight w:val="none"/>
              </w:rPr>
              <w:t>地点和签收人员</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（1）直接提交备份投标文件的：</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备份投标文件送达地点：</w:t>
            </w:r>
            <w:r>
              <w:rPr>
                <w:rFonts w:hint="eastAsia" w:ascii="宋体" w:hAnsi="宋体" w:eastAsia="宋体" w:cs="宋体"/>
                <w:snapToGrid w:val="0"/>
                <w:color w:val="auto"/>
                <w:kern w:val="28"/>
                <w:sz w:val="24"/>
                <w:szCs w:val="24"/>
                <w:highlight w:val="none"/>
                <w:u w:val="single"/>
                <w:lang w:val="en-US" w:eastAsia="zh-CN" w:bidi="ar-SA"/>
              </w:rPr>
              <w:t>宁海县公共资源交易中心五楼（具体受理场所详见当日电子指示屏）。</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（2）</w:t>
            </w:r>
            <w:r>
              <w:rPr>
                <w:rFonts w:hint="eastAsia" w:ascii="宋体" w:hAnsi="宋体" w:eastAsia="宋体" w:cs="宋体"/>
                <w:snapToGrid w:val="0"/>
                <w:color w:val="auto"/>
                <w:kern w:val="2"/>
                <w:sz w:val="24"/>
                <w:szCs w:val="24"/>
                <w:highlight w:val="none"/>
                <w:lang w:val="en-US" w:eastAsia="zh-CN" w:bidi="ar-SA"/>
              </w:rPr>
              <w:t>以邮政快递方式递交备份投标文件的：</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备份投标文件送达</w:t>
            </w:r>
            <w:r>
              <w:rPr>
                <w:rFonts w:hint="eastAsia" w:ascii="宋体" w:hAnsi="宋体" w:eastAsia="宋体" w:cs="宋体"/>
                <w:snapToGrid w:val="0"/>
                <w:color w:val="auto"/>
                <w:kern w:val="2"/>
                <w:sz w:val="24"/>
                <w:szCs w:val="24"/>
                <w:highlight w:val="none"/>
                <w:lang w:val="en-US" w:eastAsia="zh-CN" w:bidi="ar-SA"/>
              </w:rPr>
              <w:t>截止时间：</w:t>
            </w:r>
            <w:r>
              <w:rPr>
                <w:rFonts w:hint="eastAsia" w:ascii="宋体" w:hAnsi="宋体" w:eastAsia="宋体" w:cs="宋体"/>
                <w:snapToGrid w:val="0"/>
                <w:color w:val="auto"/>
                <w:kern w:val="2"/>
                <w:sz w:val="24"/>
                <w:szCs w:val="24"/>
                <w:highlight w:val="none"/>
                <w:u w:val="single"/>
                <w:lang w:val="en-US" w:eastAsia="zh-CN" w:bidi="ar-SA"/>
              </w:rPr>
              <w:t>开标时间前一个工作日的16:00时止。</w:t>
            </w:r>
          </w:p>
          <w:p>
            <w:pPr>
              <w:pStyle w:val="3"/>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bidi="ar-SA"/>
              </w:rPr>
              <w:t>备份投标文件送达地点：</w:t>
            </w:r>
            <w:r>
              <w:rPr>
                <w:rFonts w:hint="eastAsia" w:ascii="宋体" w:hAnsi="宋体" w:eastAsia="宋体" w:cs="宋体"/>
                <w:snapToGrid w:val="0"/>
                <w:color w:val="auto"/>
                <w:kern w:val="2"/>
                <w:sz w:val="24"/>
                <w:szCs w:val="24"/>
                <w:highlight w:val="none"/>
                <w:u w:val="single"/>
                <w:lang w:val="en-US" w:eastAsia="zh-CN" w:bidi="ar-SA"/>
              </w:rPr>
              <w:t>宁海县跃龙街道兴海中路99号兴海菜场东门东8</w:t>
            </w:r>
            <w:r>
              <w:rPr>
                <w:rFonts w:hint="eastAsia" w:ascii="宋体" w:hAnsi="宋体" w:eastAsia="宋体" w:cs="宋体"/>
                <w:snapToGrid w:val="0"/>
                <w:color w:val="auto"/>
                <w:kern w:val="28"/>
                <w:sz w:val="24"/>
                <w:szCs w:val="24"/>
                <w:highlight w:val="none"/>
                <w:lang w:val="en-US" w:eastAsia="zh-CN" w:bidi="ar-SA"/>
              </w:rPr>
              <w:t>；备份投标文件签收人员联系电话：</w:t>
            </w:r>
            <w:r>
              <w:rPr>
                <w:rFonts w:hint="eastAsia" w:ascii="宋体" w:hAnsi="宋体" w:eastAsia="宋体" w:cs="宋体"/>
                <w:snapToGrid w:val="0"/>
                <w:color w:val="auto"/>
                <w:kern w:val="2"/>
                <w:sz w:val="24"/>
                <w:szCs w:val="24"/>
                <w:highlight w:val="none"/>
                <w:u w:val="single"/>
                <w:lang w:val="en-US" w:eastAsia="zh-CN" w:bidi="ar-SA"/>
              </w:rPr>
              <w:t>13566391453</w:t>
            </w:r>
            <w:r>
              <w:rPr>
                <w:rFonts w:hint="eastAsia" w:ascii="宋体" w:hAnsi="宋体" w:eastAsia="宋体" w:cs="宋体"/>
                <w:snapToGrid w:val="0"/>
                <w:color w:val="auto"/>
                <w:kern w:val="2"/>
                <w:sz w:val="24"/>
                <w:szCs w:val="24"/>
                <w:highlight w:val="none"/>
                <w:lang w:val="en-US" w:eastAsia="zh-CN" w:bidi="ar-SA"/>
              </w:rPr>
              <w:t>。</w:t>
            </w:r>
            <w:r>
              <w:rPr>
                <w:rFonts w:hint="eastAsia" w:ascii="宋体" w:hAnsi="宋体" w:eastAsia="宋体" w:cs="宋体"/>
                <w:b/>
                <w:snapToGrid w:val="0"/>
                <w:color w:val="auto"/>
                <w:kern w:val="2"/>
                <w:sz w:val="24"/>
                <w:szCs w:val="24"/>
                <w:highlight w:val="none"/>
                <w:lang w:val="en-US" w:eastAsia="zh-CN" w:bidi="ar-SA"/>
              </w:rPr>
              <w:t>采购人、采购代理机构不强制或变相强制投标人提交备份投标文件。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850"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特别说明</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8"/>
                <w:sz w:val="24"/>
                <w:szCs w:val="24"/>
                <w:highlight w:val="none"/>
                <w:lang w:val="en-US" w:eastAsia="zh-CN"/>
              </w:rPr>
            </w:pPr>
            <w:r>
              <w:rPr>
                <w:rFonts w:hint="eastAsia" w:ascii="宋体" w:hAnsi="宋体" w:eastAsia="宋体" w:cs="宋体"/>
                <w:snapToGrid w:val="0"/>
                <w:color w:val="auto"/>
                <w:kern w:val="28"/>
                <w:sz w:val="24"/>
                <w:szCs w:val="24"/>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999" w:hRule="atLeast"/>
          <w:tblHeader/>
          <w:jc w:val="center"/>
        </w:trPr>
        <w:tc>
          <w:tcPr>
            <w:tcW w:w="8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中标服务费</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采购代理单位按下表中服务招标标准（按差额定率累进法计算），根据预算金额，分别向中标人收取中标服务费。</w:t>
            </w:r>
          </w:p>
          <w:tbl>
            <w:tblPr>
              <w:tblStyle w:val="63"/>
              <w:tblW w:w="5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00"/>
              <w:gridCol w:w="832"/>
              <w:gridCol w:w="859"/>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jc w:val="center"/>
              </w:trPr>
              <w:tc>
                <w:tcPr>
                  <w:tcW w:w="3300"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30000" to="152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18"/>
                      <w:szCs w:val="18"/>
                      <w:highlight w:val="none"/>
                    </w:rPr>
                  </w:pP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金额</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mc:AlternateContent>
                      <mc:Choice Requires="wpsCustomData">
                        <wpsCustomData:diagonalParaType/>
                      </mc:Choice>
                    </mc:AlternateConten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mc:AlternateContent>
                      <mc:Choice Requires="wpsCustomData">
                        <wpsCustomData:diagonalParaType/>
                      </mc:Choice>
                    </mc:AlternateConten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费率</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服务</w:t>
                  </w:r>
                  <w:r>
                    <w:rPr>
                      <w:rFonts w:hint="eastAsia" w:ascii="宋体" w:hAnsi="宋体" w:eastAsia="宋体" w:cs="宋体"/>
                      <w:color w:val="auto"/>
                      <w:kern w:val="0"/>
                      <w:sz w:val="18"/>
                      <w:szCs w:val="18"/>
                      <w:highlight w:val="none"/>
                      <w:lang w:val="en-US" w:eastAsia="zh-CN"/>
                    </w:rPr>
                    <w:t>类型</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货物</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w:t>
                  </w:r>
                </w:p>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100以下</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100-500</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0.8%</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500-1000</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0.8%</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0.45%</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1000-5000</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0.5%</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0.25%</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5000-10000</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0.25%</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0.1%</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9" w:hRule="atLeast"/>
                <w:jc w:val="center"/>
              </w:trPr>
              <w:tc>
                <w:tcPr>
                  <w:tcW w:w="33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1亿～5亿</w:t>
                  </w:r>
                </w:p>
              </w:tc>
              <w:tc>
                <w:tcPr>
                  <w:tcW w:w="83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0.05%</w:t>
                  </w:r>
                </w:p>
              </w:tc>
              <w:tc>
                <w:tcPr>
                  <w:tcW w:w="85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0.05%</w:t>
                  </w:r>
                </w:p>
              </w:tc>
              <w:tc>
                <w:tcPr>
                  <w:tcW w:w="83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val="0"/>
                    <w:spacing w:line="360" w:lineRule="exact"/>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0.05%</w:t>
                  </w:r>
                </w:p>
              </w:tc>
            </w:tr>
          </w:tbl>
          <w:p>
            <w:pPr>
              <w:keepNext w:val="0"/>
              <w:keepLines w:val="0"/>
              <w:pageBreakBefore w:val="0"/>
              <w:widowControl w:val="0"/>
              <w:kinsoku/>
              <w:wordWrap/>
              <w:overflowPunct/>
              <w:topLinePunct w:val="0"/>
              <w:autoSpaceDE/>
              <w:autoSpaceDN/>
              <w:bidi w:val="0"/>
              <w:adjustRightInd w:val="0"/>
              <w:spacing w:line="360" w:lineRule="exact"/>
              <w:ind w:firstLine="0" w:firstLineChars="0"/>
              <w:jc w:val="both"/>
              <w:textAlignment w:val="auto"/>
              <w:rPr>
                <w:rFonts w:hint="eastAsia" w:ascii="宋体" w:hAnsi="宋体" w:eastAsia="宋体" w:cs="宋体"/>
                <w:snapToGrid w:val="0"/>
                <w:color w:val="auto"/>
                <w:kern w:val="28"/>
                <w:sz w:val="24"/>
                <w:szCs w:val="24"/>
                <w:highlight w:val="none"/>
                <w:lang w:val="en-US" w:eastAsia="zh-CN"/>
              </w:rPr>
            </w:pPr>
            <w:r>
              <w:rPr>
                <w:rFonts w:hint="eastAsia" w:ascii="宋体" w:hAnsi="宋体" w:eastAsia="宋体" w:cs="宋体"/>
                <w:snapToGrid w:val="0"/>
                <w:color w:val="auto"/>
                <w:kern w:val="28"/>
                <w:sz w:val="24"/>
                <w:szCs w:val="24"/>
                <w:highlight w:val="none"/>
                <w:lang w:val="en-US" w:eastAsia="zh-CN"/>
              </w:rPr>
              <w:t>中标服务费只收现金、银行票汇款、电汇款。</w:t>
            </w:r>
          </w:p>
        </w:tc>
      </w:tr>
    </w:tbl>
    <w:p>
      <w:pPr>
        <w:snapToGrid w:val="0"/>
        <w:spacing w:line="360" w:lineRule="auto"/>
        <w:jc w:val="center"/>
        <w:rPr>
          <w:rFonts w:ascii="宋体" w:hAnsi="宋体" w:cs="宋体"/>
          <w:b/>
          <w:color w:val="auto"/>
          <w:sz w:val="32"/>
          <w:szCs w:val="20"/>
          <w:highlight w:val="none"/>
        </w:rPr>
      </w:pPr>
    </w:p>
    <w:bookmarkEnd w:id="9"/>
    <w:p>
      <w:pPr>
        <w:pageBreakBefore w:val="0"/>
        <w:kinsoku/>
        <w:wordWrap/>
        <w:overflowPunct/>
        <w:topLinePunct w:val="0"/>
        <w:bidi w:val="0"/>
        <w:adjustRightInd/>
        <w:spacing w:beforeAutospacing="0" w:line="360" w:lineRule="auto"/>
        <w:jc w:val="center"/>
        <w:textAlignment w:val="auto"/>
        <w:outlineLvl w:val="0"/>
        <w:rPr>
          <w:rFonts w:ascii="宋体" w:hAnsi="宋体" w:cs="宋体"/>
          <w:b/>
          <w:color w:val="auto"/>
          <w:sz w:val="32"/>
          <w:szCs w:val="20"/>
          <w:highlight w:val="none"/>
        </w:rPr>
      </w:pPr>
      <w:bookmarkStart w:id="10" w:name="第三部分"/>
      <w:bookmarkStart w:id="11" w:name="_Toc164416483"/>
      <w:r>
        <w:rPr>
          <w:rFonts w:hint="eastAsia" w:ascii="宋体" w:hAnsi="宋体" w:cs="宋体"/>
          <w:b/>
          <w:color w:val="auto"/>
          <w:sz w:val="32"/>
          <w:szCs w:val="20"/>
          <w:highlight w:val="none"/>
        </w:rPr>
        <w:t>一、总则</w:t>
      </w:r>
    </w:p>
    <w:p>
      <w:pPr>
        <w:pageBreakBefore w:val="0"/>
        <w:kinsoku/>
        <w:wordWrap/>
        <w:overflowPunct/>
        <w:topLinePunct w:val="0"/>
        <w:bidi w:val="0"/>
        <w:snapToGrid w:val="0"/>
        <w:spacing w:beforeAutospacing="0" w:line="360" w:lineRule="auto"/>
        <w:ind w:left="0" w:leftChars="0" w:firstLine="482" w:firstLineChars="200"/>
        <w:jc w:val="both"/>
        <w:textAlignment w:val="auto"/>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pageBreakBefore w:val="0"/>
        <w:numPr>
          <w:ilvl w:val="0"/>
          <w:numId w:val="1"/>
        </w:numPr>
        <w:kinsoku/>
        <w:wordWrap/>
        <w:overflowPunct/>
        <w:topLinePunct w:val="0"/>
        <w:bidi w:val="0"/>
        <w:adjustRightInd/>
        <w:spacing w:beforeAutospacing="0" w:line="360" w:lineRule="auto"/>
        <w:ind w:left="0" w:leftChars="0" w:firstLine="482" w:firstLineChars="200"/>
        <w:jc w:val="both"/>
        <w:textAlignment w:val="auto"/>
        <w:outlineLvl w:val="0"/>
        <w:rPr>
          <w:rFonts w:ascii="宋体" w:hAnsi="宋体" w:cs="宋体"/>
          <w:b/>
          <w:color w:val="auto"/>
          <w:sz w:val="24"/>
          <w:highlight w:val="none"/>
        </w:rPr>
      </w:pPr>
      <w:r>
        <w:rPr>
          <w:rFonts w:hint="eastAsia" w:ascii="宋体" w:hAnsi="宋体" w:cs="宋体"/>
          <w:b/>
          <w:color w:val="auto"/>
          <w:sz w:val="24"/>
          <w:highlight w:val="none"/>
        </w:rPr>
        <w:t>定义</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2.5</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2.6</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pageBreakBefore w:val="0"/>
        <w:kinsoku/>
        <w:wordWrap/>
        <w:overflowPunct/>
        <w:topLinePunct w:val="0"/>
        <w:bidi w:val="0"/>
        <w:spacing w:beforeAutospacing="0" w:line="360" w:lineRule="auto"/>
        <w:ind w:left="0" w:leftChars="0"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3.2 支持绿色发展</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b/>
          <w:color w:val="auto"/>
          <w:sz w:val="24"/>
          <w:highlight w:val="none"/>
        </w:rPr>
      </w:pPr>
      <w:r>
        <w:rPr>
          <w:rFonts w:hint="eastAsia" w:ascii="宋体" w:hAnsi="宋体" w:cs="宋体"/>
          <w:color w:val="auto"/>
          <w:sz w:val="24"/>
          <w:highlight w:val="none"/>
        </w:rPr>
        <w:t>3.2.1</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3.2.3</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支持中小企业发展</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3.3.1</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pageBreakBefore w:val="0"/>
        <w:widowControl/>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bCs/>
          <w:color w:val="auto"/>
          <w:sz w:val="24"/>
          <w:highlight w:val="none"/>
          <w:lang w:val="en-US" w:eastAsia="zh-CN"/>
        </w:rPr>
        <w:t xml:space="preserve"> </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3.3.3</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3.3.4</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3.3.5</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3.3.6</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3.3.7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中小企业享受扶持政策获得政府采购合同的，小微企业不得将合同分包给大中型企业，中型企业不得将合同分包给大型企业。</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color w:val="auto"/>
          <w:sz w:val="24"/>
          <w:highlight w:val="none"/>
          <w:lang w:val="en-US" w:eastAsia="zh-CN"/>
        </w:rPr>
        <w:t xml:space="preserve"> </w:t>
      </w:r>
      <w:r>
        <w:rPr>
          <w:rFonts w:hint="eastAsia" w:ascii="宋体" w:hAnsi="宋体" w:cs="宋体"/>
          <w:bCs/>
          <w:color w:val="auto"/>
          <w:sz w:val="24"/>
          <w:highlight w:val="none"/>
        </w:rPr>
        <w:t>支持创新发展</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3.4.2</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3.5</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平等对待内外资企业和符合条件的破产重整企业</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pageBreakBefore w:val="0"/>
        <w:kinsoku/>
        <w:wordWrap/>
        <w:overflowPunct/>
        <w:topLinePunct w:val="0"/>
        <w:autoSpaceDE w:val="0"/>
        <w:autoSpaceDN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kinsoku/>
        <w:wordWrap/>
        <w:overflowPunct/>
        <w:topLinePunct w:val="0"/>
        <w:autoSpaceDE w:val="0"/>
        <w:autoSpaceDN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供应商询问</w:t>
      </w:r>
    </w:p>
    <w:p>
      <w:pPr>
        <w:pageBreakBefore w:val="0"/>
        <w:kinsoku/>
        <w:wordWrap/>
        <w:overflowPunct/>
        <w:topLinePunct w:val="0"/>
        <w:autoSpaceDE w:val="0"/>
        <w:autoSpaceDN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autoSpaceDE w:val="0"/>
        <w:autoSpaceDN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供应商质疑</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w:t>
      </w:r>
      <w:r>
        <w:rPr>
          <w:rFonts w:hint="eastAsia" w:hAnsi="宋体" w:cs="宋体"/>
          <w:color w:val="auto"/>
          <w:sz w:val="24"/>
          <w:highlight w:val="none"/>
          <w:lang w:val="en-US" w:eastAsia="zh-CN"/>
        </w:rPr>
        <w:t xml:space="preserve"> </w:t>
      </w:r>
      <w:r>
        <w:rPr>
          <w:rFonts w:hint="eastAsia" w:hAnsi="宋体" w:cs="宋体"/>
          <w:color w:val="auto"/>
          <w:sz w:val="24"/>
          <w:highlight w:val="none"/>
        </w:rPr>
        <w:t>提出质疑的供应商应当是参与所质疑项目采购活动的供应商。潜在供应商已依法获取其可质疑的招标文件的，可以对该文件提出质疑。</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int="eastAsia" w:hAnsi="宋体" w:eastAsia="宋体" w:cs="宋体"/>
          <w:color w:val="auto"/>
          <w:sz w:val="24"/>
          <w:highlight w:val="none"/>
          <w:lang w:eastAsia="zh-CN"/>
        </w:rPr>
      </w:pPr>
      <w:r>
        <w:rPr>
          <w:rFonts w:hint="eastAsia" w:hAnsi="宋体" w:cs="宋体"/>
          <w:color w:val="auto"/>
          <w:kern w:val="0"/>
          <w:sz w:val="24"/>
          <w:highlight w:val="none"/>
          <w:lang w:val="zh-CN"/>
        </w:rPr>
        <w:t>4.3</w:t>
      </w:r>
      <w:r>
        <w:rPr>
          <w:rFonts w:hint="eastAsia" w:hAnsi="宋体" w:cs="宋体"/>
          <w:color w:val="auto"/>
          <w:sz w:val="24"/>
          <w:highlight w:val="none"/>
        </w:rPr>
        <w:t>.2</w:t>
      </w:r>
      <w:r>
        <w:rPr>
          <w:rFonts w:hint="eastAsia" w:hAnsi="宋体" w:cs="宋体"/>
          <w:color w:val="auto"/>
          <w:sz w:val="24"/>
          <w:highlight w:val="none"/>
          <w:lang w:val="en-US" w:eastAsia="zh-CN"/>
        </w:rPr>
        <w:t xml:space="preserve"> </w:t>
      </w:r>
      <w:r>
        <w:rPr>
          <w:rFonts w:hint="eastAsia" w:hAnsi="宋体" w:cs="宋体"/>
          <w:color w:val="auto"/>
          <w:sz w:val="24"/>
          <w:highlight w:val="none"/>
        </w:rPr>
        <w:t>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r>
        <w:rPr>
          <w:rFonts w:hint="eastAsia" w:hAnsi="宋体" w:cs="宋体"/>
          <w:color w:val="auto"/>
          <w:sz w:val="24"/>
          <w:highlight w:val="none"/>
          <w:lang w:eastAsia="zh-CN"/>
        </w:rPr>
        <w:t>。</w:t>
      </w:r>
    </w:p>
    <w:p>
      <w:pPr>
        <w:pStyle w:val="7"/>
        <w:pageBreakBefore w:val="0"/>
        <w:kinsoku/>
        <w:wordWrap/>
        <w:overflowPunct/>
        <w:topLinePunct w:val="0"/>
        <w:bidi w:val="0"/>
        <w:spacing w:beforeAutospacing="0" w:line="360" w:lineRule="auto"/>
        <w:ind w:left="0" w:leftChars="0" w:firstLine="480" w:firstLineChars="200"/>
        <w:jc w:val="both"/>
        <w:textAlignment w:val="auto"/>
        <w:rPr>
          <w:rFonts w:hAnsi="宋体" w:cs="宋体"/>
          <w:snapToGrid/>
          <w:color w:val="auto"/>
          <w:kern w:val="2"/>
          <w:sz w:val="24"/>
          <w:highlight w:val="none"/>
        </w:rPr>
      </w:pPr>
      <w:r>
        <w:rPr>
          <w:rFonts w:hint="eastAsia" w:hAnsi="宋体" w:cs="宋体"/>
          <w:snapToGrid/>
          <w:color w:val="auto"/>
          <w:kern w:val="2"/>
          <w:sz w:val="24"/>
          <w:highlight w:val="none"/>
        </w:rPr>
        <w:t>4.3.2.1</w:t>
      </w:r>
      <w:r>
        <w:rPr>
          <w:rFonts w:hint="eastAsia" w:hAnsi="宋体" w:cs="宋体"/>
          <w:snapToGrid/>
          <w:color w:val="auto"/>
          <w:kern w:val="2"/>
          <w:sz w:val="24"/>
          <w:highlight w:val="none"/>
          <w:lang w:val="en-US" w:eastAsia="zh-CN"/>
        </w:rPr>
        <w:t xml:space="preserve"> </w:t>
      </w:r>
      <w:r>
        <w:rPr>
          <w:rFonts w:hint="eastAsia" w:hAnsi="宋体" w:cs="宋体"/>
          <w:snapToGrid/>
          <w:color w:val="auto"/>
          <w:kern w:val="2"/>
          <w:sz w:val="24"/>
          <w:highlight w:val="none"/>
        </w:rPr>
        <w:t>对招标文件提出质疑的，质疑期限为供应商获得招标文件之日或者招标文件公告期限届满之日起计算。</w:t>
      </w:r>
    </w:p>
    <w:p>
      <w:pPr>
        <w:pStyle w:val="3"/>
        <w:pageBreakBefore w:val="0"/>
        <w:kinsoku/>
        <w:wordWrap/>
        <w:overflowPunct/>
        <w:topLinePunct w:val="0"/>
        <w:bidi w:val="0"/>
        <w:spacing w:beforeAutospacing="0" w:line="360" w:lineRule="auto"/>
        <w:ind w:left="479" w:leftChars="228" w:firstLine="0" w:firstLineChars="0"/>
        <w:jc w:val="both"/>
        <w:textAlignment w:val="auto"/>
        <w:rPr>
          <w:rFonts w:hAnsi="宋体" w:cs="宋体"/>
          <w:color w:val="auto"/>
          <w:sz w:val="24"/>
          <w:highlight w:val="none"/>
        </w:rPr>
      </w:pPr>
      <w:r>
        <w:rPr>
          <w:rFonts w:hint="eastAsia" w:hAnsi="宋体" w:cs="宋体"/>
          <w:color w:val="auto"/>
          <w:sz w:val="24"/>
          <w:highlight w:val="none"/>
        </w:rPr>
        <w:t>4.3.2.2</w:t>
      </w:r>
      <w:r>
        <w:rPr>
          <w:rFonts w:hint="eastAsia" w:hAnsi="宋体" w:cs="宋体"/>
          <w:color w:val="auto"/>
          <w:sz w:val="24"/>
          <w:highlight w:val="none"/>
          <w:lang w:val="en-US" w:eastAsia="zh-CN"/>
        </w:rPr>
        <w:t xml:space="preserve"> </w:t>
      </w:r>
      <w:r>
        <w:rPr>
          <w:rFonts w:hint="eastAsia" w:hAnsi="宋体" w:cs="宋体"/>
          <w:color w:val="auto"/>
          <w:sz w:val="24"/>
          <w:highlight w:val="none"/>
        </w:rPr>
        <w:t>对采购过程提出质疑的，质疑期限为各采购程序环节结束之日起计算。4.3.2.3</w:t>
      </w:r>
      <w:r>
        <w:rPr>
          <w:rFonts w:hint="eastAsia" w:hAnsi="宋体" w:cs="宋体"/>
          <w:color w:val="auto"/>
          <w:sz w:val="24"/>
          <w:highlight w:val="none"/>
          <w:lang w:val="en-US" w:eastAsia="zh-CN"/>
        </w:rPr>
        <w:t xml:space="preserve"> </w:t>
      </w:r>
      <w:r>
        <w:rPr>
          <w:rFonts w:hint="eastAsia" w:hAnsi="宋体" w:cs="宋体"/>
          <w:color w:val="auto"/>
          <w:sz w:val="24"/>
          <w:highlight w:val="none"/>
        </w:rPr>
        <w:t>对采购结果提出质疑的，质疑期限自采购结果公告期限届满之日起计算。</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kern w:val="0"/>
          <w:sz w:val="24"/>
          <w:highlight w:val="none"/>
          <w:lang w:val="en-US" w:eastAsia="zh-CN"/>
        </w:rPr>
        <w:t xml:space="preserve"> </w:t>
      </w:r>
      <w:r>
        <w:rPr>
          <w:rFonts w:hint="eastAsia" w:hAnsi="宋体" w:cs="宋体"/>
          <w:color w:val="auto"/>
          <w:sz w:val="24"/>
          <w:highlight w:val="none"/>
        </w:rPr>
        <w:t>供应商提出质疑应当提交质疑函和必要的证明材料。质疑函应当包括下列内容：</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kern w:val="0"/>
          <w:sz w:val="24"/>
          <w:highlight w:val="none"/>
          <w:lang w:val="zh-CN"/>
        </w:rPr>
      </w:pPr>
      <w:r>
        <w:rPr>
          <w:rFonts w:hint="eastAsia" w:hAnsi="宋体" w:cs="宋体"/>
          <w:color w:val="auto"/>
          <w:kern w:val="0"/>
          <w:sz w:val="24"/>
          <w:highlight w:val="none"/>
          <w:lang w:val="zh-CN"/>
        </w:rPr>
        <w:t>4.3.3.6</w:t>
      </w:r>
      <w:r>
        <w:rPr>
          <w:rFonts w:hint="eastAsia" w:hAnsi="宋体" w:cs="宋体"/>
          <w:color w:val="auto"/>
          <w:kern w:val="0"/>
          <w:sz w:val="24"/>
          <w:highlight w:val="none"/>
          <w:lang w:val="en-US" w:eastAsia="zh-CN"/>
        </w:rPr>
        <w:t xml:space="preserve"> </w:t>
      </w:r>
      <w:r>
        <w:rPr>
          <w:rFonts w:hint="eastAsia" w:hAnsi="宋体" w:cs="宋体"/>
          <w:color w:val="auto"/>
          <w:kern w:val="0"/>
          <w:sz w:val="24"/>
          <w:highlight w:val="none"/>
          <w:lang w:val="zh-CN"/>
        </w:rPr>
        <w:t>提出质疑的日期。</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质疑函范本及制作说明详见附件2。</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4.3.4</w:t>
      </w:r>
      <w:r>
        <w:rPr>
          <w:rFonts w:hint="eastAsia"/>
          <w:color w:val="auto"/>
          <w:highlight w:val="none"/>
          <w:lang w:val="en-US" w:eastAsia="zh-CN"/>
        </w:rPr>
        <w:t xml:space="preserve"> </w:t>
      </w:r>
      <w:r>
        <w:rPr>
          <w:rFonts w:hint="eastAsia"/>
          <w:color w:val="auto"/>
          <w:highlight w:val="none"/>
        </w:rPr>
        <w:t>对同一采购程序环节的质疑，供应商须在法定质疑期内一次性提出。</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lang w:val="zh-CN"/>
        </w:rPr>
        <w:t>4.3</w:t>
      </w:r>
      <w:r>
        <w:rPr>
          <w:rFonts w:hint="eastAsia"/>
          <w:color w:val="auto"/>
          <w:highlight w:val="none"/>
        </w:rPr>
        <w:t>.5</w:t>
      </w:r>
      <w:r>
        <w:rPr>
          <w:rFonts w:hint="eastAsia"/>
          <w:color w:val="auto"/>
          <w:highlight w:val="none"/>
          <w:lang w:val="en-US" w:eastAsia="zh-CN"/>
        </w:rPr>
        <w:t xml:space="preserve"> </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lang w:val="zh-CN"/>
        </w:rPr>
        <w:t>4.3</w:t>
      </w:r>
      <w:r>
        <w:rPr>
          <w:rFonts w:hint="eastAsia"/>
          <w:color w:val="auto"/>
          <w:highlight w:val="none"/>
        </w:rPr>
        <w:t>.6</w:t>
      </w:r>
      <w:r>
        <w:rPr>
          <w:rFonts w:hint="eastAsia"/>
          <w:color w:val="auto"/>
          <w:highlight w:val="none"/>
          <w:lang w:val="en-US" w:eastAsia="zh-CN"/>
        </w:rPr>
        <w:t xml:space="preserve"> </w:t>
      </w:r>
      <w:r>
        <w:rPr>
          <w:rFonts w:hint="eastAsia"/>
          <w:color w:val="auto"/>
          <w:highlight w:val="none"/>
        </w:rPr>
        <w:t>询问或者质疑事项可能影响采购结果的，采购人应当暂停签订合同，已经签订合同的，应当中止履行合同。</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lang w:val="zh-CN"/>
        </w:rPr>
      </w:pPr>
      <w:r>
        <w:rPr>
          <w:rFonts w:hint="eastAsia"/>
          <w:color w:val="auto"/>
          <w:highlight w:val="none"/>
          <w:lang w:val="zh-CN"/>
        </w:rPr>
        <w:t>4.4</w:t>
      </w:r>
      <w:r>
        <w:rPr>
          <w:rFonts w:hint="eastAsia"/>
          <w:color w:val="auto"/>
          <w:highlight w:val="none"/>
          <w:lang w:val="en-US" w:eastAsia="zh-CN"/>
        </w:rPr>
        <w:t xml:space="preserve"> </w:t>
      </w:r>
      <w:r>
        <w:rPr>
          <w:rFonts w:hint="eastAsia"/>
          <w:color w:val="auto"/>
          <w:highlight w:val="none"/>
          <w:lang w:val="zh-CN"/>
        </w:rPr>
        <w:t>供应商投诉</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4.4.1</w:t>
      </w:r>
      <w:r>
        <w:rPr>
          <w:rFonts w:hint="eastAsia"/>
          <w:color w:val="auto"/>
          <w:highlight w:val="none"/>
          <w:lang w:val="en-US" w:eastAsia="zh-CN"/>
        </w:rPr>
        <w:t xml:space="preserve"> </w:t>
      </w:r>
      <w:r>
        <w:rPr>
          <w:rFonts w:hint="eastAsia"/>
          <w:color w:val="auto"/>
          <w:highlight w:val="none"/>
        </w:rPr>
        <w:t>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lang w:val="en-US" w:eastAsia="zh-CN"/>
        </w:rPr>
        <w:t xml:space="preserve"> </w:t>
      </w:r>
      <w:r>
        <w:rPr>
          <w:rFonts w:hint="eastAsia"/>
          <w:color w:val="auto"/>
          <w:highlight w:val="none"/>
        </w:rPr>
        <w:t>供应商投诉的事项不得超出已质疑事项的范围，基于质疑答复内容提出的投诉事项除外。</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4.4.3</w:t>
      </w:r>
      <w:r>
        <w:rPr>
          <w:rFonts w:hint="eastAsia"/>
          <w:color w:val="auto"/>
          <w:highlight w:val="none"/>
          <w:lang w:val="en-US" w:eastAsia="zh-CN"/>
        </w:rPr>
        <w:t xml:space="preserve"> </w:t>
      </w:r>
      <w:r>
        <w:rPr>
          <w:rFonts w:hint="eastAsia"/>
          <w:color w:val="auto"/>
          <w:highlight w:val="none"/>
        </w:rPr>
        <w:t>供应商投诉应当有明确的请求和必要的证明材料。</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4.4.4</w:t>
      </w:r>
      <w:r>
        <w:rPr>
          <w:rFonts w:hint="eastAsia"/>
          <w:color w:val="auto"/>
          <w:highlight w:val="none"/>
          <w:lang w:val="en-US" w:eastAsia="zh-CN"/>
        </w:rPr>
        <w:t xml:space="preserve"> </w:t>
      </w:r>
      <w:r>
        <w:rPr>
          <w:rFonts w:hint="eastAsia"/>
          <w:color w:val="auto"/>
          <w:highlight w:val="none"/>
        </w:rPr>
        <w:t>以联合体形式参加政府采购活动的，其投诉应当由组成联合体的所有供应商共同提出。</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投诉材料可寄送至</w:t>
      </w:r>
      <w:r>
        <w:rPr>
          <w:rFonts w:hint="eastAsia"/>
          <w:color w:val="auto"/>
          <w:highlight w:val="none"/>
          <w:lang w:eastAsia="zh-CN"/>
        </w:rPr>
        <w:t>：</w:t>
      </w:r>
      <w:r>
        <w:rPr>
          <w:rFonts w:hint="eastAsia" w:ascii="宋体" w:hAnsi="宋体" w:cs="宋体"/>
          <w:color w:val="auto"/>
          <w:sz w:val="24"/>
          <w:highlight w:val="none"/>
        </w:rPr>
        <w:t>宁海县政府采购管理办公室</w:t>
      </w:r>
      <w:r>
        <w:rPr>
          <w:rFonts w:hint="eastAsia"/>
          <w:color w:val="auto"/>
          <w:highlight w:val="none"/>
        </w:rPr>
        <w:t>，地址：</w:t>
      </w:r>
      <w:r>
        <w:rPr>
          <w:rFonts w:hint="eastAsia" w:ascii="宋体" w:hAnsi="宋体" w:cs="宋体"/>
          <w:color w:val="auto"/>
          <w:sz w:val="24"/>
          <w:highlight w:val="none"/>
        </w:rPr>
        <w:t>宁海县跃龙街道桃源中路218号</w:t>
      </w:r>
      <w:r>
        <w:rPr>
          <w:rFonts w:hint="eastAsia"/>
          <w:color w:val="auto"/>
          <w:highlight w:val="none"/>
        </w:rPr>
        <w:t>，收件人：</w:t>
      </w:r>
      <w:r>
        <w:rPr>
          <w:rFonts w:hint="eastAsia" w:ascii="宋体" w:hAnsi="宋体" w:cs="宋体"/>
          <w:color w:val="auto"/>
          <w:sz w:val="24"/>
          <w:highlight w:val="none"/>
        </w:rPr>
        <w:t>王老师</w:t>
      </w:r>
      <w:r>
        <w:rPr>
          <w:rFonts w:hint="eastAsia"/>
          <w:color w:val="auto"/>
          <w:highlight w:val="none"/>
        </w:rPr>
        <w:t>，电话</w:t>
      </w:r>
      <w:r>
        <w:rPr>
          <w:rFonts w:hint="eastAsia"/>
          <w:color w:val="auto"/>
          <w:highlight w:val="none"/>
          <w:lang w:val="en-US" w:eastAsia="zh-CN"/>
        </w:rPr>
        <w:t>：</w:t>
      </w:r>
      <w:r>
        <w:rPr>
          <w:rFonts w:hint="eastAsia" w:ascii="宋体" w:hAnsi="宋体" w:cs="宋体"/>
          <w:color w:val="auto"/>
          <w:sz w:val="24"/>
          <w:highlight w:val="none"/>
        </w:rPr>
        <w:t>0574-65265668</w:t>
      </w:r>
      <w:r>
        <w:rPr>
          <w:rFonts w:hint="eastAsia"/>
          <w:color w:val="auto"/>
          <w:highlight w:val="none"/>
        </w:rPr>
        <w:t>。</w:t>
      </w:r>
    </w:p>
    <w:p>
      <w:pPr>
        <w:pStyle w:val="888"/>
        <w:pageBreakBefore w:val="0"/>
        <w:shd w:val="clear" w:color="auto" w:fill="FFFFFF"/>
        <w:kinsoku/>
        <w:wordWrap/>
        <w:overflowPunct/>
        <w:topLinePunct w:val="0"/>
        <w:bidi w:val="0"/>
        <w:snapToGrid w:val="0"/>
        <w:spacing w:before="0" w:beforeAutospacing="0" w:after="0" w:afterAutospacing="0" w:line="360" w:lineRule="auto"/>
        <w:ind w:left="0" w:leftChars="0" w:firstLine="480" w:firstLineChars="200"/>
        <w:contextualSpacing/>
        <w:jc w:val="both"/>
        <w:textAlignment w:val="auto"/>
        <w:rPr>
          <w:rFonts w:hint="eastAsia"/>
          <w:color w:val="auto"/>
          <w:highlight w:val="none"/>
        </w:rPr>
      </w:pPr>
      <w:r>
        <w:rPr>
          <w:rFonts w:hint="eastAsia"/>
          <w:color w:val="auto"/>
          <w:highlight w:val="none"/>
        </w:rPr>
        <w:t>投诉书范本及制作说明详见附件3。</w:t>
      </w:r>
    </w:p>
    <w:p>
      <w:pPr>
        <w:pStyle w:val="132"/>
        <w:pageBreakBefore w:val="0"/>
        <w:kinsoku/>
        <w:wordWrap/>
        <w:overflowPunct/>
        <w:topLinePunct w:val="0"/>
        <w:bidi w:val="0"/>
        <w:snapToGrid w:val="0"/>
        <w:spacing w:before="0" w:beforeAutospacing="0" w:line="360" w:lineRule="auto"/>
        <w:ind w:left="0" w:leftChars="0" w:firstLine="360" w:firstLineChars="200"/>
        <w:jc w:val="both"/>
        <w:textAlignment w:val="auto"/>
        <w:rPr>
          <w:rFonts w:ascii="宋体" w:hAnsi="宋体" w:cs="宋体"/>
          <w:color w:val="auto"/>
          <w:sz w:val="18"/>
          <w:szCs w:val="18"/>
          <w:highlight w:val="none"/>
        </w:rPr>
      </w:pPr>
    </w:p>
    <w:p>
      <w:pPr>
        <w:pStyle w:val="132"/>
        <w:pageBreakBefore w:val="0"/>
        <w:kinsoku/>
        <w:wordWrap/>
        <w:overflowPunct/>
        <w:topLinePunct w:val="0"/>
        <w:bidi w:val="0"/>
        <w:snapToGrid w:val="0"/>
        <w:spacing w:before="0" w:beforeAutospacing="0" w:line="360" w:lineRule="auto"/>
        <w:ind w:left="0" w:leftChars="0" w:firstLine="360" w:firstLineChars="200"/>
        <w:jc w:val="both"/>
        <w:textAlignment w:val="auto"/>
        <w:rPr>
          <w:rFonts w:ascii="宋体" w:hAnsi="宋体" w:cs="宋体"/>
          <w:color w:val="auto"/>
          <w:sz w:val="18"/>
          <w:szCs w:val="18"/>
          <w:highlight w:val="none"/>
        </w:rPr>
      </w:pPr>
    </w:p>
    <w:p>
      <w:pPr>
        <w:pageBreakBefore w:val="0"/>
        <w:kinsoku/>
        <w:wordWrap/>
        <w:overflowPunct/>
        <w:topLinePunct w:val="0"/>
        <w:bidi w:val="0"/>
        <w:adjustRightInd/>
        <w:spacing w:beforeAutospacing="0" w:line="360" w:lineRule="auto"/>
        <w:jc w:val="center"/>
        <w:textAlignment w:val="auto"/>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5.1.1招标公告；</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5.1.2投标人须知；</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5.1.3采购需求；</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5.1.4评标办法；</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
        <w:pageBreakBefore w:val="0"/>
        <w:tabs>
          <w:tab w:val="left" w:pos="840"/>
        </w:tabs>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ageBreakBefore w:val="0"/>
        <w:kinsoku/>
        <w:wordWrap/>
        <w:overflowPunct/>
        <w:topLinePunct w:val="0"/>
        <w:bidi w:val="0"/>
        <w:adjustRightInd/>
        <w:spacing w:beforeAutospacing="0" w:line="360" w:lineRule="auto"/>
        <w:ind w:left="0" w:leftChars="0" w:firstLine="602" w:firstLineChars="200"/>
        <w:jc w:val="both"/>
        <w:textAlignment w:val="auto"/>
        <w:outlineLvl w:val="0"/>
        <w:rPr>
          <w:rFonts w:hint="eastAsia" w:ascii="宋体" w:hAnsi="宋体" w:cs="宋体"/>
          <w:b/>
          <w:color w:val="auto"/>
          <w:sz w:val="30"/>
          <w:szCs w:val="20"/>
          <w:highlight w:val="none"/>
        </w:rPr>
      </w:pPr>
    </w:p>
    <w:p>
      <w:pPr>
        <w:pageBreakBefore w:val="0"/>
        <w:kinsoku/>
        <w:wordWrap/>
        <w:overflowPunct/>
        <w:topLinePunct w:val="0"/>
        <w:bidi w:val="0"/>
        <w:adjustRightInd/>
        <w:spacing w:beforeAutospacing="0" w:line="360" w:lineRule="auto"/>
        <w:jc w:val="center"/>
        <w:textAlignment w:val="auto"/>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7. 招标文件的获取</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pageBreakBefore w:val="0"/>
        <w:kinsoku/>
        <w:wordWrap/>
        <w:overflowPunct/>
        <w:topLinePunct w:val="0"/>
        <w:bidi w:val="0"/>
        <w:spacing w:beforeAutospacing="0" w:line="360" w:lineRule="auto"/>
        <w:ind w:left="0" w:leftChars="0" w:firstLine="480" w:firstLineChars="200"/>
        <w:jc w:val="both"/>
        <w:textAlignment w:val="auto"/>
        <w:rPr>
          <w:rFonts w:hAnsi="宋体" w:cs="宋体"/>
          <w:color w:val="auto"/>
          <w:sz w:val="24"/>
          <w:highlight w:val="none"/>
        </w:rPr>
      </w:pPr>
      <w:r>
        <w:rPr>
          <w:rFonts w:hint="eastAsia" w:hAnsi="宋体" w:cs="宋体"/>
          <w:color w:val="auto"/>
          <w:sz w:val="24"/>
          <w:highlight w:val="none"/>
        </w:rPr>
        <w:t>本项目不需缴纳投标保证金。</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10. 投标文件的语言</w:t>
      </w:r>
    </w:p>
    <w:p>
      <w:pPr>
        <w:pageBreakBefore w:val="0"/>
        <w:kinsoku/>
        <w:wordWrap/>
        <w:overflowPunct/>
        <w:topLinePunct w:val="0"/>
        <w:autoSpaceDE w:val="0"/>
        <w:autoSpaceDN w:val="0"/>
        <w:bidi w:val="0"/>
        <w:spacing w:beforeAutospacing="0" w:line="360" w:lineRule="auto"/>
        <w:ind w:left="0" w:leftChars="0" w:firstLine="480" w:firstLineChars="200"/>
        <w:jc w:val="both"/>
        <w:textAlignment w:val="auto"/>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11. 投标文件的组成</w:t>
      </w:r>
    </w:p>
    <w:p>
      <w:pPr>
        <w:pageBreakBefore w:val="0"/>
        <w:kinsoku/>
        <w:wordWrap/>
        <w:overflowPunct/>
        <w:topLinePunct w:val="0"/>
        <w:bidi w:val="0"/>
        <w:snapToGrid w:val="0"/>
        <w:spacing w:beforeAutospacing="0" w:line="360" w:lineRule="auto"/>
        <w:ind w:left="0" w:leftChars="0" w:firstLine="482" w:firstLineChars="200"/>
        <w:jc w:val="both"/>
        <w:textAlignment w:val="auto"/>
        <w:rPr>
          <w:rFonts w:ascii="宋体" w:hAnsi="宋体" w:cs="宋体"/>
          <w:b/>
          <w:bCs/>
          <w:color w:val="auto"/>
          <w:sz w:val="24"/>
          <w:highlight w:val="none"/>
        </w:rPr>
      </w:pPr>
      <w:r>
        <w:rPr>
          <w:rFonts w:hint="eastAsia" w:ascii="宋体" w:hAnsi="宋体" w:cs="宋体"/>
          <w:b/>
          <w:bCs/>
          <w:color w:val="auto"/>
          <w:sz w:val="24"/>
          <w:highlight w:val="none"/>
        </w:rPr>
        <w:t>11.1资格文件：</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line="360" w:lineRule="auto"/>
        <w:ind w:left="0" w:leftChars="0" w:firstLine="482" w:firstLineChars="200"/>
        <w:jc w:val="both"/>
        <w:textAlignment w:val="auto"/>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zh-CN"/>
        </w:rPr>
        <w:t>11.</w:t>
      </w:r>
      <w:r>
        <w:rPr>
          <w:rFonts w:hint="eastAsia" w:ascii="宋体" w:hAnsi="宋体" w:eastAsia="宋体" w:cs="宋体"/>
          <w:b/>
          <w:bCs/>
          <w:color w:val="auto"/>
          <w:sz w:val="24"/>
          <w:highlight w:val="none"/>
        </w:rPr>
        <w:t>2商务技术</w:t>
      </w:r>
      <w:r>
        <w:rPr>
          <w:rFonts w:hint="eastAsia" w:ascii="宋体" w:hAnsi="宋体" w:eastAsia="宋体" w:cs="宋体"/>
          <w:b/>
          <w:bCs/>
          <w:color w:val="auto"/>
          <w:sz w:val="24"/>
          <w:highlight w:val="none"/>
          <w:lang w:val="zh-CN"/>
        </w:rPr>
        <w:t>文件：</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11.2.1投标函；</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hint="eastAsia" w:ascii="宋体" w:hAnsi="宋体" w:eastAsia="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w:t>
      </w:r>
      <w:r>
        <w:rPr>
          <w:rFonts w:hint="eastAsia" w:ascii="宋体" w:hAnsi="宋体" w:eastAsia="宋体" w:cs="宋体"/>
          <w:color w:val="auto"/>
          <w:sz w:val="24"/>
          <w:highlight w:val="none"/>
        </w:rPr>
        <w:t>准相应的商务技术资料；</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pageBreakBefore w:val="0"/>
        <w:kinsoku/>
        <w:wordWrap/>
        <w:overflowPunct/>
        <w:topLinePunct w:val="0"/>
        <w:bidi w:val="0"/>
        <w:snapToGrid w:val="0"/>
        <w:spacing w:beforeAutospacing="0" w:line="360" w:lineRule="auto"/>
        <w:ind w:left="0" w:leftChars="0" w:firstLine="482" w:firstLineChars="200"/>
        <w:jc w:val="both"/>
        <w:textAlignment w:val="auto"/>
        <w:rPr>
          <w:rFonts w:ascii="宋体" w:hAnsi="宋体" w:cs="宋体"/>
          <w:b/>
          <w:bCs/>
          <w:color w:val="auto"/>
          <w:sz w:val="24"/>
          <w:highlight w:val="none"/>
          <w:u w:val="single"/>
          <w:lang w:val="zh-CN"/>
        </w:rPr>
      </w:pPr>
      <w:r>
        <w:rPr>
          <w:rFonts w:hint="eastAsia" w:ascii="宋体" w:hAnsi="宋体" w:cs="宋体"/>
          <w:b/>
          <w:bCs/>
          <w:color w:val="auto"/>
          <w:kern w:val="0"/>
          <w:sz w:val="24"/>
          <w:highlight w:val="none"/>
          <w:lang w:val="zh-CN"/>
        </w:rPr>
        <w:t>11.</w:t>
      </w:r>
      <w:r>
        <w:rPr>
          <w:rFonts w:hint="eastAsia" w:ascii="宋体" w:hAnsi="宋体" w:cs="宋体"/>
          <w:b/>
          <w:bCs/>
          <w:color w:val="auto"/>
          <w:kern w:val="0"/>
          <w:sz w:val="24"/>
          <w:highlight w:val="none"/>
        </w:rPr>
        <w:t>3</w:t>
      </w:r>
      <w:r>
        <w:rPr>
          <w:rFonts w:hint="eastAsia" w:ascii="宋体" w:hAnsi="宋体" w:cs="宋体"/>
          <w:b/>
          <w:bCs/>
          <w:color w:val="auto"/>
          <w:sz w:val="24"/>
          <w:highlight w:val="none"/>
        </w:rPr>
        <w:t>报价文件：</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11.3.1开标一览表（报价表）；</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eastAsia="宋体" w:cs="宋体"/>
          <w:color w:val="auto"/>
          <w:sz w:val="24"/>
          <w:highlight w:val="none"/>
        </w:rPr>
        <w:t>1.3.2中小企业声明函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11.3.3</w:t>
      </w:r>
      <w:r>
        <w:rPr>
          <w:rFonts w:hint="eastAsia" w:ascii="宋体" w:hAnsi="宋体" w:eastAsia="宋体" w:cs="宋体"/>
          <w:color w:val="auto"/>
          <w:sz w:val="24"/>
          <w:highlight w:val="none"/>
        </w:rPr>
        <w:t>投标报价明细表</w:t>
      </w:r>
      <w:r>
        <w:rPr>
          <w:rFonts w:hint="eastAsia" w:ascii="宋体" w:hAnsi="宋体" w:eastAsia="宋体" w:cs="宋体"/>
          <w:color w:val="auto"/>
          <w:sz w:val="24"/>
          <w:highlight w:val="none"/>
          <w:lang w:val="en-US" w:eastAsia="zh-CN"/>
        </w:rPr>
        <w:t>。</w:t>
      </w:r>
    </w:p>
    <w:p>
      <w:pPr>
        <w:pageBreakBefore w:val="0"/>
        <w:kinsoku/>
        <w:wordWrap/>
        <w:overflowPunct/>
        <w:topLinePunct w:val="0"/>
        <w:bidi w:val="0"/>
        <w:spacing w:beforeAutospacing="0" w:line="360" w:lineRule="auto"/>
        <w:ind w:left="0" w:leftChars="0"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pageBreakBefore w:val="0"/>
        <w:kinsoku/>
        <w:wordWrap/>
        <w:overflowPunct/>
        <w:topLinePunct w:val="0"/>
        <w:bidi w:val="0"/>
        <w:spacing w:beforeAutospacing="0" w:line="360" w:lineRule="auto"/>
        <w:ind w:left="0" w:leftChars="0" w:firstLine="482" w:firstLineChars="200"/>
        <w:jc w:val="both"/>
        <w:textAlignment w:val="auto"/>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2"/>
        <w:pageBreakBefore w:val="0"/>
        <w:kinsoku/>
        <w:wordWrap/>
        <w:overflowPunct/>
        <w:topLinePunct w:val="0"/>
        <w:bidi w:val="0"/>
        <w:snapToGrid w:val="0"/>
        <w:spacing w:before="0" w:beforeAutospacing="0" w:line="360" w:lineRule="auto"/>
        <w:ind w:left="0" w:leftChars="0" w:firstLine="482" w:firstLineChars="200"/>
        <w:jc w:val="both"/>
        <w:textAlignment w:val="auto"/>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kinsoku/>
        <w:wordWrap/>
        <w:overflowPunct/>
        <w:topLinePunct w:val="0"/>
        <w:bidi w:val="0"/>
        <w:snapToGrid w:val="0"/>
        <w:spacing w:beforeAutospacing="0" w:line="360" w:lineRule="auto"/>
        <w:ind w:left="0" w:leftChars="0"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2"/>
        <w:pageBreakBefore w:val="0"/>
        <w:kinsoku/>
        <w:wordWrap/>
        <w:overflowPunct/>
        <w:topLinePunct w:val="0"/>
        <w:bidi w:val="0"/>
        <w:spacing w:before="0" w:beforeAutospacing="0" w:line="360" w:lineRule="auto"/>
        <w:ind w:left="0" w:leftChars="0" w:firstLine="482" w:firstLineChars="200"/>
        <w:jc w:val="both"/>
        <w:textAlignment w:val="auto"/>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hAnsi="宋体" w:cs="宋体"/>
          <w:b/>
          <w:color w:val="auto"/>
          <w:sz w:val="24"/>
          <w:szCs w:val="24"/>
          <w:highlight w:val="none"/>
        </w:rPr>
        <w:t>15.备份投标文件</w:t>
      </w:r>
      <w:r>
        <w:rPr>
          <w:rFonts w:hint="eastAsia" w:hAnsi="宋体" w:cs="宋体"/>
          <w:b/>
          <w:color w:val="auto"/>
          <w:sz w:val="24"/>
          <w:szCs w:val="24"/>
          <w:highlight w:val="none"/>
          <w:lang w:eastAsia="zh-CN"/>
        </w:rPr>
        <w:t>（文件后缀为：bfbs）</w:t>
      </w:r>
    </w:p>
    <w:p>
      <w:pPr>
        <w:pStyle w:val="3"/>
        <w:pageBreakBefore w:val="0"/>
        <w:kinsoku/>
        <w:wordWrap/>
        <w:overflowPunct/>
        <w:topLinePunct w:val="0"/>
        <w:bidi w:val="0"/>
        <w:spacing w:beforeAutospacing="0" w:line="360" w:lineRule="auto"/>
        <w:ind w:left="0" w:leftChars="0" w:firstLine="480" w:firstLineChars="200"/>
        <w:jc w:val="both"/>
        <w:textAlignment w:val="auto"/>
        <w:rPr>
          <w:rFonts w:hAnsi="宋体" w:cs="宋体"/>
          <w:b/>
          <w:color w:val="auto"/>
          <w:sz w:val="24"/>
          <w:szCs w:val="24"/>
          <w:highlight w:val="none"/>
        </w:rPr>
      </w:pPr>
      <w:r>
        <w:rPr>
          <w:rFonts w:hint="eastAsia" w:hAnsi="宋体" w:cs="宋体"/>
          <w:color w:val="auto"/>
          <w:sz w:val="24"/>
          <w:szCs w:val="24"/>
          <w:highlight w:val="none"/>
        </w:rPr>
        <w:t>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ageBreakBefore w:val="0"/>
        <w:widowControl w:val="0"/>
        <w:kinsoku/>
        <w:wordWrap/>
        <w:overflowPunct/>
        <w:topLinePunct w:val="0"/>
        <w:bidi w:val="0"/>
        <w:adjustRightInd w:val="0"/>
        <w:spacing w:beforeAutospacing="0" w:line="360" w:lineRule="auto"/>
        <w:ind w:left="0" w:leftChars="0" w:firstLine="480" w:firstLineChars="200"/>
        <w:jc w:val="both"/>
        <w:textAlignment w:val="auto"/>
        <w:rPr>
          <w:rFonts w:ascii="宋体" w:hAnsi="宋体" w:eastAsia="宋体" w:cs="宋体"/>
          <w:b/>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15.2备份投标文件须在“政采云投标客户端”制作生成，并储存在</w:t>
      </w:r>
      <w:r>
        <w:rPr>
          <w:rFonts w:hint="eastAsia" w:ascii="宋体" w:hAnsi="宋体" w:eastAsia="宋体" w:cs="宋体"/>
          <w:snapToGrid w:val="0"/>
          <w:color w:val="auto"/>
          <w:kern w:val="2"/>
          <w:sz w:val="24"/>
          <w:szCs w:val="21"/>
          <w:highlight w:val="none"/>
          <w:lang w:val="en-US" w:eastAsia="zh-CN" w:bidi="ar-SA"/>
        </w:rPr>
        <w:t>U盘</w:t>
      </w:r>
      <w:r>
        <w:rPr>
          <w:rFonts w:hint="eastAsia" w:ascii="宋体" w:hAnsi="宋体" w:eastAsia="宋体" w:cs="宋体"/>
          <w:snapToGrid w:val="0"/>
          <w:color w:val="auto"/>
          <w:kern w:val="2"/>
          <w:sz w:val="24"/>
          <w:szCs w:val="24"/>
          <w:highlight w:val="none"/>
          <w:lang w:val="en-US" w:eastAsia="zh-CN" w:bidi="ar-SA"/>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napToGrid w:val="0"/>
          <w:color w:val="auto"/>
          <w:kern w:val="2"/>
          <w:sz w:val="24"/>
          <w:szCs w:val="21"/>
          <w:highlight w:val="none"/>
          <w:lang w:val="en-US" w:eastAsia="zh-CN" w:bidi="ar-SA"/>
        </w:rPr>
        <w:t>不符合上述制作、</w:t>
      </w:r>
      <w:r>
        <w:rPr>
          <w:rFonts w:hint="eastAsia" w:ascii="宋体" w:hAnsi="宋体" w:eastAsia="宋体" w:cs="宋体"/>
          <w:b/>
          <w:snapToGrid w:val="0"/>
          <w:color w:val="auto"/>
          <w:kern w:val="2"/>
          <w:sz w:val="24"/>
          <w:szCs w:val="24"/>
          <w:highlight w:val="none"/>
          <w:lang w:val="en-US" w:eastAsia="zh-CN" w:bidi="ar-SA"/>
        </w:rPr>
        <w:t>存储、密封规定的备份投标文件将被视为无效或者被拒绝接收。</w:t>
      </w:r>
    </w:p>
    <w:p>
      <w:pPr>
        <w:pageBreakBefore w:val="0"/>
        <w:widowControl w:val="0"/>
        <w:kinsoku/>
        <w:wordWrap/>
        <w:overflowPunct/>
        <w:topLinePunct w:val="0"/>
        <w:bidi w:val="0"/>
        <w:adjustRightInd w:val="0"/>
        <w:spacing w:beforeAutospacing="0" w:line="360" w:lineRule="auto"/>
        <w:ind w:left="0" w:leftChars="0" w:firstLine="480" w:firstLineChars="200"/>
        <w:jc w:val="both"/>
        <w:textAlignment w:val="auto"/>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15.3直接提交备份投标文件的，投标人应于投标截止时间前在</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将备份投标文件提交给采购代理机构，采购代理机构将拒绝接受逾期送达的备份投标文件。</w:t>
      </w:r>
    </w:p>
    <w:p>
      <w:pPr>
        <w:pageBreakBefore w:val="0"/>
        <w:widowControl w:val="0"/>
        <w:kinsoku/>
        <w:wordWrap/>
        <w:overflowPunct/>
        <w:topLinePunct w:val="0"/>
        <w:bidi w:val="0"/>
        <w:adjustRightInd w:val="0"/>
        <w:spacing w:beforeAutospacing="0" w:line="360" w:lineRule="auto"/>
        <w:ind w:left="0" w:leftChars="0" w:firstLine="480" w:firstLineChars="200"/>
        <w:jc w:val="both"/>
        <w:textAlignment w:val="auto"/>
        <w:rPr>
          <w:rFonts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15.4以邮政快递方式递交备份投标文件的，投标人应先将备份投标文件按要求密封和标记，再进行邮政快递包装后邮寄。备份投标文件须在</w:t>
      </w:r>
      <w:r>
        <w:rPr>
          <w:rFonts w:hint="eastAsia" w:ascii="宋体" w:hAnsi="宋体" w:eastAsia="宋体" w:cs="宋体"/>
          <w:snapToGrid/>
          <w:color w:val="auto"/>
          <w:kern w:val="2"/>
          <w:sz w:val="24"/>
          <w:szCs w:val="24"/>
          <w:highlight w:val="none"/>
          <w:lang w:val="en-US" w:eastAsia="zh-CN" w:bidi="ar-SA"/>
        </w:rPr>
        <w:t>第二部分投标人须知前附表规定的备份投标文件送达</w:t>
      </w:r>
      <w:r>
        <w:rPr>
          <w:rFonts w:hint="eastAsia" w:ascii="宋体" w:hAnsi="宋体" w:eastAsia="宋体" w:cs="宋体"/>
          <w:snapToGrid w:val="0"/>
          <w:color w:val="auto"/>
          <w:kern w:val="2"/>
          <w:sz w:val="24"/>
          <w:szCs w:val="24"/>
          <w:highlight w:val="none"/>
          <w:lang w:val="en-US" w:eastAsia="zh-CN" w:bidi="ar-SA"/>
        </w:rPr>
        <w:t>截止时间之前送达</w:t>
      </w:r>
      <w:r>
        <w:rPr>
          <w:rFonts w:hint="eastAsia" w:ascii="宋体" w:hAnsi="宋体" w:eastAsia="宋体" w:cs="宋体"/>
          <w:snapToGrid/>
          <w:color w:val="auto"/>
          <w:kern w:val="2"/>
          <w:sz w:val="24"/>
          <w:szCs w:val="24"/>
          <w:highlight w:val="none"/>
          <w:lang w:val="en-US" w:eastAsia="zh-CN" w:bidi="ar-SA"/>
        </w:rPr>
        <w:t>招标文件第二部分投标人须知前附表规定的备份投标文件送达地点；</w:t>
      </w:r>
      <w:r>
        <w:rPr>
          <w:rFonts w:hint="eastAsia" w:ascii="宋体" w:hAnsi="宋体" w:eastAsia="宋体" w:cs="宋体"/>
          <w:snapToGrid w:val="0"/>
          <w:color w:val="auto"/>
          <w:kern w:val="2"/>
          <w:sz w:val="24"/>
          <w:szCs w:val="24"/>
          <w:highlight w:val="none"/>
          <w:lang w:val="en-US" w:eastAsia="zh-CN" w:bidi="ar-SA"/>
        </w:rPr>
        <w:t>送达时间以签收人签收时间为准。采购代理机构将拒绝接受逾期送达的备份投标文件。邮寄过程中，电子备份投标文件发生泄露、遗失、损坏或延期送达等情况的，由投标人自行负责。</w:t>
      </w:r>
    </w:p>
    <w:p>
      <w:pPr>
        <w:pStyle w:val="3"/>
        <w:pageBreakBefore w:val="0"/>
        <w:kinsoku/>
        <w:wordWrap/>
        <w:overflowPunct/>
        <w:topLinePunct w:val="0"/>
        <w:bidi w:val="0"/>
        <w:spacing w:beforeAutospacing="0" w:line="360" w:lineRule="auto"/>
        <w:ind w:left="0" w:leftChars="0" w:firstLine="482" w:firstLineChars="200"/>
        <w:jc w:val="both"/>
        <w:textAlignment w:val="auto"/>
        <w:rPr>
          <w:rFonts w:hAnsi="宋体" w:cs="宋体"/>
          <w:b/>
          <w:color w:val="auto"/>
          <w:sz w:val="24"/>
          <w:szCs w:val="24"/>
          <w:highlight w:val="none"/>
        </w:rPr>
      </w:pPr>
      <w:r>
        <w:rPr>
          <w:rFonts w:hint="eastAsia" w:ascii="宋体" w:hAnsi="宋体" w:eastAsia="宋体" w:cs="宋体"/>
          <w:b/>
          <w:snapToGrid w:val="0"/>
          <w:color w:val="auto"/>
          <w:kern w:val="2"/>
          <w:sz w:val="24"/>
          <w:szCs w:val="24"/>
          <w:highlight w:val="none"/>
          <w:lang w:val="en-US" w:eastAsia="zh-CN" w:bidi="ar-SA"/>
        </w:rPr>
        <w:t>15.5投标人仅提交备份投标文件，未在电子交易平台传输递交投标文件的，投标无效。</w:t>
      </w:r>
    </w:p>
    <w:p>
      <w:pPr>
        <w:pStyle w:val="132"/>
        <w:pageBreakBefore w:val="0"/>
        <w:kinsoku/>
        <w:wordWrap/>
        <w:overflowPunct/>
        <w:topLinePunct w:val="0"/>
        <w:bidi w:val="0"/>
        <w:spacing w:before="0" w:beforeAutospacing="0" w:line="360" w:lineRule="auto"/>
        <w:ind w:left="0" w:leftChars="0" w:firstLine="482" w:firstLineChars="200"/>
        <w:jc w:val="both"/>
        <w:textAlignment w:val="auto"/>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pageBreakBefore w:val="0"/>
        <w:kinsoku/>
        <w:wordWrap/>
        <w:overflowPunct/>
        <w:topLinePunct w:val="0"/>
        <w:bidi w:val="0"/>
        <w:spacing w:beforeAutospacing="0" w:line="360" w:lineRule="auto"/>
        <w:ind w:left="0" w:leftChars="0" w:firstLine="480" w:firstLineChars="200"/>
        <w:jc w:val="both"/>
        <w:textAlignment w:val="auto"/>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2"/>
        <w:pageBreakBefore w:val="0"/>
        <w:kinsoku/>
        <w:wordWrap/>
        <w:overflowPunct/>
        <w:topLinePunct w:val="0"/>
        <w:bidi w:val="0"/>
        <w:spacing w:before="0" w:beforeAutospacing="0" w:line="360" w:lineRule="auto"/>
        <w:ind w:left="0" w:leftChars="0" w:firstLine="482" w:firstLineChars="200"/>
        <w:jc w:val="both"/>
        <w:textAlignment w:val="auto"/>
        <w:rPr>
          <w:rFonts w:ascii="宋体" w:hAnsi="宋体" w:cs="宋体"/>
          <w:b/>
          <w:color w:val="auto"/>
          <w:szCs w:val="24"/>
          <w:highlight w:val="none"/>
        </w:rPr>
      </w:pPr>
      <w:r>
        <w:rPr>
          <w:rFonts w:hint="eastAsia" w:ascii="宋体" w:hAnsi="宋体" w:cs="宋体"/>
          <w:b/>
          <w:color w:val="auto"/>
          <w:szCs w:val="24"/>
          <w:highlight w:val="none"/>
        </w:rPr>
        <w:t>17.投标有效期</w:t>
      </w:r>
    </w:p>
    <w:p>
      <w:pPr>
        <w:pageBreakBefore w:val="0"/>
        <w:kinsoku/>
        <w:wordWrap/>
        <w:overflowPunct/>
        <w:topLinePunct w:val="0"/>
        <w:bidi w:val="0"/>
        <w:spacing w:beforeAutospacing="0" w:line="360" w:lineRule="auto"/>
        <w:ind w:left="0" w:leftChars="0" w:firstLine="480" w:firstLineChars="200"/>
        <w:jc w:val="both"/>
        <w:textAlignment w:val="auto"/>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2"/>
        <w:pageBreakBefore w:val="0"/>
        <w:kinsoku/>
        <w:wordWrap/>
        <w:overflowPunct/>
        <w:topLinePunct w:val="0"/>
        <w:bidi w:val="0"/>
        <w:spacing w:before="0" w:beforeAutospacing="0" w:line="360" w:lineRule="auto"/>
        <w:ind w:left="0" w:leftChars="0" w:firstLine="643" w:firstLineChars="200"/>
        <w:jc w:val="both"/>
        <w:textAlignment w:val="auto"/>
        <w:rPr>
          <w:rFonts w:ascii="宋体" w:hAnsi="宋体" w:cs="宋体"/>
          <w:b/>
          <w:color w:val="auto"/>
          <w:sz w:val="32"/>
          <w:highlight w:val="none"/>
        </w:rPr>
      </w:pPr>
    </w:p>
    <w:p>
      <w:pPr>
        <w:pStyle w:val="132"/>
        <w:pageBreakBefore w:val="0"/>
        <w:kinsoku/>
        <w:wordWrap/>
        <w:overflowPunct/>
        <w:topLinePunct w:val="0"/>
        <w:bidi w:val="0"/>
        <w:spacing w:before="0" w:beforeAutospacing="0" w:line="360" w:lineRule="auto"/>
        <w:ind w:left="0" w:leftChars="0" w:firstLine="0" w:firstLineChars="0"/>
        <w:jc w:val="center"/>
        <w:textAlignment w:val="auto"/>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7"/>
        <w:pageBreakBefore w:val="0"/>
        <w:kinsoku/>
        <w:wordWrap/>
        <w:overflowPunct/>
        <w:topLinePunct w:val="0"/>
        <w:bidi w:val="0"/>
        <w:spacing w:before="0" w:beforeAutospacing="0" w:line="360" w:lineRule="auto"/>
        <w:ind w:left="0" w:leftChars="0" w:firstLine="482" w:firstLineChars="200"/>
        <w:contextualSpacing/>
        <w:jc w:val="both"/>
        <w:textAlignment w:val="auto"/>
        <w:rPr>
          <w:rFonts w:ascii="宋体" w:hAnsi="宋体" w:cs="宋体"/>
          <w:color w:val="auto"/>
          <w:sz w:val="24"/>
          <w:highlight w:val="none"/>
        </w:rPr>
      </w:pPr>
      <w:r>
        <w:rPr>
          <w:rFonts w:hint="eastAsia" w:ascii="宋体" w:hAnsi="宋体" w:cs="宋体"/>
          <w:b/>
          <w:color w:val="auto"/>
          <w:sz w:val="24"/>
          <w:szCs w:val="24"/>
          <w:highlight w:val="none"/>
        </w:rPr>
        <w:t>18.开标</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rPr>
      </w:pPr>
      <w:r>
        <w:rPr>
          <w:rFonts w:hint="eastAsia" w:ascii="宋体" w:hAnsi="宋体" w:cs="宋体"/>
          <w:color w:val="auto"/>
          <w:sz w:val="24"/>
          <w:highlight w:val="none"/>
        </w:rPr>
        <w:t>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18.2.1具体开标程序：</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第一阶段：</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投标截止时间后，供应商登录政府采购云平台，用“项目采购-开标评标”功能对电子投标文件进行在线解密，在线解密电子投标文件时间为开标时间后30分钟内。</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在政府采购云平台开启已解密供应商的“资格文件、商务技术文件”，并做开标记录；</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第二阶段：</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（1）在政府采购云平台宣告第一阶段评审无效供应商名单及理由；</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（2）公布经第一阶段评审符合招标文件要求的供应商的商务技术得分情况；</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（3）在政府采购云平台开启除第一阶段无效标外的供应商的“报价文件”，并做开标记录；</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（4）在政府采购云平台公布评审结果。</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（5）开标会议结束。</w:t>
      </w:r>
    </w:p>
    <w:p>
      <w:pPr>
        <w:pStyle w:val="557"/>
        <w:pageBreakBefore w:val="0"/>
        <w:kinsoku/>
        <w:wordWrap/>
        <w:overflowPunct/>
        <w:topLinePunct w:val="0"/>
        <w:bidi w:val="0"/>
        <w:spacing w:before="0" w:beforeAutospacing="0" w:line="360" w:lineRule="auto"/>
        <w:ind w:left="0" w:leftChars="0" w:firstLine="480" w:firstLineChars="200"/>
        <w:contextualSpacing/>
        <w:jc w:val="both"/>
        <w:textAlignment w:val="auto"/>
        <w:rPr>
          <w:rFonts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ageBreakBefore w:val="0"/>
        <w:widowControl/>
        <w:kinsoku/>
        <w:wordWrap/>
        <w:overflowPunct/>
        <w:topLinePunct w:val="0"/>
        <w:bidi w:val="0"/>
        <w:spacing w:beforeAutospacing="0" w:line="360" w:lineRule="auto"/>
        <w:ind w:left="0" w:leftChars="0" w:firstLine="482" w:firstLineChars="200"/>
        <w:jc w:val="both"/>
        <w:textAlignment w:val="auto"/>
        <w:rPr>
          <w:rFonts w:ascii="宋体" w:hAnsi="宋体" w:cs="宋体"/>
          <w:b/>
          <w:color w:val="auto"/>
          <w:sz w:val="24"/>
          <w:szCs w:val="20"/>
          <w:highlight w:val="none"/>
        </w:rPr>
      </w:pPr>
      <w:r>
        <w:rPr>
          <w:rFonts w:hint="eastAsia" w:ascii="宋体" w:hAnsi="宋体" w:cs="宋体"/>
          <w:b/>
          <w:color w:val="auto"/>
          <w:sz w:val="24"/>
          <w:szCs w:val="20"/>
          <w:highlight w:val="none"/>
        </w:rPr>
        <w:t>19、资格审查</w:t>
      </w:r>
    </w:p>
    <w:p>
      <w:pPr>
        <w:pageBreakBefore w:val="0"/>
        <w:kinsoku/>
        <w:wordWrap/>
        <w:overflowPunct/>
        <w:topLinePunct w:val="0"/>
        <w:bidi w:val="0"/>
        <w:snapToGrid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2"/>
        <w:pageBreakBefore w:val="0"/>
        <w:kinsoku/>
        <w:wordWrap/>
        <w:overflowPunct/>
        <w:topLinePunct w:val="0"/>
        <w:bidi w:val="0"/>
        <w:spacing w:before="0" w:beforeAutospacing="0" w:line="360" w:lineRule="auto"/>
        <w:ind w:left="0" w:leftChars="0" w:firstLine="482" w:firstLineChars="200"/>
        <w:jc w:val="both"/>
        <w:textAlignment w:val="auto"/>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lang w:val="en-US" w:eastAsia="zh-CN"/>
        </w:rPr>
        <w:t>重大税收违法失信主体</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、政府采购严重违法失信行为记录名单的投标人将被拒绝参与政府采购活动。</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2"/>
        <w:pageBreakBefore w:val="0"/>
        <w:kinsoku/>
        <w:wordWrap/>
        <w:overflowPunct/>
        <w:topLinePunct w:val="0"/>
        <w:bidi w:val="0"/>
        <w:spacing w:before="0" w:beforeAutospacing="0" w:line="360" w:lineRule="auto"/>
        <w:ind w:left="0" w:leftChars="0" w:firstLine="480" w:firstLineChars="200"/>
        <w:jc w:val="both"/>
        <w:textAlignment w:val="auto"/>
        <w:rPr>
          <w:rFonts w:ascii="宋体" w:hAnsi="宋体" w:cs="宋体"/>
          <w:color w:val="auto"/>
          <w:kern w:val="0"/>
          <w:szCs w:val="24"/>
          <w:highlight w:val="none"/>
        </w:rPr>
      </w:pPr>
    </w:p>
    <w:p>
      <w:pPr>
        <w:pageBreakBefore w:val="0"/>
        <w:kinsoku/>
        <w:wordWrap/>
        <w:overflowPunct/>
        <w:topLinePunct w:val="0"/>
        <w:bidi w:val="0"/>
        <w:snapToGrid w:val="0"/>
        <w:spacing w:beforeAutospacing="0" w:line="360" w:lineRule="auto"/>
        <w:jc w:val="center"/>
        <w:textAlignment w:val="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pageBreakBefore w:val="0"/>
        <w:kinsoku/>
        <w:wordWrap/>
        <w:overflowPunct/>
        <w:topLinePunct w:val="0"/>
        <w:bidi w:val="0"/>
        <w:spacing w:beforeAutospacing="0" w:line="360" w:lineRule="auto"/>
        <w:ind w:left="0" w:leftChars="0" w:firstLine="482" w:firstLineChars="200"/>
        <w:jc w:val="both"/>
        <w:textAlignment w:val="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pageBreakBefore w:val="0"/>
        <w:kinsoku/>
        <w:wordWrap/>
        <w:overflowPunct/>
        <w:topLinePunct w:val="0"/>
        <w:bidi w:val="0"/>
        <w:snapToGrid w:val="0"/>
        <w:spacing w:beforeAutospacing="0" w:line="360" w:lineRule="auto"/>
        <w:jc w:val="center"/>
        <w:textAlignment w:val="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pageBreakBefore w:val="0"/>
        <w:kinsoku/>
        <w:wordWrap/>
        <w:overflowPunct/>
        <w:topLinePunct w:val="0"/>
        <w:bidi w:val="0"/>
        <w:spacing w:beforeAutospacing="0" w:line="360" w:lineRule="auto"/>
        <w:ind w:left="0" w:leftChars="0" w:firstLine="482" w:firstLineChars="200"/>
        <w:jc w:val="both"/>
        <w:textAlignment w:val="auto"/>
        <w:rPr>
          <w:rFonts w:hint="eastAsia" w:eastAsia="宋体" w:cs="宋体"/>
          <w:b/>
          <w:color w:val="auto"/>
          <w:highlight w:val="none"/>
          <w:lang w:eastAsia="zh-CN"/>
        </w:rPr>
      </w:pPr>
      <w:r>
        <w:rPr>
          <w:rFonts w:hint="eastAsia" w:cs="宋体"/>
          <w:b/>
          <w:color w:val="auto"/>
          <w:highlight w:val="none"/>
        </w:rPr>
        <w:t>22. 确定</w:t>
      </w:r>
      <w:r>
        <w:rPr>
          <w:rFonts w:hint="eastAsia" w:cs="宋体"/>
          <w:b/>
          <w:color w:val="auto"/>
          <w:highlight w:val="none"/>
          <w:lang w:eastAsia="zh-CN"/>
        </w:rPr>
        <w:t>中标人</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pageBreakBefore w:val="0"/>
        <w:kinsoku/>
        <w:wordWrap/>
        <w:overflowPunct/>
        <w:topLinePunct w:val="0"/>
        <w:bidi w:val="0"/>
        <w:snapToGrid w:val="0"/>
        <w:spacing w:before="0" w:beforeAutospacing="0" w:line="360" w:lineRule="auto"/>
        <w:ind w:left="0" w:leftChars="0" w:firstLine="482" w:firstLineChars="200"/>
        <w:jc w:val="both"/>
        <w:textAlignment w:val="auto"/>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pageBreakBefore w:val="0"/>
        <w:widowControl/>
        <w:shd w:val="clear" w:color="auto" w:fill="FFFFFF"/>
        <w:kinsoku/>
        <w:wordWrap/>
        <w:overflowPunct/>
        <w:topLinePunct w:val="0"/>
        <w:bidi w:val="0"/>
        <w:spacing w:beforeAutospacing="0" w:line="360" w:lineRule="auto"/>
        <w:ind w:left="0" w:leftChars="0" w:firstLine="480" w:firstLineChars="200"/>
        <w:jc w:val="both"/>
        <w:textAlignment w:val="auto"/>
        <w:rPr>
          <w:rFonts w:hint="eastAsia"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p>
    <w:p>
      <w:pPr>
        <w:pageBreakBefore w:val="0"/>
        <w:widowControl/>
        <w:shd w:val="clear" w:color="auto" w:fill="FFFFFF"/>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的名称、地址、联系方式，项目名称和项目编号，中标人名称、地址和中标金额，主要中标标的的名称、服务范围、服务要求、服务时间、服务标准，开标记录、</w:t>
      </w:r>
      <w:bookmarkStart w:id="13" w:name="_Hlk101184471"/>
      <w:r>
        <w:rPr>
          <w:rFonts w:hint="eastAsia" w:ascii="宋体" w:hAnsi="宋体" w:cs="宋体"/>
          <w:color w:val="auto"/>
          <w:sz w:val="24"/>
          <w:highlight w:val="none"/>
        </w:rPr>
        <w:t>资格审查情况、评审专家抽取规则、符合性审查情况、</w:t>
      </w:r>
      <w:bookmarkEnd w:id="13"/>
      <w:r>
        <w:rPr>
          <w:rFonts w:hint="eastAsia" w:ascii="宋体" w:hAnsi="宋体" w:cs="宋体"/>
          <w:color w:val="auto"/>
          <w:sz w:val="24"/>
          <w:highlight w:val="none"/>
        </w:rPr>
        <w:t>未中标情况说明、中标公告期限以及评审专家名单、评分汇总及明细。</w:t>
      </w:r>
    </w:p>
    <w:p>
      <w:pPr>
        <w:pageBreakBefore w:val="0"/>
        <w:widowControl/>
        <w:shd w:val="clear" w:color="auto" w:fill="FFFFFF"/>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23.3公告期限为1个工作日。</w:t>
      </w:r>
    </w:p>
    <w:p>
      <w:pPr>
        <w:pageBreakBefore w:val="0"/>
        <w:kinsoku/>
        <w:wordWrap/>
        <w:overflowPunct/>
        <w:topLinePunct w:val="0"/>
        <w:bidi w:val="0"/>
        <w:snapToGrid w:val="0"/>
        <w:spacing w:beforeAutospacing="0" w:line="360" w:lineRule="auto"/>
        <w:ind w:left="0" w:leftChars="0" w:firstLine="643" w:firstLineChars="200"/>
        <w:jc w:val="both"/>
        <w:textAlignment w:val="auto"/>
        <w:rPr>
          <w:rFonts w:ascii="宋体" w:hAnsi="宋体" w:cs="宋体"/>
          <w:b/>
          <w:color w:val="auto"/>
          <w:sz w:val="32"/>
          <w:highlight w:val="none"/>
        </w:rPr>
      </w:pPr>
    </w:p>
    <w:p>
      <w:pPr>
        <w:pageBreakBefore w:val="0"/>
        <w:kinsoku/>
        <w:wordWrap/>
        <w:overflowPunct/>
        <w:topLinePunct w:val="0"/>
        <w:bidi w:val="0"/>
        <w:snapToGrid w:val="0"/>
        <w:spacing w:beforeAutospacing="0" w:line="360" w:lineRule="auto"/>
        <w:jc w:val="center"/>
        <w:textAlignment w:val="auto"/>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pageBreakBefore w:val="0"/>
        <w:kinsoku/>
        <w:wordWrap/>
        <w:overflowPunct/>
        <w:topLinePunct w:val="0"/>
        <w:bidi w:val="0"/>
        <w:spacing w:beforeAutospacing="0" w:line="360" w:lineRule="auto"/>
        <w:ind w:left="0" w:leftChars="0" w:firstLine="482" w:firstLineChars="200"/>
        <w:jc w:val="both"/>
        <w:textAlignment w:val="auto"/>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pageBreakBefore w:val="0"/>
        <w:kinsoku/>
        <w:wordWrap/>
        <w:overflowPunct/>
        <w:topLinePunct w:val="0"/>
        <w:bidi w:val="0"/>
        <w:spacing w:beforeAutospacing="0" w:line="360" w:lineRule="auto"/>
        <w:ind w:left="0" w:leftChars="0" w:firstLine="482" w:firstLineChars="200"/>
        <w:jc w:val="both"/>
        <w:textAlignment w:val="auto"/>
        <w:rPr>
          <w:rFonts w:cs="宋体"/>
          <w:b/>
          <w:color w:val="auto"/>
          <w:highlight w:val="none"/>
        </w:rPr>
      </w:pPr>
      <w:r>
        <w:rPr>
          <w:rFonts w:hint="eastAsia" w:cs="宋体"/>
          <w:b/>
          <w:color w:val="auto"/>
          <w:highlight w:val="none"/>
        </w:rPr>
        <w:t>25. 合同的签订</w:t>
      </w:r>
    </w:p>
    <w:p>
      <w:pPr>
        <w:pageBreakBefore w:val="0"/>
        <w:widowControl/>
        <w:shd w:val="clear" w:color="auto" w:fill="FFFFFF"/>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25.4</w:t>
      </w:r>
      <w:r>
        <w:rPr>
          <w:rFonts w:hint="eastAsia" w:ascii="宋体" w:hAnsi="宋体" w:cs="宋体"/>
          <w:color w:val="auto"/>
          <w:highlight w:val="none"/>
          <w:lang w:eastAsia="zh-CN"/>
        </w:rPr>
        <w:t>中标人</w:t>
      </w:r>
      <w:r>
        <w:rPr>
          <w:rFonts w:hint="eastAsia" w:ascii="宋体" w:hAnsi="宋体" w:cs="宋体"/>
          <w:color w:val="auto"/>
          <w:highlight w:val="none"/>
        </w:rPr>
        <w:t>拒绝与采购人签订合同的，采购人可以按照评审报告推荐的中标或者成交候选人名单排序，确定下一候选人为</w:t>
      </w:r>
      <w:r>
        <w:rPr>
          <w:rFonts w:hint="eastAsia" w:ascii="宋体" w:hAnsi="宋体" w:cs="宋体"/>
          <w:color w:val="auto"/>
          <w:highlight w:val="none"/>
          <w:lang w:eastAsia="zh-CN"/>
        </w:rPr>
        <w:t>中标人</w:t>
      </w:r>
      <w:r>
        <w:rPr>
          <w:rFonts w:hint="eastAsia" w:ascii="宋体" w:hAnsi="宋体" w:cs="宋体"/>
          <w:color w:val="auto"/>
          <w:highlight w:val="none"/>
        </w:rPr>
        <w:t>，也可以重新开展政府采购活动。</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25.5采购合同由采购人与</w:t>
      </w:r>
      <w:r>
        <w:rPr>
          <w:rFonts w:hint="eastAsia" w:ascii="宋体" w:hAnsi="宋体" w:cs="宋体"/>
          <w:color w:val="auto"/>
          <w:highlight w:val="none"/>
          <w:lang w:eastAsia="zh-CN"/>
        </w:rPr>
        <w:t>中标人</w:t>
      </w:r>
      <w:r>
        <w:rPr>
          <w:rFonts w:hint="eastAsia" w:ascii="宋体" w:hAnsi="宋体" w:cs="宋体"/>
          <w:color w:val="auto"/>
          <w:highlight w:val="none"/>
        </w:rPr>
        <w:t>根据招标文件、投标文件等内容通过政府采购电子交易平台在线签订，自动备案。</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由采购人自行选择线上签订或线下签订</w:t>
      </w:r>
      <w:r>
        <w:rPr>
          <w:rFonts w:hint="eastAsia" w:ascii="宋体" w:hAnsi="宋体" w:cs="宋体"/>
          <w:color w:val="auto"/>
          <w:highlight w:val="none"/>
          <w:lang w:eastAsia="zh-CN"/>
        </w:rPr>
        <w:t>）</w:t>
      </w:r>
    </w:p>
    <w:p>
      <w:pPr>
        <w:pStyle w:val="26"/>
        <w:pageBreakBefore w:val="0"/>
        <w:kinsoku/>
        <w:wordWrap/>
        <w:overflowPunct/>
        <w:topLinePunct w:val="0"/>
        <w:bidi w:val="0"/>
        <w:spacing w:beforeAutospacing="0" w:line="360" w:lineRule="auto"/>
        <w:ind w:left="0" w:leftChars="0" w:firstLine="482" w:firstLineChars="200"/>
        <w:jc w:val="both"/>
        <w:textAlignment w:val="auto"/>
        <w:rPr>
          <w:rFonts w:cs="宋体"/>
          <w:b/>
          <w:color w:val="auto"/>
          <w:highlight w:val="none"/>
        </w:rPr>
      </w:pPr>
      <w:r>
        <w:rPr>
          <w:rFonts w:hint="eastAsia" w:cs="宋体"/>
          <w:b/>
          <w:color w:val="auto"/>
          <w:highlight w:val="none"/>
        </w:rPr>
        <w:t>26. 履约保证金</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r>
        <w:rPr>
          <w:rFonts w:hint="eastAsia" w:ascii="宋体" w:hAnsi="宋体" w:cs="宋体"/>
          <w:color w:val="auto"/>
          <w:kern w:val="0"/>
          <w:sz w:val="24"/>
          <w:highlight w:val="none"/>
        </w:rPr>
        <w:t>拟签订的合同文本要求</w:t>
      </w:r>
      <w:r>
        <w:rPr>
          <w:rFonts w:hint="eastAsia" w:ascii="宋体" w:hAnsi="宋体" w:cs="宋体"/>
          <w:color w:val="auto"/>
          <w:kern w:val="0"/>
          <w:sz w:val="24"/>
          <w:highlight w:val="none"/>
          <w:lang w:eastAsia="zh-CN"/>
        </w:rPr>
        <w:t>中标人</w:t>
      </w:r>
      <w:r>
        <w:rPr>
          <w:rFonts w:hint="eastAsia" w:ascii="宋体" w:hAnsi="宋体" w:cs="宋体"/>
          <w:color w:val="auto"/>
          <w:kern w:val="0"/>
          <w:sz w:val="24"/>
          <w:highlight w:val="none"/>
        </w:rPr>
        <w:t>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pageBreakBefore w:val="0"/>
        <w:kinsoku/>
        <w:wordWrap/>
        <w:overflowPunct/>
        <w:topLinePunct w:val="0"/>
        <w:bidi w:val="0"/>
        <w:spacing w:beforeAutospacing="0" w:line="360" w:lineRule="auto"/>
        <w:ind w:left="0" w:leftChars="0" w:firstLine="480" w:firstLineChars="200"/>
        <w:jc w:val="both"/>
        <w:textAlignment w:val="auto"/>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pageBreakBefore w:val="0"/>
        <w:kinsoku/>
        <w:wordWrap/>
        <w:overflowPunct/>
        <w:topLinePunct w:val="0"/>
        <w:bidi w:val="0"/>
        <w:spacing w:beforeAutospacing="0" w:line="360" w:lineRule="auto"/>
        <w:ind w:left="0" w:leftChars="0" w:firstLine="482" w:firstLineChars="200"/>
        <w:jc w:val="both"/>
        <w:textAlignment w:val="auto"/>
        <w:rPr>
          <w:color w:val="auto"/>
          <w:highlight w:val="none"/>
        </w:rPr>
      </w:pPr>
      <w:r>
        <w:rPr>
          <w:rFonts w:ascii="宋体" w:hAnsi="宋体" w:eastAsia="宋体"/>
          <w:b/>
          <w:bCs/>
          <w:color w:val="auto"/>
          <w:sz w:val="24"/>
          <w:szCs w:val="32"/>
          <w:highlight w:val="none"/>
          <w:lang w:val="en-US"/>
        </w:rPr>
        <w:t>27.预付款</w:t>
      </w:r>
    </w:p>
    <w:p>
      <w:pPr>
        <w:pageBreakBefore w:val="0"/>
        <w:kinsoku/>
        <w:wordWrap/>
        <w:overflowPunct/>
        <w:topLinePunct w:val="0"/>
        <w:bidi w:val="0"/>
        <w:adjustRightInd/>
        <w:spacing w:beforeAutospacing="0" w:line="360" w:lineRule="auto"/>
        <w:ind w:left="0" w:leftChars="0" w:firstLine="480" w:firstLineChars="200"/>
        <w:jc w:val="both"/>
        <w:textAlignment w:val="auto"/>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lang w:val="en-US" w:eastAsia="zh-CN"/>
        </w:rPr>
        <w:t>%</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eastAsia="zh-CN"/>
        </w:rPr>
        <w:t>7个工作日内</w:t>
      </w:r>
      <w:r>
        <w:rPr>
          <w:rFonts w:ascii="宋体" w:hAnsi="宋体"/>
          <w:color w:val="auto"/>
          <w:sz w:val="24"/>
          <w:highlight w:val="none"/>
        </w:rPr>
        <w:t>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pageBreakBefore w:val="0"/>
        <w:kinsoku/>
        <w:wordWrap/>
        <w:overflowPunct/>
        <w:topLinePunct w:val="0"/>
        <w:bidi w:val="0"/>
        <w:spacing w:beforeAutospacing="0" w:line="360" w:lineRule="auto"/>
        <w:ind w:left="0" w:leftChars="0" w:firstLine="420" w:firstLineChars="200"/>
        <w:jc w:val="both"/>
        <w:textAlignment w:val="auto"/>
        <w:rPr>
          <w:color w:val="auto"/>
          <w:highlight w:val="none"/>
        </w:rPr>
      </w:pPr>
    </w:p>
    <w:p>
      <w:pPr>
        <w:pageBreakBefore w:val="0"/>
        <w:kinsoku/>
        <w:wordWrap/>
        <w:overflowPunct/>
        <w:topLinePunct w:val="0"/>
        <w:bidi w:val="0"/>
        <w:snapToGrid w:val="0"/>
        <w:spacing w:beforeAutospacing="0" w:line="360" w:lineRule="auto"/>
        <w:ind w:left="0" w:leftChars="0" w:firstLine="643" w:firstLineChars="200"/>
        <w:jc w:val="both"/>
        <w:textAlignment w:val="auto"/>
        <w:rPr>
          <w:rFonts w:ascii="宋体" w:hAnsi="宋体" w:cs="宋体"/>
          <w:b/>
          <w:color w:val="auto"/>
          <w:sz w:val="32"/>
          <w:highlight w:val="none"/>
        </w:rPr>
      </w:pPr>
    </w:p>
    <w:p>
      <w:pPr>
        <w:pageBreakBefore w:val="0"/>
        <w:kinsoku/>
        <w:wordWrap/>
        <w:overflowPunct/>
        <w:topLinePunct w:val="0"/>
        <w:bidi w:val="0"/>
        <w:snapToGrid w:val="0"/>
        <w:spacing w:beforeAutospacing="0" w:line="360" w:lineRule="auto"/>
        <w:ind w:left="0" w:leftChars="0" w:firstLine="643" w:firstLineChars="200"/>
        <w:jc w:val="both"/>
        <w:textAlignment w:val="auto"/>
        <w:rPr>
          <w:rFonts w:hint="eastAsia" w:ascii="宋体" w:hAnsi="宋体" w:cs="宋体"/>
          <w:b/>
          <w:color w:val="auto"/>
          <w:sz w:val="32"/>
          <w:highlight w:val="none"/>
        </w:rPr>
      </w:pPr>
    </w:p>
    <w:p>
      <w:pPr>
        <w:pageBreakBefore w:val="0"/>
        <w:kinsoku/>
        <w:wordWrap/>
        <w:overflowPunct/>
        <w:topLinePunct w:val="0"/>
        <w:bidi w:val="0"/>
        <w:snapToGrid w:val="0"/>
        <w:spacing w:beforeAutospacing="0" w:line="360" w:lineRule="auto"/>
        <w:jc w:val="center"/>
        <w:textAlignment w:val="auto"/>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2"/>
        <w:pageBreakBefore w:val="0"/>
        <w:kinsoku/>
        <w:wordWrap/>
        <w:overflowPunct/>
        <w:topLinePunct w:val="0"/>
        <w:bidi w:val="0"/>
        <w:snapToGrid w:val="0"/>
        <w:spacing w:before="0" w:beforeAutospacing="0" w:line="360" w:lineRule="auto"/>
        <w:ind w:left="0" w:leftChars="0" w:firstLine="482" w:firstLineChars="200"/>
        <w:jc w:val="both"/>
        <w:textAlignment w:val="auto"/>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28.1电子交易平台发生故障而无法登录访问的；</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28.4病毒发作导致不能进行正常操作的；</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pageBreakBefore w:val="0"/>
        <w:kinsoku/>
        <w:wordWrap/>
        <w:overflowPunct/>
        <w:topLinePunct w:val="0"/>
        <w:bidi w:val="0"/>
        <w:snapToGrid w:val="0"/>
        <w:spacing w:before="0" w:beforeAutospacing="0" w:line="360" w:lineRule="auto"/>
        <w:ind w:left="0" w:leftChars="0" w:firstLine="480" w:firstLineChars="200"/>
        <w:jc w:val="both"/>
        <w:textAlignment w:val="auto"/>
        <w:rPr>
          <w:rFonts w:ascii="宋体" w:hAnsi="宋体" w:cs="宋体"/>
          <w:color w:val="auto"/>
          <w:highlight w:val="none"/>
        </w:rPr>
      </w:pPr>
      <w:r>
        <w:rPr>
          <w:rFonts w:hint="eastAsia" w:ascii="宋体" w:hAnsi="宋体" w:cs="宋体"/>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24"/>
          <w:highlight w:val="none"/>
        </w:rPr>
      </w:pPr>
    </w:p>
    <w:p>
      <w:pPr>
        <w:pageBreakBefore w:val="0"/>
        <w:kinsoku/>
        <w:wordWrap/>
        <w:overflowPunct/>
        <w:topLinePunct w:val="0"/>
        <w:bidi w:val="0"/>
        <w:snapToGrid w:val="0"/>
        <w:spacing w:beforeAutospacing="0" w:line="360" w:lineRule="auto"/>
        <w:jc w:val="center"/>
        <w:textAlignment w:val="auto"/>
        <w:rPr>
          <w:rFonts w:ascii="宋体" w:hAnsi="宋体" w:cs="宋体"/>
          <w:b/>
          <w:color w:val="auto"/>
          <w:sz w:val="32"/>
          <w:highlight w:val="none"/>
        </w:rPr>
      </w:pPr>
      <w:r>
        <w:rPr>
          <w:rFonts w:hint="eastAsia" w:ascii="宋体" w:hAnsi="宋体" w:cs="宋体"/>
          <w:b/>
          <w:color w:val="auto"/>
          <w:sz w:val="32"/>
          <w:highlight w:val="none"/>
        </w:rPr>
        <w:t>九、验收</w:t>
      </w:r>
    </w:p>
    <w:p>
      <w:pPr>
        <w:pStyle w:val="26"/>
        <w:pageBreakBefore w:val="0"/>
        <w:kinsoku/>
        <w:wordWrap/>
        <w:overflowPunct/>
        <w:topLinePunct w:val="0"/>
        <w:bidi w:val="0"/>
        <w:spacing w:beforeAutospacing="0" w:line="360" w:lineRule="auto"/>
        <w:ind w:left="0" w:leftChars="0" w:firstLine="482" w:firstLineChars="200"/>
        <w:jc w:val="both"/>
        <w:textAlignment w:val="auto"/>
        <w:rPr>
          <w:rFonts w:cs="宋体"/>
          <w:b/>
          <w:color w:val="auto"/>
          <w:highlight w:val="none"/>
        </w:rPr>
      </w:pPr>
      <w:r>
        <w:rPr>
          <w:rFonts w:hint="eastAsia" w:cs="宋体"/>
          <w:b/>
          <w:color w:val="auto"/>
          <w:highlight w:val="none"/>
        </w:rPr>
        <w:t>30.验收</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pageBreakBefore w:val="0"/>
        <w:tabs>
          <w:tab w:val="left" w:pos="0"/>
        </w:tabs>
        <w:kinsoku/>
        <w:wordWrap/>
        <w:overflowPunct/>
        <w:topLinePunct w:val="0"/>
        <w:bidi w:val="0"/>
        <w:spacing w:beforeAutospacing="0" w:line="360" w:lineRule="auto"/>
        <w:ind w:left="0" w:leftChars="0" w:firstLine="480" w:firstLineChars="200"/>
        <w:jc w:val="both"/>
        <w:textAlignment w:val="auto"/>
        <w:rPr>
          <w:rFonts w:ascii="宋体" w:hAnsi="宋体" w:cs="宋体"/>
          <w:color w:val="auto"/>
          <w:kern w:val="0"/>
          <w:sz w:val="24"/>
          <w:highlight w:val="none"/>
        </w:rPr>
        <w:sectPr>
          <w:footerReference r:id="rId6" w:type="first"/>
          <w:footerReference r:id="rId4" w:type="default"/>
          <w:footerReference r:id="rId5" w:type="even"/>
          <w:pgSz w:w="11905" w:h="16838"/>
          <w:pgMar w:top="1134" w:right="1304" w:bottom="1134" w:left="1304" w:header="850" w:footer="850" w:gutter="283"/>
          <w:pgBorders>
            <w:top w:val="none" w:sz="0" w:space="0"/>
            <w:left w:val="none" w:sz="0" w:space="0"/>
            <w:bottom w:val="none" w:sz="0" w:space="0"/>
            <w:right w:val="none" w:sz="0" w:space="0"/>
          </w:pgBorders>
          <w:pgNumType w:fmt="decimal" w:start="1"/>
          <w:cols w:space="0" w:num="1"/>
          <w:titlePg/>
          <w:rtlGutter w:val="0"/>
          <w:docGrid w:linePitch="312" w:charSpace="0"/>
        </w:sectPr>
      </w:pPr>
      <w:bookmarkStart w:id="14" w:name="_Hlt68057669"/>
      <w:bookmarkEnd w:id="14"/>
      <w:bookmarkStart w:id="15" w:name="_Hlt74729768"/>
      <w:bookmarkEnd w:id="15"/>
      <w:bookmarkStart w:id="16" w:name="_Hlt68072990"/>
      <w:bookmarkEnd w:id="16"/>
      <w:bookmarkStart w:id="17" w:name="_Hlt74714665"/>
      <w:bookmarkEnd w:id="17"/>
      <w:bookmarkStart w:id="18" w:name="_Hlt75236011"/>
      <w:bookmarkEnd w:id="18"/>
      <w:bookmarkStart w:id="19" w:name="_Hlt75236101"/>
      <w:bookmarkEnd w:id="19"/>
      <w:bookmarkStart w:id="20" w:name="_Hlt74730295"/>
      <w:bookmarkEnd w:id="20"/>
      <w:bookmarkStart w:id="21" w:name="_Hlt68073093"/>
      <w:bookmarkEnd w:id="21"/>
      <w:bookmarkStart w:id="22" w:name="_Hlt68072998"/>
      <w:bookmarkEnd w:id="22"/>
      <w:bookmarkStart w:id="23" w:name="_Hlt68403820"/>
      <w:bookmarkEnd w:id="23"/>
      <w:bookmarkStart w:id="24" w:name="_Hlt74707468"/>
      <w:bookmarkEnd w:id="24"/>
      <w:bookmarkStart w:id="25" w:name="_Hlt75236290"/>
      <w:bookmarkEnd w:id="25"/>
    </w:p>
    <w:bookmarkEnd w:id="10"/>
    <w:bookmarkEnd w:id="11"/>
    <w:p>
      <w:pPr>
        <w:spacing w:line="360" w:lineRule="auto"/>
        <w:jc w:val="center"/>
        <w:outlineLvl w:val="0"/>
        <w:rPr>
          <w:rFonts w:ascii="宋体" w:hAnsi="宋体" w:cs="宋体"/>
          <w:b/>
          <w:color w:val="auto"/>
          <w:sz w:val="36"/>
          <w:szCs w:val="36"/>
          <w:highlight w:val="none"/>
        </w:rPr>
      </w:pPr>
      <w:bookmarkStart w:id="26" w:name="第四部分"/>
      <w:r>
        <w:rPr>
          <w:rFonts w:hint="eastAsia" w:ascii="宋体" w:hAnsi="宋体" w:cs="宋体"/>
          <w:b/>
          <w:color w:val="auto"/>
          <w:sz w:val="36"/>
          <w:szCs w:val="36"/>
          <w:highlight w:val="none"/>
        </w:rPr>
        <w:t>第三部分   采购需求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kern w:val="0"/>
          <w:sz w:val="24"/>
          <w:szCs w:val="24"/>
          <w:highlight w:val="none"/>
          <w:lang w:val="en-US" w:eastAsia="zh-CN"/>
        </w:rPr>
      </w:pPr>
      <w:bookmarkStart w:id="27" w:name="_Toc24013"/>
      <w:r>
        <w:rPr>
          <w:rFonts w:hint="eastAsia" w:ascii="宋体" w:hAnsi="宋体" w:eastAsia="宋体" w:cs="宋体"/>
          <w:b/>
          <w:bCs/>
          <w:color w:val="auto"/>
          <w:kern w:val="0"/>
          <w:sz w:val="24"/>
          <w:szCs w:val="24"/>
          <w:highlight w:val="none"/>
        </w:rPr>
        <w:t>前附表</w:t>
      </w:r>
      <w:bookmarkEnd w:id="27"/>
      <w:r>
        <w:rPr>
          <w:rFonts w:hint="eastAsia" w:ascii="宋体" w:hAnsi="宋体" w:eastAsia="宋体" w:cs="宋体"/>
          <w:b/>
          <w:bCs/>
          <w:color w:val="auto"/>
          <w:kern w:val="0"/>
          <w:sz w:val="24"/>
          <w:szCs w:val="24"/>
          <w:highlight w:val="none"/>
          <w:lang w:val="en-US" w:eastAsia="zh-CN"/>
        </w:rPr>
        <w:t>（适用于所有标项）</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206"/>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b/>
                <w:sz w:val="24"/>
                <w:szCs w:val="24"/>
              </w:rPr>
            </w:pPr>
            <w:bookmarkStart w:id="28" w:name="_Toc317685548"/>
            <w:bookmarkStart w:id="29" w:name="_Toc329697494"/>
            <w:r>
              <w:rPr>
                <w:rFonts w:hint="eastAsia" w:ascii="宋体" w:hAnsi="宋体" w:eastAsia="宋体" w:cs="宋体"/>
                <w:b/>
                <w:sz w:val="24"/>
                <w:szCs w:val="24"/>
              </w:rPr>
              <w:t>序号</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b/>
                <w:sz w:val="24"/>
                <w:szCs w:val="24"/>
              </w:rPr>
            </w:pPr>
            <w:r>
              <w:rPr>
                <w:rFonts w:hint="eastAsia" w:ascii="宋体" w:hAnsi="宋体" w:eastAsia="宋体" w:cs="宋体"/>
                <w:b/>
                <w:sz w:val="24"/>
                <w:szCs w:val="24"/>
              </w:rPr>
              <w:t>项目</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b/>
                <w:sz w:val="24"/>
                <w:szCs w:val="24"/>
              </w:rPr>
            </w:pPr>
            <w:r>
              <w:rPr>
                <w:rFonts w:hint="eastAsia" w:ascii="宋体" w:hAnsi="宋体" w:eastAsia="宋体" w:cs="宋体"/>
                <w:b/>
                <w:sz w:val="24"/>
                <w:szCs w:val="24"/>
              </w:rPr>
              <w:t>采购需求</w:t>
            </w:r>
            <w:r>
              <w:rPr>
                <w:rFonts w:hint="eastAsia" w:ascii="宋体" w:hAnsi="宋体" w:eastAsia="宋体" w:cs="宋体"/>
                <w:b/>
                <w:sz w:val="24"/>
                <w:szCs w:val="24"/>
                <w:lang w:eastAsia="zh-CN"/>
              </w:rPr>
              <w:t>、</w:t>
            </w: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采购内容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bCs/>
                <w:sz w:val="24"/>
                <w:szCs w:val="24"/>
              </w:rPr>
              <w:t>详见</w:t>
            </w:r>
            <w:r>
              <w:rPr>
                <w:rFonts w:hint="eastAsia" w:ascii="宋体" w:hAnsi="宋体" w:eastAsia="宋体" w:cs="宋体"/>
                <w:sz w:val="24"/>
                <w:szCs w:val="24"/>
                <w:lang w:eastAsia="zh-CN"/>
              </w:rPr>
              <w:t>本章</w:t>
            </w:r>
            <w:r>
              <w:rPr>
                <w:rFonts w:hint="eastAsia" w:ascii="宋体" w:hAnsi="宋体" w:eastAsia="宋体" w:cs="宋体"/>
                <w:sz w:val="24"/>
                <w:szCs w:val="24"/>
              </w:rPr>
              <w:t>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单位及数量</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1批，分两个标项、两名供应商同时进行服务。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交付或者实施的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时间和地点</w:t>
            </w:r>
          </w:p>
        </w:tc>
        <w:tc>
          <w:tcPr>
            <w:tcW w:w="51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rPr>
                <w:rFonts w:hint="default"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实施</w:t>
            </w:r>
            <w:r>
              <w:rPr>
                <w:rFonts w:hint="eastAsia" w:ascii="宋体" w:hAnsi="宋体" w:eastAsia="宋体" w:cs="宋体"/>
                <w:color w:val="auto"/>
                <w:kern w:val="0"/>
                <w:sz w:val="24"/>
                <w:szCs w:val="24"/>
                <w:lang w:eastAsia="zh-CN"/>
              </w:rPr>
              <w:t>时间：</w:t>
            </w:r>
            <w:r>
              <w:rPr>
                <w:rFonts w:hint="eastAsia" w:ascii="宋体" w:hAnsi="宋体" w:eastAsia="宋体" w:cs="宋体"/>
                <w:bCs/>
                <w:snapToGrid/>
                <w:color w:val="auto"/>
                <w:kern w:val="2"/>
                <w:sz w:val="24"/>
                <w:szCs w:val="24"/>
                <w:highlight w:val="none"/>
                <w:lang w:val="en-US" w:eastAsia="zh-CN" w:bidi="ar-SA"/>
              </w:rPr>
              <w:t>自合同签订之日起三年，合同必须为一年一签。合同应符合政府采购预算安排要求，经批准，并经采购人考核验收通过，双方同意后，方可续签订下一年度的合同。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rPr>
                <w:rFonts w:hint="eastAsia" w:ascii="宋体" w:hAnsi="宋体" w:eastAsia="宋体" w:cs="宋体"/>
                <w:sz w:val="24"/>
                <w:szCs w:val="24"/>
                <w:lang w:eastAsia="zh-CN"/>
              </w:rPr>
            </w:pPr>
            <w:r>
              <w:rPr>
                <w:rFonts w:hint="eastAsia" w:ascii="宋体" w:hAnsi="宋体" w:eastAsia="宋体" w:cs="宋体"/>
                <w:sz w:val="24"/>
                <w:szCs w:val="24"/>
              </w:rPr>
              <w:t>实施地点：</w:t>
            </w:r>
            <w:r>
              <w:rPr>
                <w:rFonts w:hint="eastAsia" w:ascii="宋体" w:hAnsi="宋体" w:eastAsia="宋体" w:cs="宋体"/>
                <w:sz w:val="24"/>
                <w:szCs w:val="24"/>
                <w:lang w:eastAsia="zh-CN"/>
              </w:rPr>
              <w:t>宁海县城区，</w:t>
            </w:r>
            <w:r>
              <w:rPr>
                <w:rFonts w:hint="eastAsia" w:ascii="宋体" w:hAnsi="宋体" w:eastAsia="宋体" w:cs="宋体"/>
                <w:sz w:val="24"/>
                <w:szCs w:val="24"/>
              </w:rPr>
              <w:t>详见本章内容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需实现的功能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或者目标</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bCs/>
                <w:sz w:val="24"/>
                <w:szCs w:val="24"/>
              </w:rPr>
              <w:t>详见</w:t>
            </w:r>
            <w:r>
              <w:rPr>
                <w:rFonts w:hint="eastAsia" w:ascii="宋体" w:hAnsi="宋体" w:eastAsia="宋体" w:cs="宋体"/>
                <w:sz w:val="24"/>
                <w:szCs w:val="24"/>
                <w:lang w:eastAsia="zh-CN"/>
              </w:rPr>
              <w:t>本章</w:t>
            </w:r>
            <w:r>
              <w:rPr>
                <w:rFonts w:hint="eastAsia" w:ascii="宋体" w:hAnsi="宋体" w:eastAsia="宋体" w:cs="宋体"/>
                <w:sz w:val="24"/>
                <w:szCs w:val="24"/>
              </w:rPr>
              <w:t>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执行的标准、规范</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执行</w:t>
            </w:r>
            <w:r>
              <w:rPr>
                <w:rFonts w:hint="eastAsia" w:ascii="宋体" w:hAnsi="宋体" w:eastAsia="宋体" w:cs="宋体"/>
                <w:sz w:val="24"/>
                <w:szCs w:val="24"/>
                <w:lang w:eastAsia="zh-CN"/>
              </w:rPr>
              <w:t>有关</w:t>
            </w:r>
            <w:r>
              <w:rPr>
                <w:rFonts w:hint="eastAsia" w:ascii="宋体" w:hAnsi="宋体" w:eastAsia="宋体" w:cs="宋体"/>
                <w:sz w:val="24"/>
                <w:szCs w:val="24"/>
              </w:rPr>
              <w:t>国家、行业</w:t>
            </w:r>
            <w:r>
              <w:rPr>
                <w:rFonts w:hint="eastAsia" w:ascii="宋体" w:hAnsi="宋体" w:eastAsia="宋体" w:cs="宋体"/>
                <w:sz w:val="24"/>
                <w:szCs w:val="24"/>
                <w:lang w:eastAsia="zh-CN"/>
              </w:rPr>
              <w:t>、</w:t>
            </w:r>
            <w:r>
              <w:rPr>
                <w:rFonts w:hint="eastAsia" w:ascii="宋体" w:hAnsi="宋体" w:eastAsia="宋体" w:cs="宋体"/>
                <w:sz w:val="24"/>
                <w:szCs w:val="24"/>
              </w:rPr>
              <w:t>地方</w:t>
            </w:r>
            <w:r>
              <w:rPr>
                <w:rFonts w:hint="eastAsia" w:ascii="宋体" w:hAnsi="宋体" w:eastAsia="宋体" w:cs="宋体"/>
                <w:sz w:val="24"/>
                <w:szCs w:val="24"/>
                <w:lang w:eastAsia="zh-CN"/>
              </w:rPr>
              <w:t>的标准</w:t>
            </w:r>
            <w:r>
              <w:rPr>
                <w:rFonts w:hint="eastAsia" w:ascii="宋体" w:hAnsi="宋体" w:eastAsia="宋体" w:cs="宋体"/>
                <w:sz w:val="24"/>
                <w:szCs w:val="24"/>
              </w:rPr>
              <w:t>或者</w:t>
            </w:r>
            <w:r>
              <w:rPr>
                <w:rFonts w:hint="eastAsia" w:ascii="宋体" w:hAnsi="宋体" w:eastAsia="宋体" w:cs="宋体"/>
                <w:sz w:val="24"/>
                <w:szCs w:val="24"/>
                <w:lang w:eastAsia="zh-CN"/>
              </w:rPr>
              <w:t>其他</w:t>
            </w:r>
            <w:r>
              <w:rPr>
                <w:rFonts w:hint="eastAsia" w:ascii="宋体" w:hAnsi="宋体" w:eastAsia="宋体" w:cs="宋体"/>
                <w:sz w:val="24"/>
                <w:szCs w:val="24"/>
              </w:rPr>
              <w:t>标准、规范（如有）</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技术要求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详见本章内容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质量、安全要求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详见本章内容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服务标准、期限、效率</w:t>
            </w:r>
            <w:r>
              <w:rPr>
                <w:rFonts w:hint="eastAsia" w:ascii="宋体" w:hAnsi="宋体" w:eastAsia="宋体" w:cs="宋体"/>
                <w:sz w:val="24"/>
                <w:szCs w:val="24"/>
                <w:lang w:eastAsia="zh-CN"/>
              </w:rPr>
              <w:t>等要求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详见本章内容</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验收标准</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lang w:eastAsia="zh-CN"/>
              </w:rPr>
              <w:t>①根据采购</w:t>
            </w:r>
            <w:r>
              <w:rPr>
                <w:rFonts w:hint="eastAsia" w:ascii="宋体" w:hAnsi="宋体" w:eastAsia="宋体" w:cs="宋体"/>
                <w:sz w:val="24"/>
                <w:szCs w:val="24"/>
              </w:rPr>
              <w:t>文件</w:t>
            </w:r>
            <w:r>
              <w:rPr>
                <w:rFonts w:hint="eastAsia" w:ascii="宋体" w:hAnsi="宋体" w:eastAsia="宋体" w:cs="宋体"/>
                <w:sz w:val="24"/>
                <w:szCs w:val="24"/>
                <w:lang w:eastAsia="zh-CN"/>
              </w:rPr>
              <w:t>、</w:t>
            </w:r>
            <w:r>
              <w:rPr>
                <w:rFonts w:hint="eastAsia" w:ascii="宋体" w:hAnsi="宋体" w:eastAsia="宋体" w:cs="宋体"/>
                <w:sz w:val="24"/>
                <w:szCs w:val="24"/>
              </w:rPr>
              <w:t>投标文件及签订的政府采购合同为标准进行验收。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rPr>
              <w:t>②符合采购人及其上级主管部门的</w:t>
            </w:r>
            <w:r>
              <w:rPr>
                <w:rFonts w:hint="eastAsia" w:ascii="宋体" w:hAnsi="宋体" w:eastAsia="宋体" w:cs="宋体"/>
                <w:sz w:val="24"/>
                <w:szCs w:val="24"/>
                <w:lang w:eastAsia="zh-CN"/>
              </w:rPr>
              <w:t>验收</w:t>
            </w:r>
            <w:r>
              <w:rPr>
                <w:rFonts w:hint="eastAsia" w:ascii="宋体" w:hAnsi="宋体" w:eastAsia="宋体" w:cs="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2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现场踏勘</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lang w:eastAsia="zh-CN"/>
              </w:rPr>
            </w:pPr>
            <w:r>
              <w:rPr>
                <w:rFonts w:hint="eastAsia" w:ascii="宋体" w:hAnsi="宋体" w:eastAsia="宋体" w:cs="宋体"/>
                <w:sz w:val="24"/>
                <w:szCs w:val="24"/>
              </w:rPr>
              <w:t>本项目不组织现场</w:t>
            </w:r>
            <w:r>
              <w:rPr>
                <w:rFonts w:hint="eastAsia" w:ascii="宋体" w:hAnsi="宋体" w:eastAsia="宋体" w:cs="宋体"/>
                <w:sz w:val="24"/>
                <w:szCs w:val="24"/>
                <w:lang w:eastAsia="zh-CN"/>
              </w:rPr>
              <w:t>踏勘</w:t>
            </w:r>
            <w:r>
              <w:rPr>
                <w:rFonts w:hint="eastAsia" w:hAnsi="宋体" w:eastAsia="宋体" w:cs="宋体"/>
                <w:sz w:val="24"/>
                <w:szCs w:val="24"/>
                <w:lang w:eastAsia="zh-CN"/>
              </w:rPr>
              <w:t>；</w:t>
            </w:r>
            <w:r>
              <w:rPr>
                <w:rFonts w:hint="eastAsia" w:ascii="宋体" w:hAnsi="宋体" w:eastAsia="宋体" w:cs="宋体"/>
                <w:sz w:val="24"/>
                <w:szCs w:val="24"/>
                <w:lang w:eastAsia="zh-CN"/>
              </w:rPr>
              <w:t>各</w:t>
            </w:r>
            <w:r>
              <w:rPr>
                <w:rFonts w:hint="eastAsia" w:ascii="宋体" w:hAnsi="宋体" w:eastAsia="宋体" w:cs="宋体"/>
                <w:sz w:val="24"/>
                <w:szCs w:val="24"/>
              </w:rPr>
              <w:t>供应商</w:t>
            </w:r>
            <w:r>
              <w:rPr>
                <w:rFonts w:hint="eastAsia" w:ascii="宋体" w:hAnsi="宋体" w:eastAsia="宋体" w:cs="宋体"/>
                <w:sz w:val="24"/>
                <w:szCs w:val="24"/>
                <w:lang w:eastAsia="zh-CN"/>
              </w:rPr>
              <w:t>可</w:t>
            </w:r>
            <w:r>
              <w:rPr>
                <w:rFonts w:hint="eastAsia" w:ascii="宋体" w:hAnsi="宋体" w:eastAsia="宋体" w:cs="宋体"/>
                <w:sz w:val="24"/>
                <w:szCs w:val="24"/>
              </w:rPr>
              <w:t>自行对本项目现场和</w:t>
            </w:r>
            <w:r>
              <w:rPr>
                <w:rFonts w:hint="eastAsia" w:ascii="宋体" w:hAnsi="宋体" w:eastAsia="宋体" w:cs="宋体"/>
                <w:sz w:val="24"/>
                <w:szCs w:val="24"/>
                <w:lang w:eastAsia="zh-CN"/>
              </w:rPr>
              <w:t>周边</w:t>
            </w:r>
            <w:r>
              <w:rPr>
                <w:rFonts w:hint="eastAsia" w:ascii="宋体" w:hAnsi="宋体" w:eastAsia="宋体" w:cs="宋体"/>
                <w:sz w:val="24"/>
                <w:szCs w:val="24"/>
              </w:rPr>
              <w:t>环境进行</w:t>
            </w:r>
            <w:r>
              <w:rPr>
                <w:rFonts w:hint="eastAsia" w:ascii="宋体" w:hAnsi="宋体" w:eastAsia="宋体" w:cs="宋体"/>
                <w:sz w:val="24"/>
                <w:szCs w:val="24"/>
                <w:lang w:eastAsia="zh-CN"/>
              </w:rPr>
              <w:t>踏勘，</w:t>
            </w:r>
            <w:r>
              <w:rPr>
                <w:rFonts w:hint="eastAsia" w:ascii="宋体" w:hAnsi="宋体" w:eastAsia="宋体" w:cs="宋体"/>
                <w:sz w:val="24"/>
                <w:szCs w:val="24"/>
              </w:rPr>
              <w:t>现场</w:t>
            </w:r>
            <w:r>
              <w:rPr>
                <w:rFonts w:hint="eastAsia" w:ascii="宋体" w:hAnsi="宋体" w:eastAsia="宋体" w:cs="宋体"/>
                <w:sz w:val="24"/>
                <w:szCs w:val="24"/>
                <w:lang w:eastAsia="zh-CN"/>
              </w:rPr>
              <w:t>踏勘</w:t>
            </w:r>
            <w:r>
              <w:rPr>
                <w:rFonts w:hint="eastAsia" w:ascii="宋体" w:hAnsi="宋体" w:eastAsia="宋体" w:cs="宋体"/>
                <w:sz w:val="24"/>
                <w:szCs w:val="24"/>
              </w:rPr>
              <w:t>所发生的费用由供应商</w:t>
            </w:r>
            <w:r>
              <w:rPr>
                <w:rFonts w:hint="eastAsia" w:ascii="宋体" w:hAnsi="宋体" w:eastAsia="宋体" w:cs="宋体"/>
                <w:sz w:val="24"/>
                <w:szCs w:val="24"/>
                <w:lang w:eastAsia="zh-CN"/>
              </w:rPr>
              <w:t>自行</w:t>
            </w:r>
            <w:r>
              <w:rPr>
                <w:rFonts w:hint="eastAsia" w:ascii="宋体" w:hAnsi="宋体" w:eastAsia="宋体" w:cs="宋体"/>
                <w:sz w:val="24"/>
                <w:szCs w:val="24"/>
              </w:rPr>
              <w:t>承担</w:t>
            </w:r>
            <w:r>
              <w:rPr>
                <w:rFonts w:hint="eastAsia" w:ascii="宋体" w:hAnsi="宋体" w:eastAsia="宋体" w:cs="宋体"/>
                <w:sz w:val="24"/>
                <w:szCs w:val="24"/>
                <w:lang w:eastAsia="zh-CN"/>
              </w:rPr>
              <w:t>；</w:t>
            </w:r>
            <w:r>
              <w:rPr>
                <w:rFonts w:hint="eastAsia" w:ascii="宋体" w:hAnsi="宋体" w:eastAsia="宋体" w:cs="宋体"/>
                <w:sz w:val="24"/>
                <w:szCs w:val="24"/>
              </w:rPr>
              <w:t>在</w:t>
            </w:r>
            <w:r>
              <w:rPr>
                <w:rFonts w:hint="eastAsia" w:ascii="宋体" w:hAnsi="宋体" w:eastAsia="宋体" w:cs="宋体"/>
                <w:sz w:val="24"/>
                <w:szCs w:val="24"/>
                <w:lang w:eastAsia="zh-CN"/>
              </w:rPr>
              <w:t>踏勘</w:t>
            </w:r>
            <w:r>
              <w:rPr>
                <w:rFonts w:hint="eastAsia" w:ascii="宋体" w:hAnsi="宋体" w:eastAsia="宋体" w:cs="宋体"/>
                <w:sz w:val="24"/>
                <w:szCs w:val="24"/>
              </w:rPr>
              <w:t>过程中</w:t>
            </w:r>
            <w:r>
              <w:rPr>
                <w:rFonts w:hint="eastAsia" w:ascii="宋体" w:hAnsi="宋体" w:eastAsia="宋体" w:cs="宋体"/>
                <w:sz w:val="24"/>
                <w:szCs w:val="24"/>
                <w:lang w:eastAsia="zh-CN"/>
              </w:rPr>
              <w:t>，供应商</w:t>
            </w:r>
            <w:r>
              <w:rPr>
                <w:rFonts w:hint="eastAsia" w:ascii="宋体" w:hAnsi="宋体" w:eastAsia="宋体" w:cs="宋体"/>
                <w:sz w:val="24"/>
                <w:szCs w:val="24"/>
              </w:rPr>
              <w:t>造成的</w:t>
            </w:r>
            <w:r>
              <w:rPr>
                <w:rFonts w:hint="eastAsia" w:ascii="宋体" w:hAnsi="宋体" w:eastAsia="宋体" w:cs="宋体"/>
                <w:sz w:val="24"/>
                <w:szCs w:val="24"/>
                <w:lang w:eastAsia="zh-CN"/>
              </w:rPr>
              <w:t>安全</w:t>
            </w:r>
            <w:r>
              <w:rPr>
                <w:rFonts w:hint="eastAsia" w:ascii="宋体" w:hAnsi="宋体" w:eastAsia="宋体" w:cs="宋体"/>
                <w:sz w:val="24"/>
                <w:szCs w:val="24"/>
              </w:rPr>
              <w:t>、财产损失</w:t>
            </w:r>
            <w:r>
              <w:rPr>
                <w:rFonts w:hint="eastAsia" w:ascii="宋体" w:hAnsi="宋体" w:eastAsia="宋体" w:cs="宋体"/>
                <w:sz w:val="24"/>
                <w:szCs w:val="24"/>
                <w:lang w:eastAsia="zh-CN"/>
              </w:rPr>
              <w:t>等问题由供应商自行承担。</w:t>
            </w:r>
          </w:p>
        </w:tc>
      </w:tr>
    </w:tbl>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br w:type="page"/>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一、重要商务要求一览表</w:t>
      </w:r>
      <w:r>
        <w:rPr>
          <w:rFonts w:hint="eastAsia" w:ascii="宋体" w:hAnsi="宋体" w:eastAsia="宋体" w:cs="宋体"/>
          <w:b/>
          <w:color w:val="auto"/>
          <w:kern w:val="0"/>
          <w:sz w:val="24"/>
          <w:szCs w:val="24"/>
          <w:highlight w:val="none"/>
          <w:lang w:val="en-US" w:eastAsia="zh-CN"/>
        </w:rPr>
        <w:t>（适用于所有标项）</w:t>
      </w:r>
    </w:p>
    <w:bookmarkEnd w:id="28"/>
    <w:bookmarkEnd w:id="29"/>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8"/>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b/>
                <w:bCs/>
                <w:sz w:val="24"/>
                <w:szCs w:val="24"/>
              </w:rPr>
            </w:pPr>
            <w:bookmarkStart w:id="30" w:name="_Toc513103337"/>
            <w:r>
              <w:rPr>
                <w:rFonts w:hint="eastAsia" w:ascii="宋体" w:hAnsi="宋体" w:eastAsia="宋体" w:cs="宋体"/>
                <w:b/>
                <w:bCs/>
                <w:sz w:val="24"/>
                <w:szCs w:val="24"/>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baseline"/>
              <w:rPr>
                <w:rFonts w:hint="eastAsia" w:ascii="宋体" w:hAnsi="宋体" w:eastAsia="宋体" w:cs="宋体"/>
                <w:sz w:val="24"/>
                <w:szCs w:val="24"/>
              </w:rPr>
            </w:pPr>
            <w:r>
              <w:rPr>
                <w:rFonts w:hint="eastAsia" w:ascii="宋体" w:hAnsi="宋体" w:eastAsia="宋体" w:cs="宋体"/>
                <w:sz w:val="24"/>
                <w:szCs w:val="24"/>
              </w:rPr>
              <w:t>1、服务期限及地点</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（1）服务期限</w:t>
            </w:r>
            <w:r>
              <w:rPr>
                <w:rFonts w:hint="eastAsia" w:ascii="宋体" w:hAnsi="宋体" w:eastAsia="宋体" w:cs="宋体"/>
                <w:sz w:val="24"/>
                <w:szCs w:val="24"/>
                <w:lang w:eastAsia="zh-CN"/>
              </w:rPr>
              <w:t>：</w:t>
            </w:r>
            <w:r>
              <w:rPr>
                <w:rFonts w:hint="eastAsia" w:ascii="宋体" w:hAnsi="宋体" w:eastAsia="宋体" w:cs="宋体"/>
                <w:bCs/>
                <w:snapToGrid/>
                <w:color w:val="auto"/>
                <w:kern w:val="2"/>
                <w:sz w:val="24"/>
                <w:szCs w:val="24"/>
                <w:highlight w:val="none"/>
                <w:lang w:val="en-US" w:eastAsia="zh-CN" w:bidi="ar-SA"/>
              </w:rPr>
              <w:t>自合同签订之日起三年，合同必须为一年一签。合同应符合政府采购预算安排要求，经批准，并经采购人考核验收通过，双方同意后，方可续签订下一年度的合同。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（2）实施地点</w:t>
            </w:r>
            <w:r>
              <w:rPr>
                <w:rFonts w:hint="eastAsia" w:ascii="宋体" w:hAnsi="宋体" w:eastAsia="宋体" w:cs="宋体"/>
                <w:sz w:val="24"/>
                <w:szCs w:val="24"/>
                <w:lang w:eastAsia="zh-CN"/>
              </w:rPr>
              <w:t>：除本章内容提到的范围外，还应响应</w:t>
            </w:r>
            <w:r>
              <w:rPr>
                <w:rFonts w:hint="eastAsia" w:ascii="宋体" w:hAnsi="宋体" w:eastAsia="宋体" w:cs="宋体"/>
                <w:sz w:val="24"/>
                <w:szCs w:val="24"/>
              </w:rPr>
              <w:t>采购人</w:t>
            </w:r>
            <w:r>
              <w:rPr>
                <w:rFonts w:hint="eastAsia" w:ascii="宋体" w:hAnsi="宋体" w:eastAsia="宋体" w:cs="宋体"/>
                <w:sz w:val="24"/>
                <w:szCs w:val="24"/>
                <w:lang w:eastAsia="zh-CN"/>
              </w:rPr>
              <w:t>要求增加或减少的范围。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合同签订并满足项目实施条件后，支付合同价的20%作为预付款。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）根据供应商完成相应工作量并出具对应工作成果后，按</w:t>
            </w:r>
            <w:r>
              <w:rPr>
                <w:rFonts w:hint="eastAsia" w:ascii="宋体" w:hAnsi="宋体" w:eastAsia="宋体" w:cs="宋体"/>
                <w:color w:val="auto"/>
                <w:sz w:val="24"/>
                <w:szCs w:val="24"/>
                <w:lang w:val="en-US" w:eastAsia="zh-CN"/>
              </w:rPr>
              <w:t>季度</w:t>
            </w:r>
            <w:r>
              <w:rPr>
                <w:rFonts w:hint="eastAsia" w:ascii="宋体" w:hAnsi="宋体" w:eastAsia="宋体" w:cs="宋体"/>
                <w:color w:val="auto"/>
                <w:sz w:val="24"/>
                <w:szCs w:val="24"/>
                <w:lang w:eastAsia="zh-CN"/>
              </w:rPr>
              <w:t>支付服务报酬；预付款在第一季度结算时扣回。</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）所有工作成果经采购人及其上级部门核查通过后，服务报酬全部付清。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color w:val="auto"/>
                <w:lang w:eastAsia="zh-CN"/>
              </w:rPr>
            </w:pPr>
            <w:r>
              <w:rPr>
                <w:rFonts w:hint="eastAsia" w:ascii="宋体" w:hAnsi="宋体" w:eastAsia="宋体" w:cs="宋体"/>
                <w:color w:val="auto"/>
                <w:sz w:val="24"/>
                <w:szCs w:val="24"/>
                <w:lang w:eastAsia="zh-CN"/>
              </w:rPr>
              <w:t>注：如供应商未能按要求完成相关工作或</w:t>
            </w:r>
            <w:r>
              <w:rPr>
                <w:rFonts w:hint="eastAsia" w:ascii="宋体" w:hAnsi="宋体" w:eastAsia="宋体" w:cs="宋体"/>
                <w:color w:val="auto"/>
                <w:sz w:val="24"/>
                <w:szCs w:val="24"/>
                <w:lang w:val="en-US" w:eastAsia="zh-CN"/>
              </w:rPr>
              <w:t>提交成果存在</w:t>
            </w:r>
            <w:r>
              <w:rPr>
                <w:rFonts w:hint="eastAsia" w:ascii="宋体" w:hAnsi="宋体" w:eastAsia="宋体" w:cs="宋体"/>
                <w:color w:val="auto"/>
                <w:sz w:val="24"/>
                <w:szCs w:val="24"/>
                <w:lang w:eastAsia="zh-CN"/>
              </w:rPr>
              <w:t>弄虚作假的，采购人有权不支付任何费用，并没收其履约保证金。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3、结算方式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default"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工程量按实计算，单价按合同单价（中标单价）计算；未列明的其他设施，按市场询价计算。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、履约保证金</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（1）履约保证金金额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合同价的</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rPr>
              <w:t>（2）履约保证金形式：银行汇票（电汇）、支票（仅限于使用宁波大市区范围内的银行开具的支票）、保险保单和银行保函等形式。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rPr>
              <w:t>（3）履约保证金</w:t>
            </w:r>
            <w:r>
              <w:rPr>
                <w:rFonts w:hint="eastAsia" w:ascii="宋体" w:hAnsi="宋体" w:eastAsia="宋体" w:cs="宋体"/>
                <w:sz w:val="24"/>
                <w:szCs w:val="24"/>
                <w:lang w:eastAsia="zh-CN"/>
              </w:rPr>
              <w:t>在</w:t>
            </w:r>
            <w:r>
              <w:rPr>
                <w:rFonts w:hint="eastAsia" w:ascii="宋体" w:hAnsi="宋体" w:eastAsia="宋体" w:cs="宋体"/>
                <w:sz w:val="24"/>
                <w:szCs w:val="24"/>
              </w:rPr>
              <w:t>合同签订</w:t>
            </w:r>
            <w:r>
              <w:rPr>
                <w:rFonts w:hint="eastAsia" w:ascii="宋体" w:hAnsi="宋体" w:eastAsia="宋体" w:cs="宋体"/>
                <w:sz w:val="24"/>
                <w:szCs w:val="24"/>
                <w:lang w:eastAsia="zh-CN"/>
              </w:rPr>
              <w:t>前</w:t>
            </w:r>
            <w:r>
              <w:rPr>
                <w:rFonts w:hint="eastAsia" w:ascii="宋体" w:hAnsi="宋体" w:eastAsia="宋体" w:cs="宋体"/>
                <w:sz w:val="24"/>
                <w:szCs w:val="24"/>
              </w:rPr>
              <w:t>交至采购人。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rPr>
              <w:t>（4）履约保证金的</w:t>
            </w:r>
            <w:r>
              <w:rPr>
                <w:rFonts w:hint="eastAsia" w:ascii="宋体" w:hAnsi="宋体" w:eastAsia="宋体" w:cs="宋体"/>
                <w:sz w:val="24"/>
                <w:szCs w:val="24"/>
                <w:lang w:eastAsia="zh-CN"/>
              </w:rPr>
              <w:t>退还：</w:t>
            </w:r>
            <w:r>
              <w:rPr>
                <w:rFonts w:hint="eastAsia" w:ascii="宋体" w:hAnsi="宋体" w:eastAsia="宋体" w:cs="宋体"/>
                <w:sz w:val="24"/>
                <w:szCs w:val="24"/>
              </w:rPr>
              <w:t>履约保证金在</w:t>
            </w:r>
            <w:r>
              <w:rPr>
                <w:rFonts w:hint="eastAsia" w:ascii="宋体" w:hAnsi="宋体" w:eastAsia="宋体" w:cs="宋体"/>
                <w:sz w:val="24"/>
                <w:szCs w:val="24"/>
                <w:lang w:eastAsia="zh-CN"/>
              </w:rPr>
              <w:t>供应商</w:t>
            </w:r>
            <w:r>
              <w:rPr>
                <w:rFonts w:hint="eastAsia" w:ascii="宋体" w:hAnsi="宋体" w:eastAsia="宋体" w:cs="宋体"/>
                <w:sz w:val="24"/>
                <w:szCs w:val="24"/>
              </w:rPr>
              <w:t>完成</w:t>
            </w:r>
            <w:r>
              <w:rPr>
                <w:rFonts w:hint="eastAsia" w:ascii="宋体" w:hAnsi="宋体" w:eastAsia="宋体" w:cs="宋体"/>
                <w:sz w:val="24"/>
                <w:szCs w:val="24"/>
                <w:lang w:eastAsia="zh-CN"/>
              </w:rPr>
              <w:t>全部</w:t>
            </w:r>
            <w:r>
              <w:rPr>
                <w:rFonts w:hint="eastAsia" w:ascii="宋体" w:hAnsi="宋体" w:eastAsia="宋体" w:cs="宋体"/>
                <w:sz w:val="24"/>
                <w:szCs w:val="24"/>
              </w:rPr>
              <w:t>合同履约</w:t>
            </w:r>
            <w:r>
              <w:rPr>
                <w:rFonts w:hint="eastAsia" w:ascii="宋体" w:hAnsi="宋体" w:eastAsia="宋体" w:cs="宋体"/>
                <w:sz w:val="24"/>
                <w:szCs w:val="24"/>
                <w:lang w:eastAsia="zh-CN"/>
              </w:rPr>
              <w:t>内容</w:t>
            </w:r>
            <w:r>
              <w:rPr>
                <w:rFonts w:hint="eastAsia" w:ascii="宋体" w:hAnsi="宋体" w:eastAsia="宋体" w:cs="宋体"/>
                <w:sz w:val="24"/>
                <w:szCs w:val="24"/>
              </w:rPr>
              <w:t>后无息退还。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rPr>
              <w:t>如</w:t>
            </w:r>
            <w:r>
              <w:rPr>
                <w:rFonts w:hint="eastAsia" w:ascii="宋体" w:hAnsi="宋体" w:eastAsia="宋体" w:cs="宋体"/>
                <w:sz w:val="24"/>
                <w:szCs w:val="24"/>
                <w:lang w:eastAsia="zh-CN"/>
              </w:rPr>
              <w:t>供应商</w:t>
            </w:r>
            <w:r>
              <w:rPr>
                <w:rFonts w:hint="eastAsia" w:ascii="宋体" w:hAnsi="宋体" w:eastAsia="宋体" w:cs="宋体"/>
                <w:sz w:val="24"/>
                <w:szCs w:val="24"/>
              </w:rPr>
              <w:t>未能履行合同规定的任何义务</w:t>
            </w:r>
            <w:r>
              <w:rPr>
                <w:rFonts w:hint="eastAsia" w:ascii="宋体" w:hAnsi="宋体" w:eastAsia="宋体" w:cs="宋体"/>
                <w:sz w:val="24"/>
                <w:szCs w:val="24"/>
                <w:lang w:eastAsia="zh-CN"/>
              </w:rPr>
              <w:t>，</w:t>
            </w:r>
            <w:r>
              <w:rPr>
                <w:rFonts w:hint="eastAsia" w:ascii="宋体" w:hAnsi="宋体" w:eastAsia="宋体" w:cs="宋体"/>
                <w:sz w:val="24"/>
                <w:szCs w:val="24"/>
              </w:rPr>
              <w:t>采购人有权扣除履约保证金</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5"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234"/>
              </w:tabs>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、合同终止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在合同有效期内</w:t>
            </w:r>
            <w:r>
              <w:rPr>
                <w:rFonts w:hint="eastAsia" w:ascii="宋体" w:hAnsi="宋体" w:eastAsia="宋体" w:cs="宋体"/>
                <w:sz w:val="24"/>
                <w:szCs w:val="24"/>
                <w:lang w:eastAsia="zh-CN"/>
              </w:rPr>
              <w:t>，</w:t>
            </w:r>
            <w:r>
              <w:rPr>
                <w:rFonts w:hint="eastAsia" w:ascii="宋体" w:hAnsi="宋体" w:eastAsia="宋体" w:cs="宋体"/>
                <w:sz w:val="24"/>
                <w:szCs w:val="24"/>
              </w:rPr>
              <w:t>不得以任何理由终止合同</w:t>
            </w:r>
            <w:r>
              <w:rPr>
                <w:rFonts w:hint="eastAsia" w:ascii="宋体" w:hAnsi="宋体" w:eastAsia="宋体" w:cs="宋体"/>
                <w:sz w:val="24"/>
                <w:szCs w:val="24"/>
                <w:lang w:eastAsia="zh-CN"/>
              </w:rPr>
              <w:t>，</w:t>
            </w:r>
            <w:r>
              <w:rPr>
                <w:rFonts w:hint="eastAsia" w:ascii="宋体" w:hAnsi="宋体" w:eastAsia="宋体" w:cs="宋体"/>
                <w:sz w:val="24"/>
                <w:szCs w:val="24"/>
              </w:rPr>
              <w:t>确有特殊情况的，须提前向采购人提出书面申请</w:t>
            </w:r>
            <w:r>
              <w:rPr>
                <w:rFonts w:hint="eastAsia" w:ascii="宋体" w:hAnsi="宋体" w:eastAsia="宋体" w:cs="宋体"/>
                <w:sz w:val="24"/>
                <w:szCs w:val="24"/>
                <w:lang w:eastAsia="zh-CN"/>
              </w:rPr>
              <w:t>，</w:t>
            </w:r>
            <w:r>
              <w:rPr>
                <w:rFonts w:hint="eastAsia" w:ascii="宋体" w:hAnsi="宋体" w:eastAsia="宋体" w:cs="宋体"/>
                <w:sz w:val="24"/>
                <w:szCs w:val="24"/>
              </w:rPr>
              <w:t>经采购人同意后</w:t>
            </w:r>
            <w:r>
              <w:rPr>
                <w:rFonts w:hint="eastAsia" w:ascii="宋体" w:hAnsi="宋体" w:eastAsia="宋体" w:cs="宋体"/>
                <w:sz w:val="24"/>
                <w:szCs w:val="24"/>
                <w:lang w:eastAsia="zh-CN"/>
              </w:rPr>
              <w:t>，</w:t>
            </w:r>
            <w:r>
              <w:rPr>
                <w:rFonts w:hint="eastAsia" w:ascii="宋体" w:hAnsi="宋体" w:eastAsia="宋体" w:cs="宋体"/>
                <w:sz w:val="24"/>
                <w:szCs w:val="24"/>
              </w:rPr>
              <w:t>方可终止合同。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rPr>
              <w:t>因</w:t>
            </w:r>
            <w:r>
              <w:rPr>
                <w:rFonts w:hint="eastAsia" w:ascii="宋体" w:hAnsi="宋体" w:eastAsia="宋体" w:cs="宋体"/>
                <w:sz w:val="24"/>
                <w:szCs w:val="24"/>
                <w:lang w:eastAsia="zh-CN"/>
              </w:rPr>
              <w:t>供应商</w:t>
            </w:r>
            <w:r>
              <w:rPr>
                <w:rFonts w:hint="eastAsia" w:ascii="宋体" w:hAnsi="宋体" w:eastAsia="宋体" w:cs="宋体"/>
                <w:sz w:val="24"/>
                <w:szCs w:val="24"/>
              </w:rPr>
              <w:t>发生重大差错事故或未能按要求完成服务</w:t>
            </w:r>
            <w:r>
              <w:rPr>
                <w:rFonts w:hint="eastAsia" w:ascii="宋体" w:hAnsi="宋体" w:eastAsia="宋体" w:cs="宋体"/>
                <w:sz w:val="24"/>
                <w:szCs w:val="24"/>
                <w:lang w:eastAsia="zh-CN"/>
              </w:rPr>
              <w:t>或被发现存在弄虚作假情况的，</w:t>
            </w:r>
            <w:r>
              <w:rPr>
                <w:rFonts w:hint="eastAsia" w:ascii="宋体" w:hAnsi="宋体" w:eastAsia="宋体" w:cs="宋体"/>
                <w:sz w:val="24"/>
                <w:szCs w:val="24"/>
              </w:rPr>
              <w:t>采购人可有权</w:t>
            </w:r>
            <w:r>
              <w:rPr>
                <w:rFonts w:hint="eastAsia" w:ascii="宋体" w:hAnsi="宋体" w:eastAsia="宋体" w:cs="宋体"/>
                <w:sz w:val="24"/>
                <w:szCs w:val="24"/>
                <w:lang w:val="en-US" w:eastAsia="zh-CN"/>
              </w:rPr>
              <w:t>单方面解除</w:t>
            </w:r>
            <w:r>
              <w:rPr>
                <w:rFonts w:hint="eastAsia" w:ascii="宋体" w:hAnsi="宋体" w:eastAsia="宋体" w:cs="宋体"/>
                <w:sz w:val="24"/>
                <w:szCs w:val="24"/>
                <w:lang w:eastAsia="zh-CN"/>
              </w:rPr>
              <w:t>合同，供应商</w:t>
            </w:r>
            <w:r>
              <w:rPr>
                <w:rFonts w:hint="eastAsia" w:ascii="宋体" w:hAnsi="宋体" w:eastAsia="宋体" w:cs="宋体"/>
                <w:sz w:val="24"/>
                <w:szCs w:val="24"/>
              </w:rPr>
              <w:t>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0"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234"/>
              </w:tabs>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、特殊承诺</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①</w:t>
            </w:r>
            <w:r>
              <w:rPr>
                <w:rFonts w:hint="eastAsia" w:ascii="宋体" w:hAnsi="宋体" w:eastAsia="宋体" w:cs="宋体"/>
                <w:b/>
                <w:bCs/>
                <w:sz w:val="24"/>
                <w:szCs w:val="24"/>
                <w:lang w:val="en-US" w:eastAsia="zh-CN"/>
              </w:rPr>
              <w:t>本项目服务范围</w:t>
            </w:r>
            <w:r>
              <w:rPr>
                <w:rFonts w:hint="eastAsia" w:ascii="宋体" w:hAnsi="宋体" w:eastAsia="宋体" w:cs="宋体"/>
                <w:b/>
                <w:bCs/>
                <w:sz w:val="24"/>
                <w:szCs w:val="24"/>
                <w:lang w:eastAsia="zh-CN"/>
              </w:rPr>
              <w:t>除</w:t>
            </w:r>
            <w:r>
              <w:rPr>
                <w:rFonts w:hint="eastAsia" w:ascii="宋体" w:hAnsi="宋体" w:eastAsia="宋体" w:cs="宋体"/>
                <w:b/>
                <w:bCs/>
                <w:sz w:val="24"/>
                <w:szCs w:val="24"/>
                <w:lang w:val="en-US" w:eastAsia="zh-CN"/>
              </w:rPr>
              <w:t>招标文件</w:t>
            </w:r>
            <w:r>
              <w:rPr>
                <w:rFonts w:hint="eastAsia" w:ascii="宋体" w:hAnsi="宋体" w:eastAsia="宋体" w:cs="宋体"/>
                <w:b/>
                <w:bCs/>
                <w:sz w:val="24"/>
                <w:szCs w:val="24"/>
                <w:lang w:eastAsia="zh-CN"/>
              </w:rPr>
              <w:t>提到的范围外，还应响应采购人要求增加或减少的范围。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②</w:t>
            </w:r>
            <w:r>
              <w:rPr>
                <w:rFonts w:hint="eastAsia" w:ascii="宋体" w:hAnsi="宋体" w:eastAsia="宋体" w:cs="宋体"/>
                <w:b/>
                <w:bCs/>
                <w:sz w:val="24"/>
                <w:szCs w:val="24"/>
                <w:lang w:val="en-US" w:eastAsia="zh-CN"/>
              </w:rPr>
              <w:t>暂列金额由采购人在各标项间统筹安排，根据项目实际情况统一考虑。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③</w:t>
            </w:r>
            <w:r>
              <w:rPr>
                <w:rFonts w:hint="eastAsia" w:ascii="宋体" w:hAnsi="宋体" w:eastAsia="宋体" w:cs="宋体"/>
                <w:b/>
                <w:bCs/>
                <w:sz w:val="24"/>
                <w:szCs w:val="24"/>
                <w:lang w:val="en-US" w:eastAsia="zh-CN"/>
              </w:rPr>
              <w:t>所有标项的</w:t>
            </w:r>
            <w:r>
              <w:rPr>
                <w:rFonts w:hint="eastAsia" w:ascii="宋体" w:hAnsi="宋体" w:eastAsia="宋体" w:cs="宋体"/>
                <w:b/>
                <w:bCs/>
                <w:sz w:val="24"/>
                <w:szCs w:val="24"/>
                <w:lang w:eastAsia="zh-CN"/>
              </w:rPr>
              <w:t>工作量均按实计算，单价按</w:t>
            </w:r>
            <w:r>
              <w:rPr>
                <w:rFonts w:hint="eastAsia" w:ascii="宋体" w:hAnsi="宋体" w:eastAsia="宋体" w:cs="宋体"/>
                <w:b/>
                <w:bCs/>
                <w:sz w:val="24"/>
                <w:szCs w:val="24"/>
                <w:lang w:val="en-US" w:eastAsia="zh-CN"/>
              </w:rPr>
              <w:t>合同单价（中标单价）</w:t>
            </w:r>
            <w:r>
              <w:rPr>
                <w:rFonts w:hint="eastAsia" w:ascii="宋体" w:hAnsi="宋体" w:eastAsia="宋体" w:cs="宋体"/>
                <w:b/>
                <w:bCs/>
                <w:sz w:val="24"/>
                <w:szCs w:val="24"/>
                <w:lang w:eastAsia="zh-CN"/>
              </w:rPr>
              <w:t>计算；如遇</w:t>
            </w:r>
            <w:r>
              <w:rPr>
                <w:rFonts w:hint="eastAsia" w:ascii="宋体" w:hAnsi="宋体" w:eastAsia="宋体" w:cs="宋体"/>
                <w:b/>
                <w:bCs/>
                <w:sz w:val="24"/>
                <w:szCs w:val="24"/>
                <w:lang w:val="en-US" w:eastAsia="zh-CN"/>
              </w:rPr>
              <w:t>未列明的、采购人或其他业主单位要求实施的其他设施，按市场询价计算。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④</w:t>
            </w:r>
            <w:r>
              <w:rPr>
                <w:rFonts w:hint="eastAsia" w:ascii="宋体" w:hAnsi="宋体" w:eastAsia="宋体" w:cs="宋体"/>
                <w:b/>
                <w:bCs/>
                <w:sz w:val="24"/>
                <w:szCs w:val="24"/>
                <w:lang w:val="en-US" w:eastAsia="zh-CN"/>
              </w:rPr>
              <w:t>各供应商应在所中标项范围内积极进行服务，如遇标项内供应商不配合或不积极完成采购人下达的任务，给采购人造成一定负面影响的，采购人可委托另一标项供应商完成相关任务，由此造成的标项内设施量减少，由该标项供应商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宋体" w:hAnsi="宋体" w:eastAsia="宋体" w:cs="宋体"/>
                <w:sz w:val="24"/>
                <w:szCs w:val="24"/>
              </w:rPr>
            </w:pPr>
            <w:r>
              <w:rPr>
                <w:rFonts w:hint="eastAsia" w:ascii="宋体" w:hAnsi="宋体" w:eastAsia="宋体" w:cs="宋体"/>
                <w:b/>
                <w:bCs/>
                <w:sz w:val="24"/>
                <w:szCs w:val="24"/>
                <w:lang w:eastAsia="zh-CN"/>
              </w:rPr>
              <w:t>⑤</w:t>
            </w:r>
            <w:r>
              <w:rPr>
                <w:rFonts w:hint="eastAsia" w:ascii="宋体" w:hAnsi="宋体" w:eastAsia="宋体" w:cs="宋体"/>
                <w:b/>
                <w:bCs/>
                <w:sz w:val="24"/>
                <w:szCs w:val="24"/>
                <w:lang w:val="en-US" w:eastAsia="zh-CN"/>
              </w:rPr>
              <w:t>各供应商</w:t>
            </w:r>
            <w:r>
              <w:rPr>
                <w:rFonts w:hint="eastAsia" w:ascii="宋体" w:hAnsi="宋体" w:eastAsia="宋体" w:cs="宋体"/>
                <w:b/>
                <w:bCs/>
                <w:sz w:val="24"/>
                <w:szCs w:val="24"/>
                <w:lang w:eastAsia="zh-CN"/>
              </w:rPr>
              <w:t>的工作方式、出具的成果须按采购人要求严格统一。</w:t>
            </w:r>
          </w:p>
        </w:tc>
      </w:tr>
      <w:bookmarkEnd w:id="30"/>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rPr>
          <w:rFonts w:hint="eastAsia" w:ascii="宋体" w:hAnsi="宋体" w:eastAsia="宋体" w:cs="宋体"/>
          <w:b/>
          <w:bCs/>
          <w:color w:val="auto"/>
          <w:kern w:val="2"/>
          <w:sz w:val="24"/>
          <w:szCs w:val="24"/>
          <w:highlight w:val="none"/>
          <w:lang w:val="en-US" w:eastAsia="zh-CN" w:bidi="ar"/>
        </w:rPr>
      </w:pPr>
    </w:p>
    <w:p>
      <w:pP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A 商务要求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（适用于所有标项）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szCs w:val="21"/>
          <w:lang w:val="en-US" w:eastAsia="zh-CN"/>
        </w:rPr>
      </w:pPr>
      <w:r>
        <w:rPr>
          <w:rFonts w:hint="eastAsia" w:ascii="宋体" w:hAnsi="宋体" w:eastAsia="宋体" w:cs="宋体"/>
          <w:b/>
          <w:bCs/>
          <w:color w:val="auto"/>
          <w:kern w:val="0"/>
          <w:sz w:val="24"/>
          <w:szCs w:val="24"/>
          <w:lang w:val="en-US" w:eastAsia="zh-CN"/>
        </w:rPr>
        <w:t>一、项目概况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本项目主要为宁海县城区市政道路交通设施的养护维修，包括对交通设施、标志标线的维修与更换；对交通事故毁坏的交通设施进行清理维修；对辖区内交通设施进行自主巡逻；采购人另外布置的其他任务等。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本项目分两个标项/标段同时进行服务：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（1）标项一/标段一服务范围：时代大道（含）以南，以及采购人或其他业主单位要求服务的范围。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（2）标项二/标段二服务范围：时代大道（不含）以北，以及采购人或其他业主单位要求服务的范围。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二、服务内容及要求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（1）按采购人需求，在接采购人通知后，按时完成故障设施的更换、新增设施的安装、可修复设施的维修及复原、部分老旧设施的养护等等。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（2）除采购人指定的维修、养护外，供应商可自行通过不定期巡检并按实向采购人上报“故障设施维修清单”，经采购人核实后，另行通知实施。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（3）因道路施工等原因发生临时拆除情况的，拆除后，设备由供应商负责保管，并进行基本防护，保障设备能随时投入使用。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（4）供应商须根据采购人提供的交通设施维护工作任务单，按相关技术规范要求进行施工，确保项目质量。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施工质量必须达到合格标准。所有设施质量不得低于国家及服务区域内现有设施的质量标准。因供应商原因工程质量达不到本项目要求的合格标准，采购人可委托第三方进行返工，返工产生的费用由供应商承担，同时采购人根据相关规定给予供应商相应处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（6）供应商在施工时，应尽可能减小因施工对道路通行带来的影响，施工时应服从采购人或现场交警的管理与指挥。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（7）合同执行期间，除规范更新外，供应商欲调整或更换设施使用材料的需事先请示，调整或更换后的材料不低于原招标要求。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（8）供应商须及时响应采购人下达的服务范围内的抢修服务指令，制定抢修方案、控制抢修时间，第一时间完成抢修工作并报采购验收。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供应商应确保安全、文明施工，本着“安全第一，预防为主”的原则，根据供应商建立的安全管理组织体系；严格贯彻国家、省、市和劳动保护、安全生产部门颁发的有关安全生产、消防工作的方针、政策、法规、条例、规定等执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合同期内，由于供应商安全措施不力、养护工作不到位、违反安全操作规程而导致责任事故或维护工作造成第三方人身财产损失或发生的所有与维护工作有关的安全事故，供应商应100%承担责任，所损失的费用均由供应商承担；所有采购人遭到第三方的起诉或索赔的，全部由供应商承担责任并赔偿，采购人保留向供应商追究责任的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（11）供应商必须按照规定办理自身及第三者责任险，承担项目维护期间所有的安全责任及相关赔款，由于施工过程中或产品质量、安装、维护等供应商原因造成的一切人员伤亡、事故伤害，均由供应商承担。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三、人员及设备管理要求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供应商须提供维护工作所必须的人工、机械设备、主要原材料等。结合本项目评标办法，供应商自行安排人工、机械的配备。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四、其他要求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4.1 进度及资料管理要求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1、供应商须服从采购人的工作进程安排，及时进场并保证工期。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2、供应商须每月向采购人上报当月的工作量、工作数据、工作小结等。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3、任务单内的工程结束后，由供应商提供完工清单，经相关负责人验收签字。</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4.2 应急响应管理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1、供应商须建立24小时值班制度，接到采购人紧急抢修任务必须30分钟内至现场进行应急处置；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供应商须提供7×24小时交通设施抢修服务，重大活动期间须服从采购人的安排提供现场驻点服务，保障服务范围内的设施正常运行。对抢修、维修不及时造成不良后果的，除进行赔偿外，将根据产生的后果严重程度承担相应的法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3、供应商必须建立接报记录档案，特殊情况须报采购人并取得同意后采用先应急后修复的方式。</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4.3 质量保证期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1、质保期：除特殊要求外，质保期为12个月，自验收合格之日起计算。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2、质量保障服务标准：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①质保期内因货物及施工质量不合格造成的故障每发生一次，质保期相应延长60天，质保期内因货物本身缺陷造成各种故障应由供应商免费予以更换，否则将扣除相应的履约保证金作为对采购人的补偿。</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②如因产品质量不合格、放置、搬运、安装不到位、施工过程中、维护不到位等一切因供应商原因造成的人生或财产安全等所有后果与责任均由供应商承担。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③由于外力原因造成的损坏，供应商须负责维修。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五、验收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供应商完成本项目所需的项目施工方案报备、定制产品、拆除原有设施、安装、调试后，采购人组织专业技术人员进行验收，验收按照国家有关验收标准、采购文件要求、投标(响应)文件执行，所有的技术资料向采购人提交并签署验收报告后视为合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2、若验收不合格,供应商应在5日历天内整改到位，进行二次验收，若二次验收不合格，采购人有权解除合同，解除合同的通知自到达供应商时生效，且不予支付合同款，采购人保留向供应商索赔的权利。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3、本次项目所需的项目施工方案报备、定制产品、拆除原有设施、安装、施划、调试、检验、通过有关部门验收过程中发生的费用由供应商承担。</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六、执行标准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《道路交通标志和标线》（GB 5768-2009）；</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《道路交通标志和标线》（GB5768—2022）；</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《城市道路交通标志和标线设置规范》（GB51038—2015）；</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《城市道路交通标志和标线设置规范》（DB33/T 818—2010）；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《公交专用车道设置》（GA/T 507-2004）；</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《新划路面标线初始逆反射亮度系数及测试方法》（GB/T 21383-2008）；</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《路面标线用玻璃珠》（GB/T 24722-2020）；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《道路交通标线质量要求和检测方法》（GB/T 16311-2009）；</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《道路交通反光膜》（GB/T 18833-2012）；</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《道路交通标志板及支撑件》（GB/T 23827-2021）；</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《公路交通标志板》（JT/T 279-2016）；</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《道路交通信号灯设置与安装规范》（GB14886-2016）；</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《道路交通信号灯》（GB14887-2016）；</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《结构用无缝钢管》（GB/T 8162-2018）；</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《建筑物电子信息系统防雷技术规范》(GB50343-2012)；</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《民用建筑电气设计规范》(GB51348-2019)；</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《弹性交通柱》（GB/T24972-2010）；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《公路工程质量检验评定标准》（JTG F80-2017）；</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《宁波市交通设施项目设计及审查要点》；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《宁波市城市道路指路标志及车道行驶方向标志设置细则V2.0》；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《宁波市道路交通安全设施设置细则》；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《宁波市交通标杆及基础、交通护栏大样图V2.1》；</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《关于实施交通设施铭牌的说明》等；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color w:val="auto"/>
          <w:kern w:val="0"/>
          <w:sz w:val="24"/>
          <w:szCs w:val="24"/>
          <w:lang w:val="en-US" w:eastAsia="zh-CN"/>
        </w:rPr>
        <w:t>以上标准有最新版，则按新版执行。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4"/>
          <w:szCs w:val="24"/>
          <w:lang w:val="en-US" w:eastAsia="zh-CN"/>
        </w:rPr>
        <w:sectPr>
          <w:footerReference r:id="rId7" w:type="default"/>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B 技术要求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（适用于所有标项）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供应商在</w:t>
      </w:r>
      <w:r>
        <w:rPr>
          <w:rFonts w:hint="eastAsia" w:ascii="宋体" w:hAnsi="宋体" w:eastAsia="宋体" w:cs="宋体"/>
          <w:color w:val="auto"/>
          <w:sz w:val="24"/>
          <w:szCs w:val="24"/>
          <w:highlight w:val="none"/>
          <w:lang w:val="zh-CN"/>
        </w:rPr>
        <w:t>中标后</w:t>
      </w:r>
      <w:r>
        <w:rPr>
          <w:rFonts w:hint="eastAsia" w:ascii="宋体" w:hAnsi="宋体" w:eastAsia="宋体" w:cs="宋体"/>
          <w:color w:val="auto"/>
          <w:sz w:val="24"/>
          <w:szCs w:val="24"/>
          <w:highlight w:val="none"/>
          <w:lang w:val="en-US" w:eastAsia="zh-CN"/>
        </w:rPr>
        <w:t>须</w:t>
      </w:r>
      <w:r>
        <w:rPr>
          <w:rFonts w:hint="eastAsia" w:ascii="宋体" w:hAnsi="宋体" w:eastAsia="宋体" w:cs="宋体"/>
          <w:color w:val="auto"/>
          <w:sz w:val="24"/>
          <w:szCs w:val="24"/>
          <w:highlight w:val="none"/>
          <w:lang w:val="zh-CN"/>
        </w:rPr>
        <w:t>提供所用主要原材料质保单或产品质量合格证或权威机构的产品质量报告，</w:t>
      </w:r>
      <w:r>
        <w:rPr>
          <w:rFonts w:hint="eastAsia" w:ascii="宋体" w:hAnsi="宋体" w:eastAsia="宋体" w:cs="宋体"/>
          <w:color w:val="auto"/>
          <w:sz w:val="24"/>
          <w:szCs w:val="24"/>
          <w:highlight w:val="none"/>
          <w:lang w:val="en-US" w:eastAsia="zh-CN"/>
        </w:rPr>
        <w:t>如采购人提出其他相关质量要求的，</w:t>
      </w:r>
      <w:r>
        <w:rPr>
          <w:rFonts w:hint="eastAsia" w:ascii="宋体" w:hAnsi="宋体" w:eastAsia="宋体" w:cs="宋体"/>
          <w:color w:val="auto"/>
          <w:sz w:val="24"/>
          <w:szCs w:val="24"/>
          <w:highlight w:val="none"/>
          <w:lang w:val="zh-CN"/>
        </w:rPr>
        <w:t>须无条件满足。</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除清单项目</w:t>
      </w:r>
      <w:r>
        <w:rPr>
          <w:rFonts w:hint="eastAsia" w:ascii="宋体" w:hAnsi="宋体" w:eastAsia="宋体" w:cs="宋体"/>
          <w:color w:val="auto"/>
          <w:sz w:val="24"/>
          <w:szCs w:val="24"/>
          <w:highlight w:val="none"/>
          <w:lang w:val="en-US" w:eastAsia="zh-CN"/>
        </w:rPr>
        <w:t>特性</w:t>
      </w:r>
      <w:r>
        <w:rPr>
          <w:rFonts w:hint="eastAsia" w:ascii="宋体" w:hAnsi="宋体" w:eastAsia="宋体" w:cs="宋体"/>
          <w:color w:val="auto"/>
          <w:sz w:val="24"/>
          <w:szCs w:val="24"/>
          <w:highlight w:val="none"/>
          <w:lang w:val="zh-CN"/>
        </w:rPr>
        <w:t>所述外，按国标、省标，各设施至少有如下要求：</w:t>
      </w:r>
    </w:p>
    <w:p>
      <w:pPr>
        <w:keepNext w:val="0"/>
        <w:keepLines w:val="0"/>
        <w:pageBreakBefore w:val="0"/>
        <w:wordWrap/>
        <w:topLinePunct w:val="0"/>
        <w:bidi w:val="0"/>
        <w:snapToGrid/>
        <w:spacing w:line="360" w:lineRule="auto"/>
        <w:ind w:firstLine="482" w:firstLineChars="2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val="zh-CN"/>
        </w:rPr>
        <w:t>标线</w:t>
      </w:r>
      <w:r>
        <w:rPr>
          <w:rFonts w:hint="eastAsia" w:ascii="宋体" w:hAnsi="宋体" w:eastAsia="宋体" w:cs="宋体"/>
          <w:b/>
          <w:bCs/>
          <w:color w:val="auto"/>
          <w:sz w:val="24"/>
          <w:szCs w:val="24"/>
          <w:highlight w:val="none"/>
          <w:lang w:val="en-US" w:eastAsia="zh-CN"/>
        </w:rPr>
        <w:t>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 道路交通标线应采用耐久性、反光性能良好的涂料，根据不同道路等级选取适当的标线材料。为预防交通事故的发生，采用反光标线。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 路面交通标线涂料可分为溶剂型涂料标线、热熔型涂料标线、水性涂料标线、双组分涂料标线，各种涂料的性能应符合《路面标线涂料》(JT/T 280)规定。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 普通热熔标线用料须为道路交通工程标线专用涂料，干膜厚度为1.5mm-2.0mm，质量性能须符合《道路交通标线质量要求和检测方法》（GB/T16311-2009）的规定。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 路面采用彩色标线时，标线涂料的色度性能应符合《安全色》(GB 2893)的要求，反光型路面标线涂料的逆反射系数应符合《道路交通标线质量要求和检测方法》(GB/T 16311)的规定。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 预成型标线带（粘贴标线、雨夜防滑成型标线）材料由热塑性材料构成，热塑性材料一般为聚合材料、颜料及玻璃的均匀混合物，并在热塑性材料反光表面外嵌入玻璃珠层。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 应在道路交通标线中添加玻璃微珠、雨夜反光陶瓷珠等填充材料，以提升道路安全等级，标线填充材料应符合《路面标线用玻璃珠》(JT 446)的要求。</w:t>
      </w:r>
    </w:p>
    <w:p>
      <w:pPr>
        <w:keepNext w:val="0"/>
        <w:keepLines w:val="0"/>
        <w:pageBreakBefore w:val="0"/>
        <w:wordWrap/>
        <w:topLinePunct w:val="0"/>
        <w:bidi w:val="0"/>
        <w:snapToGrid/>
        <w:spacing w:line="360" w:lineRule="auto"/>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zh-CN"/>
        </w:rPr>
        <w:t>护栏</w:t>
      </w:r>
      <w:r>
        <w:rPr>
          <w:rFonts w:hint="eastAsia" w:ascii="宋体" w:hAnsi="宋体" w:eastAsia="宋体" w:cs="宋体"/>
          <w:b/>
          <w:bCs/>
          <w:color w:val="auto"/>
          <w:sz w:val="24"/>
          <w:szCs w:val="24"/>
          <w:highlight w:val="none"/>
          <w:lang w:val="en-US" w:eastAsia="zh-CN"/>
        </w:rPr>
        <w:t>类</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2.1 </w:t>
      </w:r>
      <w:r>
        <w:rPr>
          <w:rFonts w:hint="eastAsia" w:ascii="宋体" w:hAnsi="宋体" w:eastAsia="宋体" w:cs="宋体"/>
          <w:color w:val="auto"/>
          <w:sz w:val="24"/>
          <w:szCs w:val="24"/>
          <w:highlight w:val="none"/>
          <w:lang w:val="zh-CN"/>
        </w:rPr>
        <w:t>帽盖：热镀锌钢板激光切割，液压模具一体成型，去油酸洗磷化，纯聚酯彩色粉末静电喷涂。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2.2 </w:t>
      </w:r>
      <w:r>
        <w:rPr>
          <w:rFonts w:hint="eastAsia" w:ascii="宋体" w:hAnsi="宋体" w:eastAsia="宋体" w:cs="宋体"/>
          <w:color w:val="auto"/>
          <w:sz w:val="24"/>
          <w:szCs w:val="24"/>
          <w:highlight w:val="none"/>
          <w:lang w:val="zh-CN"/>
        </w:rPr>
        <w:t>反光轮廓标：反光面材料为亚克力（372），光度性能符合《GB/T24970-2010轮廓标》相关要求。底板材料为抗冲击级聚苯乙烯(HIPS)，超声波加工粘合。</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2.3 </w:t>
      </w:r>
      <w:r>
        <w:rPr>
          <w:rFonts w:hint="eastAsia" w:ascii="宋体" w:hAnsi="宋体" w:eastAsia="宋体" w:cs="宋体"/>
          <w:color w:val="auto"/>
          <w:sz w:val="24"/>
          <w:szCs w:val="24"/>
          <w:highlight w:val="none"/>
          <w:lang w:val="zh-CN"/>
        </w:rPr>
        <w:t>底座：材料为复合高分子，原料按比例配比搅拌，加压加温模具成型。修边打孔，表面交通灰（RAL7043）喷涂。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2.4 </w:t>
      </w:r>
      <w:r>
        <w:rPr>
          <w:rFonts w:hint="eastAsia" w:ascii="宋体" w:hAnsi="宋体" w:eastAsia="宋体" w:cs="宋体"/>
          <w:color w:val="auto"/>
          <w:sz w:val="24"/>
          <w:szCs w:val="24"/>
          <w:highlight w:val="none"/>
          <w:lang w:val="zh-CN"/>
        </w:rPr>
        <w:t>护栏：氩弧焊接，清洗后洗磷化、纯聚酯彩色粉末静电喷涂后205摄氏度高温烘箱半小时。</w:t>
      </w:r>
    </w:p>
    <w:p>
      <w:pPr>
        <w:keepNext w:val="0"/>
        <w:keepLines w:val="0"/>
        <w:pageBreakBefore w:val="0"/>
        <w:wordWrap/>
        <w:topLinePunct w:val="0"/>
        <w:bidi w:val="0"/>
        <w:snapToGrid/>
        <w:spacing w:line="360" w:lineRule="auto"/>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zh-CN"/>
        </w:rPr>
        <w:t>标志</w:t>
      </w:r>
      <w:r>
        <w:rPr>
          <w:rFonts w:hint="eastAsia" w:ascii="宋体" w:hAnsi="宋体" w:eastAsia="宋体" w:cs="宋体"/>
          <w:b/>
          <w:bCs/>
          <w:color w:val="auto"/>
          <w:sz w:val="24"/>
          <w:szCs w:val="24"/>
          <w:highlight w:val="none"/>
          <w:lang w:val="en-US" w:eastAsia="zh-CN"/>
        </w:rPr>
        <w:t>标杆类</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标志立柱和横梁及基础制作要求应符合《宁波市交通标杆及基础、交通护栏大样图V2.0》（试行）的要求；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 材料要求：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立柱和横梁：凡钢管外径152mm以下（含152mm）的立柱和横梁，采用普通碳素结构钢（A3）焊接钢管，应符合GB700-88的要求。凡钢管外径在152mm以上的立柱和横梁，采用热轧无缝钢管，并符GB167-87、8163-87的规定。标志立杆柱帽，采用普通碳素钢结构钢板，板厚3mm；</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标志板、滑动横梁：采用符合GB5768.2-2009标准的铝合金板材，并符合GB3194-82“铝及铝合金热扎板材的尺寸及允许偏差”，GB3193-82“铝及铝合金热轧板”的规定；</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高强螺栓，高强连接螺栓（包括相应螺母、垫圈）应采用40B式45号钢，并符合GB1231-76的规定。地脚螺栓（包括相应螺母、垫圈）应采用普通碳素钢机构钢（A3）；</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基础混凝土为C25砼。并符合现行《公路钢筋混凝土及预应力混凝土桥涵设计规范》的有关规定；</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钢筋采用热扎结构等级圆钢筋，Ⅰ级3号钢（位于桥梁式挡土上的标志基础钢筋采用Ⅱ级）并符合现行《公路钢筋混凝土及预应力混凝土设计规范》规定；</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.2.6</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定向反光标志底膜文字均采用超强级，其回归反射光度值（最小值）反光膜颜色的角关座标和标志色泽耐用期应满足交通部JT/T297-1995《公路交通标志板技术条件》的要求；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.2.7</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标志板由铝合金板制作，其厚度要求应符合《宁波市城市道路指路标志及车道行驶方向标志设置细则V1.5》（试行）的要求；</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标志牌制作：</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交通标志的形状图案、颜色应严格按照GB5768.2-2009《道路交通标志和标线》标准或设计图的规定执行。为了确保指路标准的确认性，指路标志汉字必须采用等粗线，字体，阿拉伯数字和英文文字应符合GB5768-2009的规定，不允许采用其他字体；</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标志板与滑动槽钢，卷边加固件连接，在保证连接强度和标志板面平整，不影响贴反光膜的前提下，可采用铆接式点焊；</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本次招标的道路标牌的牌面均采用超强级反光膜；</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指示标牌表面无明显皱纹、凹槽或弯形，每平方米的平整度公差小于1.0mm；</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标牌面无皱纹、无明显划痕、无损伤、无颜色不均和污染等现象；应按规范规定进行热浸镀锌处理，镀锌量为500g/m。螺栓、螺母、垫圈进行热浸镀锌，必须清理螺纹或作离心处理；</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.3.6</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标志板与立杆采用铝槽接驳；</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.3.7</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大型标志使用铝合金板材最大尺寸，最多不超过2块铝合金板拼接，以减少接缝，保持版面的平整度；大型标志尺寸以下标志不允许存在任何铝合金板拼接；</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.3.8</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标志立柱和横梁不允许存在任何接驳；</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.3.9</w:t>
      </w:r>
      <w:r>
        <w:rPr>
          <w:rFonts w:hint="eastAsia" w:ascii="宋体" w:hAnsi="宋体" w:eastAsia="宋体" w:cs="宋体"/>
          <w:color w:val="auto"/>
          <w:sz w:val="24"/>
          <w:szCs w:val="24"/>
          <w:highlight w:val="none"/>
          <w:lang w:val="en-US" w:eastAsia="zh-CN"/>
        </w:rPr>
        <w:t xml:space="preserve"> 供应商</w:t>
      </w:r>
      <w:r>
        <w:rPr>
          <w:rFonts w:hint="eastAsia" w:ascii="宋体" w:hAnsi="宋体" w:eastAsia="宋体" w:cs="宋体"/>
          <w:color w:val="auto"/>
          <w:sz w:val="24"/>
          <w:szCs w:val="24"/>
          <w:highlight w:val="none"/>
          <w:lang w:val="zh-CN"/>
        </w:rPr>
        <w:t>先定样板，由采购人确定后方能施工。</w:t>
      </w:r>
    </w:p>
    <w:p>
      <w:pPr>
        <w:keepNext w:val="0"/>
        <w:keepLines w:val="0"/>
        <w:pageBreakBefore w:val="0"/>
        <w:wordWrap/>
        <w:topLinePunct w:val="0"/>
        <w:bidi w:val="0"/>
        <w:snapToGrid/>
        <w:spacing w:line="360" w:lineRule="auto"/>
        <w:jc w:val="both"/>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zh-CN"/>
        </w:rPr>
        <w:t>弹性交通柱</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4.1 </w:t>
      </w:r>
      <w:r>
        <w:rPr>
          <w:rFonts w:hint="eastAsia" w:ascii="宋体" w:hAnsi="宋体" w:eastAsia="宋体" w:cs="宋体"/>
          <w:color w:val="auto"/>
          <w:sz w:val="24"/>
          <w:szCs w:val="24"/>
          <w:highlight w:val="none"/>
          <w:lang w:val="zh-CN"/>
        </w:rPr>
        <w:t>弹性警示柱反光膜采用直接粘贴于柱体形式，反光膜要求高强级；</w:t>
      </w: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4.2 </w:t>
      </w:r>
      <w:r>
        <w:rPr>
          <w:rFonts w:hint="eastAsia" w:ascii="宋体" w:hAnsi="宋体" w:eastAsia="宋体" w:cs="宋体"/>
          <w:color w:val="auto"/>
          <w:sz w:val="24"/>
          <w:szCs w:val="24"/>
          <w:highlight w:val="none"/>
          <w:lang w:val="zh-CN"/>
        </w:rPr>
        <w:t>产品要求PU材质，硬度80A以上，最大拉伸力度200N以上，拉伸强度20map以上，断裂点伸缩率950%以上，最大伸缩率900%以上，强度10%下的伸缩率15.0N以上，强度20%下的伸缩率20.0N以上。同时要求柔韧性强、反光效能高，外观设计合理，式样美观。</w:t>
      </w:r>
    </w:p>
    <w:p>
      <w:pPr>
        <w:pStyle w:val="25"/>
        <w:keepNext w:val="0"/>
        <w:keepLines w:val="0"/>
        <w:pageBreakBefore w:val="0"/>
        <w:wordWrap/>
        <w:topLinePunct w:val="0"/>
        <w:bidi w:val="0"/>
        <w:snapToGrid/>
        <w:spacing w:after="0" w:line="360" w:lineRule="auto"/>
        <w:ind w:firstLine="480" w:firstLineChars="200"/>
        <w:jc w:val="both"/>
        <w:rPr>
          <w:rFonts w:hint="eastAsia" w:ascii="宋体" w:hAnsi="宋体" w:eastAsia="宋体" w:cs="宋体"/>
          <w:color w:val="auto"/>
          <w:kern w:val="0"/>
          <w:sz w:val="24"/>
          <w:szCs w:val="24"/>
          <w:lang w:val="en-US" w:eastAsia="zh-CN"/>
        </w:rPr>
      </w:pPr>
    </w:p>
    <w:p>
      <w:pPr>
        <w:keepNext w:val="0"/>
        <w:keepLines w:val="0"/>
        <w:pageBreakBefore w:val="0"/>
        <w:wordWrap/>
        <w:topLinePunct w:val="0"/>
        <w:bidi w:val="0"/>
        <w:snapToGrid/>
        <w:spacing w:line="360" w:lineRule="auto"/>
        <w:ind w:firstLine="480" w:firstLineChars="200"/>
        <w:jc w:val="both"/>
        <w:rPr>
          <w:rFonts w:hint="eastAsia" w:ascii="宋体" w:hAnsi="宋体" w:eastAsia="宋体" w:cs="宋体"/>
          <w:sz w:val="24"/>
          <w:szCs w:val="24"/>
          <w:lang w:val="en-US" w:eastAsia="zh-CN"/>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C 设施清单（适用于所有标项）</w:t>
      </w:r>
    </w:p>
    <w:tbl>
      <w:tblPr>
        <w:tblStyle w:val="63"/>
        <w:tblW w:w="10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1"/>
        <w:gridCol w:w="1550"/>
        <w:gridCol w:w="3400"/>
        <w:gridCol w:w="760"/>
        <w:gridCol w:w="885"/>
        <w:gridCol w:w="120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6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名称及内容</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特性</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综合单价</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标线</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冷喷普通</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厚度0.5mm以上（带造型）。</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热熔普通</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厚度1.8mm以上，均匀撒布反光珠。</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热熔反光</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厚度1.8mm以上，均匀撒布反光珠，符合F80-2017(公路工程质量检验评定标准）标线施划后检测逆反射亮度系数大于250，一年内任意一次检测时数值均需大于150。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热熔普通震荡</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基线厚度达到1.5mm，突起部分高度达到5mm，均匀撒布反光珠。</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热熔反光振荡</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基线厚度1.5mm以上，凸起厚度5mm以上，均匀撒布反光珠，符合JTG F80/1-2017《公路工程质量检验评定标准》施划后检测逆反射亮度系数≥250，一年内任意一次检测时逆反射亮度系数≥150。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彩色标线</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使用三层工艺，含地面夯平、清洁路面、涂布彩色底漆、撒砂、收砂、涂布高光面漆。标线厚度2-3mm。陶瓷颗粒直径1-2mm。</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无痕除线</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超高压水磨清洗法，清除老标线，无明显痕迹。</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减速带</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橡胶减速带</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1000×380×50 黄黑条纹 每米8根道钉固定。</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仅拆除或安装</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老旧设施拆除及运输入库或者安装（含配件）。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警示桩</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钢制警示桩</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DN114钢制警示桩 法兰盘200*200，立柱114*850*4.5，整件热镀锌，贴超强级反光膜，4个膨胀螺丝固定。</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7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柔性警示桩</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DN114TPU警示桩 立柱114*800，TPU高性能材料整件制作，贴超强级反光膜（贴膜区域凹陷1mm以上），底部2颗玻璃反光珠</w:t>
            </w:r>
            <w:r>
              <w:rPr>
                <w:rFonts w:hint="eastAsia" w:ascii="宋体" w:hAnsi="宋体" w:cs="宋体"/>
                <w:i w:val="0"/>
                <w:iCs w:val="0"/>
                <w:color w:val="000000"/>
                <w:kern w:val="0"/>
                <w:sz w:val="21"/>
                <w:szCs w:val="21"/>
                <w:u w:val="none"/>
                <w:lang w:val="en-US" w:eastAsia="zh-CN" w:bidi="ar"/>
              </w:rPr>
              <w:t>。</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钢制警示桩</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DN89钢制警示桩 法兰盘150*150，立柱89*800*4，整件热镀锌，贴超强级反光膜，4个膨胀螺丝固定。</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弹性警示桩</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弹性警示柱 φ80*750，符合GBT24972-2010弹性交通柱标准。</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扶正、换膜等维修内容，维修后符合规范标准。</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仅安装或拆卸</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老旧设施拆除及运输入库或者安装（含配件）。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护栏</w:t>
            </w:r>
          </w:p>
        </w:tc>
        <w:tc>
          <w:tcPr>
            <w:tcW w:w="1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中心隔离护栏</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中心隔离护栏安装（含所有主材、配件）规格：3000mm×1050mm，喷塑，黄色反光片，底座式。</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中心隔离护栏仅拆除或安装。</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中心隔离护栏维修（含维修所需配件在内）。</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机非隔离护栏</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机非隔离护栏安装（含所有主材、配件）规格：3000mm×1050mm，喷塑，白色反光片，底座式。</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机非隔离护栏仅拆除或安装。</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机非隔离护栏维修（含维修所需配件在内）。</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标志版面</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（IV类）</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铝合金标志板制作、安装，超强级反光膜（Ⅳ类），厚度2.0mm～2.5mm，含折边、铝槽、抱箍、螺栓等。详见《宁波市城市道路指路标志及车道行驶方向标志设置细则》（有新版按最新版）。</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7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（V类）</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铝合金标志板制作、安装，超强级反光膜（V类），厚度2.0mm～2.5mm，含折边、铝槽、抱箍、螺栓等。详见《宁波市城市道路指路标志及车道行驶方向标志设置细则》（有新版按最新版）。</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071"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贴膜、改版</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旧标牌内容变更，贴超强级反光膜（满足规定要求，综合考虑）。</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仅拆除或安装</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老旧设施拆除及运输入库或者安装（含配件）。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71"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DN80标杆</w:t>
            </w:r>
          </w:p>
        </w:tc>
        <w:tc>
          <w:tcPr>
            <w:tcW w:w="3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规格φ89*4*3500，镀锌钢管，含基础</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02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300000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86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造价合计</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1500000</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p>
    <w:p>
      <w:pPr>
        <w:pStyle w:val="80"/>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b/>
          <w:bCs/>
          <w:lang w:val="en-US" w:eastAsia="zh-CN"/>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285" w:charSpace="0"/>
        </w:sectPr>
      </w:pPr>
      <w:r>
        <w:rPr>
          <w:rFonts w:hint="eastAsia" w:ascii="宋体" w:hAnsi="宋体" w:eastAsia="宋体" w:cs="宋体"/>
          <w:b/>
          <w:bCs/>
          <w:color w:val="auto"/>
          <w:kern w:val="0"/>
          <w:sz w:val="24"/>
          <w:szCs w:val="24"/>
          <w:lang w:val="en-US" w:eastAsia="zh-CN"/>
        </w:rPr>
        <w:t>注：按设施名称、内容、特性自行报价，其中暂列金额30万不能下浮</w:t>
      </w:r>
      <w:r>
        <w:rPr>
          <w:rFonts w:hint="eastAsia" w:ascii="宋体" w:hAnsi="宋体" w:cs="宋体"/>
          <w:b/>
          <w:bCs/>
          <w:color w:val="auto"/>
          <w:kern w:val="0"/>
          <w:sz w:val="24"/>
          <w:szCs w:val="24"/>
          <w:lang w:val="en-US" w:eastAsia="zh-CN"/>
        </w:rPr>
        <w:t>，</w:t>
      </w:r>
      <w:r>
        <w:rPr>
          <w:rFonts w:hint="eastAsia" w:ascii="宋体" w:hAnsi="宋体" w:eastAsia="宋体" w:cs="宋体"/>
          <w:b/>
          <w:bCs/>
          <w:color w:val="auto"/>
          <w:kern w:val="0"/>
          <w:sz w:val="24"/>
          <w:szCs w:val="24"/>
          <w:lang w:val="en-US" w:eastAsia="zh-CN"/>
        </w:rPr>
        <w:t>单价不限，总价不能超出标项最高限价（150万元），最终以</w:t>
      </w:r>
      <w:r>
        <w:rPr>
          <w:rFonts w:hint="eastAsia" w:ascii="宋体" w:hAnsi="宋体" w:cs="宋体"/>
          <w:b/>
          <w:bCs/>
          <w:color w:val="auto"/>
          <w:kern w:val="0"/>
          <w:sz w:val="24"/>
          <w:szCs w:val="24"/>
          <w:lang w:val="en-US" w:eastAsia="zh-CN"/>
        </w:rPr>
        <w:t>三年</w:t>
      </w:r>
      <w:r>
        <w:rPr>
          <w:rFonts w:hint="eastAsia" w:ascii="宋体" w:hAnsi="宋体" w:eastAsia="宋体" w:cs="宋体"/>
          <w:b/>
          <w:bCs/>
          <w:color w:val="auto"/>
          <w:kern w:val="0"/>
          <w:sz w:val="24"/>
          <w:szCs w:val="24"/>
          <w:lang w:val="en-US" w:eastAsia="zh-CN"/>
        </w:rPr>
        <w:t>总价作为评审价。</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1" w:name="_Toc184314431"/>
      <w:bookmarkEnd w:id="31"/>
      <w:bookmarkStart w:id="32" w:name="_Toc184310280"/>
      <w:bookmarkEnd w:id="32"/>
      <w:bookmarkStart w:id="33" w:name="_Toc184312103"/>
      <w:bookmarkEnd w:id="33"/>
      <w:bookmarkStart w:id="34" w:name="_Toc184314447"/>
      <w:bookmarkEnd w:id="34"/>
      <w:bookmarkStart w:id="35" w:name="_Toc184314418"/>
      <w:bookmarkEnd w:id="35"/>
      <w:bookmarkStart w:id="36" w:name="_Toc184313293"/>
      <w:bookmarkEnd w:id="36"/>
      <w:bookmarkStart w:id="37" w:name="_Toc184310284"/>
      <w:bookmarkEnd w:id="37"/>
      <w:bookmarkStart w:id="38" w:name="_Toc184314432"/>
      <w:bookmarkEnd w:id="38"/>
      <w:bookmarkStart w:id="39" w:name="_Toc184308104"/>
      <w:bookmarkEnd w:id="39"/>
      <w:bookmarkStart w:id="40" w:name="_Toc184313245"/>
      <w:bookmarkEnd w:id="40"/>
      <w:bookmarkStart w:id="41" w:name="_Toc184310340"/>
      <w:bookmarkEnd w:id="41"/>
      <w:bookmarkStart w:id="42" w:name="_Toc184313306"/>
      <w:bookmarkEnd w:id="42"/>
      <w:bookmarkStart w:id="43" w:name="_Toc184313264"/>
      <w:bookmarkEnd w:id="43"/>
      <w:bookmarkStart w:id="44" w:name="_Toc184313243"/>
      <w:bookmarkEnd w:id="44"/>
      <w:bookmarkStart w:id="45" w:name="_Toc184310298"/>
      <w:bookmarkEnd w:id="45"/>
      <w:bookmarkStart w:id="46" w:name="_Toc184314426"/>
      <w:bookmarkEnd w:id="46"/>
      <w:bookmarkStart w:id="47" w:name="_Toc184310308"/>
      <w:bookmarkEnd w:id="47"/>
      <w:bookmarkStart w:id="48" w:name="_Toc184308036"/>
      <w:bookmarkEnd w:id="48"/>
      <w:bookmarkStart w:id="49" w:name="_Toc184310277"/>
      <w:bookmarkEnd w:id="49"/>
      <w:bookmarkStart w:id="50" w:name="_Toc184308107"/>
      <w:bookmarkEnd w:id="50"/>
      <w:bookmarkStart w:id="51" w:name="_Toc184313289"/>
      <w:bookmarkEnd w:id="51"/>
      <w:bookmarkStart w:id="52" w:name="_Toc184308108"/>
      <w:bookmarkEnd w:id="52"/>
      <w:bookmarkStart w:id="53" w:name="_Toc184308048"/>
      <w:bookmarkEnd w:id="53"/>
      <w:bookmarkStart w:id="54" w:name="_Toc184314461"/>
      <w:bookmarkEnd w:id="54"/>
      <w:bookmarkStart w:id="55" w:name="_Toc184310331"/>
      <w:bookmarkEnd w:id="55"/>
      <w:bookmarkStart w:id="56" w:name="_Toc184308064"/>
      <w:bookmarkEnd w:id="56"/>
      <w:bookmarkStart w:id="57" w:name="_Toc184308102"/>
      <w:bookmarkEnd w:id="57"/>
      <w:bookmarkStart w:id="58" w:name="_Toc184310294"/>
      <w:bookmarkEnd w:id="58"/>
      <w:bookmarkStart w:id="59" w:name="_Toc184308089"/>
      <w:bookmarkEnd w:id="59"/>
      <w:bookmarkStart w:id="60" w:name="_Toc184310291"/>
      <w:bookmarkEnd w:id="60"/>
      <w:bookmarkStart w:id="61" w:name="_Toc184314412"/>
      <w:bookmarkEnd w:id="61"/>
      <w:bookmarkStart w:id="62" w:name="_Toc184312087"/>
      <w:bookmarkEnd w:id="62"/>
      <w:bookmarkStart w:id="63" w:name="_Toc184310300"/>
      <w:bookmarkEnd w:id="63"/>
      <w:bookmarkStart w:id="64" w:name="_Toc184310274"/>
      <w:bookmarkEnd w:id="64"/>
      <w:bookmarkStart w:id="65" w:name="_Toc184314463"/>
      <w:bookmarkEnd w:id="65"/>
      <w:bookmarkStart w:id="66" w:name="_Toc184313251"/>
      <w:bookmarkEnd w:id="66"/>
      <w:bookmarkStart w:id="67" w:name="_Toc184314444"/>
      <w:bookmarkEnd w:id="67"/>
      <w:bookmarkStart w:id="68" w:name="_Toc184314467"/>
      <w:bookmarkEnd w:id="68"/>
      <w:bookmarkStart w:id="69" w:name="_Toc184313266"/>
      <w:bookmarkEnd w:id="69"/>
      <w:bookmarkStart w:id="70" w:name="_Toc184312138"/>
      <w:bookmarkEnd w:id="70"/>
      <w:bookmarkStart w:id="71" w:name="_Toc184314477"/>
      <w:bookmarkEnd w:id="71"/>
      <w:bookmarkStart w:id="72" w:name="_Toc184310306"/>
      <w:bookmarkEnd w:id="72"/>
      <w:bookmarkStart w:id="73" w:name="_Toc184314419"/>
      <w:bookmarkEnd w:id="73"/>
      <w:bookmarkStart w:id="74" w:name="_Toc184314429"/>
      <w:bookmarkEnd w:id="74"/>
      <w:bookmarkStart w:id="75" w:name="_Toc184310290"/>
      <w:bookmarkEnd w:id="75"/>
      <w:bookmarkStart w:id="76" w:name="_Toc184313299"/>
      <w:bookmarkEnd w:id="76"/>
      <w:bookmarkStart w:id="77" w:name="_Toc184313305"/>
      <w:bookmarkEnd w:id="77"/>
      <w:bookmarkStart w:id="78" w:name="_Toc184310320"/>
      <w:bookmarkEnd w:id="78"/>
      <w:bookmarkStart w:id="79" w:name="_Toc184310314"/>
      <w:bookmarkEnd w:id="79"/>
      <w:bookmarkStart w:id="80" w:name="_Toc184312101"/>
      <w:bookmarkEnd w:id="80"/>
      <w:bookmarkStart w:id="81" w:name="_Toc184313283"/>
      <w:bookmarkEnd w:id="81"/>
      <w:bookmarkStart w:id="82" w:name="_Toc184308100"/>
      <w:bookmarkEnd w:id="82"/>
      <w:bookmarkStart w:id="83" w:name="_Toc184313268"/>
      <w:bookmarkEnd w:id="83"/>
      <w:bookmarkStart w:id="84" w:name="_Toc184308053"/>
      <w:bookmarkEnd w:id="84"/>
      <w:bookmarkStart w:id="85" w:name="_Toc184314448"/>
      <w:bookmarkEnd w:id="85"/>
      <w:bookmarkStart w:id="86" w:name="_Toc184312121"/>
      <w:bookmarkEnd w:id="86"/>
      <w:bookmarkStart w:id="87" w:name="_Toc184313290"/>
      <w:bookmarkEnd w:id="87"/>
      <w:bookmarkStart w:id="88" w:name="_Toc184314420"/>
      <w:bookmarkEnd w:id="88"/>
      <w:bookmarkStart w:id="89" w:name="_Toc184314417"/>
      <w:bookmarkEnd w:id="89"/>
      <w:bookmarkStart w:id="90" w:name="_Toc184314476"/>
      <w:bookmarkEnd w:id="90"/>
      <w:bookmarkStart w:id="91" w:name="_Toc184313240"/>
      <w:bookmarkEnd w:id="91"/>
      <w:bookmarkStart w:id="92" w:name="_Toc184308040"/>
      <w:bookmarkEnd w:id="92"/>
      <w:bookmarkStart w:id="93" w:name="_Toc184308050"/>
      <w:bookmarkEnd w:id="93"/>
      <w:bookmarkStart w:id="94" w:name="_Toc184310322"/>
      <w:bookmarkEnd w:id="94"/>
      <w:bookmarkStart w:id="95" w:name="_Toc184313294"/>
      <w:bookmarkEnd w:id="95"/>
      <w:bookmarkStart w:id="96" w:name="_Toc184310301"/>
      <w:bookmarkEnd w:id="96"/>
      <w:bookmarkStart w:id="97" w:name="_Toc184308086"/>
      <w:bookmarkEnd w:id="97"/>
      <w:bookmarkStart w:id="98" w:name="_Toc184313300"/>
      <w:bookmarkEnd w:id="98"/>
      <w:bookmarkStart w:id="99" w:name="_Toc184308068"/>
      <w:bookmarkEnd w:id="99"/>
      <w:bookmarkStart w:id="100" w:name="_Toc184312128"/>
      <w:bookmarkEnd w:id="100"/>
      <w:bookmarkStart w:id="101" w:name="_Toc184312073"/>
      <w:bookmarkEnd w:id="101"/>
      <w:bookmarkStart w:id="102" w:name="_Toc184313254"/>
      <w:bookmarkEnd w:id="102"/>
      <w:bookmarkStart w:id="103" w:name="_Toc184310273"/>
      <w:bookmarkEnd w:id="103"/>
      <w:bookmarkStart w:id="104" w:name="_Toc184310292"/>
      <w:bookmarkEnd w:id="104"/>
      <w:bookmarkStart w:id="105" w:name="_Toc184308075"/>
      <w:bookmarkEnd w:id="105"/>
      <w:bookmarkStart w:id="106" w:name="_Toc184314454"/>
      <w:bookmarkEnd w:id="106"/>
      <w:bookmarkStart w:id="107" w:name="_Toc184312081"/>
      <w:bookmarkEnd w:id="107"/>
      <w:bookmarkStart w:id="108" w:name="_Toc184312125"/>
      <w:bookmarkEnd w:id="108"/>
      <w:bookmarkStart w:id="109" w:name="_Toc184313309"/>
      <w:bookmarkEnd w:id="109"/>
      <w:bookmarkStart w:id="110" w:name="_Toc184310310"/>
      <w:bookmarkEnd w:id="110"/>
      <w:bookmarkStart w:id="111" w:name="_Toc184314452"/>
      <w:bookmarkEnd w:id="111"/>
      <w:bookmarkStart w:id="112" w:name="_Toc184310341"/>
      <w:bookmarkEnd w:id="112"/>
      <w:bookmarkStart w:id="113" w:name="_Toc184308077"/>
      <w:bookmarkEnd w:id="113"/>
      <w:bookmarkStart w:id="114" w:name="_Toc184314445"/>
      <w:bookmarkEnd w:id="114"/>
      <w:bookmarkStart w:id="115" w:name="_Toc184308095"/>
      <w:bookmarkEnd w:id="115"/>
      <w:bookmarkStart w:id="116" w:name="_Toc184314416"/>
      <w:bookmarkEnd w:id="116"/>
      <w:bookmarkStart w:id="117" w:name="_Toc184313274"/>
      <w:bookmarkEnd w:id="117"/>
      <w:bookmarkStart w:id="118" w:name="_Toc184312076"/>
      <w:bookmarkEnd w:id="118"/>
      <w:bookmarkStart w:id="119" w:name="_Toc184312092"/>
      <w:bookmarkEnd w:id="119"/>
      <w:bookmarkStart w:id="120" w:name="_Toc184313271"/>
      <w:bookmarkEnd w:id="120"/>
      <w:bookmarkStart w:id="121" w:name="_Toc184314457"/>
      <w:bookmarkEnd w:id="121"/>
      <w:bookmarkStart w:id="122" w:name="_Toc184314438"/>
      <w:bookmarkEnd w:id="122"/>
      <w:bookmarkStart w:id="123" w:name="_Toc184313256"/>
      <w:bookmarkEnd w:id="123"/>
      <w:bookmarkStart w:id="124" w:name="_Toc184312124"/>
      <w:bookmarkEnd w:id="124"/>
      <w:bookmarkStart w:id="125" w:name="_Toc184310339"/>
      <w:bookmarkEnd w:id="125"/>
      <w:bookmarkStart w:id="126" w:name="_Toc184310309"/>
      <w:bookmarkEnd w:id="126"/>
      <w:bookmarkStart w:id="127" w:name="_Toc184308039"/>
      <w:bookmarkEnd w:id="127"/>
      <w:bookmarkStart w:id="128" w:name="_Toc184308073"/>
      <w:bookmarkEnd w:id="128"/>
      <w:bookmarkStart w:id="129" w:name="_Toc184310315"/>
      <w:bookmarkEnd w:id="129"/>
      <w:bookmarkStart w:id="130" w:name="_Toc184312097"/>
      <w:bookmarkEnd w:id="130"/>
      <w:bookmarkStart w:id="131" w:name="_Toc184312085"/>
      <w:bookmarkEnd w:id="131"/>
      <w:bookmarkStart w:id="132" w:name="_Toc184310328"/>
      <w:bookmarkEnd w:id="132"/>
      <w:bookmarkStart w:id="133" w:name="_Toc184308060"/>
      <w:bookmarkEnd w:id="133"/>
      <w:bookmarkStart w:id="134" w:name="_Toc184312126"/>
      <w:bookmarkEnd w:id="134"/>
      <w:bookmarkStart w:id="135" w:name="_Toc184310342"/>
      <w:bookmarkEnd w:id="135"/>
      <w:bookmarkStart w:id="136" w:name="_Toc184312086"/>
      <w:bookmarkEnd w:id="136"/>
      <w:bookmarkStart w:id="137" w:name="_Toc184310276"/>
      <w:bookmarkEnd w:id="137"/>
      <w:bookmarkStart w:id="138" w:name="_Toc184313267"/>
      <w:bookmarkEnd w:id="138"/>
      <w:bookmarkStart w:id="139" w:name="_Toc184314451"/>
      <w:bookmarkEnd w:id="139"/>
      <w:bookmarkStart w:id="140" w:name="_Toc184313257"/>
      <w:bookmarkEnd w:id="140"/>
      <w:bookmarkStart w:id="141" w:name="_Toc184314421"/>
      <w:bookmarkEnd w:id="141"/>
      <w:bookmarkStart w:id="142" w:name="_Toc184313292"/>
      <w:bookmarkEnd w:id="142"/>
      <w:bookmarkStart w:id="143" w:name="_Toc184310297"/>
      <w:bookmarkEnd w:id="143"/>
      <w:bookmarkStart w:id="144" w:name="_Toc184310279"/>
      <w:bookmarkEnd w:id="144"/>
      <w:bookmarkStart w:id="145" w:name="_Toc184310305"/>
      <w:bookmarkEnd w:id="145"/>
      <w:bookmarkStart w:id="146" w:name="_Toc184312070"/>
      <w:bookmarkEnd w:id="146"/>
      <w:bookmarkStart w:id="147" w:name="_Toc184308066"/>
      <w:bookmarkEnd w:id="147"/>
      <w:bookmarkStart w:id="148" w:name="_Toc184314472"/>
      <w:bookmarkEnd w:id="148"/>
      <w:bookmarkStart w:id="149" w:name="_Toc184312122"/>
      <w:bookmarkEnd w:id="149"/>
      <w:bookmarkStart w:id="150" w:name="_Toc184310344"/>
      <w:bookmarkEnd w:id="150"/>
      <w:bookmarkStart w:id="151" w:name="_Toc184310295"/>
      <w:bookmarkEnd w:id="151"/>
      <w:bookmarkStart w:id="152" w:name="_Toc184314460"/>
      <w:bookmarkEnd w:id="152"/>
      <w:bookmarkStart w:id="153" w:name="_Toc184310337"/>
      <w:bookmarkEnd w:id="153"/>
      <w:bookmarkStart w:id="154" w:name="_Toc184314423"/>
      <w:bookmarkEnd w:id="154"/>
      <w:bookmarkStart w:id="155" w:name="_Toc184312077"/>
      <w:bookmarkEnd w:id="155"/>
      <w:bookmarkStart w:id="156" w:name="_Toc184312116"/>
      <w:bookmarkEnd w:id="156"/>
      <w:bookmarkStart w:id="157" w:name="_Toc184308063"/>
      <w:bookmarkEnd w:id="157"/>
      <w:bookmarkStart w:id="158" w:name="_Toc184308088"/>
      <w:bookmarkEnd w:id="158"/>
      <w:bookmarkStart w:id="159" w:name="_Toc184308079"/>
      <w:bookmarkEnd w:id="159"/>
      <w:bookmarkStart w:id="160" w:name="_Toc184310330"/>
      <w:bookmarkEnd w:id="160"/>
      <w:bookmarkStart w:id="161" w:name="_Toc184314441"/>
      <w:bookmarkEnd w:id="161"/>
      <w:bookmarkStart w:id="162" w:name="_Toc184310317"/>
      <w:bookmarkEnd w:id="162"/>
      <w:bookmarkStart w:id="163" w:name="_Toc184313288"/>
      <w:bookmarkEnd w:id="163"/>
      <w:bookmarkStart w:id="164" w:name="_Toc184312120"/>
      <w:bookmarkEnd w:id="164"/>
      <w:bookmarkStart w:id="165" w:name="_Toc184310316"/>
      <w:bookmarkEnd w:id="165"/>
      <w:bookmarkStart w:id="166" w:name="_Toc184312082"/>
      <w:bookmarkEnd w:id="166"/>
      <w:bookmarkStart w:id="167" w:name="_Toc184310326"/>
      <w:bookmarkEnd w:id="167"/>
      <w:bookmarkStart w:id="168" w:name="_Toc184314475"/>
      <w:bookmarkEnd w:id="168"/>
      <w:bookmarkStart w:id="169" w:name="_Toc184314411"/>
      <w:bookmarkEnd w:id="169"/>
      <w:bookmarkStart w:id="170" w:name="_Toc184313282"/>
      <w:bookmarkEnd w:id="170"/>
      <w:bookmarkStart w:id="171" w:name="_Toc184313252"/>
      <w:bookmarkEnd w:id="171"/>
      <w:bookmarkStart w:id="172" w:name="_Toc184308062"/>
      <w:bookmarkEnd w:id="172"/>
      <w:bookmarkStart w:id="173" w:name="_Toc184310272"/>
      <w:bookmarkEnd w:id="173"/>
      <w:bookmarkStart w:id="174" w:name="_Toc184310319"/>
      <w:bookmarkEnd w:id="174"/>
      <w:bookmarkStart w:id="175" w:name="_Toc184312080"/>
      <w:bookmarkEnd w:id="175"/>
      <w:bookmarkStart w:id="176" w:name="_Toc184310312"/>
      <w:bookmarkEnd w:id="176"/>
      <w:bookmarkStart w:id="177" w:name="_Toc184313248"/>
      <w:bookmarkEnd w:id="177"/>
      <w:bookmarkStart w:id="178" w:name="_Toc184314440"/>
      <w:bookmarkEnd w:id="178"/>
      <w:bookmarkStart w:id="179" w:name="_Toc184313247"/>
      <w:bookmarkEnd w:id="179"/>
      <w:bookmarkStart w:id="180" w:name="_Toc184308051"/>
      <w:bookmarkEnd w:id="180"/>
      <w:bookmarkStart w:id="181" w:name="_Toc184312068"/>
      <w:bookmarkEnd w:id="181"/>
      <w:bookmarkStart w:id="182" w:name="_Toc184312088"/>
      <w:bookmarkEnd w:id="182"/>
      <w:bookmarkStart w:id="183" w:name="_Toc184310307"/>
      <w:bookmarkEnd w:id="183"/>
      <w:bookmarkStart w:id="184" w:name="_Toc184308096"/>
      <w:bookmarkEnd w:id="184"/>
      <w:bookmarkStart w:id="185" w:name="_Toc184308055"/>
      <w:bookmarkEnd w:id="185"/>
      <w:bookmarkStart w:id="186" w:name="_Toc184312107"/>
      <w:bookmarkEnd w:id="186"/>
      <w:bookmarkStart w:id="187" w:name="_Toc184310299"/>
      <w:bookmarkEnd w:id="187"/>
      <w:bookmarkStart w:id="188" w:name="_Toc184314424"/>
      <w:bookmarkEnd w:id="188"/>
      <w:bookmarkStart w:id="189" w:name="_Toc184308106"/>
      <w:bookmarkEnd w:id="189"/>
      <w:bookmarkStart w:id="190" w:name="_Toc184308098"/>
      <w:bookmarkEnd w:id="190"/>
      <w:bookmarkStart w:id="191" w:name="_Toc184313284"/>
      <w:bookmarkEnd w:id="191"/>
      <w:bookmarkStart w:id="192" w:name="_Toc184310313"/>
      <w:bookmarkEnd w:id="192"/>
      <w:bookmarkStart w:id="193" w:name="_Toc184313287"/>
      <w:bookmarkEnd w:id="193"/>
      <w:bookmarkStart w:id="194" w:name="_Toc184314437"/>
      <w:bookmarkEnd w:id="194"/>
      <w:bookmarkStart w:id="195" w:name="_Toc184313302"/>
      <w:bookmarkEnd w:id="195"/>
      <w:bookmarkStart w:id="196" w:name="_Toc184310287"/>
      <w:bookmarkEnd w:id="196"/>
      <w:bookmarkStart w:id="197" w:name="_Toc184308078"/>
      <w:bookmarkEnd w:id="197"/>
      <w:bookmarkStart w:id="198" w:name="_Toc184310338"/>
      <w:bookmarkEnd w:id="198"/>
      <w:bookmarkStart w:id="199" w:name="_Toc184308074"/>
      <w:bookmarkEnd w:id="199"/>
      <w:bookmarkStart w:id="200" w:name="_Toc184308058"/>
      <w:bookmarkEnd w:id="200"/>
      <w:bookmarkStart w:id="201" w:name="_Toc184313246"/>
      <w:bookmarkEnd w:id="201"/>
      <w:bookmarkStart w:id="202" w:name="_Toc184308076"/>
      <w:bookmarkEnd w:id="202"/>
      <w:bookmarkStart w:id="203" w:name="_Toc184310332"/>
      <w:bookmarkEnd w:id="203"/>
      <w:bookmarkStart w:id="204" w:name="_Toc184312127"/>
      <w:bookmarkEnd w:id="204"/>
      <w:bookmarkStart w:id="205" w:name="_Toc184312099"/>
      <w:bookmarkEnd w:id="205"/>
      <w:bookmarkStart w:id="206" w:name="_Toc184313265"/>
      <w:bookmarkEnd w:id="206"/>
      <w:bookmarkStart w:id="207" w:name="_Toc184313301"/>
      <w:bookmarkEnd w:id="207"/>
      <w:bookmarkStart w:id="208" w:name="_Toc184310285"/>
      <w:bookmarkEnd w:id="208"/>
      <w:bookmarkStart w:id="209" w:name="_Toc184308099"/>
      <w:bookmarkEnd w:id="209"/>
      <w:bookmarkStart w:id="210" w:name="_Toc184308056"/>
      <w:bookmarkEnd w:id="210"/>
      <w:bookmarkStart w:id="211" w:name="_Toc184310323"/>
      <w:bookmarkEnd w:id="211"/>
      <w:bookmarkStart w:id="212" w:name="_Toc184312136"/>
      <w:bookmarkEnd w:id="212"/>
      <w:bookmarkStart w:id="213" w:name="_Toc184314450"/>
      <w:bookmarkEnd w:id="213"/>
      <w:bookmarkStart w:id="214" w:name="_Toc184313279"/>
      <w:bookmarkEnd w:id="214"/>
      <w:bookmarkStart w:id="215" w:name="_Toc184313277"/>
      <w:bookmarkEnd w:id="215"/>
      <w:bookmarkStart w:id="216" w:name="_Toc184308037"/>
      <w:bookmarkEnd w:id="216"/>
      <w:bookmarkStart w:id="217" w:name="_Toc184312135"/>
      <w:bookmarkEnd w:id="217"/>
      <w:bookmarkStart w:id="218" w:name="_Toc184314469"/>
      <w:bookmarkEnd w:id="218"/>
      <w:bookmarkStart w:id="219" w:name="_Toc184313304"/>
      <w:bookmarkEnd w:id="219"/>
      <w:bookmarkStart w:id="220" w:name="_Toc184312130"/>
      <w:bookmarkEnd w:id="220"/>
      <w:bookmarkStart w:id="221" w:name="_Toc184314446"/>
      <w:bookmarkEnd w:id="221"/>
      <w:bookmarkStart w:id="222" w:name="_Toc184313280"/>
      <w:bookmarkEnd w:id="222"/>
      <w:bookmarkStart w:id="223" w:name="_Toc184314480"/>
      <w:bookmarkEnd w:id="223"/>
      <w:bookmarkStart w:id="224" w:name="_Toc184314455"/>
      <w:bookmarkEnd w:id="224"/>
      <w:bookmarkStart w:id="225" w:name="_Toc184314436"/>
      <w:bookmarkEnd w:id="225"/>
      <w:bookmarkStart w:id="226" w:name="_Toc184314413"/>
      <w:bookmarkEnd w:id="226"/>
      <w:bookmarkStart w:id="227" w:name="_Toc184312119"/>
      <w:bookmarkEnd w:id="227"/>
      <w:bookmarkStart w:id="228" w:name="_Toc184313239"/>
      <w:bookmarkEnd w:id="228"/>
      <w:bookmarkStart w:id="229" w:name="_Toc184314439"/>
      <w:bookmarkEnd w:id="229"/>
      <w:bookmarkStart w:id="230" w:name="_Toc184312112"/>
      <w:bookmarkEnd w:id="230"/>
      <w:bookmarkStart w:id="231" w:name="_Toc184308071"/>
      <w:bookmarkEnd w:id="231"/>
      <w:bookmarkStart w:id="232" w:name="_Toc184312104"/>
      <w:bookmarkEnd w:id="232"/>
      <w:bookmarkStart w:id="233" w:name="_Toc184313285"/>
      <w:bookmarkEnd w:id="233"/>
      <w:bookmarkStart w:id="234" w:name="_Toc184313275"/>
      <w:bookmarkEnd w:id="234"/>
      <w:bookmarkStart w:id="235" w:name="_Toc184313249"/>
      <w:bookmarkEnd w:id="235"/>
      <w:bookmarkStart w:id="236" w:name="_Toc184308038"/>
      <w:bookmarkEnd w:id="236"/>
      <w:bookmarkStart w:id="237" w:name="_Toc184314434"/>
      <w:bookmarkEnd w:id="237"/>
      <w:bookmarkStart w:id="238" w:name="_Toc184313244"/>
      <w:bookmarkEnd w:id="238"/>
      <w:bookmarkStart w:id="239" w:name="_Toc184308049"/>
      <w:bookmarkEnd w:id="239"/>
      <w:bookmarkStart w:id="240" w:name="_Toc184308045"/>
      <w:bookmarkEnd w:id="240"/>
      <w:bookmarkStart w:id="241" w:name="_Toc184312083"/>
      <w:bookmarkEnd w:id="241"/>
      <w:bookmarkStart w:id="242" w:name="_Toc184314478"/>
      <w:bookmarkEnd w:id="242"/>
      <w:bookmarkStart w:id="243" w:name="_Toc184308072"/>
      <w:bookmarkEnd w:id="243"/>
      <w:bookmarkStart w:id="244" w:name="_Toc184313270"/>
      <w:bookmarkEnd w:id="244"/>
      <w:bookmarkStart w:id="245" w:name="_Toc184310283"/>
      <w:bookmarkEnd w:id="245"/>
      <w:bookmarkStart w:id="246" w:name="_Toc184308043"/>
      <w:bookmarkEnd w:id="246"/>
      <w:bookmarkStart w:id="247" w:name="_Toc184310278"/>
      <w:bookmarkEnd w:id="247"/>
      <w:bookmarkStart w:id="248" w:name="_Toc184312093"/>
      <w:bookmarkEnd w:id="248"/>
      <w:bookmarkStart w:id="249" w:name="_Toc184310293"/>
      <w:bookmarkEnd w:id="249"/>
      <w:bookmarkStart w:id="250" w:name="_Toc184312075"/>
      <w:bookmarkEnd w:id="250"/>
      <w:bookmarkStart w:id="251" w:name="_Toc184314462"/>
      <w:bookmarkEnd w:id="251"/>
      <w:bookmarkStart w:id="252" w:name="_Toc184310311"/>
      <w:bookmarkEnd w:id="252"/>
      <w:bookmarkStart w:id="253" w:name="_Toc184314410"/>
      <w:bookmarkEnd w:id="253"/>
      <w:bookmarkStart w:id="254" w:name="_Toc184312137"/>
      <w:bookmarkEnd w:id="254"/>
      <w:bookmarkStart w:id="255" w:name="_Toc184308041"/>
      <w:bookmarkEnd w:id="255"/>
      <w:bookmarkStart w:id="256" w:name="_Toc184310343"/>
      <w:bookmarkEnd w:id="256"/>
      <w:bookmarkStart w:id="257" w:name="_Toc184308052"/>
      <w:bookmarkEnd w:id="257"/>
      <w:bookmarkStart w:id="258" w:name="_Toc184312071"/>
      <w:bookmarkEnd w:id="258"/>
      <w:bookmarkStart w:id="259" w:name="_Toc184314479"/>
      <w:bookmarkEnd w:id="259"/>
      <w:bookmarkStart w:id="260" w:name="_Toc184314474"/>
      <w:bookmarkEnd w:id="260"/>
      <w:bookmarkStart w:id="261" w:name="_Toc184308084"/>
      <w:bookmarkEnd w:id="261"/>
      <w:bookmarkStart w:id="262" w:name="_Toc184312100"/>
      <w:bookmarkEnd w:id="262"/>
      <w:bookmarkStart w:id="263" w:name="_Toc184312113"/>
      <w:bookmarkEnd w:id="263"/>
      <w:bookmarkStart w:id="264" w:name="_Toc184314471"/>
      <w:bookmarkEnd w:id="264"/>
      <w:bookmarkStart w:id="265" w:name="_Toc184310302"/>
      <w:bookmarkEnd w:id="265"/>
      <w:bookmarkStart w:id="266" w:name="_Toc184314470"/>
      <w:bookmarkEnd w:id="266"/>
      <w:bookmarkStart w:id="267" w:name="_Toc184314466"/>
      <w:bookmarkEnd w:id="267"/>
      <w:bookmarkStart w:id="268" w:name="_Toc184308101"/>
      <w:bookmarkEnd w:id="268"/>
      <w:bookmarkStart w:id="269" w:name="_Toc184312134"/>
      <w:bookmarkEnd w:id="269"/>
      <w:bookmarkStart w:id="270" w:name="_Toc184308083"/>
      <w:bookmarkEnd w:id="270"/>
      <w:bookmarkStart w:id="271" w:name="_Toc184313307"/>
      <w:bookmarkEnd w:id="271"/>
      <w:bookmarkStart w:id="272" w:name="_Toc184313310"/>
      <w:bookmarkEnd w:id="272"/>
      <w:bookmarkStart w:id="273" w:name="_Toc184312072"/>
      <w:bookmarkEnd w:id="273"/>
      <w:bookmarkStart w:id="274" w:name="_Toc184308105"/>
      <w:bookmarkEnd w:id="274"/>
      <w:bookmarkStart w:id="275" w:name="_Toc184310275"/>
      <w:bookmarkEnd w:id="275"/>
      <w:bookmarkStart w:id="276" w:name="_Toc184312094"/>
      <w:bookmarkEnd w:id="276"/>
      <w:bookmarkStart w:id="277" w:name="_Toc184310296"/>
      <w:bookmarkEnd w:id="277"/>
      <w:bookmarkStart w:id="278" w:name="_Toc184313260"/>
      <w:bookmarkEnd w:id="278"/>
      <w:bookmarkStart w:id="279" w:name="_Toc184308054"/>
      <w:bookmarkEnd w:id="279"/>
      <w:bookmarkStart w:id="280" w:name="_Toc184313296"/>
      <w:bookmarkEnd w:id="280"/>
      <w:bookmarkStart w:id="281" w:name="_Toc184310327"/>
      <w:bookmarkEnd w:id="281"/>
      <w:bookmarkStart w:id="282" w:name="_Toc184313238"/>
      <w:bookmarkEnd w:id="282"/>
      <w:bookmarkStart w:id="283" w:name="_Toc184313263"/>
      <w:bookmarkEnd w:id="283"/>
      <w:bookmarkStart w:id="284" w:name="_Toc184314482"/>
      <w:bookmarkEnd w:id="284"/>
      <w:bookmarkStart w:id="285" w:name="_Toc184312111"/>
      <w:bookmarkEnd w:id="285"/>
      <w:bookmarkStart w:id="286" w:name="_Toc184312131"/>
      <w:bookmarkEnd w:id="286"/>
      <w:bookmarkStart w:id="287" w:name="_Toc184308081"/>
      <w:bookmarkEnd w:id="287"/>
      <w:bookmarkStart w:id="288" w:name="_Toc184308061"/>
      <w:bookmarkEnd w:id="288"/>
      <w:bookmarkStart w:id="289" w:name="_Toc184313269"/>
      <w:bookmarkEnd w:id="289"/>
      <w:bookmarkStart w:id="290" w:name="_Toc184310333"/>
      <w:bookmarkEnd w:id="290"/>
      <w:bookmarkStart w:id="291" w:name="_Toc184312118"/>
      <w:bookmarkEnd w:id="291"/>
      <w:bookmarkStart w:id="292" w:name="_Toc184314435"/>
      <w:bookmarkEnd w:id="292"/>
      <w:bookmarkStart w:id="293" w:name="_Toc184310289"/>
      <w:bookmarkEnd w:id="293"/>
      <w:bookmarkStart w:id="294" w:name="_Toc184314415"/>
      <w:bookmarkEnd w:id="294"/>
      <w:bookmarkStart w:id="295" w:name="_Toc184308046"/>
      <w:bookmarkEnd w:id="295"/>
      <w:bookmarkStart w:id="296" w:name="_Toc184312102"/>
      <w:bookmarkEnd w:id="296"/>
      <w:bookmarkStart w:id="297" w:name="_Toc184308082"/>
      <w:bookmarkEnd w:id="297"/>
      <w:bookmarkStart w:id="298" w:name="_Toc184314464"/>
      <w:bookmarkEnd w:id="298"/>
      <w:bookmarkStart w:id="299" w:name="_Toc184313286"/>
      <w:bookmarkEnd w:id="299"/>
      <w:bookmarkStart w:id="300" w:name="_Toc184313297"/>
      <w:bookmarkEnd w:id="300"/>
      <w:bookmarkStart w:id="301" w:name="_Toc184308103"/>
      <w:bookmarkEnd w:id="301"/>
      <w:bookmarkStart w:id="302" w:name="_Toc184308090"/>
      <w:bookmarkEnd w:id="302"/>
      <w:bookmarkStart w:id="303" w:name="_Toc184313258"/>
      <w:bookmarkEnd w:id="303"/>
      <w:bookmarkStart w:id="304" w:name="_Toc184312069"/>
      <w:bookmarkEnd w:id="304"/>
      <w:bookmarkStart w:id="305" w:name="_Toc184312090"/>
      <w:bookmarkEnd w:id="305"/>
      <w:bookmarkStart w:id="306" w:name="_Toc184314443"/>
      <w:bookmarkEnd w:id="306"/>
      <w:bookmarkStart w:id="307" w:name="_Toc184312078"/>
      <w:bookmarkEnd w:id="307"/>
      <w:bookmarkStart w:id="308" w:name="_Toc184314422"/>
      <w:bookmarkEnd w:id="308"/>
      <w:bookmarkStart w:id="309" w:name="_Toc184313262"/>
      <w:bookmarkEnd w:id="309"/>
      <w:bookmarkStart w:id="310" w:name="_Toc184312123"/>
      <w:bookmarkEnd w:id="310"/>
      <w:bookmarkStart w:id="311" w:name="_Toc184312114"/>
      <w:bookmarkEnd w:id="311"/>
      <w:bookmarkStart w:id="312" w:name="_Toc184314458"/>
      <w:bookmarkEnd w:id="312"/>
      <w:bookmarkStart w:id="313" w:name="_Toc184312132"/>
      <w:bookmarkEnd w:id="313"/>
      <w:bookmarkStart w:id="314" w:name="_Toc184313303"/>
      <w:bookmarkEnd w:id="314"/>
      <w:bookmarkStart w:id="315" w:name="_Toc184310336"/>
      <w:bookmarkEnd w:id="315"/>
      <w:bookmarkStart w:id="316" w:name="_Toc184313276"/>
      <w:bookmarkEnd w:id="316"/>
      <w:bookmarkStart w:id="317" w:name="_Toc184308070"/>
      <w:bookmarkEnd w:id="317"/>
      <w:bookmarkStart w:id="318" w:name="_Toc184313255"/>
      <w:bookmarkEnd w:id="318"/>
      <w:bookmarkStart w:id="319" w:name="_Toc184310334"/>
      <w:bookmarkEnd w:id="319"/>
      <w:bookmarkStart w:id="320" w:name="_Toc184310318"/>
      <w:bookmarkEnd w:id="320"/>
      <w:bookmarkStart w:id="321" w:name="_Toc184313250"/>
      <w:bookmarkEnd w:id="321"/>
      <w:bookmarkStart w:id="322" w:name="_Toc184310288"/>
      <w:bookmarkEnd w:id="322"/>
      <w:bookmarkStart w:id="323" w:name="_Toc184314456"/>
      <w:bookmarkEnd w:id="323"/>
      <w:bookmarkStart w:id="324" w:name="_Toc184314459"/>
      <w:bookmarkEnd w:id="324"/>
      <w:bookmarkStart w:id="325" w:name="_Toc184308065"/>
      <w:bookmarkEnd w:id="325"/>
      <w:bookmarkStart w:id="326" w:name="_Toc184313272"/>
      <w:bookmarkEnd w:id="326"/>
      <w:bookmarkStart w:id="327" w:name="_Toc184308092"/>
      <w:bookmarkEnd w:id="327"/>
      <w:bookmarkStart w:id="328" w:name="_Toc184313281"/>
      <w:bookmarkEnd w:id="328"/>
      <w:bookmarkStart w:id="329" w:name="_Toc184312117"/>
      <w:bookmarkEnd w:id="329"/>
      <w:bookmarkStart w:id="330" w:name="_Toc184313253"/>
      <w:bookmarkEnd w:id="330"/>
      <w:bookmarkStart w:id="331" w:name="_Toc184312115"/>
      <w:bookmarkEnd w:id="331"/>
      <w:bookmarkStart w:id="332" w:name="_Toc184313308"/>
      <w:bookmarkEnd w:id="332"/>
      <w:bookmarkStart w:id="333" w:name="_Toc184313242"/>
      <w:bookmarkEnd w:id="333"/>
      <w:bookmarkStart w:id="334" w:name="_Toc184314427"/>
      <w:bookmarkEnd w:id="334"/>
      <w:bookmarkStart w:id="335" w:name="_Toc184308094"/>
      <w:bookmarkEnd w:id="335"/>
      <w:bookmarkStart w:id="336" w:name="_Toc184308042"/>
      <w:bookmarkEnd w:id="336"/>
      <w:bookmarkStart w:id="337" w:name="_Toc184314428"/>
      <w:bookmarkEnd w:id="337"/>
      <w:bookmarkStart w:id="338" w:name="_Toc184313291"/>
      <w:bookmarkEnd w:id="338"/>
      <w:bookmarkStart w:id="339" w:name="_Toc184312098"/>
      <w:bookmarkEnd w:id="339"/>
      <w:bookmarkStart w:id="340" w:name="_Toc184312133"/>
      <w:bookmarkEnd w:id="340"/>
      <w:bookmarkStart w:id="341" w:name="_Toc184314425"/>
      <w:bookmarkEnd w:id="341"/>
      <w:bookmarkStart w:id="342" w:name="_Toc184308069"/>
      <w:bookmarkEnd w:id="342"/>
      <w:bookmarkStart w:id="343" w:name="_Toc184310303"/>
      <w:bookmarkEnd w:id="343"/>
      <w:bookmarkStart w:id="344" w:name="_Toc184308067"/>
      <w:bookmarkEnd w:id="344"/>
      <w:bookmarkStart w:id="345" w:name="_Toc184312091"/>
      <w:bookmarkEnd w:id="345"/>
      <w:bookmarkStart w:id="346" w:name="_Toc184313295"/>
      <w:bookmarkEnd w:id="346"/>
      <w:bookmarkStart w:id="347" w:name="_Toc184313241"/>
      <w:bookmarkEnd w:id="347"/>
      <w:bookmarkStart w:id="348" w:name="_Toc184312129"/>
      <w:bookmarkEnd w:id="348"/>
      <w:bookmarkStart w:id="349" w:name="_Toc184312109"/>
      <w:bookmarkEnd w:id="349"/>
      <w:bookmarkStart w:id="350" w:name="_Toc184310324"/>
      <w:bookmarkEnd w:id="350"/>
      <w:bookmarkStart w:id="351" w:name="_Toc184312074"/>
      <w:bookmarkEnd w:id="351"/>
      <w:bookmarkStart w:id="352" w:name="_Toc184312079"/>
      <w:bookmarkEnd w:id="352"/>
      <w:bookmarkStart w:id="353" w:name="_Toc184312105"/>
      <w:bookmarkEnd w:id="353"/>
      <w:bookmarkStart w:id="354" w:name="_Toc184312139"/>
      <w:bookmarkEnd w:id="354"/>
      <w:bookmarkStart w:id="355" w:name="_Toc184308085"/>
      <w:bookmarkEnd w:id="355"/>
      <w:bookmarkStart w:id="356" w:name="_Toc184314473"/>
      <w:bookmarkEnd w:id="356"/>
      <w:bookmarkStart w:id="357" w:name="_Toc184312089"/>
      <w:bookmarkEnd w:id="357"/>
      <w:bookmarkStart w:id="358" w:name="_Toc184314442"/>
      <w:bookmarkEnd w:id="358"/>
      <w:bookmarkStart w:id="359" w:name="_Toc184312067"/>
      <w:bookmarkEnd w:id="359"/>
      <w:bookmarkStart w:id="360" w:name="_Toc184310281"/>
      <w:bookmarkEnd w:id="360"/>
      <w:bookmarkStart w:id="361" w:name="_Toc184314433"/>
      <w:bookmarkEnd w:id="361"/>
      <w:bookmarkStart w:id="362" w:name="_Toc184313273"/>
      <w:bookmarkEnd w:id="362"/>
      <w:bookmarkStart w:id="363" w:name="_Toc184308087"/>
      <w:bookmarkEnd w:id="363"/>
      <w:bookmarkStart w:id="364" w:name="_Toc184308059"/>
      <w:bookmarkEnd w:id="364"/>
      <w:bookmarkStart w:id="365" w:name="_Toc184313278"/>
      <w:bookmarkEnd w:id="365"/>
      <w:bookmarkStart w:id="366" w:name="_Toc184314449"/>
      <w:bookmarkEnd w:id="366"/>
      <w:bookmarkStart w:id="367" w:name="_Toc184308093"/>
      <w:bookmarkEnd w:id="367"/>
      <w:bookmarkStart w:id="368" w:name="_Toc184310329"/>
      <w:bookmarkEnd w:id="368"/>
      <w:bookmarkStart w:id="369" w:name="_Toc184308097"/>
      <w:bookmarkEnd w:id="369"/>
      <w:bookmarkStart w:id="370" w:name="_Toc184312110"/>
      <w:bookmarkEnd w:id="370"/>
      <w:bookmarkStart w:id="371" w:name="_Toc184312084"/>
      <w:bookmarkEnd w:id="371"/>
      <w:bookmarkStart w:id="372" w:name="_Toc184312095"/>
      <w:bookmarkEnd w:id="372"/>
      <w:bookmarkStart w:id="373" w:name="_Toc184314465"/>
      <w:bookmarkEnd w:id="373"/>
      <w:bookmarkStart w:id="374" w:name="_Toc184308047"/>
      <w:bookmarkEnd w:id="374"/>
      <w:bookmarkStart w:id="375" w:name="_Toc184308057"/>
      <w:bookmarkEnd w:id="375"/>
      <w:bookmarkStart w:id="376" w:name="_Toc184310282"/>
      <w:bookmarkEnd w:id="376"/>
      <w:bookmarkStart w:id="377" w:name="_Toc184312108"/>
      <w:bookmarkEnd w:id="377"/>
      <w:bookmarkStart w:id="378" w:name="_Toc184314414"/>
      <w:bookmarkEnd w:id="378"/>
      <w:bookmarkStart w:id="379" w:name="_Toc184308044"/>
      <w:bookmarkEnd w:id="379"/>
      <w:bookmarkStart w:id="380" w:name="_Toc184314468"/>
      <w:bookmarkEnd w:id="380"/>
      <w:bookmarkStart w:id="381" w:name="_Toc184313259"/>
      <w:bookmarkEnd w:id="381"/>
      <w:bookmarkStart w:id="382" w:name="_Toc184308080"/>
      <w:bookmarkEnd w:id="382"/>
      <w:bookmarkStart w:id="383" w:name="_Toc184312106"/>
      <w:bookmarkEnd w:id="383"/>
      <w:bookmarkStart w:id="384" w:name="_Toc184308091"/>
      <w:bookmarkEnd w:id="384"/>
      <w:bookmarkStart w:id="385" w:name="_Toc184310321"/>
      <w:bookmarkEnd w:id="385"/>
      <w:bookmarkStart w:id="386" w:name="_Toc184313261"/>
      <w:bookmarkEnd w:id="386"/>
      <w:bookmarkStart w:id="387" w:name="_Toc184310286"/>
      <w:bookmarkEnd w:id="387"/>
      <w:bookmarkStart w:id="388" w:name="_Toc184314481"/>
      <w:bookmarkEnd w:id="388"/>
      <w:bookmarkStart w:id="389" w:name="_Toc184312096"/>
      <w:bookmarkEnd w:id="389"/>
      <w:bookmarkStart w:id="390" w:name="_Toc184314453"/>
      <w:bookmarkEnd w:id="390"/>
      <w:bookmarkStart w:id="391" w:name="_Toc184314430"/>
      <w:bookmarkEnd w:id="391"/>
      <w:bookmarkStart w:id="392" w:name="_Toc184310335"/>
      <w:bookmarkEnd w:id="392"/>
      <w:bookmarkStart w:id="393" w:name="_Toc184310304"/>
      <w:bookmarkEnd w:id="393"/>
      <w:bookmarkStart w:id="394" w:name="_Toc184313298"/>
      <w:bookmarkEnd w:id="394"/>
      <w:bookmarkStart w:id="395" w:name="_Toc184310325"/>
      <w:bookmarkEnd w:id="395"/>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10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9"/>
        <w:gridCol w:w="1348"/>
        <w:gridCol w:w="1391"/>
        <w:gridCol w:w="562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0" w:hRule="atLeast"/>
          <w:jc w:val="center"/>
        </w:trPr>
        <w:tc>
          <w:tcPr>
            <w:tcW w:w="9365" w:type="dxa"/>
            <w:gridSpan w:val="4"/>
            <w:tcBorders>
              <w:left w:val="single" w:color="auto" w:sz="4" w:space="0"/>
              <w:right w:val="single" w:color="auto" w:sz="2" w:space="0"/>
            </w:tcBorders>
            <w:noWrap w:val="0"/>
            <w:vAlign w:val="center"/>
          </w:tcPr>
          <w:p>
            <w:pPr>
              <w:spacing w:line="360" w:lineRule="exact"/>
              <w:ind w:left="0" w:leftChars="0" w:right="0" w:rightChars="0" w:firstLine="0" w:firstLineChars="0"/>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评分项及</w:t>
            </w:r>
            <w:r>
              <w:rPr>
                <w:rFonts w:hint="eastAsia" w:ascii="宋体" w:hAnsi="宋体" w:eastAsia="宋体" w:cs="宋体"/>
                <w:b/>
                <w:bCs/>
                <w:color w:val="000000"/>
                <w:sz w:val="24"/>
                <w:szCs w:val="24"/>
                <w:lang w:val="en-US" w:eastAsia="zh-CN"/>
              </w:rPr>
              <w:t>标准</w:t>
            </w:r>
          </w:p>
        </w:tc>
        <w:tc>
          <w:tcPr>
            <w:tcW w:w="871" w:type="dxa"/>
            <w:tcBorders>
              <w:left w:val="single" w:color="auto" w:sz="4" w:space="0"/>
              <w:right w:val="single" w:color="auto" w:sz="2" w:space="0"/>
            </w:tcBorders>
            <w:noWrap w:val="0"/>
            <w:vAlign w:val="center"/>
          </w:tcPr>
          <w:p>
            <w:pPr>
              <w:spacing w:line="360" w:lineRule="exact"/>
              <w:ind w:left="0" w:leftChars="0" w:right="0" w:rightChars="0" w:firstLine="0" w:firstLineChars="0"/>
              <w:jc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999" w:type="dxa"/>
            <w:vMerge w:val="restart"/>
            <w:tcBorders>
              <w:left w:val="single" w:color="auto" w:sz="4" w:space="0"/>
              <w:right w:val="single" w:color="auto" w:sz="2" w:space="0"/>
            </w:tcBorders>
            <w:noWrap w:val="0"/>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商</w:t>
            </w:r>
          </w:p>
          <w:p>
            <w:pPr>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务</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术</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（80分）</w:t>
            </w:r>
          </w:p>
        </w:tc>
        <w:tc>
          <w:tcPr>
            <w:tcW w:w="1348" w:type="dxa"/>
            <w:tcBorders>
              <w:top w:val="single" w:color="auto" w:sz="2" w:space="0"/>
              <w:left w:val="single" w:color="auto" w:sz="2" w:space="0"/>
              <w:right w:val="single" w:color="auto" w:sz="4" w:space="0"/>
            </w:tcBorders>
            <w:noWrap w:val="0"/>
            <w:vAlign w:val="center"/>
          </w:tcPr>
          <w:p>
            <w:pPr>
              <w:spacing w:line="360" w:lineRule="exact"/>
              <w:ind w:left="0" w:leftChars="0" w:right="0" w:righ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）项目总体理解程度（</w:t>
            </w:r>
            <w:r>
              <w:rPr>
                <w:rFonts w:hint="eastAsia" w:ascii="宋体" w:hAnsi="宋体" w:eastAsia="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7018" w:type="dxa"/>
            <w:gridSpan w:val="2"/>
            <w:tcBorders>
              <w:top w:val="single" w:color="auto" w:sz="2" w:space="0"/>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bCs/>
                <w:sz w:val="24"/>
                <w:szCs w:val="24"/>
              </w:rPr>
              <w:t>对</w:t>
            </w:r>
            <w:r>
              <w:rPr>
                <w:rFonts w:hint="eastAsia" w:ascii="宋体" w:hAnsi="宋体" w:eastAsia="宋体" w:cs="宋体"/>
                <w:bCs/>
                <w:sz w:val="24"/>
                <w:szCs w:val="24"/>
                <w:lang w:val="en-US" w:eastAsia="zh-CN"/>
              </w:rPr>
              <w:t>本</w:t>
            </w:r>
            <w:r>
              <w:rPr>
                <w:rFonts w:hint="eastAsia" w:ascii="宋体" w:hAnsi="宋体" w:eastAsia="宋体" w:cs="宋体"/>
                <w:bCs/>
                <w:sz w:val="24"/>
                <w:szCs w:val="24"/>
              </w:rPr>
              <w:t>项目现有状况</w:t>
            </w:r>
            <w:r>
              <w:rPr>
                <w:rFonts w:hint="eastAsia" w:ascii="宋体" w:hAnsi="宋体" w:eastAsia="宋体" w:cs="宋体"/>
                <w:bCs/>
                <w:sz w:val="24"/>
                <w:szCs w:val="24"/>
                <w:lang w:eastAsia="zh-CN"/>
              </w:rPr>
              <w:t>的</w:t>
            </w:r>
            <w:r>
              <w:rPr>
                <w:rFonts w:hint="eastAsia" w:ascii="宋体" w:hAnsi="宋体" w:eastAsia="宋体" w:cs="宋体"/>
                <w:bCs/>
                <w:sz w:val="24"/>
                <w:szCs w:val="24"/>
                <w:lang w:val="en-US" w:eastAsia="zh-CN"/>
              </w:rPr>
              <w:t>了解、</w:t>
            </w:r>
            <w:r>
              <w:rPr>
                <w:rFonts w:hint="eastAsia" w:ascii="宋体" w:hAnsi="宋体" w:eastAsia="宋体" w:cs="宋体"/>
                <w:bCs/>
                <w:sz w:val="24"/>
                <w:szCs w:val="24"/>
              </w:rPr>
              <w:t>调研、分析程度</w:t>
            </w:r>
            <w:r>
              <w:rPr>
                <w:rFonts w:hint="eastAsia" w:ascii="宋体" w:hAnsi="宋体" w:eastAsia="宋体" w:cs="宋体"/>
                <w:bCs/>
                <w:sz w:val="24"/>
                <w:szCs w:val="24"/>
                <w:lang w:eastAsia="zh-CN"/>
              </w:rPr>
              <w:t>，</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4</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3"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restart"/>
            <w:tcBorders>
              <w:left w:val="single" w:color="auto" w:sz="2" w:space="0"/>
              <w:right w:val="single" w:color="auto" w:sz="4" w:space="0"/>
            </w:tcBorders>
            <w:noWrap w:val="0"/>
            <w:vAlign w:val="center"/>
          </w:tcPr>
          <w:p>
            <w:pPr>
              <w:spacing w:line="360" w:lineRule="exact"/>
              <w:ind w:left="0" w:leftChars="0" w:right="0" w:rightChars="0" w:firstLine="0" w:firstLineChars="0"/>
              <w:jc w:val="both"/>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（二）实施方案（</w:t>
            </w:r>
            <w:r>
              <w:rPr>
                <w:rFonts w:hint="eastAsia" w:ascii="宋体" w:hAnsi="宋体" w:cs="宋体"/>
                <w:color w:val="auto"/>
                <w:sz w:val="24"/>
                <w:szCs w:val="24"/>
                <w:lang w:val="en-US" w:eastAsia="zh-CN"/>
              </w:rPr>
              <w:t>38</w:t>
            </w:r>
            <w:r>
              <w:rPr>
                <w:rFonts w:hint="eastAsia" w:ascii="宋体" w:hAnsi="宋体" w:eastAsia="宋体" w:cs="宋体"/>
                <w:color w:val="auto"/>
                <w:sz w:val="24"/>
                <w:szCs w:val="24"/>
                <w:lang w:val="en-US" w:eastAsia="zh-CN"/>
              </w:rPr>
              <w:t>分）</w:t>
            </w: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项目</w:t>
            </w:r>
            <w:r>
              <w:rPr>
                <w:rFonts w:hint="eastAsia" w:ascii="宋体" w:hAnsi="宋体" w:eastAsia="宋体" w:cs="宋体"/>
                <w:color w:val="auto"/>
                <w:sz w:val="24"/>
                <w:szCs w:val="24"/>
                <w:lang w:val="en-US" w:eastAsia="zh-CN"/>
              </w:rPr>
              <w:t>实施方案是否全面，从完整性、合理性、可行性出发，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4</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9"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(2)精细化实施方案（</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①根据供应商实施方案中的</w:t>
            </w:r>
            <w:r>
              <w:rPr>
                <w:rFonts w:hint="eastAsia" w:ascii="宋体" w:hAnsi="宋体" w:cs="宋体"/>
                <w:color w:val="auto"/>
                <w:sz w:val="24"/>
                <w:szCs w:val="24"/>
                <w:lang w:val="en-US" w:eastAsia="zh-CN"/>
              </w:rPr>
              <w:t>标线</w:t>
            </w:r>
            <w:r>
              <w:rPr>
                <w:rFonts w:hint="eastAsia" w:ascii="宋体" w:hAnsi="宋体" w:eastAsia="宋体" w:cs="宋体"/>
                <w:color w:val="auto"/>
                <w:sz w:val="24"/>
                <w:szCs w:val="24"/>
                <w:lang w:val="en-US" w:eastAsia="zh-CN"/>
              </w:rPr>
              <w:t>作业，从老旧标线清除和新做标线</w:t>
            </w:r>
            <w:r>
              <w:rPr>
                <w:rFonts w:hint="eastAsia" w:ascii="宋体" w:hAnsi="宋体" w:cs="宋体"/>
                <w:color w:val="auto"/>
                <w:sz w:val="24"/>
                <w:szCs w:val="24"/>
                <w:lang w:val="en-US" w:eastAsia="zh-CN"/>
              </w:rPr>
              <w:t>施工工艺</w:t>
            </w:r>
            <w:r>
              <w:rPr>
                <w:rFonts w:hint="eastAsia" w:ascii="宋体" w:hAnsi="宋体" w:eastAsia="宋体" w:cs="宋体"/>
                <w:color w:val="auto"/>
                <w:sz w:val="24"/>
                <w:szCs w:val="24"/>
                <w:lang w:val="en-US" w:eastAsia="zh-CN"/>
              </w:rPr>
              <w:t>两方面出发，由评委综合评议打分（3分）。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②根据供应商实施方案中的</w:t>
            </w:r>
            <w:r>
              <w:rPr>
                <w:rFonts w:hint="eastAsia" w:ascii="宋体" w:hAnsi="宋体" w:cs="宋体"/>
                <w:color w:val="auto"/>
                <w:sz w:val="24"/>
                <w:szCs w:val="24"/>
                <w:lang w:val="en-US" w:eastAsia="zh-CN"/>
              </w:rPr>
              <w:t>警示桩</w:t>
            </w:r>
            <w:r>
              <w:rPr>
                <w:rFonts w:hint="eastAsia" w:ascii="宋体" w:hAnsi="宋体" w:eastAsia="宋体" w:cs="宋体"/>
                <w:color w:val="auto"/>
                <w:sz w:val="24"/>
                <w:szCs w:val="24"/>
                <w:lang w:val="en-US" w:eastAsia="zh-CN"/>
              </w:rPr>
              <w:t>作业，从安装工艺和</w:t>
            </w:r>
            <w:r>
              <w:rPr>
                <w:rFonts w:hint="eastAsia" w:ascii="宋体" w:hAnsi="宋体" w:cs="宋体"/>
                <w:color w:val="auto"/>
                <w:sz w:val="24"/>
                <w:szCs w:val="24"/>
                <w:lang w:val="en-US" w:eastAsia="zh-CN"/>
              </w:rPr>
              <w:t>贴膜工艺</w:t>
            </w:r>
            <w:r>
              <w:rPr>
                <w:rFonts w:hint="eastAsia" w:ascii="宋体" w:hAnsi="宋体" w:eastAsia="宋体" w:cs="宋体"/>
                <w:color w:val="auto"/>
                <w:sz w:val="24"/>
                <w:szCs w:val="24"/>
                <w:lang w:val="en-US" w:eastAsia="zh-CN"/>
              </w:rPr>
              <w:t>两方面出发，由评委综合评议打分（3分）。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5"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③根据供应商实施方案中的</w:t>
            </w:r>
            <w:r>
              <w:rPr>
                <w:rFonts w:hint="eastAsia" w:ascii="宋体" w:hAnsi="宋体" w:cs="宋体"/>
                <w:color w:val="auto"/>
                <w:sz w:val="24"/>
                <w:szCs w:val="24"/>
                <w:lang w:val="en-US" w:eastAsia="zh-CN"/>
              </w:rPr>
              <w:t>护栏</w:t>
            </w:r>
            <w:r>
              <w:rPr>
                <w:rFonts w:hint="eastAsia" w:ascii="宋体" w:hAnsi="宋体" w:eastAsia="宋体" w:cs="宋体"/>
                <w:color w:val="auto"/>
                <w:sz w:val="24"/>
                <w:szCs w:val="24"/>
                <w:lang w:val="en-US" w:eastAsia="zh-CN"/>
              </w:rPr>
              <w:t>作业，从施工和</w:t>
            </w:r>
            <w:r>
              <w:rPr>
                <w:rFonts w:hint="eastAsia" w:ascii="宋体" w:hAnsi="宋体" w:cs="宋体"/>
                <w:color w:val="auto"/>
                <w:sz w:val="24"/>
                <w:szCs w:val="24"/>
                <w:lang w:val="en-US" w:eastAsia="zh-CN"/>
              </w:rPr>
              <w:t>维修</w:t>
            </w:r>
            <w:r>
              <w:rPr>
                <w:rFonts w:hint="eastAsia" w:ascii="宋体" w:hAnsi="宋体" w:eastAsia="宋体" w:cs="宋体"/>
                <w:color w:val="auto"/>
                <w:sz w:val="24"/>
                <w:szCs w:val="24"/>
                <w:lang w:val="en-US" w:eastAsia="zh-CN"/>
              </w:rPr>
              <w:t>工艺</w:t>
            </w:r>
            <w:r>
              <w:rPr>
                <w:rFonts w:hint="eastAsia" w:ascii="宋体" w:hAnsi="宋体" w:cs="宋体"/>
                <w:color w:val="auto"/>
                <w:sz w:val="24"/>
                <w:szCs w:val="24"/>
                <w:lang w:val="en-US" w:eastAsia="zh-CN"/>
              </w:rPr>
              <w:t>两方面</w:t>
            </w:r>
            <w:r>
              <w:rPr>
                <w:rFonts w:hint="eastAsia" w:ascii="宋体" w:hAnsi="宋体" w:eastAsia="宋体" w:cs="宋体"/>
                <w:color w:val="auto"/>
                <w:sz w:val="24"/>
                <w:szCs w:val="24"/>
                <w:lang w:val="en-US" w:eastAsia="zh-CN"/>
              </w:rPr>
              <w:t>出发，由评委综合评议打分（3分）。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④根据供应商方案中的</w:t>
            </w:r>
            <w:r>
              <w:rPr>
                <w:rFonts w:hint="eastAsia" w:ascii="宋体" w:hAnsi="宋体" w:cs="宋体"/>
                <w:color w:val="auto"/>
                <w:sz w:val="24"/>
                <w:szCs w:val="24"/>
                <w:lang w:val="en-US" w:eastAsia="zh-CN"/>
              </w:rPr>
              <w:t>标志版面</w:t>
            </w:r>
            <w:r>
              <w:rPr>
                <w:rFonts w:hint="eastAsia" w:ascii="宋体" w:hAnsi="宋体" w:eastAsia="宋体" w:cs="宋体"/>
                <w:color w:val="auto"/>
                <w:sz w:val="24"/>
                <w:szCs w:val="24"/>
                <w:lang w:val="en-US" w:eastAsia="zh-CN"/>
              </w:rPr>
              <w:t>方面，从安装工艺和</w:t>
            </w:r>
            <w:r>
              <w:rPr>
                <w:rFonts w:hint="eastAsia" w:ascii="宋体" w:hAnsi="宋体" w:cs="宋体"/>
                <w:color w:val="auto"/>
                <w:sz w:val="24"/>
                <w:szCs w:val="24"/>
                <w:lang w:val="en-US" w:eastAsia="zh-CN"/>
              </w:rPr>
              <w:t>贴膜工艺两方面出发</w:t>
            </w:r>
            <w:r>
              <w:rPr>
                <w:rFonts w:hint="eastAsia" w:ascii="宋体" w:hAnsi="宋体" w:eastAsia="宋体" w:cs="宋体"/>
                <w:color w:val="auto"/>
                <w:sz w:val="24"/>
                <w:szCs w:val="24"/>
                <w:lang w:val="en-US" w:eastAsia="zh-CN"/>
              </w:rPr>
              <w:t>，由评委综合评议打分（</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6"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(3)保障措施（</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①根据供应商针对本项目实施制定的安全文明作业保障措施，从完整性、合理性、可行性出发，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2"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②根据供应商针对本项目实施制定的质量保障措施，从完整性、合理性、可行性出发，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2"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1348" w:type="dxa"/>
            <w:vMerge w:val="continue"/>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1391"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③根据供应商针对本项目实施制定的进度保障措施，从完整性、合理性、可行性出发，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1348" w:type="dxa"/>
            <w:vMerge w:val="continue"/>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1391" w:type="dxa"/>
            <w:vMerge w:val="continue"/>
            <w:tcBorders>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④根据供应商针对本项目实施制定的交通组织措施，从完整性、合理性、可行性出发，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val="en-US" w:eastAsia="zh-CN"/>
              </w:rPr>
            </w:pPr>
          </w:p>
        </w:tc>
        <w:tc>
          <w:tcPr>
            <w:tcW w:w="1391" w:type="dxa"/>
            <w:tcBorders>
              <w:top w:val="single" w:color="auto" w:sz="2" w:space="0"/>
              <w:left w:val="single" w:color="auto" w:sz="4" w:space="0"/>
              <w:right w:val="single" w:color="auto" w:sz="2" w:space="0"/>
            </w:tcBorders>
            <w:noWrap w:val="0"/>
            <w:vAlign w:val="center"/>
          </w:tcPr>
          <w:p>
            <w:pPr>
              <w:spacing w:line="360" w:lineRule="exac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(4)供货方案（</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供应商针对本项目实施是否制定了供货保障方案，从完整性、合理性、可行性出发，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both"/>
              <w:rPr>
                <w:rFonts w:hint="eastAsia" w:ascii="宋体" w:hAnsi="宋体" w:eastAsia="宋体" w:cs="宋体"/>
                <w:color w:val="auto"/>
                <w:kern w:val="2"/>
                <w:sz w:val="24"/>
                <w:szCs w:val="24"/>
                <w:lang w:val="en-US" w:eastAsia="zh-CN" w:bidi="ar-SA"/>
              </w:rPr>
            </w:pP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(5)供应商是否有创新的</w:t>
            </w:r>
            <w:r>
              <w:rPr>
                <w:rFonts w:hint="eastAsia" w:ascii="宋体" w:hAnsi="宋体" w:cs="宋体"/>
                <w:color w:val="auto"/>
                <w:sz w:val="24"/>
                <w:szCs w:val="24"/>
                <w:lang w:val="en-US" w:eastAsia="zh-CN"/>
              </w:rPr>
              <w:t>施工</w:t>
            </w:r>
            <w:r>
              <w:rPr>
                <w:rFonts w:hint="eastAsia" w:ascii="宋体" w:hAnsi="宋体" w:eastAsia="宋体" w:cs="宋体"/>
                <w:color w:val="auto"/>
                <w:sz w:val="24"/>
                <w:szCs w:val="24"/>
                <w:lang w:val="en-US" w:eastAsia="zh-CN"/>
              </w:rPr>
              <w:t>工艺与技术，是否有先进的管理理念与手段，从先进性、创新性、可行性出发，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3"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eastAsia="zh-CN"/>
              </w:rPr>
            </w:pPr>
          </w:p>
        </w:tc>
        <w:tc>
          <w:tcPr>
            <w:tcW w:w="1391" w:type="dxa"/>
            <w:tcBorders>
              <w:top w:val="single" w:color="auto" w:sz="2" w:space="0"/>
              <w:left w:val="single" w:color="auto" w:sz="4" w:space="0"/>
              <w:right w:val="single" w:color="auto" w:sz="2" w:space="0"/>
            </w:tcBorders>
            <w:noWrap w:val="0"/>
            <w:vAlign w:val="center"/>
          </w:tcPr>
          <w:p>
            <w:pP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(6)特殊时期的应急保障</w:t>
            </w:r>
            <w:r>
              <w:rPr>
                <w:rFonts w:hint="eastAsia" w:ascii="宋体" w:hAnsi="宋体" w:eastAsia="宋体" w:cs="宋体"/>
                <w:bCs/>
                <w:sz w:val="24"/>
                <w:szCs w:val="24"/>
              </w:rPr>
              <w:t>（</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供应商是否制定了在以下应急情况下的项目应急实施方案，从完整性、合理性、可行性出发，由评委综合评议打分。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①防汛防台、防涝抗旱等极端灾害性天气（2分）。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②节假日、大型活动及重要会议活动期间（2分）。</w:t>
            </w:r>
          </w:p>
          <w:p>
            <w:pPr>
              <w:spacing w:line="360" w:lineRule="exact"/>
              <w:rPr>
                <w:rFonts w:hint="eastAsia"/>
                <w:lang w:val="en-US" w:eastAsia="zh-CN"/>
              </w:rPr>
            </w:pPr>
            <w:r>
              <w:rPr>
                <w:rFonts w:hint="eastAsia" w:ascii="宋体" w:hAnsi="宋体" w:eastAsia="宋体" w:cs="宋体"/>
                <w:color w:val="auto"/>
                <w:sz w:val="24"/>
                <w:szCs w:val="24"/>
                <w:lang w:val="en-US" w:eastAsia="zh-CN"/>
              </w:rPr>
              <w:t>③创优评优、突击检查、其他突发性事件等重大事项（2分）。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color w:val="auto"/>
                <w:sz w:val="24"/>
                <w:szCs w:val="24"/>
                <w:lang w:eastAsia="zh-CN"/>
              </w:rPr>
            </w:pP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(7)重、难点应对（4分）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①供应商针对本项目有无提出相关重点与难点，从深入性、合理性出发，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r>
              <w:rPr>
                <w:rFonts w:hint="eastAsia" w:ascii="宋体" w:hAnsi="宋体" w:eastAsia="宋体" w:cs="宋体"/>
                <w:bCs/>
                <w:sz w:val="24"/>
                <w:szCs w:val="24"/>
                <w:lang w:eastAsia="zh-CN"/>
              </w:rPr>
              <w:t>。</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5"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bottom w:val="single" w:color="auto" w:sz="2"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②根据提出的重点与难点，供应商有无对应的解决方法与措施，从深入性、合理性、可行性出发，</w:t>
            </w:r>
            <w:r>
              <w:rPr>
                <w:rFonts w:hint="eastAsia" w:ascii="宋体" w:hAnsi="宋体" w:eastAsia="宋体" w:cs="宋体"/>
                <w:bCs/>
                <w:sz w:val="24"/>
                <w:szCs w:val="24"/>
              </w:rPr>
              <w:t>由评委综合评议打分（</w:t>
            </w:r>
            <w:r>
              <w:rPr>
                <w:rFonts w:hint="eastAsia" w:ascii="宋体" w:hAnsi="宋体" w:eastAsia="宋体" w:cs="宋体"/>
                <w:bCs/>
                <w:sz w:val="24"/>
                <w:szCs w:val="24"/>
                <w:lang w:val="en-US" w:eastAsia="zh-CN"/>
              </w:rPr>
              <w:t>2</w:t>
            </w:r>
            <w:r>
              <w:rPr>
                <w:rFonts w:hint="eastAsia" w:ascii="宋体" w:hAnsi="宋体" w:eastAsia="宋体" w:cs="宋体"/>
                <w:bCs/>
                <w:sz w:val="24"/>
                <w:szCs w:val="24"/>
              </w:rPr>
              <w:t>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1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restart"/>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（三）综合实力（</w:t>
            </w:r>
            <w:r>
              <w:rPr>
                <w:rFonts w:hint="eastAsia" w:ascii="宋体" w:hAnsi="宋体" w:cs="宋体"/>
                <w:color w:val="auto"/>
                <w:sz w:val="24"/>
                <w:szCs w:val="24"/>
                <w:lang w:val="en-US" w:eastAsia="zh-CN"/>
              </w:rPr>
              <w:t>18</w:t>
            </w:r>
            <w:r>
              <w:rPr>
                <w:rFonts w:hint="eastAsia" w:ascii="宋体" w:hAnsi="宋体" w:eastAsia="宋体" w:cs="宋体"/>
                <w:color w:val="auto"/>
                <w:sz w:val="24"/>
                <w:szCs w:val="24"/>
                <w:lang w:val="en-US" w:eastAsia="zh-CN"/>
              </w:rPr>
              <w:t>分）</w:t>
            </w: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(1)团队人员配置（</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1）项目负责人（2分）：</w:t>
            </w:r>
          </w:p>
          <w:p>
            <w:pP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拟派项目负责人：具备公路工程高级工程师及以上职称或者</w:t>
            </w:r>
            <w:r>
              <w:rPr>
                <w:rFonts w:hint="eastAsia" w:ascii="宋体" w:hAnsi="宋体" w:cs="宋体"/>
                <w:color w:val="auto"/>
                <w:sz w:val="24"/>
                <w:szCs w:val="24"/>
                <w:lang w:val="en-US" w:eastAsia="zh-CN"/>
              </w:rPr>
              <w:t>市政道路高级</w:t>
            </w:r>
            <w:r>
              <w:rPr>
                <w:rFonts w:hint="eastAsia" w:ascii="宋体" w:hAnsi="宋体" w:eastAsia="宋体" w:cs="宋体"/>
                <w:color w:val="auto"/>
                <w:sz w:val="24"/>
                <w:szCs w:val="24"/>
                <w:lang w:val="en-US" w:eastAsia="zh-CN"/>
              </w:rPr>
              <w:t>工程师及以上职称</w:t>
            </w:r>
            <w:r>
              <w:rPr>
                <w:rFonts w:hint="eastAsia" w:ascii="宋体" w:hAnsi="宋体" w:cs="宋体"/>
                <w:color w:val="auto"/>
                <w:sz w:val="24"/>
                <w:szCs w:val="24"/>
                <w:lang w:val="en-US" w:eastAsia="zh-CN"/>
              </w:rPr>
              <w:t>或者</w:t>
            </w:r>
            <w:r>
              <w:rPr>
                <w:rFonts w:hint="eastAsia" w:ascii="宋体" w:hAnsi="宋体" w:eastAsia="宋体" w:cs="宋体"/>
                <w:color w:val="auto"/>
                <w:kern w:val="0"/>
                <w:sz w:val="24"/>
                <w:szCs w:val="24"/>
                <w:lang w:val="en-US" w:eastAsia="zh-CN"/>
              </w:rPr>
              <w:t>公路工程专业一级及以上建造师注册证书或者市政公用工程专业一级及以上建造师注册证书的，</w:t>
            </w:r>
            <w:r>
              <w:rPr>
                <w:rFonts w:hint="eastAsia" w:ascii="宋体" w:hAnsi="宋体" w:eastAsia="宋体" w:cs="宋体"/>
                <w:color w:val="auto"/>
                <w:sz w:val="24"/>
                <w:szCs w:val="24"/>
                <w:lang w:val="en-US" w:eastAsia="zh-CN"/>
              </w:rPr>
              <w:t>得2分</w:t>
            </w:r>
            <w:r>
              <w:rPr>
                <w:rFonts w:hint="eastAsia" w:ascii="宋体" w:hAnsi="宋体" w:cs="宋体"/>
                <w:color w:val="auto"/>
                <w:sz w:val="24"/>
                <w:szCs w:val="24"/>
                <w:lang w:val="en-US" w:eastAsia="zh-CN"/>
              </w:rPr>
              <w:t>，不重复得分；</w:t>
            </w:r>
            <w:r>
              <w:rPr>
                <w:rFonts w:hint="eastAsia" w:ascii="宋体" w:hAnsi="宋体" w:eastAsia="宋体" w:cs="宋体"/>
                <w:color w:val="auto"/>
                <w:sz w:val="24"/>
                <w:szCs w:val="24"/>
                <w:lang w:val="en-US" w:eastAsia="zh-CN"/>
              </w:rPr>
              <w:t>具备公路工程工程师职称或者</w:t>
            </w:r>
            <w:r>
              <w:rPr>
                <w:rFonts w:hint="eastAsia" w:ascii="宋体" w:hAnsi="宋体" w:cs="宋体"/>
                <w:color w:val="auto"/>
                <w:sz w:val="24"/>
                <w:szCs w:val="24"/>
                <w:lang w:val="en-US" w:eastAsia="zh-CN"/>
              </w:rPr>
              <w:t>市政道路</w:t>
            </w:r>
            <w:r>
              <w:rPr>
                <w:rFonts w:hint="eastAsia" w:ascii="宋体" w:hAnsi="宋体" w:eastAsia="宋体" w:cs="宋体"/>
                <w:color w:val="auto"/>
                <w:sz w:val="24"/>
                <w:szCs w:val="24"/>
                <w:lang w:val="en-US" w:eastAsia="zh-CN"/>
              </w:rPr>
              <w:t>工程师职称</w:t>
            </w:r>
            <w:r>
              <w:rPr>
                <w:rFonts w:hint="eastAsia" w:ascii="宋体" w:hAnsi="宋体" w:cs="宋体"/>
                <w:color w:val="auto"/>
                <w:sz w:val="24"/>
                <w:szCs w:val="24"/>
                <w:lang w:val="en-US" w:eastAsia="zh-CN"/>
              </w:rPr>
              <w:t>或者</w:t>
            </w:r>
            <w:r>
              <w:rPr>
                <w:rFonts w:hint="eastAsia" w:ascii="宋体" w:hAnsi="宋体" w:eastAsia="宋体" w:cs="宋体"/>
                <w:color w:val="auto"/>
                <w:kern w:val="0"/>
                <w:sz w:val="24"/>
                <w:szCs w:val="24"/>
                <w:lang w:val="en-US" w:eastAsia="zh-CN"/>
              </w:rPr>
              <w:t>公路工程专业二级建造师注册证书或者市政公用工程专业二级建造师注册证书的，</w:t>
            </w:r>
            <w:r>
              <w:rPr>
                <w:rFonts w:hint="eastAsia" w:ascii="宋体" w:hAnsi="宋体" w:eastAsia="宋体" w:cs="宋体"/>
                <w:color w:val="auto"/>
                <w:sz w:val="24"/>
                <w:szCs w:val="24"/>
                <w:lang w:val="en-US" w:eastAsia="zh-CN"/>
              </w:rPr>
              <w:t>得1分</w:t>
            </w:r>
            <w:r>
              <w:rPr>
                <w:rFonts w:hint="eastAsia" w:ascii="宋体" w:hAnsi="宋体" w:cs="宋体"/>
                <w:color w:val="auto"/>
                <w:sz w:val="24"/>
                <w:szCs w:val="24"/>
                <w:lang w:val="en-US" w:eastAsia="zh-CN"/>
              </w:rPr>
              <w:t>，不重复得分。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（提供人员证书及开标日前3个月内的本单位社保证明复印件，加盖公章编入投标文件，未提供的不得分。）</w:t>
            </w:r>
          </w:p>
        </w:tc>
        <w:tc>
          <w:tcPr>
            <w:tcW w:w="871" w:type="dxa"/>
            <w:tcBorders>
              <w:top w:val="single" w:color="auto" w:sz="2" w:space="0"/>
              <w:left w:val="single" w:color="auto" w:sz="4"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40"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2）项目组成员（2分）：</w:t>
            </w:r>
          </w:p>
          <w:p>
            <w:pP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拟派项目组成员具有：安全员证书或安全生产监督部门颁发的安全管理人员证书的，资料员证书或相关岗位证书的，质量员证书或相关岗位证书的，每有1种得1分，最高得2分，相同专业或同一人员不重复得分。</w:t>
            </w:r>
          </w:p>
          <w:p>
            <w:pPr>
              <w:spacing w:line="360" w:lineRule="exact"/>
              <w:rPr>
                <w:rFonts w:hint="default"/>
                <w:lang w:val="en-US" w:eastAsia="zh-CN"/>
              </w:rPr>
            </w:pPr>
            <w:r>
              <w:rPr>
                <w:rFonts w:hint="eastAsia" w:ascii="宋体" w:hAnsi="宋体" w:eastAsia="宋体" w:cs="宋体"/>
                <w:color w:val="auto"/>
                <w:sz w:val="24"/>
                <w:szCs w:val="24"/>
                <w:lang w:val="en-US" w:eastAsia="zh-CN"/>
              </w:rPr>
              <w:t>（提供人员证书及开标日前3个月内的本单位社保证明复印件，加盖公章编入投标文件，未提供的不得分。）</w:t>
            </w:r>
          </w:p>
        </w:tc>
        <w:tc>
          <w:tcPr>
            <w:tcW w:w="871" w:type="dxa"/>
            <w:tcBorders>
              <w:left w:val="single" w:color="auto" w:sz="4"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5"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）人员服务方案（</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w:t>
            </w:r>
          </w:p>
          <w:p>
            <w:pPr>
              <w:spacing w:line="360" w:lineRule="exact"/>
              <w:rPr>
                <w:rFonts w:hint="default"/>
                <w:kern w:val="2"/>
                <w:sz w:val="21"/>
                <w:lang w:val="en-US" w:eastAsia="zh-CN" w:bidi="ar-SA"/>
              </w:rPr>
            </w:pPr>
            <w:r>
              <w:rPr>
                <w:rFonts w:hint="eastAsia" w:ascii="宋体" w:hAnsi="宋体" w:eastAsia="宋体" w:cs="宋体"/>
                <w:color w:val="auto"/>
                <w:sz w:val="24"/>
                <w:szCs w:val="24"/>
                <w:lang w:val="en-US" w:eastAsia="zh-CN"/>
              </w:rPr>
              <w:t>根据供应商拟投入本项目的项目人员，从岗位设置、人员层次、技能水平、年龄结构、数量、工作内容等方面，进行综合评议（</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分）。</w:t>
            </w:r>
          </w:p>
        </w:tc>
        <w:tc>
          <w:tcPr>
            <w:tcW w:w="871" w:type="dxa"/>
            <w:tcBorders>
              <w:left w:val="single" w:color="auto" w:sz="4" w:space="0"/>
              <w:right w:val="single" w:color="auto" w:sz="2" w:space="0"/>
            </w:tcBorders>
            <w:noWrap w:val="0"/>
            <w:vAlign w:val="center"/>
          </w:tcPr>
          <w:p>
            <w:pPr>
              <w:spacing w:line="360" w:lineRule="exact"/>
              <w:jc w:val="center"/>
              <w:rPr>
                <w:rFonts w:hint="default" w:ascii="宋体" w:hAnsi="宋体" w:eastAsia="宋体" w:cs="宋体"/>
                <w:color w:val="auto"/>
                <w:kern w:val="2"/>
                <w:sz w:val="24"/>
                <w:szCs w:val="24"/>
                <w:lang w:val="en-US" w:eastAsia="zh-CN" w:bidi="ar-SA"/>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sz w:val="24"/>
                <w:szCs w:val="24"/>
                <w:lang w:eastAsia="zh-CN"/>
              </w:rPr>
            </w:pP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(2)机械设备或工具装备（8分）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1）供应商配备（自有或租赁）下列主要机械的（6分）：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①作业车或货车：每配备1辆得1分，最多得2分；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②登高车或吊车：每配备1辆得1分，最多得1分；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③标线清洗车辆（水除线机）：每配备1辆得1分，最多得1分；</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④热熔划线机与热熔釜：每配备1套得1分，最多得2分。</w:t>
            </w:r>
          </w:p>
          <w:p>
            <w:pPr>
              <w:spacing w:line="360" w:lineRule="exact"/>
              <w:rPr>
                <w:rFonts w:hint="default"/>
                <w:lang w:val="en-US" w:eastAsia="zh-CN"/>
              </w:rPr>
            </w:pPr>
            <w:r>
              <w:rPr>
                <w:rFonts w:hint="eastAsia" w:ascii="宋体" w:hAnsi="宋体" w:eastAsia="宋体" w:cs="宋体"/>
                <w:color w:val="auto"/>
                <w:sz w:val="24"/>
                <w:szCs w:val="24"/>
                <w:lang w:val="en-US" w:eastAsia="zh-CN"/>
              </w:rPr>
              <w:t>（提供车辆或机械的配套证明材料：如为自有，提供清晰的照片、购置发票、车辆行驶证，复印件加盖公章编入投标文件；如为租赁，提供清晰的照片、车辆行驶证、租赁合同，复印件加盖公章编入投标文件。</w:t>
            </w:r>
            <w:r>
              <w:rPr>
                <w:rFonts w:hint="eastAsia" w:ascii="宋体" w:hAnsi="宋体" w:cs="宋体"/>
                <w:color w:val="auto"/>
                <w:sz w:val="24"/>
                <w:szCs w:val="24"/>
                <w:lang w:val="en-US" w:eastAsia="zh-CN"/>
              </w:rPr>
              <w:t>）</w:t>
            </w:r>
          </w:p>
        </w:tc>
        <w:tc>
          <w:tcPr>
            <w:tcW w:w="871" w:type="dxa"/>
            <w:tcBorders>
              <w:top w:val="single" w:color="auto" w:sz="2" w:space="0"/>
              <w:left w:val="single" w:color="auto" w:sz="4"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0"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bottom w:val="single" w:color="auto" w:sz="2"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2）根据供应商拟投入本项目使用的机械设备、工具装备等配备方案，从数量及种类是否全面、比例是否适当、维修是否有保障、停放是否便捷几方面出发，进行综合评议（2分）。</w:t>
            </w:r>
          </w:p>
        </w:tc>
        <w:tc>
          <w:tcPr>
            <w:tcW w:w="871" w:type="dxa"/>
            <w:tcBorders>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0"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sz w:val="24"/>
                <w:szCs w:val="24"/>
                <w:lang w:val="en-US" w:eastAsia="zh-CN"/>
              </w:rPr>
            </w:pPr>
          </w:p>
        </w:tc>
        <w:tc>
          <w:tcPr>
            <w:tcW w:w="1391" w:type="dxa"/>
            <w:vMerge w:val="restart"/>
            <w:tcBorders>
              <w:top w:val="single" w:color="auto" w:sz="2" w:space="0"/>
              <w:left w:val="single" w:color="auto" w:sz="4" w:space="0"/>
              <w:right w:val="single" w:color="auto" w:sz="2" w:space="0"/>
            </w:tcBorders>
            <w:noWrap w:val="0"/>
            <w:vAlign w:val="center"/>
          </w:tcPr>
          <w:p>
            <w:pPr>
              <w:spacing w:line="360" w:lineRule="exact"/>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工厂或仓库</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p>
        </w:tc>
        <w:tc>
          <w:tcPr>
            <w:tcW w:w="5627" w:type="dxa"/>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①供应商具有</w:t>
            </w:r>
            <w:r>
              <w:rPr>
                <w:rFonts w:hint="eastAsia" w:ascii="宋体" w:hAnsi="宋体" w:cs="宋体"/>
                <w:color w:val="auto"/>
                <w:sz w:val="24"/>
                <w:szCs w:val="24"/>
                <w:lang w:val="en-US" w:eastAsia="zh-CN"/>
              </w:rPr>
              <w:t>货物工厂或仓库</w:t>
            </w:r>
            <w:r>
              <w:rPr>
                <w:rFonts w:hint="eastAsia" w:ascii="宋体" w:hAnsi="宋体" w:eastAsia="宋体" w:cs="宋体"/>
                <w:color w:val="auto"/>
                <w:sz w:val="24"/>
                <w:szCs w:val="24"/>
                <w:lang w:val="en-US" w:eastAsia="zh-CN"/>
              </w:rPr>
              <w:t>的，得1分</w:t>
            </w:r>
            <w:r>
              <w:rPr>
                <w:rFonts w:hint="eastAsia" w:ascii="宋体" w:hAnsi="宋体" w:cs="宋体"/>
                <w:color w:val="auto"/>
                <w:sz w:val="24"/>
                <w:szCs w:val="24"/>
                <w:lang w:val="en-US" w:eastAsia="zh-CN"/>
              </w:rPr>
              <w:t>。</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（提供清晰的证明材料、现场照片，加盖公章做入投标文件，未提供的不得分。）</w:t>
            </w:r>
          </w:p>
        </w:tc>
        <w:tc>
          <w:tcPr>
            <w:tcW w:w="871" w:type="dxa"/>
            <w:tcBorders>
              <w:top w:val="single" w:color="auto" w:sz="2" w:space="0"/>
              <w:left w:val="single" w:color="auto" w:sz="4"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0" w:hRule="atLeast"/>
          <w:jc w:val="center"/>
        </w:trPr>
        <w:tc>
          <w:tcPr>
            <w:tcW w:w="999" w:type="dxa"/>
            <w:vMerge w:val="continue"/>
            <w:tcBorders>
              <w:left w:val="single" w:color="auto" w:sz="4" w:space="0"/>
              <w:right w:val="single" w:color="auto" w:sz="2" w:space="0"/>
            </w:tcBorders>
            <w:noWrap w:val="0"/>
            <w:vAlign w:val="center"/>
          </w:tcPr>
          <w:p>
            <w:pPr>
              <w:spacing w:line="360" w:lineRule="exact"/>
            </w:pPr>
          </w:p>
        </w:tc>
        <w:tc>
          <w:tcPr>
            <w:tcW w:w="1348" w:type="dxa"/>
            <w:vMerge w:val="continue"/>
            <w:tcBorders>
              <w:left w:val="single" w:color="auto" w:sz="2" w:space="0"/>
              <w:right w:val="single" w:color="auto" w:sz="4" w:space="0"/>
            </w:tcBorders>
            <w:noWrap w:val="0"/>
            <w:vAlign w:val="center"/>
          </w:tcPr>
          <w:p>
            <w:pPr>
              <w:spacing w:line="360" w:lineRule="exact"/>
            </w:pPr>
          </w:p>
        </w:tc>
        <w:tc>
          <w:tcPr>
            <w:tcW w:w="1391" w:type="dxa"/>
            <w:vMerge w:val="continue"/>
            <w:tcBorders>
              <w:left w:val="single" w:color="auto" w:sz="4" w:space="0"/>
              <w:bottom w:val="single" w:color="auto" w:sz="2" w:space="0"/>
              <w:right w:val="single" w:color="auto" w:sz="2" w:space="0"/>
            </w:tcBorders>
            <w:noWrap w:val="0"/>
            <w:vAlign w:val="center"/>
          </w:tcPr>
          <w:p>
            <w:pPr>
              <w:spacing w:line="360" w:lineRule="exact"/>
            </w:pPr>
          </w:p>
        </w:tc>
        <w:tc>
          <w:tcPr>
            <w:tcW w:w="5627" w:type="dxa"/>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②对该</w:t>
            </w:r>
            <w:r>
              <w:rPr>
                <w:rFonts w:hint="eastAsia" w:ascii="宋体" w:hAnsi="宋体" w:cs="宋体"/>
                <w:color w:val="auto"/>
                <w:sz w:val="24"/>
                <w:szCs w:val="24"/>
                <w:lang w:val="en-US" w:eastAsia="zh-CN"/>
              </w:rPr>
              <w:t>货物工厂或仓库</w:t>
            </w:r>
            <w:r>
              <w:rPr>
                <w:rFonts w:hint="eastAsia" w:ascii="宋体" w:hAnsi="宋体" w:eastAsia="宋体" w:cs="宋体"/>
                <w:color w:val="auto"/>
                <w:sz w:val="24"/>
                <w:szCs w:val="24"/>
                <w:lang w:val="en-US" w:eastAsia="zh-CN"/>
              </w:rPr>
              <w:t>的作业环境、面积、现场条件等进行</w:t>
            </w:r>
            <w:r>
              <w:rPr>
                <w:rFonts w:hint="eastAsia" w:ascii="宋体" w:hAnsi="宋体" w:eastAsia="宋体" w:cs="宋体"/>
                <w:color w:val="auto"/>
                <w:sz w:val="24"/>
                <w:szCs w:val="24"/>
                <w:lang w:eastAsia="zh-CN"/>
              </w:rPr>
              <w:t>综合评议，</w:t>
            </w:r>
            <w:r>
              <w:rPr>
                <w:rFonts w:hint="eastAsia" w:ascii="宋体" w:hAnsi="宋体" w:eastAsia="宋体" w:cs="宋体"/>
                <w:sz w:val="24"/>
                <w:szCs w:val="24"/>
                <w:lang w:val="en-US" w:eastAsia="zh-CN"/>
              </w:rPr>
              <w:t>能否为项目带来便捷性</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871" w:type="dxa"/>
            <w:tcBorders>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2"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vMerge w:val="restart"/>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（四）样品（12分）</w:t>
            </w: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1）标线，根据样品的材质、感官、工艺进行对比评分：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①</w:t>
            </w:r>
            <w:r>
              <w:rPr>
                <w:rFonts w:hint="eastAsia" w:ascii="宋体" w:hAnsi="宋体" w:eastAsia="宋体" w:cs="宋体"/>
                <w:color w:val="auto"/>
                <w:sz w:val="24"/>
                <w:szCs w:val="24"/>
                <w:lang w:val="en-US" w:eastAsia="zh-CN"/>
              </w:rPr>
              <w:t>铝板上画1.5米长、15公分宽的热熔普通标线1块（2分）；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②</w:t>
            </w:r>
            <w:r>
              <w:rPr>
                <w:rFonts w:hint="eastAsia" w:ascii="宋体" w:hAnsi="宋体" w:eastAsia="宋体" w:cs="宋体"/>
                <w:color w:val="auto"/>
                <w:sz w:val="24"/>
                <w:szCs w:val="24"/>
                <w:lang w:val="en-US" w:eastAsia="zh-CN"/>
              </w:rPr>
              <w:t>铝板上画1.5米长、15公分宽的热熔普通振荡标线1块（2分）。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cs="宋体"/>
                <w:color w:val="auto"/>
                <w:sz w:val="24"/>
                <w:szCs w:val="24"/>
                <w:lang w:val="en-US" w:eastAsia="zh-CN"/>
              </w:rPr>
            </w:pP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2）除线，根据样品效果，对比评分，最高为2分：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lang w:val="en-US" w:eastAsia="zh-CN"/>
              </w:rPr>
            </w:pPr>
            <w:r>
              <w:rPr>
                <w:rFonts w:hint="eastAsia" w:ascii="宋体" w:hAnsi="宋体" w:eastAsia="宋体" w:cs="宋体"/>
                <w:color w:val="auto"/>
                <w:sz w:val="24"/>
                <w:szCs w:val="24"/>
                <w:lang w:val="en-US" w:eastAsia="zh-CN"/>
              </w:rPr>
              <w:t>沥青路面标线经超高压水磨清洗法清除后的前后对比照片各一张，要求为新清除，照片须为彩色、A4大小。</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7"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cs="宋体"/>
                <w:color w:val="auto"/>
                <w:sz w:val="24"/>
                <w:szCs w:val="24"/>
                <w:lang w:val="en-US" w:eastAsia="zh-CN"/>
              </w:rPr>
            </w:pP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3）警示桩，根据样品的材质、反光感、配件完整性进行对比评分：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①DN114</w:t>
            </w:r>
            <w:r>
              <w:rPr>
                <w:rFonts w:hint="eastAsia" w:ascii="宋体" w:hAnsi="宋体" w:eastAsia="宋体" w:cs="宋体"/>
                <w:color w:val="auto"/>
                <w:sz w:val="24"/>
                <w:szCs w:val="24"/>
                <w:lang w:val="en-US" w:eastAsia="zh-CN"/>
              </w:rPr>
              <w:t>钢制警示桩1根及配件（1分）；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lang w:val="en-US" w:eastAsia="zh-CN"/>
              </w:rPr>
            </w:pPr>
            <w:r>
              <w:rPr>
                <w:rFonts w:hint="default" w:ascii="宋体" w:hAnsi="宋体" w:eastAsia="宋体" w:cs="宋体"/>
                <w:color w:val="auto"/>
                <w:sz w:val="24"/>
                <w:szCs w:val="24"/>
                <w:lang w:val="en-US" w:eastAsia="zh-CN"/>
              </w:rPr>
              <w:t>②φ80</w:t>
            </w:r>
            <w:r>
              <w:rPr>
                <w:rFonts w:hint="eastAsia" w:ascii="宋体" w:hAnsi="宋体" w:eastAsia="宋体" w:cs="宋体"/>
                <w:color w:val="auto"/>
                <w:sz w:val="24"/>
                <w:szCs w:val="24"/>
                <w:lang w:val="en-US" w:eastAsia="zh-CN"/>
              </w:rPr>
              <w:t>弹性警示桩1根及配件（1分）。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7"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vMerge w:val="continue"/>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cs="宋体"/>
                <w:color w:val="auto"/>
                <w:sz w:val="24"/>
                <w:szCs w:val="24"/>
                <w:lang w:val="en-US" w:eastAsia="zh-CN"/>
              </w:rPr>
            </w:pP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4）机非隔离护栏，</w:t>
            </w:r>
            <w:r>
              <w:rPr>
                <w:rFonts w:hint="eastAsia" w:ascii="宋体" w:hAnsi="宋体" w:eastAsia="宋体" w:cs="宋体"/>
                <w:color w:val="auto"/>
                <w:sz w:val="24"/>
                <w:szCs w:val="24"/>
                <w:lang w:val="en-US" w:eastAsia="zh-CN"/>
              </w:rPr>
              <w:t>根据样品的材质</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尺寸规格</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衔接工艺</w:t>
            </w:r>
            <w:r>
              <w:rPr>
                <w:rFonts w:hint="eastAsia" w:ascii="宋体" w:hAnsi="宋体" w:cs="宋体"/>
                <w:color w:val="auto"/>
                <w:sz w:val="24"/>
                <w:szCs w:val="24"/>
                <w:lang w:val="en-US" w:eastAsia="zh-CN"/>
              </w:rPr>
              <w:t>、感官等</w:t>
            </w:r>
            <w:r>
              <w:rPr>
                <w:rFonts w:hint="eastAsia" w:ascii="宋体" w:hAnsi="宋体" w:eastAsia="宋体" w:cs="宋体"/>
                <w:color w:val="auto"/>
                <w:sz w:val="24"/>
                <w:szCs w:val="24"/>
                <w:lang w:val="en-US" w:eastAsia="zh-CN"/>
              </w:rPr>
              <w:t>进行对比评分</w:t>
            </w:r>
            <w:r>
              <w:rPr>
                <w:rFonts w:hint="eastAsia" w:ascii="宋体" w:hAnsi="宋体" w:cs="宋体"/>
                <w:color w:val="auto"/>
                <w:sz w:val="24"/>
                <w:szCs w:val="24"/>
                <w:lang w:val="en-US" w:eastAsia="zh-CN"/>
              </w:rPr>
              <w:t>（4分）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一套</w:t>
            </w:r>
            <w:r>
              <w:rPr>
                <w:rFonts w:hint="eastAsia" w:ascii="宋体" w:hAnsi="宋体" w:eastAsia="宋体" w:cs="宋体"/>
                <w:i w:val="0"/>
                <w:iCs w:val="0"/>
                <w:color w:val="000000"/>
                <w:kern w:val="0"/>
                <w:sz w:val="24"/>
                <w:szCs w:val="24"/>
                <w:u w:val="none"/>
                <w:lang w:val="en-US" w:eastAsia="zh-CN" w:bidi="ar"/>
              </w:rPr>
              <w:t>机非隔离护栏</w:t>
            </w:r>
            <w:r>
              <w:rPr>
                <w:rFonts w:hint="eastAsia" w:ascii="宋体" w:hAnsi="宋体" w:eastAsia="宋体" w:cs="宋体"/>
                <w:color w:val="auto"/>
                <w:sz w:val="24"/>
                <w:szCs w:val="24"/>
                <w:lang w:val="en-US" w:eastAsia="zh-CN"/>
              </w:rPr>
              <w:t>（包括</w:t>
            </w:r>
            <w:r>
              <w:rPr>
                <w:rFonts w:hint="eastAsia" w:ascii="宋体" w:hAnsi="宋体" w:cs="宋体"/>
                <w:color w:val="auto"/>
                <w:sz w:val="24"/>
                <w:szCs w:val="24"/>
                <w:lang w:val="en-US" w:eastAsia="zh-CN"/>
              </w:rPr>
              <w:t>隔离</w:t>
            </w:r>
            <w:r>
              <w:rPr>
                <w:rFonts w:hint="eastAsia" w:ascii="宋体" w:hAnsi="宋体" w:eastAsia="宋体" w:cs="宋体"/>
                <w:color w:val="auto"/>
                <w:sz w:val="24"/>
                <w:szCs w:val="24"/>
                <w:lang w:val="en-US" w:eastAsia="zh-CN"/>
              </w:rPr>
              <w:t>栏、底座、帽盖、反光片</w:t>
            </w:r>
            <w:r>
              <w:rPr>
                <w:rFonts w:hint="eastAsia" w:ascii="宋体" w:hAnsi="宋体" w:cs="宋体"/>
                <w:color w:val="auto"/>
                <w:sz w:val="24"/>
                <w:szCs w:val="24"/>
                <w:lang w:val="en-US" w:eastAsia="zh-CN"/>
              </w:rPr>
              <w:t>、贴膜边柱</w:t>
            </w:r>
            <w:r>
              <w:rPr>
                <w:rFonts w:hint="eastAsia" w:ascii="宋体" w:hAnsi="宋体" w:eastAsia="宋体" w:cs="宋体"/>
                <w:color w:val="auto"/>
                <w:sz w:val="24"/>
                <w:szCs w:val="24"/>
                <w:lang w:val="en-US" w:eastAsia="zh-CN"/>
              </w:rPr>
              <w:t>）</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40"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lang w:val="en-US" w:eastAsia="zh-CN"/>
              </w:rPr>
              <w:t>）服务便捷性（3分）</w:t>
            </w: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根据</w:t>
            </w:r>
            <w:r>
              <w:rPr>
                <w:rFonts w:hint="eastAsia" w:ascii="宋体" w:hAnsi="宋体" w:eastAsia="宋体" w:cs="宋体"/>
                <w:color w:val="auto"/>
                <w:sz w:val="24"/>
                <w:szCs w:val="24"/>
                <w:lang w:eastAsia="zh-CN"/>
              </w:rPr>
              <w:t>供应商</w:t>
            </w:r>
            <w:r>
              <w:rPr>
                <w:rFonts w:hint="eastAsia" w:ascii="宋体" w:hAnsi="宋体" w:eastAsia="宋体" w:cs="宋体"/>
                <w:color w:val="000000"/>
                <w:sz w:val="24"/>
                <w:szCs w:val="24"/>
                <w:lang w:val="en-US" w:eastAsia="zh-CN"/>
              </w:rPr>
              <w:t>在合同履行期间对采购人服务需求响应的及时性，</w:t>
            </w:r>
            <w:r>
              <w:rPr>
                <w:rFonts w:hint="eastAsia" w:ascii="宋体" w:hAnsi="宋体" w:eastAsia="宋体" w:cs="宋体"/>
                <w:color w:val="auto"/>
                <w:sz w:val="24"/>
                <w:szCs w:val="24"/>
                <w:lang w:eastAsia="zh-CN"/>
              </w:rPr>
              <w:t>供应商</w:t>
            </w:r>
            <w:r>
              <w:rPr>
                <w:rFonts w:hint="eastAsia" w:ascii="宋体" w:hAnsi="宋体" w:eastAsia="宋体" w:cs="宋体"/>
                <w:color w:val="000000"/>
                <w:sz w:val="24"/>
                <w:szCs w:val="24"/>
                <w:lang w:val="en-US" w:eastAsia="zh-CN"/>
              </w:rPr>
              <w:t>已有服务场所的稳定性，供应商在本项目服务时的便捷性，进行综合评议</w:t>
            </w:r>
            <w:r>
              <w:rPr>
                <w:rFonts w:hint="eastAsia" w:ascii="宋体" w:hAnsi="宋体" w:eastAsia="宋体" w:cs="宋体"/>
                <w:color w:val="auto"/>
                <w:sz w:val="24"/>
                <w:szCs w:val="24"/>
                <w:lang w:val="en-US" w:eastAsia="zh-CN"/>
              </w:rPr>
              <w:t>（3分）</w:t>
            </w:r>
            <w:r>
              <w:rPr>
                <w:rFonts w:hint="eastAsia" w:ascii="宋体" w:hAnsi="宋体" w:eastAsia="宋体" w:cs="宋体"/>
                <w:color w:val="000000"/>
                <w:sz w:val="24"/>
                <w:szCs w:val="24"/>
                <w:lang w:val="en-US" w:eastAsia="zh-CN"/>
              </w:rPr>
              <w:t>。</w:t>
            </w:r>
          </w:p>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000000"/>
                <w:sz w:val="24"/>
                <w:szCs w:val="24"/>
                <w:lang w:val="en-US" w:eastAsia="zh-CN"/>
              </w:rPr>
              <w:t>（可提供土地证、产权证或租赁证明，相应的平面图、现场照片等证明材料，复印件加盖公章编入投标文件。）</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000000"/>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atLeast"/>
          <w:jc w:val="center"/>
        </w:trPr>
        <w:tc>
          <w:tcPr>
            <w:tcW w:w="999" w:type="dxa"/>
            <w:vMerge w:val="continue"/>
            <w:tcBorders>
              <w:left w:val="single" w:color="auto" w:sz="4" w:space="0"/>
              <w:right w:val="single" w:color="auto" w:sz="2" w:space="0"/>
            </w:tcBorders>
            <w:noWrap w:val="0"/>
            <w:textDirection w:val="tbRlV"/>
            <w:vAlign w:val="center"/>
          </w:tcPr>
          <w:p>
            <w:pPr>
              <w:spacing w:line="360" w:lineRule="exact"/>
              <w:rPr>
                <w:rFonts w:hint="eastAsia" w:ascii="宋体" w:hAnsi="宋体" w:eastAsia="宋体" w:cs="宋体"/>
                <w:color w:val="000000"/>
                <w:sz w:val="24"/>
                <w:szCs w:val="24"/>
              </w:rPr>
            </w:pPr>
          </w:p>
        </w:tc>
        <w:tc>
          <w:tcPr>
            <w:tcW w:w="1348" w:type="dxa"/>
            <w:tcBorders>
              <w:left w:val="single" w:color="auto" w:sz="2" w:space="0"/>
              <w:right w:val="single" w:color="auto" w:sz="4" w:space="0"/>
            </w:tcBorders>
            <w:noWrap w:val="0"/>
            <w:vAlign w:val="center"/>
          </w:tcPr>
          <w:p>
            <w:pPr>
              <w:spacing w:line="36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六</w:t>
            </w:r>
            <w:r>
              <w:rPr>
                <w:rFonts w:hint="eastAsia" w:ascii="宋体" w:hAnsi="宋体" w:eastAsia="宋体" w:cs="宋体"/>
                <w:color w:val="auto"/>
                <w:sz w:val="24"/>
                <w:szCs w:val="24"/>
                <w:lang w:val="en-US" w:eastAsia="zh-CN"/>
              </w:rPr>
              <w:t>）合理化建议（3分</w:t>
            </w:r>
            <w:r>
              <w:rPr>
                <w:rFonts w:hint="eastAsia" w:ascii="宋体" w:hAnsi="宋体" w:eastAsia="宋体" w:cs="宋体"/>
                <w:sz w:val="24"/>
                <w:szCs w:val="24"/>
              </w:rPr>
              <w:t>）</w:t>
            </w: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根据供应商针对本项目提出的有助于项目</w:t>
            </w:r>
            <w:r>
              <w:rPr>
                <w:rFonts w:hint="eastAsia" w:ascii="宋体" w:hAnsi="宋体" w:eastAsia="宋体" w:cs="宋体"/>
                <w:color w:val="auto"/>
                <w:sz w:val="24"/>
                <w:szCs w:val="24"/>
                <w:lang w:val="en-US" w:eastAsia="zh-CN"/>
              </w:rPr>
              <w:t>管理和</w:t>
            </w:r>
            <w:r>
              <w:rPr>
                <w:rFonts w:hint="eastAsia" w:ascii="宋体" w:hAnsi="宋体" w:eastAsia="宋体" w:cs="宋体"/>
                <w:color w:val="auto"/>
                <w:sz w:val="24"/>
                <w:szCs w:val="24"/>
                <w:lang w:eastAsia="zh-CN"/>
              </w:rPr>
              <w:t>实施的合理化建议进行综合评议</w:t>
            </w:r>
            <w:r>
              <w:rPr>
                <w:rFonts w:hint="eastAsia" w:ascii="宋体" w:hAnsi="宋体" w:eastAsia="宋体" w:cs="宋体"/>
                <w:color w:val="auto"/>
                <w:sz w:val="24"/>
                <w:szCs w:val="24"/>
                <w:lang w:val="en-US" w:eastAsia="zh-CN"/>
              </w:rPr>
              <w:t>（3分）</w:t>
            </w:r>
            <w:r>
              <w:rPr>
                <w:rFonts w:hint="eastAsia" w:ascii="宋体" w:hAnsi="宋体" w:eastAsia="宋体" w:cs="宋体"/>
                <w:color w:val="auto"/>
                <w:sz w:val="24"/>
                <w:szCs w:val="24"/>
                <w:lang w:eastAsia="zh-CN"/>
              </w:rPr>
              <w:t>。</w:t>
            </w:r>
          </w:p>
        </w:tc>
        <w:tc>
          <w:tcPr>
            <w:tcW w:w="871" w:type="dxa"/>
            <w:tcBorders>
              <w:top w:val="single" w:color="auto" w:sz="2" w:space="0"/>
              <w:left w:val="single" w:color="auto" w:sz="4" w:space="0"/>
              <w:bottom w:val="single" w:color="auto" w:sz="2" w:space="0"/>
              <w:right w:val="single" w:color="auto" w:sz="2" w:space="0"/>
            </w:tcBorders>
            <w:noWrap w:val="0"/>
            <w:vAlign w:val="center"/>
          </w:tcPr>
          <w:p>
            <w:pPr>
              <w:spacing w:line="360" w:lineRule="exact"/>
              <w:jc w:val="center"/>
              <w:rPr>
                <w:rFonts w:hint="default" w:ascii="宋体" w:hAnsi="宋体" w:eastAsia="宋体" w:cs="宋体"/>
                <w:color w:val="auto"/>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62" w:hRule="atLeast"/>
          <w:jc w:val="center"/>
        </w:trPr>
        <w:tc>
          <w:tcPr>
            <w:tcW w:w="999" w:type="dxa"/>
            <w:vMerge w:val="continue"/>
            <w:tcBorders>
              <w:left w:val="single" w:color="auto" w:sz="4" w:space="0"/>
              <w:right w:val="single" w:color="auto" w:sz="2" w:space="0"/>
            </w:tcBorders>
            <w:noWrap w:val="0"/>
            <w:vAlign w:val="center"/>
          </w:tcPr>
          <w:p>
            <w:pPr>
              <w:spacing w:line="360" w:lineRule="exact"/>
              <w:rPr>
                <w:rFonts w:hint="eastAsia" w:ascii="宋体" w:hAnsi="宋体" w:eastAsia="宋体" w:cs="宋体"/>
                <w:color w:val="000000"/>
                <w:sz w:val="24"/>
                <w:szCs w:val="24"/>
              </w:rPr>
            </w:pPr>
          </w:p>
        </w:tc>
        <w:tc>
          <w:tcPr>
            <w:tcW w:w="1348" w:type="dxa"/>
            <w:tcBorders>
              <w:top w:val="single" w:color="auto" w:sz="2" w:space="0"/>
              <w:left w:val="single" w:color="auto" w:sz="2" w:space="0"/>
              <w:right w:val="single" w:color="auto" w:sz="4" w:space="0"/>
            </w:tcBorders>
            <w:noWrap w:val="0"/>
            <w:vAlign w:val="center"/>
          </w:tcPr>
          <w:p>
            <w:pPr>
              <w:widowControl/>
              <w:numPr>
                <w:ilvl w:val="0"/>
                <w:numId w:val="0"/>
              </w:numPr>
              <w:spacing w:line="360" w:lineRule="exact"/>
              <w:ind w:leftChars="0" w:right="0" w:right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eastAsia="zh-CN"/>
              </w:rPr>
              <w:t>）业绩</w:t>
            </w:r>
          </w:p>
          <w:p>
            <w:pPr>
              <w:widowControl/>
              <w:numPr>
                <w:ilvl w:val="0"/>
                <w:numId w:val="0"/>
              </w:numPr>
              <w:spacing w:line="360" w:lineRule="exact"/>
              <w:ind w:leftChars="0" w:right="0" w:right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2分</w:t>
            </w:r>
            <w:r>
              <w:rPr>
                <w:rFonts w:hint="eastAsia" w:ascii="宋体" w:hAnsi="宋体" w:eastAsia="宋体" w:cs="宋体"/>
                <w:color w:val="000000"/>
                <w:sz w:val="24"/>
                <w:szCs w:val="24"/>
                <w:lang w:eastAsia="zh-CN"/>
              </w:rPr>
              <w:t>）</w:t>
            </w:r>
          </w:p>
        </w:tc>
        <w:tc>
          <w:tcPr>
            <w:tcW w:w="7018" w:type="dxa"/>
            <w:gridSpan w:val="2"/>
            <w:tcBorders>
              <w:top w:val="single" w:color="auto" w:sz="2" w:space="0"/>
              <w:left w:val="single" w:color="auto" w:sz="4"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自2018年1月1日起（以合同签订时间为准），承接过或已承接类似交通设施养护维修项目的（合同服务内容需同时包含有标志版面、标线、隔离护栏），每个得1分，最多得2分。</w:t>
            </w:r>
          </w:p>
          <w:p>
            <w:pPr>
              <w:spacing w:line="360" w:lineRule="exact"/>
              <w:rPr>
                <w:rFonts w:hint="eastAsia" w:ascii="宋体" w:hAnsi="宋体" w:eastAsia="宋体" w:cs="宋体"/>
                <w:color w:val="000000"/>
                <w:kern w:val="2"/>
                <w:sz w:val="24"/>
                <w:szCs w:val="24"/>
                <w:lang w:val="en-US" w:eastAsia="zh-CN" w:bidi="ar-SA"/>
              </w:rPr>
            </w:pPr>
            <w:r>
              <w:rPr>
                <w:rFonts w:hint="eastAsia" w:ascii="宋体" w:hAnsi="宋体" w:eastAsia="宋体" w:cs="宋体"/>
                <w:color w:val="auto"/>
                <w:sz w:val="24"/>
                <w:szCs w:val="24"/>
                <w:lang w:val="en-US" w:eastAsia="zh-CN"/>
              </w:rPr>
              <w:t>（提供中标结果公告、中标通知书及合同，复印件加盖公章编入投标文件，未提供的不得分）。</w:t>
            </w:r>
          </w:p>
        </w:tc>
        <w:tc>
          <w:tcPr>
            <w:tcW w:w="871" w:type="dxa"/>
            <w:tcBorders>
              <w:top w:val="single" w:color="auto" w:sz="2" w:space="0"/>
              <w:left w:val="single" w:color="auto" w:sz="4" w:space="0"/>
              <w:bottom w:val="single" w:color="auto" w:sz="2" w:space="0"/>
              <w:right w:val="single" w:color="auto" w:sz="2" w:space="0"/>
            </w:tcBorders>
            <w:noWrap w:val="0"/>
            <w:vAlign w:val="center"/>
          </w:tcPr>
          <w:p>
            <w:pPr>
              <w:widowControl/>
              <w:spacing w:line="360" w:lineRule="exact"/>
              <w:jc w:val="center"/>
              <w:rPr>
                <w:rFonts w:hint="default" w:ascii="宋体" w:hAnsi="宋体" w:eastAsia="宋体" w:cs="宋体"/>
                <w:color w:val="000000"/>
                <w:sz w:val="24"/>
                <w:szCs w:val="24"/>
                <w:lang w:val="en-US" w:eastAsia="zh-CN"/>
              </w:rPr>
            </w:pPr>
            <w:r>
              <w:rPr>
                <w:rFonts w:hint="eastAsia" w:ascii="宋体" w:hAnsi="宋体" w:eastAsia="宋体" w:cs="宋体"/>
                <w:bCs/>
                <w:sz w:val="24"/>
                <w:szCs w:val="24"/>
                <w:lang w:val="en-US" w:eastAsia="zh-CN"/>
              </w:rPr>
              <w:t>0～</w:t>
            </w:r>
            <w:r>
              <w:rPr>
                <w:rFonts w:hint="eastAsia" w:ascii="宋体" w:hAnsi="宋体" w:cs="宋体"/>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0" w:hRule="atLeast"/>
          <w:jc w:val="center"/>
        </w:trPr>
        <w:tc>
          <w:tcPr>
            <w:tcW w:w="999" w:type="dxa"/>
            <w:tcBorders>
              <w:left w:val="single" w:color="auto" w:sz="4" w:space="0"/>
              <w:right w:val="single" w:color="auto" w:sz="2" w:space="0"/>
            </w:tcBorders>
            <w:noWrap w:val="0"/>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价</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格</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w:t>
            </w:r>
          </w:p>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（20分）</w:t>
            </w:r>
          </w:p>
        </w:tc>
        <w:tc>
          <w:tcPr>
            <w:tcW w:w="8366"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参与评审的</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文件的</w:t>
            </w:r>
            <w:r>
              <w:rPr>
                <w:rFonts w:hint="eastAsia" w:ascii="宋体" w:hAnsi="宋体" w:eastAsia="宋体" w:cs="宋体"/>
                <w:sz w:val="24"/>
                <w:szCs w:val="24"/>
              </w:rPr>
              <w:t>最低</w:t>
            </w:r>
            <w:r>
              <w:rPr>
                <w:rFonts w:hint="eastAsia" w:ascii="宋体" w:hAnsi="宋体" w:eastAsia="宋体" w:cs="宋体"/>
                <w:sz w:val="24"/>
                <w:szCs w:val="24"/>
                <w:lang w:eastAsia="zh-CN"/>
              </w:rPr>
              <w:t>报价</w:t>
            </w:r>
            <w:r>
              <w:rPr>
                <w:rFonts w:hint="eastAsia" w:ascii="宋体" w:hAnsi="宋体" w:eastAsia="宋体" w:cs="宋体"/>
                <w:sz w:val="24"/>
                <w:szCs w:val="24"/>
              </w:rPr>
              <w:t>为评标基准价</w:t>
            </w:r>
            <w:r>
              <w:rPr>
                <w:rFonts w:hint="eastAsia" w:ascii="宋体" w:hAnsi="宋体" w:eastAsia="宋体" w:cs="宋体"/>
                <w:sz w:val="24"/>
                <w:szCs w:val="24"/>
                <w:lang w:eastAsia="zh-CN"/>
              </w:rPr>
              <w:t>，</w:t>
            </w:r>
            <w:r>
              <w:rPr>
                <w:rFonts w:hint="eastAsia" w:ascii="宋体" w:hAnsi="宋体" w:eastAsia="宋体" w:cs="宋体"/>
                <w:sz w:val="24"/>
                <w:szCs w:val="24"/>
              </w:rPr>
              <w:t>基准价得分为满分</w:t>
            </w:r>
            <w:r>
              <w:rPr>
                <w:rFonts w:hint="eastAsia" w:ascii="宋体" w:hAnsi="宋体" w:eastAsia="宋体" w:cs="宋体"/>
                <w:sz w:val="24"/>
                <w:szCs w:val="24"/>
                <w:lang w:val="en-US" w:eastAsia="zh-CN"/>
              </w:rPr>
              <w:t>20</w:t>
            </w:r>
            <w:r>
              <w:rPr>
                <w:rFonts w:hint="eastAsia" w:ascii="宋体" w:hAnsi="宋体" w:eastAsia="宋体" w:cs="宋体"/>
                <w:sz w:val="24"/>
                <w:szCs w:val="24"/>
              </w:rPr>
              <w:t>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参与评审的价格</w:t>
            </w:r>
            <w:r>
              <w:rPr>
                <w:rFonts w:hint="eastAsia" w:ascii="宋体" w:hAnsi="宋体" w:eastAsia="宋体" w:cs="宋体"/>
                <w:sz w:val="24"/>
                <w:szCs w:val="24"/>
                <w:lang w:val="en-US" w:eastAsia="zh-CN"/>
              </w:rPr>
              <w:t xml:space="preserve"> = </w:t>
            </w:r>
            <w:r>
              <w:rPr>
                <w:rFonts w:hint="eastAsia" w:ascii="宋体" w:hAnsi="宋体" w:eastAsia="宋体" w:cs="宋体"/>
                <w:sz w:val="24"/>
                <w:szCs w:val="24"/>
              </w:rPr>
              <w:t>有效供应商的最终报价</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其他供应商的价格分按照下列公式计算：</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各供应商的最终报价得分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（基准价/参与评审的价格）×</w:t>
            </w:r>
            <w:r>
              <w:rPr>
                <w:rFonts w:hint="eastAsia" w:ascii="宋体" w:hAnsi="宋体" w:eastAsia="宋体" w:cs="宋体"/>
                <w:sz w:val="24"/>
                <w:szCs w:val="24"/>
                <w:lang w:val="en-US" w:eastAsia="zh-CN"/>
              </w:rPr>
              <w:t xml:space="preserve"> 20%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100</w:t>
            </w:r>
          </w:p>
        </w:tc>
        <w:tc>
          <w:tcPr>
            <w:tcW w:w="87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atLeast"/>
          <w:jc w:val="center"/>
        </w:trPr>
        <w:tc>
          <w:tcPr>
            <w:tcW w:w="9365" w:type="dxa"/>
            <w:gridSpan w:val="4"/>
            <w:tcBorders>
              <w:top w:val="single" w:color="auto" w:sz="4" w:space="0"/>
              <w:left w:val="single" w:color="auto" w:sz="4" w:space="0"/>
              <w:bottom w:val="single" w:color="auto" w:sz="4" w:space="0"/>
              <w:right w:val="single" w:color="auto" w:sz="2"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总分（100分）</w:t>
            </w:r>
          </w:p>
        </w:tc>
        <w:tc>
          <w:tcPr>
            <w:tcW w:w="871" w:type="dxa"/>
            <w:tcBorders>
              <w:top w:val="single" w:color="auto" w:sz="4" w:space="0"/>
              <w:left w:val="single" w:color="auto" w:sz="4" w:space="0"/>
              <w:bottom w:val="single" w:color="auto" w:sz="4" w:space="0"/>
              <w:right w:val="single" w:color="auto" w:sz="2" w:space="0"/>
            </w:tcBorders>
            <w:noWrap w:val="0"/>
            <w:vAlign w:val="center"/>
          </w:tcPr>
          <w:p>
            <w:pPr>
              <w:spacing w:line="320" w:lineRule="exact"/>
              <w:jc w:val="center"/>
              <w:rPr>
                <w:rFonts w:hint="default" w:ascii="宋体" w:hAnsi="宋体" w:eastAsia="宋体" w:cs="宋体"/>
                <w:color w:val="000000"/>
                <w:sz w:val="24"/>
                <w:szCs w:val="24"/>
                <w:lang w:val="en-US" w:eastAsia="zh-CN"/>
              </w:rPr>
            </w:pPr>
            <w:r>
              <w:rPr>
                <w:rFonts w:hint="eastAsia" w:ascii="宋体" w:hAnsi="宋体" w:eastAsia="宋体" w:cs="宋体"/>
                <w:bCs/>
                <w:sz w:val="24"/>
                <w:szCs w:val="24"/>
                <w:lang w:val="en-US" w:eastAsia="zh-CN"/>
              </w:rPr>
              <w:t>0～</w:t>
            </w:r>
            <w:r>
              <w:rPr>
                <w:rFonts w:hint="eastAsia" w:ascii="宋体" w:hAnsi="宋体" w:eastAsia="宋体" w:cs="宋体"/>
                <w:color w:val="000000"/>
                <w:sz w:val="24"/>
                <w:szCs w:val="24"/>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color w:val="auto"/>
          <w:kern w:val="0"/>
          <w:sz w:val="24"/>
          <w:highlight w:val="none"/>
        </w:rPr>
      </w:pPr>
    </w:p>
    <w:p>
      <w:pPr>
        <w:pageBreakBefore w:val="0"/>
        <w:kinsoku/>
        <w:wordWrap/>
        <w:overflowPunct/>
        <w:topLinePunct w:val="0"/>
        <w:bidi w:val="0"/>
        <w:adjustRightInd/>
        <w:spacing w:line="360" w:lineRule="auto"/>
        <w:ind w:left="0" w:leftChars="0" w:firstLine="480" w:firstLineChars="200"/>
        <w:jc w:val="both"/>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投标人编制投标文件（商务技术文件部分）时，建议按此目录（序号和内容）提供评标标准相应的商务技术资料。</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rPr>
        <w:t>、小数点后保留</w:t>
      </w:r>
      <w:r>
        <w:rPr>
          <w:rFonts w:hint="eastAsia" w:ascii="宋体" w:hAnsi="宋体" w:eastAsia="宋体" w:cs="宋体"/>
          <w:color w:val="auto"/>
          <w:kern w:val="0"/>
          <w:sz w:val="24"/>
          <w:highlight w:val="none"/>
          <w:lang w:val="en-US" w:eastAsia="zh-CN"/>
        </w:rPr>
        <w:t>二</w:t>
      </w:r>
      <w:r>
        <w:rPr>
          <w:rFonts w:hint="eastAsia" w:ascii="宋体" w:hAnsi="宋体" w:eastAsia="宋体" w:cs="宋体"/>
          <w:color w:val="auto"/>
          <w:kern w:val="0"/>
          <w:sz w:val="24"/>
          <w:highlight w:val="none"/>
        </w:rPr>
        <w:t>位数。</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rPr>
        <w:t>、各评标委员会成员自行按以上参考分值评分。</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、重大事件由评标委员会集体讨论，应当按照少数服从多数的原则作出结论。</w:t>
      </w:r>
    </w:p>
    <w:p>
      <w:pPr>
        <w:pageBreakBefore w:val="0"/>
        <w:kinsoku/>
        <w:wordWrap/>
        <w:overflowPunct/>
        <w:topLinePunct w:val="0"/>
        <w:bidi w:val="0"/>
        <w:adjustRightInd/>
        <w:spacing w:line="360" w:lineRule="auto"/>
        <w:ind w:left="0" w:leftChars="0" w:firstLine="480" w:firstLineChars="200"/>
        <w:jc w:val="both"/>
        <w:textAlignment w:val="auto"/>
        <w:rPr>
          <w:rFonts w:hint="eastAsia" w:ascii="宋体" w:hAnsi="宋体" w:eastAsia="宋体" w:cs="宋体"/>
          <w:color w:val="auto"/>
          <w:kern w:val="0"/>
          <w:sz w:val="24"/>
          <w:highlight w:val="none"/>
        </w:rPr>
      </w:pPr>
    </w:p>
    <w:p>
      <w:pPr>
        <w:pageBreakBefore w:val="0"/>
        <w:kinsoku/>
        <w:wordWrap/>
        <w:overflowPunct/>
        <w:topLinePunct w:val="0"/>
        <w:bidi w:val="0"/>
        <w:snapToGrid w:val="0"/>
        <w:spacing w:line="360" w:lineRule="auto"/>
        <w:jc w:val="both"/>
        <w:textAlignment w:val="auto"/>
        <w:rPr>
          <w:rFonts w:hint="eastAsia" w:ascii="宋体" w:hAnsi="宋体" w:cs="宋体"/>
          <w:b/>
          <w:color w:val="auto"/>
          <w:sz w:val="32"/>
          <w:highlight w:val="none"/>
        </w:rPr>
      </w:pPr>
      <w:r>
        <w:rPr>
          <w:rFonts w:hint="eastAsia" w:ascii="宋体" w:hAnsi="宋体" w:cs="宋体"/>
          <w:b/>
          <w:color w:val="auto"/>
          <w:sz w:val="32"/>
          <w:highlight w:val="none"/>
        </w:rPr>
        <w:t>一、评标方法</w:t>
      </w:r>
    </w:p>
    <w:p>
      <w:pPr>
        <w:pageBreakBefore w:val="0"/>
        <w:kinsoku/>
        <w:wordWrap/>
        <w:overflowPunct/>
        <w:topLinePunct w:val="0"/>
        <w:bidi w:val="0"/>
        <w:adjustRightInd/>
        <w:spacing w:line="360" w:lineRule="auto"/>
        <w:ind w:left="0" w:leftChars="0" w:firstLine="482" w:firstLineChars="200"/>
        <w:jc w:val="both"/>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pStyle w:val="80"/>
        <w:rPr>
          <w:rFonts w:hint="eastAsia" w:ascii="宋体" w:hAnsi="宋体" w:eastAsia="宋体" w:cs="宋体"/>
          <w:b/>
          <w:bCs/>
          <w:lang w:val="en-US" w:eastAsia="zh-CN"/>
        </w:rPr>
      </w:pPr>
      <w:r>
        <w:rPr>
          <w:rFonts w:hint="eastAsia" w:ascii="宋体" w:hAnsi="宋体" w:eastAsia="宋体" w:cs="宋体"/>
          <w:b/>
          <w:bCs/>
          <w:color w:val="auto"/>
          <w:kern w:val="0"/>
          <w:sz w:val="24"/>
          <w:highlight w:val="none"/>
          <w:lang w:val="en-US" w:eastAsia="zh-CN"/>
        </w:rPr>
        <w:t>2.</w:t>
      </w:r>
      <w:r>
        <w:rPr>
          <w:rFonts w:hint="eastAsia" w:ascii="宋体" w:hAnsi="宋体" w:eastAsia="宋体" w:cs="宋体"/>
          <w:b/>
          <w:bCs/>
          <w:kern w:val="2"/>
          <w:sz w:val="24"/>
          <w:szCs w:val="24"/>
          <w:lang w:bidi="ar"/>
        </w:rPr>
        <w:t>项目按照标项号的前后顺序（即先评审标项一，再评审标项二）进行评审，一家供应商最多只能作为一个标项的第一中标候选人，若某一供应商被推荐为排序靠前的标项的第一中标候选人，则不再进入后序标项号的评审</w:t>
      </w:r>
      <w:r>
        <w:rPr>
          <w:rFonts w:hint="eastAsia" w:ascii="宋体" w:hAnsi="宋体" w:cs="宋体"/>
          <w:b/>
          <w:bCs/>
          <w:kern w:val="2"/>
          <w:sz w:val="24"/>
          <w:szCs w:val="24"/>
          <w:lang w:eastAsia="zh-CN" w:bidi="ar"/>
        </w:rPr>
        <w:t>（</w:t>
      </w:r>
      <w:r>
        <w:rPr>
          <w:rFonts w:hint="eastAsia" w:ascii="宋体" w:hAnsi="宋体" w:cs="宋体"/>
          <w:b/>
          <w:bCs/>
          <w:kern w:val="2"/>
          <w:sz w:val="24"/>
          <w:szCs w:val="24"/>
          <w:lang w:val="en-US" w:eastAsia="zh-CN" w:bidi="ar"/>
        </w:rPr>
        <w:t>于资格审查时否决</w:t>
      </w:r>
      <w:r>
        <w:rPr>
          <w:rFonts w:hint="eastAsia" w:ascii="宋体" w:hAnsi="宋体" w:cs="宋体"/>
          <w:b/>
          <w:bCs/>
          <w:kern w:val="2"/>
          <w:sz w:val="24"/>
          <w:szCs w:val="24"/>
          <w:lang w:eastAsia="zh-CN" w:bidi="ar"/>
        </w:rPr>
        <w:t>）</w:t>
      </w:r>
      <w:r>
        <w:rPr>
          <w:rFonts w:hint="eastAsia" w:ascii="宋体" w:hAnsi="宋体" w:eastAsia="宋体" w:cs="宋体"/>
          <w:b/>
          <w:bCs/>
          <w:kern w:val="2"/>
          <w:sz w:val="24"/>
          <w:szCs w:val="24"/>
          <w:lang w:bidi="ar"/>
        </w:rPr>
        <w:t>，以此类推。</w:t>
      </w:r>
    </w:p>
    <w:p>
      <w:pPr>
        <w:pageBreakBefore w:val="0"/>
        <w:kinsoku/>
        <w:wordWrap/>
        <w:overflowPunct/>
        <w:topLinePunct w:val="0"/>
        <w:bidi w:val="0"/>
        <w:snapToGrid w:val="0"/>
        <w:spacing w:line="360" w:lineRule="auto"/>
        <w:jc w:val="both"/>
        <w:textAlignment w:val="auto"/>
        <w:rPr>
          <w:rFonts w:hint="eastAsia" w:ascii="宋体" w:hAnsi="宋体" w:cs="宋体"/>
          <w:b/>
          <w:color w:val="auto"/>
          <w:sz w:val="32"/>
          <w:highlight w:val="none"/>
        </w:rPr>
      </w:pPr>
      <w:r>
        <w:rPr>
          <w:rFonts w:hint="eastAsia" w:ascii="宋体" w:hAnsi="宋体" w:cs="宋体"/>
          <w:b/>
          <w:color w:val="auto"/>
          <w:sz w:val="32"/>
          <w:highlight w:val="none"/>
        </w:rPr>
        <w:t>二、评标标准</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pageBreakBefore w:val="0"/>
        <w:kinsoku/>
        <w:wordWrap/>
        <w:overflowPunct/>
        <w:topLinePunct w:val="0"/>
        <w:bidi w:val="0"/>
        <w:snapToGrid w:val="0"/>
        <w:spacing w:line="360" w:lineRule="auto"/>
        <w:jc w:val="both"/>
        <w:textAlignment w:val="auto"/>
        <w:rPr>
          <w:rFonts w:hint="eastAsia" w:ascii="宋体" w:hAnsi="宋体" w:cs="宋体"/>
          <w:b/>
          <w:color w:val="auto"/>
          <w:sz w:val="32"/>
          <w:highlight w:val="none"/>
        </w:rPr>
      </w:pPr>
      <w:r>
        <w:rPr>
          <w:rFonts w:hint="eastAsia" w:ascii="宋体" w:hAnsi="宋体" w:cs="宋体"/>
          <w:b/>
          <w:color w:val="auto"/>
          <w:sz w:val="32"/>
          <w:highlight w:val="none"/>
        </w:rPr>
        <w:t>三、评标程序</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2"/>
        <w:pageBreakBefore w:val="0"/>
        <w:kinsoku/>
        <w:wordWrap/>
        <w:overflowPunct/>
        <w:topLinePunct w:val="0"/>
        <w:bidi w:val="0"/>
        <w:spacing w:before="0" w:line="360" w:lineRule="auto"/>
        <w:ind w:left="0" w:leftChars="0" w:firstLine="480" w:firstLineChars="200"/>
        <w:jc w:val="both"/>
        <w:textAlignment w:val="auto"/>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2"/>
        <w:pageBreakBefore w:val="0"/>
        <w:kinsoku/>
        <w:wordWrap/>
        <w:overflowPunct/>
        <w:topLinePunct w:val="0"/>
        <w:bidi w:val="0"/>
        <w:spacing w:before="0" w:line="360" w:lineRule="auto"/>
        <w:ind w:left="0" w:leftChars="0" w:firstLine="480" w:firstLineChars="200"/>
        <w:jc w:val="both"/>
        <w:textAlignment w:val="auto"/>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132"/>
        <w:pageBreakBefore w:val="0"/>
        <w:kinsoku/>
        <w:wordWrap/>
        <w:overflowPunct/>
        <w:topLinePunct w:val="0"/>
        <w:bidi w:val="0"/>
        <w:spacing w:before="0" w:line="360" w:lineRule="auto"/>
        <w:ind w:left="0" w:leftChars="0" w:firstLine="480" w:firstLineChars="200"/>
        <w:jc w:val="both"/>
        <w:textAlignment w:val="auto"/>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132"/>
        <w:pageBreakBefore w:val="0"/>
        <w:kinsoku/>
        <w:wordWrap/>
        <w:overflowPunct/>
        <w:topLinePunct w:val="0"/>
        <w:bidi w:val="0"/>
        <w:spacing w:before="0" w:line="360" w:lineRule="auto"/>
        <w:ind w:left="0" w:leftChars="0" w:firstLine="480" w:firstLineChars="200"/>
        <w:jc w:val="both"/>
        <w:textAlignment w:val="auto"/>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32"/>
        <w:pageBreakBefore w:val="0"/>
        <w:kinsoku/>
        <w:wordWrap/>
        <w:overflowPunct/>
        <w:topLinePunct w:val="0"/>
        <w:bidi w:val="0"/>
        <w:spacing w:before="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2"/>
        <w:pageBreakBefore w:val="0"/>
        <w:kinsoku/>
        <w:wordWrap/>
        <w:overflowPunct/>
        <w:topLinePunct w:val="0"/>
        <w:bidi w:val="0"/>
        <w:spacing w:before="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bidi w:val="0"/>
        <w:snapToGrid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pageBreakBefore w:val="0"/>
        <w:kinsoku/>
        <w:wordWrap/>
        <w:overflowPunct/>
        <w:topLinePunct w:val="0"/>
        <w:bidi w:val="0"/>
        <w:snapToGrid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2"/>
        <w:pageBreakBefore w:val="0"/>
        <w:kinsoku/>
        <w:wordWrap/>
        <w:overflowPunct/>
        <w:topLinePunct w:val="0"/>
        <w:bidi w:val="0"/>
        <w:spacing w:before="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pageBreakBefore w:val="0"/>
        <w:kinsoku/>
        <w:wordWrap/>
        <w:overflowPunct/>
        <w:topLinePunct w:val="0"/>
        <w:bidi w:val="0"/>
        <w:spacing w:before="0" w:line="360" w:lineRule="auto"/>
        <w:ind w:left="0" w:leftChars="0" w:firstLine="480" w:firstLineChars="200"/>
        <w:jc w:val="both"/>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w:t>
      </w:r>
      <w:r>
        <w:rPr>
          <w:rFonts w:hint="eastAsia" w:ascii="宋体" w:hAnsi="宋体" w:cs="宋体"/>
          <w:color w:val="auto"/>
          <w:kern w:val="0"/>
          <w:sz w:val="24"/>
          <w:highlight w:val="none"/>
          <w:lang w:eastAsia="zh-CN"/>
        </w:rPr>
        <w:t>，推荐3名中标候选人</w:t>
      </w:r>
      <w:r>
        <w:rPr>
          <w:rFonts w:hint="eastAsia" w:ascii="宋体" w:hAnsi="宋体" w:cs="宋体"/>
          <w:color w:val="auto"/>
          <w:kern w:val="0"/>
          <w:sz w:val="24"/>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bidi w:val="0"/>
        <w:spacing w:line="360" w:lineRule="auto"/>
        <w:ind w:left="0" w:leftChars="0" w:firstLine="482" w:firstLineChars="200"/>
        <w:jc w:val="both"/>
        <w:textAlignment w:val="auto"/>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overflowPunct/>
        <w:topLinePunct w:val="0"/>
        <w:bidi w:val="0"/>
        <w:snapToGrid w:val="0"/>
        <w:spacing w:line="360" w:lineRule="auto"/>
        <w:jc w:val="both"/>
        <w:textAlignment w:val="auto"/>
        <w:rPr>
          <w:rFonts w:hint="eastAsia" w:ascii="宋体" w:hAnsi="宋体" w:cs="宋体"/>
          <w:b/>
          <w:color w:val="auto"/>
          <w:sz w:val="32"/>
          <w:highlight w:val="none"/>
        </w:rPr>
      </w:pPr>
      <w:r>
        <w:rPr>
          <w:rFonts w:hint="eastAsia" w:ascii="宋体" w:hAnsi="宋体" w:cs="宋体"/>
          <w:b/>
          <w:color w:val="auto"/>
          <w:sz w:val="32"/>
          <w:highlight w:val="none"/>
        </w:rPr>
        <w:t>四、评标中的其他事项</w:t>
      </w:r>
    </w:p>
    <w:p>
      <w:pPr>
        <w:pStyle w:val="132"/>
        <w:pageBreakBefore w:val="0"/>
        <w:kinsoku/>
        <w:wordWrap/>
        <w:overflowPunct/>
        <w:topLinePunct w:val="0"/>
        <w:bidi w:val="0"/>
        <w:spacing w:before="0" w:line="360" w:lineRule="auto"/>
        <w:ind w:left="0" w:leftChars="0" w:firstLine="482" w:firstLineChars="200"/>
        <w:jc w:val="both"/>
        <w:textAlignment w:val="auto"/>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pageBreakBefore w:val="0"/>
        <w:kinsoku/>
        <w:wordWrap/>
        <w:overflowPunct/>
        <w:topLinePunct w:val="0"/>
        <w:bidi w:val="0"/>
        <w:spacing w:line="360" w:lineRule="auto"/>
        <w:ind w:left="0" w:leftChars="0" w:firstLine="482" w:firstLineChars="200"/>
        <w:jc w:val="both"/>
        <w:textAlignment w:val="auto"/>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pageBreakBefore w:val="0"/>
        <w:kinsoku/>
        <w:wordWrap/>
        <w:overflowPunct/>
        <w:topLinePunct w:val="0"/>
        <w:bidi w:val="0"/>
        <w:snapToGrid w:val="0"/>
        <w:spacing w:line="360" w:lineRule="auto"/>
        <w:ind w:left="0" w:leftChars="0" w:firstLine="480" w:firstLineChars="200"/>
        <w:jc w:val="both"/>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4.2.6投标文件出现不是唯一的、有选择性投标报价的</w:t>
      </w:r>
      <w:r>
        <w:rPr>
          <w:rFonts w:hint="eastAsia" w:ascii="宋体" w:hAnsi="宋体" w:cs="宋体"/>
          <w:color w:val="auto"/>
          <w:kern w:val="0"/>
          <w:sz w:val="24"/>
          <w:highlight w:val="none"/>
          <w:lang w:eastAsia="zh-CN"/>
        </w:rPr>
        <w:t>；</w:t>
      </w:r>
    </w:p>
    <w:p>
      <w:pPr>
        <w:pageBreakBefore w:val="0"/>
        <w:kinsoku/>
        <w:wordWrap/>
        <w:overflowPunct/>
        <w:topLinePunct w:val="0"/>
        <w:bidi w:val="0"/>
        <w:spacing w:line="360" w:lineRule="auto"/>
        <w:ind w:left="0" w:leftChars="0" w:firstLine="480" w:firstLineChars="200"/>
        <w:jc w:val="both"/>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pageBreakBefore w:val="0"/>
        <w:kinsoku/>
        <w:wordWrap/>
        <w:overflowPunct/>
        <w:topLinePunct w:val="0"/>
        <w:bidi w:val="0"/>
        <w:spacing w:line="360" w:lineRule="auto"/>
        <w:ind w:left="0" w:leftChars="0" w:firstLine="480" w:firstLineChars="200"/>
        <w:jc w:val="both"/>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4.2.11投标人有恶意串通、妨碍其他投标人的竞争行为、损害采购人或者其他投标人的合法权益情形的；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5"/>
        <w:pageBreakBefore w:val="0"/>
        <w:kinsoku/>
        <w:wordWrap/>
        <w:overflowPunct/>
        <w:topLinePunct w:val="0"/>
        <w:bidi w:val="0"/>
        <w:spacing w:line="360" w:lineRule="auto"/>
        <w:ind w:left="0" w:leftChars="0" w:firstLine="480" w:firstLineChars="200"/>
        <w:jc w:val="both"/>
        <w:textAlignment w:val="auto"/>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pageBreakBefore w:val="0"/>
        <w:kinsoku/>
        <w:wordWrap/>
        <w:overflowPunct/>
        <w:topLinePunct w:val="0"/>
        <w:bidi w:val="0"/>
        <w:spacing w:line="360" w:lineRule="auto"/>
        <w:ind w:left="0" w:leftChars="0" w:firstLine="480" w:firstLineChars="200"/>
        <w:jc w:val="both"/>
        <w:textAlignment w:val="auto"/>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pageBreakBefore w:val="0"/>
        <w:kinsoku/>
        <w:wordWrap/>
        <w:overflowPunct/>
        <w:topLinePunct w:val="0"/>
        <w:bidi w:val="0"/>
        <w:snapToGrid w:val="0"/>
        <w:spacing w:line="360" w:lineRule="auto"/>
        <w:ind w:left="0" w:leftChars="0" w:firstLine="482" w:firstLineChars="200"/>
        <w:jc w:val="both"/>
        <w:textAlignment w:val="auto"/>
        <w:rPr>
          <w:rFonts w:hint="eastAsia" w:cs="宋体"/>
          <w:b/>
          <w:color w:val="auto"/>
          <w:highlight w:val="none"/>
        </w:rPr>
      </w:pPr>
      <w:r>
        <w:rPr>
          <w:rFonts w:hint="eastAsia" w:cs="宋体"/>
          <w:b/>
          <w:color w:val="auto"/>
          <w:highlight w:val="none"/>
        </w:rPr>
        <w:t>4.2.15上传投标文件同一网卡地址、同一IP地址的为无效标。</w:t>
      </w:r>
    </w:p>
    <w:p>
      <w:pPr>
        <w:pStyle w:val="26"/>
        <w:pageBreakBefore w:val="0"/>
        <w:kinsoku/>
        <w:wordWrap/>
        <w:overflowPunct/>
        <w:topLinePunct w:val="0"/>
        <w:bidi w:val="0"/>
        <w:snapToGrid w:val="0"/>
        <w:spacing w:line="360" w:lineRule="auto"/>
        <w:ind w:left="0" w:leftChars="0" w:firstLine="482" w:firstLineChars="200"/>
        <w:jc w:val="both"/>
        <w:textAlignment w:val="auto"/>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5.2出现影响采购公正的违法、违规行为的；</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5.3投标人的报价均超过了采购预算，采购人不能支付的；</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5.4因重大变故，采购任务取消的。</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pageBreakBefore w:val="0"/>
        <w:kinsoku/>
        <w:wordWrap/>
        <w:overflowPunct/>
        <w:topLinePunct w:val="0"/>
        <w:bidi w:val="0"/>
        <w:snapToGrid w:val="0"/>
        <w:spacing w:line="360" w:lineRule="auto"/>
        <w:ind w:left="0" w:leftChars="0" w:firstLine="482" w:firstLineChars="200"/>
        <w:jc w:val="both"/>
        <w:textAlignment w:val="auto"/>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pageBreakBefore w:val="0"/>
        <w:kinsoku/>
        <w:wordWrap/>
        <w:overflowPunct/>
        <w:topLinePunct w:val="0"/>
        <w:bidi w:val="0"/>
        <w:snapToGrid w:val="0"/>
        <w:spacing w:line="360" w:lineRule="auto"/>
        <w:ind w:left="0" w:leftChars="0" w:firstLine="482" w:firstLineChars="200"/>
        <w:jc w:val="both"/>
        <w:textAlignment w:val="auto"/>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pageBreakBefore w:val="0"/>
        <w:kinsoku/>
        <w:wordWrap/>
        <w:overflowPunct/>
        <w:topLinePunct w:val="0"/>
        <w:bidi w:val="0"/>
        <w:snapToGrid w:val="0"/>
        <w:spacing w:line="360" w:lineRule="auto"/>
        <w:ind w:left="0" w:leftChars="0" w:firstLine="480" w:firstLineChars="200"/>
        <w:jc w:val="both"/>
        <w:textAlignment w:val="auto"/>
        <w:rPr>
          <w:rFonts w:cs="宋体"/>
          <w:color w:val="auto"/>
          <w:highlight w:val="none"/>
        </w:rPr>
      </w:pPr>
      <w:r>
        <w:rPr>
          <w:rFonts w:hint="eastAsia" w:cs="宋体"/>
          <w:color w:val="auto"/>
          <w:highlight w:val="none"/>
        </w:rPr>
        <w:t>7.1未确定</w:t>
      </w:r>
      <w:r>
        <w:rPr>
          <w:rFonts w:hint="eastAsia" w:cs="宋体"/>
          <w:color w:val="auto"/>
          <w:highlight w:val="none"/>
          <w:lang w:eastAsia="zh-CN"/>
        </w:rPr>
        <w:t>中标人</w:t>
      </w:r>
      <w:r>
        <w:rPr>
          <w:rFonts w:hint="eastAsia" w:cs="宋体"/>
          <w:color w:val="auto"/>
          <w:highlight w:val="none"/>
        </w:rPr>
        <w:t>的，终止本次政府采购活动，重新开展政府采购活动。</w:t>
      </w:r>
    </w:p>
    <w:p>
      <w:pPr>
        <w:pStyle w:val="26"/>
        <w:pageBreakBefore w:val="0"/>
        <w:kinsoku/>
        <w:wordWrap/>
        <w:overflowPunct/>
        <w:topLinePunct w:val="0"/>
        <w:bidi w:val="0"/>
        <w:snapToGrid w:val="0"/>
        <w:spacing w:line="360" w:lineRule="auto"/>
        <w:ind w:left="0" w:leftChars="0" w:firstLine="480" w:firstLineChars="200"/>
        <w:jc w:val="both"/>
        <w:textAlignment w:val="auto"/>
        <w:rPr>
          <w:rFonts w:hint="eastAsia" w:cs="宋体"/>
          <w:color w:val="auto"/>
          <w:highlight w:val="none"/>
        </w:rPr>
      </w:pPr>
      <w:r>
        <w:rPr>
          <w:rFonts w:hint="eastAsia" w:cs="宋体"/>
          <w:color w:val="auto"/>
          <w:highlight w:val="none"/>
        </w:rPr>
        <w:t>7.2已确定</w:t>
      </w:r>
      <w:r>
        <w:rPr>
          <w:rFonts w:hint="eastAsia" w:cs="宋体"/>
          <w:color w:val="auto"/>
          <w:highlight w:val="none"/>
          <w:lang w:eastAsia="zh-CN"/>
        </w:rPr>
        <w:t>中标人</w:t>
      </w:r>
      <w:r>
        <w:rPr>
          <w:rFonts w:hint="eastAsia" w:cs="宋体"/>
          <w:color w:val="auto"/>
          <w:highlight w:val="none"/>
        </w:rPr>
        <w:t>但尚未签订政府采购合同的，中标结果无效，从合格的中标候选人中另行确定</w:t>
      </w:r>
      <w:r>
        <w:rPr>
          <w:rFonts w:hint="eastAsia" w:cs="宋体"/>
          <w:color w:val="auto"/>
          <w:highlight w:val="none"/>
          <w:lang w:eastAsia="zh-CN"/>
        </w:rPr>
        <w:t>中标人</w:t>
      </w:r>
      <w:r>
        <w:rPr>
          <w:rFonts w:hint="eastAsia" w:cs="宋体"/>
          <w:color w:val="auto"/>
          <w:highlight w:val="none"/>
        </w:rPr>
        <w:t>；没有合格的中标候选人的，重新开展政府采购活动。</w:t>
      </w:r>
    </w:p>
    <w:p>
      <w:pPr>
        <w:pStyle w:val="26"/>
        <w:pageBreakBefore w:val="0"/>
        <w:kinsoku/>
        <w:wordWrap/>
        <w:overflowPunct/>
        <w:topLinePunct w:val="0"/>
        <w:bidi w:val="0"/>
        <w:snapToGrid w:val="0"/>
        <w:spacing w:line="360" w:lineRule="auto"/>
        <w:ind w:left="0" w:leftChars="0" w:firstLine="480" w:firstLineChars="200"/>
        <w:jc w:val="both"/>
        <w:textAlignment w:val="auto"/>
        <w:rPr>
          <w:rFonts w:hint="eastAsia" w:cs="宋体"/>
          <w:color w:val="auto"/>
          <w:highlight w:val="none"/>
        </w:rPr>
      </w:pPr>
      <w:r>
        <w:rPr>
          <w:rFonts w:hint="eastAsia" w:cs="宋体"/>
          <w:color w:val="auto"/>
          <w:highlight w:val="none"/>
        </w:rPr>
        <w:t>7.3政府采购合同已签订但尚未履行的，撤销合同，从合格的中标候选人中另行确定</w:t>
      </w:r>
      <w:r>
        <w:rPr>
          <w:rFonts w:hint="eastAsia" w:cs="宋体"/>
          <w:color w:val="auto"/>
          <w:highlight w:val="none"/>
          <w:lang w:eastAsia="zh-CN"/>
        </w:rPr>
        <w:t>中标人</w:t>
      </w:r>
      <w:r>
        <w:rPr>
          <w:rFonts w:hint="eastAsia" w:cs="宋体"/>
          <w:color w:val="auto"/>
          <w:highlight w:val="none"/>
        </w:rPr>
        <w:t>；没有合格的中标候选人的，重新开展政府采购活动。</w:t>
      </w:r>
    </w:p>
    <w:p>
      <w:pPr>
        <w:pStyle w:val="26"/>
        <w:pageBreakBefore w:val="0"/>
        <w:kinsoku/>
        <w:wordWrap/>
        <w:overflowPunct/>
        <w:topLinePunct w:val="0"/>
        <w:bidi w:val="0"/>
        <w:snapToGrid w:val="0"/>
        <w:spacing w:line="360" w:lineRule="auto"/>
        <w:ind w:left="0" w:leftChars="0" w:firstLine="480" w:firstLineChars="200"/>
        <w:jc w:val="both"/>
        <w:textAlignment w:val="auto"/>
        <w:rPr>
          <w:rFonts w:hint="eastAsia" w:cs="宋体"/>
          <w:color w:val="auto"/>
          <w:highlight w:val="none"/>
        </w:rPr>
      </w:pPr>
      <w:r>
        <w:rPr>
          <w:rFonts w:hint="eastAsia" w:cs="宋体"/>
          <w:color w:val="auto"/>
          <w:highlight w:val="none"/>
        </w:rPr>
        <w:t>7.4政府采购合同已经履行，给采购人、供应商造成损失的，由责任人承担赔偿责任。</w:t>
      </w:r>
    </w:p>
    <w:p>
      <w:pPr>
        <w:pStyle w:val="26"/>
        <w:pageBreakBefore w:val="0"/>
        <w:kinsoku/>
        <w:wordWrap/>
        <w:overflowPunct/>
        <w:topLinePunct w:val="0"/>
        <w:bidi w:val="0"/>
        <w:snapToGrid w:val="0"/>
        <w:spacing w:line="360" w:lineRule="auto"/>
        <w:ind w:left="0" w:leftChars="0" w:firstLine="480" w:firstLineChars="200"/>
        <w:jc w:val="both"/>
        <w:textAlignment w:val="auto"/>
        <w:rPr>
          <w:rFonts w:hint="eastAsia"/>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6" w:name="第五部分"/>
      <w:bookmarkStart w:id="397" w:name="_Toc86217003"/>
    </w:p>
    <w:p>
      <w:pPr>
        <w:pStyle w:val="25"/>
        <w:pageBreakBefore w:val="0"/>
        <w:kinsoku/>
        <w:wordWrap/>
        <w:overflowPunct/>
        <w:topLinePunct w:val="0"/>
        <w:bidi w:val="0"/>
        <w:spacing w:line="360" w:lineRule="auto"/>
        <w:ind w:left="0" w:leftChars="0" w:firstLine="480" w:firstLineChars="200"/>
        <w:jc w:val="both"/>
        <w:textAlignment w:val="auto"/>
        <w:rPr>
          <w:rFonts w:hint="eastAsia"/>
          <w:color w:val="auto"/>
          <w:highlight w:val="none"/>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0" w:charSpace="0"/>
        </w:sectPr>
      </w:pPr>
    </w:p>
    <w:p>
      <w:pPr>
        <w:widowControl/>
        <w:adjustRightInd/>
        <w:ind w:firstLine="2168" w:firstLineChars="600"/>
        <w:jc w:val="left"/>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adjustRightInd/>
        <w:snapToGrid w:val="0"/>
        <w:spacing w:before="156" w:after="156" w:line="720" w:lineRule="exact"/>
        <w:jc w:val="center"/>
        <w:rPr>
          <w:rFonts w:hint="eastAsia" w:ascii="宋体" w:cs="Times New Roman"/>
          <w:b/>
          <w:color w:val="auto"/>
          <w:sz w:val="44"/>
          <w:szCs w:val="44"/>
          <w:highlight w:val="none"/>
          <w:lang w:eastAsia="zh-CN"/>
        </w:rPr>
      </w:pPr>
    </w:p>
    <w:p>
      <w:pPr>
        <w:adjustRightInd/>
        <w:snapToGrid w:val="0"/>
        <w:spacing w:before="156" w:after="156" w:line="720" w:lineRule="exact"/>
        <w:jc w:val="center"/>
        <w:rPr>
          <w:rFonts w:hint="eastAsia" w:ascii="宋体" w:cs="Times New Roman"/>
          <w:b/>
          <w:color w:val="auto"/>
          <w:sz w:val="44"/>
          <w:szCs w:val="44"/>
          <w:highlight w:val="none"/>
          <w:lang w:eastAsia="zh-CN"/>
        </w:rPr>
      </w:pPr>
      <w:r>
        <w:rPr>
          <w:rFonts w:hint="eastAsia" w:ascii="宋体" w:cs="Times New Roman"/>
          <w:b/>
          <w:color w:val="auto"/>
          <w:sz w:val="44"/>
          <w:szCs w:val="44"/>
          <w:highlight w:val="none"/>
          <w:lang w:eastAsia="zh-CN"/>
        </w:rPr>
        <w:t>2023-2026年宁海县城区市政道路交通设施</w:t>
      </w:r>
    </w:p>
    <w:p>
      <w:pPr>
        <w:adjustRightInd/>
        <w:snapToGrid w:val="0"/>
        <w:spacing w:before="156" w:after="156" w:line="720" w:lineRule="exact"/>
        <w:jc w:val="center"/>
        <w:rPr>
          <w:rFonts w:hint="eastAsia" w:ascii="宋体" w:hAnsi="Times New Roman" w:eastAsia="宋体" w:cs="Times New Roman"/>
          <w:b/>
          <w:color w:val="auto"/>
          <w:sz w:val="44"/>
          <w:szCs w:val="44"/>
          <w:highlight w:val="none"/>
          <w:lang w:eastAsia="zh-CN"/>
        </w:rPr>
      </w:pPr>
      <w:r>
        <w:rPr>
          <w:rFonts w:hint="eastAsia" w:ascii="宋体" w:cs="Times New Roman"/>
          <w:b/>
          <w:color w:val="auto"/>
          <w:sz w:val="44"/>
          <w:szCs w:val="44"/>
          <w:highlight w:val="none"/>
          <w:lang w:eastAsia="zh-CN"/>
        </w:rPr>
        <w:t>养护维修项目</w:t>
      </w:r>
    </w:p>
    <w:p>
      <w:pPr>
        <w:adjustRightInd/>
        <w:snapToGrid w:val="0"/>
        <w:spacing w:before="156" w:after="156" w:line="720" w:lineRule="exact"/>
        <w:jc w:val="center"/>
        <w:rPr>
          <w:rFonts w:hint="eastAsia" w:ascii="宋体" w:cs="Times New Roman"/>
          <w:b/>
          <w:color w:val="auto"/>
          <w:sz w:val="44"/>
          <w:szCs w:val="44"/>
          <w:highlight w:val="none"/>
          <w:lang w:val="en-US" w:eastAsia="zh-CN"/>
        </w:rPr>
      </w:pPr>
    </w:p>
    <w:p>
      <w:pPr>
        <w:adjustRightInd/>
        <w:snapToGrid w:val="0"/>
        <w:spacing w:before="156" w:after="156" w:line="720" w:lineRule="exact"/>
        <w:jc w:val="center"/>
        <w:rPr>
          <w:rFonts w:ascii="宋体" w:hAnsi="Times New Roman" w:eastAsia="宋体" w:cs="Times New Roman"/>
          <w:b/>
          <w:color w:val="auto"/>
          <w:sz w:val="44"/>
          <w:szCs w:val="44"/>
          <w:highlight w:val="none"/>
        </w:rPr>
      </w:pPr>
      <w:r>
        <w:rPr>
          <w:rFonts w:hint="eastAsia" w:ascii="宋体" w:cs="Times New Roman"/>
          <w:b/>
          <w:color w:val="auto"/>
          <w:sz w:val="44"/>
          <w:szCs w:val="44"/>
          <w:highlight w:val="none"/>
          <w:lang w:val="en-US" w:eastAsia="zh-CN"/>
        </w:rPr>
        <w:t>服务</w:t>
      </w:r>
      <w:r>
        <w:rPr>
          <w:rFonts w:hint="eastAsia" w:ascii="宋体" w:hAnsi="Times New Roman" w:eastAsia="宋体" w:cs="Times New Roman"/>
          <w:b/>
          <w:color w:val="auto"/>
          <w:sz w:val="44"/>
          <w:szCs w:val="44"/>
          <w:highlight w:val="none"/>
        </w:rPr>
        <w:t>合同</w:t>
      </w: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napToGrid w:val="0"/>
        <w:spacing w:before="156" w:after="156" w:line="360" w:lineRule="auto"/>
        <w:jc w:val="center"/>
        <w:rPr>
          <w:rFonts w:ascii="宋体" w:hAnsi="Times New Roman" w:eastAsia="宋体" w:cs="Times New Roman"/>
          <w:b/>
          <w:color w:val="auto"/>
          <w:sz w:val="36"/>
          <w:szCs w:val="36"/>
          <w:highlight w:val="none"/>
        </w:rPr>
      </w:pPr>
    </w:p>
    <w:p>
      <w:pPr>
        <w:adjustRightInd/>
        <w:spacing w:line="360" w:lineRule="auto"/>
        <w:ind w:firstLine="800" w:firstLineChars="250"/>
        <w:rPr>
          <w:rFonts w:hint="eastAsia" w:ascii="宋体" w:hAnsi="Times New Roman" w:eastAsia="宋体" w:cs="Times New Roman"/>
          <w:color w:val="auto"/>
          <w:sz w:val="32"/>
          <w:szCs w:val="32"/>
          <w:highlight w:val="none"/>
          <w:lang w:eastAsia="zh-CN"/>
        </w:rPr>
      </w:pPr>
      <w:r>
        <w:rPr>
          <w:rFonts w:hint="eastAsia" w:ascii="宋体" w:hAnsi="Times New Roman" w:eastAsia="宋体" w:cs="Times New Roman"/>
          <w:color w:val="auto"/>
          <w:sz w:val="32"/>
          <w:szCs w:val="32"/>
          <w:highlight w:val="none"/>
        </w:rPr>
        <w:t>甲方</w:t>
      </w:r>
      <w:r>
        <w:rPr>
          <w:rFonts w:hint="eastAsia" w:ascii="Times New Roman" w:eastAsia="宋体"/>
          <w:color w:val="auto"/>
          <w:sz w:val="32"/>
          <w:szCs w:val="32"/>
          <w:highlight w:val="none"/>
          <w:lang w:val="en-US" w:eastAsia="zh-CN"/>
        </w:rPr>
        <w:t>（发包人）</w:t>
      </w:r>
      <w:r>
        <w:rPr>
          <w:rFonts w:hint="eastAsia" w:ascii="宋体" w:hAnsi="Times New Roman" w:eastAsia="宋体" w:cs="Times New Roman"/>
          <w:color w:val="auto"/>
          <w:sz w:val="32"/>
          <w:szCs w:val="32"/>
          <w:highlight w:val="none"/>
        </w:rPr>
        <w:t>：</w:t>
      </w:r>
      <w:r>
        <w:rPr>
          <w:rFonts w:hint="eastAsia" w:ascii="宋体" w:cs="Times New Roman"/>
          <w:color w:val="auto"/>
          <w:sz w:val="32"/>
          <w:szCs w:val="32"/>
          <w:highlight w:val="none"/>
          <w:lang w:eastAsia="zh-CN"/>
        </w:rPr>
        <w:t>宁海县综合行政执法局</w:t>
      </w:r>
    </w:p>
    <w:p>
      <w:pPr>
        <w:adjustRightInd/>
        <w:spacing w:line="360" w:lineRule="auto"/>
        <w:ind w:firstLine="800" w:firstLineChars="250"/>
        <w:rPr>
          <w:rFonts w:ascii="宋体" w:hAnsi="Times New Roman" w:eastAsia="宋体" w:cs="Times New Roman"/>
          <w:color w:val="auto"/>
          <w:sz w:val="32"/>
          <w:szCs w:val="32"/>
          <w:highlight w:val="none"/>
        </w:rPr>
      </w:pPr>
    </w:p>
    <w:p>
      <w:pPr>
        <w:adjustRightInd/>
        <w:spacing w:line="360" w:lineRule="auto"/>
        <w:ind w:firstLine="800" w:firstLineChars="250"/>
        <w:rPr>
          <w:rFonts w:hint="default" w:ascii="宋体" w:hAnsi="Times New Roman" w:eastAsia="宋体" w:cs="Times New Roman"/>
          <w:color w:val="auto"/>
          <w:sz w:val="32"/>
          <w:szCs w:val="32"/>
          <w:highlight w:val="none"/>
          <w:lang w:val="en-US" w:eastAsia="zh-CN"/>
        </w:rPr>
      </w:pPr>
      <w:r>
        <w:rPr>
          <w:rFonts w:hint="eastAsia" w:ascii="宋体" w:hAnsi="Times New Roman" w:eastAsia="宋体" w:cs="Times New Roman"/>
          <w:color w:val="auto"/>
          <w:sz w:val="32"/>
          <w:szCs w:val="32"/>
          <w:highlight w:val="none"/>
        </w:rPr>
        <w:t>乙方</w:t>
      </w:r>
      <w:r>
        <w:rPr>
          <w:rFonts w:hint="eastAsia" w:eastAsia="宋体"/>
          <w:color w:val="auto"/>
          <w:sz w:val="32"/>
          <w:szCs w:val="32"/>
          <w:highlight w:val="none"/>
          <w:lang w:eastAsia="zh-CN"/>
        </w:rPr>
        <w:t>（承包人）</w:t>
      </w:r>
      <w:r>
        <w:rPr>
          <w:rFonts w:hint="eastAsia" w:ascii="宋体" w:hAnsi="Times New Roman" w:eastAsia="宋体" w:cs="Times New Roman"/>
          <w:color w:val="auto"/>
          <w:sz w:val="32"/>
          <w:szCs w:val="32"/>
          <w:highlight w:val="none"/>
        </w:rPr>
        <w:t>：</w:t>
      </w:r>
      <w:r>
        <w:rPr>
          <w:rFonts w:hint="eastAsia" w:ascii="Calibri" w:hAnsi="Calibri" w:eastAsia="宋体" w:cs="Times New Roman"/>
          <w:color w:val="auto"/>
          <w:sz w:val="32"/>
          <w:szCs w:val="32"/>
          <w:highlight w:val="none"/>
          <w:u w:val="single"/>
          <w:lang w:val="en-US" w:eastAsia="zh-CN"/>
        </w:rPr>
        <w:t xml:space="preserve">                       </w:t>
      </w:r>
    </w:p>
    <w:p>
      <w:pPr>
        <w:adjustRightInd/>
        <w:spacing w:line="360" w:lineRule="auto"/>
        <w:rPr>
          <w:rFonts w:ascii="宋体" w:hAnsi="Times New Roman" w:eastAsia="宋体" w:cs="Times New Roman"/>
          <w:color w:val="auto"/>
          <w:sz w:val="32"/>
          <w:szCs w:val="32"/>
          <w:highlight w:val="none"/>
        </w:rPr>
      </w:pPr>
    </w:p>
    <w:p>
      <w:pPr>
        <w:adjustRightInd/>
        <w:spacing w:line="360" w:lineRule="auto"/>
        <w:ind w:firstLine="800" w:firstLineChars="250"/>
        <w:rPr>
          <w:rFonts w:ascii="宋体" w:hAnsi="Times New Roman" w:eastAsia="宋体" w:cs="Times New Roman"/>
          <w:color w:val="auto"/>
          <w:sz w:val="32"/>
          <w:szCs w:val="32"/>
          <w:highlight w:val="none"/>
        </w:rPr>
      </w:pPr>
      <w:r>
        <w:rPr>
          <w:rFonts w:hint="eastAsia" w:ascii="宋体" w:hAnsi="Times New Roman" w:eastAsia="宋体" w:cs="Times New Roman"/>
          <w:color w:val="auto"/>
          <w:sz w:val="32"/>
          <w:szCs w:val="32"/>
          <w:highlight w:val="none"/>
        </w:rPr>
        <w:t>签署日期：</w:t>
      </w:r>
      <w:r>
        <w:rPr>
          <w:rFonts w:hint="eastAsia" w:ascii="宋体" w:hAnsi="Times New Roman" w:eastAsia="宋体" w:cs="Times New Roman"/>
          <w:color w:val="auto"/>
          <w:sz w:val="32"/>
          <w:szCs w:val="32"/>
          <w:highlight w:val="none"/>
          <w:lang w:eastAsia="zh-CN"/>
        </w:rPr>
        <w:t>2023</w:t>
      </w:r>
      <w:r>
        <w:rPr>
          <w:rFonts w:hint="eastAsia" w:ascii="宋体" w:hAnsi="Times New Roman" w:eastAsia="宋体" w:cs="Times New Roman"/>
          <w:color w:val="auto"/>
          <w:sz w:val="32"/>
          <w:szCs w:val="32"/>
          <w:highlight w:val="none"/>
        </w:rPr>
        <w:t xml:space="preserve">年     月     日 </w:t>
      </w:r>
    </w:p>
    <w:p>
      <w:pPr>
        <w:shd w:val="clear" w:color="auto" w:fill="auto"/>
        <w:adjustRightInd/>
        <w:jc w:val="center"/>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36"/>
          <w:szCs w:val="36"/>
          <w:highlight w:val="none"/>
        </w:rPr>
        <w:br w:type="page"/>
      </w:r>
    </w:p>
    <w:p>
      <w:pPr>
        <w:pStyle w:val="3"/>
        <w:spacing w:line="520" w:lineRule="exact"/>
        <w:ind w:left="0" w:leftChars="0" w:right="0" w:rightChars="0" w:firstLine="0" w:firstLineChars="0"/>
        <w:jc w:val="center"/>
        <w:rPr>
          <w:rFonts w:ascii="Times New Roman" w:hAnsi="Times New Roman"/>
          <w:b/>
          <w:bCs/>
          <w:color w:val="auto"/>
          <w:sz w:val="24"/>
          <w:szCs w:val="24"/>
          <w:lang w:val="zh-CN"/>
        </w:rPr>
      </w:pPr>
      <w:r>
        <w:rPr>
          <w:rFonts w:hint="eastAsia" w:ascii="Times New Roman" w:hAnsi="Times New Roman"/>
          <w:b/>
          <w:bCs/>
          <w:color w:val="auto"/>
          <w:sz w:val="24"/>
          <w:szCs w:val="24"/>
          <w:lang w:val="zh-CN"/>
        </w:rPr>
        <w:t>采购合同（供参考）</w:t>
      </w:r>
    </w:p>
    <w:p>
      <w:pPr>
        <w:pStyle w:val="3"/>
        <w:keepNext w:val="0"/>
        <w:keepLines w:val="0"/>
        <w:pageBreakBefore w:val="0"/>
        <w:kinsoku/>
        <w:wordWrap/>
        <w:topLinePunct w:val="0"/>
        <w:bidi w:val="0"/>
        <w:snapToGrid/>
        <w:spacing w:line="360" w:lineRule="auto"/>
        <w:jc w:val="both"/>
        <w:rPr>
          <w:rFonts w:hint="eastAsia" w:ascii="宋体" w:hAnsi="宋体" w:eastAsia="宋体" w:cs="宋体"/>
          <w:color w:val="auto"/>
          <w:sz w:val="24"/>
          <w:szCs w:val="24"/>
          <w:lang w:val="zh-CN"/>
        </w:rPr>
      </w:pPr>
    </w:p>
    <w:p>
      <w:pPr>
        <w:pStyle w:val="3"/>
        <w:keepNext w:val="0"/>
        <w:keepLines w:val="0"/>
        <w:pageBreakBefore w:val="0"/>
        <w:kinsoku/>
        <w:wordWrap/>
        <w:topLinePunct w:val="0"/>
        <w:bidi w:val="0"/>
        <w:snapToGrid/>
        <w:spacing w:line="360" w:lineRule="auto"/>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项目名称：                                     项目编号：</w:t>
      </w:r>
    </w:p>
    <w:p>
      <w:pPr>
        <w:pStyle w:val="3"/>
        <w:keepNext w:val="0"/>
        <w:keepLines w:val="0"/>
        <w:pageBreakBefore w:val="0"/>
        <w:kinsoku/>
        <w:wordWrap/>
        <w:topLinePunct w:val="0"/>
        <w:bidi w:val="0"/>
        <w:snapToGrid/>
        <w:spacing w:line="360" w:lineRule="auto"/>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采购人：</w:t>
      </w:r>
      <w:r>
        <w:rPr>
          <w:rFonts w:hint="eastAsia" w:ascii="宋体" w:hAnsi="宋体" w:eastAsia="宋体" w:cs="宋体"/>
          <w:color w:val="auto"/>
          <w:sz w:val="24"/>
          <w:szCs w:val="24"/>
          <w:u w:val="single"/>
          <w:lang w:val="en-US" w:eastAsia="zh-CN"/>
        </w:rPr>
        <w:t xml:space="preserve">          </w:t>
      </w:r>
      <w:r>
        <w:rPr>
          <w:rFonts w:hint="eastAsia"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zh-CN"/>
        </w:rPr>
        <w:t>（甲方）</w:t>
      </w:r>
    </w:p>
    <w:p>
      <w:pPr>
        <w:pStyle w:val="3"/>
        <w:keepNext w:val="0"/>
        <w:keepLines w:val="0"/>
        <w:pageBreakBefore w:val="0"/>
        <w:kinsoku/>
        <w:wordWrap/>
        <w:topLinePunct w:val="0"/>
        <w:bidi w:val="0"/>
        <w:snapToGrid/>
        <w:spacing w:line="360" w:lineRule="auto"/>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w:t>
      </w:r>
      <w:r>
        <w:rPr>
          <w:rFonts w:hint="eastAsia" w:ascii="宋体" w:hAnsi="宋体" w:eastAsia="宋体" w:cs="宋体"/>
          <w:color w:val="auto"/>
          <w:sz w:val="24"/>
          <w:szCs w:val="24"/>
          <w:u w:val="single"/>
          <w:lang w:val="en-US" w:eastAsia="zh-CN"/>
        </w:rPr>
        <w:t xml:space="preserve">           </w:t>
      </w:r>
      <w:r>
        <w:rPr>
          <w:rFonts w:hint="eastAsia"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zh-CN"/>
        </w:rPr>
        <w:t>（乙方）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根据《中华人民共和国政府采购法》、《中华人民共和国政府采购法实施条例》、《政府采购货物和服务招标投标管理办法》等法律法规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rPr>
        <w:t>项目名称（项目编号）</w:t>
      </w:r>
      <w:r>
        <w:rPr>
          <w:rFonts w:hint="eastAsia" w:ascii="宋体" w:hAnsi="宋体" w:eastAsia="宋体" w:cs="宋体"/>
          <w:color w:val="auto"/>
          <w:sz w:val="24"/>
          <w:szCs w:val="24"/>
        </w:rPr>
        <w:t>于</w:t>
      </w:r>
      <w:r>
        <w:rPr>
          <w:rFonts w:hint="eastAsia" w:ascii="宋体" w:hAnsi="宋体" w:eastAsia="宋体" w:cs="宋体"/>
          <w:color w:val="auto"/>
          <w:sz w:val="24"/>
          <w:szCs w:val="24"/>
          <w:u w:val="single"/>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日，在宁波市</w:t>
      </w:r>
      <w:r>
        <w:rPr>
          <w:rFonts w:hint="eastAsia" w:ascii="宋体" w:hAnsi="宋体" w:eastAsia="宋体" w:cs="宋体"/>
          <w:color w:val="auto"/>
          <w:sz w:val="24"/>
          <w:szCs w:val="24"/>
          <w:lang w:eastAsia="zh-CN"/>
        </w:rPr>
        <w:t>宁海</w:t>
      </w:r>
      <w:r>
        <w:rPr>
          <w:rFonts w:hint="eastAsia" w:ascii="宋体" w:hAnsi="宋体" w:eastAsia="宋体" w:cs="宋体"/>
          <w:color w:val="auto"/>
          <w:sz w:val="24"/>
          <w:szCs w:val="24"/>
        </w:rPr>
        <w:t>县公共资源交易中心进行公开招标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经结果公告确定由乙方中标。按照《中华人民共和国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》的有关规定，在自愿、平等、公平、诚信的基础上，经</w:t>
      </w:r>
      <w:r>
        <w:rPr>
          <w:rFonts w:hint="eastAsia" w:ascii="宋体" w:hAnsi="宋体" w:eastAsia="宋体" w:cs="宋体"/>
          <w:color w:val="auto"/>
          <w:sz w:val="24"/>
          <w:szCs w:val="24"/>
          <w:lang w:eastAsia="zh-CN"/>
        </w:rPr>
        <w:t>双</w:t>
      </w:r>
      <w:r>
        <w:rPr>
          <w:rFonts w:hint="eastAsia" w:ascii="宋体" w:hAnsi="宋体" w:eastAsia="宋体" w:cs="宋体"/>
          <w:color w:val="auto"/>
          <w:sz w:val="24"/>
          <w:szCs w:val="24"/>
        </w:rPr>
        <w:t>方协商一致，签订本合同。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下述文件作为附件，是合同的</w:t>
      </w:r>
      <w:r>
        <w:rPr>
          <w:rFonts w:hint="eastAsia" w:ascii="宋体" w:hAnsi="宋体" w:eastAsia="宋体" w:cs="宋体"/>
          <w:color w:val="auto"/>
          <w:sz w:val="24"/>
          <w:szCs w:val="24"/>
          <w:lang w:eastAsia="zh-CN"/>
        </w:rPr>
        <w:t>组成</w:t>
      </w:r>
      <w:r>
        <w:rPr>
          <w:rFonts w:hint="eastAsia" w:ascii="宋体" w:hAnsi="宋体" w:eastAsia="宋体" w:cs="宋体"/>
          <w:color w:val="auto"/>
          <w:sz w:val="24"/>
          <w:szCs w:val="24"/>
        </w:rPr>
        <w:t>部分，并与本合同一起阅读和解释：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b.投标文件及澄清文件；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上述文件与合同若有不一致之处，优先次序第一应为合同、第二应为附件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附件的优先次序为c</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a</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一、项目名称、服务期限、服务内容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服务内容：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二、合同金额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1、采购预算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单标段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2、最高限价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单标段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3、合同</w:t>
      </w:r>
      <w:r>
        <w:rPr>
          <w:rFonts w:hint="eastAsia" w:ascii="宋体" w:hAnsi="宋体" w:eastAsia="宋体" w:cs="宋体"/>
          <w:color w:val="auto"/>
          <w:sz w:val="24"/>
          <w:szCs w:val="24"/>
          <w:lang w:val="en-US" w:eastAsia="zh-CN"/>
        </w:rPr>
        <w:t>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4、合同形式：固定单价合同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5、合同结算价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合同单价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经甲方确认的实际工作量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、合同付款方法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合同签订并满足项目实施条件后，支付合同价的20%作为预付款；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）根据供应商完成相应工作量并出具对应工作成果后，按</w:t>
      </w:r>
      <w:r>
        <w:rPr>
          <w:rFonts w:hint="eastAsia" w:ascii="宋体" w:hAnsi="宋体" w:eastAsia="宋体" w:cs="宋体"/>
          <w:color w:val="auto"/>
          <w:sz w:val="24"/>
          <w:szCs w:val="24"/>
          <w:lang w:val="en-US" w:eastAsia="zh-CN"/>
        </w:rPr>
        <w:t>季度</w:t>
      </w:r>
      <w:r>
        <w:rPr>
          <w:rFonts w:hint="eastAsia" w:ascii="宋体" w:hAnsi="宋体" w:eastAsia="宋体" w:cs="宋体"/>
          <w:color w:val="auto"/>
          <w:sz w:val="24"/>
          <w:szCs w:val="24"/>
          <w:lang w:eastAsia="zh-CN"/>
        </w:rPr>
        <w:t>支付服务报酬，预付款在第一季度结算时扣回；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）所有工作成果经采购人及其上级部门核查通过后，服务报酬方可全部付清。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（1）履约保证金金额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rPr>
        <w:t>合同价的</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（2）履约保证金形式：银行汇票（电汇）、支票（仅限于使用宁波大市区范围内的银行开具的支票）、保险保单和银行保函等形式。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（3）履约保证金</w:t>
      </w:r>
      <w:r>
        <w:rPr>
          <w:rFonts w:hint="eastAsia" w:ascii="宋体" w:hAnsi="宋体" w:eastAsia="宋体" w:cs="宋体"/>
          <w:color w:val="auto"/>
          <w:sz w:val="24"/>
          <w:szCs w:val="24"/>
          <w:lang w:eastAsia="zh-CN"/>
        </w:rPr>
        <w:t>在</w:t>
      </w:r>
      <w:r>
        <w:rPr>
          <w:rFonts w:hint="eastAsia" w:ascii="宋体" w:hAnsi="宋体" w:eastAsia="宋体" w:cs="宋体"/>
          <w:color w:val="auto"/>
          <w:sz w:val="24"/>
          <w:szCs w:val="24"/>
        </w:rPr>
        <w:t>合同签订</w:t>
      </w:r>
      <w:r>
        <w:rPr>
          <w:rFonts w:hint="eastAsia" w:ascii="宋体" w:hAnsi="宋体" w:eastAsia="宋体" w:cs="宋体"/>
          <w:color w:val="auto"/>
          <w:sz w:val="24"/>
          <w:szCs w:val="24"/>
          <w:lang w:eastAsia="zh-CN"/>
        </w:rPr>
        <w:t>前</w:t>
      </w:r>
      <w:r>
        <w:rPr>
          <w:rFonts w:hint="eastAsia" w:ascii="宋体" w:hAnsi="宋体" w:eastAsia="宋体" w:cs="宋体"/>
          <w:color w:val="auto"/>
          <w:sz w:val="24"/>
          <w:szCs w:val="24"/>
        </w:rPr>
        <w:t>交至</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（4）履约保证金的</w:t>
      </w:r>
      <w:r>
        <w:rPr>
          <w:rFonts w:hint="eastAsia" w:ascii="宋体" w:hAnsi="宋体" w:eastAsia="宋体" w:cs="宋体"/>
          <w:color w:val="auto"/>
          <w:sz w:val="24"/>
          <w:szCs w:val="24"/>
          <w:lang w:eastAsia="zh-CN"/>
        </w:rPr>
        <w:t>退还：</w:t>
      </w:r>
      <w:r>
        <w:rPr>
          <w:rFonts w:hint="eastAsia" w:ascii="宋体" w:hAnsi="宋体" w:eastAsia="宋体" w:cs="宋体"/>
          <w:color w:val="auto"/>
          <w:sz w:val="24"/>
          <w:szCs w:val="24"/>
        </w:rPr>
        <w:t>履约保证金在</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完成</w:t>
      </w:r>
      <w:r>
        <w:rPr>
          <w:rFonts w:hint="eastAsia" w:ascii="宋体" w:hAnsi="宋体" w:eastAsia="宋体" w:cs="宋体"/>
          <w:color w:val="auto"/>
          <w:sz w:val="24"/>
          <w:szCs w:val="24"/>
          <w:lang w:eastAsia="zh-CN"/>
        </w:rPr>
        <w:t>全部</w:t>
      </w:r>
      <w:r>
        <w:rPr>
          <w:rFonts w:hint="eastAsia" w:ascii="宋体" w:hAnsi="宋体" w:eastAsia="宋体" w:cs="宋体"/>
          <w:color w:val="auto"/>
          <w:sz w:val="24"/>
          <w:szCs w:val="24"/>
        </w:rPr>
        <w:t>合同履约</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后无息退还。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如</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未能履行合同规定的任何义务</w:t>
      </w:r>
      <w:r>
        <w:rPr>
          <w:rFonts w:hint="eastAsia" w:ascii="宋体" w:hAnsi="宋体" w:eastAsia="宋体" w:cs="宋体"/>
          <w:color w:val="auto"/>
          <w:sz w:val="24"/>
          <w:szCs w:val="24"/>
          <w:lang w:eastAsia="zh-CN"/>
        </w:rPr>
        <w:t>，甲方有权就履约保证金优先扣除应由乙方承担的违约金、赔偿金等。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、转包或分包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本合同范围的服务，应由乙方直接提供，不得转</w:t>
      </w:r>
      <w:r>
        <w:rPr>
          <w:rFonts w:hint="eastAsia" w:ascii="宋体" w:hAnsi="宋体" w:eastAsia="宋体" w:cs="宋体"/>
          <w:color w:val="auto"/>
          <w:sz w:val="24"/>
          <w:szCs w:val="24"/>
          <w:lang w:val="en-US" w:eastAsia="zh-CN"/>
        </w:rPr>
        <w:t>包</w:t>
      </w:r>
      <w:r>
        <w:rPr>
          <w:rFonts w:hint="eastAsia" w:ascii="宋体" w:hAnsi="宋体" w:eastAsia="宋体" w:cs="宋体"/>
          <w:color w:val="auto"/>
          <w:sz w:val="24"/>
          <w:szCs w:val="24"/>
        </w:rPr>
        <w:t>他人</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除非得到甲方的书面同意，乙方不得</w:t>
      </w:r>
      <w:r>
        <w:rPr>
          <w:rFonts w:hint="eastAsia" w:ascii="宋体" w:hAnsi="宋体" w:eastAsia="宋体" w:cs="宋体"/>
          <w:color w:val="auto"/>
          <w:sz w:val="24"/>
          <w:szCs w:val="24"/>
          <w:lang w:eastAsia="zh-CN"/>
        </w:rPr>
        <w:t>进行</w:t>
      </w:r>
      <w:r>
        <w:rPr>
          <w:rFonts w:hint="eastAsia" w:ascii="宋体" w:hAnsi="宋体" w:eastAsia="宋体" w:cs="宋体"/>
          <w:color w:val="auto"/>
          <w:sz w:val="24"/>
          <w:szCs w:val="24"/>
        </w:rPr>
        <w:t>分包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甲方有绝对权力阻止分包</w:t>
      </w:r>
      <w:r>
        <w:rPr>
          <w:rFonts w:hint="eastAsia" w:ascii="宋体" w:hAnsi="宋体" w:eastAsia="宋体" w:cs="宋体"/>
          <w:color w:val="auto"/>
          <w:sz w:val="24"/>
          <w:szCs w:val="24"/>
          <w:lang w:eastAsia="zh-CN"/>
        </w:rPr>
        <w:t>行为</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如有转</w:t>
      </w:r>
      <w:r>
        <w:rPr>
          <w:rFonts w:hint="eastAsia" w:ascii="宋体" w:hAnsi="宋体" w:eastAsia="宋体" w:cs="宋体"/>
          <w:color w:val="auto"/>
          <w:sz w:val="24"/>
          <w:szCs w:val="24"/>
          <w:lang w:val="en-US" w:eastAsia="zh-CN"/>
        </w:rPr>
        <w:t>包</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未经甲方同意的分包行为，甲方有权</w:t>
      </w:r>
      <w:r>
        <w:rPr>
          <w:rFonts w:hint="eastAsia" w:ascii="宋体" w:hAnsi="宋体" w:eastAsia="宋体" w:cs="宋体"/>
          <w:color w:val="auto"/>
          <w:sz w:val="24"/>
          <w:szCs w:val="24"/>
          <w:lang w:val="en-US" w:eastAsia="zh-CN"/>
        </w:rPr>
        <w:t>单方面解除本合同</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六、考核验收及安全生产要求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1、甲方有权根据项目特点对服务期内的服务实施情况进行考核</w:t>
      </w:r>
      <w:r>
        <w:rPr>
          <w:rFonts w:hint="eastAsia" w:ascii="宋体" w:hAnsi="宋体" w:cs="宋体"/>
          <w:color w:val="auto"/>
          <w:sz w:val="24"/>
          <w:szCs w:val="24"/>
          <w:lang w:eastAsia="zh-CN"/>
        </w:rPr>
        <w:t>，</w:t>
      </w:r>
      <w:r>
        <w:rPr>
          <w:rFonts w:hint="eastAsia" w:ascii="宋体" w:hAnsi="宋体" w:eastAsia="宋体" w:cs="宋体"/>
          <w:color w:val="auto"/>
          <w:sz w:val="24"/>
          <w:szCs w:val="24"/>
        </w:rPr>
        <w:t>结合考核情况和服务效果进行验收。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2、服务标准：中标后15个工作日内乙方应和甲方成立项目小组</w:t>
      </w:r>
      <w:r>
        <w:rPr>
          <w:rFonts w:hint="eastAsia" w:ascii="宋体" w:hAnsi="宋体" w:cs="宋体"/>
          <w:color w:val="auto"/>
          <w:sz w:val="24"/>
          <w:szCs w:val="24"/>
          <w:lang w:eastAsia="zh-CN"/>
        </w:rPr>
        <w:t>，</w:t>
      </w:r>
      <w:r>
        <w:rPr>
          <w:rFonts w:hint="eastAsia" w:ascii="宋体" w:hAnsi="宋体" w:eastAsia="宋体" w:cs="宋体"/>
          <w:color w:val="auto"/>
          <w:sz w:val="24"/>
          <w:szCs w:val="24"/>
        </w:rPr>
        <w:t>便于在需要时及时安排相关服务。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3、响应时间：乙方提供7×24小时电话技术咨询支持，如在使用过程中发生问题，乙方在接到甲方通知后，30分钟内须作出有效响应，须在2小时内到达现场</w:t>
      </w:r>
      <w:r>
        <w:rPr>
          <w:rFonts w:hint="eastAsia" w:ascii="宋体" w:hAnsi="宋体" w:cs="宋体"/>
          <w:color w:val="auto"/>
          <w:sz w:val="24"/>
          <w:szCs w:val="24"/>
          <w:lang w:eastAsia="zh-CN"/>
        </w:rPr>
        <w:t>，</w:t>
      </w:r>
      <w:r>
        <w:rPr>
          <w:rFonts w:hint="eastAsia" w:ascii="宋体" w:hAnsi="宋体" w:eastAsia="宋体" w:cs="宋体"/>
          <w:color w:val="auto"/>
          <w:sz w:val="24"/>
          <w:szCs w:val="24"/>
        </w:rPr>
        <w:t>紧急情况下需在1小时到达现场</w:t>
      </w:r>
      <w:r>
        <w:rPr>
          <w:rFonts w:hint="eastAsia" w:ascii="宋体" w:hAnsi="宋体" w:cs="宋体"/>
          <w:color w:val="auto"/>
          <w:sz w:val="24"/>
          <w:szCs w:val="24"/>
          <w:lang w:eastAsia="zh-CN"/>
        </w:rPr>
        <w:t>，</w:t>
      </w:r>
      <w:r>
        <w:rPr>
          <w:rFonts w:hint="eastAsia" w:ascii="宋体" w:hAnsi="宋体" w:eastAsia="宋体" w:cs="宋体"/>
          <w:color w:val="auto"/>
          <w:sz w:val="24"/>
          <w:szCs w:val="24"/>
        </w:rPr>
        <w:t>24内解决问题，对不能及时解决问题的，在24小时内须提供相应的有效的解决方案</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4、质量要求：符合国家相关规定质量验收合格标准。乙方必须一次性验收合格。因乙方原因项目质量达不到约定的质量标准，乙方承担相应的违约责任。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5、安全文明施工要求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项目实施期间乙方应做好施工现场的安全文明施工要求，甲方或有关部门对现场安全施工、创建城市等提出整改意见的，乙方必须及时予以整改，如不及时予以整改的</w:t>
      </w:r>
      <w:r>
        <w:rPr>
          <w:rFonts w:hint="eastAsia" w:ascii="宋体" w:hAnsi="宋体" w:cs="宋体"/>
          <w:color w:val="auto"/>
          <w:sz w:val="24"/>
          <w:szCs w:val="24"/>
          <w:lang w:eastAsia="zh-CN"/>
        </w:rPr>
        <w:t>，</w:t>
      </w:r>
      <w:r>
        <w:rPr>
          <w:rFonts w:hint="eastAsia" w:ascii="宋体" w:hAnsi="宋体" w:eastAsia="宋体" w:cs="宋体"/>
          <w:color w:val="auto"/>
          <w:sz w:val="24"/>
          <w:szCs w:val="24"/>
        </w:rPr>
        <w:t>由甲方委托第三方进行整改</w:t>
      </w:r>
      <w:r>
        <w:rPr>
          <w:rFonts w:hint="eastAsia" w:ascii="宋体" w:hAnsi="宋体" w:cs="宋体"/>
          <w:color w:val="auto"/>
          <w:sz w:val="24"/>
          <w:szCs w:val="24"/>
          <w:lang w:eastAsia="zh-CN"/>
        </w:rPr>
        <w:t>，</w:t>
      </w:r>
      <w:r>
        <w:rPr>
          <w:rFonts w:hint="eastAsia" w:ascii="宋体" w:hAnsi="宋体" w:eastAsia="宋体" w:cs="宋体"/>
          <w:color w:val="auto"/>
          <w:sz w:val="24"/>
          <w:szCs w:val="24"/>
        </w:rPr>
        <w:t>整改费用从乙方进度款中扣除。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5.2 </w:t>
      </w:r>
      <w:r>
        <w:rPr>
          <w:rFonts w:hint="eastAsia" w:ascii="宋体" w:hAnsi="宋体" w:eastAsia="宋体" w:cs="宋体"/>
          <w:color w:val="auto"/>
          <w:sz w:val="24"/>
          <w:szCs w:val="24"/>
        </w:rPr>
        <w:t>项目实施期间乙方须按相关国家规范要求遵守各项安全操作规程</w:t>
      </w:r>
      <w:r>
        <w:rPr>
          <w:rFonts w:hint="eastAsia" w:ascii="宋体" w:hAnsi="宋体" w:cs="宋体"/>
          <w:color w:val="auto"/>
          <w:sz w:val="24"/>
          <w:szCs w:val="24"/>
          <w:lang w:eastAsia="zh-CN"/>
        </w:rPr>
        <w:t>，</w:t>
      </w:r>
      <w:r>
        <w:rPr>
          <w:rFonts w:hint="eastAsia" w:ascii="宋体" w:hAnsi="宋体" w:eastAsia="宋体" w:cs="宋体"/>
          <w:color w:val="auto"/>
          <w:sz w:val="24"/>
          <w:szCs w:val="24"/>
        </w:rPr>
        <w:t>防止发生各类事故。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道路上作业施工时需按有关部门要求做好安全防护和警示标志。项目实施期间发生的安全措施费，夜间施工增加费均由乙方负责，投标报价中已包含该费用。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sz w:val="24"/>
          <w:szCs w:val="24"/>
        </w:rPr>
        <w:t>项目完成过程中，乙方应加强安全管理，杜绝安全事故的发生。项目完成期间所引起的工伤事故，各种纠纷以及突发事件，其一切责任、赔偿和后果均由乙方自行承担。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工人上岗前必须进行安全教育和培训，并做好记录；凡履行任务所需使用的机械，应做到持证操作，并及时保养、维护。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6 </w:t>
      </w:r>
      <w:r>
        <w:rPr>
          <w:rFonts w:hint="eastAsia" w:ascii="宋体" w:hAnsi="宋体" w:eastAsia="宋体" w:cs="宋体"/>
          <w:color w:val="auto"/>
          <w:sz w:val="24"/>
          <w:szCs w:val="24"/>
        </w:rPr>
        <w:t>承包人应按要求做好城市创建相关工作，材料设备等堆放按照施工现场指定地点堆放，及时清理垃圾等，由此引起的费用由乙方自行承担，投标报价中已包含该费用。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7 </w:t>
      </w:r>
      <w:r>
        <w:rPr>
          <w:rFonts w:hint="eastAsia" w:ascii="宋体" w:hAnsi="宋体" w:eastAsia="宋体" w:cs="宋体"/>
          <w:color w:val="auto"/>
          <w:sz w:val="24"/>
          <w:szCs w:val="24"/>
        </w:rPr>
        <w:t>加强垃圾运输管理，规范垃圾等散装物料运输管理秩序，维护城市道路的整洁和市容环境秩序，本项目垃圾运输车应参照相关法律法等相关部门的有关规定执行。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8 </w:t>
      </w:r>
      <w:r>
        <w:rPr>
          <w:rFonts w:hint="eastAsia" w:ascii="宋体" w:hAnsi="宋体" w:eastAsia="宋体" w:cs="宋体"/>
          <w:color w:val="auto"/>
          <w:sz w:val="24"/>
          <w:szCs w:val="24"/>
        </w:rPr>
        <w:t>施工噪声污染的处理措施：项目实施过程中乙方应采用噪声低的设备，并制定合理可行的减弱噪音的措施等。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9 </w:t>
      </w:r>
      <w:r>
        <w:rPr>
          <w:rFonts w:hint="eastAsia" w:ascii="宋体" w:hAnsi="宋体" w:eastAsia="宋体" w:cs="宋体"/>
          <w:color w:val="auto"/>
          <w:sz w:val="24"/>
          <w:szCs w:val="24"/>
        </w:rPr>
        <w:t>乙方在签订协议书时，须同时签订安全生产责任书，乙方不愿签订责任书的，将视为自动放弃中标资格。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10 </w:t>
      </w:r>
      <w:r>
        <w:rPr>
          <w:rFonts w:hint="eastAsia" w:ascii="宋体" w:hAnsi="宋体" w:eastAsia="宋体" w:cs="宋体"/>
          <w:color w:val="auto"/>
          <w:sz w:val="24"/>
          <w:szCs w:val="24"/>
        </w:rPr>
        <w:t>乙方必须为其工作人员投保员工人身意外保险，以保证甲方在乙方工作人员索偿时不受任何责任的约束，保险费用已包含在乙方的投标报价中，甲方不单独另行支付。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11 </w:t>
      </w:r>
      <w:r>
        <w:rPr>
          <w:rFonts w:hint="eastAsia" w:ascii="宋体" w:hAnsi="宋体" w:eastAsia="宋体" w:cs="宋体"/>
          <w:color w:val="auto"/>
          <w:sz w:val="24"/>
          <w:szCs w:val="24"/>
        </w:rPr>
        <w:t>乙方在合同期内若做到安全生产无事故，合同期满时，甲方返还履约保证金。若乙方在履约期内发生安全责任事故的，所有损失及赔偿均由乙方自行承担，甲方还可视情况扣留全部或部分履约保证金。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6、验收后提交成果要求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国家工程竣工有关规定的完整竣工资料。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提交所有成果资料的清单或目录；提交成果资料必须达到文字资料分类装订组卷；文字资料整洁，连续，完整；电子文件文件名(文件夹名)可以清楚表示文件内容，且文件名和文件内容相对应。</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七</w:t>
      </w:r>
      <w:r>
        <w:rPr>
          <w:rFonts w:hint="eastAsia" w:ascii="宋体" w:hAnsi="宋体" w:eastAsia="宋体" w:cs="宋体"/>
          <w:b/>
          <w:bCs/>
          <w:color w:val="auto"/>
          <w:sz w:val="24"/>
          <w:szCs w:val="24"/>
        </w:rPr>
        <w:t>、工期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1、乙方在</w:t>
      </w:r>
      <w:r>
        <w:rPr>
          <w:rFonts w:hint="eastAsia" w:ascii="宋体" w:hAnsi="宋体" w:eastAsia="宋体" w:cs="宋体"/>
          <w:color w:val="auto"/>
          <w:sz w:val="24"/>
          <w:szCs w:val="24"/>
          <w:lang w:val="en-US" w:eastAsia="zh-CN"/>
        </w:rPr>
        <w:t>年度</w:t>
      </w:r>
      <w:r>
        <w:rPr>
          <w:rFonts w:hint="eastAsia" w:ascii="宋体" w:hAnsi="宋体" w:eastAsia="宋体" w:cs="宋体"/>
          <w:color w:val="auto"/>
          <w:sz w:val="24"/>
          <w:szCs w:val="24"/>
        </w:rPr>
        <w:t>合同签订后一年内完成招标人要求的所有工作内容，并经甲方和其委托的</w:t>
      </w:r>
      <w:r>
        <w:rPr>
          <w:rFonts w:hint="eastAsia" w:ascii="宋体" w:hAnsi="宋体" w:eastAsia="宋体" w:cs="宋体"/>
          <w:color w:val="auto"/>
          <w:sz w:val="24"/>
          <w:szCs w:val="24"/>
          <w:lang w:val="en-US" w:eastAsia="zh-CN"/>
        </w:rPr>
        <w:t>其他</w:t>
      </w:r>
      <w:r>
        <w:rPr>
          <w:rFonts w:hint="eastAsia" w:ascii="宋体" w:hAnsi="宋体" w:eastAsia="宋体" w:cs="宋体"/>
          <w:color w:val="auto"/>
          <w:sz w:val="24"/>
          <w:szCs w:val="24"/>
        </w:rPr>
        <w:t>单位（如有）验收合格。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2、所有成果资料移交在竣工验收合格后，</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个月内完成。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、税</w:t>
      </w:r>
      <w:r>
        <w:rPr>
          <w:rFonts w:hint="eastAsia" w:ascii="宋体" w:hAnsi="宋体" w:eastAsia="宋体" w:cs="宋体"/>
          <w:b/>
          <w:bCs/>
          <w:color w:val="auto"/>
          <w:sz w:val="24"/>
          <w:szCs w:val="24"/>
          <w:lang w:eastAsia="zh-CN"/>
        </w:rPr>
        <w:t>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本合同执行</w:t>
      </w:r>
      <w:r>
        <w:rPr>
          <w:rFonts w:hint="eastAsia" w:ascii="宋体" w:hAnsi="宋体" w:eastAsia="宋体" w:cs="宋体"/>
          <w:color w:val="auto"/>
          <w:sz w:val="24"/>
          <w:szCs w:val="24"/>
          <w:lang w:eastAsia="zh-CN"/>
        </w:rPr>
        <w:t>过程</w:t>
      </w:r>
      <w:r>
        <w:rPr>
          <w:rFonts w:hint="eastAsia" w:ascii="宋体" w:hAnsi="宋体" w:eastAsia="宋体" w:cs="宋体"/>
          <w:color w:val="auto"/>
          <w:sz w:val="24"/>
          <w:szCs w:val="24"/>
        </w:rPr>
        <w:t>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九</w:t>
      </w:r>
      <w:r>
        <w:rPr>
          <w:rFonts w:hint="eastAsia" w:ascii="宋体" w:hAnsi="宋体" w:eastAsia="宋体" w:cs="宋体"/>
          <w:b/>
          <w:bCs/>
          <w:color w:val="auto"/>
          <w:sz w:val="24"/>
          <w:szCs w:val="24"/>
        </w:rPr>
        <w:t>、人员及设备配备情况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1、项目负责人：姓名：          ；身份证号：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2、项目组其他成员：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3、服务期间乙方不得随意更换项目负责人，如有特殊情况需要更换，须提前书面上报甲方，且更换的项目负责人仍需满足招标文件要求，经甲方确认同意后方可执行。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必须为全体作业人员购人身意外保险，必须重视安全生产工作，确保全年不出安全生产责任事故。合如发生安全生产责任事故（人员伤亡）或交通事故，由乙方承担一切责任及损失，且视情况扣留全部或部分履约保证金，甲方有权终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5、合同执行过程中，乙方如有弄虚作假行为，甲方有权单方面解除合同并没收全部履约保证金，由此引起的所有损失由乙方承担。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6、设备及车辆配备情况表：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1、工期结束时因乙方自身原因逾期完成服务的，甲方有权单方面解除合同并没收乙方交纳的全部履约保证金，如造成甲方损失超过履约保证金金额的，超出部分由乙方继续承担赔偿责任。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工期延误的，按500元/日扣除合同款项；非乙方原因引起调查不能进行的，需告知甲方，否则视为调查未进行，甲方有权单方面解除合同并没收乙方交纳的履约保证金且不再支付余款，甲方有权向乙方追究相应责任，相应责任由甲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3、乙方承诺仅用于本项目或优先考虑本项目的器械、设备应如实进行，若发现承诺与实际有偏差，或影响到项目养护进程的，视作违约，甲方有权单方面解除合同并没收全部履约保证金。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4、乙方承诺的人员到位率必须按要求到位，若发现承诺与实际有偏差，存在弄虚作假情况，或影响到项目养护</w:t>
      </w:r>
      <w:r>
        <w:rPr>
          <w:rFonts w:hint="eastAsia" w:ascii="宋体" w:hAnsi="宋体" w:cs="宋体"/>
          <w:color w:val="auto"/>
          <w:sz w:val="24"/>
          <w:szCs w:val="24"/>
          <w:lang w:val="en-US" w:eastAsia="zh-CN"/>
        </w:rPr>
        <w:t>维修</w:t>
      </w:r>
      <w:r>
        <w:rPr>
          <w:rFonts w:hint="eastAsia" w:ascii="宋体" w:hAnsi="宋体" w:eastAsia="宋体" w:cs="宋体"/>
          <w:color w:val="auto"/>
          <w:sz w:val="24"/>
          <w:szCs w:val="24"/>
          <w:lang w:val="en-US" w:eastAsia="zh-CN"/>
        </w:rPr>
        <w:t>进程的，视作违约，甲方有权单方面解除合同并没收全部履约保证金。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、不可抗力事件处理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双方在执行合同中所发生的一切争议，应通过协商解决。如协商不成，可向合同签订地法院起诉。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、合同生效及</w:t>
      </w:r>
      <w:r>
        <w:rPr>
          <w:rFonts w:hint="eastAsia" w:ascii="宋体" w:hAnsi="宋体" w:eastAsia="宋体" w:cs="宋体"/>
          <w:b/>
          <w:bCs/>
          <w:color w:val="auto"/>
          <w:sz w:val="24"/>
          <w:szCs w:val="24"/>
          <w:lang w:eastAsia="zh-CN"/>
        </w:rPr>
        <w:t>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合同经</w:t>
      </w:r>
      <w:r>
        <w:rPr>
          <w:rFonts w:hint="eastAsia" w:ascii="宋体" w:hAnsi="宋体" w:eastAsia="宋体" w:cs="宋体"/>
          <w:color w:val="auto"/>
          <w:sz w:val="24"/>
          <w:szCs w:val="24"/>
          <w:lang w:eastAsia="zh-CN"/>
        </w:rPr>
        <w:t>双</w:t>
      </w:r>
      <w:r>
        <w:rPr>
          <w:rFonts w:hint="eastAsia" w:ascii="宋体" w:hAnsi="宋体" w:eastAsia="宋体" w:cs="宋体"/>
          <w:color w:val="auto"/>
          <w:sz w:val="24"/>
          <w:szCs w:val="24"/>
        </w:rPr>
        <w:t>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本合同未尽事宜，遵照《</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采购法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有关条文、补充协议、投标承诺、投标文件、采购文件及补充执行。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本合同正本一式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份，甲乙双方各执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份</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 xml:space="preserve">副本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甲乙双方各执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份。合同正副本</w:t>
      </w:r>
      <w:r>
        <w:rPr>
          <w:rFonts w:hint="eastAsia" w:ascii="宋体" w:hAnsi="宋体" w:eastAsia="宋体" w:cs="宋体"/>
          <w:color w:val="auto"/>
          <w:sz w:val="24"/>
          <w:szCs w:val="24"/>
          <w:lang w:eastAsia="zh-CN"/>
        </w:rPr>
        <w:t>均</w:t>
      </w:r>
      <w:r>
        <w:rPr>
          <w:rFonts w:hint="eastAsia" w:ascii="宋体" w:hAnsi="宋体" w:eastAsia="宋体" w:cs="宋体"/>
          <w:color w:val="auto"/>
          <w:sz w:val="24"/>
          <w:szCs w:val="24"/>
        </w:rPr>
        <w:t>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甲方（盖章）：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代表人：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代表人：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电话：</w:t>
      </w:r>
    </w:p>
    <w:p>
      <w:pPr>
        <w:pStyle w:val="59"/>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时间：                               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lang w:val="en-US" w:eastAsia="zh-CN"/>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sectPr>
          <w:headerReference r:id="rId9" w:type="first"/>
          <w:footerReference r:id="rId11" w:type="first"/>
          <w:headerReference r:id="rId8" w:type="default"/>
          <w:footerReference r:id="rId10" w:type="default"/>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一、符合参加政府采购活动应当具备的一般条件的承诺函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重大税收违法失信主体</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w:t>
      </w:r>
      <w:r>
        <w:rPr>
          <w:rFonts w:hint="eastAsia" w:ascii="宋体" w:hAnsi="宋体" w:eastAsia="宋体" w:cs="宋体"/>
          <w:color w:val="auto"/>
          <w:sz w:val="24"/>
          <w:highlight w:val="none"/>
        </w:rPr>
        <w:t>府采购活动的；</w:t>
      </w:r>
    </w:p>
    <w:p>
      <w:p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r>
        <w:rPr>
          <w:rFonts w:hint="eastAsia" w:ascii="宋体" w:hAnsi="宋体" w:cs="宋体"/>
          <w:color w:val="auto"/>
          <w:sz w:val="24"/>
          <w:highlight w:val="none"/>
          <w:lang w:eastAsia="zh-CN"/>
        </w:rPr>
        <w:t>；</w:t>
      </w:r>
    </w:p>
    <w:p>
      <w:pP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rPr>
        <w:t>未在中国裁判文书网有行贿犯罪相关记录。</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三、落实政府采购政策需满足的资格要求</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如果有</w:t>
      </w:r>
      <w:r>
        <w:rPr>
          <w:rFonts w:hint="eastAsia" w:ascii="宋体" w:hAnsi="宋体" w:cs="宋体"/>
          <w:b/>
          <w:color w:val="auto"/>
          <w:kern w:val="0"/>
          <w:sz w:val="32"/>
          <w:szCs w:val="32"/>
          <w:highlight w:val="none"/>
          <w:lang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要求合同分包的，提供分包意向协议和中小企业声明函（附件</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lang w:eastAsia="zh-CN"/>
        </w:rPr>
      </w:pPr>
      <w:r>
        <w:rPr>
          <w:rFonts w:hint="eastAsia" w:ascii="宋体" w:hAnsi="宋体" w:cs="宋体"/>
          <w:b/>
          <w:color w:val="auto"/>
          <w:kern w:val="0"/>
          <w:sz w:val="32"/>
          <w:szCs w:val="32"/>
          <w:highlight w:val="none"/>
        </w:rPr>
        <w:t>四、本项目的特定资格要求</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如果有</w:t>
      </w:r>
      <w:r>
        <w:rPr>
          <w:rFonts w:hint="eastAsia" w:ascii="宋体" w:hAnsi="宋体" w:cs="宋体"/>
          <w:b/>
          <w:color w:val="auto"/>
          <w:kern w:val="0"/>
          <w:sz w:val="32"/>
          <w:szCs w:val="32"/>
          <w:highlight w:val="none"/>
          <w:lang w:eastAsia="zh-CN"/>
        </w:rPr>
        <w:t>）</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如果有</w:t>
      </w:r>
      <w:r>
        <w:rPr>
          <w:rFonts w:hint="eastAsia" w:ascii="宋体" w:hAnsi="宋体" w:cs="宋体"/>
          <w:color w:val="auto"/>
          <w:sz w:val="24"/>
          <w:highlight w:val="none"/>
          <w:lang w:eastAsia="zh-CN"/>
        </w:rPr>
        <w:t>）</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2.1.1符合参加政府采购活动应当具备的一般条件的承诺函；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398" w:name="_Hlk101257010"/>
      <w:r>
        <w:rPr>
          <w:rFonts w:hint="eastAsia" w:ascii="宋体" w:hAnsi="宋体" w:cs="宋体"/>
          <w:color w:val="auto"/>
          <w:sz w:val="24"/>
          <w:highlight w:val="none"/>
        </w:rPr>
        <w:t>（如果有)</w:t>
      </w:r>
      <w:bookmarkEnd w:id="398"/>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2.2.1投</w:t>
      </w:r>
      <w:r>
        <w:rPr>
          <w:rFonts w:hint="eastAsia" w:ascii="宋体" w:hAnsi="宋体" w:eastAsia="宋体" w:cs="宋体"/>
          <w:color w:val="auto"/>
          <w:sz w:val="24"/>
          <w:highlight w:val="none"/>
        </w:rPr>
        <w:t>标函；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r>
        <w:rPr>
          <w:rFonts w:hint="eastAsia" w:ascii="宋体" w:hAnsi="宋体" w:eastAsia="宋体" w:cs="宋体"/>
          <w:color w:val="auto"/>
          <w:sz w:val="24"/>
          <w:highlight w:val="none"/>
          <w:lang w:val="zh-CN"/>
        </w:rPr>
        <w:t>授权委托书或法定代表人（单位负责人、自然人本人）身份证明</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cs="宋体"/>
          <w:color w:val="auto"/>
          <w:sz w:val="24"/>
          <w:highlight w:val="none"/>
        </w:rPr>
        <w:t>2</w:t>
      </w:r>
      <w:r>
        <w:rPr>
          <w:rFonts w:hint="eastAsia" w:ascii="宋体" w:hAnsi="宋体" w:eastAsia="宋体" w:cs="宋体"/>
          <w:color w:val="auto"/>
          <w:sz w:val="24"/>
          <w:highlight w:val="none"/>
          <w:lang w:val="zh-CN"/>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lang w:val="zh-CN"/>
        </w:rPr>
        <w:t>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2.2.</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2.3.2中小企业声明函（如果有）</w:t>
      </w:r>
      <w:r>
        <w:rPr>
          <w:rFonts w:hint="eastAsia" w:ascii="宋体" w:hAnsi="宋体" w:eastAsia="宋体" w:cs="宋体"/>
          <w:color w:val="auto"/>
          <w:sz w:val="24"/>
          <w:highlight w:val="none"/>
          <w:lang w:eastAsia="zh-CN"/>
        </w:rPr>
        <w:t>；</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2.3.3</w:t>
      </w:r>
      <w:r>
        <w:rPr>
          <w:rFonts w:hint="eastAsia" w:ascii="宋体" w:hAnsi="宋体" w:eastAsia="宋体" w:cs="宋体"/>
          <w:color w:val="auto"/>
          <w:sz w:val="24"/>
          <w:highlight w:val="none"/>
        </w:rPr>
        <w:t>投标报价明细表</w:t>
      </w:r>
      <w:r>
        <w:rPr>
          <w:rFonts w:hint="eastAsia" w:ascii="宋体" w:hAnsi="宋体" w:cs="宋体"/>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4.1在收到中标通知书后，在中标通知书规定的期限内与你方签订合同；</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4.2在签订合同时不向你方提出附加条件；</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4.3按照招标文件要求提交履约保证金；</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4.4在合同约定的期限内完成合同规定的全部义务。</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ind w:firstLine="3600" w:firstLineChars="1500"/>
        <w:jc w:val="both"/>
        <w:rPr>
          <w:rFonts w:ascii="宋体" w:hAnsi="宋体" w:cs="宋体"/>
          <w:color w:val="auto"/>
          <w:sz w:val="24"/>
          <w:highlight w:val="none"/>
        </w:rPr>
      </w:pPr>
      <w:r>
        <w:rPr>
          <w:rFonts w:hint="eastAsia" w:ascii="宋体" w:hAnsi="宋体" w:cs="宋体"/>
          <w:color w:val="auto"/>
          <w:sz w:val="24"/>
          <w:highlight w:val="none"/>
        </w:rPr>
        <w:t xml:space="preserve">日期：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hint="eastAsia" w:ascii="宋体" w:hAnsi="宋体" w:cs="宋体"/>
          <w:b/>
          <w:color w:val="auto"/>
          <w:kern w:val="0"/>
          <w:sz w:val="32"/>
          <w:szCs w:val="32"/>
          <w:highlight w:val="none"/>
          <w:lang w:val="zh-CN"/>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w:t>
      </w:r>
      <w:r>
        <w:rPr>
          <w:rFonts w:hint="eastAsia" w:ascii="宋体" w:hAnsi="宋体" w:cs="宋体"/>
          <w:b/>
          <w:color w:val="auto"/>
          <w:kern w:val="0"/>
          <w:sz w:val="32"/>
          <w:szCs w:val="32"/>
          <w:highlight w:val="none"/>
          <w:lang w:val="zh-CN"/>
        </w:rPr>
        <w:t>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80"/>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lang w:val="en-US"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我单位响应你单位项目招标要求参加投标。在这次投标过程中和中标后，我们将严格遵守国家法律法规要求，并郑重承诺：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六、严格遵守《中华人民共和国政府采购法》《中华人民共和国招标投标法》《中华人民共和国民法典》等法律法规，诚实守信，合法经营，坚决抵制各种违法违纪行为。</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w:t>
      </w:r>
      <w:r>
        <w:rPr>
          <w:rFonts w:hint="eastAsia" w:ascii="宋体" w:hAnsi="宋体" w:cs="宋体"/>
          <w:color w:val="auto"/>
          <w:kern w:val="0"/>
          <w:sz w:val="24"/>
          <w:highlight w:val="none"/>
          <w:lang w:val="en-US" w:eastAsia="zh-CN"/>
        </w:rPr>
        <w:t>区</w:t>
      </w:r>
      <w:r>
        <w:rPr>
          <w:rFonts w:hint="eastAsia" w:ascii="宋体" w:hAnsi="宋体" w:cs="宋体"/>
          <w:color w:val="auto"/>
          <w:kern w:val="0"/>
          <w:sz w:val="24"/>
          <w:highlight w:val="none"/>
          <w:lang w:val="zh-CN"/>
        </w:rPr>
        <w:t>财政局。由此引起的相应损失均由我单位承担。</w:t>
      </w:r>
    </w:p>
    <w:p>
      <w:pPr>
        <w:autoSpaceDE w:val="0"/>
        <w:autoSpaceDN w:val="0"/>
        <w:spacing w:line="360" w:lineRule="auto"/>
        <w:ind w:left="2" w:leftChars="1" w:firstLine="480" w:firstLineChars="200"/>
        <w:jc w:val="left"/>
        <w:rPr>
          <w:rFonts w:hint="eastAsia"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jc w:val="center"/>
        <w:rPr>
          <w:rFonts w:hint="eastAsia" w:ascii="宋体" w:hAnsi="宋体" w:eastAsia="宋体" w:cs="宋体"/>
          <w:b/>
          <w:color w:val="auto"/>
          <w:kern w:val="0"/>
          <w:sz w:val="32"/>
          <w:szCs w:val="32"/>
          <w:highlight w:val="none"/>
          <w:lang w:val="en-US" w:eastAsia="zh-CN"/>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（1）开标一览</w:t>
      </w:r>
      <w:r>
        <w:rPr>
          <w:rFonts w:hint="eastAsia" w:ascii="宋体" w:hAnsi="宋体" w:eastAsia="宋体" w:cs="宋体"/>
          <w:color w:val="auto"/>
          <w:sz w:val="24"/>
          <w:highlight w:val="none"/>
        </w:rPr>
        <w:t>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）中小企业声明函（</w:t>
      </w:r>
      <w:r>
        <w:rPr>
          <w:rFonts w:hint="eastAsia" w:ascii="宋体" w:hAnsi="宋体" w:eastAsia="宋体" w:cs="宋体"/>
          <w:color w:val="auto"/>
          <w:sz w:val="24"/>
          <w:highlight w:val="none"/>
          <w:lang w:val="en-US" w:eastAsia="zh-CN"/>
        </w:rPr>
        <w:t>如果有</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）投标报价明细表………………………………………………………………（页码）</w:t>
      </w:r>
    </w:p>
    <w:p>
      <w:pPr>
        <w:pStyle w:val="25"/>
        <w:rPr>
          <w:rFonts w:hint="eastAsia"/>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pStyle w:val="693"/>
        <w:keepNext w:val="0"/>
        <w:pageBreakBefore w:val="0"/>
        <w:tabs>
          <w:tab w:val="clear" w:pos="720"/>
        </w:tabs>
        <w:snapToGrid w:val="0"/>
        <w:spacing w:before="120" w:after="120"/>
        <w:jc w:val="center"/>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2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135"/>
        <w:gridCol w:w="4176"/>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宋体" w:hAnsi="宋体" w:eastAsia="宋体" w:cs="宋体"/>
                <w:b/>
                <w:bCs/>
                <w:color w:val="auto"/>
                <w:sz w:val="24"/>
                <w:szCs w:val="24"/>
                <w:highlight w:val="none"/>
                <w:lang w:val="en-US"/>
              </w:rPr>
            </w:pPr>
            <w:r>
              <w:rPr>
                <w:rFonts w:hint="eastAsia" w:ascii="宋体" w:hAnsi="宋体" w:cs="宋体"/>
                <w:b/>
                <w:bCs/>
                <w:color w:val="auto"/>
                <w:sz w:val="24"/>
                <w:szCs w:val="24"/>
                <w:highlight w:val="none"/>
                <w:lang w:val="en-US" w:eastAsia="zh-CN"/>
              </w:rPr>
              <w:t>序号</w:t>
            </w:r>
          </w:p>
        </w:tc>
        <w:tc>
          <w:tcPr>
            <w:tcW w:w="213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采购内容</w:t>
            </w:r>
          </w:p>
        </w:tc>
        <w:tc>
          <w:tcPr>
            <w:tcW w:w="417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44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rPr>
            </w:pPr>
          </w:p>
        </w:tc>
        <w:tc>
          <w:tcPr>
            <w:tcW w:w="213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rPr>
            </w:pPr>
          </w:p>
        </w:tc>
        <w:tc>
          <w:tcPr>
            <w:tcW w:w="417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auto"/>
                <w:sz w:val="24"/>
                <w:szCs w:val="24"/>
                <w:highlight w:val="none"/>
              </w:rPr>
            </w:pPr>
          </w:p>
        </w:tc>
        <w:tc>
          <w:tcPr>
            <w:tcW w:w="44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52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单年</w:t>
            </w:r>
            <w:r>
              <w:rPr>
                <w:rFonts w:hint="eastAsia" w:ascii="宋体" w:hAnsi="宋体" w:eastAsia="宋体" w:cs="宋体"/>
                <w:color w:val="auto"/>
                <w:sz w:val="24"/>
                <w:szCs w:val="24"/>
                <w:highlight w:val="none"/>
              </w:rPr>
              <w:t>投标价</w:t>
            </w:r>
          </w:p>
        </w:tc>
        <w:tc>
          <w:tcPr>
            <w:tcW w:w="86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52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三年投标总价</w:t>
            </w:r>
          </w:p>
        </w:tc>
        <w:tc>
          <w:tcPr>
            <w:tcW w:w="86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投标声明</w:t>
            </w:r>
          </w:p>
        </w:tc>
        <w:tc>
          <w:tcPr>
            <w:tcW w:w="1074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3、特别提示：采购代理机构将对项目名称和项目编号，中标人名称、地址和中标金额，主要中标标的名称、服务范围、服务要求、服务时间、服务标准等予以公示。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5" w:orient="landscape"/>
          <w:pgMar w:top="1134" w:right="850" w:bottom="1134" w:left="850" w:header="850" w:footer="850"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693"/>
        <w:keepNext w:val="0"/>
        <w:pageBreakBefore w:val="0"/>
        <w:tabs>
          <w:tab w:val="clear" w:pos="720"/>
        </w:tabs>
        <w:snapToGrid w:val="0"/>
        <w:spacing w:before="120" w:after="120"/>
        <w:jc w:val="center"/>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sectPr>
          <w:headerReference r:id="rId21" w:type="first"/>
          <w:footerReference r:id="rId24" w:type="first"/>
          <w:headerReference r:id="rId20" w:type="default"/>
          <w:footerReference r:id="rId22" w:type="default"/>
          <w:footerReference r:id="rId23" w:type="even"/>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三、投标报价明细表</w:t>
      </w:r>
    </w:p>
    <w:p>
      <w:pPr>
        <w:keepNext w:val="0"/>
        <w:keepLines w:val="0"/>
        <w:pageBreakBefore w:val="0"/>
        <w:widowControl w:val="0"/>
        <w:kinsoku/>
        <w:wordWrap/>
        <w:overflowPunct/>
        <w:topLinePunct w:val="0"/>
        <w:autoSpaceDE/>
        <w:autoSpaceDN/>
        <w:bidi w:val="0"/>
        <w:snapToGrid w:val="0"/>
        <w:spacing w:line="360" w:lineRule="auto"/>
        <w:jc w:val="both"/>
        <w:textAlignment w:val="auto"/>
        <w:rPr>
          <w:rFonts w:ascii="宋体" w:hAnsi="宋体" w:cs="宋体"/>
          <w:color w:val="auto"/>
          <w:kern w:val="0"/>
          <w:sz w:val="24"/>
          <w:highlight w:val="none"/>
        </w:rPr>
      </w:pPr>
      <w:r>
        <w:rPr>
          <w:rFonts w:hint="eastAsia" w:ascii="宋体" w:hAnsi="宋体" w:cs="宋体"/>
          <w:color w:val="auto"/>
          <w:sz w:val="24"/>
          <w:highlight w:val="none"/>
          <w:lang w:eastAsia="zh-CN"/>
        </w:rPr>
        <w:t>宁海县综合行政执法局</w:t>
      </w:r>
      <w:r>
        <w:rPr>
          <w:rFonts w:hint="eastAsia" w:ascii="宋体" w:hAnsi="宋体" w:cs="宋体"/>
          <w:color w:val="auto"/>
          <w:sz w:val="24"/>
          <w:highlight w:val="none"/>
        </w:rPr>
        <w:t>、</w:t>
      </w:r>
      <w:r>
        <w:rPr>
          <w:rFonts w:hint="eastAsia" w:ascii="宋体" w:hAnsi="宋体" w:cs="宋体"/>
          <w:color w:val="auto"/>
          <w:sz w:val="24"/>
          <w:highlight w:val="none"/>
          <w:lang w:eastAsia="zh-CN"/>
        </w:rPr>
        <w:t>浙江国信工程管理咨询有限公司</w:t>
      </w:r>
      <w:r>
        <w:rPr>
          <w:rFonts w:hint="eastAsia" w:ascii="宋体" w:hAnsi="宋体" w:cs="宋体"/>
          <w:color w:val="auto"/>
          <w:kern w:val="0"/>
          <w:sz w:val="24"/>
          <w:highlight w:val="none"/>
          <w:lang w:val="zh-CN"/>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我方承诺按照如下投标报价明细表的价格完成</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tbl>
      <w:tblPr>
        <w:tblStyle w:val="63"/>
        <w:tblW w:w="104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
        <w:gridCol w:w="1100"/>
        <w:gridCol w:w="1994"/>
        <w:gridCol w:w="1360"/>
        <w:gridCol w:w="710"/>
        <w:gridCol w:w="1220"/>
        <w:gridCol w:w="1220"/>
        <w:gridCol w:w="1220"/>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0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名称及内容</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综合单价</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合价</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标线</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冷喷普通</w:t>
            </w:r>
          </w:p>
        </w:tc>
        <w:tc>
          <w:tcPr>
            <w:tcW w:w="1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同招标需求</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热熔普通</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热熔反光</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热熔普通震荡</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热熔反光振荡</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彩色标线</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无痕除线</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减速带</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橡胶减速带</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仅拆除或安装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警示桩</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钢制警示桩</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柔性警示桩</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钢制警示桩</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150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弹性警示桩</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维修</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仅安装或拆卸</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护栏</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中心隔离护栏安装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仅拆除或安装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中心隔离护栏维修</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机非隔离护栏安装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仅拆除或安装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机非隔离护栏维修</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标志版面</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（IV类）</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0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（V类）</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0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贴膜、改版</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0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仅拆除或安装</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10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DN80标杆</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0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300000</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300000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830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造价合计</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1"/>
                <w:szCs w:val="21"/>
                <w:u w:val="none"/>
              </w:rPr>
            </w:pPr>
          </w:p>
        </w:tc>
      </w:tr>
    </w:tbl>
    <w:p>
      <w:pPr>
        <w:spacing w:line="360" w:lineRule="auto"/>
        <w:ind w:right="420"/>
        <w:rPr>
          <w:rFonts w:hint="eastAsia"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djustRightInd/>
        <w:rPr>
          <w:rFonts w:hint="eastAsia"/>
          <w:b w:val="0"/>
          <w:bCs w:val="0"/>
          <w:color w:val="auto"/>
          <w:highlight w:val="none"/>
          <w:lang w:val="en-US" w:eastAsia="zh-CN"/>
        </w:rPr>
      </w:pPr>
    </w:p>
    <w:p>
      <w:pPr>
        <w:adjustRightInd/>
        <w:jc w:val="center"/>
        <w:rPr>
          <w:rFonts w:hint="eastAsia" w:ascii="宋体" w:hAnsi="宋体" w:eastAsia="宋体" w:cs="宋体"/>
          <w:b/>
          <w:color w:val="auto"/>
          <w:kern w:val="2"/>
          <w:sz w:val="32"/>
          <w:szCs w:val="32"/>
          <w:highlight w:val="none"/>
          <w:lang w:val="en-US" w:eastAsia="zh-CN" w:bidi="ar-SA"/>
        </w:rPr>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399" w:name="OLE_LINK13"/>
      <w:bookmarkStart w:id="400" w:name="OLE_LINK14"/>
      <w:r>
        <w:rPr>
          <w:rFonts w:hint="eastAsia" w:ascii="宋体" w:hAnsi="宋体" w:cs="宋体"/>
          <w:b/>
          <w:color w:val="auto"/>
          <w:spacing w:val="6"/>
          <w:sz w:val="32"/>
          <w:szCs w:val="32"/>
          <w:highlight w:val="none"/>
        </w:rPr>
        <w:t>残疾人福利性单位声明函</w:t>
      </w:r>
    </w:p>
    <w:bookmarkEnd w:id="399"/>
    <w:bookmarkEnd w:id="40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2023-2026年宁海县城区市政道路交通设施养护维修项目</w:t>
      </w:r>
      <w:r>
        <w:rPr>
          <w:rFonts w:hint="eastAsia" w:ascii="宋体" w:hAnsi="宋体" w:cs="宋体"/>
          <w:color w:val="auto"/>
          <w:sz w:val="24"/>
          <w:highlight w:val="none"/>
        </w:rPr>
        <w:t>__采购活动提供本单位制造的货物（由本单位承担工程/提供服务），或者提供其他残疾人福利性单位制造的货物（不包括使用非残疾人福利性单位注册商标的货物）。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pStyle w:val="80"/>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宁海县综合行政执法局</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浙江国信工程管理咨询有限公司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414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80"/>
        <w:rPr>
          <w:rFonts w:ascii="宋体" w:hAnsi="宋体" w:cs="宋体"/>
          <w:b/>
          <w:color w:val="auto"/>
          <w:spacing w:val="6"/>
          <w:sz w:val="32"/>
          <w:szCs w:val="32"/>
          <w:highlight w:val="none"/>
        </w:rPr>
      </w:pPr>
    </w:p>
    <w:p>
      <w:pPr>
        <w:pStyle w:val="80"/>
        <w:rPr>
          <w:rFonts w:ascii="宋体" w:hAnsi="宋体" w:cs="宋体"/>
          <w:b/>
          <w:color w:val="auto"/>
          <w:spacing w:val="6"/>
          <w:sz w:val="32"/>
          <w:szCs w:val="32"/>
          <w:highlight w:val="none"/>
        </w:rPr>
      </w:pP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keepNext w:val="0"/>
        <w:keepLines w:val="0"/>
        <w:pageBreakBefore w:val="0"/>
        <w:widowControl/>
        <w:kinsoku/>
        <w:wordWrap/>
        <w:overflowPunct/>
        <w:topLinePunct w:val="0"/>
        <w:bidi w:val="0"/>
        <w:adjustRightInd w:val="0"/>
        <w:snapToGrid/>
        <w:spacing w:line="360" w:lineRule="auto"/>
        <w:ind w:firstLine="482" w:firstLineChars="200"/>
        <w:jc w:val="left"/>
        <w:textAlignment w:val="auto"/>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2023-2026年宁海县城区市政道路交通设施养护维修项目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GXZB-NH2023-008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投标。</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01"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01"/>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02"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02"/>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0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0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hint="eastAsia" w:ascii="宋体" w:hAnsi="宋体" w:cs="宋体"/>
          <w:b/>
          <w:color w:val="auto"/>
          <w:sz w:val="36"/>
          <w:szCs w:val="20"/>
          <w:highlight w:val="none"/>
          <w:lang w:val="en-US" w:eastAsia="zh-CN"/>
        </w:rPr>
        <w:t>6</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宁海县综合行政执法局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2023-2026年宁海县城区市政道路交通设施养护维修项目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lang w:eastAsia="zh-CN"/>
        </w:rPr>
        <w:t>其他未列明行业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723" w:firstLineChars="300"/>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3、本采购文件中明确的所属行业为其他未列明行业：从业人员300人以下的为中小微型企业。其中，从业人员100人及以上的为中型企业；从业人员10人及以上的为小型企业；从业人员10人以下的为微型企业。</w:t>
      </w:r>
    </w:p>
    <w:p>
      <w:pPr>
        <w:pStyle w:val="25"/>
        <w:rPr>
          <w:color w:val="auto"/>
          <w:highlight w:val="none"/>
        </w:rPr>
      </w:pP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pgSz w:w="11905" w:h="16838"/>
      <w:pgMar w:top="1134" w:right="1304" w:bottom="1134" w:left="1304" w:header="850" w:footer="850" w:gutter="283"/>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rPr>
    </w:pPr>
    <w:r>
      <w:rPr>
        <w:rFonts w:hint="eastAsia"/>
      </w:rPr>
      <w:t xml:space="preserve">                                  </w:t>
    </w:r>
  </w:p>
  <w:p>
    <w:pPr>
      <w:pStyle w:val="41"/>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26B32"/>
    <w:multiLevelType w:val="singleLevel"/>
    <w:tmpl w:val="20826B3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MjQzZGVlODUwMWM4NmI3ZTk0NzMyOGM2MWZlOWYifQ=="/>
    <w:docVar w:name="KSO_WPS_MARK_KEY" w:val="5039789f-acc4-42b1-b64e-d6d92dbee501"/>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848B5"/>
    <w:rsid w:val="011F6449"/>
    <w:rsid w:val="01236AFB"/>
    <w:rsid w:val="019F7441"/>
    <w:rsid w:val="01B37585"/>
    <w:rsid w:val="01BD3BBD"/>
    <w:rsid w:val="01D55165"/>
    <w:rsid w:val="01DF6BF8"/>
    <w:rsid w:val="01EC2C57"/>
    <w:rsid w:val="025F0711"/>
    <w:rsid w:val="026B2E25"/>
    <w:rsid w:val="02824D4D"/>
    <w:rsid w:val="02DC4B10"/>
    <w:rsid w:val="02DD76CE"/>
    <w:rsid w:val="02F36323"/>
    <w:rsid w:val="02F5619C"/>
    <w:rsid w:val="02FD2E8D"/>
    <w:rsid w:val="0326446A"/>
    <w:rsid w:val="032B4FD7"/>
    <w:rsid w:val="032D5555"/>
    <w:rsid w:val="036634D2"/>
    <w:rsid w:val="03DD35E4"/>
    <w:rsid w:val="04076900"/>
    <w:rsid w:val="04161230"/>
    <w:rsid w:val="041A5A3B"/>
    <w:rsid w:val="042311BA"/>
    <w:rsid w:val="042B157A"/>
    <w:rsid w:val="0436375F"/>
    <w:rsid w:val="048F763B"/>
    <w:rsid w:val="049F330E"/>
    <w:rsid w:val="04AA775C"/>
    <w:rsid w:val="04AF1889"/>
    <w:rsid w:val="04F66F48"/>
    <w:rsid w:val="04FA2CD2"/>
    <w:rsid w:val="05251E14"/>
    <w:rsid w:val="05A16594"/>
    <w:rsid w:val="05A7762D"/>
    <w:rsid w:val="060E5941"/>
    <w:rsid w:val="06110FAF"/>
    <w:rsid w:val="06493CA7"/>
    <w:rsid w:val="065A6178"/>
    <w:rsid w:val="066F1CF3"/>
    <w:rsid w:val="06930BB8"/>
    <w:rsid w:val="07245D42"/>
    <w:rsid w:val="07264C62"/>
    <w:rsid w:val="0779354C"/>
    <w:rsid w:val="07832BA1"/>
    <w:rsid w:val="078400DD"/>
    <w:rsid w:val="08061376"/>
    <w:rsid w:val="08452D77"/>
    <w:rsid w:val="086401F8"/>
    <w:rsid w:val="08751CAA"/>
    <w:rsid w:val="087E4C40"/>
    <w:rsid w:val="08A871D0"/>
    <w:rsid w:val="08D66AD6"/>
    <w:rsid w:val="08D8486D"/>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965773"/>
    <w:rsid w:val="0AA374A5"/>
    <w:rsid w:val="0AA56AB0"/>
    <w:rsid w:val="0AAB7649"/>
    <w:rsid w:val="0ABC5606"/>
    <w:rsid w:val="0B30404E"/>
    <w:rsid w:val="0B3D575C"/>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3715BC"/>
    <w:rsid w:val="0D4A7419"/>
    <w:rsid w:val="0D827401"/>
    <w:rsid w:val="0D84094E"/>
    <w:rsid w:val="0D8A00E9"/>
    <w:rsid w:val="0D8D589E"/>
    <w:rsid w:val="0DA01C73"/>
    <w:rsid w:val="0DD63300"/>
    <w:rsid w:val="0DF50604"/>
    <w:rsid w:val="0DF702FE"/>
    <w:rsid w:val="0E060E51"/>
    <w:rsid w:val="0E5604B2"/>
    <w:rsid w:val="0E602003"/>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E3DAE"/>
    <w:rsid w:val="102A4F72"/>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C64289"/>
    <w:rsid w:val="12D81596"/>
    <w:rsid w:val="13072A44"/>
    <w:rsid w:val="135F4BE2"/>
    <w:rsid w:val="139B1A0A"/>
    <w:rsid w:val="139D25C7"/>
    <w:rsid w:val="13BE7DBE"/>
    <w:rsid w:val="13BF3CE4"/>
    <w:rsid w:val="141008D8"/>
    <w:rsid w:val="14125FE6"/>
    <w:rsid w:val="143E57C7"/>
    <w:rsid w:val="146D271E"/>
    <w:rsid w:val="14982588"/>
    <w:rsid w:val="149A5AD9"/>
    <w:rsid w:val="14A7619D"/>
    <w:rsid w:val="150536C3"/>
    <w:rsid w:val="150C1963"/>
    <w:rsid w:val="151447A0"/>
    <w:rsid w:val="154A6454"/>
    <w:rsid w:val="15762120"/>
    <w:rsid w:val="15F61834"/>
    <w:rsid w:val="16A8729C"/>
    <w:rsid w:val="16AF2A39"/>
    <w:rsid w:val="16B33777"/>
    <w:rsid w:val="16BC70A7"/>
    <w:rsid w:val="16C6339E"/>
    <w:rsid w:val="17260F0E"/>
    <w:rsid w:val="172F2D79"/>
    <w:rsid w:val="17557BEF"/>
    <w:rsid w:val="17965EAF"/>
    <w:rsid w:val="17D349C1"/>
    <w:rsid w:val="1830729E"/>
    <w:rsid w:val="1864152A"/>
    <w:rsid w:val="1870062C"/>
    <w:rsid w:val="18817102"/>
    <w:rsid w:val="18830A15"/>
    <w:rsid w:val="18852B28"/>
    <w:rsid w:val="18860372"/>
    <w:rsid w:val="188B5321"/>
    <w:rsid w:val="19932372"/>
    <w:rsid w:val="19A20DD5"/>
    <w:rsid w:val="19AE03F1"/>
    <w:rsid w:val="1A071A03"/>
    <w:rsid w:val="1A1F16AE"/>
    <w:rsid w:val="1A3B5C77"/>
    <w:rsid w:val="1A8342DE"/>
    <w:rsid w:val="1A984BAD"/>
    <w:rsid w:val="1AB8220E"/>
    <w:rsid w:val="1AE4166C"/>
    <w:rsid w:val="1AF06CFB"/>
    <w:rsid w:val="1AF11B8D"/>
    <w:rsid w:val="1B11359C"/>
    <w:rsid w:val="1B2A271F"/>
    <w:rsid w:val="1B530544"/>
    <w:rsid w:val="1B713184"/>
    <w:rsid w:val="1BA209CF"/>
    <w:rsid w:val="1BB4777D"/>
    <w:rsid w:val="1BCC153A"/>
    <w:rsid w:val="1BD75AB8"/>
    <w:rsid w:val="1C0459C2"/>
    <w:rsid w:val="1C1B3B4A"/>
    <w:rsid w:val="1C2269D4"/>
    <w:rsid w:val="1C88086E"/>
    <w:rsid w:val="1D266CE1"/>
    <w:rsid w:val="1D3963AF"/>
    <w:rsid w:val="1D6A673C"/>
    <w:rsid w:val="1D9247AE"/>
    <w:rsid w:val="1D936093"/>
    <w:rsid w:val="1DB567EC"/>
    <w:rsid w:val="1DF51A98"/>
    <w:rsid w:val="1E2A1362"/>
    <w:rsid w:val="1E2D5BB4"/>
    <w:rsid w:val="1E361291"/>
    <w:rsid w:val="1E3D060F"/>
    <w:rsid w:val="1E3F7D2E"/>
    <w:rsid w:val="1E4134E4"/>
    <w:rsid w:val="1E5062B3"/>
    <w:rsid w:val="1E523514"/>
    <w:rsid w:val="1E714A66"/>
    <w:rsid w:val="1E802593"/>
    <w:rsid w:val="1E8B6156"/>
    <w:rsid w:val="1EA402FF"/>
    <w:rsid w:val="1EA703CC"/>
    <w:rsid w:val="1EB06519"/>
    <w:rsid w:val="1EB7330C"/>
    <w:rsid w:val="1EFD0128"/>
    <w:rsid w:val="1F0A0FF3"/>
    <w:rsid w:val="1F0C1276"/>
    <w:rsid w:val="1F572E39"/>
    <w:rsid w:val="1F5771FF"/>
    <w:rsid w:val="1F907E61"/>
    <w:rsid w:val="1FD52DD5"/>
    <w:rsid w:val="1FE868A9"/>
    <w:rsid w:val="20034907"/>
    <w:rsid w:val="20173E4B"/>
    <w:rsid w:val="204E48BC"/>
    <w:rsid w:val="208921B3"/>
    <w:rsid w:val="20973DEB"/>
    <w:rsid w:val="20B26522"/>
    <w:rsid w:val="20B44310"/>
    <w:rsid w:val="211116EB"/>
    <w:rsid w:val="216133FC"/>
    <w:rsid w:val="21BC51D5"/>
    <w:rsid w:val="21D56769"/>
    <w:rsid w:val="21E52EF3"/>
    <w:rsid w:val="21FB5D7B"/>
    <w:rsid w:val="22015E94"/>
    <w:rsid w:val="220B1C3D"/>
    <w:rsid w:val="221D1D20"/>
    <w:rsid w:val="22334A87"/>
    <w:rsid w:val="22BE6801"/>
    <w:rsid w:val="22E65DFF"/>
    <w:rsid w:val="233500BF"/>
    <w:rsid w:val="23377FF7"/>
    <w:rsid w:val="236B425F"/>
    <w:rsid w:val="23836192"/>
    <w:rsid w:val="23901F29"/>
    <w:rsid w:val="239C0061"/>
    <w:rsid w:val="23B908A4"/>
    <w:rsid w:val="23E95BEF"/>
    <w:rsid w:val="23FD0064"/>
    <w:rsid w:val="24174945"/>
    <w:rsid w:val="244F60E9"/>
    <w:rsid w:val="245375B0"/>
    <w:rsid w:val="24642C0A"/>
    <w:rsid w:val="24B22173"/>
    <w:rsid w:val="24B95AD9"/>
    <w:rsid w:val="24BE24DA"/>
    <w:rsid w:val="24CF5825"/>
    <w:rsid w:val="24D663E6"/>
    <w:rsid w:val="24D77F2B"/>
    <w:rsid w:val="257A33DD"/>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A07666"/>
    <w:rsid w:val="280741FF"/>
    <w:rsid w:val="28333E1D"/>
    <w:rsid w:val="28454BD6"/>
    <w:rsid w:val="28455253"/>
    <w:rsid w:val="28551971"/>
    <w:rsid w:val="285B1C53"/>
    <w:rsid w:val="289F7086"/>
    <w:rsid w:val="28B94DA8"/>
    <w:rsid w:val="28C32028"/>
    <w:rsid w:val="28CC490F"/>
    <w:rsid w:val="28DE40AA"/>
    <w:rsid w:val="29345E77"/>
    <w:rsid w:val="294C65AD"/>
    <w:rsid w:val="29806583"/>
    <w:rsid w:val="298B3C4C"/>
    <w:rsid w:val="29C24E06"/>
    <w:rsid w:val="29F26D24"/>
    <w:rsid w:val="2A15033F"/>
    <w:rsid w:val="2A1662C1"/>
    <w:rsid w:val="2A1C7367"/>
    <w:rsid w:val="2A2815FA"/>
    <w:rsid w:val="2A6D6092"/>
    <w:rsid w:val="2A7D76B4"/>
    <w:rsid w:val="2B021058"/>
    <w:rsid w:val="2B437463"/>
    <w:rsid w:val="2B7807EE"/>
    <w:rsid w:val="2BA50BF7"/>
    <w:rsid w:val="2BBF00EC"/>
    <w:rsid w:val="2BC37CFD"/>
    <w:rsid w:val="2BD5237F"/>
    <w:rsid w:val="2BD82891"/>
    <w:rsid w:val="2BE536CE"/>
    <w:rsid w:val="2BE758D9"/>
    <w:rsid w:val="2C09049E"/>
    <w:rsid w:val="2C0A653C"/>
    <w:rsid w:val="2C191F85"/>
    <w:rsid w:val="2CAB47C4"/>
    <w:rsid w:val="2CE82D6F"/>
    <w:rsid w:val="2D343236"/>
    <w:rsid w:val="2D5C23F2"/>
    <w:rsid w:val="2D8D5C78"/>
    <w:rsid w:val="2DD15014"/>
    <w:rsid w:val="2DE60D5F"/>
    <w:rsid w:val="2DF72DE4"/>
    <w:rsid w:val="2E0220AF"/>
    <w:rsid w:val="2E4B082A"/>
    <w:rsid w:val="2E513149"/>
    <w:rsid w:val="2E5D4E86"/>
    <w:rsid w:val="2E5D790B"/>
    <w:rsid w:val="2E9A3C18"/>
    <w:rsid w:val="2EBB0FEE"/>
    <w:rsid w:val="2EBC05C2"/>
    <w:rsid w:val="2EC63002"/>
    <w:rsid w:val="2F0A6B38"/>
    <w:rsid w:val="2F946CCB"/>
    <w:rsid w:val="2FD25781"/>
    <w:rsid w:val="2FDC745C"/>
    <w:rsid w:val="2FFD7934"/>
    <w:rsid w:val="30252E9E"/>
    <w:rsid w:val="305F4400"/>
    <w:rsid w:val="30733ACD"/>
    <w:rsid w:val="308C3862"/>
    <w:rsid w:val="309379D8"/>
    <w:rsid w:val="30A270F7"/>
    <w:rsid w:val="30B07CFC"/>
    <w:rsid w:val="30B61A06"/>
    <w:rsid w:val="30DF1478"/>
    <w:rsid w:val="30E46C50"/>
    <w:rsid w:val="30EC586F"/>
    <w:rsid w:val="314550B7"/>
    <w:rsid w:val="319C6071"/>
    <w:rsid w:val="31AC537E"/>
    <w:rsid w:val="31E3679B"/>
    <w:rsid w:val="31E732FD"/>
    <w:rsid w:val="32006FCE"/>
    <w:rsid w:val="322546D1"/>
    <w:rsid w:val="32517576"/>
    <w:rsid w:val="32BE5C2C"/>
    <w:rsid w:val="32C640F8"/>
    <w:rsid w:val="32C97752"/>
    <w:rsid w:val="32FB6478"/>
    <w:rsid w:val="33263B3F"/>
    <w:rsid w:val="336963EB"/>
    <w:rsid w:val="33816EEB"/>
    <w:rsid w:val="33E347C2"/>
    <w:rsid w:val="33EB55CD"/>
    <w:rsid w:val="33EC4C02"/>
    <w:rsid w:val="340D2360"/>
    <w:rsid w:val="3410665D"/>
    <w:rsid w:val="34211214"/>
    <w:rsid w:val="342E63AB"/>
    <w:rsid w:val="34950E68"/>
    <w:rsid w:val="34986E94"/>
    <w:rsid w:val="34AF62C9"/>
    <w:rsid w:val="34CB4388"/>
    <w:rsid w:val="34FA6E12"/>
    <w:rsid w:val="354D7158"/>
    <w:rsid w:val="358D5588"/>
    <w:rsid w:val="361E7DB5"/>
    <w:rsid w:val="363A3B40"/>
    <w:rsid w:val="365302AE"/>
    <w:rsid w:val="36607A0A"/>
    <w:rsid w:val="366E227C"/>
    <w:rsid w:val="366F2E0D"/>
    <w:rsid w:val="367B6A5C"/>
    <w:rsid w:val="36A74ADA"/>
    <w:rsid w:val="36AD60D5"/>
    <w:rsid w:val="36B224F9"/>
    <w:rsid w:val="36DE2FD6"/>
    <w:rsid w:val="36EC0CC9"/>
    <w:rsid w:val="37233CB4"/>
    <w:rsid w:val="373F410B"/>
    <w:rsid w:val="37CF0CE0"/>
    <w:rsid w:val="37EE7094"/>
    <w:rsid w:val="38296C89"/>
    <w:rsid w:val="383002EB"/>
    <w:rsid w:val="38586797"/>
    <w:rsid w:val="38BC0149"/>
    <w:rsid w:val="38D87D1C"/>
    <w:rsid w:val="38EE74F9"/>
    <w:rsid w:val="393136BF"/>
    <w:rsid w:val="39636459"/>
    <w:rsid w:val="396B7F6C"/>
    <w:rsid w:val="39B417A9"/>
    <w:rsid w:val="39FC5695"/>
    <w:rsid w:val="3A006D8E"/>
    <w:rsid w:val="3A3651E5"/>
    <w:rsid w:val="3A744481"/>
    <w:rsid w:val="3A8C7BEF"/>
    <w:rsid w:val="3A906246"/>
    <w:rsid w:val="3B087C6D"/>
    <w:rsid w:val="3B2349B7"/>
    <w:rsid w:val="3B616CFF"/>
    <w:rsid w:val="3B6259F6"/>
    <w:rsid w:val="3B976654"/>
    <w:rsid w:val="3BC01EFC"/>
    <w:rsid w:val="3BCA786A"/>
    <w:rsid w:val="3BD31E2F"/>
    <w:rsid w:val="3BF15831"/>
    <w:rsid w:val="3C105946"/>
    <w:rsid w:val="3C471448"/>
    <w:rsid w:val="3C5F759A"/>
    <w:rsid w:val="3C6C525A"/>
    <w:rsid w:val="3CA1195A"/>
    <w:rsid w:val="3CC95775"/>
    <w:rsid w:val="3CCE23CB"/>
    <w:rsid w:val="3CD17D17"/>
    <w:rsid w:val="3D3C7F39"/>
    <w:rsid w:val="3D440F09"/>
    <w:rsid w:val="3D4504A0"/>
    <w:rsid w:val="3D842BF3"/>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3326AF"/>
    <w:rsid w:val="40592157"/>
    <w:rsid w:val="406E1CAE"/>
    <w:rsid w:val="40827192"/>
    <w:rsid w:val="40A0133A"/>
    <w:rsid w:val="40C31A53"/>
    <w:rsid w:val="40FF545D"/>
    <w:rsid w:val="410067C8"/>
    <w:rsid w:val="4178148A"/>
    <w:rsid w:val="418F0D2A"/>
    <w:rsid w:val="41A82C28"/>
    <w:rsid w:val="41D01505"/>
    <w:rsid w:val="42075E9B"/>
    <w:rsid w:val="42246753"/>
    <w:rsid w:val="42474939"/>
    <w:rsid w:val="424C3C57"/>
    <w:rsid w:val="424D2F17"/>
    <w:rsid w:val="42613FF3"/>
    <w:rsid w:val="42660D96"/>
    <w:rsid w:val="428667D2"/>
    <w:rsid w:val="42CD1CE0"/>
    <w:rsid w:val="42E1381E"/>
    <w:rsid w:val="42ED6459"/>
    <w:rsid w:val="42FE58DD"/>
    <w:rsid w:val="43081BD1"/>
    <w:rsid w:val="43174B3D"/>
    <w:rsid w:val="4341799C"/>
    <w:rsid w:val="434626F9"/>
    <w:rsid w:val="434B790E"/>
    <w:rsid w:val="4360274F"/>
    <w:rsid w:val="43977AB6"/>
    <w:rsid w:val="43A3342B"/>
    <w:rsid w:val="43C77C27"/>
    <w:rsid w:val="43DE09EE"/>
    <w:rsid w:val="43FF6362"/>
    <w:rsid w:val="44002FAD"/>
    <w:rsid w:val="449101DD"/>
    <w:rsid w:val="44DE1391"/>
    <w:rsid w:val="44EB409B"/>
    <w:rsid w:val="451B225C"/>
    <w:rsid w:val="452410C9"/>
    <w:rsid w:val="45317DFB"/>
    <w:rsid w:val="456D3CE4"/>
    <w:rsid w:val="4579042C"/>
    <w:rsid w:val="457F0571"/>
    <w:rsid w:val="45851176"/>
    <w:rsid w:val="45C63B94"/>
    <w:rsid w:val="460E7DA5"/>
    <w:rsid w:val="462B0339"/>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347A8"/>
    <w:rsid w:val="4A064FA0"/>
    <w:rsid w:val="4A16615C"/>
    <w:rsid w:val="4A4424D7"/>
    <w:rsid w:val="4A621854"/>
    <w:rsid w:val="4AB82D0F"/>
    <w:rsid w:val="4AC77045"/>
    <w:rsid w:val="4AEB7664"/>
    <w:rsid w:val="4AFD7C19"/>
    <w:rsid w:val="4B0567D1"/>
    <w:rsid w:val="4B236AAE"/>
    <w:rsid w:val="4B707271"/>
    <w:rsid w:val="4B9739F7"/>
    <w:rsid w:val="4BEE2503"/>
    <w:rsid w:val="4C245A30"/>
    <w:rsid w:val="4CB6685F"/>
    <w:rsid w:val="4CC367FE"/>
    <w:rsid w:val="4D077F3C"/>
    <w:rsid w:val="4D123355"/>
    <w:rsid w:val="4D2A3B31"/>
    <w:rsid w:val="4D312C52"/>
    <w:rsid w:val="4D4E12EF"/>
    <w:rsid w:val="4D781630"/>
    <w:rsid w:val="4D7A4C4B"/>
    <w:rsid w:val="4D905305"/>
    <w:rsid w:val="4D964A72"/>
    <w:rsid w:val="4D9C1254"/>
    <w:rsid w:val="4DAE7276"/>
    <w:rsid w:val="4E2A3343"/>
    <w:rsid w:val="4E793892"/>
    <w:rsid w:val="4E800872"/>
    <w:rsid w:val="4E867065"/>
    <w:rsid w:val="4EC569ED"/>
    <w:rsid w:val="4ED50EA1"/>
    <w:rsid w:val="4EEC050C"/>
    <w:rsid w:val="4F104EC3"/>
    <w:rsid w:val="4F247375"/>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B00B4"/>
    <w:rsid w:val="519D3C50"/>
    <w:rsid w:val="51A0432A"/>
    <w:rsid w:val="51A86090"/>
    <w:rsid w:val="51B7396D"/>
    <w:rsid w:val="51BF308A"/>
    <w:rsid w:val="52067F7E"/>
    <w:rsid w:val="522E4CC3"/>
    <w:rsid w:val="5244713B"/>
    <w:rsid w:val="52615633"/>
    <w:rsid w:val="526F4DE4"/>
    <w:rsid w:val="52977FD4"/>
    <w:rsid w:val="52A25790"/>
    <w:rsid w:val="52A96B6F"/>
    <w:rsid w:val="52AF3E17"/>
    <w:rsid w:val="52B45975"/>
    <w:rsid w:val="52D94AA4"/>
    <w:rsid w:val="52EA3A62"/>
    <w:rsid w:val="52F50BB8"/>
    <w:rsid w:val="53097272"/>
    <w:rsid w:val="53544462"/>
    <w:rsid w:val="53650979"/>
    <w:rsid w:val="5369177E"/>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F1899"/>
    <w:rsid w:val="57921984"/>
    <w:rsid w:val="579737F0"/>
    <w:rsid w:val="57AB7B30"/>
    <w:rsid w:val="57AF5251"/>
    <w:rsid w:val="57B26373"/>
    <w:rsid w:val="57B63F04"/>
    <w:rsid w:val="57CD20C2"/>
    <w:rsid w:val="57D675AB"/>
    <w:rsid w:val="57D95FDD"/>
    <w:rsid w:val="58917D2F"/>
    <w:rsid w:val="5894085C"/>
    <w:rsid w:val="589715D5"/>
    <w:rsid w:val="58AE4F0C"/>
    <w:rsid w:val="58B85899"/>
    <w:rsid w:val="58BB257A"/>
    <w:rsid w:val="58E363A9"/>
    <w:rsid w:val="590E560F"/>
    <w:rsid w:val="591C3667"/>
    <w:rsid w:val="594632CD"/>
    <w:rsid w:val="595E1678"/>
    <w:rsid w:val="596D5BD4"/>
    <w:rsid w:val="597E3DD8"/>
    <w:rsid w:val="59F50429"/>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06967"/>
    <w:rsid w:val="5B843A1C"/>
    <w:rsid w:val="5B873E3F"/>
    <w:rsid w:val="5C02690E"/>
    <w:rsid w:val="5C196DA7"/>
    <w:rsid w:val="5C2A048C"/>
    <w:rsid w:val="5C80234E"/>
    <w:rsid w:val="5C8A680C"/>
    <w:rsid w:val="5D0C4701"/>
    <w:rsid w:val="5D0F0395"/>
    <w:rsid w:val="5D221076"/>
    <w:rsid w:val="5D397964"/>
    <w:rsid w:val="5D5A2EE3"/>
    <w:rsid w:val="5D5A391C"/>
    <w:rsid w:val="5D5F10C0"/>
    <w:rsid w:val="5D891B7B"/>
    <w:rsid w:val="5DAD38EE"/>
    <w:rsid w:val="5E006862"/>
    <w:rsid w:val="5E0207B9"/>
    <w:rsid w:val="5E1834A1"/>
    <w:rsid w:val="5E261785"/>
    <w:rsid w:val="5E4A7017"/>
    <w:rsid w:val="5E552BBA"/>
    <w:rsid w:val="5E6006BB"/>
    <w:rsid w:val="5E611C10"/>
    <w:rsid w:val="5E7A0F3F"/>
    <w:rsid w:val="5EFC7377"/>
    <w:rsid w:val="5F06174D"/>
    <w:rsid w:val="5F254825"/>
    <w:rsid w:val="5F3A3602"/>
    <w:rsid w:val="5F45733B"/>
    <w:rsid w:val="5F6277C6"/>
    <w:rsid w:val="5F6D0B1D"/>
    <w:rsid w:val="5F8D0B82"/>
    <w:rsid w:val="5FCC5339"/>
    <w:rsid w:val="5FE34A5B"/>
    <w:rsid w:val="5FFE1E36"/>
    <w:rsid w:val="60232584"/>
    <w:rsid w:val="607330CE"/>
    <w:rsid w:val="60825176"/>
    <w:rsid w:val="609F2AC4"/>
    <w:rsid w:val="60D15C66"/>
    <w:rsid w:val="60FA2EE8"/>
    <w:rsid w:val="61054A27"/>
    <w:rsid w:val="610A52BC"/>
    <w:rsid w:val="611D2366"/>
    <w:rsid w:val="61211EFE"/>
    <w:rsid w:val="61421856"/>
    <w:rsid w:val="615227C4"/>
    <w:rsid w:val="61654E3F"/>
    <w:rsid w:val="6182292A"/>
    <w:rsid w:val="619F7F92"/>
    <w:rsid w:val="61F94C26"/>
    <w:rsid w:val="62000E56"/>
    <w:rsid w:val="624F3E49"/>
    <w:rsid w:val="62632286"/>
    <w:rsid w:val="62885958"/>
    <w:rsid w:val="62F40B65"/>
    <w:rsid w:val="62FC2CFE"/>
    <w:rsid w:val="63024505"/>
    <w:rsid w:val="63444C14"/>
    <w:rsid w:val="635600A5"/>
    <w:rsid w:val="635B1DB5"/>
    <w:rsid w:val="63711FED"/>
    <w:rsid w:val="63880DDC"/>
    <w:rsid w:val="638D750D"/>
    <w:rsid w:val="63AC6CC0"/>
    <w:rsid w:val="64055776"/>
    <w:rsid w:val="64240056"/>
    <w:rsid w:val="643B41CE"/>
    <w:rsid w:val="643E143A"/>
    <w:rsid w:val="64491666"/>
    <w:rsid w:val="648B6EEF"/>
    <w:rsid w:val="64C158BF"/>
    <w:rsid w:val="64CE2EAA"/>
    <w:rsid w:val="64E77440"/>
    <w:rsid w:val="64F675CC"/>
    <w:rsid w:val="653C3090"/>
    <w:rsid w:val="65854376"/>
    <w:rsid w:val="658767BE"/>
    <w:rsid w:val="65892531"/>
    <w:rsid w:val="66195831"/>
    <w:rsid w:val="662E75B1"/>
    <w:rsid w:val="66342C2E"/>
    <w:rsid w:val="663E784C"/>
    <w:rsid w:val="66486C7B"/>
    <w:rsid w:val="6663423B"/>
    <w:rsid w:val="668B6A45"/>
    <w:rsid w:val="66FB1331"/>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D4DB0"/>
    <w:rsid w:val="689F444F"/>
    <w:rsid w:val="68B96DBB"/>
    <w:rsid w:val="68CA2805"/>
    <w:rsid w:val="68DD6BF5"/>
    <w:rsid w:val="68E937A3"/>
    <w:rsid w:val="691664E5"/>
    <w:rsid w:val="693E15D3"/>
    <w:rsid w:val="69627681"/>
    <w:rsid w:val="6977531D"/>
    <w:rsid w:val="69CC2BFF"/>
    <w:rsid w:val="69FD55B8"/>
    <w:rsid w:val="6A0B1C62"/>
    <w:rsid w:val="6A2406C8"/>
    <w:rsid w:val="6ADE0BD1"/>
    <w:rsid w:val="6AE96859"/>
    <w:rsid w:val="6B147746"/>
    <w:rsid w:val="6B24787C"/>
    <w:rsid w:val="6B4F325E"/>
    <w:rsid w:val="6B573233"/>
    <w:rsid w:val="6B5B6274"/>
    <w:rsid w:val="6B79100E"/>
    <w:rsid w:val="6B935D53"/>
    <w:rsid w:val="6BF57110"/>
    <w:rsid w:val="6C196F71"/>
    <w:rsid w:val="6C226FCB"/>
    <w:rsid w:val="6C31226F"/>
    <w:rsid w:val="6C552F0B"/>
    <w:rsid w:val="6C8C67B7"/>
    <w:rsid w:val="6C9D744C"/>
    <w:rsid w:val="6CC449A5"/>
    <w:rsid w:val="6D167928"/>
    <w:rsid w:val="6D26299B"/>
    <w:rsid w:val="6D4772EC"/>
    <w:rsid w:val="6D9078AF"/>
    <w:rsid w:val="6DAA3FEF"/>
    <w:rsid w:val="6DC0172B"/>
    <w:rsid w:val="6DCB690C"/>
    <w:rsid w:val="6DD41A5B"/>
    <w:rsid w:val="6DF43C2E"/>
    <w:rsid w:val="6DF51CA3"/>
    <w:rsid w:val="6E3F6C56"/>
    <w:rsid w:val="6E8335BD"/>
    <w:rsid w:val="6E8E12EF"/>
    <w:rsid w:val="6E972936"/>
    <w:rsid w:val="6E9A19C7"/>
    <w:rsid w:val="6ED446C5"/>
    <w:rsid w:val="6F026C6E"/>
    <w:rsid w:val="6F2A7D94"/>
    <w:rsid w:val="6F700D66"/>
    <w:rsid w:val="6F8331F1"/>
    <w:rsid w:val="6FAE1A09"/>
    <w:rsid w:val="6FD75BF8"/>
    <w:rsid w:val="707723D0"/>
    <w:rsid w:val="70B54BB7"/>
    <w:rsid w:val="70F5661B"/>
    <w:rsid w:val="71360107"/>
    <w:rsid w:val="713B688E"/>
    <w:rsid w:val="71D43752"/>
    <w:rsid w:val="71F1796A"/>
    <w:rsid w:val="72154626"/>
    <w:rsid w:val="72262B5D"/>
    <w:rsid w:val="72283FF7"/>
    <w:rsid w:val="722E7212"/>
    <w:rsid w:val="723A0474"/>
    <w:rsid w:val="725923E4"/>
    <w:rsid w:val="72864BF7"/>
    <w:rsid w:val="729023FC"/>
    <w:rsid w:val="731E1DE7"/>
    <w:rsid w:val="73852C46"/>
    <w:rsid w:val="73C0646E"/>
    <w:rsid w:val="74212243"/>
    <w:rsid w:val="742222F5"/>
    <w:rsid w:val="74476126"/>
    <w:rsid w:val="74706664"/>
    <w:rsid w:val="747F3682"/>
    <w:rsid w:val="749C4185"/>
    <w:rsid w:val="75067759"/>
    <w:rsid w:val="75297AE2"/>
    <w:rsid w:val="752E6DCD"/>
    <w:rsid w:val="7551380D"/>
    <w:rsid w:val="75600BE5"/>
    <w:rsid w:val="7564475C"/>
    <w:rsid w:val="7583797F"/>
    <w:rsid w:val="75CB320E"/>
    <w:rsid w:val="75D20F1D"/>
    <w:rsid w:val="75D66E2D"/>
    <w:rsid w:val="75DA2C18"/>
    <w:rsid w:val="75F54412"/>
    <w:rsid w:val="761D08E0"/>
    <w:rsid w:val="765D347C"/>
    <w:rsid w:val="76826699"/>
    <w:rsid w:val="76BA4408"/>
    <w:rsid w:val="76C87133"/>
    <w:rsid w:val="76CD08D5"/>
    <w:rsid w:val="76DB4B92"/>
    <w:rsid w:val="76FA0980"/>
    <w:rsid w:val="76FD013A"/>
    <w:rsid w:val="77052AA4"/>
    <w:rsid w:val="77136511"/>
    <w:rsid w:val="77340A39"/>
    <w:rsid w:val="77351FD0"/>
    <w:rsid w:val="77472422"/>
    <w:rsid w:val="777F31F2"/>
    <w:rsid w:val="77D1700D"/>
    <w:rsid w:val="77EC04CC"/>
    <w:rsid w:val="783B7D77"/>
    <w:rsid w:val="78617D97"/>
    <w:rsid w:val="78775729"/>
    <w:rsid w:val="787F777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AE53BE0"/>
    <w:rsid w:val="7B257FFD"/>
    <w:rsid w:val="7B273D20"/>
    <w:rsid w:val="7B343476"/>
    <w:rsid w:val="7B5A2978"/>
    <w:rsid w:val="7B5A7E4C"/>
    <w:rsid w:val="7B667AF9"/>
    <w:rsid w:val="7B7468F8"/>
    <w:rsid w:val="7BEE0103"/>
    <w:rsid w:val="7C0A0FE4"/>
    <w:rsid w:val="7C254906"/>
    <w:rsid w:val="7C590818"/>
    <w:rsid w:val="7C6D071B"/>
    <w:rsid w:val="7C7C10F6"/>
    <w:rsid w:val="7C853BEA"/>
    <w:rsid w:val="7C881368"/>
    <w:rsid w:val="7CAD2AA8"/>
    <w:rsid w:val="7CE27788"/>
    <w:rsid w:val="7CEA3B1A"/>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next w:val="1"/>
    <w:qFormat/>
    <w:uiPriority w:val="0"/>
    <w:pPr>
      <w:tabs>
        <w:tab w:val="left" w:pos="2790"/>
        <w:tab w:val="left" w:pos="4230"/>
      </w:tabs>
      <w:spacing w:before="312" w:beforeLines="100"/>
      <w:jc w:val="left"/>
    </w:pPr>
  </w:style>
  <w:style w:type="paragraph" w:styleId="3">
    <w:name w:val="Plain Text"/>
    <w:basedOn w:val="1"/>
    <w:link w:val="126"/>
    <w:qFormat/>
    <w:uiPriority w:val="0"/>
    <w:rPr>
      <w:rFonts w:ascii="宋体" w:hAnsi="Courier New" w:cs="Arial"/>
      <w:snapToGrid w:val="0"/>
      <w:szCs w:val="21"/>
    </w:rPr>
  </w:style>
  <w:style w:type="paragraph" w:styleId="7">
    <w:name w:val="Normal Indent"/>
    <w:basedOn w:val="1"/>
    <w:next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annotation text"/>
    <w:basedOn w:val="1"/>
    <w:link w:val="345"/>
    <w:qFormat/>
    <w:uiPriority w:val="99"/>
    <w:pPr>
      <w:jc w:val="left"/>
    </w:pPr>
  </w:style>
  <w:style w:type="paragraph" w:styleId="22">
    <w:name w:val="Salutation"/>
    <w:basedOn w:val="1"/>
    <w:next w:val="1"/>
    <w:link w:val="299"/>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431"/>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
    <w:link w:val="266"/>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2"/>
    <w:qFormat/>
    <w:uiPriority w:val="0"/>
    <w:pPr>
      <w:ind w:left="100" w:leftChars="2500"/>
    </w:pPr>
    <w:rPr>
      <w:rFonts w:ascii="宋体"/>
      <w:sz w:val="24"/>
      <w:szCs w:val="21"/>
      <w:lang w:val="zh-CN"/>
    </w:rPr>
  </w:style>
  <w:style w:type="paragraph" w:styleId="37">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9"/>
    <w:qFormat/>
    <w:uiPriority w:val="0"/>
    <w:rPr>
      <w:sz w:val="18"/>
      <w:szCs w:val="18"/>
    </w:rPr>
  </w:style>
  <w:style w:type="paragraph" w:styleId="40">
    <w:name w:val="footer"/>
    <w:basedOn w:val="1"/>
    <w:link w:val="384"/>
    <w:qFormat/>
    <w:uiPriority w:val="99"/>
    <w:pPr>
      <w:tabs>
        <w:tab w:val="center" w:pos="4153"/>
        <w:tab w:val="right" w:pos="8306"/>
      </w:tabs>
      <w:snapToGrid w:val="0"/>
      <w:jc w:val="left"/>
    </w:pPr>
    <w:rPr>
      <w:sz w:val="18"/>
      <w:szCs w:val="18"/>
    </w:rPr>
  </w:style>
  <w:style w:type="paragraph" w:styleId="41">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11"/>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6"/>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3"/>
    <w:qFormat/>
    <w:uiPriority w:val="0"/>
    <w:pPr>
      <w:spacing w:after="120" w:line="480" w:lineRule="auto"/>
    </w:pPr>
  </w:style>
  <w:style w:type="paragraph" w:styleId="57">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7"/>
    <w:qFormat/>
    <w:uiPriority w:val="0"/>
    <w:rPr>
      <w:b/>
      <w:bCs/>
    </w:rPr>
  </w:style>
  <w:style w:type="paragraph" w:styleId="61">
    <w:name w:val="Body Text First Indent"/>
    <w:basedOn w:val="25"/>
    <w:next w:val="1"/>
    <w:link w:val="322"/>
    <w:qFormat/>
    <w:uiPriority w:val="0"/>
    <w:pPr>
      <w:ind w:firstLine="420"/>
    </w:pPr>
    <w:rPr>
      <w:rFonts w:hAnsi="Calibri" w:cs="Times New Roman"/>
      <w:snapToGrid/>
      <w:szCs w:val="20"/>
    </w:rPr>
  </w:style>
  <w:style w:type="paragraph" w:styleId="62">
    <w:name w:val="Body Text First Indent 2"/>
    <w:basedOn w:val="26"/>
    <w:next w:val="1"/>
    <w:link w:val="12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81">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82">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0"/>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0"/>
    <w:qFormat/>
    <w:uiPriority w:val="0"/>
    <w:rPr>
      <w:rFonts w:ascii="Arial" w:hAnsi="Arial" w:eastAsia="黑体" w:cs="Arial"/>
      <w:snapToGrid w:val="0"/>
      <w:kern w:val="0"/>
      <w:szCs w:val="21"/>
    </w:rPr>
  </w:style>
  <w:style w:type="character" w:customStyle="1" w:styleId="126">
    <w:name w:val="纯文本 Char"/>
    <w:link w:val="3"/>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7"/>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6"/>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39"/>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0"/>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1"/>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6"/>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59"/>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2"/>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7"/>
    <w:qFormat/>
    <w:uiPriority w:val="0"/>
    <w:rPr>
      <w:rFonts w:ascii="黑体" w:hAnsi="Courier New" w:eastAsia="黑体"/>
    </w:rPr>
  </w:style>
  <w:style w:type="character" w:customStyle="1" w:styleId="303">
    <w:name w:val="正文文本 2 Char1"/>
    <w:link w:val="56"/>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37"/>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0"/>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1"/>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3"/>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qFormat/>
    <w:uiPriority w:val="99"/>
    <w:rPr>
      <w:kern w:val="2"/>
      <w:sz w:val="21"/>
      <w:szCs w:val="24"/>
    </w:rPr>
  </w:style>
  <w:style w:type="character" w:customStyle="1" w:styleId="346">
    <w:name w:val="签名 Char"/>
    <w:link w:val="42"/>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3"/>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0"/>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1"/>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7"/>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5"/>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6"/>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9"/>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6"/>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8"/>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6"/>
    <w:next w:val="236"/>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6"/>
    <w:next w:val="236"/>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4"/>
    <w:qFormat/>
    <w:uiPriority w:val="0"/>
    <w:pPr>
      <w:tabs>
        <w:tab w:val="left" w:pos="840"/>
      </w:tabs>
      <w:adjustRightInd/>
      <w:ind w:left="840" w:hanging="420"/>
    </w:pPr>
  </w:style>
  <w:style w:type="paragraph" w:customStyle="1" w:styleId="626">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4"/>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4"/>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38992</Words>
  <Characters>41814</Characters>
  <Lines>281</Lines>
  <Paragraphs>79</Paragraphs>
  <TotalTime>3</TotalTime>
  <ScaleCrop>false</ScaleCrop>
  <LinksUpToDate>false</LinksUpToDate>
  <CharactersWithSpaces>45808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Libra</cp:lastModifiedBy>
  <cp:lastPrinted>2023-09-04T02:36:00Z</cp:lastPrinted>
  <dcterms:modified xsi:type="dcterms:W3CDTF">2023-09-08T02:13:21Z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4CDC440351774FC9B02B3DA926F1D9B7_13</vt:lpwstr>
  </property>
</Properties>
</file>