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F46C0">
      <w:pPr>
        <w:spacing w:after="120" w:line="360" w:lineRule="auto"/>
        <w:jc w:val="center"/>
        <w:outlineLvl w:val="0"/>
        <w:rPr>
          <w:rFonts w:hint="eastAsia" w:ascii="宋体" w:hAnsi="宋体" w:eastAsia="宋体" w:cs="Times New Roman"/>
          <w:b/>
          <w:bCs/>
          <w:color w:val="000000" w:themeColor="text1"/>
          <w:sz w:val="52"/>
          <w:szCs w:val="52"/>
          <w:lang w:val="en-US" w:eastAsia="zh-CN"/>
          <w14:textFill>
            <w14:solidFill>
              <w14:schemeClr w14:val="tx1"/>
            </w14:solidFill>
          </w14:textFill>
        </w:rPr>
      </w:pPr>
      <w:bookmarkStart w:id="0" w:name="_Toc14948"/>
    </w:p>
    <w:bookmarkEnd w:id="0"/>
    <w:p w14:paraId="19E75504">
      <w:pPr>
        <w:spacing w:after="120" w:line="360" w:lineRule="auto"/>
        <w:jc w:val="center"/>
        <w:outlineLvl w:val="0"/>
        <w:rPr>
          <w:rFonts w:hint="eastAsia" w:ascii="宋体" w:hAnsi="宋体" w:eastAsia="宋体" w:cs="Times New Roman"/>
          <w:b/>
          <w:bCs/>
          <w:color w:val="000000" w:themeColor="text1"/>
          <w:sz w:val="52"/>
          <w:szCs w:val="52"/>
          <w:lang w:val="en-US" w:eastAsia="zh-CN"/>
          <w14:textFill>
            <w14:solidFill>
              <w14:schemeClr w14:val="tx1"/>
            </w14:solidFill>
          </w14:textFill>
        </w:rPr>
      </w:pPr>
      <w:r>
        <w:rPr>
          <w:rFonts w:hint="eastAsia" w:ascii="宋体" w:hAnsi="宋体" w:cs="Times New Roman"/>
          <w:b/>
          <w:bCs/>
          <w:color w:val="000000" w:themeColor="text1"/>
          <w:sz w:val="52"/>
          <w:szCs w:val="52"/>
          <w:lang w:val="en-US" w:eastAsia="zh-CN"/>
          <w14:textFill>
            <w14:solidFill>
              <w14:schemeClr w14:val="tx1"/>
            </w14:solidFill>
          </w14:textFill>
        </w:rPr>
        <w:t>北仑区“六促六优专项行动”应用二期</w:t>
      </w:r>
    </w:p>
    <w:p w14:paraId="0941B173">
      <w:pPr>
        <w:wordWrap w:val="0"/>
        <w:spacing w:after="120" w:line="800" w:lineRule="exact"/>
        <w:jc w:val="left"/>
        <w:rPr>
          <w:rFonts w:hint="eastAsia" w:ascii="宋体" w:hAnsi="宋体"/>
          <w:b/>
          <w:color w:val="000000" w:themeColor="text1"/>
          <w:sz w:val="44"/>
          <w:szCs w:val="44"/>
          <w14:textFill>
            <w14:solidFill>
              <w14:schemeClr w14:val="tx1"/>
            </w14:solidFill>
          </w14:textFill>
        </w:rPr>
      </w:pPr>
    </w:p>
    <w:p w14:paraId="77BABFFA">
      <w:pPr>
        <w:pStyle w:val="42"/>
        <w:ind w:firstLine="440"/>
        <w:rPr>
          <w:rFonts w:hint="eastAsia" w:ascii="宋体" w:hAnsi="宋体"/>
          <w:b/>
          <w:color w:val="000000" w:themeColor="text1"/>
          <w:sz w:val="44"/>
          <w:szCs w:val="44"/>
          <w14:textFill>
            <w14:solidFill>
              <w14:schemeClr w14:val="tx1"/>
            </w14:solidFill>
          </w14:textFill>
        </w:rPr>
      </w:pPr>
    </w:p>
    <w:p w14:paraId="1558315D">
      <w:pPr>
        <w:rPr>
          <w:rFonts w:hint="eastAsia"/>
          <w:color w:val="000000" w:themeColor="text1"/>
          <w14:textFill>
            <w14:solidFill>
              <w14:schemeClr w14:val="tx1"/>
            </w14:solidFill>
          </w14:textFill>
        </w:rPr>
      </w:pPr>
    </w:p>
    <w:p w14:paraId="120A3465">
      <w:pPr>
        <w:wordWrap w:val="0"/>
        <w:spacing w:after="120" w:line="1200" w:lineRule="exact"/>
        <w:jc w:val="center"/>
        <w:outlineLvl w:val="0"/>
        <w:rPr>
          <w:rFonts w:hint="eastAsia" w:ascii="宋体" w:hAnsi="宋体"/>
          <w:b/>
          <w:color w:val="000000" w:themeColor="text1"/>
          <w:sz w:val="72"/>
          <w:szCs w:val="72"/>
          <w14:textFill>
            <w14:solidFill>
              <w14:schemeClr w14:val="tx1"/>
            </w14:solidFill>
          </w14:textFill>
        </w:rPr>
      </w:pPr>
      <w:bookmarkStart w:id="1" w:name="_Toc19734"/>
      <w:r>
        <w:rPr>
          <w:rFonts w:hint="eastAsia" w:ascii="宋体" w:hAnsi="宋体"/>
          <w:b/>
          <w:color w:val="000000" w:themeColor="text1"/>
          <w:sz w:val="72"/>
          <w:szCs w:val="72"/>
          <w14:textFill>
            <w14:solidFill>
              <w14:schemeClr w14:val="tx1"/>
            </w14:solidFill>
          </w14:textFill>
        </w:rPr>
        <w:t>竞争性磋商文件</w:t>
      </w:r>
      <w:bookmarkEnd w:id="1"/>
    </w:p>
    <w:p w14:paraId="60452F05">
      <w:pPr>
        <w:pStyle w:val="42"/>
        <w:ind w:firstLine="440"/>
        <w:rPr>
          <w:rFonts w:hint="eastAsia" w:ascii="宋体" w:hAnsi="宋体"/>
          <w:b/>
          <w:color w:val="000000" w:themeColor="text1"/>
          <w:sz w:val="44"/>
          <w:szCs w:val="44"/>
          <w14:textFill>
            <w14:solidFill>
              <w14:schemeClr w14:val="tx1"/>
            </w14:solidFill>
          </w14:textFill>
        </w:rPr>
      </w:pPr>
    </w:p>
    <w:p w14:paraId="0222816F">
      <w:pPr>
        <w:rPr>
          <w:rFonts w:hint="eastAsia" w:ascii="宋体" w:hAnsi="宋体"/>
          <w:b/>
          <w:color w:val="000000" w:themeColor="text1"/>
          <w:sz w:val="44"/>
          <w:szCs w:val="44"/>
          <w14:textFill>
            <w14:solidFill>
              <w14:schemeClr w14:val="tx1"/>
            </w14:solidFill>
          </w14:textFill>
        </w:rPr>
      </w:pPr>
    </w:p>
    <w:p w14:paraId="535566D1">
      <w:pPr>
        <w:pStyle w:val="42"/>
        <w:ind w:firstLine="210"/>
        <w:rPr>
          <w:rFonts w:hint="eastAsia"/>
          <w:color w:val="000000" w:themeColor="text1"/>
          <w14:textFill>
            <w14:solidFill>
              <w14:schemeClr w14:val="tx1"/>
            </w14:solidFill>
          </w14:textFill>
        </w:rPr>
      </w:pPr>
    </w:p>
    <w:p w14:paraId="0E46CB7E">
      <w:pPr>
        <w:pStyle w:val="42"/>
        <w:ind w:firstLine="210"/>
        <w:rPr>
          <w:rFonts w:hint="eastAsia"/>
          <w:color w:val="000000" w:themeColor="text1"/>
          <w14:textFill>
            <w14:solidFill>
              <w14:schemeClr w14:val="tx1"/>
            </w14:solidFill>
          </w14:textFill>
        </w:rPr>
      </w:pPr>
    </w:p>
    <w:p w14:paraId="7A95A592">
      <w:pPr>
        <w:wordWrap w:val="0"/>
        <w:spacing w:after="120" w:line="400" w:lineRule="exact"/>
        <w:jc w:val="left"/>
        <w:rPr>
          <w:rFonts w:hint="eastAsia" w:ascii="宋体" w:hAnsi="宋体"/>
          <w:b/>
          <w:color w:val="000000" w:themeColor="text1"/>
          <w:sz w:val="44"/>
          <w:szCs w:val="44"/>
          <w14:textFill>
            <w14:solidFill>
              <w14:schemeClr w14:val="tx1"/>
            </w14:solidFill>
          </w14:textFill>
        </w:rPr>
      </w:pPr>
    </w:p>
    <w:p w14:paraId="2302A033">
      <w:pPr>
        <w:wordWrap w:val="0"/>
        <w:spacing w:line="800" w:lineRule="exact"/>
        <w:ind w:firstLine="562" w:firstLineChars="200"/>
        <w:rPr>
          <w:rFonts w:hint="eastAsia" w:ascii="宋体" w:hAnsi="宋体" w:eastAsia="宋体"/>
          <w:b/>
          <w:bCs w:val="0"/>
          <w:color w:val="000000" w:themeColor="text1"/>
          <w:sz w:val="28"/>
          <w:szCs w:val="28"/>
          <w:lang w:val="en-US" w:eastAsia="zh-CN"/>
          <w14:textFill>
            <w14:solidFill>
              <w14:schemeClr w14:val="tx1"/>
            </w14:solidFill>
          </w14:textFill>
        </w:rPr>
      </w:pPr>
      <w:r>
        <w:rPr>
          <w:rFonts w:hint="eastAsia" w:ascii="宋体" w:hAnsi="宋体"/>
          <w:b/>
          <w:bCs w:val="0"/>
          <w:color w:val="000000" w:themeColor="text1"/>
          <w:sz w:val="28"/>
          <w:szCs w:val="28"/>
          <w14:textFill>
            <w14:solidFill>
              <w14:schemeClr w14:val="tx1"/>
            </w14:solidFill>
          </w14:textFill>
        </w:rPr>
        <w:t>采购编号：</w:t>
      </w:r>
      <w:r>
        <w:rPr>
          <w:rFonts w:hint="eastAsia" w:ascii="宋体" w:hAnsi="宋体"/>
          <w:b/>
          <w:bCs w:val="0"/>
          <w:color w:val="000000" w:themeColor="text1"/>
          <w:sz w:val="28"/>
          <w:szCs w:val="28"/>
          <w:lang w:eastAsia="zh-CN"/>
          <w14:textFill>
            <w14:solidFill>
              <w14:schemeClr w14:val="tx1"/>
            </w14:solidFill>
          </w14:textFill>
        </w:rPr>
        <w:t>NBLQ2025017</w:t>
      </w:r>
    </w:p>
    <w:p w14:paraId="450FFFB6">
      <w:pPr>
        <w:wordWrap w:val="0"/>
        <w:spacing w:line="800" w:lineRule="exact"/>
        <w:ind w:firstLine="562" w:firstLineChars="200"/>
        <w:outlineLvl w:val="0"/>
        <w:rPr>
          <w:rFonts w:hint="eastAsia" w:ascii="宋体" w:hAnsi="宋体"/>
          <w:b/>
          <w:bCs w:val="0"/>
          <w:color w:val="000000" w:themeColor="text1"/>
          <w:sz w:val="28"/>
          <w:szCs w:val="28"/>
          <w14:textFill>
            <w14:solidFill>
              <w14:schemeClr w14:val="tx1"/>
            </w14:solidFill>
          </w14:textFill>
        </w:rPr>
      </w:pPr>
      <w:bookmarkStart w:id="2" w:name="_Toc17981"/>
      <w:r>
        <w:rPr>
          <w:rFonts w:hint="eastAsia" w:ascii="宋体" w:hAnsi="宋体"/>
          <w:b/>
          <w:bCs w:val="0"/>
          <w:color w:val="000000" w:themeColor="text1"/>
          <w:sz w:val="28"/>
          <w:szCs w:val="28"/>
          <w14:textFill>
            <w14:solidFill>
              <w14:schemeClr w14:val="tx1"/>
            </w14:solidFill>
          </w14:textFill>
        </w:rPr>
        <w:t>采 购 人：</w:t>
      </w:r>
      <w:bookmarkEnd w:id="2"/>
      <w:r>
        <w:rPr>
          <w:rFonts w:hint="eastAsia" w:ascii="宋体" w:hAnsi="宋体" w:cs="Times New Roman"/>
          <w:b/>
          <w:bCs w:val="0"/>
          <w:color w:val="000000" w:themeColor="text1"/>
          <w:sz w:val="28"/>
          <w:szCs w:val="28"/>
          <w:lang w:eastAsia="zh-CN"/>
          <w14:textFill>
            <w14:solidFill>
              <w14:schemeClr w14:val="tx1"/>
            </w14:solidFill>
          </w14:textFill>
        </w:rPr>
        <w:t>中国共产党宁波市北仑区委员会办公室</w:t>
      </w:r>
    </w:p>
    <w:p w14:paraId="3D680257">
      <w:pPr>
        <w:wordWrap w:val="0"/>
        <w:spacing w:line="800" w:lineRule="exact"/>
        <w:ind w:firstLine="562" w:firstLineChars="200"/>
        <w:rPr>
          <w:rFonts w:hint="eastAsia" w:ascii="宋体" w:hAnsi="宋体" w:eastAsia="宋体"/>
          <w:b/>
          <w:bCs w:val="0"/>
          <w:color w:val="000000" w:themeColor="text1"/>
          <w:sz w:val="28"/>
          <w:szCs w:val="28"/>
          <w:lang w:val="en-US" w:eastAsia="zh-CN"/>
          <w14:textFill>
            <w14:solidFill>
              <w14:schemeClr w14:val="tx1"/>
            </w14:solidFill>
          </w14:textFill>
        </w:rPr>
      </w:pPr>
      <w:r>
        <w:rPr>
          <w:rFonts w:hint="eastAsia" w:ascii="宋体" w:hAnsi="宋体"/>
          <w:b/>
          <w:bCs w:val="0"/>
          <w:color w:val="000000" w:themeColor="text1"/>
          <w:sz w:val="28"/>
          <w:szCs w:val="28"/>
          <w14:textFill>
            <w14:solidFill>
              <w14:schemeClr w14:val="tx1"/>
            </w14:solidFill>
          </w14:textFill>
        </w:rPr>
        <w:t>代理机构：</w:t>
      </w:r>
      <w:r>
        <w:rPr>
          <w:rFonts w:hint="eastAsia" w:ascii="宋体" w:hAnsi="宋体"/>
          <w:b/>
          <w:bCs w:val="0"/>
          <w:color w:val="000000" w:themeColor="text1"/>
          <w:sz w:val="28"/>
          <w:szCs w:val="28"/>
          <w:lang w:eastAsia="zh-CN"/>
          <w14:textFill>
            <w14:solidFill>
              <w14:schemeClr w14:val="tx1"/>
            </w14:solidFill>
          </w14:textFill>
        </w:rPr>
        <w:t>宁波立勤工程管理咨询有限公司</w:t>
      </w:r>
    </w:p>
    <w:p w14:paraId="2426CEAA">
      <w:pPr>
        <w:wordWrap w:val="0"/>
        <w:spacing w:line="800" w:lineRule="exact"/>
        <w:ind w:firstLine="562" w:firstLineChars="200"/>
        <w:rPr>
          <w:rFonts w:hint="eastAsia" w:ascii="宋体" w:hAnsi="宋体"/>
          <w:b/>
          <w:bCs w:val="0"/>
          <w:color w:val="000000" w:themeColor="text1"/>
          <w:sz w:val="28"/>
          <w:szCs w:val="28"/>
          <w14:textFill>
            <w14:solidFill>
              <w14:schemeClr w14:val="tx1"/>
            </w14:solidFill>
          </w14:textFill>
        </w:rPr>
      </w:pPr>
      <w:r>
        <w:rPr>
          <w:rFonts w:hint="eastAsia" w:ascii="宋体" w:hAnsi="宋体"/>
          <w:b/>
          <w:bCs w:val="0"/>
          <w:color w:val="000000" w:themeColor="text1"/>
          <w:sz w:val="28"/>
          <w:szCs w:val="28"/>
          <w14:textFill>
            <w14:solidFill>
              <w14:schemeClr w14:val="tx1"/>
            </w14:solidFill>
          </w14:textFill>
        </w:rPr>
        <w:t>编制日期：20</w:t>
      </w:r>
      <w:r>
        <w:rPr>
          <w:rFonts w:ascii="宋体" w:hAnsi="宋体"/>
          <w:b/>
          <w:bCs w:val="0"/>
          <w:color w:val="000000" w:themeColor="text1"/>
          <w:sz w:val="28"/>
          <w:szCs w:val="28"/>
          <w14:textFill>
            <w14:solidFill>
              <w14:schemeClr w14:val="tx1"/>
            </w14:solidFill>
          </w14:textFill>
        </w:rPr>
        <w:t>2</w:t>
      </w:r>
      <w:r>
        <w:rPr>
          <w:rFonts w:hint="eastAsia" w:ascii="宋体" w:hAnsi="宋体"/>
          <w:b/>
          <w:bCs w:val="0"/>
          <w:color w:val="000000" w:themeColor="text1"/>
          <w:sz w:val="28"/>
          <w:szCs w:val="28"/>
          <w:lang w:val="en-US" w:eastAsia="zh-CN"/>
          <w14:textFill>
            <w14:solidFill>
              <w14:schemeClr w14:val="tx1"/>
            </w14:solidFill>
          </w14:textFill>
        </w:rPr>
        <w:t>5</w:t>
      </w:r>
      <w:r>
        <w:rPr>
          <w:rFonts w:hint="eastAsia" w:ascii="宋体" w:hAnsi="宋体"/>
          <w:b/>
          <w:bCs w:val="0"/>
          <w:color w:val="000000" w:themeColor="text1"/>
          <w:sz w:val="28"/>
          <w:szCs w:val="28"/>
          <w14:textFill>
            <w14:solidFill>
              <w14:schemeClr w14:val="tx1"/>
            </w14:solidFill>
          </w14:textFill>
        </w:rPr>
        <w:t>年</w:t>
      </w:r>
      <w:r>
        <w:rPr>
          <w:rFonts w:hint="eastAsia" w:ascii="宋体" w:hAnsi="宋体"/>
          <w:b/>
          <w:bCs w:val="0"/>
          <w:color w:val="000000" w:themeColor="text1"/>
          <w:sz w:val="28"/>
          <w:szCs w:val="28"/>
          <w:lang w:val="en-US" w:eastAsia="zh-CN"/>
          <w14:textFill>
            <w14:solidFill>
              <w14:schemeClr w14:val="tx1"/>
            </w14:solidFill>
          </w14:textFill>
        </w:rPr>
        <w:t>06</w:t>
      </w:r>
      <w:r>
        <w:rPr>
          <w:rFonts w:hint="eastAsia" w:ascii="宋体" w:hAnsi="宋体"/>
          <w:b/>
          <w:bCs w:val="0"/>
          <w:color w:val="000000" w:themeColor="text1"/>
          <w:sz w:val="28"/>
          <w:szCs w:val="28"/>
          <w14:textFill>
            <w14:solidFill>
              <w14:schemeClr w14:val="tx1"/>
            </w14:solidFill>
          </w14:textFill>
        </w:rPr>
        <w:t>月</w:t>
      </w:r>
    </w:p>
    <w:p w14:paraId="6EF2C5AA">
      <w:pPr>
        <w:wordWrap w:val="0"/>
        <w:spacing w:line="400" w:lineRule="exact"/>
        <w:jc w:val="center"/>
        <w:rPr>
          <w:rFonts w:ascii="宋体" w:hAnsi="宋体"/>
          <w:b/>
          <w:bCs w:val="0"/>
          <w:color w:val="000000" w:themeColor="text1"/>
          <w:sz w:val="28"/>
          <w:szCs w:val="28"/>
          <w14:textFill>
            <w14:solidFill>
              <w14:schemeClr w14:val="tx1"/>
            </w14:solidFill>
          </w14:textFill>
        </w:rPr>
        <w:sectPr>
          <w:headerReference r:id="rId3" w:type="default"/>
          <w:footerReference r:id="rId4" w:type="default"/>
          <w:footerReference r:id="rId5" w:type="even"/>
          <w:type w:val="nextColumn"/>
          <w:pgSz w:w="11907" w:h="16840"/>
          <w:pgMar w:top="1134" w:right="1474" w:bottom="1134" w:left="1474" w:header="1134" w:footer="1134" w:gutter="0"/>
          <w:pgNumType w:start="1"/>
          <w:cols w:space="720" w:num="1"/>
          <w:docGrid w:linePitch="285" w:charSpace="0"/>
        </w:sectPr>
      </w:pPr>
    </w:p>
    <w:p w14:paraId="0CE74DA3">
      <w:pPr>
        <w:wordWrap w:val="0"/>
        <w:spacing w:line="1200" w:lineRule="exact"/>
        <w:jc w:val="center"/>
        <w:rPr>
          <w:rFonts w:hint="eastAsia"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温馨提醒</w:t>
      </w:r>
    </w:p>
    <w:p w14:paraId="654F4F9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b w:val="0"/>
          <w:bCs/>
          <w:color w:val="000000" w:themeColor="text1"/>
          <w:sz w:val="28"/>
          <w:szCs w:val="28"/>
          <w14:textFill>
            <w14:solidFill>
              <w14:schemeClr w14:val="tx1"/>
            </w14:solidFill>
          </w14:textFill>
        </w:rPr>
      </w:pPr>
    </w:p>
    <w:p w14:paraId="7DDE0DE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b w:val="0"/>
          <w:bCs/>
          <w:color w:val="000000" w:themeColor="text1"/>
          <w:sz w:val="28"/>
          <w:szCs w:val="28"/>
          <w14:textFill>
            <w14:solidFill>
              <w14:schemeClr w14:val="tx1"/>
            </w14:solidFill>
          </w14:textFill>
        </w:rPr>
      </w:pPr>
      <w:r>
        <w:rPr>
          <w:rFonts w:ascii="宋体" w:hAnsi="宋体"/>
          <w:b w:val="0"/>
          <w:bCs/>
          <w:color w:val="000000" w:themeColor="text1"/>
          <w:sz w:val="28"/>
          <w:szCs w:val="28"/>
          <w14:textFill>
            <w14:solidFill>
              <w14:schemeClr w14:val="tx1"/>
            </w14:solidFill>
          </w14:textFill>
        </w:rPr>
        <w:t>1</w:t>
      </w:r>
      <w:r>
        <w:rPr>
          <w:rFonts w:hint="eastAsia" w:ascii="宋体" w:hAnsi="宋体"/>
          <w:b w:val="0"/>
          <w:bCs/>
          <w:color w:val="000000" w:themeColor="text1"/>
          <w:sz w:val="28"/>
          <w:szCs w:val="28"/>
          <w14:textFill>
            <w14:solidFill>
              <w14:schemeClr w14:val="tx1"/>
            </w14:solidFill>
          </w14:textFill>
        </w:rPr>
        <w:t>、磋商响应文件应按竞争性磋商文件要求将“资格文件”、“商务和技术文件”、“响应文件”分别编制。</w:t>
      </w:r>
    </w:p>
    <w:p w14:paraId="047DDB89">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b w:val="0"/>
          <w:bCs/>
          <w:color w:val="000000" w:themeColor="text1"/>
          <w:sz w:val="28"/>
          <w:szCs w:val="28"/>
          <w14:textFill>
            <w14:solidFill>
              <w14:schemeClr w14:val="tx1"/>
            </w14:solidFill>
          </w14:textFill>
        </w:rPr>
      </w:pPr>
      <w:r>
        <w:rPr>
          <w:rFonts w:ascii="宋体" w:hAnsi="宋体"/>
          <w:b w:val="0"/>
          <w:bCs/>
          <w:color w:val="000000" w:themeColor="text1"/>
          <w:sz w:val="28"/>
          <w:szCs w:val="28"/>
          <w14:textFill>
            <w14:solidFill>
              <w14:schemeClr w14:val="tx1"/>
            </w14:solidFill>
          </w14:textFill>
        </w:rPr>
        <w:t>2</w:t>
      </w:r>
      <w:r>
        <w:rPr>
          <w:rFonts w:hint="eastAsia" w:ascii="宋体" w:hAnsi="宋体"/>
          <w:b w:val="0"/>
          <w:bCs/>
          <w:color w:val="000000" w:themeColor="text1"/>
          <w:sz w:val="28"/>
          <w:szCs w:val="28"/>
          <w14:textFill>
            <w14:solidFill>
              <w14:schemeClr w14:val="tx1"/>
            </w14:solidFill>
          </w14:textFill>
        </w:rPr>
        <w:t>、“商务和技术文件”中不得出现涉及报价的内容，否则作无效报价处理。</w:t>
      </w:r>
    </w:p>
    <w:p w14:paraId="0CCA305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b w:val="0"/>
          <w:bCs/>
          <w:color w:val="000000" w:themeColor="text1"/>
          <w:sz w:val="28"/>
          <w:szCs w:val="28"/>
          <w14:textFill>
            <w14:solidFill>
              <w14:schemeClr w14:val="tx1"/>
            </w14:solidFill>
          </w14:textFill>
        </w:rPr>
      </w:pPr>
      <w:r>
        <w:rPr>
          <w:rFonts w:ascii="宋体" w:hAnsi="宋体"/>
          <w:b w:val="0"/>
          <w:bCs/>
          <w:color w:val="000000" w:themeColor="text1"/>
          <w:sz w:val="28"/>
          <w:szCs w:val="28"/>
          <w14:textFill>
            <w14:solidFill>
              <w14:schemeClr w14:val="tx1"/>
            </w14:solidFill>
          </w14:textFill>
        </w:rPr>
        <w:t>3</w:t>
      </w:r>
      <w:r>
        <w:rPr>
          <w:rFonts w:hint="eastAsia" w:ascii="宋体" w:hAnsi="宋体"/>
          <w:b w:val="0"/>
          <w:bCs/>
          <w:color w:val="000000" w:themeColor="text1"/>
          <w:sz w:val="28"/>
          <w:szCs w:val="28"/>
          <w14:textFill>
            <w14:solidFill>
              <w14:schemeClr w14:val="tx1"/>
            </w14:solidFill>
          </w14:textFill>
        </w:rPr>
        <w:t>、采购人可以对已发出的竞争性磋商文件进行必要的澄清或者修改，将以“更正公告”的形式发布在政采云平台，供应商应及时登录政采云平台，进行浏览并下载，未及时浏览下载的责任自负。</w:t>
      </w:r>
    </w:p>
    <w:p w14:paraId="27A3BDE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b w:val="0"/>
          <w:bCs/>
          <w:color w:val="000000" w:themeColor="text1"/>
          <w:sz w:val="28"/>
          <w:szCs w:val="28"/>
          <w14:textFill>
            <w14:solidFill>
              <w14:schemeClr w14:val="tx1"/>
            </w14:solidFill>
          </w14:textFill>
        </w:rPr>
      </w:pPr>
      <w:r>
        <w:rPr>
          <w:rFonts w:ascii="宋体" w:hAnsi="宋体"/>
          <w:b w:val="0"/>
          <w:bCs/>
          <w:color w:val="000000" w:themeColor="text1"/>
          <w:sz w:val="28"/>
          <w:szCs w:val="28"/>
          <w14:textFill>
            <w14:solidFill>
              <w14:schemeClr w14:val="tx1"/>
            </w14:solidFill>
          </w14:textFill>
        </w:rPr>
        <w:t>4</w:t>
      </w:r>
      <w:r>
        <w:rPr>
          <w:rFonts w:hint="eastAsia" w:ascii="宋体" w:hAnsi="宋体"/>
          <w:b w:val="0"/>
          <w:bCs/>
          <w:color w:val="000000" w:themeColor="text1"/>
          <w:sz w:val="28"/>
          <w:szCs w:val="28"/>
          <w14:textFill>
            <w14:solidFill>
              <w14:schemeClr w14:val="tx1"/>
            </w14:solidFill>
          </w14:textFill>
        </w:rPr>
        <w:t>、建议供应商自带电脑，以便于报价现场解密磋商响应文件。</w:t>
      </w:r>
    </w:p>
    <w:p w14:paraId="3BB137B2">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b w:val="0"/>
          <w:bCs/>
          <w:color w:val="000000" w:themeColor="text1"/>
          <w:sz w:val="28"/>
          <w:szCs w:val="28"/>
          <w14:textFill>
            <w14:solidFill>
              <w14:schemeClr w14:val="tx1"/>
            </w14:solidFill>
          </w14:textFill>
        </w:rPr>
      </w:pPr>
      <w:r>
        <w:rPr>
          <w:rFonts w:hint="eastAsia" w:ascii="宋体" w:hAnsi="宋体"/>
          <w:b w:val="0"/>
          <w:bCs/>
          <w:color w:val="000000" w:themeColor="text1"/>
          <w:sz w:val="28"/>
          <w:szCs w:val="28"/>
          <w14:textFill>
            <w14:solidFill>
              <w14:schemeClr w14:val="tx1"/>
            </w14:solidFill>
          </w14:textFill>
        </w:rPr>
        <w:t>5、供应商上传平台的是后缀为.jmbs的加密文件，递交给采购代理公司的</w:t>
      </w:r>
      <w:r>
        <w:rPr>
          <w:rFonts w:hint="eastAsia" w:ascii="宋体" w:hAnsi="宋体" w:eastAsia="宋体"/>
          <w:b w:val="0"/>
          <w:bCs/>
          <w:color w:val="000000" w:themeColor="text1"/>
          <w:sz w:val="28"/>
          <w:szCs w:val="28"/>
          <w14:textFill>
            <w14:solidFill>
              <w14:schemeClr w14:val="tx1"/>
            </w14:solidFill>
          </w14:textFill>
        </w:rPr>
        <w:t>是后缀为.bfbs的备份文件，未及时解密的责任自负！</w:t>
      </w:r>
    </w:p>
    <w:p w14:paraId="08AF826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b w:val="0"/>
          <w:bCs/>
          <w:color w:val="000000" w:themeColor="text1"/>
          <w:sz w:val="28"/>
          <w:szCs w:val="28"/>
          <w14:textFill>
            <w14:solidFill>
              <w14:schemeClr w14:val="tx1"/>
            </w14:solidFill>
          </w14:textFill>
        </w:rPr>
      </w:pPr>
      <w:r>
        <w:rPr>
          <w:rFonts w:hint="eastAsia" w:ascii="宋体" w:hAnsi="宋体" w:eastAsia="宋体"/>
          <w:b w:val="0"/>
          <w:bCs/>
          <w:color w:val="000000" w:themeColor="text1"/>
          <w:sz w:val="28"/>
          <w:szCs w:val="28"/>
          <w:lang w:val="en-US" w:eastAsia="zh-CN"/>
          <w14:textFill>
            <w14:solidFill>
              <w14:schemeClr w14:val="tx1"/>
            </w14:solidFill>
          </w14:textFill>
        </w:rPr>
        <w:t>6、</w:t>
      </w:r>
      <w:r>
        <w:rPr>
          <w:rFonts w:hint="eastAsia" w:ascii="宋体" w:hAnsi="宋体" w:eastAsia="宋体"/>
          <w:b w:val="0"/>
          <w:bCs/>
          <w:color w:val="000000" w:themeColor="text1"/>
          <w:sz w:val="28"/>
          <w:szCs w:val="28"/>
          <w14:textFill>
            <w14:solidFill>
              <w14:schemeClr w14:val="tx1"/>
            </w14:solidFill>
          </w14:textFill>
        </w:rPr>
        <w:t>中标后须向采购</w:t>
      </w:r>
      <w:r>
        <w:rPr>
          <w:rFonts w:hint="eastAsia" w:ascii="宋体" w:hAnsi="宋体" w:eastAsia="宋体"/>
          <w:b w:val="0"/>
          <w:bCs/>
          <w:color w:val="000000" w:themeColor="text1"/>
          <w:sz w:val="28"/>
          <w:szCs w:val="28"/>
          <w:lang w:val="en-US" w:eastAsia="zh-CN"/>
          <w14:textFill>
            <w14:solidFill>
              <w14:schemeClr w14:val="tx1"/>
            </w14:solidFill>
          </w14:textFill>
        </w:rPr>
        <w:t>代理单位</w:t>
      </w:r>
      <w:r>
        <w:rPr>
          <w:rFonts w:hint="eastAsia" w:ascii="宋体" w:hAnsi="宋体" w:eastAsia="宋体"/>
          <w:b w:val="0"/>
          <w:bCs/>
          <w:color w:val="000000" w:themeColor="text1"/>
          <w:sz w:val="28"/>
          <w:szCs w:val="28"/>
          <w14:textFill>
            <w14:solidFill>
              <w14:schemeClr w14:val="tx1"/>
            </w14:solidFill>
          </w14:textFill>
        </w:rPr>
        <w:t>提供纸质投标文件2套</w:t>
      </w:r>
    </w:p>
    <w:p w14:paraId="71944353">
      <w:pPr>
        <w:wordWrap w:val="0"/>
        <w:spacing w:line="1000" w:lineRule="exact"/>
        <w:jc w:val="left"/>
        <w:rPr>
          <w:rFonts w:hint="eastAsia" w:ascii="宋体" w:hAnsi="宋体"/>
          <w:b/>
          <w:color w:val="000000" w:themeColor="text1"/>
          <w:sz w:val="30"/>
          <w:szCs w:val="30"/>
          <w14:textFill>
            <w14:solidFill>
              <w14:schemeClr w14:val="tx1"/>
            </w14:solidFill>
          </w14:textFill>
        </w:rPr>
      </w:pPr>
    </w:p>
    <w:p w14:paraId="7395E80E">
      <w:pPr>
        <w:tabs>
          <w:tab w:val="center" w:pos="4365"/>
        </w:tabs>
        <w:wordWrap w:val="0"/>
        <w:spacing w:line="480" w:lineRule="auto"/>
        <w:jc w:val="center"/>
        <w:rPr>
          <w:rFonts w:ascii="宋体" w:hAnsi="宋体"/>
          <w:b/>
          <w:color w:val="000000" w:themeColor="text1"/>
          <w:sz w:val="44"/>
          <w:szCs w:val="44"/>
          <w14:textFill>
            <w14:solidFill>
              <w14:schemeClr w14:val="tx1"/>
            </w14:solidFill>
          </w14:textFill>
        </w:rPr>
      </w:pPr>
      <w:r>
        <w:rPr>
          <w:rFonts w:ascii="宋体" w:hAnsi="宋体"/>
          <w:b/>
          <w:bCs/>
          <w:color w:val="000000" w:themeColor="text1"/>
          <w:sz w:val="32"/>
          <w:szCs w:val="32"/>
          <w14:textFill>
            <w14:solidFill>
              <w14:schemeClr w14:val="tx1"/>
            </w14:solidFill>
          </w14:textFill>
        </w:rPr>
        <w:br w:type="page"/>
      </w:r>
      <w:r>
        <w:rPr>
          <w:rFonts w:hint="eastAsia" w:ascii="宋体" w:hAnsi="宋体"/>
          <w:b/>
          <w:color w:val="000000" w:themeColor="text1"/>
          <w:sz w:val="44"/>
          <w:szCs w:val="44"/>
          <w14:textFill>
            <w14:solidFill>
              <w14:schemeClr w14:val="tx1"/>
            </w14:solidFill>
          </w14:textFill>
        </w:rPr>
        <w:t>目  录</w:t>
      </w:r>
    </w:p>
    <w:sdt>
      <w:sdtPr>
        <w:rPr>
          <w:rFonts w:ascii="宋体" w:hAnsi="宋体" w:eastAsia="宋体" w:cs="Times New Roman"/>
          <w:color w:val="000000" w:themeColor="text1"/>
          <w:kern w:val="2"/>
          <w:sz w:val="21"/>
          <w:lang w:val="en-US" w:eastAsia="zh-CN" w:bidi="ar-SA"/>
          <w14:textFill>
            <w14:solidFill>
              <w14:schemeClr w14:val="tx1"/>
            </w14:solidFill>
          </w14:textFill>
        </w:rPr>
        <w:id w:val="147452007"/>
        <w15:color w:val="DBDBDB"/>
        <w:docPartObj>
          <w:docPartGallery w:val="Table of Contents"/>
          <w:docPartUnique/>
        </w:docPartObj>
      </w:sdtPr>
      <w:sdtEndPr>
        <w:rPr>
          <w:rFonts w:ascii="Times New Roman" w:hAnsi="Times New Roman" w:eastAsia="宋体" w:cs="Times New Roman"/>
          <w:color w:val="000000" w:themeColor="text1"/>
          <w:kern w:val="2"/>
          <w:sz w:val="21"/>
          <w:lang w:val="en-US" w:eastAsia="zh-CN" w:bidi="ar-SA"/>
          <w14:textFill>
            <w14:solidFill>
              <w14:schemeClr w14:val="tx1"/>
            </w14:solidFill>
          </w14:textFill>
        </w:rPr>
      </w:sdtEndPr>
      <w:sdtContent>
        <w:p w14:paraId="6B0AD1F2">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p>
        <w:p w14:paraId="4E01F9C6">
          <w:pPr>
            <w:pStyle w:val="163"/>
            <w:tabs>
              <w:tab w:val="right" w:leader="dot" w:pos="8959"/>
            </w:tabs>
            <w:rPr>
              <w:color w:val="000000" w:themeColor="text1"/>
              <w14:textFill>
                <w14:solidFill>
                  <w14:schemeClr w14:val="tx1"/>
                </w14:solidFill>
              </w14:textFill>
            </w:rPr>
          </w:pPr>
          <w:r>
            <w:rPr>
              <w:color w:val="000000" w:themeColor="text1"/>
              <w:lang w:val="en-US"/>
              <w14:textFill>
                <w14:solidFill>
                  <w14:schemeClr w14:val="tx1"/>
                </w14:solidFill>
              </w14:textFill>
            </w:rPr>
            <w:fldChar w:fldCharType="begin"/>
          </w:r>
          <w:r>
            <w:rPr>
              <w:color w:val="000000" w:themeColor="text1"/>
              <w:lang w:val="en-US"/>
              <w14:textFill>
                <w14:solidFill>
                  <w14:schemeClr w14:val="tx1"/>
                </w14:solidFill>
              </w14:textFill>
            </w:rPr>
            <w:instrText xml:space="preserve">TOC \o "1-1" \h \u </w:instrText>
          </w:r>
          <w:r>
            <w:rPr>
              <w:color w:val="000000" w:themeColor="text1"/>
              <w:lang w:val="en-US"/>
              <w14:textFill>
                <w14:solidFill>
                  <w14:schemeClr w14:val="tx1"/>
                </w14:solidFill>
              </w14:textFill>
            </w:rPr>
            <w:fldChar w:fldCharType="separate"/>
          </w:r>
        </w:p>
        <w:p w14:paraId="66EAD1CD">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_Toc19238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第一章  竞争性磋商公告</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_Toc19238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113D3604">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_Toc30784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第二章  磋商须知</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_Toc30784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080D1EF2">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_Toc22181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第三章  评定成交的标准</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_Toc22181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696CDB36">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_Toc32462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第四章  合同条款</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_Toc32462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22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2957BCDC">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_Toc7928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t>第五章  采购需求</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_Toc7928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38D51664">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_Toc3194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第六章  商务条款</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_Toc3194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29</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3CDBDA78">
          <w:pPr>
            <w:pStyle w:val="163"/>
            <w:tabs>
              <w:tab w:val="right" w:leader="dot" w:pos="8959"/>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instrText xml:space="preserve"> HYPERLINK \l _Toc21027 </w:instrTex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第七章  附件</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_Toc21027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fldChar w:fldCharType="end"/>
          </w:r>
        </w:p>
        <w:p w14:paraId="05544B3E">
          <w:pPr>
            <w:pStyle w:val="43"/>
            <w:rPr>
              <w:color w:val="000000" w:themeColor="text1"/>
              <w:lang w:val="en-US"/>
              <w14:textFill>
                <w14:solidFill>
                  <w14:schemeClr w14:val="tx1"/>
                </w14:solidFill>
              </w14:textFill>
            </w:rPr>
            <w:sectPr>
              <w:headerReference r:id="rId6" w:type="default"/>
              <w:type w:val="nextColumn"/>
              <w:pgSz w:w="11907" w:h="16840"/>
              <w:pgMar w:top="1134" w:right="1474" w:bottom="1134" w:left="1474" w:header="1134" w:footer="1134" w:gutter="0"/>
              <w:cols w:space="720" w:num="1"/>
              <w:docGrid w:linePitch="285" w:charSpace="0"/>
            </w:sectPr>
          </w:pPr>
          <w:r>
            <w:rPr>
              <w:color w:val="000000" w:themeColor="text1"/>
              <w:lang w:val="en-US"/>
              <w14:textFill>
                <w14:solidFill>
                  <w14:schemeClr w14:val="tx1"/>
                </w14:solidFill>
              </w14:textFill>
            </w:rPr>
            <w:fldChar w:fldCharType="end"/>
          </w:r>
        </w:p>
      </w:sdtContent>
    </w:sdt>
    <w:p w14:paraId="467B9784">
      <w:pPr>
        <w:wordWrap w:val="0"/>
        <w:spacing w:line="500" w:lineRule="exact"/>
        <w:jc w:val="center"/>
        <w:outlineLvl w:val="0"/>
        <w:rPr>
          <w:rFonts w:hint="eastAsia" w:ascii="宋体" w:hAnsi="宋体"/>
          <w:b/>
          <w:color w:val="000000" w:themeColor="text1"/>
          <w:sz w:val="24"/>
          <w:szCs w:val="24"/>
          <w14:textFill>
            <w14:solidFill>
              <w14:schemeClr w14:val="tx1"/>
            </w14:solidFill>
          </w14:textFill>
        </w:rPr>
      </w:pPr>
      <w:bookmarkStart w:id="3" w:name="_Toc19238"/>
      <w:bookmarkStart w:id="4" w:name="_Toc102912962"/>
      <w:r>
        <w:rPr>
          <w:rFonts w:hint="eastAsia" w:ascii="宋体" w:hAnsi="宋体"/>
          <w:b/>
          <w:color w:val="000000" w:themeColor="text1"/>
          <w:sz w:val="24"/>
          <w:szCs w:val="24"/>
          <w14:textFill>
            <w14:solidFill>
              <w14:schemeClr w14:val="tx1"/>
            </w14:solidFill>
          </w14:textFill>
        </w:rPr>
        <w:t>第一章  竞争性磋商公告</w:t>
      </w:r>
      <w:bookmarkEnd w:id="3"/>
      <w:bookmarkEnd w:id="4"/>
    </w:p>
    <w:tbl>
      <w:tblPr>
        <w:tblStyle w:val="4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14:paraId="07F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noWrap w:val="0"/>
            <w:vAlign w:val="top"/>
          </w:tcPr>
          <w:p w14:paraId="36C05AAF">
            <w:pPr>
              <w:widowControl/>
              <w:wordWrap w:val="0"/>
              <w:spacing w:line="360" w:lineRule="auto"/>
              <w:jc w:val="left"/>
              <w:rPr>
                <w:rFonts w:ascii="宋体" w:hAnsi="宋体" w:cs="宋体"/>
                <w:b/>
                <w:color w:val="000000" w:themeColor="text1"/>
                <w:kern w:val="0"/>
                <w:szCs w:val="21"/>
                <w14:textFill>
                  <w14:solidFill>
                    <w14:schemeClr w14:val="tx1"/>
                  </w14:solidFill>
                </w14:textFill>
              </w:rPr>
            </w:pPr>
            <w:bookmarkStart w:id="5" w:name="_Hlk47684505"/>
            <w:r>
              <w:rPr>
                <w:rFonts w:ascii="宋体" w:hAnsi="宋体" w:cs="宋体"/>
                <w:b/>
                <w:color w:val="000000" w:themeColor="text1"/>
                <w:kern w:val="0"/>
                <w:szCs w:val="21"/>
                <w14:textFill>
                  <w14:solidFill>
                    <w14:schemeClr w14:val="tx1"/>
                  </w14:solidFill>
                </w14:textFill>
              </w:rPr>
              <w:t>项目概况</w:t>
            </w:r>
          </w:p>
          <w:p w14:paraId="014E561B">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北仑区“六促六优专项行动”应用二期</w:t>
            </w:r>
            <w:r>
              <w:rPr>
                <w:rFonts w:ascii="宋体" w:hAnsi="宋体" w:cs="宋体"/>
                <w:color w:val="000000" w:themeColor="text1"/>
                <w:kern w:val="0"/>
                <w:szCs w:val="21"/>
                <w14:textFill>
                  <w14:solidFill>
                    <w14:schemeClr w14:val="tx1"/>
                  </w14:solidFill>
                </w14:textFill>
              </w:rPr>
              <w:t>的潜在供应商应在政府采购云平台www.zcygov.cn获取（下载）采购文件，并于</w:t>
            </w:r>
            <w:r>
              <w:rPr>
                <w:rFonts w:hint="eastAsia" w:ascii="宋体" w:hAnsi="宋体"/>
                <w:color w:val="000000" w:themeColor="text1"/>
                <w:szCs w:val="21"/>
                <w:lang w:eastAsia="zh-CN"/>
                <w14:textFill>
                  <w14:solidFill>
                    <w14:schemeClr w14:val="tx1"/>
                  </w14:solidFill>
                </w14:textFill>
              </w:rPr>
              <w:t>2025年</w:t>
            </w:r>
            <w:r>
              <w:rPr>
                <w:rFonts w:hint="eastAsia" w:ascii="宋体" w:hAnsi="宋体"/>
                <w:color w:val="000000" w:themeColor="text1"/>
                <w:szCs w:val="21"/>
                <w:lang w:val="en-US" w:eastAsia="zh-CN"/>
                <w14:textFill>
                  <w14:solidFill>
                    <w14:schemeClr w14:val="tx1"/>
                  </w14:solidFill>
                </w14:textFill>
              </w:rPr>
              <w:t>07月04日13</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0</w:t>
            </w:r>
            <w:r>
              <w:rPr>
                <w:rFonts w:ascii="宋体" w:hAnsi="宋体" w:cs="宋体"/>
                <w:color w:val="000000" w:themeColor="text1"/>
                <w:kern w:val="0"/>
                <w:szCs w:val="21"/>
                <w14:textFill>
                  <w14:solidFill>
                    <w14:schemeClr w14:val="tx1"/>
                  </w14:solidFill>
                </w14:textFill>
              </w:rPr>
              <w:t>（北京时间）前提交（上传）响应文件。</w:t>
            </w:r>
          </w:p>
        </w:tc>
      </w:tr>
    </w:tbl>
    <w:p w14:paraId="20BF2C77">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一、项目基本情况</w:t>
      </w:r>
    </w:p>
    <w:p w14:paraId="1DDFFF10">
      <w:pPr>
        <w:widowControl/>
        <w:wordWrap w:val="0"/>
        <w:spacing w:line="360" w:lineRule="auto"/>
        <w:ind w:firstLine="420" w:firstLineChars="200"/>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项目编号：</w:t>
      </w:r>
      <w:r>
        <w:rPr>
          <w:rFonts w:hint="eastAsia" w:ascii="宋体" w:hAnsi="宋体" w:cs="宋体"/>
          <w:color w:val="000000" w:themeColor="text1"/>
          <w:kern w:val="0"/>
          <w:szCs w:val="21"/>
          <w:lang w:eastAsia="zh-CN"/>
          <w14:textFill>
            <w14:solidFill>
              <w14:schemeClr w14:val="tx1"/>
            </w14:solidFill>
          </w14:textFill>
        </w:rPr>
        <w:t>NBLQ2025017</w:t>
      </w:r>
    </w:p>
    <w:p w14:paraId="5FBDED34">
      <w:pPr>
        <w:widowControl/>
        <w:wordWrap w:val="0"/>
        <w:spacing w:line="360" w:lineRule="auto"/>
        <w:ind w:firstLine="420" w:firstLineChars="200"/>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项目名称：</w:t>
      </w:r>
      <w:r>
        <w:rPr>
          <w:rFonts w:hint="eastAsia" w:ascii="宋体" w:hAnsi="宋体" w:cs="宋体"/>
          <w:color w:val="000000" w:themeColor="text1"/>
          <w:kern w:val="0"/>
          <w:szCs w:val="21"/>
          <w:lang w:eastAsia="zh-CN"/>
          <w14:textFill>
            <w14:solidFill>
              <w14:schemeClr w14:val="tx1"/>
            </w14:solidFill>
          </w14:textFill>
        </w:rPr>
        <w:t>北仑区“六促六优专项行动”应用二期</w:t>
      </w:r>
    </w:p>
    <w:p w14:paraId="2DEE3E78">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采购方式：竞争性磋商</w:t>
      </w:r>
    </w:p>
    <w:p w14:paraId="00A96D94">
      <w:pPr>
        <w:widowControl/>
        <w:wordWrap w:val="0"/>
        <w:spacing w:line="360" w:lineRule="auto"/>
        <w:ind w:firstLine="420" w:firstLineChars="200"/>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预算金额（元）：</w:t>
      </w:r>
      <w:r>
        <w:rPr>
          <w:rFonts w:hint="eastAsia" w:ascii="宋体" w:hAnsi="宋体" w:cs="宋体"/>
          <w:color w:val="000000" w:themeColor="text1"/>
          <w:kern w:val="0"/>
          <w:szCs w:val="21"/>
          <w:lang w:val="en-US" w:eastAsia="zh-CN"/>
          <w14:textFill>
            <w14:solidFill>
              <w14:schemeClr w14:val="tx1"/>
            </w14:solidFill>
          </w14:textFill>
        </w:rPr>
        <w:t>350000</w:t>
      </w:r>
    </w:p>
    <w:p w14:paraId="1C6035DB">
      <w:pPr>
        <w:widowControl/>
        <w:wordWrap w:val="0"/>
        <w:spacing w:line="360" w:lineRule="auto"/>
        <w:ind w:firstLine="420" w:firstLineChars="200"/>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最高限价（元）：</w:t>
      </w:r>
      <w:r>
        <w:rPr>
          <w:rFonts w:hint="eastAsia" w:ascii="宋体" w:hAnsi="宋体" w:cs="宋体"/>
          <w:color w:val="000000" w:themeColor="text1"/>
          <w:kern w:val="0"/>
          <w:szCs w:val="21"/>
          <w:lang w:val="en-US" w:eastAsia="zh-CN"/>
          <w14:textFill>
            <w14:solidFill>
              <w14:schemeClr w14:val="tx1"/>
            </w14:solidFill>
          </w14:textFill>
        </w:rPr>
        <w:t>350000</w:t>
      </w:r>
    </w:p>
    <w:p w14:paraId="43725283">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采购需求：</w:t>
      </w:r>
    </w:p>
    <w:p w14:paraId="47723180">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标项一：</w:t>
      </w:r>
    </w:p>
    <w:p w14:paraId="55EE4E3C">
      <w:pPr>
        <w:wordWrap w:val="0"/>
        <w:spacing w:line="360" w:lineRule="auto"/>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标项</w:t>
      </w:r>
      <w:r>
        <w:rPr>
          <w:rFonts w:hint="eastAsia" w:ascii="宋体" w:hAnsi="宋体" w:cs="宋体"/>
          <w:color w:val="000000" w:themeColor="text1"/>
          <w14:textFill>
            <w14:solidFill>
              <w14:schemeClr w14:val="tx1"/>
            </w14:solidFill>
          </w14:textFill>
        </w:rPr>
        <w:t>名称</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北仑区“六促六优专项行动”应用二期</w:t>
      </w:r>
    </w:p>
    <w:p w14:paraId="657912D4">
      <w:pPr>
        <w:wordWrap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数量：1项</w:t>
      </w:r>
    </w:p>
    <w:p w14:paraId="393C6B62">
      <w:pPr>
        <w:wordWrap w:val="0"/>
        <w:spacing w:line="360" w:lineRule="auto"/>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预算金额（元）：</w:t>
      </w:r>
      <w:r>
        <w:rPr>
          <w:rFonts w:hint="eastAsia" w:ascii="宋体" w:hAnsi="宋体" w:cs="宋体"/>
          <w:color w:val="000000" w:themeColor="text1"/>
          <w:kern w:val="0"/>
          <w:lang w:val="en-US" w:eastAsia="zh-CN"/>
          <w14:textFill>
            <w14:solidFill>
              <w14:schemeClr w14:val="tx1"/>
            </w14:solidFill>
          </w14:textFill>
        </w:rPr>
        <w:t>350000</w:t>
      </w:r>
    </w:p>
    <w:p w14:paraId="5C48B0BC">
      <w:pPr>
        <w:wordWrap w:val="0"/>
        <w:spacing w:line="360" w:lineRule="auto"/>
        <w:ind w:firstLine="42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简要规格描述：</w:t>
      </w:r>
      <w:r>
        <w:rPr>
          <w:rFonts w:hint="eastAsia" w:ascii="宋体" w:hAnsi="宋体" w:cs="宋体"/>
          <w:color w:val="000000" w:themeColor="text1"/>
          <w:kern w:val="0"/>
          <w:szCs w:val="21"/>
          <w14:textFill>
            <w14:solidFill>
              <w14:schemeClr w14:val="tx1"/>
            </w14:solidFill>
          </w14:textFill>
        </w:rPr>
        <w:t>详见第五章采购需求</w:t>
      </w:r>
    </w:p>
    <w:p w14:paraId="13312BDF">
      <w:pPr>
        <w:wordWrap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备注：</w:t>
      </w:r>
      <w:r>
        <w:rPr>
          <w:rFonts w:hint="eastAsia" w:ascii="宋体" w:hAnsi="宋体" w:cs="宋体"/>
          <w:color w:val="000000" w:themeColor="text1"/>
          <w:kern w:val="0"/>
          <w:szCs w:val="21"/>
          <w14:textFill>
            <w14:solidFill>
              <w14:schemeClr w14:val="tx1"/>
            </w14:solidFill>
          </w14:textFill>
        </w:rPr>
        <w:t>详细采购需求详见</w:t>
      </w:r>
      <w:r>
        <w:rPr>
          <w:rFonts w:hint="eastAsia" w:ascii="宋体" w:hAnsi="宋体" w:cs="Dotum"/>
          <w:color w:val="000000" w:themeColor="text1"/>
          <w:szCs w:val="21"/>
          <w14:textFill>
            <w14:solidFill>
              <w14:schemeClr w14:val="tx1"/>
            </w14:solidFill>
          </w14:textFill>
        </w:rPr>
        <w:t>竞争性磋商文件</w:t>
      </w:r>
    </w:p>
    <w:p w14:paraId="0F2711AB">
      <w:pPr>
        <w:wordWrap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合同履约期限：</w:t>
      </w:r>
      <w:r>
        <w:rPr>
          <w:rFonts w:hint="eastAsia" w:ascii="宋体" w:hAnsi="宋体"/>
          <w:snapToGrid w:val="0"/>
          <w:color w:val="000000" w:themeColor="text1"/>
          <w:szCs w:val="21"/>
          <w14:textFill>
            <w14:solidFill>
              <w14:schemeClr w14:val="tx1"/>
            </w14:solidFill>
          </w14:textFill>
        </w:rPr>
        <w:t>自合同生效之日起至合同全部权利义务履行完毕之日止</w:t>
      </w:r>
      <w:r>
        <w:rPr>
          <w:rFonts w:ascii="宋体" w:hAnsi="宋体"/>
          <w:color w:val="000000" w:themeColor="text1"/>
          <w14:textFill>
            <w14:solidFill>
              <w14:schemeClr w14:val="tx1"/>
            </w14:solidFill>
          </w14:textFill>
        </w:rPr>
        <w:t>。</w:t>
      </w:r>
    </w:p>
    <w:p w14:paraId="26A11562">
      <w:pPr>
        <w:wordWrap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本项目（否）接受联合体投标。</w:t>
      </w:r>
    </w:p>
    <w:p w14:paraId="4FC76D3E">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二、申请人的资格要求</w:t>
      </w:r>
    </w:p>
    <w:p w14:paraId="5E4DE3D2">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满足《中华人民共和国政府采购法》第二十二条规定；未被“信用中国”（www.creditchina.gov.cn)、</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中国政府采购网</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（www.ccgp.gov.cn）列入失信被执行人、</w:t>
      </w:r>
      <w:r>
        <w:rPr>
          <w:rFonts w:hint="eastAsia" w:ascii="宋体" w:hAnsi="宋体" w:cs="宋体"/>
          <w:color w:val="000000" w:themeColor="text1"/>
          <w:kern w:val="0"/>
          <w:szCs w:val="21"/>
          <w14:textFill>
            <w14:solidFill>
              <w14:schemeClr w14:val="tx1"/>
            </w14:solidFill>
          </w14:textFill>
        </w:rPr>
        <w:t>重大税收违法案件当事人名单（重大税收违法失信主体）</w:t>
      </w:r>
      <w:r>
        <w:rPr>
          <w:rFonts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政府采购严重违法失信行为记录名单</w:t>
      </w:r>
      <w:r>
        <w:rPr>
          <w:rFonts w:ascii="宋体" w:hAnsi="宋体" w:cs="宋体"/>
          <w:color w:val="000000" w:themeColor="text1"/>
          <w:kern w:val="0"/>
          <w:szCs w:val="21"/>
          <w14:textFill>
            <w14:solidFill>
              <w14:schemeClr w14:val="tx1"/>
            </w14:solidFill>
          </w14:textFill>
        </w:rPr>
        <w:t>。</w:t>
      </w:r>
    </w:p>
    <w:p w14:paraId="2A1D4E39">
      <w:pPr>
        <w:widowControl/>
        <w:wordWrap w:val="0"/>
        <w:spacing w:line="360" w:lineRule="auto"/>
        <w:ind w:firstLine="420" w:firstLineChars="200"/>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落实政府采购政策需满足的资格要求：</w:t>
      </w:r>
      <w:r>
        <w:rPr>
          <w:rFonts w:hint="eastAsia" w:ascii="Arial" w:hAnsi="Arial" w:cs="宋体"/>
          <w:color w:val="auto"/>
          <w:szCs w:val="21"/>
          <w:highlight w:val="none"/>
          <w:lang w:eastAsia="zh-CN"/>
        </w:rPr>
        <w:t>无</w:t>
      </w:r>
      <w:r>
        <w:rPr>
          <w:rFonts w:hint="eastAsia" w:ascii="宋体" w:hAnsi="宋体" w:cs="宋体"/>
          <w:color w:val="000000" w:themeColor="text1"/>
          <w:kern w:val="0"/>
          <w:szCs w:val="21"/>
          <w:lang w:eastAsia="zh-CN"/>
          <w14:textFill>
            <w14:solidFill>
              <w14:schemeClr w14:val="tx1"/>
            </w14:solidFill>
          </w14:textFill>
        </w:rPr>
        <w:t>。</w:t>
      </w:r>
    </w:p>
    <w:p w14:paraId="5E97CD6A">
      <w:pPr>
        <w:wordWrap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本项目的特定资格要求：</w:t>
      </w:r>
      <w:r>
        <w:rPr>
          <w:rFonts w:hint="eastAsia" w:ascii="宋体" w:hAnsi="宋体" w:cs="宋体"/>
          <w:color w:val="000000" w:themeColor="text1"/>
          <w:kern w:val="0"/>
          <w:szCs w:val="21"/>
          <w14:textFill>
            <w14:solidFill>
              <w14:schemeClr w14:val="tx1"/>
            </w14:solidFill>
          </w14:textFill>
        </w:rPr>
        <w:t>无。</w:t>
      </w:r>
    </w:p>
    <w:p w14:paraId="6B6FEE52">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三、获取（下载）采购文件</w:t>
      </w:r>
    </w:p>
    <w:p w14:paraId="0EF9C081">
      <w:pPr>
        <w:widowControl/>
        <w:tabs>
          <w:tab w:val="left" w:pos="2310"/>
        </w:tabs>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时间：</w:t>
      </w:r>
      <w:r>
        <w:rPr>
          <w:rFonts w:hint="eastAsia" w:ascii="宋体" w:hAnsi="宋体"/>
          <w:color w:val="000000" w:themeColor="text1"/>
          <w:szCs w:val="21"/>
          <w:lang w:eastAsia="zh-CN"/>
          <w14:textFill>
            <w14:solidFill>
              <w14:schemeClr w14:val="tx1"/>
            </w14:solidFill>
          </w14:textFill>
        </w:rPr>
        <w:t>2025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06月23日</w:t>
      </w:r>
      <w:r>
        <w:rPr>
          <w:rFonts w:ascii="宋体" w:hAnsi="宋体" w:cs="宋体"/>
          <w:color w:val="000000" w:themeColor="text1"/>
          <w:kern w:val="0"/>
          <w:szCs w:val="21"/>
          <w14:textFill>
            <w14:solidFill>
              <w14:schemeClr w14:val="tx1"/>
            </w14:solidFill>
          </w14:textFill>
        </w:rPr>
        <w:t>至</w:t>
      </w:r>
      <w:r>
        <w:rPr>
          <w:rFonts w:hint="eastAsia" w:ascii="宋体" w:hAnsi="宋体"/>
          <w:color w:val="000000" w:themeColor="text1"/>
          <w:szCs w:val="21"/>
          <w:lang w:eastAsia="zh-CN"/>
          <w14:textFill>
            <w14:solidFill>
              <w14:schemeClr w14:val="tx1"/>
            </w14:solidFill>
          </w14:textFill>
        </w:rPr>
        <w:t>2025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06月30日</w:t>
      </w:r>
      <w:r>
        <w:rPr>
          <w:rFonts w:ascii="宋体" w:hAnsi="宋体" w:cs="宋体"/>
          <w:color w:val="000000" w:themeColor="text1"/>
          <w:kern w:val="0"/>
          <w:szCs w:val="21"/>
          <w14:textFill>
            <w14:solidFill>
              <w14:schemeClr w14:val="tx1"/>
            </w14:solidFill>
          </w14:textFill>
        </w:rPr>
        <w:t>，每天上午00:00至12:00，下午12:00至23:59（北京时间，线上获取法定节假日均可，线下获取文件法定节假日除外）</w:t>
      </w:r>
    </w:p>
    <w:p w14:paraId="2F9932A1">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地点（网址）：</w:t>
      </w:r>
      <w:r>
        <w:rPr>
          <w:rFonts w:hint="eastAsia" w:ascii="宋体" w:hAnsi="宋体" w:cs="宋体"/>
          <w:color w:val="000000" w:themeColor="text1"/>
          <w:kern w:val="0"/>
          <w:szCs w:val="21"/>
          <w14:textFill>
            <w14:solidFill>
              <w14:schemeClr w14:val="tx1"/>
            </w14:solidFill>
          </w14:textFill>
        </w:rPr>
        <w:t>政采云平台线上获取</w:t>
      </w:r>
    </w:p>
    <w:p w14:paraId="0B5C5CE0">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方式：</w:t>
      </w:r>
      <w:r>
        <w:rPr>
          <w:rFonts w:hint="eastAsia" w:ascii="宋体" w:hAnsi="宋体" w:cs="仿宋"/>
          <w:color w:val="000000" w:themeColor="text1"/>
          <w:szCs w:val="21"/>
          <w14:textFill>
            <w14:solidFill>
              <w14:schemeClr w14:val="tx1"/>
            </w14:solidFill>
          </w14:textFill>
        </w:rPr>
        <w:t>供应商登录政府采购云平台（www.zcygov.cn）的注册账号后，进入政采云系统“项目采购”模块“获取采购文件”菜单，进行网上获取采购文件。如有疑问请及时咨询网站客服，咨询电话：</w:t>
      </w:r>
      <w:r>
        <w:rPr>
          <w:rFonts w:ascii="宋体" w:hAnsi="宋体" w:cs="仿宋"/>
          <w:color w:val="000000" w:themeColor="text1"/>
          <w:szCs w:val="21"/>
          <w14:textFill>
            <w14:solidFill>
              <w14:schemeClr w14:val="tx1"/>
            </w14:solidFill>
          </w14:textFill>
        </w:rPr>
        <w:t>95763</w:t>
      </w:r>
      <w:r>
        <w:rPr>
          <w:rFonts w:hint="eastAsia" w:ascii="宋体" w:hAnsi="宋体" w:cs="仿宋"/>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本竞争性磋商公告附件中的竞争性磋商文件仅供阅览使用，供应商应在规定的竞争性磋商文件提供期限内在政府采购云平台www.zcygov.cn登录上述供应商注册的账号后获取竞争性磋商文件，未在规定的竞争性磋商文件提供期限内或未按上述方式获取竞争性磋商文件的，其</w:t>
      </w:r>
      <w:r>
        <w:rPr>
          <w:rFonts w:hint="eastAsia" w:ascii="宋体" w:hAnsi="宋体" w:cs="仿宋"/>
          <w:color w:val="000000" w:themeColor="text1"/>
          <w:szCs w:val="21"/>
          <w14:textFill>
            <w14:solidFill>
              <w14:schemeClr w14:val="tx1"/>
            </w14:solidFill>
          </w14:textFill>
        </w:rPr>
        <w:t>磋商响应</w:t>
      </w:r>
      <w:r>
        <w:rPr>
          <w:rFonts w:ascii="宋体" w:hAnsi="宋体" w:cs="宋体"/>
          <w:color w:val="000000" w:themeColor="text1"/>
          <w:kern w:val="0"/>
          <w:szCs w:val="21"/>
          <w14:textFill>
            <w14:solidFill>
              <w14:schemeClr w14:val="tx1"/>
            </w14:solidFill>
          </w14:textFill>
        </w:rPr>
        <w:t>均视为无效，并不得对竞争性磋商文件提起质疑投诉。</w:t>
      </w:r>
    </w:p>
    <w:p w14:paraId="7C63251C">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四、响应文件提交（上传）</w:t>
      </w:r>
    </w:p>
    <w:p w14:paraId="3DB514F1">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截止时间：</w:t>
      </w:r>
      <w:r>
        <w:rPr>
          <w:rFonts w:hint="eastAsia" w:ascii="宋体" w:hAnsi="宋体"/>
          <w:color w:val="000000" w:themeColor="text1"/>
          <w:szCs w:val="21"/>
          <w:lang w:eastAsia="zh-CN"/>
          <w14:textFill>
            <w14:solidFill>
              <w14:schemeClr w14:val="tx1"/>
            </w14:solidFill>
          </w14:textFill>
        </w:rPr>
        <w:t>2025年</w:t>
      </w:r>
      <w:r>
        <w:rPr>
          <w:rFonts w:hint="eastAsia" w:ascii="宋体" w:hAnsi="宋体"/>
          <w:color w:val="000000" w:themeColor="text1"/>
          <w:szCs w:val="21"/>
          <w:lang w:val="en-US" w:eastAsia="zh-CN"/>
          <w14:textFill>
            <w14:solidFill>
              <w14:schemeClr w14:val="tx1"/>
            </w14:solidFill>
          </w14:textFill>
        </w:rPr>
        <w:t>07月04日13</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0</w:t>
      </w:r>
      <w:r>
        <w:rPr>
          <w:rFonts w:ascii="宋体" w:hAnsi="宋体" w:cs="宋体"/>
          <w:color w:val="000000" w:themeColor="text1"/>
          <w:kern w:val="0"/>
          <w:szCs w:val="21"/>
          <w14:textFill>
            <w14:solidFill>
              <w14:schemeClr w14:val="tx1"/>
            </w14:solidFill>
          </w14:textFill>
        </w:rPr>
        <w:t>（北京时间）</w:t>
      </w:r>
    </w:p>
    <w:p w14:paraId="38DD8147">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地点（网址）：政府采购云平台（www.zcygov.cn）。</w:t>
      </w:r>
    </w:p>
    <w:p w14:paraId="43865226">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五、响应文件开启</w:t>
      </w:r>
    </w:p>
    <w:p w14:paraId="55543CBC">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开启时间：</w:t>
      </w:r>
      <w:r>
        <w:rPr>
          <w:rFonts w:hint="eastAsia" w:ascii="宋体" w:hAnsi="宋体"/>
          <w:color w:val="000000" w:themeColor="text1"/>
          <w:szCs w:val="21"/>
          <w:lang w:eastAsia="zh-CN"/>
          <w14:textFill>
            <w14:solidFill>
              <w14:schemeClr w14:val="tx1"/>
            </w14:solidFill>
          </w14:textFill>
        </w:rPr>
        <w:t>2025年</w:t>
      </w:r>
      <w:r>
        <w:rPr>
          <w:rFonts w:hint="eastAsia" w:ascii="宋体" w:hAnsi="宋体"/>
          <w:color w:val="000000" w:themeColor="text1"/>
          <w:szCs w:val="21"/>
          <w:lang w:val="en-US" w:eastAsia="zh-CN"/>
          <w14:textFill>
            <w14:solidFill>
              <w14:schemeClr w14:val="tx1"/>
            </w14:solidFill>
          </w14:textFill>
        </w:rPr>
        <w:t>07月04日13</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0</w:t>
      </w:r>
      <w:r>
        <w:rPr>
          <w:rFonts w:ascii="宋体" w:hAnsi="宋体" w:cs="宋体"/>
          <w:color w:val="000000" w:themeColor="text1"/>
          <w:kern w:val="0"/>
          <w:szCs w:val="21"/>
          <w14:textFill>
            <w14:solidFill>
              <w14:schemeClr w14:val="tx1"/>
            </w14:solidFill>
          </w14:textFill>
        </w:rPr>
        <w:t>（北京时间）</w:t>
      </w:r>
    </w:p>
    <w:p w14:paraId="18114222">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地点（网址）：政府采购云平台（www.zcygov.cn）。</w:t>
      </w:r>
    </w:p>
    <w:p w14:paraId="02617146">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六、公告期限</w:t>
      </w:r>
    </w:p>
    <w:p w14:paraId="1C5885DD">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自本公告发布之日起3个工作日。</w:t>
      </w:r>
    </w:p>
    <w:p w14:paraId="00D91F70">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七、其他补充事宜</w:t>
      </w:r>
    </w:p>
    <w:p w14:paraId="725A2291">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w:t>
      </w:r>
      <w:r>
        <w:rPr>
          <w:rFonts w:ascii="宋体" w:hAnsi="宋体" w:cs="宋体"/>
          <w:color w:val="000000" w:themeColor="text1"/>
          <w:kern w:val="0"/>
          <w:szCs w:val="21"/>
          <w:shd w:val="clear" w:color="auto" w:fill="FFFFFF"/>
          <w14:textFill>
            <w14:solidFill>
              <w14:schemeClr w14:val="tx1"/>
            </w14:solidFill>
          </w14:textFill>
        </w:rPr>
        <w:t>对采购文件需求的以书面形式向采购人提出质疑，对其他内容的以书面形式向采购人和采购代理机构提出质疑。</w:t>
      </w:r>
      <w:r>
        <w:rPr>
          <w:rFonts w:ascii="宋体" w:hAnsi="宋体" w:cs="宋体"/>
          <w:color w:val="000000" w:themeColor="text1"/>
          <w:kern w:val="0"/>
          <w:szCs w:val="21"/>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E31DF7">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其他事项：</w:t>
      </w:r>
    </w:p>
    <w:p w14:paraId="70A6BF4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参加</w:t>
      </w:r>
      <w:r>
        <w:rPr>
          <w:rFonts w:hint="eastAsia" w:ascii="宋体" w:hAnsi="宋体" w:cs="宋体"/>
          <w:color w:val="000000" w:themeColor="text1"/>
          <w:kern w:val="0"/>
          <w:szCs w:val="21"/>
          <w14:textFill>
            <w14:solidFill>
              <w14:schemeClr w14:val="tx1"/>
            </w14:solidFill>
          </w14:textFill>
        </w:rPr>
        <w:t>磋商</w:t>
      </w:r>
      <w:r>
        <w:rPr>
          <w:rFonts w:ascii="宋体" w:hAnsi="宋体" w:cs="宋体"/>
          <w:color w:val="000000" w:themeColor="text1"/>
          <w:kern w:val="0"/>
          <w:szCs w:val="21"/>
          <w14:textFill>
            <w14:solidFill>
              <w14:schemeClr w14:val="tx1"/>
            </w14:solidFill>
          </w14:textFill>
        </w:rPr>
        <w:t>的供应商应于</w:t>
      </w:r>
      <w:r>
        <w:rPr>
          <w:rFonts w:hint="eastAsia" w:ascii="宋体" w:hAnsi="宋体" w:cs="仿宋"/>
          <w:color w:val="000000" w:themeColor="text1"/>
          <w:szCs w:val="21"/>
          <w14:textFill>
            <w14:solidFill>
              <w14:schemeClr w14:val="tx1"/>
            </w14:solidFill>
          </w14:textFill>
        </w:rPr>
        <w:t>响应文件开启前</w:t>
      </w:r>
      <w:r>
        <w:rPr>
          <w:rFonts w:ascii="宋体" w:hAnsi="宋体" w:cs="宋体"/>
          <w:color w:val="000000" w:themeColor="text1"/>
          <w:kern w:val="0"/>
          <w:szCs w:val="21"/>
          <w14:textFill>
            <w14:solidFill>
              <w14:schemeClr w14:val="tx1"/>
            </w14:solidFill>
          </w14:textFill>
        </w:rPr>
        <w:t>到“浙江政府采购网（http://zfcg.czt.zj.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w:t>
      </w:r>
      <w:r>
        <w:rPr>
          <w:rFonts w:hint="eastAsia" w:ascii="宋体" w:hAnsi="宋体" w:cs="宋体"/>
          <w:color w:val="000000" w:themeColor="text1"/>
          <w:kern w:val="0"/>
          <w:szCs w:val="21"/>
          <w14:textFill>
            <w14:solidFill>
              <w14:schemeClr w14:val="tx1"/>
            </w14:solidFill>
          </w14:textFill>
        </w:rPr>
        <w:t>；</w:t>
      </w:r>
    </w:p>
    <w:p w14:paraId="39CD32E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2.2</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本次政府采购活动有关信息在“浙江政府采购网”、“宁波市政府采购网”、</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宁波市公共资源交易电子服务系统（甬易阳光）</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上公布，公布信息视同送达所有潜在供应商。若因未能及时了解到上述网站发布的相关信息而导致的一切后果自行承担</w:t>
      </w:r>
      <w:r>
        <w:rPr>
          <w:rFonts w:hint="eastAsia" w:ascii="宋体" w:hAnsi="宋体" w:eastAsia="宋体" w:cs="宋体"/>
          <w:color w:val="000000" w:themeColor="text1"/>
          <w:kern w:val="0"/>
          <w:szCs w:val="21"/>
          <w14:textFill>
            <w14:solidFill>
              <w14:schemeClr w14:val="tx1"/>
            </w14:solidFill>
          </w14:textFill>
        </w:rPr>
        <w:t>；</w:t>
      </w:r>
    </w:p>
    <w:p w14:paraId="4F97D0E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2.3</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本项目实行网上磋商，采用电子磋商响应文件。若供应商参与磋商活动，须自行承担磋商过程中的一切费用</w:t>
      </w:r>
      <w:r>
        <w:rPr>
          <w:rFonts w:hint="eastAsia" w:ascii="宋体" w:hAnsi="宋体" w:cs="宋体"/>
          <w:color w:val="000000" w:themeColor="text1"/>
          <w:kern w:val="0"/>
          <w:szCs w:val="21"/>
          <w14:textFill>
            <w14:solidFill>
              <w14:schemeClr w14:val="tx1"/>
            </w14:solidFill>
          </w14:textFill>
        </w:rPr>
        <w:t>；</w:t>
      </w:r>
    </w:p>
    <w:p w14:paraId="545321D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2.4</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磋商前准备：各供应商应在递交截止时间前确保成为浙江政府采购网正式注册入库供应商，并完成CA数字证书办理。因未注册入库、未办理CA数字证书等原因造成无法参加或参加失败等后果由供应商自行承担</w:t>
      </w:r>
      <w:r>
        <w:rPr>
          <w:rFonts w:hint="eastAsia" w:ascii="宋体" w:hAnsi="宋体" w:cs="宋体"/>
          <w:color w:val="000000" w:themeColor="text1"/>
          <w:kern w:val="0"/>
          <w:szCs w:val="21"/>
          <w14:textFill>
            <w14:solidFill>
              <w14:schemeClr w14:val="tx1"/>
            </w14:solidFill>
          </w14:textFill>
        </w:rPr>
        <w:t>；供应商CA申领操作指南（help.zcygov.cn/web/site_2/2018/11-29/2452.html），完成CA数字证书办理预计一周左右，请供应商自行把握时间。</w:t>
      </w:r>
    </w:p>
    <w:p w14:paraId="0E002A5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2.5</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各供应商根据本磋商文件的要约邀请，进行报价响应并自觉遵守各项报价承诺；否则采购人有权根据《浙江省政府采购供应商注册及诚信管理暂行办法》的规定向财政部门上报供应商的诚信状况，给采购人造成损失的还应当予以赔偿</w:t>
      </w:r>
      <w:r>
        <w:rPr>
          <w:rFonts w:hint="eastAsia" w:ascii="宋体" w:hAnsi="宋体" w:cs="宋体"/>
          <w:color w:val="000000" w:themeColor="text1"/>
          <w:kern w:val="0"/>
          <w:szCs w:val="21"/>
          <w14:textFill>
            <w14:solidFill>
              <w14:schemeClr w14:val="tx1"/>
            </w14:solidFill>
          </w14:textFill>
        </w:rPr>
        <w:t>；</w:t>
      </w:r>
    </w:p>
    <w:p w14:paraId="21F4905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2.6</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单位负责人为同一人或者存在直接控股、管理关系的不同供应商，不得参加同一</w:t>
      </w:r>
      <w:r>
        <w:rPr>
          <w:rFonts w:hint="eastAsia" w:ascii="宋体" w:hAnsi="宋体" w:cs="宋体"/>
          <w:color w:val="000000" w:themeColor="text1"/>
          <w:kern w:val="0"/>
          <w:szCs w:val="21"/>
          <w14:textFill>
            <w14:solidFill>
              <w14:schemeClr w14:val="tx1"/>
            </w14:solidFill>
          </w14:textFill>
        </w:rPr>
        <w:t>标项</w:t>
      </w:r>
      <w:r>
        <w:rPr>
          <w:rFonts w:ascii="宋体" w:hAnsi="宋体" w:cs="宋体"/>
          <w:color w:val="000000" w:themeColor="text1"/>
          <w:kern w:val="0"/>
          <w:szCs w:val="21"/>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磋商采购；</w:t>
      </w:r>
    </w:p>
    <w:p w14:paraId="036DE2B6">
      <w:pPr>
        <w:widowControl/>
        <w:wordWrap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2.7</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为本项目提供整体设计、规范编制或者项目管理、监理、检测等服务的供应商，不得再参加本项目的</w:t>
      </w:r>
      <w:r>
        <w:rPr>
          <w:rFonts w:hint="eastAsia" w:ascii="宋体" w:hAnsi="宋体" w:cs="宋体"/>
          <w:color w:val="000000" w:themeColor="text1"/>
          <w:kern w:val="0"/>
          <w:szCs w:val="21"/>
          <w14:textFill>
            <w14:solidFill>
              <w14:schemeClr w14:val="tx1"/>
            </w14:solidFill>
          </w14:textFill>
        </w:rPr>
        <w:t>磋商采购；</w:t>
      </w:r>
    </w:p>
    <w:p w14:paraId="1CB25445">
      <w:pPr>
        <w:widowControl/>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2.8</w:t>
      </w:r>
      <w:r>
        <w:rPr>
          <w:rFonts w:hint="eastAsia" w:ascii="宋体" w:hAnsi="宋体" w:cs="宋体"/>
          <w:color w:val="000000" w:themeColor="text1"/>
          <w:kern w:val="0"/>
          <w:szCs w:val="21"/>
          <w14:textFill>
            <w14:solidFill>
              <w14:schemeClr w14:val="tx1"/>
            </w14:solidFill>
          </w14:textFill>
        </w:rPr>
        <w:t>、供应商应于提交响应文件截止时间前将电子响应文件上传到政府采购云平台（</w:t>
      </w:r>
      <w:r>
        <w:rPr>
          <w:rFonts w:hint="eastAsia" w:ascii="宋体" w:hAnsi="宋体" w:cs="宋体"/>
          <w:color w:val="000000" w:themeColor="text1"/>
          <w:kern w:val="0"/>
          <w:szCs w:val="21"/>
          <w14:textFill>
            <w14:solidFill>
              <w14:schemeClr w14:val="tx1"/>
            </w14:solidFill>
          </w14:textFill>
        </w:rPr>
        <w:fldChar w:fldCharType="begin"/>
      </w:r>
      <w:r>
        <w:rPr>
          <w:rFonts w:hint="eastAsia" w:ascii="宋体" w:hAnsi="宋体" w:cs="宋体"/>
          <w:color w:val="000000" w:themeColor="text1"/>
          <w:kern w:val="0"/>
          <w:szCs w:val="21"/>
          <w14:textFill>
            <w14:solidFill>
              <w14:schemeClr w14:val="tx1"/>
            </w14:solidFill>
          </w14:textFill>
        </w:rPr>
        <w:instrText xml:space="preserve"> HYPERLINK "https://www.zcygov.cn/" </w:instrText>
      </w:r>
      <w:r>
        <w:rPr>
          <w:rFonts w:hint="eastAsia" w:ascii="宋体" w:hAnsi="宋体" w:cs="宋体"/>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https://www.zcygov.cn/</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），并应将以U盘存储的电子备份磋商响应文件（1份）密封邮寄或派专人于响应截止时间前1日到达采购代理机构。送达地址：</w:t>
      </w:r>
      <w:r>
        <w:rPr>
          <w:rFonts w:hint="eastAsia" w:ascii="宋体" w:hAnsi="宋体" w:cs="宋体"/>
          <w:color w:val="000000" w:themeColor="text1"/>
          <w:kern w:val="0"/>
          <w:szCs w:val="21"/>
          <w:lang w:eastAsia="zh-CN"/>
          <w14:textFill>
            <w14:solidFill>
              <w14:schemeClr w14:val="tx1"/>
            </w14:solidFill>
          </w14:textFill>
        </w:rPr>
        <w:t>宁波立勤工程管理咨询有限公司</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宁波市北仑区长江南路1号宝业凤鸣壹号1幢20楼</w:t>
      </w:r>
      <w:r>
        <w:rPr>
          <w:rFonts w:hint="eastAsia" w:ascii="宋体" w:hAnsi="宋体" w:cs="宋体"/>
          <w:color w:val="000000" w:themeColor="text1"/>
          <w:szCs w:val="21"/>
          <w14:textFill>
            <w14:solidFill>
              <w14:schemeClr w14:val="tx1"/>
            </w14:solidFill>
          </w14:textFill>
        </w:rPr>
        <w:t>），收件人：</w:t>
      </w:r>
      <w:r>
        <w:rPr>
          <w:rFonts w:hint="eastAsia" w:ascii="宋体" w:hAnsi="宋体" w:cs="宋体"/>
          <w:color w:val="000000" w:themeColor="text1"/>
          <w:szCs w:val="21"/>
          <w:lang w:val="en-US" w:eastAsia="zh-CN"/>
          <w14:textFill>
            <w14:solidFill>
              <w14:schemeClr w14:val="tx1"/>
            </w14:solidFill>
          </w14:textFill>
        </w:rPr>
        <w:t>楼筱雅</w:t>
      </w:r>
      <w:r>
        <w:rPr>
          <w:rFonts w:hint="eastAsia" w:ascii="宋体" w:hAnsi="宋体" w:cs="宋体"/>
          <w:color w:val="000000" w:themeColor="text1"/>
          <w:szCs w:val="21"/>
          <w14:textFill>
            <w14:solidFill>
              <w14:schemeClr w14:val="tx1"/>
            </w14:solidFill>
          </w14:textFill>
        </w:rPr>
        <w:t>，联系方式：0574-</w:t>
      </w:r>
      <w:r>
        <w:rPr>
          <w:rFonts w:hint="eastAsia" w:ascii="宋体" w:hAnsi="宋体" w:cs="宋体"/>
          <w:color w:val="000000" w:themeColor="text1"/>
          <w:szCs w:val="21"/>
          <w:lang w:val="en-US" w:eastAsia="zh-CN"/>
          <w14:textFill>
            <w14:solidFill>
              <w14:schemeClr w14:val="tx1"/>
            </w14:solidFill>
          </w14:textFill>
        </w:rPr>
        <w:t>86837529</w:t>
      </w:r>
      <w:r>
        <w:rPr>
          <w:rFonts w:hint="eastAsia" w:ascii="宋体" w:hAnsi="宋体" w:cs="宋体"/>
          <w:color w:val="000000" w:themeColor="text1"/>
          <w:szCs w:val="21"/>
          <w14:textFill>
            <w14:solidFill>
              <w14:schemeClr w14:val="tx1"/>
            </w14:solidFill>
          </w14:textFill>
        </w:rPr>
        <w:t>。开标当天递交送至：</w:t>
      </w:r>
      <w:r>
        <w:rPr>
          <w:rFonts w:hint="eastAsia" w:ascii="宋体" w:hAnsi="宋体" w:cs="仿宋"/>
          <w:color w:val="000000" w:themeColor="text1"/>
          <w:lang w:val="en-US" w:eastAsia="zh-CN"/>
          <w14:textFill>
            <w14:solidFill>
              <w14:schemeClr w14:val="tx1"/>
            </w14:solidFill>
          </w14:textFill>
        </w:rPr>
        <w:t>北仑</w:t>
      </w:r>
      <w:r>
        <w:rPr>
          <w:rFonts w:hint="eastAsia" w:ascii="宋体" w:hAnsi="宋体" w:cs="宋体"/>
          <w:color w:val="000000" w:themeColor="text1"/>
          <w:kern w:val="0"/>
          <w:szCs w:val="21"/>
          <w14:textFill>
            <w14:solidFill>
              <w14:schemeClr w14:val="tx1"/>
            </w14:solidFill>
          </w14:textFill>
        </w:rPr>
        <w:t>区公共资源交易中心（</w:t>
      </w:r>
      <w:r>
        <w:rPr>
          <w:rFonts w:hint="eastAsia" w:ascii="宋体" w:hAnsi="宋体" w:cs="仿宋"/>
          <w:color w:val="000000" w:themeColor="text1"/>
          <w:lang w:val="en-US" w:eastAsia="zh-CN"/>
          <w14:textFill>
            <w14:solidFill>
              <w14:schemeClr w14:val="tx1"/>
            </w14:solidFill>
          </w14:textFill>
        </w:rPr>
        <w:t>北仑区长江路1166号行政服务中心B座三楼</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11CC437B">
      <w:pPr>
        <w:widowControl/>
        <w:wordWrap w:val="0"/>
        <w:spacing w:line="360" w:lineRule="auto"/>
        <w:ind w:firstLine="420" w:firstLineChars="200"/>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2.9</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落实的政策：《关于促进残疾人就业政府采购政策的通知》（财库[2017]141号）、《政府采购促进中小企业发展管理办法》（财库〔2020〕46号）、《关于政府采购支持监狱企业发展有关问题的通知》(财库[2014]68号)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cs="宋体"/>
          <w:color w:val="000000" w:themeColor="text1"/>
          <w:kern w:val="0"/>
          <w:szCs w:val="21"/>
          <w14:textFill>
            <w14:solidFill>
              <w14:schemeClr w14:val="tx1"/>
            </w14:solidFill>
          </w14:textFill>
        </w:rPr>
        <w:t>。</w:t>
      </w:r>
    </w:p>
    <w:p w14:paraId="10278661">
      <w:pPr>
        <w:widowControl/>
        <w:wordWrap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八、凡对本次招标提出询问、质疑、投诉，请按以下方式联系</w:t>
      </w:r>
    </w:p>
    <w:p w14:paraId="2577A0F7">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1.采购人信息</w:t>
      </w:r>
    </w:p>
    <w:p w14:paraId="42EF1258">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名称：</w:t>
      </w:r>
      <w:r>
        <w:rPr>
          <w:rFonts w:hint="eastAsia" w:cs="宋体"/>
          <w:color w:val="000000" w:themeColor="text1"/>
          <w:sz w:val="21"/>
          <w:szCs w:val="21"/>
          <w:lang w:eastAsia="zh-CN"/>
          <w14:textFill>
            <w14:solidFill>
              <w14:schemeClr w14:val="tx1"/>
            </w14:solidFill>
          </w14:textFill>
        </w:rPr>
        <w:t>中国共产党宁波市北仑区委员会办公室</w:t>
      </w:r>
    </w:p>
    <w:p w14:paraId="40E94661">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w:t>
      </w:r>
      <w:r>
        <w:rPr>
          <w:rFonts w:hint="default" w:ascii="宋体" w:hAnsi="宋体" w:eastAsia="宋体" w:cs="宋体"/>
          <w:color w:val="000000" w:themeColor="text1"/>
          <w:sz w:val="21"/>
          <w:szCs w:val="21"/>
          <w:lang w:eastAsia="zh-CN"/>
          <w14:textFill>
            <w14:solidFill>
              <w14:schemeClr w14:val="tx1"/>
            </w14:solidFill>
          </w14:textFill>
        </w:rPr>
        <w:t>宁波市北仑区新碶街道四明山路77</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default" w:ascii="宋体" w:hAnsi="宋体" w:eastAsia="宋体" w:cs="宋体"/>
          <w:color w:val="000000" w:themeColor="text1"/>
          <w:sz w:val="21"/>
          <w:szCs w:val="21"/>
          <w:lang w:eastAsia="zh-CN"/>
          <w14:textFill>
            <w14:solidFill>
              <w14:schemeClr w14:val="tx1"/>
            </w14:solidFill>
          </w14:textFill>
        </w:rPr>
        <w:t>号</w:t>
      </w:r>
      <w:r>
        <w:rPr>
          <w:rFonts w:hint="eastAsia" w:ascii="宋体" w:hAnsi="宋体" w:eastAsia="宋体" w:cs="宋体"/>
          <w:color w:val="000000" w:themeColor="text1"/>
          <w:sz w:val="21"/>
          <w:szCs w:val="21"/>
          <w:lang w:eastAsia="zh-CN"/>
          <w14:textFill>
            <w14:solidFill>
              <w14:schemeClr w14:val="tx1"/>
            </w14:solidFill>
          </w14:textFill>
        </w:rPr>
        <w:t>。</w:t>
      </w:r>
    </w:p>
    <w:p w14:paraId="76C24023">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传真：/</w:t>
      </w:r>
    </w:p>
    <w:p w14:paraId="1540C878">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项目联系人（询问）：</w:t>
      </w:r>
      <w:r>
        <w:rPr>
          <w:rFonts w:hint="eastAsia"/>
          <w:color w:val="000000" w:themeColor="text1"/>
          <w:sz w:val="21"/>
          <w:szCs w:val="21"/>
          <w:lang w:eastAsia="zh-CN"/>
          <w14:textFill>
            <w14:solidFill>
              <w14:schemeClr w14:val="tx1"/>
            </w14:solidFill>
          </w14:textFill>
        </w:rPr>
        <w:t>张老师</w:t>
      </w:r>
      <w:r>
        <w:rPr>
          <w:rFonts w:hint="eastAsia"/>
          <w:color w:val="000000" w:themeColor="text1"/>
          <w:sz w:val="21"/>
          <w:szCs w:val="21"/>
          <w14:textFill>
            <w14:solidFill>
              <w14:schemeClr w14:val="tx1"/>
            </w14:solidFill>
          </w14:textFill>
        </w:rPr>
        <w:t>  </w:t>
      </w:r>
    </w:p>
    <w:p w14:paraId="3FC4F4FE">
      <w:pPr>
        <w:pStyle w:val="39"/>
        <w:wordWrap w:val="0"/>
        <w:spacing w:before="0" w:beforeAutospacing="0" w:after="0" w:afterAutospacing="0" w:line="36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项目联系方式（询问）：</w:t>
      </w:r>
      <w:r>
        <w:rPr>
          <w:rFonts w:hint="eastAsia"/>
          <w:color w:val="000000" w:themeColor="text1"/>
          <w:sz w:val="21"/>
          <w:szCs w:val="21"/>
          <w:lang w:val="en-US" w:eastAsia="zh-CN"/>
          <w14:textFill>
            <w14:solidFill>
              <w14:schemeClr w14:val="tx1"/>
            </w14:solidFill>
          </w14:textFill>
        </w:rPr>
        <w:t>0574-89383000</w:t>
      </w:r>
    </w:p>
    <w:p w14:paraId="59AD2A6F">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质疑联系人：</w:t>
      </w:r>
      <w:r>
        <w:rPr>
          <w:rFonts w:hint="eastAsia"/>
          <w:color w:val="000000" w:themeColor="text1"/>
          <w:sz w:val="21"/>
          <w:szCs w:val="21"/>
          <w:lang w:eastAsia="zh-CN"/>
          <w14:textFill>
            <w14:solidFill>
              <w14:schemeClr w14:val="tx1"/>
            </w14:solidFill>
          </w14:textFill>
        </w:rPr>
        <w:t>顾老师</w:t>
      </w:r>
      <w:r>
        <w:rPr>
          <w:rFonts w:hint="eastAsia"/>
          <w:color w:val="000000" w:themeColor="text1"/>
          <w:sz w:val="21"/>
          <w:szCs w:val="21"/>
          <w14:textFill>
            <w14:solidFill>
              <w14:schemeClr w14:val="tx1"/>
            </w14:solidFill>
          </w14:textFill>
        </w:rPr>
        <w:t>   </w:t>
      </w:r>
    </w:p>
    <w:p w14:paraId="74635E4B">
      <w:pPr>
        <w:pStyle w:val="39"/>
        <w:wordWrap w:val="0"/>
        <w:spacing w:before="0" w:beforeAutospacing="0" w:after="0" w:afterAutospacing="0" w:line="360" w:lineRule="auto"/>
        <w:rPr>
          <w:rFonts w:hint="default"/>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质疑联系方式：</w:t>
      </w:r>
      <w:r>
        <w:rPr>
          <w:rFonts w:hint="eastAsia"/>
          <w:color w:val="000000" w:themeColor="text1"/>
          <w:sz w:val="21"/>
          <w:szCs w:val="21"/>
          <w:lang w:val="en-US" w:eastAsia="zh-CN"/>
          <w14:textFill>
            <w14:solidFill>
              <w14:schemeClr w14:val="tx1"/>
            </w14:solidFill>
          </w14:textFill>
        </w:rPr>
        <w:t>0574-89383019</w:t>
      </w:r>
    </w:p>
    <w:p w14:paraId="1C7BDB87">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2.采购代理机构信息</w:t>
      </w:r>
    </w:p>
    <w:p w14:paraId="65BD96AB">
      <w:pPr>
        <w:pStyle w:val="39"/>
        <w:wordWrap w:val="0"/>
        <w:spacing w:before="0" w:beforeAutospacing="0" w:after="0" w:afterAutospacing="0" w:line="360" w:lineRule="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名称：</w:t>
      </w:r>
      <w:r>
        <w:rPr>
          <w:rFonts w:hint="eastAsia"/>
          <w:color w:val="000000" w:themeColor="text1"/>
          <w:sz w:val="21"/>
          <w:szCs w:val="21"/>
          <w:lang w:eastAsia="zh-CN"/>
          <w14:textFill>
            <w14:solidFill>
              <w14:schemeClr w14:val="tx1"/>
            </w14:solidFill>
          </w14:textFill>
        </w:rPr>
        <w:t>宁波立勤工程管理咨询有限公司</w:t>
      </w:r>
    </w:p>
    <w:p w14:paraId="19390FBF">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宁波市北仑区长江南路1号宝业凤鸣壹号1幢20楼</w:t>
      </w:r>
    </w:p>
    <w:p w14:paraId="381EB1B5">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传真：</w:t>
      </w:r>
      <w:r>
        <w:rPr>
          <w:color w:val="000000" w:themeColor="text1"/>
          <w:sz w:val="21"/>
          <w:szCs w:val="21"/>
          <w14:textFill>
            <w14:solidFill>
              <w14:schemeClr w14:val="tx1"/>
            </w14:solidFill>
          </w14:textFill>
        </w:rPr>
        <w:t>/</w:t>
      </w:r>
    </w:p>
    <w:p w14:paraId="102C3C50">
      <w:pPr>
        <w:pStyle w:val="39"/>
        <w:wordWrap w:val="0"/>
        <w:spacing w:before="0" w:beforeAutospacing="0" w:after="0" w:afterAutospacing="0" w:line="36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项目联系人（询问）：</w:t>
      </w:r>
      <w:r>
        <w:rPr>
          <w:rFonts w:hint="eastAsia"/>
          <w:color w:val="000000" w:themeColor="text1"/>
          <w:sz w:val="21"/>
          <w:szCs w:val="21"/>
          <w:lang w:val="en-US" w:eastAsia="zh-CN"/>
          <w14:textFill>
            <w14:solidFill>
              <w14:schemeClr w14:val="tx1"/>
            </w14:solidFill>
          </w14:textFill>
        </w:rPr>
        <w:t>周工</w:t>
      </w:r>
    </w:p>
    <w:p w14:paraId="5D1A3E23">
      <w:pPr>
        <w:pStyle w:val="39"/>
        <w:wordWrap w:val="0"/>
        <w:spacing w:before="0" w:beforeAutospacing="0" w:after="0" w:afterAutospacing="0" w:line="36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项目联系方式（询问）：</w:t>
      </w:r>
      <w:r>
        <w:rPr>
          <w:rFonts w:hint="eastAsia"/>
          <w:color w:val="000000" w:themeColor="text1"/>
          <w:sz w:val="21"/>
          <w:szCs w:val="21"/>
          <w:lang w:val="en-US" w:eastAsia="zh-CN"/>
          <w14:textFill>
            <w14:solidFill>
              <w14:schemeClr w14:val="tx1"/>
            </w14:solidFill>
          </w14:textFill>
        </w:rPr>
        <w:t>0574-86882727</w:t>
      </w:r>
    </w:p>
    <w:p w14:paraId="34615CC5">
      <w:pPr>
        <w:pStyle w:val="39"/>
        <w:wordWrap w:val="0"/>
        <w:spacing w:before="0" w:beforeAutospacing="0" w:after="0" w:afterAutospacing="0" w:line="36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质疑联系人：</w:t>
      </w:r>
      <w:r>
        <w:rPr>
          <w:rFonts w:hint="eastAsia"/>
          <w:color w:val="000000" w:themeColor="text1"/>
          <w:sz w:val="21"/>
          <w:szCs w:val="21"/>
          <w:lang w:val="en-US" w:eastAsia="zh-CN"/>
          <w14:textFill>
            <w14:solidFill>
              <w14:schemeClr w14:val="tx1"/>
            </w14:solidFill>
          </w14:textFill>
        </w:rPr>
        <w:t>楼工</w:t>
      </w:r>
    </w:p>
    <w:p w14:paraId="5B18B0BC">
      <w:pPr>
        <w:pStyle w:val="39"/>
        <w:wordWrap w:val="0"/>
        <w:spacing w:before="0" w:beforeAutospacing="0" w:after="0" w:afterAutospacing="0"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质疑联系方式：0574-87495260</w:t>
      </w:r>
    </w:p>
    <w:p w14:paraId="42189D6A">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3.同级政府采购监督管理部门</w:t>
      </w:r>
    </w:p>
    <w:p w14:paraId="11844C2B">
      <w:pPr>
        <w:pStyle w:val="39"/>
        <w:wordWrap w:val="0"/>
        <w:spacing w:before="0" w:beforeAutospacing="0" w:after="0" w:afterAutospacing="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名称：宁波市北仑区财政局采购办</w:t>
      </w:r>
    </w:p>
    <w:p w14:paraId="7D86A5A3">
      <w:pPr>
        <w:pStyle w:val="39"/>
        <w:wordWrap w:val="0"/>
        <w:spacing w:before="0" w:beforeAutospacing="0" w:after="0" w:afterAutospacing="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地址：北仑区四明山路775号行政大楼A座六楼</w:t>
      </w:r>
    </w:p>
    <w:p w14:paraId="1394C42B">
      <w:pPr>
        <w:pStyle w:val="39"/>
        <w:wordWrap w:val="0"/>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p>
    <w:p w14:paraId="402047DF">
      <w:pPr>
        <w:pStyle w:val="39"/>
        <w:wordWrap w:val="0"/>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cs="宋体"/>
          <w:color w:val="000000" w:themeColor="text1"/>
          <w:sz w:val="21"/>
          <w:szCs w:val="21"/>
          <w:highlight w:val="none"/>
          <w:lang w:val="en-US" w:eastAsia="zh-CN"/>
          <w14:textFill>
            <w14:solidFill>
              <w14:schemeClr w14:val="tx1"/>
            </w14:solidFill>
          </w14:textFill>
        </w:rPr>
        <w:t>严</w:t>
      </w:r>
      <w:r>
        <w:rPr>
          <w:rFonts w:hint="eastAsia" w:ascii="宋体" w:hAnsi="宋体" w:eastAsia="宋体" w:cs="宋体"/>
          <w:color w:val="000000" w:themeColor="text1"/>
          <w:sz w:val="21"/>
          <w:szCs w:val="21"/>
          <w:highlight w:val="none"/>
          <w14:textFill>
            <w14:solidFill>
              <w14:schemeClr w14:val="tx1"/>
            </w14:solidFill>
          </w14:textFill>
        </w:rPr>
        <w:t>老师</w:t>
      </w:r>
    </w:p>
    <w:p w14:paraId="4D6AA8F0">
      <w:pPr>
        <w:pStyle w:val="39"/>
        <w:wordWrap w:val="0"/>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监督投诉电话：0574-89383756</w:t>
      </w:r>
    </w:p>
    <w:p w14:paraId="0EC28C9C">
      <w:pPr>
        <w:pStyle w:val="39"/>
        <w:wordWrap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color w:val="000000" w:themeColor="text1"/>
          <w:sz w:val="21"/>
          <w:szCs w:val="21"/>
          <w:lang w:bidi="ar"/>
          <w14:textFill>
            <w14:solidFill>
              <w14:schemeClr w14:val="tx1"/>
            </w14:solidFill>
          </w14:textFill>
        </w:rPr>
        <w:t>95763</w:t>
      </w:r>
      <w:r>
        <w:rPr>
          <w:rFonts w:hint="eastAsia"/>
          <w:color w:val="000000" w:themeColor="text1"/>
          <w:sz w:val="21"/>
          <w:szCs w:val="21"/>
          <w14:textFill>
            <w14:solidFill>
              <w14:schemeClr w14:val="tx1"/>
            </w14:solidFill>
          </w14:textFill>
        </w:rPr>
        <w:t>获取热线服务帮助。</w:t>
      </w:r>
    </w:p>
    <w:p w14:paraId="2F3F16D3">
      <w:pPr>
        <w:widowControl/>
        <w:wordWrap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CA问题联系电话（人工）：汇信CA400-888-4636；天谷CA400-087-8198。</w:t>
      </w:r>
    </w:p>
    <w:p w14:paraId="02870635">
      <w:pPr>
        <w:wordWrap w:val="0"/>
        <w:spacing w:line="500" w:lineRule="exact"/>
        <w:jc w:val="center"/>
        <w:outlineLvl w:val="0"/>
        <w:rPr>
          <w:rFonts w:hint="eastAsia" w:ascii="宋体" w:hAnsi="宋体"/>
          <w:b/>
          <w:color w:val="000000" w:themeColor="text1"/>
          <w:sz w:val="24"/>
          <w:szCs w:val="24"/>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bookmarkEnd w:id="5"/>
      <w:bookmarkStart w:id="6" w:name="_Toc102912963"/>
      <w:bookmarkStart w:id="7" w:name="_Toc30784"/>
      <w:r>
        <w:rPr>
          <w:rFonts w:hint="eastAsia" w:ascii="宋体" w:hAnsi="宋体"/>
          <w:b/>
          <w:color w:val="000000" w:themeColor="text1"/>
          <w:sz w:val="24"/>
          <w:szCs w:val="24"/>
          <w14:textFill>
            <w14:solidFill>
              <w14:schemeClr w14:val="tx1"/>
            </w14:solidFill>
          </w14:textFill>
        </w:rPr>
        <w:t>第二章  磋商须知</w:t>
      </w:r>
      <w:bookmarkEnd w:id="6"/>
      <w:bookmarkEnd w:id="7"/>
    </w:p>
    <w:p w14:paraId="09FAAC72">
      <w:pPr>
        <w:wordWrap w:val="0"/>
        <w:spacing w:line="420" w:lineRule="exac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一、适用范围</w:t>
      </w:r>
    </w:p>
    <w:p w14:paraId="1F08421D">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本竞争性磋商文件仅适用于</w:t>
      </w:r>
      <w:r>
        <w:rPr>
          <w:rFonts w:hint="eastAsia" w:ascii="宋体" w:hAnsi="宋体"/>
          <w:color w:val="000000" w:themeColor="text1"/>
          <w:szCs w:val="21"/>
          <w14:textFill>
            <w14:solidFill>
              <w14:schemeClr w14:val="tx1"/>
            </w14:solidFill>
          </w14:textFill>
        </w:rPr>
        <w:t>本项目所叙述的服务的磋商、评审、验收、合同履约、付款等（法律、法规另有规定的，从其规定）。</w:t>
      </w:r>
    </w:p>
    <w:p w14:paraId="21845384">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二、定义</w:t>
      </w:r>
    </w:p>
    <w:p w14:paraId="68264050">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1、“采购人”系指</w:t>
      </w:r>
      <w:r>
        <w:rPr>
          <w:rFonts w:hint="eastAsia" w:ascii="宋体" w:hAnsi="宋体" w:cs="宋体"/>
          <w:color w:val="000000" w:themeColor="text1"/>
          <w:kern w:val="0"/>
          <w:szCs w:val="21"/>
          <w:lang w:eastAsia="zh-CN"/>
          <w14:textFill>
            <w14:solidFill>
              <w14:schemeClr w14:val="tx1"/>
            </w14:solidFill>
          </w14:textFill>
        </w:rPr>
        <w:t>中国共产党宁波市北仑区委员会办公室</w:t>
      </w:r>
      <w:r>
        <w:rPr>
          <w:rFonts w:hint="eastAsia" w:ascii="宋体" w:hAnsi="宋体"/>
          <w:color w:val="000000" w:themeColor="text1"/>
          <w:szCs w:val="21"/>
          <w14:textFill>
            <w14:solidFill>
              <w14:schemeClr w14:val="tx1"/>
            </w14:solidFill>
          </w14:textFill>
        </w:rPr>
        <w:t>。</w:t>
      </w:r>
    </w:p>
    <w:p w14:paraId="193D07A8">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2、“代理机构”系指</w:t>
      </w:r>
      <w:r>
        <w:rPr>
          <w:rFonts w:hint="eastAsia" w:ascii="宋体" w:hAnsi="宋体" w:cs="宋体"/>
          <w:color w:val="000000" w:themeColor="text1"/>
          <w:szCs w:val="21"/>
          <w:lang w:eastAsia="zh-CN"/>
          <w14:textFill>
            <w14:solidFill>
              <w14:schemeClr w14:val="tx1"/>
            </w14:solidFill>
          </w14:textFill>
        </w:rPr>
        <w:t>宁波立勤工程管理咨询有限公司</w:t>
      </w:r>
      <w:r>
        <w:rPr>
          <w:rFonts w:hint="eastAsia" w:ascii="宋体" w:hAnsi="宋体"/>
          <w:color w:val="000000" w:themeColor="text1"/>
          <w:szCs w:val="21"/>
          <w14:textFill>
            <w14:solidFill>
              <w14:schemeClr w14:val="tx1"/>
            </w14:solidFill>
          </w14:textFill>
        </w:rPr>
        <w:t>。</w:t>
      </w:r>
    </w:p>
    <w:p w14:paraId="4C98B4B2">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3、“供应商”系指向采购人提交磋商响应文件的供应商。</w:t>
      </w:r>
    </w:p>
    <w:p w14:paraId="68DC97EE">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4、“服务”系指</w:t>
      </w:r>
      <w:r>
        <w:rPr>
          <w:rFonts w:ascii="宋体" w:hAnsi="宋体"/>
          <w:color w:val="000000" w:themeColor="text1"/>
          <w:szCs w:val="21"/>
          <w14:textFill>
            <w14:solidFill>
              <w14:schemeClr w14:val="tx1"/>
            </w14:solidFill>
          </w14:textFill>
        </w:rPr>
        <w:t>本竞争性磋商文件</w:t>
      </w:r>
      <w:r>
        <w:rPr>
          <w:rFonts w:hint="eastAsia" w:ascii="宋体" w:hAnsi="宋体"/>
          <w:color w:val="000000" w:themeColor="text1"/>
          <w:szCs w:val="21"/>
          <w14:textFill>
            <w14:solidFill>
              <w14:schemeClr w14:val="tx1"/>
            </w14:solidFill>
          </w14:textFill>
        </w:rPr>
        <w:t>规定供应商</w:t>
      </w:r>
      <w:r>
        <w:rPr>
          <w:rFonts w:ascii="宋体" w:hAnsi="宋体"/>
          <w:color w:val="000000" w:themeColor="text1"/>
          <w:szCs w:val="21"/>
          <w14:textFill>
            <w14:solidFill>
              <w14:schemeClr w14:val="tx1"/>
            </w14:solidFill>
          </w14:textFill>
        </w:rPr>
        <w:t>须承担的</w:t>
      </w:r>
      <w:r>
        <w:rPr>
          <w:rFonts w:hint="eastAsia" w:ascii="宋体" w:hAnsi="宋体"/>
          <w:color w:val="000000" w:themeColor="text1"/>
          <w:szCs w:val="21"/>
          <w14:textFill>
            <w14:solidFill>
              <w14:schemeClr w14:val="tx1"/>
            </w14:solidFill>
          </w14:textFill>
        </w:rPr>
        <w:t>技术服务</w:t>
      </w:r>
      <w:r>
        <w:rPr>
          <w:rFonts w:ascii="宋体" w:hAnsi="宋体"/>
          <w:color w:val="000000" w:themeColor="text1"/>
          <w:szCs w:val="21"/>
          <w14:textFill>
            <w14:solidFill>
              <w14:schemeClr w14:val="tx1"/>
            </w14:solidFill>
          </w14:textFill>
        </w:rPr>
        <w:t>以及其他类似的义务</w:t>
      </w:r>
      <w:r>
        <w:rPr>
          <w:rFonts w:hint="eastAsia" w:ascii="宋体" w:hAnsi="宋体"/>
          <w:color w:val="000000" w:themeColor="text1"/>
          <w:szCs w:val="21"/>
          <w14:textFill>
            <w14:solidFill>
              <w14:schemeClr w14:val="tx1"/>
            </w14:solidFill>
          </w14:textFill>
        </w:rPr>
        <w:t>。</w:t>
      </w:r>
    </w:p>
    <w:p w14:paraId="3288156F">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5、“同级政府采购监管部门”系指</w:t>
      </w:r>
      <w:r>
        <w:rPr>
          <w:rFonts w:hint="eastAsia" w:ascii="宋体" w:hAnsi="宋体" w:cs="宋体"/>
          <w:color w:val="000000" w:themeColor="text1"/>
          <w:szCs w:val="21"/>
          <w14:textFill>
            <w14:solidFill>
              <w14:schemeClr w14:val="tx1"/>
            </w14:solidFill>
          </w14:textFill>
        </w:rPr>
        <w:t>宁波市</w:t>
      </w:r>
      <w:r>
        <w:rPr>
          <w:rFonts w:hint="eastAsia" w:ascii="宋体" w:hAnsi="宋体" w:cs="宋体"/>
          <w:color w:val="000000" w:themeColor="text1"/>
          <w:szCs w:val="21"/>
          <w:lang w:val="en-US" w:eastAsia="zh-CN"/>
          <w14:textFill>
            <w14:solidFill>
              <w14:schemeClr w14:val="tx1"/>
            </w14:solidFill>
          </w14:textFill>
        </w:rPr>
        <w:t>北仑</w:t>
      </w:r>
      <w:r>
        <w:rPr>
          <w:rFonts w:hint="eastAsia" w:ascii="宋体" w:hAnsi="宋体" w:cs="宋体"/>
          <w:color w:val="000000" w:themeColor="text1"/>
          <w:szCs w:val="21"/>
          <w14:textFill>
            <w14:solidFill>
              <w14:schemeClr w14:val="tx1"/>
            </w14:solidFill>
          </w14:textFill>
        </w:rPr>
        <w:t>区采购管理办公室</w:t>
      </w:r>
      <w:r>
        <w:rPr>
          <w:rFonts w:hint="eastAsia" w:ascii="宋体" w:hAnsi="宋体"/>
          <w:color w:val="000000" w:themeColor="text1"/>
          <w:szCs w:val="21"/>
          <w14:textFill>
            <w14:solidFill>
              <w14:schemeClr w14:val="tx1"/>
            </w14:solidFill>
          </w14:textFill>
        </w:rPr>
        <w:t>。</w:t>
      </w:r>
    </w:p>
    <w:p w14:paraId="44288B7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6、“★”系指实质性响应条款。</w:t>
      </w:r>
    </w:p>
    <w:p w14:paraId="1357E573">
      <w:pPr>
        <w:wordWrap w:val="0"/>
        <w:spacing w:line="420" w:lineRule="exact"/>
        <w:ind w:firstLine="420" w:firstLineChars="200"/>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三、供应商的资格要求</w:t>
      </w:r>
    </w:p>
    <w:p w14:paraId="448BE0EC">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1、详见竞争性磋商公告。</w:t>
      </w:r>
    </w:p>
    <w:p w14:paraId="258C6202">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四、磋商费用</w:t>
      </w:r>
    </w:p>
    <w:p w14:paraId="4BCA9BB2">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1、不论磋商的结果如何，供应商自行承担其参加本次磋商活动有关的全部费用。</w:t>
      </w:r>
    </w:p>
    <w:p w14:paraId="3834E398">
      <w:pPr>
        <w:wordWrap w:val="0"/>
        <w:adjustRightInd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五、磋商报价</w:t>
      </w:r>
    </w:p>
    <w:p w14:paraId="54CC29DB">
      <w:pPr>
        <w:wordWrap w:val="0"/>
        <w:autoSpaceDE w:val="0"/>
        <w:autoSpaceDN w:val="0"/>
        <w:adjustRightInd w:val="0"/>
        <w:spacing w:line="40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1、磋商报价为</w:t>
      </w:r>
      <w:r>
        <w:rPr>
          <w:rFonts w:hint="eastAsia" w:ascii="宋体" w:hAnsi="宋体"/>
          <w:color w:val="000000" w:themeColor="text1"/>
          <w14:textFill>
            <w14:solidFill>
              <w14:schemeClr w14:val="tx1"/>
            </w14:solidFill>
          </w14:textFill>
        </w:rPr>
        <w:t>完成本项目磋商服务需求所需的所有费用，包含但不限于人工费、材料费、资料和数据等收集费用、交通住宿费、评审费、税金及利润等所有费用。</w:t>
      </w:r>
      <w:r>
        <w:rPr>
          <w:rFonts w:ascii="宋体" w:hAnsi="宋体" w:cs="Arial"/>
          <w:color w:val="000000" w:themeColor="text1"/>
          <w:szCs w:val="21"/>
          <w14:textFill>
            <w14:solidFill>
              <w14:schemeClr w14:val="tx1"/>
            </w14:solidFill>
          </w14:textFill>
        </w:rPr>
        <w:t>供应商在</w:t>
      </w:r>
      <w:r>
        <w:rPr>
          <w:rFonts w:hint="eastAsia" w:ascii="宋体" w:hAnsi="宋体" w:cs="Arial"/>
          <w:color w:val="000000" w:themeColor="text1"/>
          <w:szCs w:val="21"/>
          <w14:textFill>
            <w14:solidFill>
              <w14:schemeClr w14:val="tx1"/>
            </w14:solidFill>
          </w14:textFill>
        </w:rPr>
        <w:t>报价</w:t>
      </w:r>
      <w:r>
        <w:rPr>
          <w:rFonts w:ascii="宋体" w:hAnsi="宋体" w:cs="Arial"/>
          <w:color w:val="000000" w:themeColor="text1"/>
          <w:szCs w:val="21"/>
          <w14:textFill>
            <w14:solidFill>
              <w14:schemeClr w14:val="tx1"/>
            </w14:solidFill>
          </w14:textFill>
        </w:rPr>
        <w:t>时应考虑到所有报价项目，如果有遗漏，自行承担风险，</w:t>
      </w:r>
      <w:r>
        <w:rPr>
          <w:rFonts w:hint="eastAsia" w:ascii="宋体" w:hAnsi="宋体" w:cs="Arial"/>
          <w:color w:val="000000" w:themeColor="text1"/>
          <w:szCs w:val="21"/>
          <w14:textFill>
            <w14:solidFill>
              <w14:schemeClr w14:val="tx1"/>
            </w14:solidFill>
          </w14:textFill>
        </w:rPr>
        <w:t>采购</w:t>
      </w:r>
      <w:r>
        <w:rPr>
          <w:rFonts w:ascii="宋体" w:hAnsi="宋体" w:cs="Arial"/>
          <w:color w:val="000000" w:themeColor="text1"/>
          <w:szCs w:val="21"/>
          <w14:textFill>
            <w14:solidFill>
              <w14:schemeClr w14:val="tx1"/>
            </w14:solidFill>
          </w14:textFill>
        </w:rPr>
        <w:t>人不再支付其它费用</w:t>
      </w:r>
      <w:r>
        <w:rPr>
          <w:rFonts w:hint="eastAsia" w:ascii="宋体" w:hAnsi="宋体" w:cs="Arial"/>
          <w:color w:val="000000" w:themeColor="text1"/>
          <w:szCs w:val="21"/>
          <w14:textFill>
            <w14:solidFill>
              <w14:schemeClr w14:val="tx1"/>
            </w14:solidFill>
          </w14:textFill>
        </w:rPr>
        <w:t>。</w:t>
      </w:r>
    </w:p>
    <w:p w14:paraId="5AC81D19">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2、每项服务只允许有一个</w:t>
      </w:r>
      <w:r>
        <w:rPr>
          <w:rFonts w:ascii="宋体" w:hAnsi="宋体" w:cs="Arial"/>
          <w:color w:val="000000" w:themeColor="text1"/>
          <w:szCs w:val="21"/>
          <w14:textFill>
            <w14:solidFill>
              <w14:schemeClr w14:val="tx1"/>
            </w14:solidFill>
          </w14:textFill>
        </w:rPr>
        <w:t>报价</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有选择的或有条件的报价将不予接受。</w:t>
      </w:r>
      <w:r>
        <w:rPr>
          <w:rFonts w:hint="eastAsia" w:ascii="宋体" w:hAnsi="宋体"/>
          <w:color w:val="000000" w:themeColor="text1"/>
          <w:szCs w:val="21"/>
          <w14:textFill>
            <w14:solidFill>
              <w14:schemeClr w14:val="tx1"/>
            </w14:solidFill>
          </w14:textFill>
        </w:rPr>
        <w:t>除非因特殊原因并经双方协商同意，供应商不得再要求追加任何费用。同时，除非合同条款中另有规定，否则，供应商所报价格在合同实施期间不因市场变化和政策因素而变动。</w:t>
      </w:r>
    </w:p>
    <w:p w14:paraId="1DA39F4F">
      <w:pPr>
        <w:wordWrap w:val="0"/>
        <w:autoSpaceDE w:val="0"/>
        <w:autoSpaceDN w:val="0"/>
        <w:adjustRightIn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3、供应商应详细列明各分项工作相关报价及依据，未列明的相关报价应视为已包含在已列明费用的报价中，采购人将不予单独支付。</w:t>
      </w:r>
    </w:p>
    <w:p w14:paraId="3D1384D8">
      <w:pPr>
        <w:wordWrap w:val="0"/>
        <w:autoSpaceDE w:val="0"/>
        <w:autoSpaceDN w:val="0"/>
        <w:adjustRightInd w:val="0"/>
        <w:spacing w:line="40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4、磋商响应</w:t>
      </w:r>
      <w:r>
        <w:rPr>
          <w:rFonts w:ascii="宋体" w:hAnsi="宋体"/>
          <w:color w:val="000000" w:themeColor="text1"/>
          <w:szCs w:val="21"/>
          <w14:textFill>
            <w14:solidFill>
              <w14:schemeClr w14:val="tx1"/>
            </w14:solidFill>
          </w14:textFill>
        </w:rPr>
        <w:t>文件的货币单位为人民币元。</w:t>
      </w:r>
    </w:p>
    <w:p w14:paraId="5C082649">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六、磋商有效期</w:t>
      </w:r>
    </w:p>
    <w:p w14:paraId="283620A0">
      <w:pPr>
        <w:wordWrap w:val="0"/>
        <w:spacing w:line="420" w:lineRule="exact"/>
        <w:ind w:firstLine="210" w:firstLineChars="100"/>
        <w:jc w:val="left"/>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1、磋商响应文件从磋商截止之日起，磋商有效期为90个日历日。磋商有效期不能小于竞争性磋商文件的要求。</w:t>
      </w:r>
    </w:p>
    <w:p w14:paraId="13C9CCAD">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2、特殊情况下，采购人可与供应商协商延缓磋商响应文件的有效期，这种要求和答复均以书面形式进行。</w:t>
      </w:r>
    </w:p>
    <w:p w14:paraId="42A1A7FE">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3、供应商可拒绝接受延期要求。同意延长有效期的供应商不能修改磋商响应文件。</w:t>
      </w:r>
    </w:p>
    <w:p w14:paraId="54D0E3B7">
      <w:pPr>
        <w:wordWrap w:val="0"/>
        <w:spacing w:line="42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七、磋商响应文件的形式和效力</w:t>
      </w:r>
    </w:p>
    <w:p w14:paraId="67EFEEFF">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、磋商响应文件分为电子磋商响应文件以及备份磋商响应文件，备份磋商响应文件分为以</w:t>
      </w:r>
      <w:r>
        <w:rPr>
          <w:rFonts w:hint="eastAsia" w:ascii="宋体" w:hAnsi="宋体" w:cs="宋体"/>
          <w:color w:val="000000" w:themeColor="text1"/>
          <w:kern w:val="0"/>
          <w:szCs w:val="21"/>
          <w14:textFill>
            <w14:solidFill>
              <w14:schemeClr w14:val="tx1"/>
            </w14:solidFill>
          </w14:textFill>
        </w:rPr>
        <w:t>U盘存储的电子</w:t>
      </w:r>
      <w:r>
        <w:rPr>
          <w:rFonts w:hint="eastAsia" w:ascii="宋体" w:hAnsi="宋体"/>
          <w:color w:val="000000" w:themeColor="text1"/>
          <w:szCs w:val="21"/>
          <w14:textFill>
            <w14:solidFill>
              <w14:schemeClr w14:val="tx1"/>
            </w14:solidFill>
          </w14:textFill>
        </w:rPr>
        <w:t>备份磋商响应文件。</w:t>
      </w:r>
    </w:p>
    <w:p w14:paraId="02445DB4">
      <w:pPr>
        <w:wordWrap w:val="0"/>
        <w:spacing w:line="44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（1）供应商应于</w:t>
      </w:r>
      <w:r>
        <w:rPr>
          <w:rFonts w:hint="eastAsia" w:ascii="宋体" w:hAnsi="宋体" w:cs="宋体"/>
          <w:color w:val="000000" w:themeColor="text1"/>
          <w:szCs w:val="21"/>
          <w14:textFill>
            <w14:solidFill>
              <w14:schemeClr w14:val="tx1"/>
            </w14:solidFill>
          </w14:textFill>
        </w:rPr>
        <w:t>磋商响应文件</w:t>
      </w:r>
      <w:r>
        <w:rPr>
          <w:rFonts w:hint="eastAsia" w:ascii="宋体" w:hAnsi="宋体" w:cs="宋体"/>
          <w:color w:val="000000" w:themeColor="text1"/>
          <w:kern w:val="0"/>
          <w:szCs w:val="21"/>
          <w14:textFill>
            <w14:solidFill>
              <w14:schemeClr w14:val="tx1"/>
            </w14:solidFill>
          </w14:textFill>
        </w:rPr>
        <w:t>递交截止时间前将电子磋商响应文件上传到政府采购云平台</w:t>
      </w:r>
      <w:r>
        <w:rPr>
          <w:rFonts w:hint="eastAsia" w:ascii="宋体" w:hAnsi="宋体" w:cs="宋体"/>
          <w:color w:val="000000" w:themeColor="text1"/>
          <w:kern w:val="0"/>
          <w:szCs w:val="21"/>
          <w14:textFill>
            <w14:solidFill>
              <w14:schemeClr w14:val="tx1"/>
            </w14:solidFill>
          </w14:textFill>
        </w:rPr>
        <w:fldChar w:fldCharType="begin"/>
      </w:r>
      <w:r>
        <w:rPr>
          <w:rFonts w:hint="eastAsia" w:ascii="宋体" w:hAnsi="宋体" w:cs="宋体"/>
          <w:color w:val="000000" w:themeColor="text1"/>
          <w:kern w:val="0"/>
          <w:szCs w:val="21"/>
          <w14:textFill>
            <w14:solidFill>
              <w14:schemeClr w14:val="tx1"/>
            </w14:solidFill>
          </w14:textFill>
        </w:rPr>
        <w:instrText xml:space="preserve"> HYPERLINK "http://www.zcygov.cn，并应于2021年" </w:instrText>
      </w:r>
      <w:r>
        <w:rPr>
          <w:rFonts w:hint="eastAsia" w:ascii="宋体" w:hAnsi="宋体" w:cs="宋体"/>
          <w:color w:val="000000" w:themeColor="text1"/>
          <w:kern w:val="0"/>
          <w:szCs w:val="21"/>
          <w14:textFill>
            <w14:solidFill>
              <w14:schemeClr w14:val="tx1"/>
            </w14:solidFill>
          </w14:textFill>
        </w:rPr>
        <w:fldChar w:fldCharType="separate"/>
      </w:r>
      <w:r>
        <w:rPr>
          <w:rStyle w:val="52"/>
          <w:rFonts w:hint="eastAsia" w:ascii="宋体" w:hAnsi="宋体" w:cs="宋体"/>
          <w:color w:val="000000" w:themeColor="text1"/>
          <w:kern w:val="0"/>
          <w:szCs w:val="21"/>
          <w:u w:val="none"/>
          <w14:textFill>
            <w14:solidFill>
              <w14:schemeClr w14:val="tx1"/>
            </w14:solidFill>
          </w14:textFill>
        </w:rPr>
        <w:t>www.zcygov.cn，并应于</w:t>
      </w:r>
      <w:r>
        <w:rPr>
          <w:rFonts w:hint="eastAsia" w:ascii="宋体" w:hAnsi="宋体" w:cs="宋体"/>
          <w:color w:val="000000" w:themeColor="text1"/>
          <w:szCs w:val="21"/>
          <w14:textFill>
            <w14:solidFill>
              <w14:schemeClr w14:val="tx1"/>
            </w14:solidFill>
          </w14:textFill>
        </w:rPr>
        <w:t>磋商响应文件</w:t>
      </w:r>
      <w:r>
        <w:rPr>
          <w:rFonts w:hint="eastAsia" w:ascii="宋体" w:hAnsi="宋体" w:cs="宋体"/>
          <w:color w:val="000000" w:themeColor="text1"/>
          <w:kern w:val="0"/>
          <w:szCs w:val="21"/>
          <w14:textFill>
            <w14:solidFill>
              <w14:schemeClr w14:val="tx1"/>
            </w14:solidFill>
          </w14:textFill>
        </w:rPr>
        <w:t>递交截止时间前</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，将以U盘存储的电子备份磋商响应文件密封，采用现场递交或邮寄送达方式递交。</w:t>
      </w:r>
    </w:p>
    <w:p w14:paraId="3F694DD1">
      <w:pPr>
        <w:wordWrap w:val="0"/>
        <w:spacing w:line="420" w:lineRule="exact"/>
        <w:ind w:firstLine="420" w:firstLineChars="200"/>
        <w:rPr>
          <w:rFonts w:hint="eastAsia"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方式一：现场递交方式，供应商可安排一名授权代表在磋商截止时间前将磋商响应文件送至磋商地点：</w:t>
      </w:r>
      <w:r>
        <w:rPr>
          <w:rFonts w:hint="eastAsia" w:ascii="宋体" w:hAnsi="宋体" w:cs="仿宋_GB2312"/>
          <w:color w:val="000000" w:themeColor="text1"/>
          <w:szCs w:val="21"/>
          <w:lang w:val="en-US" w:eastAsia="zh-CN"/>
          <w14:textFill>
            <w14:solidFill>
              <w14:schemeClr w14:val="tx1"/>
            </w14:solidFill>
          </w14:textFill>
        </w:rPr>
        <w:t>北仑</w:t>
      </w:r>
      <w:r>
        <w:rPr>
          <w:rFonts w:hint="eastAsia" w:ascii="宋体" w:hAnsi="宋体" w:cs="仿宋_GB2312"/>
          <w:color w:val="000000" w:themeColor="text1"/>
          <w:szCs w:val="21"/>
          <w14:textFill>
            <w14:solidFill>
              <w14:schemeClr w14:val="tx1"/>
            </w14:solidFill>
          </w14:textFill>
        </w:rPr>
        <w:t>区公共资源交易中心（</w:t>
      </w:r>
      <w:r>
        <w:rPr>
          <w:rFonts w:hint="eastAsia" w:ascii="宋体" w:hAnsi="宋体" w:cs="仿宋"/>
          <w:color w:val="000000" w:themeColor="text1"/>
          <w:lang w:val="en-US" w:eastAsia="zh-CN"/>
          <w14:textFill>
            <w14:solidFill>
              <w14:schemeClr w14:val="tx1"/>
            </w14:solidFill>
          </w14:textFill>
        </w:rPr>
        <w:t>北仑区长江路1166号行政服务中心B座三楼</w:t>
      </w:r>
      <w:r>
        <w:rPr>
          <w:rFonts w:hint="eastAsia" w:ascii="宋体" w:hAnsi="宋体" w:cs="仿宋_GB2312"/>
          <w:color w:val="000000" w:themeColor="text1"/>
          <w:szCs w:val="21"/>
          <w14:textFill>
            <w14:solidFill>
              <w14:schemeClr w14:val="tx1"/>
            </w14:solidFill>
          </w14:textFill>
        </w:rPr>
        <w:t>），本项目通过“政府采购云平台（www.zcygov.cn）”实行在线制作并提交磋商响应文件（电子投标）。磋商响应文件递交时须同时递交供应商的法定代表人（或其授权代表）联系方式，并保证磋商期间联系方式畅通。</w:t>
      </w:r>
    </w:p>
    <w:p w14:paraId="389D8383">
      <w:pPr>
        <w:wordWrap w:val="0"/>
        <w:spacing w:line="420" w:lineRule="exact"/>
        <w:ind w:firstLine="420" w:firstLineChars="200"/>
        <w:rPr>
          <w:rFonts w:hint="eastAsia"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方式二：开标前1天邮寄送达，送达地址：</w:t>
      </w:r>
      <w:r>
        <w:rPr>
          <w:rFonts w:hint="eastAsia" w:ascii="宋体" w:hAnsi="宋体" w:cs="仿宋_GB2312"/>
          <w:color w:val="000000" w:themeColor="text1"/>
          <w:szCs w:val="21"/>
          <w:lang w:eastAsia="zh-CN"/>
          <w14:textFill>
            <w14:solidFill>
              <w14:schemeClr w14:val="tx1"/>
            </w14:solidFill>
          </w14:textFill>
        </w:rPr>
        <w:t>宁波立勤工程管理咨询有限公司</w:t>
      </w:r>
      <w:r>
        <w:rPr>
          <w:rFonts w:hint="eastAsia"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lang w:eastAsia="zh-CN"/>
          <w14:textFill>
            <w14:solidFill>
              <w14:schemeClr w14:val="tx1"/>
            </w14:solidFill>
          </w14:textFill>
        </w:rPr>
        <w:t>宁波市北仑区长江南路1号宝业凤鸣壹号1幢20楼</w:t>
      </w:r>
      <w:r>
        <w:rPr>
          <w:rFonts w:hint="eastAsia" w:ascii="宋体" w:hAnsi="宋体" w:cs="仿宋_GB2312"/>
          <w:color w:val="000000" w:themeColor="text1"/>
          <w:szCs w:val="21"/>
          <w14:textFill>
            <w14:solidFill>
              <w14:schemeClr w14:val="tx1"/>
            </w14:solidFill>
          </w14:textFill>
        </w:rPr>
        <w:t>），联系人：</w:t>
      </w:r>
      <w:r>
        <w:rPr>
          <w:rFonts w:hint="eastAsia" w:ascii="宋体" w:hAnsi="宋体" w:cs="仿宋_GB2312"/>
          <w:color w:val="000000" w:themeColor="text1"/>
          <w:szCs w:val="21"/>
          <w:lang w:val="en-US" w:eastAsia="zh-CN"/>
          <w14:textFill>
            <w14:solidFill>
              <w14:schemeClr w14:val="tx1"/>
            </w14:solidFill>
          </w14:textFill>
        </w:rPr>
        <w:t>楼筱雅</w:t>
      </w:r>
      <w:r>
        <w:rPr>
          <w:rFonts w:hint="eastAsia" w:ascii="宋体" w:hAnsi="宋体" w:cs="仿宋_GB2312"/>
          <w:color w:val="000000" w:themeColor="text1"/>
          <w:szCs w:val="21"/>
          <w14:textFill>
            <w14:solidFill>
              <w14:schemeClr w14:val="tx1"/>
            </w14:solidFill>
          </w14:textFill>
        </w:rPr>
        <w:t>，联系方式：</w:t>
      </w:r>
      <w:r>
        <w:rPr>
          <w:rFonts w:hint="eastAsia" w:ascii="宋体" w:hAnsi="宋体" w:cs="仿宋_GB2312"/>
          <w:color w:val="000000" w:themeColor="text1"/>
          <w:szCs w:val="21"/>
          <w:lang w:val="en-US" w:eastAsia="zh-CN"/>
          <w14:textFill>
            <w14:solidFill>
              <w14:schemeClr w14:val="tx1"/>
            </w14:solidFill>
          </w14:textFill>
        </w:rPr>
        <w:t>0574-86837529</w:t>
      </w:r>
      <w:r>
        <w:rPr>
          <w:rFonts w:hint="eastAsia" w:ascii="宋体" w:hAnsi="宋体" w:cs="仿宋_GB2312"/>
          <w:color w:val="000000" w:themeColor="text1"/>
          <w:szCs w:val="21"/>
          <w14:textFill>
            <w14:solidFill>
              <w14:schemeClr w14:val="tx1"/>
            </w14:solidFill>
          </w14:textFill>
        </w:rPr>
        <w:t>。供应商邮寄后须将邮件单号发送至代理机构电子邮箱（电子邮箱：</w:t>
      </w:r>
      <w:r>
        <w:rPr>
          <w:rFonts w:hint="eastAsia" w:ascii="宋体" w:hAnsi="宋体" w:cs="仿宋_GB2312"/>
          <w:color w:val="000000" w:themeColor="text1"/>
          <w:szCs w:val="21"/>
          <w:lang w:val="en-US" w:eastAsia="zh-CN"/>
          <w14:textFill>
            <w14:solidFill>
              <w14:schemeClr w14:val="tx1"/>
            </w14:solidFill>
          </w14:textFill>
        </w:rPr>
        <w:t>378291265</w:t>
      </w:r>
      <w:r>
        <w:rPr>
          <w:rFonts w:hint="eastAsia" w:ascii="宋体" w:hAnsi="宋体" w:cs="仿宋_GB2312"/>
          <w:color w:val="000000" w:themeColor="text1"/>
          <w:szCs w:val="21"/>
          <w14:textFill>
            <w14:solidFill>
              <w14:schemeClr w14:val="tx1"/>
            </w14:solidFill>
          </w14:textFill>
        </w:rPr>
        <w:t>@</w:t>
      </w: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lang w:val="en-US" w:eastAsia="zh-CN"/>
          <w14:textFill>
            <w14:solidFill>
              <w14:schemeClr w14:val="tx1"/>
            </w14:solidFill>
          </w14:textFill>
        </w:rPr>
        <w:t>63</w:t>
      </w:r>
      <w:r>
        <w:rPr>
          <w:rFonts w:hint="eastAsia" w:ascii="宋体" w:hAnsi="宋体" w:cs="仿宋_GB2312"/>
          <w:color w:val="000000" w:themeColor="text1"/>
          <w:szCs w:val="21"/>
          <w14:textFill>
            <w14:solidFill>
              <w14:schemeClr w14:val="tx1"/>
            </w14:solidFill>
          </w14:textFill>
        </w:rPr>
        <w:t>.com），并致电采购代理机构，以便采购代理机构查询物流记录。各供应商应当确保电子备份磋商响应文件的密封包装在邮寄过程保持完好，并在邮寄包裹上注明项目名称、采购编号，因邮寄造成电子备份磋商响应文件密封破损而不符合竞争性竞争性磋商文件对磋商响应文件的密封要求、或邮寄过程中导致电子备份磋商响应文件未在投标截止时间前送达的，代理机构将拒绝其磋商响应文件。各供应商自行考虑邮寄在途时间，磋商响应文件送达时间以代理机构工作人员实际签收时间为准。</w:t>
      </w:r>
    </w:p>
    <w:p w14:paraId="2CB1979E">
      <w:pPr>
        <w:wordWrap w:val="0"/>
        <w:snapToGrid w:val="0"/>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开启时间后半小时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507B3043">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、电子磋商响应文件，按“项目采购-电子招投标操作指南”及本竞争性磋商文件要求制作，并加密。</w:t>
      </w:r>
    </w:p>
    <w:p w14:paraId="35A7B146">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响应文件制作说明：</w:t>
      </w:r>
    </w:p>
    <w:p w14:paraId="7D3BC24E">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（1）应按照本项目磋商文件和政府采购云平台的要求编制、加密并递交响应文件。供应商在使用系统进行响应的过程中遇到涉及平台使用的任何问题，可致电政府采购云平台技术支持热线咨询，联系方式：</w:t>
      </w:r>
      <w:r>
        <w:rPr>
          <w:rFonts w:ascii="宋体" w:hAnsi="宋体" w:cs="仿宋"/>
          <w:bCs/>
          <w:color w:val="000000" w:themeColor="text1"/>
          <w:szCs w:val="21"/>
          <w14:textFill>
            <w14:solidFill>
              <w14:schemeClr w14:val="tx1"/>
            </w14:solidFill>
          </w14:textFill>
        </w:rPr>
        <w:t>95763</w:t>
      </w:r>
      <w:r>
        <w:rPr>
          <w:rFonts w:hint="eastAsia" w:ascii="宋体" w:hAnsi="宋体" w:cs="仿宋"/>
          <w:bCs/>
          <w:color w:val="000000" w:themeColor="text1"/>
          <w:szCs w:val="21"/>
          <w14:textFill>
            <w14:solidFill>
              <w14:schemeClr w14:val="tx1"/>
            </w14:solidFill>
          </w14:textFill>
        </w:rPr>
        <w:t>。</w:t>
      </w:r>
    </w:p>
    <w:p w14:paraId="6BE7E6A3">
      <w:pPr>
        <w:wordWrap w:val="0"/>
        <w:adjustRightInd w:val="0"/>
        <w:snapToGrid w:val="0"/>
        <w:spacing w:line="420" w:lineRule="exact"/>
        <w:ind w:firstLine="420" w:firstLineChars="200"/>
        <w:jc w:val="left"/>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（2）供应商通过政府采购云平台电子投标工具制作响应文件。电子投标工具请供应商自行前往浙江政府采购网下载并安装：zfcg.czt.zj.gov.cn/bidClientTemplate/2019-05-27/12946.html</w:t>
      </w:r>
    </w:p>
    <w:p w14:paraId="72C491D5">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供应商响应文件制作及电子交易操作指南详见：</w:t>
      </w:r>
    </w:p>
    <w:p w14:paraId="381AC31F">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①政府采购项目电子交易管理操作指南（视频）：</w:t>
      </w:r>
    </w:p>
    <w:p w14:paraId="5110C7A7">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fldChar w:fldCharType="begin"/>
      </w:r>
      <w:r>
        <w:rPr>
          <w:rFonts w:hint="eastAsia" w:ascii="宋体" w:hAnsi="宋体" w:cs="仿宋"/>
          <w:bCs/>
          <w:color w:val="000000" w:themeColor="text1"/>
          <w:szCs w:val="21"/>
          <w14:textFill>
            <w14:solidFill>
              <w14:schemeClr w14:val="tx1"/>
            </w14:solidFill>
          </w14:textFill>
        </w:rPr>
        <w:instrText xml:space="preserve"> HYPERLINK "https://service.zcygov.cn/" \l "/knowledges/CW1EtGwBFdiHxlNd6I3m/7GyLXW0BXgMSmLUuYuPM" </w:instrText>
      </w:r>
      <w:r>
        <w:rPr>
          <w:rFonts w:hint="eastAsia" w:ascii="宋体" w:hAnsi="宋体" w:cs="仿宋"/>
          <w:bCs/>
          <w:color w:val="000000" w:themeColor="text1"/>
          <w:szCs w:val="21"/>
          <w14:textFill>
            <w14:solidFill>
              <w14:schemeClr w14:val="tx1"/>
            </w14:solidFill>
          </w14:textFill>
        </w:rPr>
        <w:fldChar w:fldCharType="separate"/>
      </w:r>
      <w:r>
        <w:rPr>
          <w:rFonts w:hint="eastAsia" w:ascii="宋体" w:hAnsi="宋体" w:cs="仿宋"/>
          <w:bCs/>
          <w:color w:val="000000" w:themeColor="text1"/>
          <w:szCs w:val="21"/>
          <w14:textFill>
            <w14:solidFill>
              <w14:schemeClr w14:val="tx1"/>
            </w14:solidFill>
          </w14:textFill>
        </w:rPr>
        <w:t>service.zcygov.cn/#/knowledges/CW1EtGwBFdiHxlNd6I3m/7GyLXW0BXgMSmLUuYuPM</w:t>
      </w:r>
      <w:r>
        <w:rPr>
          <w:rFonts w:hint="eastAsia" w:ascii="宋体" w:hAnsi="宋体" w:cs="仿宋"/>
          <w:bCs/>
          <w:color w:val="000000" w:themeColor="text1"/>
          <w:szCs w:val="21"/>
          <w14:textFill>
            <w14:solidFill>
              <w14:schemeClr w14:val="tx1"/>
            </w14:solidFill>
          </w14:textFill>
        </w:rPr>
        <w:fldChar w:fldCharType="end"/>
      </w:r>
      <w:r>
        <w:rPr>
          <w:rFonts w:hint="eastAsia" w:ascii="宋体" w:hAnsi="宋体" w:cs="仿宋"/>
          <w:bCs/>
          <w:color w:val="000000" w:themeColor="text1"/>
          <w:szCs w:val="21"/>
          <w14:textFill>
            <w14:solidFill>
              <w14:schemeClr w14:val="tx1"/>
            </w14:solidFill>
          </w14:textFill>
        </w:rPr>
        <w:t>（电脑登录账号观看）；</w:t>
      </w:r>
    </w:p>
    <w:p w14:paraId="3C378C55">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②政府采购项目电子交易管理操作指南（文本）：</w:t>
      </w:r>
    </w:p>
    <w:p w14:paraId="0B63709B">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service.zcygov.cn/#/knowledges/CW1EtGwBFdiHxlNd6I3m/6IMVAG0BFdiHxlNdQ8Na（电脑登录账号浏览）。</w:t>
      </w:r>
    </w:p>
    <w:p w14:paraId="08EE1668">
      <w:pPr>
        <w:wordWrap w:val="0"/>
        <w:adjustRightInd w:val="0"/>
        <w:snapToGrid w:val="0"/>
        <w:spacing w:line="420" w:lineRule="exact"/>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3、以U盘存储的电子备份响应文件1份，即按“项目采购-电子招投标操作指南”制作的电子备份文件，以用于异常情况处理。</w:t>
      </w:r>
    </w:p>
    <w:p w14:paraId="57B35CD3">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、磋商响应文件填写字迹必须清楚、工整，对不同文字文本磋商响应文件的解释发生异议的，以中文文本为准。</w:t>
      </w:r>
    </w:p>
    <w:p w14:paraId="47597DF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、磋商响应文件的效力</w:t>
      </w:r>
    </w:p>
    <w:p w14:paraId="2803ECB3">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磋商响应文件的启用，按先后顺位分别为电子磋商响应文件、以</w:t>
      </w:r>
      <w:r>
        <w:rPr>
          <w:rFonts w:hint="eastAsia" w:ascii="宋体" w:hAnsi="宋体" w:cs="宋体"/>
          <w:color w:val="000000" w:themeColor="text1"/>
          <w:kern w:val="0"/>
          <w:szCs w:val="21"/>
          <w14:textFill>
            <w14:solidFill>
              <w14:schemeClr w14:val="tx1"/>
            </w14:solidFill>
          </w14:textFill>
        </w:rPr>
        <w:t>U盘存储的电子</w:t>
      </w:r>
      <w:r>
        <w:rPr>
          <w:rFonts w:hint="eastAsia" w:ascii="宋体" w:hAnsi="宋体"/>
          <w:color w:val="000000" w:themeColor="text1"/>
          <w:szCs w:val="21"/>
          <w14:textFill>
            <w14:solidFill>
              <w14:schemeClr w14:val="tx1"/>
            </w14:solidFill>
          </w14:textFill>
        </w:rPr>
        <w:t>备份磋商响应文件。在下一顺位的磋商响应文件启用时，前一顺位的磋商响应文件自动失效。</w:t>
      </w:r>
    </w:p>
    <w:p w14:paraId="2316B53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6A7D9A96">
      <w:pPr>
        <w:wordWrap w:val="0"/>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八、磋商响应文件的组成</w:t>
      </w:r>
    </w:p>
    <w:p w14:paraId="2E8D9182">
      <w:pPr>
        <w:wordWrap w:val="0"/>
        <w:snapToGrid w:val="0"/>
        <w:spacing w:line="420" w:lineRule="exact"/>
        <w:ind w:firstLine="413" w:firstLineChars="196"/>
        <w:jc w:val="left"/>
        <w:rPr>
          <w:rFonts w:ascii="宋体" w:hAnsi="宋体"/>
          <w:b/>
          <w:color w:val="000000" w:themeColor="text1"/>
          <w:szCs w:val="21"/>
          <w14:textFill>
            <w14:solidFill>
              <w14:schemeClr w14:val="tx1"/>
            </w14:solidFill>
          </w14:textFill>
        </w:rPr>
      </w:pPr>
      <w:bookmarkStart w:id="8" w:name="_Hlk38989741"/>
      <w:r>
        <w:rPr>
          <w:rFonts w:ascii="宋体" w:hAnsi="宋体"/>
          <w:b/>
          <w:color w:val="000000" w:themeColor="text1"/>
          <w:szCs w:val="21"/>
          <w14:textFill>
            <w14:solidFill>
              <w14:schemeClr w14:val="tx1"/>
            </w14:solidFill>
          </w14:textFill>
        </w:rPr>
        <w:t>A</w:t>
      </w:r>
      <w:r>
        <w:rPr>
          <w:rFonts w:hint="eastAsia" w:ascii="宋体" w:hAnsi="宋体"/>
          <w:b/>
          <w:color w:val="000000" w:themeColor="text1"/>
          <w:szCs w:val="21"/>
          <w14:textFill>
            <w14:solidFill>
              <w14:schemeClr w14:val="tx1"/>
            </w14:solidFill>
          </w14:textFill>
        </w:rPr>
        <w:t>、第一册：资格文件</w:t>
      </w:r>
    </w:p>
    <w:p w14:paraId="07EDDFC8">
      <w:pPr>
        <w:wordWrap w:val="0"/>
        <w:spacing w:line="420" w:lineRule="exact"/>
        <w:ind w:firstLine="420" w:firstLineChars="200"/>
        <w:jc w:val="left"/>
        <w:rPr>
          <w:rFonts w:hint="eastAsia"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A1、</w:t>
      </w:r>
      <w:r>
        <w:rPr>
          <w:rFonts w:hint="eastAsia" w:ascii="宋体" w:hAnsi="宋体"/>
          <w:color w:val="000000" w:themeColor="text1"/>
          <w:szCs w:val="21"/>
          <w14:textFill>
            <w14:solidFill>
              <w14:schemeClr w14:val="tx1"/>
            </w14:solidFill>
          </w14:textFill>
        </w:rPr>
        <w:t>关于资格的承诺函</w:t>
      </w:r>
      <w:r>
        <w:rPr>
          <w:rFonts w:hint="eastAsia" w:ascii="宋体" w:hAnsi="宋体" w:cs="Arial"/>
          <w:color w:val="000000" w:themeColor="text1"/>
          <w:kern w:val="0"/>
          <w:szCs w:val="21"/>
          <w14:textFill>
            <w14:solidFill>
              <w14:schemeClr w14:val="tx1"/>
            </w14:solidFill>
          </w14:textFill>
        </w:rPr>
        <w:t>；（详见附件）</w:t>
      </w:r>
    </w:p>
    <w:p w14:paraId="3968465E">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A2、营业执照副本（或事业法人登记证副本或其他登记证明材料）复印件加盖供应商公章（供应商如果有名称变更的，应提供由行政主管部门出具的变更证明文件复印件加盖供应商公章）；</w:t>
      </w:r>
    </w:p>
    <w:p w14:paraId="4656B1A7">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、采购文件要求的其他资格证明材料</w:t>
      </w:r>
    </w:p>
    <w:p w14:paraId="213CB85B">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B</w:t>
      </w:r>
      <w:r>
        <w:rPr>
          <w:rFonts w:hint="eastAsia" w:ascii="宋体" w:hAnsi="宋体"/>
          <w:b/>
          <w:color w:val="000000" w:themeColor="text1"/>
          <w:szCs w:val="21"/>
          <w14:textFill>
            <w14:solidFill>
              <w14:schemeClr w14:val="tx1"/>
            </w14:solidFill>
          </w14:textFill>
        </w:rPr>
        <w:t>、第二册：商务和技术文件</w:t>
      </w:r>
    </w:p>
    <w:p w14:paraId="2711E409">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B1</w:t>
      </w:r>
      <w:r>
        <w:rPr>
          <w:rFonts w:hint="eastAsia" w:ascii="宋体" w:hAnsi="宋体"/>
          <w:color w:val="000000" w:themeColor="text1"/>
          <w:szCs w:val="21"/>
          <w14:textFill>
            <w14:solidFill>
              <w14:schemeClr w14:val="tx1"/>
            </w14:solidFill>
          </w14:textFill>
        </w:rPr>
        <w:t>、磋商函；</w:t>
      </w:r>
      <w:r>
        <w:rPr>
          <w:rFonts w:hint="eastAsia" w:ascii="宋体" w:hAnsi="宋体" w:cs="Arial"/>
          <w:color w:val="000000" w:themeColor="text1"/>
          <w:kern w:val="0"/>
          <w:szCs w:val="21"/>
          <w14:textFill>
            <w14:solidFill>
              <w14:schemeClr w14:val="tx1"/>
            </w14:solidFill>
          </w14:textFill>
        </w:rPr>
        <w:t>（详见附件）</w:t>
      </w:r>
    </w:p>
    <w:p w14:paraId="66149CE7">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B2</w:t>
      </w:r>
      <w:r>
        <w:rPr>
          <w:rFonts w:hint="eastAsia" w:ascii="宋体" w:hAnsi="宋体"/>
          <w:color w:val="000000" w:themeColor="text1"/>
          <w:szCs w:val="21"/>
          <w14:textFill>
            <w14:solidFill>
              <w14:schemeClr w14:val="tx1"/>
            </w14:solidFill>
          </w14:textFill>
        </w:rPr>
        <w:t>、法定代表人身份证明；</w:t>
      </w:r>
      <w:r>
        <w:rPr>
          <w:rFonts w:hint="eastAsia" w:ascii="宋体" w:hAnsi="宋体" w:cs="Arial"/>
          <w:color w:val="000000" w:themeColor="text1"/>
          <w:kern w:val="0"/>
          <w:szCs w:val="21"/>
          <w14:textFill>
            <w14:solidFill>
              <w14:schemeClr w14:val="tx1"/>
            </w14:solidFill>
          </w14:textFill>
        </w:rPr>
        <w:t>（详见附件）</w:t>
      </w:r>
    </w:p>
    <w:p w14:paraId="6C47C7E1">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B3</w:t>
      </w:r>
      <w:r>
        <w:rPr>
          <w:rFonts w:hint="eastAsia" w:ascii="宋体" w:hAnsi="宋体"/>
          <w:color w:val="000000" w:themeColor="text1"/>
          <w:szCs w:val="21"/>
          <w14:textFill>
            <w14:solidFill>
              <w14:schemeClr w14:val="tx1"/>
            </w14:solidFill>
          </w14:textFill>
        </w:rPr>
        <w:t>、法定代表人授权书；</w:t>
      </w:r>
      <w:r>
        <w:rPr>
          <w:rFonts w:hint="eastAsia" w:ascii="宋体" w:hAnsi="宋体" w:cs="Arial"/>
          <w:color w:val="000000" w:themeColor="text1"/>
          <w:kern w:val="0"/>
          <w:szCs w:val="21"/>
          <w14:textFill>
            <w14:solidFill>
              <w14:schemeClr w14:val="tx1"/>
            </w14:solidFill>
          </w14:textFill>
        </w:rPr>
        <w:t>（详见附件）</w:t>
      </w:r>
    </w:p>
    <w:p w14:paraId="7B4E3CDF">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B4</w:t>
      </w:r>
      <w:r>
        <w:rPr>
          <w:rFonts w:hint="eastAsia" w:ascii="宋体" w:hAnsi="宋体"/>
          <w:color w:val="000000" w:themeColor="text1"/>
          <w:szCs w:val="21"/>
          <w14:textFill>
            <w14:solidFill>
              <w14:schemeClr w14:val="tx1"/>
            </w14:solidFill>
          </w14:textFill>
        </w:rPr>
        <w:t>、商务条款响应表；</w:t>
      </w:r>
      <w:r>
        <w:rPr>
          <w:rFonts w:hint="eastAsia" w:ascii="宋体" w:hAnsi="宋体" w:cs="Arial"/>
          <w:color w:val="000000" w:themeColor="text1"/>
          <w:kern w:val="0"/>
          <w:szCs w:val="21"/>
          <w14:textFill>
            <w14:solidFill>
              <w14:schemeClr w14:val="tx1"/>
            </w14:solidFill>
          </w14:textFill>
        </w:rPr>
        <w:t>（详见附件）</w:t>
      </w:r>
    </w:p>
    <w:p w14:paraId="394D0E1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5、采购需求响应表；</w:t>
      </w:r>
      <w:r>
        <w:rPr>
          <w:rFonts w:hint="eastAsia" w:ascii="宋体" w:hAnsi="宋体" w:cs="Arial"/>
          <w:color w:val="000000" w:themeColor="text1"/>
          <w:kern w:val="0"/>
          <w:szCs w:val="21"/>
          <w14:textFill>
            <w14:solidFill>
              <w14:schemeClr w14:val="tx1"/>
            </w14:solidFill>
          </w14:textFill>
        </w:rPr>
        <w:t>（详见附件）</w:t>
      </w:r>
    </w:p>
    <w:p w14:paraId="1A4AAF39">
      <w:pPr>
        <w:wordWrap w:val="0"/>
        <w:spacing w:line="420" w:lineRule="exact"/>
        <w:ind w:firstLine="420" w:firstLineChars="200"/>
        <w:jc w:val="left"/>
        <w:rPr>
          <w:rFonts w:hint="eastAsia" w:ascii="宋体" w:hAnsi="宋体"/>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拟投入本项目的人员配置表；</w:t>
      </w:r>
      <w:r>
        <w:rPr>
          <w:rFonts w:hint="eastAsia" w:ascii="宋体" w:hAnsi="宋体" w:cs="Arial"/>
          <w:color w:val="000000" w:themeColor="text1"/>
          <w:kern w:val="0"/>
          <w:szCs w:val="21"/>
          <w14:textFill>
            <w14:solidFill>
              <w14:schemeClr w14:val="tx1"/>
            </w14:solidFill>
          </w14:textFill>
        </w:rPr>
        <w:t>（详见附件）</w:t>
      </w:r>
    </w:p>
    <w:p w14:paraId="348EAA42">
      <w:pPr>
        <w:wordWrap w:val="0"/>
        <w:spacing w:line="42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B7、类似项目业绩表；</w:t>
      </w:r>
      <w:r>
        <w:rPr>
          <w:rFonts w:hint="eastAsia" w:ascii="宋体" w:hAnsi="宋体" w:cs="Arial"/>
          <w:color w:val="000000" w:themeColor="text1"/>
          <w:kern w:val="0"/>
          <w:szCs w:val="21"/>
          <w14:textFill>
            <w14:solidFill>
              <w14:schemeClr w14:val="tx1"/>
            </w14:solidFill>
          </w14:textFill>
        </w:rPr>
        <w:t>（详见附件）</w:t>
      </w:r>
    </w:p>
    <w:p w14:paraId="6A17AA95">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8、第三章“评定成交的标准”中“评分标准（兼评委打分表）”要求提供的资料；</w:t>
      </w:r>
    </w:p>
    <w:p w14:paraId="7FB2297F">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B9、供应商认为需要提供的其他资料</w:t>
      </w:r>
    </w:p>
    <w:p w14:paraId="51054126">
      <w:pPr>
        <w:wordWrap w:val="0"/>
        <w:spacing w:line="420" w:lineRule="exact"/>
        <w:ind w:firstLine="422" w:firstLineChars="200"/>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C</w:t>
      </w:r>
      <w:r>
        <w:rPr>
          <w:rFonts w:hint="eastAsia" w:ascii="宋体" w:hAnsi="宋体"/>
          <w:b/>
          <w:color w:val="000000" w:themeColor="text1"/>
          <w:szCs w:val="21"/>
          <w14:textFill>
            <w14:solidFill>
              <w14:schemeClr w14:val="tx1"/>
            </w14:solidFill>
          </w14:textFill>
        </w:rPr>
        <w:t>、第三册：报价文件</w:t>
      </w:r>
    </w:p>
    <w:p w14:paraId="369EBA22">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C1</w:t>
      </w:r>
      <w:r>
        <w:rPr>
          <w:rFonts w:hint="eastAsia" w:ascii="宋体" w:hAnsi="宋体"/>
          <w:color w:val="000000" w:themeColor="text1"/>
          <w:szCs w:val="21"/>
          <w14:textFill>
            <w14:solidFill>
              <w14:schemeClr w14:val="tx1"/>
            </w14:solidFill>
          </w14:textFill>
        </w:rPr>
        <w:t>、报价一览表；</w:t>
      </w:r>
    </w:p>
    <w:p w14:paraId="3F20DA21">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C2、分项报价表</w:t>
      </w:r>
    </w:p>
    <w:p w14:paraId="29830755">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、中小企业声明函；</w:t>
      </w:r>
    </w:p>
    <w:p w14:paraId="168DE4ED">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C4、残疾人福利性单位声明函（如有需提供）；</w:t>
      </w:r>
    </w:p>
    <w:p w14:paraId="0117E4F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、供应商认为需要提供的其他资料。</w:t>
      </w:r>
    </w:p>
    <w:bookmarkEnd w:id="8"/>
    <w:p w14:paraId="73B7A128">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2、磋商响应文件的份数：</w:t>
      </w:r>
    </w:p>
    <w:p w14:paraId="57786A27">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本项目实行网上磋商，供应商应准备以下磋商响应文件：</w:t>
      </w:r>
    </w:p>
    <w:p w14:paraId="226FDDD0">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上传到政府采购云平台的电子磋商响应文件</w:t>
      </w:r>
      <w:r>
        <w:rPr>
          <w:rFonts w:hint="eastAsia" w:ascii="宋体" w:hAnsi="宋体"/>
          <w:b/>
          <w:bCs/>
          <w:color w:val="000000" w:themeColor="text1"/>
          <w:szCs w:val="21"/>
          <w14:textFill>
            <w14:solidFill>
              <w14:schemeClr w14:val="tx1"/>
            </w14:solidFill>
          </w14:textFill>
        </w:rPr>
        <w:t>（.jmbs）</w:t>
      </w:r>
      <w:r>
        <w:rPr>
          <w:rFonts w:hint="eastAsia" w:ascii="宋体" w:hAnsi="宋体" w:cs="宋体"/>
          <w:color w:val="000000" w:themeColor="text1"/>
          <w:kern w:val="0"/>
          <w:szCs w:val="21"/>
          <w14:textFill>
            <w14:solidFill>
              <w14:schemeClr w14:val="tx1"/>
            </w14:solidFill>
          </w14:textFill>
        </w:rPr>
        <w:t>（含</w:t>
      </w:r>
      <w:r>
        <w:rPr>
          <w:rFonts w:hint="eastAsia" w:ascii="宋体" w:hAnsi="宋体"/>
          <w:color w:val="000000" w:themeColor="text1"/>
          <w:szCs w:val="21"/>
          <w14:textFill>
            <w14:solidFill>
              <w14:schemeClr w14:val="tx1"/>
            </w14:solidFill>
          </w14:textFill>
        </w:rPr>
        <w:t>资格文件、商务和技术文件、响应文件）</w:t>
      </w:r>
      <w:r>
        <w:rPr>
          <w:rFonts w:hint="eastAsia" w:ascii="宋体" w:hAnsi="宋体" w:cs="宋体"/>
          <w:color w:val="000000" w:themeColor="text1"/>
          <w:kern w:val="0"/>
          <w:szCs w:val="21"/>
          <w14:textFill>
            <w14:solidFill>
              <w14:schemeClr w14:val="tx1"/>
            </w14:solidFill>
          </w14:textFill>
        </w:rPr>
        <w:t>1份</w:t>
      </w:r>
      <w:r>
        <w:rPr>
          <w:rFonts w:hint="eastAsia" w:ascii="宋体" w:hAnsi="宋体"/>
          <w:color w:val="000000" w:themeColor="text1"/>
          <w:szCs w:val="21"/>
          <w14:textFill>
            <w14:solidFill>
              <w14:schemeClr w14:val="tx1"/>
            </w14:solidFill>
          </w14:textFill>
        </w:rPr>
        <w:t>。</w:t>
      </w:r>
    </w:p>
    <w:p w14:paraId="4BF85461">
      <w:pPr>
        <w:wordWrap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以U盘存储的电子备份磋商响应文件</w:t>
      </w:r>
      <w:r>
        <w:rPr>
          <w:rFonts w:hint="eastAsia" w:ascii="宋体" w:hAnsi="宋体"/>
          <w:b/>
          <w:bCs/>
          <w:color w:val="000000" w:themeColor="text1"/>
          <w:szCs w:val="21"/>
          <w14:textFill>
            <w14:solidFill>
              <w14:schemeClr w14:val="tx1"/>
            </w14:solidFill>
          </w14:textFill>
        </w:rPr>
        <w:t>（.bfbs）</w:t>
      </w:r>
      <w:r>
        <w:rPr>
          <w:rFonts w:hint="eastAsia" w:ascii="宋体" w:hAnsi="宋体" w:cs="宋体"/>
          <w:color w:val="000000" w:themeColor="text1"/>
          <w:kern w:val="0"/>
          <w:szCs w:val="21"/>
          <w14:textFill>
            <w14:solidFill>
              <w14:schemeClr w14:val="tx1"/>
            </w14:solidFill>
          </w14:textFill>
        </w:rPr>
        <w:t>（含</w:t>
      </w:r>
      <w:r>
        <w:rPr>
          <w:rFonts w:hint="eastAsia" w:ascii="宋体" w:hAnsi="宋体"/>
          <w:color w:val="000000" w:themeColor="text1"/>
          <w:szCs w:val="21"/>
          <w14:textFill>
            <w14:solidFill>
              <w14:schemeClr w14:val="tx1"/>
            </w14:solidFill>
          </w14:textFill>
        </w:rPr>
        <w:t>资格文件、商务和技术文件、响应文件）</w:t>
      </w:r>
      <w:r>
        <w:rPr>
          <w:rFonts w:hint="eastAsia" w:ascii="宋体" w:hAnsi="宋体" w:cs="宋体"/>
          <w:color w:val="000000" w:themeColor="text1"/>
          <w:kern w:val="0"/>
          <w:szCs w:val="21"/>
          <w14:textFill>
            <w14:solidFill>
              <w14:schemeClr w14:val="tx1"/>
            </w14:solidFill>
          </w14:textFill>
        </w:rPr>
        <w:t>1份</w:t>
      </w:r>
      <w:r>
        <w:rPr>
          <w:rFonts w:hint="eastAsia" w:ascii="宋体" w:hAnsi="宋体"/>
          <w:color w:val="000000" w:themeColor="text1"/>
          <w:szCs w:val="21"/>
          <w14:textFill>
            <w14:solidFill>
              <w14:schemeClr w14:val="tx1"/>
            </w14:solidFill>
          </w14:textFill>
        </w:rPr>
        <w:t>。</w:t>
      </w:r>
    </w:p>
    <w:p w14:paraId="73C01538">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供应商应对磋商响应文件编制目录和评分索引表以方便查询。</w:t>
      </w:r>
    </w:p>
    <w:p w14:paraId="63615D54">
      <w:pPr>
        <w:wordWrap w:val="0"/>
        <w:spacing w:line="420" w:lineRule="exact"/>
        <w:ind w:firstLine="420" w:firstLineChars="200"/>
        <w:jc w:val="left"/>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九、磋商响应文件的签署盖章</w:t>
      </w:r>
    </w:p>
    <w:p w14:paraId="492F1FE4">
      <w:pPr>
        <w:numPr>
          <w:ilvl w:val="0"/>
          <w:numId w:val="6"/>
        </w:numPr>
        <w:tabs>
          <w:tab w:val="left" w:pos="900"/>
        </w:tabs>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竞争性磋商文件第七章“附件”中标明加盖公章或签字的，</w:t>
      </w:r>
      <w:r>
        <w:rPr>
          <w:rFonts w:hint="eastAsia" w:ascii="宋体" w:hAnsi="宋体" w:cs="宋体"/>
          <w:bCs/>
          <w:color w:val="000000" w:themeColor="text1"/>
          <w:szCs w:val="21"/>
          <w14:textFill>
            <w14:solidFill>
              <w14:schemeClr w14:val="tx1"/>
            </w14:solidFill>
          </w14:textFill>
        </w:rPr>
        <w:t>加盖公章部分采用CA签章，</w:t>
      </w:r>
      <w:r>
        <w:rPr>
          <w:rFonts w:hint="eastAsia" w:ascii="宋体" w:hAnsi="宋体"/>
          <w:color w:val="000000" w:themeColor="text1"/>
          <w:szCs w:val="21"/>
          <w14:textFill>
            <w14:solidFill>
              <w14:schemeClr w14:val="tx1"/>
            </w14:solidFill>
          </w14:textFill>
        </w:rPr>
        <w:t>签字部分由法定代表人或授权代表签字后扫描上传。授权代表签字的，</w:t>
      </w:r>
      <w:r>
        <w:rPr>
          <w:rFonts w:hint="eastAsia" w:ascii="宋体" w:hAnsi="宋体" w:cs="宋体"/>
          <w:color w:val="000000" w:themeColor="text1"/>
          <w:kern w:val="0"/>
          <w:szCs w:val="21"/>
          <w14:textFill>
            <w14:solidFill>
              <w14:schemeClr w14:val="tx1"/>
            </w14:solidFill>
          </w14:textFill>
        </w:rPr>
        <w:t>还</w:t>
      </w:r>
      <w:r>
        <w:rPr>
          <w:rFonts w:hint="eastAsia" w:ascii="宋体" w:hAnsi="宋体"/>
          <w:color w:val="000000" w:themeColor="text1"/>
          <w:szCs w:val="21"/>
          <w14:textFill>
            <w14:solidFill>
              <w14:schemeClr w14:val="tx1"/>
            </w14:solidFill>
          </w14:textFill>
        </w:rPr>
        <w:t>应附法定代表人签署的法定代表人授权书。</w:t>
      </w:r>
    </w:p>
    <w:p w14:paraId="743784DA">
      <w:pPr>
        <w:pStyle w:val="43"/>
        <w:ind w:left="0" w:leftChars="0" w:firstLine="0" w:firstLineChars="0"/>
        <w:rPr>
          <w:rFonts w:hint="eastAsia" w:ascii="宋体" w:hAnsi="宋体"/>
          <w:color w:val="000000" w:themeColor="text1"/>
          <w14:textFill>
            <w14:solidFill>
              <w14:schemeClr w14:val="tx1"/>
            </w14:solidFill>
          </w14:textFill>
        </w:rPr>
      </w:pPr>
    </w:p>
    <w:p w14:paraId="7D6D7C3A">
      <w:pPr>
        <w:wordWrap w:val="0"/>
        <w:spacing w:line="42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十、磋商响应文件的密封、标记、份数</w:t>
      </w:r>
    </w:p>
    <w:p w14:paraId="2BA17FD4">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1、电子磋商响应文件：供应商应根据“项目采购-电子招投标操作指南”及本竞争性磋商文件规定的格式和顺序编制电子磋商响应文件并进行关联定位。</w:t>
      </w:r>
    </w:p>
    <w:p w14:paraId="6FFBCE4A">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以U盘</w:t>
      </w:r>
      <w:r>
        <w:rPr>
          <w:rFonts w:hint="eastAsia" w:ascii="宋体" w:hAnsi="宋体"/>
          <w:color w:val="000000" w:themeColor="text1"/>
          <w:szCs w:val="21"/>
          <w14:textFill>
            <w14:solidFill>
              <w14:schemeClr w14:val="tx1"/>
            </w14:solidFill>
          </w14:textFill>
        </w:rPr>
        <w:t>存储的电子备份磋商响应文件用封袋密封后递交。</w:t>
      </w:r>
    </w:p>
    <w:p w14:paraId="496B25C2">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电子备份磋商响应文件须在</w:t>
      </w:r>
      <w:r>
        <w:rPr>
          <w:rFonts w:hint="eastAsia" w:ascii="宋体" w:hAnsi="宋体"/>
          <w:color w:val="000000" w:themeColor="text1"/>
          <w:szCs w:val="21"/>
          <w14:textFill>
            <w14:solidFill>
              <w14:schemeClr w14:val="tx1"/>
            </w14:solidFill>
          </w14:textFill>
        </w:rPr>
        <w:t>封袋上注明：</w:t>
      </w:r>
    </w:p>
    <w:p w14:paraId="3BB4CA3F">
      <w:pPr>
        <w:tabs>
          <w:tab w:val="left" w:pos="900"/>
        </w:tabs>
        <w:wordWrap w:val="0"/>
        <w:spacing w:line="420" w:lineRule="exact"/>
        <w:ind w:firstLine="420" w:firstLineChars="200"/>
        <w:jc w:val="lef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）注    明：</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“电子备份磋商响应文件”                         </w:t>
      </w:r>
      <w:r>
        <w:rPr>
          <w:rFonts w:hint="eastAsia" w:ascii="宋体" w:hAnsi="宋体"/>
          <w:color w:val="000000" w:themeColor="text1"/>
          <w:szCs w:val="21"/>
          <w14:textFill>
            <w14:solidFill>
              <w14:schemeClr w14:val="tx1"/>
            </w14:solidFill>
          </w14:textFill>
        </w:rPr>
        <w:t>；</w:t>
      </w:r>
    </w:p>
    <w:p w14:paraId="7A7B100E">
      <w:pPr>
        <w:tabs>
          <w:tab w:val="left" w:pos="900"/>
        </w:tabs>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18A30791">
      <w:pPr>
        <w:tabs>
          <w:tab w:val="left" w:pos="900"/>
        </w:tabs>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）项目名称：</w:t>
      </w:r>
      <w:r>
        <w:rPr>
          <w:rFonts w:hint="eastAsia" w:ascii="宋体" w:hAnsi="宋体" w:cs="宋体"/>
          <w:color w:val="000000" w:themeColor="text1"/>
          <w:kern w:val="0"/>
          <w:szCs w:val="21"/>
          <w:u w:val="single"/>
          <w:lang w:eastAsia="zh-CN"/>
          <w14:textFill>
            <w14:solidFill>
              <w14:schemeClr w14:val="tx1"/>
            </w14:solidFill>
          </w14:textFill>
        </w:rPr>
        <w:t>北仑区“六促六优专项行动”应用二期</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474EB6A0">
      <w:pPr>
        <w:tabs>
          <w:tab w:val="left" w:pos="900"/>
        </w:tabs>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）所投子包（如有多个子包须填写）：</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6098A06C">
      <w:pPr>
        <w:tabs>
          <w:tab w:val="left" w:pos="900"/>
        </w:tabs>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）在</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日（规定的开启日期和时间）前不准启封；</w:t>
      </w:r>
    </w:p>
    <w:p w14:paraId="561A40CA">
      <w:pPr>
        <w:tabs>
          <w:tab w:val="left" w:pos="900"/>
        </w:tabs>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）供应商的名称：</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51DB180C">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供应商须在包封上加盖供应商公章或由其法定代表人或授权代表签字。</w:t>
      </w:r>
    </w:p>
    <w:p w14:paraId="520C7D3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供应商未按上述要求标记的，采购人（代理机构）不承担错放或提前开封的责任。</w:t>
      </w:r>
    </w:p>
    <w:p w14:paraId="1B60F26D">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bookmarkStart w:id="9" w:name="_Toc237939759"/>
      <w:r>
        <w:rPr>
          <w:rFonts w:hint="eastAsia" w:ascii="宋体" w:hAnsi="宋体"/>
          <w:b/>
          <w:color w:val="000000" w:themeColor="text1"/>
          <w:szCs w:val="21"/>
          <w14:textFill>
            <w14:solidFill>
              <w14:schemeClr w14:val="tx1"/>
            </w14:solidFill>
          </w14:textFill>
        </w:rPr>
        <w:t>十一、磋商响应文件的递交</w:t>
      </w:r>
      <w:bookmarkEnd w:id="9"/>
    </w:p>
    <w:p w14:paraId="12674436">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1、磋商响应文件递交的具体要求详见竞争性磋商公告。</w:t>
      </w:r>
    </w:p>
    <w:p w14:paraId="57C5A511">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2、供应商未按上述要求密封的电子备份磋商响应文件，代理机构不予受理。</w:t>
      </w:r>
    </w:p>
    <w:p w14:paraId="5BFB85CE">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逾期送达的或者未送达指定地点的，</w:t>
      </w:r>
      <w:r>
        <w:rPr>
          <w:rFonts w:hint="eastAsia" w:ascii="宋体" w:hAnsi="宋体"/>
          <w:color w:val="000000" w:themeColor="text1"/>
          <w:szCs w:val="21"/>
          <w14:textFill>
            <w14:solidFill>
              <w14:schemeClr w14:val="tx1"/>
            </w14:solidFill>
          </w14:textFill>
        </w:rPr>
        <w:t>代理机构</w:t>
      </w:r>
      <w:r>
        <w:rPr>
          <w:rFonts w:ascii="宋体" w:hAnsi="宋体"/>
          <w:color w:val="000000" w:themeColor="text1"/>
          <w:szCs w:val="21"/>
          <w14:textFill>
            <w14:solidFill>
              <w14:schemeClr w14:val="tx1"/>
            </w14:solidFill>
          </w14:textFill>
        </w:rPr>
        <w:t>不予受理。</w:t>
      </w:r>
    </w:p>
    <w:p w14:paraId="76E09C01">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4、磋商响应文件的补充、修改</w:t>
      </w:r>
    </w:p>
    <w:p w14:paraId="3D01F5C7">
      <w:pPr>
        <w:wordWrap w:val="0"/>
        <w:spacing w:line="420" w:lineRule="exact"/>
        <w:ind w:firstLine="420" w:firstLineChars="200"/>
        <w:rPr>
          <w:rFonts w:hint="eastAsia" w:ascii="宋体" w:hAnsi="宋体"/>
          <w:color w:val="000000" w:themeColor="text1"/>
          <w:szCs w:val="21"/>
          <w:lang w:val="en"/>
          <w14:textFill>
            <w14:solidFill>
              <w14:schemeClr w14:val="tx1"/>
            </w14:solidFill>
          </w14:textFill>
        </w:rPr>
      </w:pPr>
      <w:r>
        <w:rPr>
          <w:rFonts w:hint="eastAsia" w:ascii="宋体" w:hAnsi="宋体"/>
          <w:color w:val="000000" w:themeColor="text1"/>
          <w:szCs w:val="21"/>
          <w14:textFill>
            <w14:solidFill>
              <w14:schemeClr w14:val="tx1"/>
            </w14:solidFill>
          </w14:textFill>
        </w:rPr>
        <w:t>磋商响应文件递交截止时间前，供应商可以对递交的磋商响应文件进行补充、修改，</w:t>
      </w:r>
      <w:r>
        <w:rPr>
          <w:rFonts w:hint="eastAsia" w:ascii="宋体" w:hAnsi="宋体"/>
          <w:color w:val="000000" w:themeColor="text1"/>
          <w:szCs w:val="21"/>
          <w:lang w:val="en"/>
          <w14:textFill>
            <w14:solidFill>
              <w14:schemeClr w14:val="tx1"/>
            </w14:solidFill>
          </w14:textFill>
        </w:rPr>
        <w:t>补充、修改</w:t>
      </w:r>
      <w:r>
        <w:rPr>
          <w:rFonts w:hint="eastAsia" w:ascii="宋体" w:hAnsi="宋体"/>
          <w:color w:val="000000" w:themeColor="text1"/>
          <w:szCs w:val="21"/>
          <w14:textFill>
            <w14:solidFill>
              <w14:schemeClr w14:val="tx1"/>
            </w14:solidFill>
          </w14:textFill>
        </w:rPr>
        <w:t>电子磋商响应文件</w:t>
      </w:r>
      <w:r>
        <w:rPr>
          <w:rFonts w:hint="eastAsia" w:ascii="宋体" w:hAnsi="宋体"/>
          <w:color w:val="000000" w:themeColor="text1"/>
          <w:szCs w:val="21"/>
          <w:lang w:val="en"/>
          <w14:textFill>
            <w14:solidFill>
              <w14:schemeClr w14:val="tx1"/>
            </w14:solidFill>
          </w14:textFill>
        </w:rPr>
        <w:t>的，应当先行撤回原文件，补充、修改后重新上传，电子备份磋商响应文件也应重新制作。</w:t>
      </w:r>
      <w:r>
        <w:rPr>
          <w:rFonts w:hint="eastAsia" w:ascii="宋体" w:hAnsi="宋体"/>
          <w:color w:val="000000" w:themeColor="text1"/>
          <w:szCs w:val="21"/>
          <w14:textFill>
            <w14:solidFill>
              <w14:schemeClr w14:val="tx1"/>
            </w14:solidFill>
          </w14:textFill>
        </w:rPr>
        <w:t>在递交截止时间之后，供应商不得对其磋商响应文件进行补充、修改。递交截止时间之后供应商要求撤销响应文件的，应向采购人提交正式文件。</w:t>
      </w:r>
    </w:p>
    <w:p w14:paraId="2F53326E">
      <w:pPr>
        <w:wordWrap w:val="0"/>
        <w:spacing w:line="420" w:lineRule="exact"/>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十二、竞争性磋商文件的澄清或修改</w:t>
      </w:r>
    </w:p>
    <w:p w14:paraId="02EB834D">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Arial"/>
          <w:bCs/>
          <w:iCs/>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color w:val="000000" w:themeColor="text1"/>
          <w:szCs w:val="21"/>
          <w14:textFill>
            <w14:solidFill>
              <w14:schemeClr w14:val="tx1"/>
            </w14:solidFill>
          </w14:textFill>
        </w:rPr>
        <w:t>提交磋商响应文件的截止时间</w:t>
      </w:r>
      <w:r>
        <w:rPr>
          <w:rFonts w:hint="eastAsia" w:ascii="宋体" w:hAnsi="宋体"/>
          <w:color w:val="000000" w:themeColor="text1"/>
          <w:szCs w:val="21"/>
          <w14:textFill>
            <w14:solidFill>
              <w14:schemeClr w14:val="tx1"/>
            </w14:solidFill>
          </w14:textFill>
        </w:rPr>
        <w:t>至少</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日前，不足5日的，采购人应当顺延</w:t>
      </w:r>
      <w:r>
        <w:rPr>
          <w:rFonts w:hint="eastAsia" w:ascii="宋体" w:hAnsi="宋体" w:cs="宋体"/>
          <w:bCs/>
          <w:iCs/>
          <w:color w:val="000000" w:themeColor="text1"/>
          <w:szCs w:val="21"/>
          <w14:textFill>
            <w14:solidFill>
              <w14:schemeClr w14:val="tx1"/>
            </w14:solidFill>
          </w14:textFill>
        </w:rPr>
        <w:t>提交磋商响应文件的截止时间</w:t>
      </w:r>
      <w:r>
        <w:rPr>
          <w:rFonts w:hint="eastAsia" w:ascii="宋体" w:hAnsi="宋体"/>
          <w:color w:val="000000" w:themeColor="text1"/>
          <w:szCs w:val="21"/>
          <w14:textFill>
            <w14:solidFill>
              <w14:schemeClr w14:val="tx1"/>
            </w14:solidFill>
          </w14:textFill>
        </w:rPr>
        <w:t>；澄清或者修改的内容不影响磋商响应文件编制的，则不受</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日的期限限制。澄清或者修改的内容为竞争性磋商文件的组成部分，对所有供应商具有约束力。</w:t>
      </w:r>
    </w:p>
    <w:p w14:paraId="5718CC30">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十三、质疑</w:t>
      </w:r>
    </w:p>
    <w:p w14:paraId="51720CAF">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color w:val="000000" w:themeColor="text1"/>
          <w:szCs w:val="21"/>
          <w14:textFill>
            <w14:solidFill>
              <w14:schemeClr w14:val="tx1"/>
            </w14:solidFill>
          </w14:textFill>
        </w:rPr>
        <w:t>。</w:t>
      </w:r>
    </w:p>
    <w:p w14:paraId="223AFF49">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提出质疑的供应商应当是参与所质疑项目采购活动的供应商。</w:t>
      </w:r>
      <w:r>
        <w:rPr>
          <w:rFonts w:hint="eastAsia" w:ascii="宋体" w:hAnsi="宋体"/>
          <w:color w:val="000000" w:themeColor="text1"/>
          <w:szCs w:val="21"/>
          <w14:textFill>
            <w14:solidFill>
              <w14:schemeClr w14:val="tx1"/>
            </w14:solidFill>
          </w14:textFill>
        </w:rPr>
        <w:t>未依法获取采购文件的</w:t>
      </w:r>
      <w:r>
        <w:rPr>
          <w:rFonts w:ascii="宋体" w:hAnsi="宋体"/>
          <w:color w:val="000000" w:themeColor="text1"/>
          <w:szCs w:val="21"/>
          <w14:textFill>
            <w14:solidFill>
              <w14:schemeClr w14:val="tx1"/>
            </w14:solidFill>
          </w14:textFill>
        </w:rPr>
        <w:t>，不得</w:t>
      </w:r>
      <w:r>
        <w:rPr>
          <w:rFonts w:hint="eastAsia" w:ascii="宋体" w:hAnsi="宋体"/>
          <w:color w:val="000000" w:themeColor="text1"/>
          <w:szCs w:val="21"/>
          <w14:textFill>
            <w14:solidFill>
              <w14:schemeClr w14:val="tx1"/>
            </w14:solidFill>
          </w14:textFill>
        </w:rPr>
        <w:t>就采购文件</w:t>
      </w:r>
      <w:r>
        <w:rPr>
          <w:rFonts w:ascii="宋体" w:hAnsi="宋体"/>
          <w:color w:val="000000" w:themeColor="text1"/>
          <w:szCs w:val="21"/>
          <w14:textFill>
            <w14:solidFill>
              <w14:schemeClr w14:val="tx1"/>
            </w14:solidFill>
          </w14:textFill>
        </w:rPr>
        <w:t>提出质疑</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未提交</w:t>
      </w:r>
      <w:r>
        <w:rPr>
          <w:rFonts w:hint="eastAsia" w:ascii="宋体" w:hAnsi="宋体"/>
          <w:color w:val="000000" w:themeColor="text1"/>
          <w:szCs w:val="21"/>
          <w14:textFill>
            <w14:solidFill>
              <w14:schemeClr w14:val="tx1"/>
            </w14:solidFill>
          </w14:textFill>
        </w:rPr>
        <w:t>磋商响应文件</w:t>
      </w:r>
      <w:r>
        <w:rPr>
          <w:rFonts w:ascii="宋体" w:hAnsi="宋体"/>
          <w:color w:val="000000" w:themeColor="text1"/>
          <w:szCs w:val="21"/>
          <w14:textFill>
            <w14:solidFill>
              <w14:schemeClr w14:val="tx1"/>
            </w14:solidFill>
          </w14:textFill>
        </w:rPr>
        <w:t>的供应商，视为与采购结果没有利害关系，不得就采购响应截止时间后的采购过程、采购结果提出质疑。</w:t>
      </w:r>
    </w:p>
    <w:p w14:paraId="45A0752E">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3、供应商提出质疑应当提交质疑函和必要的证明材料，质疑函应当以书面形式提出，质疑函格式和内容须符合财政部《质疑函范本》要求，供应商可到中国政府采购网自行下载财政部《质疑函范本》。</w:t>
      </w:r>
    </w:p>
    <w:p w14:paraId="2F2B2CEB">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4、供应商质疑实行实名制，质疑函应当署名，供应商为自然人的，</w:t>
      </w:r>
      <w:r>
        <w:rPr>
          <w:rFonts w:ascii="宋体" w:hAnsi="宋体"/>
          <w:color w:val="000000" w:themeColor="text1"/>
          <w:szCs w:val="21"/>
          <w14:textFill>
            <w14:solidFill>
              <w14:schemeClr w14:val="tx1"/>
            </w14:solidFill>
          </w14:textFill>
        </w:rPr>
        <w:t>应当由本人签字；</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为法人</w:t>
      </w:r>
      <w:r>
        <w:rPr>
          <w:rFonts w:hint="eastAsia" w:ascii="宋体" w:hAnsi="宋体"/>
          <w:color w:val="000000" w:themeColor="text1"/>
          <w:szCs w:val="21"/>
          <w14:textFill>
            <w14:solidFill>
              <w14:schemeClr w14:val="tx1"/>
            </w14:solidFill>
          </w14:textFill>
        </w:rPr>
        <w:t>或者</w:t>
      </w:r>
      <w:r>
        <w:rPr>
          <w:rFonts w:ascii="宋体" w:hAnsi="宋体"/>
          <w:color w:val="000000" w:themeColor="text1"/>
          <w:szCs w:val="21"/>
          <w14:textFill>
            <w14:solidFill>
              <w14:schemeClr w14:val="tx1"/>
            </w14:solidFill>
          </w14:textFill>
        </w:rPr>
        <w:t>其他组织的，应当由法定代表人</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主要负责人</w:t>
      </w:r>
      <w:r>
        <w:rPr>
          <w:rFonts w:hint="eastAsia" w:ascii="宋体" w:hAnsi="宋体"/>
          <w:color w:val="000000" w:themeColor="text1"/>
          <w:szCs w:val="21"/>
          <w14:textFill>
            <w14:solidFill>
              <w14:schemeClr w14:val="tx1"/>
            </w14:solidFill>
          </w14:textFill>
        </w:rPr>
        <w:t>，或者其授权代表（指代理人</w:t>
      </w:r>
      <w:r>
        <w:rPr>
          <w:rFonts w:ascii="宋体" w:hAnsi="宋体"/>
          <w:color w:val="000000" w:themeColor="text1"/>
          <w:szCs w:val="21"/>
          <w14:textFill>
            <w14:solidFill>
              <w14:schemeClr w14:val="tx1"/>
            </w14:solidFill>
          </w14:textFill>
        </w:rPr>
        <w:t>）签字</w:t>
      </w:r>
      <w:r>
        <w:rPr>
          <w:rFonts w:hint="eastAsia" w:ascii="宋体" w:hAnsi="宋体"/>
          <w:color w:val="000000" w:themeColor="text1"/>
          <w:szCs w:val="21"/>
          <w14:textFill>
            <w14:solidFill>
              <w14:schemeClr w14:val="tx1"/>
            </w14:solidFill>
          </w14:textFill>
        </w:rPr>
        <w:t>或者</w:t>
      </w:r>
      <w:r>
        <w:rPr>
          <w:rFonts w:ascii="宋体" w:hAnsi="宋体"/>
          <w:color w:val="000000" w:themeColor="text1"/>
          <w:szCs w:val="21"/>
          <w14:textFill>
            <w14:solidFill>
              <w14:schemeClr w14:val="tx1"/>
            </w14:solidFill>
          </w14:textFill>
        </w:rPr>
        <w:t>盖章</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并加盖公章</w:t>
      </w:r>
      <w:r>
        <w:rPr>
          <w:rFonts w:hint="eastAsia" w:ascii="宋体" w:hAnsi="宋体"/>
          <w:color w:val="000000" w:themeColor="text1"/>
          <w:szCs w:val="21"/>
          <w14:textFill>
            <w14:solidFill>
              <w14:schemeClr w14:val="tx1"/>
            </w14:solidFill>
          </w14:textFill>
        </w:rPr>
        <w:t>；代理人提出质疑的，应当提交供应商签署的授权委托书；以联合体形式参加政府采购活动的，其质疑应当由组成联合体的所有供应商共同提出。</w:t>
      </w:r>
    </w:p>
    <w:p w14:paraId="1EB9A693">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5、采购人、采购代理机构接收质疑函的方式：只接收供应商</w:t>
      </w:r>
      <w:r>
        <w:rPr>
          <w:rFonts w:ascii="宋体" w:hAnsi="宋体"/>
          <w:color w:val="000000" w:themeColor="text1"/>
          <w:szCs w:val="21"/>
          <w14:textFill>
            <w14:solidFill>
              <w14:schemeClr w14:val="tx1"/>
            </w14:solidFill>
          </w14:textFill>
        </w:rPr>
        <w:t>以</w:t>
      </w:r>
      <w:r>
        <w:rPr>
          <w:rFonts w:hint="eastAsia" w:ascii="宋体" w:hAnsi="宋体"/>
          <w:color w:val="000000" w:themeColor="text1"/>
          <w:szCs w:val="21"/>
          <w14:textFill>
            <w14:solidFill>
              <w14:schemeClr w14:val="tx1"/>
            </w14:solidFill>
          </w14:textFill>
        </w:rPr>
        <w:t>当面</w:t>
      </w:r>
      <w:r>
        <w:rPr>
          <w:rFonts w:ascii="宋体" w:hAnsi="宋体"/>
          <w:color w:val="000000" w:themeColor="text1"/>
          <w:szCs w:val="21"/>
          <w14:textFill>
            <w14:solidFill>
              <w14:schemeClr w14:val="tx1"/>
            </w14:solidFill>
          </w14:textFill>
        </w:rPr>
        <w:t>递交</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邮寄</w:t>
      </w:r>
      <w:r>
        <w:rPr>
          <w:rFonts w:hint="eastAsia" w:ascii="宋体" w:hAnsi="宋体"/>
          <w:color w:val="000000" w:themeColor="text1"/>
          <w:szCs w:val="21"/>
          <w14:textFill>
            <w14:solidFill>
              <w14:schemeClr w14:val="tx1"/>
            </w14:solidFill>
          </w14:textFill>
        </w:rPr>
        <w:t>、传真或电子邮件</w:t>
      </w:r>
      <w:r>
        <w:rPr>
          <w:rFonts w:ascii="宋体" w:hAnsi="宋体"/>
          <w:color w:val="000000" w:themeColor="text1"/>
          <w:szCs w:val="21"/>
          <w14:textFill>
            <w14:solidFill>
              <w14:schemeClr w14:val="tx1"/>
            </w14:solidFill>
          </w14:textFill>
        </w:rPr>
        <w:t>方式提</w:t>
      </w:r>
      <w:r>
        <w:rPr>
          <w:rFonts w:hint="eastAsia" w:ascii="宋体" w:hAnsi="宋体"/>
          <w:color w:val="000000" w:themeColor="text1"/>
          <w:szCs w:val="21"/>
          <w14:textFill>
            <w14:solidFill>
              <w14:schemeClr w14:val="tx1"/>
            </w14:solidFill>
          </w14:textFill>
        </w:rPr>
        <w:t>出的质疑函，</w:t>
      </w:r>
      <w:r>
        <w:rPr>
          <w:rFonts w:ascii="宋体" w:hAnsi="宋体"/>
          <w:color w:val="000000" w:themeColor="text1"/>
          <w:szCs w:val="21"/>
          <w14:textFill>
            <w14:solidFill>
              <w14:schemeClr w14:val="tx1"/>
            </w14:solidFill>
          </w14:textFill>
        </w:rPr>
        <w:t>以其他方式提出的质疑不予</w:t>
      </w:r>
      <w:r>
        <w:rPr>
          <w:rFonts w:hint="eastAsia" w:ascii="宋体" w:hAnsi="宋体"/>
          <w:color w:val="000000" w:themeColor="text1"/>
          <w:szCs w:val="21"/>
          <w14:textFill>
            <w14:solidFill>
              <w14:schemeClr w14:val="tx1"/>
            </w14:solidFill>
          </w14:textFill>
        </w:rPr>
        <w:t>接收</w:t>
      </w:r>
      <w:r>
        <w:rPr>
          <w:rFonts w:ascii="宋体" w:hAnsi="宋体"/>
          <w:color w:val="000000" w:themeColor="text1"/>
          <w:szCs w:val="21"/>
          <w14:textFill>
            <w14:solidFill>
              <w14:schemeClr w14:val="tx1"/>
            </w14:solidFill>
          </w14:textFill>
        </w:rPr>
        <w:t>。</w:t>
      </w:r>
    </w:p>
    <w:p w14:paraId="221FF31B">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采取邮寄方式的，提出质疑的时间为</w:t>
      </w:r>
      <w:r>
        <w:rPr>
          <w:rFonts w:ascii="宋体" w:hAnsi="宋体"/>
          <w:color w:val="000000" w:themeColor="text1"/>
          <w:szCs w:val="21"/>
          <w14:textFill>
            <w14:solidFill>
              <w14:schemeClr w14:val="tx1"/>
            </w14:solidFill>
          </w14:textFill>
        </w:rPr>
        <w:t>质疑函</w:t>
      </w:r>
      <w:r>
        <w:rPr>
          <w:rFonts w:hint="eastAsia" w:ascii="宋体" w:hAnsi="宋体"/>
          <w:color w:val="000000" w:themeColor="text1"/>
          <w:szCs w:val="21"/>
          <w14:textFill>
            <w14:solidFill>
              <w14:schemeClr w14:val="tx1"/>
            </w14:solidFill>
          </w14:textFill>
        </w:rPr>
        <w:t>原件交邮</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时间（以邮戳时间或快递收件时间为准）。</w:t>
      </w:r>
    </w:p>
    <w:p w14:paraId="7B9BB67C">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采取传真、电子邮件方式的，供应商应当在传真、电子邮件发出后将质疑函原件邮寄给被质疑人，提出质疑的时间为</w:t>
      </w:r>
      <w:r>
        <w:rPr>
          <w:rFonts w:ascii="宋体" w:hAnsi="宋体"/>
          <w:color w:val="000000" w:themeColor="text1"/>
          <w:szCs w:val="21"/>
          <w14:textFill>
            <w14:solidFill>
              <w14:schemeClr w14:val="tx1"/>
            </w14:solidFill>
          </w14:textFill>
        </w:rPr>
        <w:t>质疑函</w:t>
      </w:r>
      <w:r>
        <w:rPr>
          <w:rFonts w:hint="eastAsia" w:ascii="宋体" w:hAnsi="宋体"/>
          <w:color w:val="000000" w:themeColor="text1"/>
          <w:szCs w:val="21"/>
          <w14:textFill>
            <w14:solidFill>
              <w14:schemeClr w14:val="tx1"/>
            </w14:solidFill>
          </w14:textFill>
        </w:rPr>
        <w:t>原件交邮</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时间（以邮戳时间或快递收件时间为准）。</w:t>
      </w:r>
    </w:p>
    <w:p w14:paraId="1C6B11F4">
      <w:pPr>
        <w:wordWrap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6、采购人、采购代理机构</w:t>
      </w:r>
      <w:r>
        <w:rPr>
          <w:rFonts w:ascii="宋体" w:hAnsi="宋体"/>
          <w:color w:val="000000" w:themeColor="text1"/>
          <w:szCs w:val="21"/>
          <w14:textFill>
            <w14:solidFill>
              <w14:schemeClr w14:val="tx1"/>
            </w14:solidFill>
          </w14:textFill>
        </w:rPr>
        <w:t>以实际收到</w:t>
      </w:r>
      <w:r>
        <w:rPr>
          <w:rFonts w:hint="eastAsia" w:ascii="宋体" w:hAnsi="宋体"/>
          <w:color w:val="000000" w:themeColor="text1"/>
          <w:szCs w:val="21"/>
          <w14:textFill>
            <w14:solidFill>
              <w14:schemeClr w14:val="tx1"/>
            </w14:solidFill>
          </w14:textFill>
        </w:rPr>
        <w:t>质疑函</w:t>
      </w:r>
      <w:r>
        <w:rPr>
          <w:rFonts w:ascii="宋体" w:hAnsi="宋体"/>
          <w:color w:val="000000" w:themeColor="text1"/>
          <w:szCs w:val="21"/>
          <w14:textFill>
            <w14:solidFill>
              <w14:schemeClr w14:val="tx1"/>
            </w14:solidFill>
          </w14:textFill>
        </w:rPr>
        <w:t>原件之日作为收到</w:t>
      </w:r>
      <w:r>
        <w:rPr>
          <w:rFonts w:hint="eastAsia" w:ascii="宋体" w:hAnsi="宋体"/>
          <w:color w:val="000000" w:themeColor="text1"/>
          <w:szCs w:val="21"/>
          <w14:textFill>
            <w14:solidFill>
              <w14:schemeClr w14:val="tx1"/>
            </w14:solidFill>
          </w14:textFill>
        </w:rPr>
        <w:t>质疑函</w:t>
      </w:r>
      <w:r>
        <w:rPr>
          <w:rFonts w:ascii="宋体" w:hAnsi="宋体"/>
          <w:color w:val="000000" w:themeColor="text1"/>
          <w:szCs w:val="21"/>
          <w14:textFill>
            <w14:solidFill>
              <w14:schemeClr w14:val="tx1"/>
            </w14:solidFill>
          </w14:textFill>
        </w:rPr>
        <w:t>的日期</w:t>
      </w:r>
      <w:r>
        <w:rPr>
          <w:rFonts w:hint="eastAsia" w:ascii="宋体" w:hAnsi="宋体"/>
          <w:color w:val="000000" w:themeColor="text1"/>
          <w:szCs w:val="21"/>
          <w14:textFill>
            <w14:solidFill>
              <w14:schemeClr w14:val="tx1"/>
            </w14:solidFill>
          </w14:textFill>
        </w:rPr>
        <w:t>，将在收到质疑函后7个工作日内作出答复。</w:t>
      </w:r>
    </w:p>
    <w:p w14:paraId="747EA07C">
      <w:pPr>
        <w:wordWrap w:val="0"/>
        <w:adjustRightInd w:val="0"/>
        <w:spacing w:line="420" w:lineRule="exact"/>
        <w:ind w:firstLine="420" w:firstLineChars="200"/>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7、采购人、采购代理机构接收质疑函的联系人、联系电话和通讯地址等信息详见竞争性磋商公告。</w:t>
      </w:r>
    </w:p>
    <w:p w14:paraId="1570A31E">
      <w:pPr>
        <w:wordWrap w:val="0"/>
        <w:adjustRightInd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★十四、预算价</w:t>
      </w:r>
    </w:p>
    <w:p w14:paraId="3FBF84BD">
      <w:pPr>
        <w:wordWrap w:val="0"/>
        <w:adjustRightInd w:val="0"/>
        <w:spacing w:line="42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1、本项目设有预算价：</w:t>
      </w:r>
      <w:r>
        <w:rPr>
          <w:rFonts w:hint="eastAsia" w:ascii="宋体" w:hAnsi="宋体"/>
          <w:color w:val="000000" w:themeColor="text1"/>
          <w:szCs w:val="21"/>
          <w:lang w:eastAsia="zh-CN"/>
          <w14:textFill>
            <w14:solidFill>
              <w14:schemeClr w14:val="tx1"/>
            </w14:solidFill>
          </w14:textFill>
        </w:rPr>
        <w:t>详见竞争性磋商公告</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磋商报价超过预算价的作无效报价处理。</w:t>
      </w:r>
    </w:p>
    <w:p w14:paraId="5F7DE47C">
      <w:pPr>
        <w:wordWrap w:val="0"/>
        <w:adjustRightInd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十五、评审</w:t>
      </w:r>
    </w:p>
    <w:p w14:paraId="7043C6C6">
      <w:pPr>
        <w:wordWrap w:val="0"/>
        <w:adjustRightInd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1、具体详见第三章“评定成交的标准”。</w:t>
      </w:r>
    </w:p>
    <w:p w14:paraId="63E6DA2F">
      <w:pPr>
        <w:wordWrap w:val="0"/>
        <w:adjustRightInd w:val="0"/>
        <w:spacing w:line="42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十六、成交结果通知</w:t>
      </w:r>
    </w:p>
    <w:p w14:paraId="3848CC2C">
      <w:pPr>
        <w:wordWrap w:val="0"/>
        <w:spacing w:line="420" w:lineRule="exact"/>
        <w:ind w:firstLine="42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1、采购人确认评审结果后，代理机构将在相关媒体上发布成交结果公告，并向确定成交供应商发出确定成交通知书。</w:t>
      </w:r>
    </w:p>
    <w:p w14:paraId="1CAF6C97">
      <w:pPr>
        <w:wordWrap w:val="0"/>
        <w:spacing w:line="420" w:lineRule="exact"/>
        <w:ind w:firstLine="42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2、确定成交通知书发出后，若确定成交供应商放弃成交，应当承担相应的法律责任，确定成交通知书对采购人和确定成交供应商具有同等法律效力。</w:t>
      </w:r>
    </w:p>
    <w:p w14:paraId="7032C15F">
      <w:pPr>
        <w:wordWrap w:val="0"/>
        <w:adjustRightInd w:val="0"/>
        <w:spacing w:line="42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十七、签订合同</w:t>
      </w:r>
    </w:p>
    <w:p w14:paraId="3CD0D9FB">
      <w:pPr>
        <w:wordWrap w:val="0"/>
        <w:spacing w:line="42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1、确定成交供应商在确定成交通知书发出后</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153EB410">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十八、代理服务费</w:t>
      </w:r>
    </w:p>
    <w:p w14:paraId="3F25B251">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1、本项目招标代理费</w:t>
      </w:r>
      <w:r>
        <w:rPr>
          <w:rFonts w:hint="eastAsia" w:ascii="宋体" w:hAnsi="宋体" w:cs="宋体"/>
          <w:color w:val="000000" w:themeColor="text1"/>
          <w:szCs w:val="21"/>
          <w14:textFill>
            <w14:solidFill>
              <w14:schemeClr w14:val="tx1"/>
            </w14:solidFill>
          </w14:textFill>
        </w:rPr>
        <w:t>由成交供应商支付，成交供应商须在领取成交通知书前向招标代理人支付招标代理费</w:t>
      </w:r>
      <w:r>
        <w:rPr>
          <w:rFonts w:hint="eastAsia" w:ascii="宋体" w:hAnsi="宋体" w:cs="宋体"/>
          <w:color w:val="000000" w:themeColor="text1"/>
          <w:szCs w:val="21"/>
          <w:lang w:val="en-US" w:eastAsia="zh-CN"/>
          <w14:textFill>
            <w14:solidFill>
              <w14:schemeClr w14:val="tx1"/>
            </w14:solidFill>
          </w14:textFill>
        </w:rPr>
        <w:t>5000</w:t>
      </w:r>
      <w:r>
        <w:rPr>
          <w:rFonts w:hint="eastAsia" w:ascii="宋体" w:hAnsi="宋体" w:cs="宋体"/>
          <w:color w:val="000000" w:themeColor="text1"/>
          <w:szCs w:val="21"/>
          <w14:textFill>
            <w14:solidFill>
              <w14:schemeClr w14:val="tx1"/>
            </w14:solidFill>
          </w14:textFill>
        </w:rPr>
        <w:t>元整。</w:t>
      </w:r>
    </w:p>
    <w:p w14:paraId="0E0B3704">
      <w:pPr>
        <w:wordWrap w:val="0"/>
        <w:adjustRightInd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2、成交供应商应在代理机构发出成交通知书5个工作日内向本代理机构支付代理服务费。</w:t>
      </w:r>
    </w:p>
    <w:p w14:paraId="6A7E08D5">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3、代理服务费只收现金、银行票汇款、电汇款。</w:t>
      </w:r>
    </w:p>
    <w:p w14:paraId="76955E3D">
      <w:pPr>
        <w:wordWrap w:val="0"/>
        <w:spacing w:line="420" w:lineRule="exact"/>
        <w:ind w:firstLine="420" w:firstLineChars="200"/>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账户名称：</w:t>
      </w:r>
      <w:r>
        <w:rPr>
          <w:rFonts w:hint="eastAsia" w:ascii="宋体" w:hAnsi="宋体"/>
          <w:color w:val="000000" w:themeColor="text1"/>
          <w:szCs w:val="21"/>
          <w:lang w:eastAsia="zh-CN"/>
          <w14:textFill>
            <w14:solidFill>
              <w14:schemeClr w14:val="tx1"/>
            </w14:solidFill>
          </w14:textFill>
        </w:rPr>
        <w:t>宁波立勤工程管理咨询有限公司</w:t>
      </w:r>
    </w:p>
    <w:p w14:paraId="089915AD">
      <w:pPr>
        <w:wordWrap w:val="0"/>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r>
        <w:rPr>
          <w:rFonts w:hint="eastAsia" w:ascii="宋体" w:hAnsi="宋体" w:eastAsia="宋体" w:cs="宋体"/>
          <w:color w:val="auto"/>
          <w:sz w:val="21"/>
          <w:szCs w:val="21"/>
          <w:highlight w:val="none"/>
          <w:lang w:val="en-US" w:eastAsia="zh-CN"/>
        </w:rPr>
        <w:t>中信银行宁波北仑支行</w:t>
      </w:r>
    </w:p>
    <w:p w14:paraId="03E1D5A4">
      <w:pPr>
        <w:wordWrap w:val="0"/>
        <w:spacing w:line="42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银行账号：</w:t>
      </w:r>
      <w:r>
        <w:rPr>
          <w:rFonts w:hint="eastAsia" w:ascii="宋体" w:hAnsi="宋体" w:eastAsia="宋体" w:cs="宋体"/>
          <w:color w:val="auto"/>
          <w:sz w:val="21"/>
          <w:szCs w:val="21"/>
          <w:highlight w:val="none"/>
          <w:lang w:val="en-US"/>
        </w:rPr>
        <w:t>8114701012900299719</w:t>
      </w:r>
    </w:p>
    <w:p w14:paraId="27B400C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bCs/>
          <w:color w:val="000000" w:themeColor="text1"/>
          <w:sz w:val="22"/>
          <w:szCs w:val="22"/>
          <w14:textFill>
            <w14:solidFill>
              <w14:schemeClr w14:val="tx1"/>
            </w14:solidFill>
          </w14:textFill>
        </w:rPr>
        <w:t>成交供应商如未按以上1条和2条规定办理，本采购代理公司有权对服务费进行追索。</w:t>
      </w:r>
    </w:p>
    <w:p w14:paraId="097036E0">
      <w:pPr>
        <w:wordWrap w:val="0"/>
        <w:spacing w:line="420" w:lineRule="exact"/>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十九、特别说明</w:t>
      </w:r>
    </w:p>
    <w:p w14:paraId="5DA0B566">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bookmarkStart w:id="10" w:name="_Toc436408700"/>
      <w:bookmarkStart w:id="11" w:name="_Toc419729150"/>
      <w:bookmarkStart w:id="12" w:name="_Toc40625909"/>
      <w:bookmarkStart w:id="13" w:name="_Toc441316546"/>
      <w:bookmarkStart w:id="14" w:name="_Toc419729158"/>
      <w:r>
        <w:rPr>
          <w:rFonts w:hint="eastAsia" w:ascii="宋体" w:hAnsi="宋体"/>
          <w:color w:val="000000" w:themeColor="text1"/>
          <w:szCs w:val="21"/>
          <w14:textFill>
            <w14:solidFill>
              <w14:schemeClr w14:val="tx1"/>
            </w14:solidFill>
          </w14:textFill>
        </w:rPr>
        <w:t>1、执行财政部、工业和信息化部《政府采购促进中小企业发展管理办法》（财库〔2020〕46号）。政府采购活动中有关中小企业的相关规定如下：</w:t>
      </w:r>
    </w:p>
    <w:p w14:paraId="73BF7789">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234E7C67">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符合中小企业划分标准的个体工商户，在政府采购活动中视同中小企业。</w:t>
      </w:r>
    </w:p>
    <w:p w14:paraId="70D0C6A5">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1.2在政府采购活动中，供应商提供的货物、工程或者服务符合下列情形的，享受《政府采购促进中小企业发展管理办法》规定的中小企业扶持政策：</w:t>
      </w:r>
    </w:p>
    <w:p w14:paraId="419291B5">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（1）在货物采购项目中，货物由中小企业制造，即货物由中小企业生产且使用该中小企业商号或者注册商标；</w:t>
      </w:r>
    </w:p>
    <w:p w14:paraId="227EEC7F">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（2）在工程采购项目中，工程由中小企业承建，即工程施工单位为中小企业；</w:t>
      </w:r>
    </w:p>
    <w:p w14:paraId="1ED6D087">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（3）在服务采购项目中，服务由中小企业承接，即提供服务的人员为中小企业依照《中华人民共和国劳动合同法》订立劳动合同的从业人员。</w:t>
      </w:r>
    </w:p>
    <w:p w14:paraId="5597191B">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在货物采购项目中，供应商提供的货物既有中小企业制造货物，也有大型企业制造货物的，不享受《政府采购促进中小企业发展管理办法》规定的中小企业扶持政策。</w:t>
      </w:r>
    </w:p>
    <w:p w14:paraId="1658D311">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12F119C0">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1.3中小企业参加政府采购活动，应当出具《政府采购促进中小企业发展管理办法》规定的《中小企业声明函》（格式见本采购文件附件），否则不得享受相关中小企业扶持政策。</w:t>
      </w:r>
    </w:p>
    <w:p w14:paraId="79737D95">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1A6445C">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供应商提供声明函内容不实的，属于提供虚假材料谋取中标、成交，依照《中华人民共和国政府采购法》等国家有关规定追究相应责任。</w:t>
      </w:r>
    </w:p>
    <w:p w14:paraId="29946288">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适用招标投标法的政府采购工程建设项目，供应商提供声明函内容不实的，属于弄虚作假骗取中标，依照《中华人民共和国招标投标法》等国家有关规定追究相应责任。</w:t>
      </w:r>
    </w:p>
    <w:p w14:paraId="4BDF41C6">
      <w:pPr>
        <w:wordWrap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1.5《中小企业声明函》由参加投标的供应商提交，如供应商为代理商，须自行采集制造商的中小企业划分类型信息填入相应栏目并对其真实性负责。</w:t>
      </w:r>
    </w:p>
    <w:p w14:paraId="4A67242C">
      <w:pPr>
        <w:wordWrap w:val="0"/>
        <w:spacing w:line="420" w:lineRule="exact"/>
        <w:ind w:firstLine="420" w:firstLineChars="200"/>
        <w:jc w:val="left"/>
        <w:rPr>
          <w:rFonts w:ascii="宋体" w:hAnsi="宋体"/>
          <w:color w:val="000000" w:themeColor="text1"/>
          <w:szCs w:val="21"/>
          <w14:textFill>
            <w14:solidFill>
              <w14:schemeClr w14:val="tx1"/>
            </w14:solidFill>
          </w14:textFill>
        </w:rPr>
      </w:pPr>
      <w:bookmarkStart w:id="15" w:name="_Toc495244277"/>
      <w:bookmarkStart w:id="16" w:name="_Toc102912881"/>
      <w:bookmarkStart w:id="17" w:name="_Toc21541015"/>
      <w:bookmarkStart w:id="18" w:name="_Toc60671247"/>
      <w:bookmarkStart w:id="19" w:name="_Toc60671166"/>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5"/>
      <w:bookmarkEnd w:id="16"/>
      <w:bookmarkEnd w:id="17"/>
      <w:bookmarkEnd w:id="18"/>
      <w:bookmarkEnd w:id="19"/>
    </w:p>
    <w:p w14:paraId="489C9586">
      <w:pPr>
        <w:wordWrap w:val="0"/>
        <w:spacing w:line="420" w:lineRule="exact"/>
        <w:ind w:firstLine="420" w:firstLineChars="200"/>
        <w:jc w:val="left"/>
        <w:rPr>
          <w:rFonts w:ascii="宋体" w:hAnsi="宋体" w:cs="宋体"/>
          <w:bCs/>
          <w:color w:val="000000" w:themeColor="text1"/>
          <w:szCs w:val="21"/>
          <w14:textFill>
            <w14:solidFill>
              <w14:schemeClr w14:val="tx1"/>
            </w14:solidFill>
          </w14:textFill>
        </w:rPr>
      </w:pPr>
      <w:bookmarkStart w:id="20" w:name="_Toc60671248"/>
      <w:bookmarkStart w:id="21" w:name="_Toc60671167"/>
      <w:bookmarkStart w:id="22" w:name="_Toc21541016"/>
      <w:bookmarkStart w:id="23" w:name="_Toc102912882"/>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执行财政部、民政部、中国残疾人联合会《关于促进残疾人就业政府采购政策的通知》。</w:t>
      </w:r>
      <w:r>
        <w:rPr>
          <w:rFonts w:hint="eastAsia" w:ascii="宋体" w:hAnsi="宋体"/>
          <w:color w:val="000000" w:themeColor="text1"/>
          <w:szCs w:val="21"/>
          <w14:textFill>
            <w14:solidFill>
              <w14:schemeClr w14:val="tx1"/>
            </w14:solidFill>
          </w14:textFill>
        </w:rPr>
        <w:t>在政府采购活动中，</w:t>
      </w:r>
      <w:r>
        <w:rPr>
          <w:rFonts w:hint="eastAsia" w:ascii="宋体" w:hAnsi="宋体" w:cs="宋体"/>
          <w:bCs/>
          <w:color w:val="000000" w:themeColor="text1"/>
          <w:szCs w:val="21"/>
          <w14:textFill>
            <w14:solidFill>
              <w14:schemeClr w14:val="tx1"/>
            </w14:solidFill>
          </w14:textFill>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w:t>
      </w:r>
      <w:r>
        <w:rPr>
          <w:rFonts w:hint="eastAsia" w:ascii="宋体" w:hAnsi="宋体"/>
          <w:color w:val="000000" w:themeColor="text1"/>
          <w:szCs w:val="21"/>
          <w14:textFill>
            <w14:solidFill>
              <w14:schemeClr w14:val="tx1"/>
            </w14:solidFill>
          </w14:textFill>
        </w:rPr>
        <w:t>未能提供的不予认可。</w:t>
      </w:r>
      <w:bookmarkEnd w:id="20"/>
      <w:bookmarkEnd w:id="21"/>
      <w:bookmarkEnd w:id="22"/>
      <w:bookmarkEnd w:id="23"/>
    </w:p>
    <w:p w14:paraId="0A3F1CA2">
      <w:pPr>
        <w:wordWrap w:val="0"/>
        <w:spacing w:line="420" w:lineRule="exact"/>
        <w:ind w:firstLine="420" w:firstLineChars="200"/>
        <w:jc w:val="left"/>
        <w:rPr>
          <w:rFonts w:ascii="宋体" w:hAnsi="宋体"/>
          <w:color w:val="000000" w:themeColor="text1"/>
          <w:szCs w:val="21"/>
          <w14:textFill>
            <w14:solidFill>
              <w14:schemeClr w14:val="tx1"/>
            </w14:solidFill>
          </w14:textFill>
        </w:rPr>
      </w:pPr>
      <w:bookmarkStart w:id="24" w:name="_Toc60671168"/>
      <w:bookmarkStart w:id="25" w:name="_Toc21541017"/>
      <w:bookmarkStart w:id="26" w:name="_Toc102912883"/>
      <w:bookmarkStart w:id="27" w:name="_Toc60671249"/>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、本项目不组织潜在供应商现场考察或者召开开标前答疑。</w:t>
      </w:r>
      <w:bookmarkEnd w:id="24"/>
      <w:bookmarkEnd w:id="25"/>
      <w:bookmarkEnd w:id="26"/>
      <w:bookmarkEnd w:id="27"/>
    </w:p>
    <w:bookmarkEnd w:id="10"/>
    <w:bookmarkEnd w:id="11"/>
    <w:bookmarkEnd w:id="12"/>
    <w:bookmarkEnd w:id="13"/>
    <w:p w14:paraId="1E169FFD">
      <w:pPr>
        <w:wordWrap w:val="0"/>
        <w:adjustRightInd w:val="0"/>
        <w:spacing w:line="420" w:lineRule="exact"/>
        <w:ind w:firstLine="420" w:firstLineChars="200"/>
        <w:jc w:val="left"/>
        <w:rPr>
          <w:rFonts w:hint="eastAsia" w:ascii="宋体" w:hAnsi="宋体"/>
          <w:bCs/>
          <w:color w:val="000000" w:themeColor="text1"/>
          <w:szCs w:val="21"/>
          <w14:textFill>
            <w14:solidFill>
              <w14:schemeClr w14:val="tx1"/>
            </w14:solidFill>
          </w14:textFill>
        </w:rPr>
      </w:pPr>
      <w:bookmarkStart w:id="28" w:name="_Toc441316554"/>
      <w:bookmarkStart w:id="29" w:name="_Toc436408708"/>
      <w:r>
        <w:rPr>
          <w:rFonts w:hint="eastAsia" w:ascii="宋体" w:hAnsi="宋体"/>
          <w:color w:val="000000" w:themeColor="text1"/>
          <w:szCs w:val="21"/>
          <w14:textFill>
            <w14:solidFill>
              <w14:schemeClr w14:val="tx1"/>
            </w14:solidFill>
          </w14:textFill>
        </w:rPr>
        <w:t>5、本</w:t>
      </w:r>
      <w:r>
        <w:rPr>
          <w:rFonts w:hint="eastAsia" w:ascii="宋体" w:hAnsi="宋体" w:cs="宋体"/>
          <w:color w:val="000000" w:themeColor="text1"/>
          <w14:textFill>
            <w14:solidFill>
              <w14:schemeClr w14:val="tx1"/>
            </w14:solidFill>
          </w14:textFill>
        </w:rPr>
        <w:t>竞争性磋商文件</w:t>
      </w:r>
      <w:r>
        <w:rPr>
          <w:rFonts w:hint="eastAsia" w:ascii="宋体" w:hAnsi="宋体"/>
          <w:color w:val="000000" w:themeColor="text1"/>
          <w:szCs w:val="21"/>
          <w14:textFill>
            <w14:solidFill>
              <w14:schemeClr w14:val="tx1"/>
            </w14:solidFill>
          </w14:textFill>
        </w:rPr>
        <w:t>未及事项，在签订合同时供需双方友好商定。</w:t>
      </w:r>
      <w:bookmarkEnd w:id="28"/>
      <w:bookmarkEnd w:id="29"/>
    </w:p>
    <w:p w14:paraId="7D3C6122">
      <w:pPr>
        <w:wordWrap w:val="0"/>
        <w:adjustRightInd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w:t>
      </w:r>
      <w:bookmarkEnd w:id="14"/>
      <w:bookmarkStart w:id="30" w:name="_Toc419729159"/>
      <w:r>
        <w:rPr>
          <w:rFonts w:hint="eastAsia" w:ascii="宋体" w:hAnsi="宋体"/>
          <w:bCs/>
          <w:color w:val="000000" w:themeColor="text1"/>
          <w:szCs w:val="21"/>
          <w14:textFill>
            <w14:solidFill>
              <w14:schemeClr w14:val="tx1"/>
            </w14:solidFill>
          </w14:textFill>
        </w:rPr>
        <w:t>本</w:t>
      </w:r>
      <w:r>
        <w:rPr>
          <w:rFonts w:hint="eastAsia" w:ascii="宋体" w:hAnsi="宋体" w:cs="宋体"/>
          <w:color w:val="000000" w:themeColor="text1"/>
          <w14:textFill>
            <w14:solidFill>
              <w14:schemeClr w14:val="tx1"/>
            </w14:solidFill>
          </w14:textFill>
        </w:rPr>
        <w:t>竞争性磋商文件</w:t>
      </w:r>
      <w:r>
        <w:rPr>
          <w:rFonts w:hint="eastAsia" w:ascii="宋体" w:hAnsi="宋体"/>
          <w:bCs/>
          <w:color w:val="000000" w:themeColor="text1"/>
          <w:szCs w:val="21"/>
          <w14:textFill>
            <w14:solidFill>
              <w14:schemeClr w14:val="tx1"/>
            </w14:solidFill>
          </w14:textFill>
        </w:rPr>
        <w:t>解释权归采购人。</w:t>
      </w:r>
      <w:bookmarkEnd w:id="30"/>
    </w:p>
    <w:p w14:paraId="4A710D81">
      <w:pPr>
        <w:wordWrap w:val="0"/>
        <w:spacing w:line="400" w:lineRule="exact"/>
        <w:rPr>
          <w:rFonts w:hint="eastAsia" w:ascii="宋体" w:hAnsi="宋体"/>
          <w:b/>
          <w:color w:val="000000" w:themeColor="text1"/>
          <w:szCs w:val="21"/>
          <w14:textFill>
            <w14:solidFill>
              <w14:schemeClr w14:val="tx1"/>
            </w14:solidFill>
          </w14:textFill>
        </w:rPr>
        <w:sectPr>
          <w:footerReference r:id="rId7" w:type="default"/>
          <w:type w:val="nextColumn"/>
          <w:pgSz w:w="11907" w:h="16840"/>
          <w:pgMar w:top="1134" w:right="1474" w:bottom="1134" w:left="1474" w:header="1134" w:footer="1134" w:gutter="0"/>
          <w:pgNumType w:start="1"/>
          <w:cols w:space="720" w:num="1"/>
          <w:docGrid w:linePitch="285" w:charSpace="0"/>
        </w:sectPr>
      </w:pPr>
    </w:p>
    <w:p w14:paraId="016526A2">
      <w:pPr>
        <w:wordWrap w:val="0"/>
        <w:spacing w:line="500" w:lineRule="exact"/>
        <w:jc w:val="center"/>
        <w:outlineLvl w:val="0"/>
        <w:rPr>
          <w:rFonts w:hint="eastAsia" w:ascii="宋体" w:hAnsi="宋体"/>
          <w:b/>
          <w:color w:val="000000" w:themeColor="text1"/>
          <w:sz w:val="24"/>
          <w:szCs w:val="24"/>
          <w14:textFill>
            <w14:solidFill>
              <w14:schemeClr w14:val="tx1"/>
            </w14:solidFill>
          </w14:textFill>
        </w:rPr>
      </w:pPr>
      <w:bookmarkStart w:id="31" w:name="_Toc387409457"/>
      <w:bookmarkStart w:id="32" w:name="_Toc102912964"/>
      <w:bookmarkStart w:id="33" w:name="_Toc22181"/>
      <w:bookmarkStart w:id="34" w:name="_Toc28418"/>
      <w:bookmarkStart w:id="35" w:name="_Toc21522"/>
      <w:bookmarkStart w:id="36" w:name="OLE_LINK1"/>
      <w:r>
        <w:rPr>
          <w:rFonts w:hint="eastAsia" w:ascii="宋体" w:hAnsi="宋体"/>
          <w:b/>
          <w:color w:val="000000" w:themeColor="text1"/>
          <w:sz w:val="24"/>
          <w:szCs w:val="24"/>
          <w14:textFill>
            <w14:solidFill>
              <w14:schemeClr w14:val="tx1"/>
            </w14:solidFill>
          </w14:textFill>
        </w:rPr>
        <w:t>第三章  评定成交的标准</w:t>
      </w:r>
      <w:bookmarkEnd w:id="31"/>
      <w:bookmarkEnd w:id="32"/>
      <w:bookmarkEnd w:id="33"/>
    </w:p>
    <w:bookmarkEnd w:id="34"/>
    <w:bookmarkEnd w:id="35"/>
    <w:p w14:paraId="33EA0350">
      <w:pPr>
        <w:wordWrap w:val="0"/>
        <w:autoSpaceDE w:val="0"/>
        <w:autoSpaceDN w:val="0"/>
        <w:adjustRightInd w:val="0"/>
        <w:spacing w:line="440" w:lineRule="exact"/>
        <w:ind w:firstLine="422" w:firstLineChars="200"/>
        <w:jc w:val="left"/>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一、评审方法</w:t>
      </w:r>
    </w:p>
    <w:p w14:paraId="4F7DBFD8">
      <w:pPr>
        <w:wordWrap w:val="0"/>
        <w:autoSpaceDE w:val="0"/>
        <w:autoSpaceDN w:val="0"/>
        <w:adjustRightInd w:val="0"/>
        <w:spacing w:line="440" w:lineRule="exact"/>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1、本项目采用综合评分法。评审得分满分100分，磋商小组按照评审得分由高到低顺序进行排序，推荐成交候选供应商。若评审得分相同，</w:t>
      </w:r>
      <w:r>
        <w:rPr>
          <w:rFonts w:hint="eastAsia" w:ascii="宋体" w:hAnsi="宋体"/>
          <w:color w:val="000000" w:themeColor="text1"/>
          <w:szCs w:val="21"/>
          <w14:textFill>
            <w14:solidFill>
              <w14:schemeClr w14:val="tx1"/>
            </w14:solidFill>
          </w14:textFill>
        </w:rPr>
        <w:t>则响应报价低者列前；若响应报价也相同时，</w:t>
      </w:r>
      <w:r>
        <w:rPr>
          <w:rFonts w:hint="eastAsia" w:ascii="宋体" w:hAnsi="宋体" w:cs="宋体"/>
          <w:color w:val="000000" w:themeColor="text1"/>
          <w14:textFill>
            <w14:solidFill>
              <w14:schemeClr w14:val="tx1"/>
            </w14:solidFill>
          </w14:textFill>
        </w:rPr>
        <w:t>则采取抽签方式确定排序。</w:t>
      </w:r>
    </w:p>
    <w:p w14:paraId="3DAC2CE2">
      <w:pPr>
        <w:wordWrap w:val="0"/>
        <w:autoSpaceDE w:val="0"/>
        <w:autoSpaceDN w:val="0"/>
        <w:adjustRightInd w:val="0"/>
        <w:spacing w:line="440" w:lineRule="exact"/>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2、本项目需要落实的政府采购政策：</w:t>
      </w:r>
      <w:bookmarkStart w:id="37" w:name="_Hlk35433721"/>
      <w:r>
        <w:rPr>
          <w:rFonts w:hint="eastAsia" w:ascii="宋体" w:hAnsi="宋体" w:cs="宋体"/>
          <w:color w:val="000000" w:themeColor="text1"/>
          <w14:textFill>
            <w14:solidFill>
              <w14:schemeClr w14:val="tx1"/>
            </w14:solidFill>
          </w14:textFill>
        </w:rPr>
        <w:t>《关于促进残疾人就业政府采购政策的通知》（财库[2017]141号）、《政府采购促进中小企业发展管理办法》（财库〔2020〕46号）、《关于政府采购支持监狱企业发展有关问题的通知》（财库[2014]68号）。</w:t>
      </w:r>
    </w:p>
    <w:bookmarkEnd w:id="37"/>
    <w:p w14:paraId="19A52215">
      <w:pPr>
        <w:shd w:val="clear" w:color="auto" w:fill="auto"/>
        <w:spacing w:line="400"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3、本次采购为本项目为</w:t>
      </w:r>
      <w:r>
        <w:rPr>
          <w:rFonts w:hint="eastAsia" w:ascii="宋体" w:hAnsi="宋体"/>
          <w:color w:val="000000" w:themeColor="text1"/>
          <w:szCs w:val="21"/>
          <w:lang w:val="en-US" w:eastAsia="zh-CN"/>
          <w14:textFill>
            <w14:solidFill>
              <w14:schemeClr w14:val="tx1"/>
            </w14:solidFill>
          </w14:textFill>
        </w:rPr>
        <w:t>非</w:t>
      </w:r>
      <w:r>
        <w:rPr>
          <w:rFonts w:hint="eastAsia" w:ascii="宋体" w:hAnsi="宋体"/>
          <w:color w:val="000000" w:themeColor="text1"/>
          <w:szCs w:val="21"/>
          <w14:textFill>
            <w14:solidFill>
              <w14:schemeClr w14:val="tx1"/>
            </w14:solidFill>
          </w14:textFill>
        </w:rPr>
        <w:t>专门面向中小企业采购</w:t>
      </w:r>
      <w:r>
        <w:rPr>
          <w:rFonts w:hint="eastAsia" w:ascii="宋体" w:hAnsi="宋体"/>
          <w:color w:val="000000" w:themeColor="text1"/>
          <w:szCs w:val="2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采购标的对应的中小企业划分标准所属行业为：</w:t>
      </w:r>
      <w:r>
        <w:rPr>
          <w:rFonts w:hint="eastAsia" w:ascii="宋体" w:hAnsi="宋体" w:cs="宋体"/>
          <w:b/>
          <w:bCs/>
          <w:color w:val="000000" w:themeColor="text1"/>
          <w:u w:val="single"/>
          <w14:textFill>
            <w14:solidFill>
              <w14:schemeClr w14:val="tx1"/>
            </w14:solidFill>
          </w14:textFill>
        </w:rPr>
        <w:t>软件和信息技术服务业</w:t>
      </w:r>
      <w:r>
        <w:rPr>
          <w:rFonts w:hint="eastAsia" w:ascii="宋体" w:hAnsi="宋体"/>
          <w:color w:val="000000" w:themeColor="text1"/>
          <w:szCs w:val="21"/>
          <w:highlight w:val="none"/>
          <w14:textFill>
            <w14:solidFill>
              <w14:schemeClr w14:val="tx1"/>
            </w14:solidFill>
          </w14:textFill>
        </w:rPr>
        <w:t>。</w:t>
      </w:r>
      <w:r>
        <w:rPr>
          <w:rFonts w:ascii="宋体" w:hAnsi="宋体"/>
          <w:color w:val="000000"/>
          <w:szCs w:val="21"/>
        </w:rPr>
        <w:t>本次评标将对中小企业声明函满足招标文件要求的</w:t>
      </w:r>
      <w:r>
        <w:rPr>
          <w:rFonts w:hint="eastAsia" w:ascii="宋体" w:hAnsi="宋体"/>
          <w:color w:val="000000"/>
          <w:szCs w:val="21"/>
          <w:lang w:val="en-US" w:eastAsia="zh-CN"/>
        </w:rPr>
        <w:t>服务供应商</w:t>
      </w:r>
      <w:r>
        <w:rPr>
          <w:rFonts w:ascii="宋体" w:hAnsi="宋体"/>
          <w:color w:val="000000"/>
          <w:szCs w:val="21"/>
        </w:rPr>
        <w:t>为小微企业的价格给予</w:t>
      </w:r>
      <w:r>
        <w:rPr>
          <w:rFonts w:hint="eastAsia" w:ascii="宋体" w:hAnsi="宋体"/>
          <w:color w:val="000000"/>
          <w:szCs w:val="21"/>
        </w:rPr>
        <w:t>10</w:t>
      </w:r>
      <w:r>
        <w:rPr>
          <w:rFonts w:ascii="宋体" w:hAnsi="宋体"/>
          <w:color w:val="000000"/>
          <w:szCs w:val="21"/>
        </w:rPr>
        <w:t>%的扣除，用扣除后的价格参与评审。价格扣除只用于评审过程，如中标，中标价格仍按照其投标价格进行公示</w:t>
      </w:r>
      <w:r>
        <w:rPr>
          <w:rFonts w:hint="eastAsia" w:ascii="宋体" w:hAnsi="宋体"/>
          <w:color w:val="000000"/>
          <w:szCs w:val="21"/>
          <w:lang w:eastAsia="zh-CN"/>
        </w:rPr>
        <w:t>。</w:t>
      </w:r>
    </w:p>
    <w:p w14:paraId="45080193">
      <w:pPr>
        <w:wordWrap w:val="0"/>
        <w:spacing w:line="440" w:lineRule="exact"/>
        <w:ind w:left="-2" w:leftChars="-1"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磋商小组成员</w:t>
      </w:r>
      <w:r>
        <w:rPr>
          <w:rFonts w:hint="eastAsia" w:ascii="宋体" w:hAnsi="宋体"/>
          <w:color w:val="000000" w:themeColor="text1"/>
          <w:szCs w:val="21"/>
          <w14:textFill>
            <w14:solidFill>
              <w14:schemeClr w14:val="tx1"/>
            </w14:solidFill>
          </w14:textFill>
        </w:rPr>
        <w:t>对需要共同认定的事项存在争议的，应当按照少数服从多数的原则作出结论。</w:t>
      </w:r>
    </w:p>
    <w:p w14:paraId="4C6D9F02">
      <w:pPr>
        <w:wordWrap w:val="0"/>
        <w:autoSpaceDE w:val="0"/>
        <w:autoSpaceDN w:val="0"/>
        <w:adjustRightInd w:val="0"/>
        <w:spacing w:line="440" w:lineRule="exact"/>
        <w:ind w:firstLine="422" w:firstLineChars="200"/>
        <w:jc w:val="left"/>
        <w:rPr>
          <w:rFonts w:hint="eastAsia" w:ascii="宋体" w:hAnsi="宋体"/>
          <w:b/>
          <w:color w:val="000000" w:themeColor="text1"/>
          <w:kern w:val="0"/>
          <w:szCs w:val="21"/>
          <w14:textFill>
            <w14:solidFill>
              <w14:schemeClr w14:val="tx1"/>
            </w14:solidFill>
          </w14:textFill>
        </w:rPr>
      </w:pPr>
      <w:bookmarkStart w:id="38" w:name="_Toc387409459"/>
      <w:bookmarkStart w:id="39" w:name="_Toc462213330"/>
      <w:bookmarkStart w:id="40" w:name="_Toc214700098"/>
      <w:bookmarkStart w:id="41" w:name="_Toc237939770"/>
      <w:bookmarkStart w:id="42" w:name="_Toc214700230"/>
      <w:bookmarkStart w:id="43" w:name="_Toc462213257"/>
      <w:bookmarkStart w:id="44" w:name="_Toc462179376"/>
      <w:bookmarkStart w:id="45" w:name="_Toc462213213"/>
      <w:r>
        <w:rPr>
          <w:rFonts w:hint="eastAsia" w:ascii="宋体" w:hAnsi="宋体"/>
          <w:b/>
          <w:color w:val="000000" w:themeColor="text1"/>
          <w:kern w:val="0"/>
          <w:szCs w:val="21"/>
          <w14:textFill>
            <w14:solidFill>
              <w14:schemeClr w14:val="tx1"/>
            </w14:solidFill>
          </w14:textFill>
        </w:rPr>
        <w:t>二、磋商小组</w:t>
      </w:r>
      <w:bookmarkEnd w:id="38"/>
      <w:bookmarkEnd w:id="39"/>
      <w:bookmarkEnd w:id="40"/>
      <w:bookmarkEnd w:id="41"/>
      <w:bookmarkEnd w:id="42"/>
      <w:bookmarkEnd w:id="43"/>
      <w:bookmarkEnd w:id="44"/>
      <w:bookmarkEnd w:id="45"/>
    </w:p>
    <w:p w14:paraId="63C6C4A6">
      <w:pPr>
        <w:wordWrap w:val="0"/>
        <w:autoSpaceDE w:val="0"/>
        <w:autoSpaceDN w:val="0"/>
        <w:adjustRightInd w:val="0"/>
        <w:spacing w:line="360" w:lineRule="auto"/>
        <w:ind w:firstLine="420" w:firstLineChars="200"/>
        <w:jc w:val="left"/>
        <w:rPr>
          <w:rFonts w:hint="eastAsia" w:ascii="宋体" w:hAnsi="宋体"/>
          <w:color w:val="000000" w:themeColor="text1"/>
          <w:kern w:val="0"/>
          <w:szCs w:val="21"/>
          <w14:textFill>
            <w14:solidFill>
              <w14:schemeClr w14:val="tx1"/>
            </w14:solidFill>
          </w14:textFill>
        </w:rPr>
      </w:pPr>
      <w:bookmarkStart w:id="46" w:name="_Toc214700099"/>
      <w:bookmarkStart w:id="47" w:name="_Toc214700231"/>
      <w:r>
        <w:rPr>
          <w:rFonts w:hint="eastAsia" w:ascii="宋体" w:hAnsi="宋体"/>
          <w:color w:val="000000" w:themeColor="text1"/>
          <w:kern w:val="0"/>
          <w:szCs w:val="21"/>
          <w14:textFill>
            <w14:solidFill>
              <w14:schemeClr w14:val="tx1"/>
            </w14:solidFill>
          </w14:textFill>
        </w:rPr>
        <w:t>1、采购人依法组建磋商小组，磋商小组</w:t>
      </w:r>
      <w:r>
        <w:rPr>
          <w:rFonts w:ascii="宋体" w:hAnsi="宋体"/>
          <w:color w:val="000000" w:themeColor="text1"/>
          <w:szCs w:val="21"/>
          <w14:textFill>
            <w14:solidFill>
              <w14:schemeClr w14:val="tx1"/>
            </w14:solidFill>
          </w14:textFill>
        </w:rPr>
        <w:t>由采购人代表和专家组成</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负责对磋商响应文件进行评审；</w:t>
      </w:r>
      <w:r>
        <w:rPr>
          <w:rFonts w:hint="eastAsia" w:ascii="宋体" w:hAnsi="宋体"/>
          <w:color w:val="000000" w:themeColor="text1"/>
          <w:szCs w:val="21"/>
          <w14:textFill>
            <w14:solidFill>
              <w14:schemeClr w14:val="tx1"/>
            </w14:solidFill>
          </w14:textFill>
        </w:rPr>
        <w:t>评审专家将按规定在政府采购评审专家库中随机抽取。磋商小组成员名单在磋商结果确定之前依法保密</w:t>
      </w:r>
      <w:r>
        <w:rPr>
          <w:rFonts w:hint="eastAsia" w:ascii="宋体" w:hAnsi="宋体"/>
          <w:color w:val="000000" w:themeColor="text1"/>
          <w:kern w:val="0"/>
          <w:szCs w:val="21"/>
          <w14:textFill>
            <w14:solidFill>
              <w14:schemeClr w14:val="tx1"/>
            </w14:solidFill>
          </w14:textFill>
        </w:rPr>
        <w:t>。</w:t>
      </w:r>
      <w:bookmarkEnd w:id="46"/>
      <w:bookmarkEnd w:id="47"/>
    </w:p>
    <w:p w14:paraId="4DD93F7D">
      <w:pPr>
        <w:wordWrap w:val="0"/>
        <w:autoSpaceDE w:val="0"/>
        <w:autoSpaceDN w:val="0"/>
        <w:adjustRightInd w:val="0"/>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0B2FC624">
      <w:pPr>
        <w:wordWrap w:val="0"/>
        <w:autoSpaceDE w:val="0"/>
        <w:autoSpaceDN w:val="0"/>
        <w:adjustRightInd w:val="0"/>
        <w:spacing w:line="360" w:lineRule="auto"/>
        <w:ind w:firstLine="420" w:firstLineChars="2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3、磋商小组所有成员应当集中与单一供应商分别进行磋商，并给予所有参加磋商的供应商平等的磋商机会。</w:t>
      </w:r>
    </w:p>
    <w:p w14:paraId="76D03930">
      <w:pPr>
        <w:wordWrap w:val="0"/>
        <w:autoSpaceDE w:val="0"/>
        <w:autoSpaceDN w:val="0"/>
        <w:adjustRightInd w:val="0"/>
        <w:spacing w:line="360" w:lineRule="auto"/>
        <w:ind w:firstLine="422" w:firstLineChars="200"/>
        <w:jc w:val="left"/>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三、磋商程序</w:t>
      </w:r>
    </w:p>
    <w:p w14:paraId="453D8255">
      <w:pPr>
        <w:pStyle w:val="18"/>
        <w:spacing w:line="360" w:lineRule="auto"/>
        <w:ind w:firstLine="413" w:firstLineChars="196"/>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（一）磋商准备</w:t>
      </w:r>
    </w:p>
    <w:p w14:paraId="1CF49DF2">
      <w:pPr>
        <w:pStyle w:val="18"/>
        <w:spacing w:line="360" w:lineRule="auto"/>
        <w:ind w:firstLine="411" w:firstLineChars="196"/>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采购代理机构将在规定的时间和地点进行磋商，供应商的法定代表人或授权代表可参加磋商会议。供应商的法定代表人或授权代表未参加磋商会议的，视同放弃磋商权利、认可磋商结果。</w:t>
      </w:r>
    </w:p>
    <w:p w14:paraId="51EDEE8D">
      <w:pPr>
        <w:pStyle w:val="18"/>
        <w:spacing w:line="360" w:lineRule="auto"/>
        <w:ind w:firstLine="413" w:firstLineChars="196"/>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（二）磋商程序：</w:t>
      </w:r>
    </w:p>
    <w:p w14:paraId="6CCDE680">
      <w:pPr>
        <w:spacing w:line="360" w:lineRule="auto"/>
        <w:ind w:firstLine="420" w:firstLineChars="200"/>
        <w:jc w:val="left"/>
        <w:rPr>
          <w:rFonts w:hint="eastAsia" w:ascii="宋体" w:hAnsi="宋体" w:cs="宋体"/>
          <w:bCs/>
          <w:color w:val="000000" w:themeColor="text1"/>
          <w:szCs w:val="21"/>
          <w:lang w:bidi="ar"/>
          <w14:textFill>
            <w14:solidFill>
              <w14:schemeClr w14:val="tx1"/>
            </w14:solidFill>
          </w14:textFill>
        </w:rPr>
      </w:pPr>
      <w:r>
        <w:rPr>
          <w:rFonts w:hint="eastAsia" w:ascii="宋体" w:hAnsi="宋体" w:cs="宋体"/>
          <w:bCs/>
          <w:color w:val="000000" w:themeColor="text1"/>
          <w:szCs w:val="21"/>
          <w:lang w:bidi="ar"/>
          <w14:textFill>
            <w14:solidFill>
              <w14:schemeClr w14:val="tx1"/>
            </w14:solidFill>
          </w14:textFill>
        </w:rPr>
        <w:t>1、电子招投标开评标程序：</w:t>
      </w:r>
    </w:p>
    <w:p w14:paraId="0EB1A72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第一阶段：</w:t>
      </w:r>
    </w:p>
    <w:p w14:paraId="21DF155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（1）首次递交响应文件截止时间后，供应商登录政府采购云平台，用“项目采购-开标评标”功能对电子响应文件进行在线解密，在线解密电子响应文件时间为开标时间后30分钟内。</w:t>
      </w:r>
    </w:p>
    <w:p w14:paraId="0B01D1C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第二阶段：</w:t>
      </w:r>
    </w:p>
    <w:p w14:paraId="275AC2DD">
      <w:pPr>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（1）采购人或</w:t>
      </w:r>
      <w:r>
        <w:rPr>
          <w:rFonts w:ascii="宋体" w:hAnsi="宋体" w:cs="宋体"/>
          <w:color w:val="000000" w:themeColor="text1"/>
          <w:szCs w:val="21"/>
          <w14:textFill>
            <w14:solidFill>
              <w14:schemeClr w14:val="tx1"/>
            </w14:solidFill>
          </w14:textFill>
        </w:rPr>
        <w:t>代理机构</w:t>
      </w:r>
      <w:r>
        <w:rPr>
          <w:rFonts w:hint="eastAsia" w:ascii="宋体" w:hAnsi="宋体" w:cs="宋体"/>
          <w:color w:val="000000" w:themeColor="text1"/>
          <w:szCs w:val="21"/>
          <w14:textFill>
            <w14:solidFill>
              <w14:schemeClr w14:val="tx1"/>
            </w14:solidFill>
          </w14:textFill>
        </w:rPr>
        <w:t>查阅响应文件，不符合资格审查的供应商将被拒绝。</w:t>
      </w:r>
    </w:p>
    <w:p w14:paraId="74927C1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）如磋商小组对响应文件有疑义，将向响应供应商在线发送询标函，供应商应在规定的时间内对在线询标函做出询标澄清。逾期澄清或未澄清的供应商视同认可磋商结果。</w:t>
      </w:r>
    </w:p>
    <w:p w14:paraId="63A67CDB">
      <w:pPr>
        <w:spacing w:line="360"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（3）在</w:t>
      </w:r>
      <w:r>
        <w:rPr>
          <w:rFonts w:hint="eastAsia" w:ascii="宋体" w:hAnsi="宋体" w:cs="宋体"/>
          <w:b/>
          <w:color w:val="000000" w:themeColor="text1"/>
          <w:szCs w:val="21"/>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过程中，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澄清</w:t>
      </w:r>
      <w:r>
        <w:rPr>
          <w:rFonts w:ascii="宋体" w:hAnsi="宋体" w:cs="宋体"/>
          <w:b/>
          <w:bCs/>
          <w:color w:val="000000" w:themeColor="text1"/>
          <w:szCs w:val="21"/>
          <w14:textFill>
            <w14:solidFill>
              <w14:schemeClr w14:val="tx1"/>
            </w14:solidFill>
          </w14:textFill>
        </w:rPr>
        <w:t>内容</w:t>
      </w:r>
      <w:r>
        <w:rPr>
          <w:rFonts w:hint="eastAsia" w:ascii="宋体" w:hAnsi="宋体" w:cs="宋体"/>
          <w:b/>
          <w:bCs/>
          <w:color w:val="000000" w:themeColor="text1"/>
          <w:szCs w:val="21"/>
          <w14:textFill>
            <w14:solidFill>
              <w14:schemeClr w14:val="tx1"/>
            </w14:solidFill>
          </w14:textFill>
        </w:rPr>
        <w:t>是磋商文件的有效组成部分，具有相应的法律效力。</w:t>
      </w:r>
      <w:r>
        <w:rPr>
          <w:rFonts w:ascii="宋体" w:hAnsi="宋体" w:cs="宋体"/>
          <w:b/>
          <w:bCs/>
          <w:color w:val="000000" w:themeColor="text1"/>
          <w:szCs w:val="21"/>
          <w14:textFill>
            <w14:solidFill>
              <w14:schemeClr w14:val="tx1"/>
            </w14:solidFill>
          </w14:textFill>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7527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noWrap w:val="0"/>
            <w:vAlign w:val="top"/>
          </w:tcPr>
          <w:p w14:paraId="21B212FD">
            <w:pPr>
              <w:wordWrap w:val="0"/>
              <w:spacing w:line="440" w:lineRule="exac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政采云具体操作如下：</w:t>
            </w:r>
          </w:p>
          <w:p w14:paraId="346DC653">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6F9CF82F">
            <w:pPr>
              <w:wordWrap w:val="0"/>
              <w:spacing w:line="44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路径：用户中心—项目采购—询标澄清</w:t>
            </w:r>
          </w:p>
          <w:p w14:paraId="1B70A83D">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（1）政采云平台通过待办事项和短信提醒供应商在截止时间前完成澄清。</w:t>
            </w:r>
          </w:p>
          <w:p w14:paraId="34BCD215">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（2）供应商在“询标澄清-待办理”标签页下选择状态为“待澄清”的项目，点击操作栏【澄清】。</w:t>
            </w:r>
          </w:p>
          <w:p w14:paraId="15D198F7">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（3）查看函内容，在澄清截止时间前上传澄清文件并对澄清文件进行签章。（注：澄清文件必须以PDF格式上传，文件大小：50M。）</w:t>
            </w:r>
          </w:p>
          <w:p w14:paraId="76F1B4A3">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（4）签章完成，文件名称处显示“已签章”，供应商可“撤回签章”修改澄清函和“查看文件”。</w:t>
            </w:r>
          </w:p>
          <w:p w14:paraId="2989EAE0">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58F4461C">
            <w:pPr>
              <w:wordWrap w:val="0"/>
              <w:spacing w:line="440" w:lineRule="exact"/>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（6）完成状态：供应商澄清文件提交成功后，在“询标澄清-全部”标签页下显示状态为“已澄清”。</w:t>
            </w:r>
          </w:p>
        </w:tc>
      </w:tr>
    </w:tbl>
    <w:p w14:paraId="5FA20161">
      <w:pPr>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）磋商结束后，磋商小组要求所有实质性响应的供应商在规定时间内在线提交最终报价。最终报价是供应商响应文件的有效组成部分。</w:t>
      </w:r>
    </w:p>
    <w:p w14:paraId="3256CE0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经磋商确定最终采购需求和提交最终报价的供应商后，由磋商小组采用综合评分法对提交最终报价的供应商的响应文件和最终报价进行综合评分（评分标准详见第三章）；</w:t>
      </w:r>
    </w:p>
    <w:p w14:paraId="16CE5DFB">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6</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磋商小组按照评审得分由高到低顺序进行排序，</w:t>
      </w:r>
      <w:r>
        <w:rPr>
          <w:rFonts w:hint="eastAsia" w:ascii="宋体" w:hAnsi="宋体"/>
          <w:color w:val="000000" w:themeColor="text1"/>
          <w14:textFill>
            <w14:solidFill>
              <w14:schemeClr w14:val="tx1"/>
            </w14:solidFill>
          </w14:textFill>
        </w:rPr>
        <w:t>向采购人推荐</w:t>
      </w:r>
      <w:r>
        <w:rPr>
          <w:rFonts w:hint="eastAsia" w:ascii="宋体" w:hAnsi="宋体" w:cs="宋体"/>
          <w:color w:val="000000" w:themeColor="text1"/>
          <w14:textFill>
            <w14:solidFill>
              <w14:schemeClr w14:val="tx1"/>
            </w14:solidFill>
          </w14:textFill>
        </w:rPr>
        <w:t>排序前三名的为成交候选</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14:textFill>
            <w14:solidFill>
              <w14:schemeClr w14:val="tx1"/>
            </w14:solidFill>
          </w14:textFill>
        </w:rPr>
        <w:t>。若评审得分相同，则最后报价低者列前，若最后报价也相同时，则采取抽签方式确定排序。</w:t>
      </w:r>
    </w:p>
    <w:p w14:paraId="23EBE92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）在</w:t>
      </w:r>
      <w:r>
        <w:rPr>
          <w:rFonts w:hint="eastAsia" w:ascii="宋体" w:hAnsi="宋体" w:cs="宋体"/>
          <w:color w:val="000000" w:themeColor="text1"/>
          <w:kern w:val="0"/>
          <w:szCs w:val="21"/>
          <w14:textFill>
            <w14:solidFill>
              <w14:schemeClr w14:val="tx1"/>
            </w14:solidFill>
          </w14:textFill>
        </w:rPr>
        <w:t>政府采购云</w:t>
      </w:r>
      <w:r>
        <w:rPr>
          <w:rFonts w:hint="eastAsia" w:ascii="宋体" w:hAnsi="宋体" w:cs="宋体"/>
          <w:color w:val="000000" w:themeColor="text1"/>
          <w:szCs w:val="21"/>
          <w14:textFill>
            <w14:solidFill>
              <w14:schemeClr w14:val="tx1"/>
            </w14:solidFill>
          </w14:textFill>
        </w:rPr>
        <w:t>平台公布评审结果。</w:t>
      </w:r>
    </w:p>
    <w:p w14:paraId="5D7FAEC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）磋商会议结束。</w:t>
      </w:r>
    </w:p>
    <w:p w14:paraId="426F148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）采购人从评审报告提出的成交候选供应商中，按照得分排序由高到低的原则确定成交供应商。采购代理机构在浙江政府采购网、宁波市政府采购网等网站上公布成交结果。</w:t>
      </w:r>
    </w:p>
    <w:p w14:paraId="1136D1A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3、特别说明：</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如对电子化开标及评审程序有调整的，按调整后的程序操作。</w:t>
      </w:r>
    </w:p>
    <w:p w14:paraId="4BDF702F">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本项目原则上采用政采云</w:t>
      </w:r>
      <w:r>
        <w:rPr>
          <w:rFonts w:hint="eastAsia" w:ascii="宋体" w:hAnsi="宋体" w:cs="宋体"/>
          <w:bCs/>
          <w:color w:val="000000" w:themeColor="text1"/>
          <w:szCs w:val="21"/>
          <w:lang w:bidi="ar"/>
          <w14:textFill>
            <w14:solidFill>
              <w14:schemeClr w14:val="tx1"/>
            </w14:solidFill>
          </w14:textFill>
        </w:rPr>
        <w:t>电子招投标开标程序</w:t>
      </w:r>
      <w:r>
        <w:rPr>
          <w:rFonts w:hint="eastAsia" w:ascii="宋体" w:hAnsi="宋体" w:cs="宋体"/>
          <w:color w:val="000000" w:themeColor="text1"/>
          <w:szCs w:val="21"/>
          <w14:textFill>
            <w14:solidFill>
              <w14:schemeClr w14:val="tx1"/>
            </w14:solidFill>
          </w14:textFill>
        </w:rPr>
        <w:t>，但有下情形之一的，按以下情况处理：</w:t>
      </w:r>
    </w:p>
    <w:p w14:paraId="4AEE53C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（1）若供应商在规定时间内无法解密或解密失败，代理机构将开启解密失败供应商递交的</w:t>
      </w:r>
      <w:r>
        <w:rPr>
          <w:rFonts w:hint="eastAsia" w:ascii="宋体" w:hAnsi="宋体" w:cs="宋体"/>
          <w:color w:val="000000" w:themeColor="text1"/>
          <w:kern w:val="0"/>
          <w:szCs w:val="21"/>
          <w14:textFill>
            <w14:solidFill>
              <w14:schemeClr w14:val="tx1"/>
            </w14:solidFill>
          </w14:textFill>
        </w:rPr>
        <w:t>以U盘存储的电子备份响应文件</w:t>
      </w:r>
      <w:r>
        <w:rPr>
          <w:rFonts w:hint="eastAsia" w:ascii="宋体" w:hAnsi="宋体" w:cs="宋体"/>
          <w:color w:val="000000" w:themeColor="text1"/>
          <w:szCs w:val="21"/>
          <w14:textFill>
            <w14:solidFill>
              <w14:schemeClr w14:val="tx1"/>
            </w14:solidFill>
          </w14:textFill>
        </w:rPr>
        <w:t>，上传至政采云平台项目采购模块，电子响应文件自动失效。</w:t>
      </w:r>
    </w:p>
    <w:p w14:paraId="77CF3953">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（2）采购过程中出现以下情形，导致电子交易平台无法正常运行，或者无法保证电子交易的公平、公正和安全时，采购人（或代理机构）可中止电子交易活动：</w:t>
      </w:r>
    </w:p>
    <w:p w14:paraId="2BFBCC8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w:instrText>
      </w:r>
      <w:r>
        <w:rPr>
          <w:rFonts w:hint="eastAsia" w:ascii="宋体" w:hAnsi="宋体" w:cs="宋体"/>
          <w:color w:val="000000" w:themeColor="text1"/>
          <w:szCs w:val="21"/>
          <w14:textFill>
            <w14:solidFill>
              <w14:schemeClr w14:val="tx1"/>
            </w14:solidFill>
          </w14:textFill>
        </w:rPr>
        <w:instrText xml:space="preserve">= 1 \* GB3</w:instrText>
      </w:r>
      <w:r>
        <w:rPr>
          <w:rFonts w:ascii="宋体" w:hAnsi="宋体" w:cs="宋体"/>
          <w:color w:val="000000" w:themeColor="text1"/>
          <w:szCs w:val="21"/>
          <w14:textFill>
            <w14:solidFill>
              <w14:schemeClr w14:val="tx1"/>
            </w14:solidFill>
          </w14:textFill>
        </w:rPr>
        <w:instrText xml:space="preserve"> </w:instrText>
      </w:r>
      <w:r>
        <w:rPr>
          <w:rFonts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①</w: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电子交易平台发生故障而无法登录访问的； </w:t>
      </w:r>
    </w:p>
    <w:p w14:paraId="75CE1E4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w:instrText>
      </w:r>
      <w:r>
        <w:rPr>
          <w:rFonts w:hint="eastAsia" w:ascii="宋体" w:hAnsi="宋体" w:cs="宋体"/>
          <w:color w:val="000000" w:themeColor="text1"/>
          <w:szCs w:val="21"/>
          <w14:textFill>
            <w14:solidFill>
              <w14:schemeClr w14:val="tx1"/>
            </w14:solidFill>
          </w14:textFill>
        </w:rPr>
        <w:instrText xml:space="preserve">= 2 \* GB3</w:instrText>
      </w:r>
      <w:r>
        <w:rPr>
          <w:rFonts w:ascii="宋体" w:hAnsi="宋体" w:cs="宋体"/>
          <w:color w:val="000000" w:themeColor="text1"/>
          <w:szCs w:val="21"/>
          <w14:textFill>
            <w14:solidFill>
              <w14:schemeClr w14:val="tx1"/>
            </w14:solidFill>
          </w14:textFill>
        </w:rPr>
        <w:instrText xml:space="preserve"> </w:instrText>
      </w:r>
      <w:r>
        <w:rPr>
          <w:rFonts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②</w: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电子交易平台应用或数据库出现错误，不能进行正常操作的；</w:t>
      </w:r>
    </w:p>
    <w:p w14:paraId="53FD0C5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w:instrText>
      </w:r>
      <w:r>
        <w:rPr>
          <w:rFonts w:hint="eastAsia" w:ascii="宋体" w:hAnsi="宋体" w:cs="宋体"/>
          <w:color w:val="000000" w:themeColor="text1"/>
          <w:szCs w:val="21"/>
          <w14:textFill>
            <w14:solidFill>
              <w14:schemeClr w14:val="tx1"/>
            </w14:solidFill>
          </w14:textFill>
        </w:rPr>
        <w:instrText xml:space="preserve">= 3 \* GB3</w:instrText>
      </w:r>
      <w:r>
        <w:rPr>
          <w:rFonts w:ascii="宋体" w:hAnsi="宋体" w:cs="宋体"/>
          <w:color w:val="000000" w:themeColor="text1"/>
          <w:szCs w:val="21"/>
          <w14:textFill>
            <w14:solidFill>
              <w14:schemeClr w14:val="tx1"/>
            </w14:solidFill>
          </w14:textFill>
        </w:rPr>
        <w:instrText xml:space="preserve"> </w:instrText>
      </w:r>
      <w:r>
        <w:rPr>
          <w:rFonts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③</w: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电子交易平台发现严重安全漏洞，有潜在泄密危险的；</w:t>
      </w:r>
    </w:p>
    <w:p w14:paraId="383A9AAC">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w:instrText>
      </w:r>
      <w:r>
        <w:rPr>
          <w:rFonts w:hint="eastAsia" w:ascii="宋体" w:hAnsi="宋体" w:cs="宋体"/>
          <w:color w:val="000000" w:themeColor="text1"/>
          <w:szCs w:val="21"/>
          <w14:textFill>
            <w14:solidFill>
              <w14:schemeClr w14:val="tx1"/>
            </w14:solidFill>
          </w14:textFill>
        </w:rPr>
        <w:instrText xml:space="preserve">= 4 \* GB3</w:instrText>
      </w:r>
      <w:r>
        <w:rPr>
          <w:rFonts w:ascii="宋体" w:hAnsi="宋体" w:cs="宋体"/>
          <w:color w:val="000000" w:themeColor="text1"/>
          <w:szCs w:val="21"/>
          <w14:textFill>
            <w14:solidFill>
              <w14:schemeClr w14:val="tx1"/>
            </w14:solidFill>
          </w14:textFill>
        </w:rPr>
        <w:instrText xml:space="preserve"> </w:instrText>
      </w:r>
      <w:r>
        <w:rPr>
          <w:rFonts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④</w: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病毒发作导致不能进行正常操作的； </w:t>
      </w:r>
    </w:p>
    <w:p w14:paraId="21D0849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w:instrText>
      </w:r>
      <w:r>
        <w:rPr>
          <w:rFonts w:hint="eastAsia" w:ascii="宋体" w:hAnsi="宋体" w:cs="宋体"/>
          <w:color w:val="000000" w:themeColor="text1"/>
          <w:szCs w:val="21"/>
          <w14:textFill>
            <w14:solidFill>
              <w14:schemeClr w14:val="tx1"/>
            </w14:solidFill>
          </w14:textFill>
        </w:rPr>
        <w:instrText xml:space="preserve">= 5 \* GB3</w:instrText>
      </w:r>
      <w:r>
        <w:rPr>
          <w:rFonts w:ascii="宋体" w:hAnsi="宋体" w:cs="宋体"/>
          <w:color w:val="000000" w:themeColor="text1"/>
          <w:szCs w:val="21"/>
          <w14:textFill>
            <w14:solidFill>
              <w14:schemeClr w14:val="tx1"/>
            </w14:solidFill>
          </w14:textFill>
        </w:rPr>
        <w:instrText xml:space="preserve"> </w:instrText>
      </w:r>
      <w:r>
        <w:rPr>
          <w:rFonts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⑤</w: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其他无法保证电子交易的公平、公正和安全的情况。</w:t>
      </w:r>
    </w:p>
    <w:p w14:paraId="1A733354">
      <w:pPr>
        <w:spacing w:line="360" w:lineRule="auto"/>
        <w:ind w:firstLine="420" w:firstLineChars="200"/>
        <w:jc w:val="left"/>
        <w:rPr>
          <w:rFonts w:hint="eastAsia" w:ascii="宋体" w:hAnsi="宋体"/>
          <w:b/>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出现前款规定情形，不影响采购公平、公正性的，采购人（或代理机构）可以待上述情形消除后继续组织电子交易活动。</w:t>
      </w:r>
    </w:p>
    <w:p w14:paraId="0E0980F4">
      <w:pPr>
        <w:wordWrap w:val="0"/>
        <w:autoSpaceDE w:val="0"/>
        <w:autoSpaceDN w:val="0"/>
        <w:adjustRightInd w:val="0"/>
        <w:spacing w:line="360" w:lineRule="auto"/>
        <w:ind w:firstLine="422" w:firstLineChars="20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四、评审程序</w:t>
      </w:r>
    </w:p>
    <w:p w14:paraId="32F5A67E">
      <w:pPr>
        <w:wordWrap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1、资格文件、商务和技术文件初步审查：包含资格性审查和符合性审查。资格性审查是指采购人或代理机构根据“附表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资格性审查表”的要求对磋商响应文件逐一进行评审。符合性审查是指评审小组根据“附表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符合性审查表”的要求对磋商响应文件逐一进行评审。</w:t>
      </w:r>
      <w:r>
        <w:rPr>
          <w:rFonts w:hint="eastAsia" w:ascii="宋体" w:hAnsi="宋体"/>
          <w:b/>
          <w:color w:val="000000" w:themeColor="text1"/>
          <w:szCs w:val="21"/>
          <w14:textFill>
            <w14:solidFill>
              <w14:schemeClr w14:val="tx1"/>
            </w14:solidFill>
          </w14:textFill>
        </w:rPr>
        <w:t>资格性审查和符合性审查中，有任意一项审查结论不合格的，作无效报价处理。</w:t>
      </w:r>
    </w:p>
    <w:p w14:paraId="30B76199">
      <w:pPr>
        <w:wordWrap w:val="0"/>
        <w:spacing w:line="400" w:lineRule="exact"/>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磋商小组所有成员与单一供应商分别进行磋商，</w:t>
      </w:r>
      <w:r>
        <w:rPr>
          <w:rFonts w:hint="eastAsia" w:ascii="宋体" w:hAnsi="宋体" w:cs="宋体"/>
          <w:color w:val="000000" w:themeColor="text1"/>
          <w14:textFill>
            <w14:solidFill>
              <w14:schemeClr w14:val="tx1"/>
            </w14:solidFill>
          </w14:textFill>
        </w:rPr>
        <w:t>参加磋商的供应商在规定时间内提交最后报价。最后报价须在政采云中完成。若供应商未提交最后报价，则视作放弃响应，不进入后续评审。</w:t>
      </w:r>
    </w:p>
    <w:p w14:paraId="397FE45B">
      <w:pPr>
        <w:wordWrap w:val="0"/>
        <w:spacing w:line="400" w:lineRule="exact"/>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3、磋商小组根据“附表</w:t>
      </w:r>
      <w:r>
        <w:rPr>
          <w:rFonts w:ascii="宋体" w:hAnsi="宋体"/>
          <w:color w:val="000000" w:themeColor="text1"/>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评分标准（兼评委打分表）</w:t>
      </w:r>
      <w:r>
        <w:rPr>
          <w:rFonts w:hint="eastAsia" w:ascii="宋体" w:hAnsi="宋体"/>
          <w:color w:val="000000" w:themeColor="text1"/>
          <w:szCs w:val="21"/>
          <w14:textFill>
            <w14:solidFill>
              <w14:schemeClr w14:val="tx1"/>
            </w14:solidFill>
          </w14:textFill>
        </w:rPr>
        <w:t>”的要求，</w:t>
      </w:r>
      <w:r>
        <w:rPr>
          <w:rFonts w:hint="eastAsia" w:ascii="宋体" w:hAnsi="宋体"/>
          <w:color w:val="000000" w:themeColor="text1"/>
          <w:kern w:val="0"/>
          <w:szCs w:val="21"/>
          <w14:textFill>
            <w14:solidFill>
              <w14:schemeClr w14:val="tx1"/>
            </w14:solidFill>
          </w14:textFill>
        </w:rPr>
        <w:t>独立对每个有效响应的供应商的磋商响应文件在分值范围内进行评分，然后汇总磋商小组各成员有效评分的算术平均值</w:t>
      </w:r>
      <w:r>
        <w:rPr>
          <w:rFonts w:hint="eastAsia" w:ascii="宋体" w:hAnsi="宋体"/>
          <w:color w:val="000000" w:themeColor="text1"/>
          <w:szCs w:val="21"/>
          <w14:textFill>
            <w14:solidFill>
              <w14:schemeClr w14:val="tx1"/>
            </w14:solidFill>
          </w14:textFill>
        </w:rPr>
        <w:t>（小数点后保留二位数）</w:t>
      </w:r>
      <w:r>
        <w:rPr>
          <w:rFonts w:hint="eastAsia" w:ascii="宋体" w:hAnsi="宋体"/>
          <w:color w:val="000000" w:themeColor="text1"/>
          <w:kern w:val="0"/>
          <w:szCs w:val="21"/>
          <w14:textFill>
            <w14:solidFill>
              <w14:schemeClr w14:val="tx1"/>
            </w14:solidFill>
          </w14:textFill>
        </w:rPr>
        <w:t>即为供应商的</w:t>
      </w:r>
      <w:r>
        <w:rPr>
          <w:rFonts w:hint="eastAsia" w:ascii="宋体" w:hAnsi="宋体" w:cs="宋体"/>
          <w:color w:val="000000" w:themeColor="text1"/>
          <w14:textFill>
            <w14:solidFill>
              <w14:schemeClr w14:val="tx1"/>
            </w14:solidFill>
          </w14:textFill>
        </w:rPr>
        <w:t>评审得分。</w:t>
      </w:r>
    </w:p>
    <w:p w14:paraId="47276741">
      <w:pPr>
        <w:spacing w:line="400" w:lineRule="exact"/>
        <w:ind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14:textFill>
            <w14:solidFill>
              <w14:schemeClr w14:val="tx1"/>
            </w14:solidFill>
          </w14:textFill>
        </w:rPr>
        <w:t>、推荐</w:t>
      </w:r>
      <w:r>
        <w:rPr>
          <w:rFonts w:hint="eastAsia" w:ascii="宋体" w:hAnsi="宋体" w:cs="宋体"/>
          <w:color w:val="000000" w:themeColor="text1"/>
          <w14:textFill>
            <w14:solidFill>
              <w14:schemeClr w14:val="tx1"/>
            </w14:solidFill>
          </w14:textFill>
        </w:rPr>
        <w:t>成交候选供应商</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磋商小组按照评审得分由高到低顺序进行排序，</w:t>
      </w:r>
      <w:r>
        <w:rPr>
          <w:rFonts w:hint="eastAsia" w:ascii="宋体" w:hAnsi="宋体"/>
          <w:color w:val="000000" w:themeColor="text1"/>
          <w14:textFill>
            <w14:solidFill>
              <w14:schemeClr w14:val="tx1"/>
            </w14:solidFill>
          </w14:textFill>
        </w:rPr>
        <w:t>向采购人推荐</w:t>
      </w:r>
      <w:r>
        <w:rPr>
          <w:rFonts w:hint="eastAsia" w:ascii="宋体" w:hAnsi="宋体" w:cs="宋体"/>
          <w:color w:val="000000" w:themeColor="text1"/>
          <w14:textFill>
            <w14:solidFill>
              <w14:schemeClr w14:val="tx1"/>
            </w14:solidFill>
          </w14:textFill>
        </w:rPr>
        <w:t>排序前三名的为成交候选</w:t>
      </w:r>
      <w:r>
        <w:rPr>
          <w:rFonts w:hint="eastAsia" w:ascii="宋体" w:hAnsi="宋体"/>
          <w:color w:val="000000" w:themeColor="text1"/>
          <w14:textFill>
            <w14:solidFill>
              <w14:schemeClr w14:val="tx1"/>
            </w14:solidFill>
          </w14:textFill>
        </w:rPr>
        <w:t>供应商</w:t>
      </w:r>
      <w:r>
        <w:rPr>
          <w:rFonts w:hint="eastAsia" w:ascii="宋体" w:hAnsi="宋体" w:cs="宋体"/>
          <w:color w:val="000000" w:themeColor="text1"/>
          <w14:textFill>
            <w14:solidFill>
              <w14:schemeClr w14:val="tx1"/>
            </w14:solidFill>
          </w14:textFill>
        </w:rPr>
        <w:t>。若评审得分相同，则最后报价低者列前，若最后报价也相同时，则采取抽签方式确定排序。</w:t>
      </w:r>
    </w:p>
    <w:p w14:paraId="0734B2AC">
      <w:pPr>
        <w:wordWrap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5、确定成交供应商</w:t>
      </w:r>
    </w:p>
    <w:p w14:paraId="65306AE1">
      <w:pPr>
        <w:wordWrap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代理机构应当自评审结束之日起2个工作日内将评审报告送交采购人。采购人应当自收到评审报告之日起5个工作日内在评审报告推荐的成交候选供应商中按顺序确定1名成交供应商。成交供应商因不可抗力或者自身原因不能履行政府采购合同的，采购人可以按照评审报告推荐的下一成交候选供应商为成交供应商或重新开展政府采购活动。</w:t>
      </w:r>
    </w:p>
    <w:p w14:paraId="3DB45C9E">
      <w:pPr>
        <w:wordWrap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6、在评审过程中，发现的价格计算错误按下述原则修正：</w:t>
      </w:r>
    </w:p>
    <w:p w14:paraId="246869E2">
      <w:pPr>
        <w:wordWrap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）磋商响应文件中报价一览表内容与分项报价表内容不一致的，以报价一览表为准；</w:t>
      </w:r>
    </w:p>
    <w:p w14:paraId="0DF4F34D">
      <w:pPr>
        <w:wordWrap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）磋商响应文件的大写金额和小写金额不一致的，以大写金额为准；</w:t>
      </w:r>
    </w:p>
    <w:p w14:paraId="1FAF18A9">
      <w:pPr>
        <w:wordWrap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）单价金额小数点或者百分比有明显错位的，以开标一览表的总价为准，并修改单价；</w:t>
      </w:r>
    </w:p>
    <w:p w14:paraId="6B04E954">
      <w:pPr>
        <w:wordWrap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）总价金额与按单价汇总金额不一致的，以单价金额计算结果为准。</w:t>
      </w:r>
    </w:p>
    <w:p w14:paraId="1BC182BB">
      <w:pPr>
        <w:wordWrap w:val="0"/>
        <w:spacing w:line="44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同时出现两种以上不一致的，按照前款规定的顺序修正。修正后的报价经供应商确认后产生约束力，供应商不确认的，其响应无效。</w:t>
      </w:r>
    </w:p>
    <w:p w14:paraId="749DF7FF">
      <w:pPr>
        <w:wordWrap w:val="0"/>
        <w:autoSpaceDE w:val="0"/>
        <w:autoSpaceDN w:val="0"/>
        <w:adjustRightInd w:val="0"/>
        <w:spacing w:line="440" w:lineRule="exact"/>
        <w:ind w:firstLine="422" w:firstLineChars="200"/>
        <w:jc w:val="left"/>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五、其他说明</w:t>
      </w:r>
    </w:p>
    <w:p w14:paraId="0A788067">
      <w:pPr>
        <w:wordWrap w:val="0"/>
        <w:autoSpaceDE w:val="0"/>
        <w:autoSpaceDN w:val="0"/>
        <w:adjustRightInd w:val="0"/>
        <w:spacing w:line="440" w:lineRule="exact"/>
        <w:ind w:firstLine="420" w:firstLineChars="2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1、采购人不向未成交供应商解释未成交原因，不退还磋商响应文件。</w:t>
      </w:r>
    </w:p>
    <w:p w14:paraId="5F671083">
      <w:pPr>
        <w:wordWrap w:val="0"/>
        <w:autoSpaceDE w:val="0"/>
        <w:autoSpaceDN w:val="0"/>
        <w:adjustRightInd w:val="0"/>
        <w:spacing w:line="44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价格是评审的重要因素之一，但最低报价不是成交的唯一依据。</w:t>
      </w:r>
    </w:p>
    <w:p w14:paraId="2FAC61AF">
      <w:pPr>
        <w:wordWrap w:val="0"/>
        <w:autoSpaceDE w:val="0"/>
        <w:autoSpaceDN w:val="0"/>
        <w:adjustRightInd w:val="0"/>
        <w:spacing w:line="440" w:lineRule="exact"/>
        <w:ind w:firstLine="420" w:firstLineChars="200"/>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在采购过程中符合要求的供应商只有两家的，经主管部门批准，采购活动可以继续进行。采购过程中符合要求的供应商只有一家的，采购人或采购代理机构应当终止采购活动，发布项目终止公告并说明原因，重新开展采购活动。</w:t>
      </w:r>
    </w:p>
    <w:p w14:paraId="42CA55CC">
      <w:pPr>
        <w:spacing w:line="400" w:lineRule="exact"/>
        <w:ind w:firstLine="420" w:firstLineChars="200"/>
        <w:jc w:val="lef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、评审过程中无效磋商响应文件的认定：</w:t>
      </w:r>
    </w:p>
    <w:p w14:paraId="0249C156">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有下列情形之一的磋商响应文件被认定没有实质性响应磋商文件要求，为无效磋商响应文件：</w:t>
      </w:r>
    </w:p>
    <w:p w14:paraId="3FC3F996">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（1）报价超过预算价或最高限价的；</w:t>
      </w:r>
    </w:p>
    <w:p w14:paraId="6860ADF8">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（2）资格证明文件未按照磋商文件要求提供或不全或虽提供但格式、签署与盖章等不符合磋商文件要求的；</w:t>
      </w:r>
    </w:p>
    <w:p w14:paraId="19797923">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（3）联合体投标的未提供联合体协议，或未注明主办方的；</w:t>
      </w:r>
    </w:p>
    <w:p w14:paraId="53B386C1">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（4）超出经营范围投标的；</w:t>
      </w:r>
    </w:p>
    <w:p w14:paraId="0CC145F6">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（5）磋商有效期不符合磋商文件要求的；</w:t>
      </w:r>
    </w:p>
    <w:p w14:paraId="111FD066">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（6）磋商响应文件的签署与盖章等不符合磋商文件要求的；</w:t>
      </w:r>
    </w:p>
    <w:p w14:paraId="52F00A35">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（7）磋商文件标注有“</w:t>
      </w:r>
      <w:r>
        <w:rPr>
          <w:rFonts w:hint="eastAsia" w:ascii="宋体" w:hAnsi="宋体" w:cs="宋体"/>
          <w:b/>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”号的条款为“实质性要求”条款，磋商响应文件对这些条款有负偏离的；未标注有“</w:t>
      </w:r>
      <w:r>
        <w:rPr>
          <w:rFonts w:hint="eastAsia" w:ascii="宋体" w:hAnsi="宋体"/>
          <w:b/>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”号的条款负偏离达到或超过磋商文件规定数量的；上述偏离的认定由磋商小组进行评议；</w:t>
      </w:r>
    </w:p>
    <w:p w14:paraId="1C73CBED">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（8）“技术规格偏离表“或”商务条款偏离表“有缺项、漏项且磋商小组认定该缺项、漏项使得磋商响应文件没有对磋商文件的要求作出实质性响应的；</w:t>
      </w:r>
    </w:p>
    <w:p w14:paraId="0FEE2827">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（9）磋商响应文件有包含价格调整要求的或有采购人不能接受的其他条件的；</w:t>
      </w:r>
    </w:p>
    <w:p w14:paraId="4B4619E4">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（10）磋商小组经过审查，认定供应商低于成本报价竞标的；</w:t>
      </w:r>
    </w:p>
    <w:p w14:paraId="2D0435FF">
      <w:pPr>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（11）磋商小组经过审查，认定磋商响应文件虚假应标的；</w:t>
      </w:r>
    </w:p>
    <w:p w14:paraId="0954027C">
      <w:pPr>
        <w:autoSpaceDE w:val="0"/>
        <w:autoSpaceDN w:val="0"/>
        <w:adjustRightInd w:val="0"/>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（12）磋商响应文件有不符合国家法律、法规规定的</w:t>
      </w:r>
    </w:p>
    <w:p w14:paraId="76732E3E">
      <w:pPr>
        <w:wordWrap w:val="0"/>
        <w:autoSpaceDE w:val="0"/>
        <w:autoSpaceDN w:val="0"/>
        <w:adjustRightInd w:val="0"/>
        <w:spacing w:line="440" w:lineRule="exact"/>
        <w:ind w:firstLine="420" w:firstLineChars="200"/>
        <w:jc w:val="left"/>
        <w:rPr>
          <w:rFonts w:hint="eastAsia" w:ascii="宋体" w:hAnsi="宋体"/>
          <w:color w:val="000000" w:themeColor="text1"/>
          <w:kern w:val="0"/>
          <w:szCs w:val="21"/>
          <w14:textFill>
            <w14:solidFill>
              <w14:schemeClr w14:val="tx1"/>
            </w14:solidFill>
          </w14:textFill>
        </w:rPr>
      </w:pPr>
    </w:p>
    <w:p w14:paraId="48C104ED">
      <w:pPr>
        <w:wordWrap w:val="0"/>
        <w:spacing w:line="44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附表1：</w:t>
      </w:r>
    </w:p>
    <w:p w14:paraId="4E0F7740">
      <w:pPr>
        <w:widowControl/>
        <w:wordWrap w:val="0"/>
        <w:snapToGrid w:val="0"/>
        <w:spacing w:line="44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资格审查表</w:t>
      </w:r>
    </w:p>
    <w:tbl>
      <w:tblPr>
        <w:tblStyle w:val="44"/>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7DD5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center"/>
          </w:tcPr>
          <w:p w14:paraId="71F162DB">
            <w:pPr>
              <w:wordWrap w:val="0"/>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4215" w:type="dxa"/>
            <w:noWrap w:val="0"/>
            <w:vAlign w:val="center"/>
          </w:tcPr>
          <w:p w14:paraId="53A45F04">
            <w:pPr>
              <w:wordWrap w:val="0"/>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要求说明</w:t>
            </w:r>
          </w:p>
        </w:tc>
        <w:tc>
          <w:tcPr>
            <w:tcW w:w="4725" w:type="dxa"/>
            <w:noWrap w:val="0"/>
            <w:vAlign w:val="center"/>
          </w:tcPr>
          <w:p w14:paraId="0BD0759A">
            <w:pPr>
              <w:wordWrap w:val="0"/>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审查要求</w:t>
            </w:r>
          </w:p>
        </w:tc>
      </w:tr>
      <w:tr w14:paraId="0876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noWrap w:val="0"/>
            <w:vAlign w:val="center"/>
          </w:tcPr>
          <w:p w14:paraId="5973EE51">
            <w:pPr>
              <w:wordWrap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215" w:type="dxa"/>
            <w:noWrap w:val="0"/>
            <w:vAlign w:val="center"/>
          </w:tcPr>
          <w:p w14:paraId="7F1C2F52">
            <w:pPr>
              <w:wordWrap w:val="0"/>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tc>
        <w:tc>
          <w:tcPr>
            <w:tcW w:w="4725" w:type="dxa"/>
            <w:noWrap w:val="0"/>
            <w:vAlign w:val="center"/>
          </w:tcPr>
          <w:p w14:paraId="25C0985D">
            <w:pPr>
              <w:wordWrap w:val="0"/>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A1、关于资格的承诺函；</w:t>
            </w:r>
          </w:p>
          <w:p w14:paraId="1F03388C">
            <w:pPr>
              <w:wordWrap w:val="0"/>
              <w:spacing w:line="3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A2、营业执照副本（或事业法人登记证副本或其他登记证明材料）复印件加盖供应商公章（供应商如果有名称变更的，应提供由行政主管部门出具的变更证明文件复印件加盖供应商公章）；</w:t>
            </w:r>
          </w:p>
          <w:p w14:paraId="312063BA">
            <w:pPr>
              <w:wordWrap w:val="0"/>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A3、</w:t>
            </w:r>
            <w:r>
              <w:rPr>
                <w:rFonts w:hint="eastAsia" w:ascii="宋体" w:hAnsi="宋体"/>
                <w:color w:val="000000" w:themeColor="text1"/>
                <w14:textFill>
                  <w14:solidFill>
                    <w14:schemeClr w14:val="tx1"/>
                  </w14:solidFill>
                </w14:textFill>
              </w:rPr>
              <w:t>未被“信用中国”（</w:t>
            </w:r>
            <w:r>
              <w:rPr>
                <w:rFonts w:ascii="宋体" w:hAnsi="宋体"/>
                <w:color w:val="000000" w:themeColor="text1"/>
                <w14:textFill>
                  <w14:solidFill>
                    <w14:schemeClr w14:val="tx1"/>
                  </w14:solidFill>
                </w14:textFill>
              </w:rPr>
              <w:t>www.creditchina.gov.cn)</w:t>
            </w:r>
            <w:r>
              <w:rPr>
                <w:rFonts w:hint="eastAsia" w:ascii="宋体" w:hAnsi="宋体"/>
                <w:color w:val="000000" w:themeColor="text1"/>
                <w14:textFill>
                  <w14:solidFill>
                    <w14:schemeClr w14:val="tx1"/>
                  </w14:solidFill>
                </w14:textFill>
              </w:rPr>
              <w:t>、中国政府采购网（</w:t>
            </w:r>
            <w:r>
              <w:rPr>
                <w:rFonts w:ascii="宋体" w:hAnsi="宋体"/>
                <w:color w:val="000000" w:themeColor="text1"/>
                <w14:textFill>
                  <w14:solidFill>
                    <w14:schemeClr w14:val="tx1"/>
                  </w14:solidFill>
                </w14:textFill>
              </w:rPr>
              <w:t>www.ccgp.gov.cn</w:t>
            </w:r>
            <w:r>
              <w:rPr>
                <w:rFonts w:hint="eastAsia" w:ascii="宋体" w:hAnsi="宋体"/>
                <w:color w:val="000000" w:themeColor="text1"/>
                <w14:textFill>
                  <w14:solidFill>
                    <w14:schemeClr w14:val="tx1"/>
                  </w14:solidFill>
                </w14:textFill>
              </w:rPr>
              <w:t>）列入失信被执行人、重大税收违法案件当事人名单（重大税收违法失信主体）、政府采购严重违法失信行为记录名单。</w:t>
            </w:r>
          </w:p>
        </w:tc>
      </w:tr>
      <w:tr w14:paraId="0D4F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35" w:type="dxa"/>
            <w:gridSpan w:val="2"/>
            <w:noWrap w:val="0"/>
            <w:vAlign w:val="center"/>
          </w:tcPr>
          <w:p w14:paraId="63C4E661">
            <w:pPr>
              <w:wordWrap w:val="0"/>
              <w:spacing w:line="360" w:lineRule="exact"/>
              <w:jc w:val="center"/>
              <w:rPr>
                <w:rFonts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资格性审查结论（合格/不合格）</w:t>
            </w:r>
          </w:p>
        </w:tc>
        <w:tc>
          <w:tcPr>
            <w:tcW w:w="4725" w:type="dxa"/>
            <w:noWrap w:val="0"/>
            <w:vAlign w:val="center"/>
          </w:tcPr>
          <w:p w14:paraId="3DEF5287">
            <w:pPr>
              <w:wordWrap w:val="0"/>
              <w:spacing w:line="360" w:lineRule="exact"/>
              <w:jc w:val="center"/>
              <w:rPr>
                <w:rFonts w:ascii="宋体" w:hAnsi="宋体"/>
                <w:color w:val="000000" w:themeColor="text1"/>
                <w:szCs w:val="21"/>
                <w14:textFill>
                  <w14:solidFill>
                    <w14:schemeClr w14:val="tx1"/>
                  </w14:solidFill>
                </w14:textFill>
              </w:rPr>
            </w:pPr>
          </w:p>
        </w:tc>
      </w:tr>
    </w:tbl>
    <w:p w14:paraId="5BAB0343">
      <w:pPr>
        <w:wordWrap w:val="0"/>
        <w:spacing w:line="44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b/>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、上述资格证明文件未按竞争性磋商文件要求附入</w:t>
      </w:r>
      <w:r>
        <w:rPr>
          <w:rFonts w:hint="eastAsia" w:ascii="宋体" w:hAnsi="宋体"/>
          <w:b/>
          <w:color w:val="000000" w:themeColor="text1"/>
          <w:szCs w:val="21"/>
          <w14:textFill>
            <w14:solidFill>
              <w14:schemeClr w14:val="tx1"/>
            </w14:solidFill>
          </w14:textFill>
        </w:rPr>
        <w:t>磋商响应文件</w:t>
      </w:r>
      <w:r>
        <w:rPr>
          <w:rFonts w:hint="eastAsia" w:ascii="宋体" w:hAnsi="宋体"/>
          <w:b/>
          <w:color w:val="000000" w:themeColor="text1"/>
          <w14:textFill>
            <w14:solidFill>
              <w14:schemeClr w14:val="tx1"/>
            </w14:solidFill>
          </w14:textFill>
        </w:rPr>
        <w:t>中的，资格性审查不合格。</w:t>
      </w:r>
    </w:p>
    <w:p w14:paraId="4373C47F">
      <w:pPr>
        <w:wordWrap w:val="0"/>
        <w:spacing w:line="440" w:lineRule="exact"/>
        <w:ind w:firstLine="422" w:firstLineChars="200"/>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w:t>
      </w:r>
      <w:r>
        <w:rPr>
          <w:rFonts w:hint="eastAsia" w:ascii="宋体" w:hAnsi="宋体"/>
          <w:b/>
          <w:color w:val="000000" w:themeColor="text1"/>
          <w14:textFill>
            <w14:solidFill>
              <w14:schemeClr w14:val="tx1"/>
            </w14:solidFill>
          </w14:textFill>
        </w:rPr>
        <w:t>、上述审查项目中，任意一项不符合的，资格性审查不合格。</w:t>
      </w:r>
    </w:p>
    <w:p w14:paraId="06651F5C">
      <w:pPr>
        <w:wordWrap w:val="0"/>
        <w:spacing w:line="4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14:paraId="36C8ABF0">
      <w:pPr>
        <w:wordWrap w:val="0"/>
        <w:spacing w:line="4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若在磋商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p>
    <w:p w14:paraId="3F714A85">
      <w:pPr>
        <w:wordWrap w:val="0"/>
        <w:spacing w:line="44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p w14:paraId="64505B10">
      <w:pPr>
        <w:wordWrap w:val="0"/>
        <w:spacing w:line="40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符合性审查表</w:t>
      </w:r>
    </w:p>
    <w:tbl>
      <w:tblPr>
        <w:tblStyle w:val="4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486"/>
        <w:gridCol w:w="3544"/>
      </w:tblGrid>
      <w:tr w14:paraId="7360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10" w:type="dxa"/>
            <w:noWrap w:val="0"/>
            <w:vAlign w:val="top"/>
          </w:tcPr>
          <w:p w14:paraId="2041C1BB">
            <w:pPr>
              <w:wordWrap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5486" w:type="dxa"/>
            <w:noWrap w:val="0"/>
            <w:vAlign w:val="center"/>
          </w:tcPr>
          <w:p w14:paraId="48583246">
            <w:pPr>
              <w:wordWrap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要求说明</w:t>
            </w:r>
          </w:p>
        </w:tc>
        <w:tc>
          <w:tcPr>
            <w:tcW w:w="3544" w:type="dxa"/>
            <w:noWrap w:val="0"/>
            <w:vAlign w:val="center"/>
          </w:tcPr>
          <w:p w14:paraId="1A88369D">
            <w:pPr>
              <w:wordWrap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审查要求</w:t>
            </w:r>
          </w:p>
        </w:tc>
      </w:tr>
      <w:tr w14:paraId="6B20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06A34549">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5486" w:type="dxa"/>
            <w:noWrap w:val="0"/>
            <w:vAlign w:val="center"/>
          </w:tcPr>
          <w:p w14:paraId="6B22E8F7">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磋商有效期：符合第二章“磋商须知”第六、</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条的要求。</w:t>
            </w:r>
          </w:p>
        </w:tc>
        <w:tc>
          <w:tcPr>
            <w:tcW w:w="3544" w:type="dxa"/>
            <w:noWrap w:val="0"/>
            <w:vAlign w:val="center"/>
          </w:tcPr>
          <w:p w14:paraId="4417CAE7">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提供“磋商函”。</w:t>
            </w:r>
          </w:p>
        </w:tc>
      </w:tr>
      <w:tr w14:paraId="1C3C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0C6759C7">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5486" w:type="dxa"/>
            <w:noWrap w:val="0"/>
            <w:vAlign w:val="center"/>
          </w:tcPr>
          <w:p w14:paraId="5513E0F2">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法定代表人身份证明、法定代表人授权书。</w:t>
            </w:r>
          </w:p>
        </w:tc>
        <w:tc>
          <w:tcPr>
            <w:tcW w:w="3544" w:type="dxa"/>
            <w:noWrap w:val="0"/>
            <w:vAlign w:val="center"/>
          </w:tcPr>
          <w:p w14:paraId="4701AF02">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）磋商响应文件由法定代表人签字的，提供“法定代表人身份证明”。</w:t>
            </w:r>
          </w:p>
          <w:p w14:paraId="5C05B091">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）磋商响应文件由授权代表签字的，提供“法定代表人身份证明”和“法定代表人授权书”。</w:t>
            </w:r>
          </w:p>
        </w:tc>
      </w:tr>
      <w:tr w14:paraId="1742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6B3B2421">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5486" w:type="dxa"/>
            <w:noWrap w:val="0"/>
            <w:vAlign w:val="top"/>
          </w:tcPr>
          <w:p w14:paraId="24AD2452">
            <w:pPr>
              <w:wordWrap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本项目设有预算价，</w:t>
            </w:r>
            <w:r>
              <w:rPr>
                <w:rFonts w:hint="eastAsia" w:ascii="宋体" w:hAnsi="宋体" w:cs="宋体"/>
                <w:color w:val="000000" w:themeColor="text1"/>
                <w:szCs w:val="21"/>
                <w14:textFill>
                  <w14:solidFill>
                    <w14:schemeClr w14:val="tx1"/>
                  </w14:solidFill>
                </w14:textFill>
              </w:rPr>
              <w:t>磋商报价超过预算价的，作无效标处理。</w:t>
            </w:r>
          </w:p>
        </w:tc>
        <w:tc>
          <w:tcPr>
            <w:tcW w:w="3544" w:type="dxa"/>
            <w:noWrap w:val="0"/>
            <w:vAlign w:val="center"/>
          </w:tcPr>
          <w:p w14:paraId="3B467A2C">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提供“报价一览表”。</w:t>
            </w:r>
          </w:p>
        </w:tc>
      </w:tr>
      <w:tr w14:paraId="2FC4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7B37BF1C">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5486" w:type="dxa"/>
            <w:noWrap w:val="0"/>
            <w:vAlign w:val="center"/>
          </w:tcPr>
          <w:p w14:paraId="6794B705">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符合第二章“磋商须知”第九、</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条的要求。</w:t>
            </w:r>
          </w:p>
        </w:tc>
        <w:tc>
          <w:tcPr>
            <w:tcW w:w="3544" w:type="dxa"/>
            <w:noWrap w:val="0"/>
            <w:vAlign w:val="center"/>
          </w:tcPr>
          <w:p w14:paraId="5D302FAD">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磋商响应文件的签署盖章符合所述要求。</w:t>
            </w:r>
          </w:p>
        </w:tc>
      </w:tr>
      <w:tr w14:paraId="193E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5ED13B8F">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5486" w:type="dxa"/>
            <w:noWrap w:val="0"/>
            <w:vAlign w:val="center"/>
          </w:tcPr>
          <w:p w14:paraId="76391594">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对同个标项不允许提供两个磋商方案。</w:t>
            </w:r>
          </w:p>
        </w:tc>
        <w:tc>
          <w:tcPr>
            <w:tcW w:w="3544" w:type="dxa"/>
            <w:noWrap w:val="0"/>
            <w:vAlign w:val="center"/>
          </w:tcPr>
          <w:p w14:paraId="2B6EE3EF">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是否有两个磋商方案。</w:t>
            </w:r>
          </w:p>
        </w:tc>
      </w:tr>
      <w:tr w14:paraId="1CF1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71A8A7A1">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5486" w:type="dxa"/>
            <w:noWrap w:val="0"/>
            <w:vAlign w:val="center"/>
          </w:tcPr>
          <w:p w14:paraId="71F9FF5B">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供应商不得在磋商活动中提供任何虚假材料或从事其他违法活动的。</w:t>
            </w:r>
          </w:p>
        </w:tc>
        <w:tc>
          <w:tcPr>
            <w:tcW w:w="3544" w:type="dxa"/>
            <w:noWrap w:val="0"/>
            <w:vAlign w:val="center"/>
          </w:tcPr>
          <w:p w14:paraId="6CAC6EAF">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不得提供任何虚假材料或从事其他违法活动。</w:t>
            </w:r>
          </w:p>
        </w:tc>
      </w:tr>
      <w:tr w14:paraId="36EC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0687E053">
            <w:pPr>
              <w:wordWrap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5486" w:type="dxa"/>
            <w:noWrap w:val="0"/>
            <w:vAlign w:val="center"/>
          </w:tcPr>
          <w:p w14:paraId="25ADBA63">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磋商小组经过审查，认定供应商虚假响应、串通响应的，有下列情形之一的，视为供应商串通响应：</w:t>
            </w:r>
          </w:p>
          <w:p w14:paraId="08980F91">
            <w:pPr>
              <w:widowControl/>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）不同供应商的磋商响应文件由同一单位或者个人编制；</w:t>
            </w:r>
          </w:p>
          <w:p w14:paraId="231704EC">
            <w:pPr>
              <w:widowControl/>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）不同供应商委托同一单位或者个人办理磋商事宜；</w:t>
            </w:r>
          </w:p>
          <w:p w14:paraId="4FBB5604">
            <w:pPr>
              <w:widowControl/>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）不同供应商的磋商响应文件载明的项目管理成员或者联系人员为同一人；</w:t>
            </w:r>
          </w:p>
          <w:p w14:paraId="3B98293B">
            <w:pPr>
              <w:widowControl/>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）不同供应商的磋商响应文件异常一致或者响应报价呈规律性差异；</w:t>
            </w:r>
          </w:p>
          <w:p w14:paraId="59DEC9A9">
            <w:pPr>
              <w:widowControl/>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）不同供应商的磋商响应文件相互混装；</w:t>
            </w:r>
          </w:p>
          <w:p w14:paraId="7FE77892">
            <w:pPr>
              <w:widowControl/>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）两家或两家以上供应商提供的磋商响应文件出自同一终端设备的，或在相同</w:t>
            </w:r>
            <w:r>
              <w:rPr>
                <w:rFonts w:ascii="宋体" w:hAnsi="宋体"/>
                <w:color w:val="000000" w:themeColor="text1"/>
                <w:szCs w:val="21"/>
                <w14:textFill>
                  <w14:solidFill>
                    <w14:schemeClr w14:val="tx1"/>
                  </w14:solidFill>
                </w14:textFill>
              </w:rPr>
              <w:t>Internet</w:t>
            </w:r>
            <w:r>
              <w:rPr>
                <w:rFonts w:hint="eastAsia" w:ascii="宋体" w:hAnsi="宋体"/>
                <w:color w:val="000000" w:themeColor="text1"/>
                <w:szCs w:val="21"/>
                <w14:textFill>
                  <w14:solidFill>
                    <w14:schemeClr w14:val="tx1"/>
                  </w14:solidFill>
                </w14:textFill>
              </w:rPr>
              <w:t>主机分配地址（相同</w:t>
            </w:r>
            <w:r>
              <w:rPr>
                <w:rFonts w:ascii="宋体" w:hAnsi="宋体"/>
                <w:color w:val="000000" w:themeColor="text1"/>
                <w:szCs w:val="21"/>
                <w14:textFill>
                  <w14:solidFill>
                    <w14:schemeClr w14:val="tx1"/>
                  </w14:solidFill>
                </w14:textFill>
              </w:rPr>
              <w:t>IP</w:t>
            </w:r>
            <w:r>
              <w:rPr>
                <w:rFonts w:hint="eastAsia" w:ascii="宋体" w:hAnsi="宋体"/>
                <w:color w:val="000000" w:themeColor="text1"/>
                <w:szCs w:val="21"/>
                <w14:textFill>
                  <w14:solidFill>
                    <w14:schemeClr w14:val="tx1"/>
                  </w14:solidFill>
                </w14:textFill>
              </w:rPr>
              <w:t>地址）获取竞争性磋商文件或网上响应的，且经询标澄清供应商无令人信服的理由和可靠证据证明其合理性的。</w:t>
            </w:r>
          </w:p>
        </w:tc>
        <w:tc>
          <w:tcPr>
            <w:tcW w:w="3544" w:type="dxa"/>
            <w:noWrap w:val="0"/>
            <w:vAlign w:val="center"/>
          </w:tcPr>
          <w:p w14:paraId="040E28B1">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不得有所述情形。</w:t>
            </w:r>
          </w:p>
        </w:tc>
      </w:tr>
      <w:tr w14:paraId="6A87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08D2D5D8">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5486" w:type="dxa"/>
            <w:noWrap w:val="0"/>
            <w:vAlign w:val="center"/>
          </w:tcPr>
          <w:p w14:paraId="389F8EE3">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符合法律、法规和竞争性磋商文件中规定的其他实质性要求（实质性要求竞争性磋商文件中“★”标记）</w:t>
            </w:r>
          </w:p>
        </w:tc>
        <w:tc>
          <w:tcPr>
            <w:tcW w:w="3544" w:type="dxa"/>
            <w:noWrap w:val="0"/>
            <w:vAlign w:val="center"/>
          </w:tcPr>
          <w:p w14:paraId="341C87A4">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符合所述要求。</w:t>
            </w:r>
          </w:p>
        </w:tc>
      </w:tr>
      <w:tr w14:paraId="11B0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590FDB38">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5486" w:type="dxa"/>
            <w:noWrap w:val="0"/>
            <w:vAlign w:val="top"/>
          </w:tcPr>
          <w:p w14:paraId="11BFEA8B">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认为供应商的报价明显低于其他通过初步审查的供应商的报价，有可能影响产品质量或者不能诚信履约的，应当要求其在评审现场合理的时间内提供书面说明，必要时提交相关证明材料；供应商不能证明其报价合理性的，磋商小组应当将其作为无效报价处理。</w:t>
            </w:r>
          </w:p>
        </w:tc>
        <w:tc>
          <w:tcPr>
            <w:tcW w:w="3544" w:type="dxa"/>
            <w:noWrap w:val="0"/>
            <w:vAlign w:val="center"/>
          </w:tcPr>
          <w:p w14:paraId="43697B74">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符合所述要求。</w:t>
            </w:r>
          </w:p>
        </w:tc>
      </w:tr>
      <w:tr w14:paraId="360C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14:paraId="4B680F23">
            <w:pPr>
              <w:wordWrap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5486" w:type="dxa"/>
            <w:noWrap w:val="0"/>
            <w:vAlign w:val="center"/>
          </w:tcPr>
          <w:p w14:paraId="33DF4048">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本项目不接受联合体报价。</w:t>
            </w:r>
          </w:p>
        </w:tc>
        <w:tc>
          <w:tcPr>
            <w:tcW w:w="3544" w:type="dxa"/>
            <w:noWrap w:val="0"/>
            <w:vAlign w:val="center"/>
          </w:tcPr>
          <w:p w14:paraId="4FA10272">
            <w:pPr>
              <w:wordWrap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供应商非联合体报价。</w:t>
            </w:r>
          </w:p>
        </w:tc>
      </w:tr>
      <w:tr w14:paraId="0506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96" w:type="dxa"/>
            <w:gridSpan w:val="2"/>
            <w:noWrap w:val="0"/>
            <w:vAlign w:val="center"/>
          </w:tcPr>
          <w:p w14:paraId="58B1E7A5">
            <w:pPr>
              <w:wordWrap w:val="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符合性审查结论</w:t>
            </w:r>
          </w:p>
        </w:tc>
        <w:tc>
          <w:tcPr>
            <w:tcW w:w="3544" w:type="dxa"/>
            <w:noWrap w:val="0"/>
            <w:vAlign w:val="center"/>
          </w:tcPr>
          <w:p w14:paraId="3B6843EF">
            <w:pPr>
              <w:wordWrap w:val="0"/>
              <w:jc w:val="center"/>
              <w:rPr>
                <w:rFonts w:ascii="宋体" w:hAnsi="宋体"/>
                <w:color w:val="000000" w:themeColor="text1"/>
                <w:szCs w:val="21"/>
                <w14:textFill>
                  <w14:solidFill>
                    <w14:schemeClr w14:val="tx1"/>
                  </w14:solidFill>
                </w14:textFill>
              </w:rPr>
            </w:pPr>
          </w:p>
        </w:tc>
      </w:tr>
    </w:tbl>
    <w:p w14:paraId="3A4378AB">
      <w:pPr>
        <w:wordWrap w:val="0"/>
        <w:spacing w:line="400" w:lineRule="exact"/>
        <w:ind w:firstLine="413" w:firstLineChars="196"/>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注：上述审查项目中，任意一项不符合的，符合性审查不合格。</w:t>
      </w:r>
    </w:p>
    <w:bookmarkEnd w:id="36"/>
    <w:p w14:paraId="4CE0CC04">
      <w:pPr>
        <w:wordWrap w:val="0"/>
        <w:spacing w:line="440" w:lineRule="exact"/>
        <w:rPr>
          <w:rFonts w:hint="eastAsia"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p w14:paraId="564ED485">
      <w:pPr>
        <w:spacing w:line="440" w:lineRule="exact"/>
        <w:jc w:val="center"/>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商务和技术</w:t>
      </w:r>
      <w:r>
        <w:rPr>
          <w:rFonts w:hint="eastAsia" w:ascii="宋体" w:hAnsi="宋体"/>
          <w:b/>
          <w:color w:val="000000" w:themeColor="text1"/>
          <w14:textFill>
            <w14:solidFill>
              <w14:schemeClr w14:val="tx1"/>
            </w14:solidFill>
          </w14:textFill>
        </w:rPr>
        <w:t>评分标准</w:t>
      </w:r>
    </w:p>
    <w:tbl>
      <w:tblPr>
        <w:tblStyle w:val="44"/>
        <w:tblW w:w="904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759"/>
        <w:gridCol w:w="5749"/>
        <w:gridCol w:w="768"/>
      </w:tblGrid>
      <w:tr w14:paraId="349303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765" w:type="dxa"/>
            <w:tcBorders>
              <w:right w:val="single" w:color="auto" w:sz="4" w:space="0"/>
            </w:tcBorders>
            <w:noWrap w:val="0"/>
            <w:vAlign w:val="center"/>
          </w:tcPr>
          <w:p w14:paraId="2C635BE9">
            <w:pPr>
              <w:widowControl/>
              <w:spacing w:line="300" w:lineRule="exact"/>
              <w:jc w:val="center"/>
              <w:rPr>
                <w:rFonts w:hint="eastAsia" w:ascii="宋体" w:hAnsi="宋体" w:cs="宋体"/>
                <w:b/>
                <w:color w:val="auto"/>
                <w:kern w:val="0"/>
                <w:szCs w:val="21"/>
              </w:rPr>
            </w:pPr>
            <w:r>
              <w:rPr>
                <w:rFonts w:hint="eastAsia" w:ascii="宋体" w:hAnsi="宋体" w:cs="宋体"/>
                <w:b/>
                <w:color w:val="auto"/>
                <w:kern w:val="0"/>
                <w:szCs w:val="21"/>
              </w:rPr>
              <w:t>评标项目</w:t>
            </w:r>
          </w:p>
        </w:tc>
        <w:tc>
          <w:tcPr>
            <w:tcW w:w="7508" w:type="dxa"/>
            <w:gridSpan w:val="2"/>
            <w:tcBorders>
              <w:right w:val="single" w:color="auto" w:sz="4" w:space="0"/>
            </w:tcBorders>
            <w:noWrap w:val="0"/>
            <w:vAlign w:val="center"/>
          </w:tcPr>
          <w:p w14:paraId="7FA2FC0B">
            <w:pPr>
              <w:widowControl/>
              <w:spacing w:line="300" w:lineRule="exact"/>
              <w:jc w:val="center"/>
              <w:rPr>
                <w:rFonts w:hint="eastAsia" w:ascii="宋体" w:hAnsi="宋体" w:cs="宋体"/>
                <w:b/>
                <w:color w:val="auto"/>
                <w:kern w:val="0"/>
                <w:szCs w:val="21"/>
              </w:rPr>
            </w:pPr>
            <w:r>
              <w:rPr>
                <w:rFonts w:hint="eastAsia" w:ascii="宋体" w:hAnsi="宋体" w:cs="宋体"/>
                <w:b/>
                <w:color w:val="auto"/>
                <w:kern w:val="0"/>
                <w:szCs w:val="21"/>
              </w:rPr>
              <w:t>评分内容</w:t>
            </w:r>
          </w:p>
        </w:tc>
        <w:tc>
          <w:tcPr>
            <w:tcW w:w="768" w:type="dxa"/>
            <w:tcBorders>
              <w:left w:val="single" w:color="auto" w:sz="4" w:space="0"/>
            </w:tcBorders>
            <w:noWrap w:val="0"/>
            <w:vAlign w:val="center"/>
          </w:tcPr>
          <w:p w14:paraId="4E352412">
            <w:pPr>
              <w:widowControl/>
              <w:spacing w:line="300" w:lineRule="exact"/>
              <w:jc w:val="center"/>
              <w:rPr>
                <w:rFonts w:hint="eastAsia" w:ascii="宋体" w:hAnsi="宋体" w:cs="宋体"/>
                <w:b/>
                <w:color w:val="auto"/>
                <w:kern w:val="0"/>
                <w:szCs w:val="21"/>
              </w:rPr>
            </w:pPr>
            <w:r>
              <w:rPr>
                <w:rFonts w:hint="eastAsia" w:ascii="宋体" w:hAnsi="宋体" w:cs="宋体"/>
                <w:b/>
                <w:color w:val="auto"/>
                <w:kern w:val="0"/>
                <w:szCs w:val="21"/>
              </w:rPr>
              <w:t>分值</w:t>
            </w:r>
          </w:p>
        </w:tc>
      </w:tr>
      <w:tr w14:paraId="23DA41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5" w:type="dxa"/>
            <w:vMerge w:val="restart"/>
            <w:tcBorders>
              <w:right w:val="single" w:color="auto" w:sz="4" w:space="0"/>
            </w:tcBorders>
            <w:noWrap w:val="0"/>
            <w:vAlign w:val="center"/>
          </w:tcPr>
          <w:p w14:paraId="5A558DA9">
            <w:pPr>
              <w:widowControl/>
              <w:spacing w:line="300" w:lineRule="exact"/>
              <w:jc w:val="center"/>
              <w:rPr>
                <w:rFonts w:hint="eastAsia" w:ascii="宋体" w:hAnsi="宋体" w:cs="宋体"/>
                <w:b/>
                <w:bCs/>
                <w:color w:val="auto"/>
                <w:szCs w:val="21"/>
              </w:rPr>
            </w:pPr>
            <w:r>
              <w:rPr>
                <w:rFonts w:hint="eastAsia" w:ascii="宋体" w:hAnsi="宋体" w:cs="宋体"/>
                <w:b/>
                <w:bCs/>
                <w:color w:val="auto"/>
                <w:szCs w:val="21"/>
              </w:rPr>
              <w:t>商</w:t>
            </w:r>
          </w:p>
          <w:p w14:paraId="5310AEA2">
            <w:pPr>
              <w:widowControl/>
              <w:spacing w:line="300" w:lineRule="exact"/>
              <w:jc w:val="center"/>
              <w:rPr>
                <w:rFonts w:hint="eastAsia" w:ascii="宋体" w:hAnsi="宋体" w:cs="宋体"/>
                <w:b/>
                <w:bCs/>
                <w:color w:val="auto"/>
                <w:szCs w:val="21"/>
              </w:rPr>
            </w:pPr>
            <w:r>
              <w:rPr>
                <w:rFonts w:hint="eastAsia" w:ascii="宋体" w:hAnsi="宋体" w:cs="宋体"/>
                <w:b/>
                <w:bCs/>
                <w:color w:val="auto"/>
                <w:szCs w:val="21"/>
              </w:rPr>
              <w:t>务</w:t>
            </w:r>
          </w:p>
          <w:p w14:paraId="7123A9DE">
            <w:pPr>
              <w:widowControl/>
              <w:spacing w:line="300" w:lineRule="exact"/>
              <w:jc w:val="center"/>
              <w:rPr>
                <w:rFonts w:hint="eastAsia" w:ascii="宋体" w:hAnsi="宋体" w:cs="宋体"/>
                <w:b/>
                <w:bCs/>
                <w:color w:val="auto"/>
                <w:szCs w:val="21"/>
              </w:rPr>
            </w:pPr>
            <w:r>
              <w:rPr>
                <w:rFonts w:hint="eastAsia" w:ascii="宋体" w:hAnsi="宋体" w:cs="宋体"/>
                <w:b/>
                <w:bCs/>
                <w:color w:val="auto"/>
                <w:szCs w:val="21"/>
              </w:rPr>
              <w:t>技</w:t>
            </w:r>
          </w:p>
          <w:p w14:paraId="1C48889A">
            <w:pPr>
              <w:widowControl/>
              <w:spacing w:line="300" w:lineRule="exact"/>
              <w:jc w:val="center"/>
              <w:rPr>
                <w:rFonts w:hint="eastAsia" w:ascii="宋体" w:hAnsi="宋体" w:cs="宋体"/>
                <w:b/>
                <w:bCs/>
                <w:color w:val="auto"/>
                <w:szCs w:val="21"/>
              </w:rPr>
            </w:pPr>
            <w:r>
              <w:rPr>
                <w:rFonts w:hint="eastAsia" w:ascii="宋体" w:hAnsi="宋体" w:cs="宋体"/>
                <w:b/>
                <w:bCs/>
                <w:color w:val="auto"/>
                <w:szCs w:val="21"/>
              </w:rPr>
              <w:t>术</w:t>
            </w:r>
          </w:p>
          <w:p w14:paraId="33DA5412">
            <w:pPr>
              <w:widowControl/>
              <w:spacing w:line="300" w:lineRule="exact"/>
              <w:jc w:val="center"/>
              <w:rPr>
                <w:rFonts w:hint="eastAsia" w:ascii="宋体" w:hAnsi="宋体" w:cs="宋体"/>
                <w:b/>
                <w:bCs/>
                <w:color w:val="auto"/>
                <w:szCs w:val="21"/>
              </w:rPr>
            </w:pPr>
            <w:r>
              <w:rPr>
                <w:rFonts w:hint="eastAsia" w:ascii="宋体" w:hAnsi="宋体" w:cs="宋体"/>
                <w:b/>
                <w:bCs/>
                <w:color w:val="auto"/>
                <w:szCs w:val="21"/>
              </w:rPr>
              <w:t>分</w:t>
            </w:r>
          </w:p>
          <w:p w14:paraId="3ECC40D3">
            <w:pPr>
              <w:spacing w:line="300" w:lineRule="exact"/>
              <w:jc w:val="center"/>
              <w:rPr>
                <w:rFonts w:hint="eastAsia" w:ascii="宋体" w:hAnsi="宋体" w:cs="宋体"/>
                <w:b/>
                <w:bCs/>
                <w:color w:val="auto"/>
                <w:szCs w:val="21"/>
              </w:rPr>
            </w:pPr>
            <w:r>
              <w:rPr>
                <w:rFonts w:hint="eastAsia" w:ascii="宋体" w:hAnsi="宋体" w:cs="宋体"/>
                <w:b/>
                <w:bCs/>
                <w:color w:val="auto"/>
                <w:szCs w:val="21"/>
              </w:rPr>
              <w:t>90</w:t>
            </w:r>
          </w:p>
          <w:p w14:paraId="5B023BC2">
            <w:pPr>
              <w:spacing w:line="300" w:lineRule="exact"/>
              <w:jc w:val="center"/>
              <w:rPr>
                <w:rFonts w:hint="eastAsia" w:ascii="宋体" w:hAnsi="宋体" w:cs="宋体"/>
                <w:color w:val="auto"/>
                <w:szCs w:val="21"/>
              </w:rPr>
            </w:pPr>
            <w:r>
              <w:rPr>
                <w:rFonts w:hint="eastAsia" w:ascii="宋体" w:hAnsi="宋体" w:cs="宋体"/>
                <w:b/>
                <w:bCs/>
                <w:color w:val="auto"/>
                <w:szCs w:val="21"/>
              </w:rPr>
              <w:t>分</w:t>
            </w:r>
          </w:p>
        </w:tc>
        <w:tc>
          <w:tcPr>
            <w:tcW w:w="7508" w:type="dxa"/>
            <w:gridSpan w:val="2"/>
            <w:tcBorders>
              <w:right w:val="single" w:color="auto" w:sz="4" w:space="0"/>
            </w:tcBorders>
            <w:noWrap w:val="0"/>
            <w:vAlign w:val="center"/>
          </w:tcPr>
          <w:p w14:paraId="6C2E92B6">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技术指标、商务条款响应性（30分）：</w:t>
            </w:r>
          </w:p>
          <w:p w14:paraId="02EDD8E3">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完全响应“第</w:t>
            </w:r>
            <w:r>
              <w:rPr>
                <w:rFonts w:hint="eastAsia" w:ascii="宋体" w:hAnsi="宋体" w:cs="宋体"/>
                <w:color w:val="auto"/>
                <w:kern w:val="1"/>
                <w:szCs w:val="21"/>
                <w:lang w:val="en-US" w:eastAsia="zh-CN"/>
              </w:rPr>
              <w:t>五</w:t>
            </w:r>
            <w:r>
              <w:rPr>
                <w:rFonts w:hint="eastAsia" w:ascii="宋体" w:hAnsi="宋体" w:cs="宋体"/>
                <w:color w:val="auto"/>
                <w:kern w:val="1"/>
                <w:szCs w:val="21"/>
              </w:rPr>
              <w:t>章  采购需求”中各项条款的，得30分；每负偏离一条打“▲”的技术、商务条款扣5分；每负偏离一条未打“▲”的技术、商务条款扣2分；当偏离扣分超过总分值30分时，作无效标处理。</w:t>
            </w:r>
          </w:p>
        </w:tc>
        <w:tc>
          <w:tcPr>
            <w:tcW w:w="768" w:type="dxa"/>
            <w:tcBorders>
              <w:left w:val="single" w:color="auto" w:sz="4" w:space="0"/>
            </w:tcBorders>
            <w:noWrap w:val="0"/>
            <w:vAlign w:val="center"/>
          </w:tcPr>
          <w:p w14:paraId="6EB1109C">
            <w:pPr>
              <w:spacing w:line="300" w:lineRule="exact"/>
              <w:jc w:val="center"/>
              <w:rPr>
                <w:rFonts w:ascii="宋体" w:hAnsi="宋体" w:cs="宋体"/>
                <w:color w:val="auto"/>
                <w:kern w:val="0"/>
                <w:szCs w:val="21"/>
              </w:rPr>
            </w:pPr>
            <w:r>
              <w:rPr>
                <w:rFonts w:hint="eastAsia" w:ascii="宋体" w:hAnsi="宋体" w:cs="宋体"/>
                <w:color w:val="auto"/>
                <w:kern w:val="0"/>
                <w:szCs w:val="21"/>
              </w:rPr>
              <w:t>30</w:t>
            </w:r>
          </w:p>
        </w:tc>
      </w:tr>
      <w:tr w14:paraId="1F77AB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765" w:type="dxa"/>
            <w:vMerge w:val="continue"/>
            <w:tcBorders>
              <w:right w:val="single" w:color="auto" w:sz="4" w:space="0"/>
            </w:tcBorders>
            <w:noWrap w:val="0"/>
            <w:vAlign w:val="center"/>
          </w:tcPr>
          <w:p w14:paraId="16980A5E">
            <w:pPr>
              <w:widowControl/>
              <w:spacing w:line="300" w:lineRule="exact"/>
              <w:jc w:val="center"/>
              <w:rPr>
                <w:rFonts w:hint="eastAsia" w:ascii="宋体" w:hAnsi="宋体" w:cs="宋体"/>
                <w:b/>
                <w:bCs/>
                <w:color w:val="auto"/>
                <w:szCs w:val="21"/>
              </w:rPr>
            </w:pPr>
          </w:p>
        </w:tc>
        <w:tc>
          <w:tcPr>
            <w:tcW w:w="1759" w:type="dxa"/>
            <w:vMerge w:val="restart"/>
            <w:tcBorders>
              <w:right w:val="single" w:color="auto" w:sz="4" w:space="0"/>
            </w:tcBorders>
            <w:noWrap w:val="0"/>
            <w:vAlign w:val="center"/>
          </w:tcPr>
          <w:p w14:paraId="59CB5662">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实施方案（20分）：根据投标人提供的项目实施方案（研发时间节点、系统安装测试方案、质量控制措施、验收方案）进行评议</w:t>
            </w:r>
          </w:p>
        </w:tc>
        <w:tc>
          <w:tcPr>
            <w:tcW w:w="5749" w:type="dxa"/>
            <w:tcBorders>
              <w:left w:val="single" w:color="auto" w:sz="4" w:space="0"/>
              <w:right w:val="single" w:color="auto" w:sz="4" w:space="0"/>
            </w:tcBorders>
            <w:noWrap w:val="0"/>
            <w:vAlign w:val="center"/>
          </w:tcPr>
          <w:p w14:paraId="587FAB88">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1、研发时间节点（5分）：研发时间节点安排详细、合理完全满足交付期要求的得5分；研发时间节点安排粗略、勉强满足交付期要求的得3分；研发时间节点安排不详细的得1分；未提供方案的，不得分。</w:t>
            </w:r>
          </w:p>
        </w:tc>
        <w:tc>
          <w:tcPr>
            <w:tcW w:w="768" w:type="dxa"/>
            <w:tcBorders>
              <w:left w:val="single" w:color="auto" w:sz="4" w:space="0"/>
            </w:tcBorders>
            <w:noWrap w:val="0"/>
            <w:vAlign w:val="center"/>
          </w:tcPr>
          <w:p w14:paraId="22D4F4FA">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5</w:t>
            </w:r>
          </w:p>
        </w:tc>
      </w:tr>
      <w:tr w14:paraId="7E17CD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765" w:type="dxa"/>
            <w:vMerge w:val="continue"/>
            <w:tcBorders>
              <w:right w:val="single" w:color="auto" w:sz="4" w:space="0"/>
            </w:tcBorders>
            <w:noWrap w:val="0"/>
            <w:vAlign w:val="center"/>
          </w:tcPr>
          <w:p w14:paraId="0759D9E7">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1BA31308">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5B43EAFB">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2、系统安装测试方案（5分）：系统安装、测试方案详细，完全可行的得5分；系统安装、测试方案完整，基本可行的得3分；系统安装、测试方案存在缺陷，方案不可行的得1分；未提供方案的，不得分。</w:t>
            </w:r>
          </w:p>
        </w:tc>
        <w:tc>
          <w:tcPr>
            <w:tcW w:w="768" w:type="dxa"/>
            <w:tcBorders>
              <w:left w:val="single" w:color="auto" w:sz="4" w:space="0"/>
            </w:tcBorders>
            <w:noWrap w:val="0"/>
            <w:vAlign w:val="center"/>
          </w:tcPr>
          <w:p w14:paraId="4BB03499">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5</w:t>
            </w:r>
          </w:p>
        </w:tc>
      </w:tr>
      <w:tr w14:paraId="2F7492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765" w:type="dxa"/>
            <w:vMerge w:val="continue"/>
            <w:tcBorders>
              <w:right w:val="single" w:color="auto" w:sz="4" w:space="0"/>
            </w:tcBorders>
            <w:noWrap w:val="0"/>
            <w:vAlign w:val="center"/>
          </w:tcPr>
          <w:p w14:paraId="5D39D7AF">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7154B262">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2FB0DA2F">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3、质量控制措施（5分）：质量控制措施详细、完善，完全可行的得5分；质量控制措施完整，基本可行的得3分；质量控制措施存在缺陷，方案不可行的得1分；未提供质量控制措施方案的，不得分。</w:t>
            </w:r>
          </w:p>
        </w:tc>
        <w:tc>
          <w:tcPr>
            <w:tcW w:w="768" w:type="dxa"/>
            <w:tcBorders>
              <w:left w:val="single" w:color="auto" w:sz="4" w:space="0"/>
            </w:tcBorders>
            <w:noWrap w:val="0"/>
            <w:vAlign w:val="center"/>
          </w:tcPr>
          <w:p w14:paraId="1CC8F4D8">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5</w:t>
            </w:r>
          </w:p>
        </w:tc>
      </w:tr>
      <w:tr w14:paraId="08FFED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765" w:type="dxa"/>
            <w:vMerge w:val="continue"/>
            <w:tcBorders>
              <w:right w:val="single" w:color="auto" w:sz="4" w:space="0"/>
            </w:tcBorders>
            <w:noWrap w:val="0"/>
            <w:vAlign w:val="center"/>
          </w:tcPr>
          <w:p w14:paraId="0742512D">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132B2D6A">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6480BC1E">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4、验收方案（5分）：验收方案详细、完善，完全可行的得5分；验收方案完整，基本可行的得3分；验收方案存在缺陷，方案不可行的得1分；未提供方案的，不得分。</w:t>
            </w:r>
          </w:p>
        </w:tc>
        <w:tc>
          <w:tcPr>
            <w:tcW w:w="768" w:type="dxa"/>
            <w:tcBorders>
              <w:left w:val="single" w:color="auto" w:sz="4" w:space="0"/>
            </w:tcBorders>
            <w:noWrap w:val="0"/>
            <w:vAlign w:val="center"/>
          </w:tcPr>
          <w:p w14:paraId="0EAAEFDC">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5</w:t>
            </w:r>
          </w:p>
        </w:tc>
      </w:tr>
      <w:tr w14:paraId="747CBB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65" w:type="dxa"/>
            <w:vMerge w:val="continue"/>
            <w:tcBorders>
              <w:right w:val="single" w:color="auto" w:sz="4" w:space="0"/>
            </w:tcBorders>
            <w:noWrap w:val="0"/>
            <w:vAlign w:val="center"/>
          </w:tcPr>
          <w:p w14:paraId="4DC1DBC8">
            <w:pPr>
              <w:widowControl/>
              <w:spacing w:line="300" w:lineRule="exact"/>
              <w:jc w:val="center"/>
              <w:rPr>
                <w:rFonts w:hint="eastAsia" w:ascii="宋体" w:hAnsi="宋体" w:cs="宋体"/>
                <w:b/>
                <w:bCs/>
                <w:color w:val="auto"/>
                <w:szCs w:val="21"/>
              </w:rPr>
            </w:pPr>
          </w:p>
        </w:tc>
        <w:tc>
          <w:tcPr>
            <w:tcW w:w="1759" w:type="dxa"/>
            <w:vMerge w:val="restart"/>
            <w:tcBorders>
              <w:right w:val="single" w:color="auto" w:sz="4" w:space="0"/>
            </w:tcBorders>
            <w:noWrap w:val="0"/>
            <w:vAlign w:val="center"/>
          </w:tcPr>
          <w:p w14:paraId="0332A338">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系统演示（1</w:t>
            </w:r>
            <w:r>
              <w:rPr>
                <w:rFonts w:hint="eastAsia" w:ascii="宋体" w:hAnsi="宋体" w:cs="宋体"/>
                <w:color w:val="auto"/>
                <w:kern w:val="1"/>
                <w:szCs w:val="21"/>
                <w:lang w:val="en-US" w:eastAsia="zh-CN"/>
              </w:rPr>
              <w:t>5</w:t>
            </w:r>
            <w:r>
              <w:rPr>
                <w:rFonts w:hint="eastAsia" w:ascii="宋体" w:hAnsi="宋体" w:cs="宋体"/>
                <w:color w:val="auto"/>
                <w:kern w:val="1"/>
                <w:szCs w:val="21"/>
              </w:rPr>
              <w:t>分）</w:t>
            </w:r>
          </w:p>
          <w:p w14:paraId="0D559372">
            <w:pPr>
              <w:adjustRightInd w:val="0"/>
              <w:spacing w:line="300" w:lineRule="exact"/>
              <w:jc w:val="left"/>
              <w:textAlignment w:val="baseline"/>
              <w:rPr>
                <w:rFonts w:hint="eastAsia" w:ascii="宋体" w:hAnsi="宋体" w:cs="宋体"/>
                <w:color w:val="auto"/>
                <w:spacing w:val="-6"/>
                <w:szCs w:val="21"/>
              </w:rPr>
            </w:pPr>
            <w:r>
              <w:rPr>
                <w:rFonts w:hint="eastAsia" w:ascii="宋体" w:hAnsi="宋体" w:cs="宋体"/>
                <w:color w:val="auto"/>
                <w:kern w:val="0"/>
                <w:szCs w:val="21"/>
              </w:rPr>
              <w:t>（</w:t>
            </w:r>
            <w:r>
              <w:rPr>
                <w:rFonts w:hint="eastAsia" w:ascii="宋体" w:hAnsi="宋体" w:cs="宋体"/>
                <w:color w:val="auto"/>
                <w:szCs w:val="21"/>
              </w:rPr>
              <w:t>根据招标文件要求，投标人需按照招标文件技术参数要求提供系统功能及操作过程演示视频，投标截止时间前提供电子视频演示U盘，</w:t>
            </w:r>
            <w:r>
              <w:rPr>
                <w:rFonts w:hint="eastAsia" w:ascii="宋体" w:hAnsi="宋体" w:cs="宋体"/>
                <w:color w:val="auto"/>
                <w:kern w:val="1"/>
                <w:szCs w:val="21"/>
              </w:rPr>
              <w:t>演示时间控制在10分钟内。需同时配有详细的操作解说。</w:t>
            </w:r>
            <w:r>
              <w:rPr>
                <w:rFonts w:hint="eastAsia" w:ascii="宋体" w:hAnsi="宋体" w:cs="宋体"/>
                <w:color w:val="auto"/>
                <w:kern w:val="0"/>
                <w:szCs w:val="21"/>
              </w:rPr>
              <w:t>）</w:t>
            </w:r>
          </w:p>
        </w:tc>
        <w:tc>
          <w:tcPr>
            <w:tcW w:w="5749" w:type="dxa"/>
            <w:tcBorders>
              <w:left w:val="single" w:color="auto" w:sz="4" w:space="0"/>
              <w:right w:val="single" w:color="auto" w:sz="4" w:space="0"/>
            </w:tcBorders>
            <w:noWrap w:val="0"/>
            <w:vAlign w:val="center"/>
          </w:tcPr>
          <w:p w14:paraId="689162D5">
            <w:pPr>
              <w:numPr>
                <w:ilvl w:val="0"/>
                <w:numId w:val="0"/>
              </w:numPr>
              <w:rPr>
                <w:rFonts w:hint="eastAsia" w:ascii="宋体" w:hAnsi="宋体" w:cs="宋体"/>
                <w:color w:val="auto"/>
                <w:kern w:val="1"/>
                <w:szCs w:val="21"/>
              </w:rPr>
            </w:pPr>
            <w:r>
              <w:rPr>
                <w:rFonts w:hint="eastAsia" w:ascii="宋体" w:hAnsi="宋体" w:cs="宋体"/>
                <w:color w:val="auto"/>
                <w:kern w:val="1"/>
                <w:szCs w:val="21"/>
                <w:lang w:val="en-US" w:eastAsia="zh-CN"/>
              </w:rPr>
              <w:t>1.</w:t>
            </w:r>
            <w:r>
              <w:rPr>
                <w:rFonts w:hint="eastAsia" w:ascii="宋体" w:hAnsi="宋体" w:eastAsia="宋体" w:cs="宋体"/>
                <w:color w:val="auto"/>
                <w:kern w:val="1"/>
                <w:szCs w:val="21"/>
              </w:rPr>
              <w:t>项目、指标的创建及维护（3分）：项目和指标创建、修改、删除、查看等功能完整得3分，</w:t>
            </w:r>
            <w:r>
              <w:rPr>
                <w:rFonts w:hint="eastAsia" w:ascii="宋体" w:hAnsi="宋体" w:cs="宋体"/>
                <w:color w:val="auto"/>
                <w:kern w:val="1"/>
                <w:szCs w:val="21"/>
                <w:lang w:eastAsia="zh-CN"/>
              </w:rPr>
              <w:t>功能</w:t>
            </w:r>
            <w:r>
              <w:rPr>
                <w:rFonts w:hint="eastAsia" w:ascii="宋体" w:hAnsi="宋体" w:cs="宋体"/>
                <w:i w:val="0"/>
                <w:color w:val="auto"/>
                <w:kern w:val="2"/>
                <w:sz w:val="21"/>
                <w:szCs w:val="21"/>
                <w:lang w:val="en-US" w:eastAsia="zh-CN" w:bidi="ar-SA"/>
              </w:rPr>
              <w:t>展示</w:t>
            </w:r>
            <w:r>
              <w:rPr>
                <w:rFonts w:hint="eastAsia" w:ascii="宋体" w:hAnsi="宋体" w:eastAsia="宋体" w:cs="宋体"/>
                <w:color w:val="auto"/>
                <w:kern w:val="1"/>
                <w:szCs w:val="21"/>
              </w:rPr>
              <w:t>基本可行</w:t>
            </w:r>
            <w:r>
              <w:rPr>
                <w:rFonts w:hint="eastAsia" w:ascii="宋体" w:hAnsi="宋体" w:cs="宋体"/>
                <w:color w:val="auto"/>
                <w:kern w:val="1"/>
                <w:szCs w:val="21"/>
                <w:lang w:eastAsia="zh-CN"/>
              </w:rPr>
              <w:t>，有缺陷但不影响使用</w:t>
            </w:r>
            <w:r>
              <w:rPr>
                <w:rFonts w:hint="eastAsia" w:ascii="宋体" w:hAnsi="宋体" w:eastAsia="宋体" w:cs="宋体"/>
                <w:color w:val="auto"/>
                <w:kern w:val="1"/>
                <w:szCs w:val="21"/>
              </w:rPr>
              <w:t>的得2分；未提供</w:t>
            </w:r>
            <w:r>
              <w:rPr>
                <w:rFonts w:hint="eastAsia" w:ascii="宋体" w:hAnsi="宋体" w:cs="宋体"/>
                <w:color w:val="auto"/>
                <w:kern w:val="1"/>
                <w:szCs w:val="21"/>
                <w:lang w:eastAsia="zh-CN"/>
              </w:rPr>
              <w:t>该功能</w:t>
            </w:r>
            <w:r>
              <w:rPr>
                <w:rFonts w:hint="eastAsia" w:ascii="宋体" w:hAnsi="宋体" w:eastAsia="宋体" w:cs="宋体"/>
                <w:color w:val="auto"/>
                <w:kern w:val="1"/>
                <w:szCs w:val="21"/>
              </w:rPr>
              <w:t>的，不得分。</w:t>
            </w:r>
          </w:p>
        </w:tc>
        <w:tc>
          <w:tcPr>
            <w:tcW w:w="768" w:type="dxa"/>
            <w:tcBorders>
              <w:left w:val="single" w:color="auto" w:sz="4" w:space="0"/>
            </w:tcBorders>
            <w:noWrap w:val="0"/>
            <w:vAlign w:val="center"/>
          </w:tcPr>
          <w:p w14:paraId="76D1791E">
            <w:pPr>
              <w:spacing w:line="3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3</w:t>
            </w:r>
          </w:p>
        </w:tc>
      </w:tr>
      <w:tr w14:paraId="0425B5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5" w:type="dxa"/>
            <w:vMerge w:val="continue"/>
            <w:tcBorders>
              <w:right w:val="single" w:color="auto" w:sz="4" w:space="0"/>
            </w:tcBorders>
            <w:noWrap w:val="0"/>
            <w:vAlign w:val="center"/>
          </w:tcPr>
          <w:p w14:paraId="28D7F2E1">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307D8A0B">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207BE330">
            <w:pPr>
              <w:adjustRightInd w:val="0"/>
              <w:spacing w:line="300" w:lineRule="exact"/>
              <w:jc w:val="left"/>
              <w:textAlignment w:val="baseline"/>
              <w:rPr>
                <w:rFonts w:hint="eastAsia" w:ascii="宋体" w:hAnsi="宋体" w:eastAsia="宋体" w:cs="宋体"/>
                <w:color w:val="auto"/>
                <w:kern w:val="1"/>
                <w:szCs w:val="21"/>
                <w:lang w:val="en-US" w:eastAsia="zh-CN"/>
              </w:rPr>
            </w:pPr>
            <w:r>
              <w:rPr>
                <w:rFonts w:hint="eastAsia" w:ascii="宋体" w:hAnsi="宋体" w:cs="宋体"/>
                <w:color w:val="auto"/>
                <w:kern w:val="1"/>
                <w:szCs w:val="21"/>
                <w:lang w:val="en-US" w:eastAsia="zh-CN"/>
              </w:rPr>
              <w:t>2.项目得分计算方法</w:t>
            </w:r>
            <w:r>
              <w:rPr>
                <w:rFonts w:hint="eastAsia" w:ascii="宋体" w:hAnsi="宋体" w:cs="宋体"/>
                <w:color w:val="auto"/>
                <w:kern w:val="1"/>
                <w:szCs w:val="21"/>
              </w:rPr>
              <w:t>（</w:t>
            </w:r>
            <w:r>
              <w:rPr>
                <w:rFonts w:hint="eastAsia" w:ascii="宋体" w:hAnsi="宋体" w:cs="宋体"/>
                <w:color w:val="auto"/>
                <w:kern w:val="1"/>
                <w:szCs w:val="21"/>
                <w:lang w:val="en-US" w:eastAsia="zh-CN"/>
              </w:rPr>
              <w:t>2</w:t>
            </w:r>
            <w:r>
              <w:rPr>
                <w:rFonts w:hint="eastAsia" w:ascii="宋体" w:hAnsi="宋体" w:cs="宋体"/>
                <w:color w:val="auto"/>
                <w:kern w:val="1"/>
                <w:szCs w:val="21"/>
              </w:rPr>
              <w:t>分）</w:t>
            </w:r>
            <w:r>
              <w:rPr>
                <w:rFonts w:hint="eastAsia" w:ascii="宋体" w:hAnsi="宋体" w:cs="宋体"/>
                <w:color w:val="auto"/>
                <w:kern w:val="1"/>
                <w:szCs w:val="21"/>
                <w:lang w:val="en-US" w:eastAsia="zh-CN"/>
              </w:rPr>
              <w:t>：项目得分根据项目状态自动计算得出，满足要求的得2分，</w:t>
            </w:r>
            <w:r>
              <w:rPr>
                <w:rFonts w:hint="eastAsia" w:ascii="宋体" w:hAnsi="宋体" w:cs="宋体"/>
                <w:color w:val="auto"/>
                <w:kern w:val="1"/>
                <w:szCs w:val="21"/>
                <w:lang w:eastAsia="zh-CN"/>
              </w:rPr>
              <w:t>功能</w:t>
            </w:r>
            <w:r>
              <w:rPr>
                <w:rFonts w:hint="eastAsia" w:ascii="宋体" w:hAnsi="宋体" w:cs="宋体"/>
                <w:i w:val="0"/>
                <w:color w:val="auto"/>
                <w:kern w:val="2"/>
                <w:sz w:val="21"/>
                <w:szCs w:val="21"/>
                <w:lang w:val="en-US" w:eastAsia="zh-CN" w:bidi="ar-SA"/>
              </w:rPr>
              <w:t>展示</w:t>
            </w:r>
            <w:r>
              <w:rPr>
                <w:rFonts w:hint="eastAsia" w:ascii="宋体" w:hAnsi="宋体" w:eastAsia="宋体" w:cs="宋体"/>
                <w:color w:val="auto"/>
                <w:kern w:val="1"/>
                <w:szCs w:val="21"/>
              </w:rPr>
              <w:t>基本可行</w:t>
            </w:r>
            <w:r>
              <w:rPr>
                <w:rFonts w:hint="eastAsia" w:ascii="宋体" w:hAnsi="宋体" w:cs="宋体"/>
                <w:color w:val="auto"/>
                <w:kern w:val="1"/>
                <w:szCs w:val="21"/>
                <w:lang w:eastAsia="zh-CN"/>
              </w:rPr>
              <w:t>，有缺陷但不影响使用</w:t>
            </w:r>
            <w:r>
              <w:rPr>
                <w:rFonts w:hint="eastAsia" w:ascii="宋体" w:hAnsi="宋体" w:cs="宋体"/>
                <w:color w:val="auto"/>
                <w:kern w:val="1"/>
                <w:szCs w:val="21"/>
                <w:lang w:val="en-US" w:eastAsia="zh-CN"/>
              </w:rPr>
              <w:t>的得1分，</w:t>
            </w:r>
            <w:r>
              <w:rPr>
                <w:rFonts w:hint="eastAsia" w:ascii="宋体" w:hAnsi="宋体" w:cs="宋体"/>
                <w:color w:val="auto"/>
                <w:kern w:val="1"/>
                <w:szCs w:val="21"/>
              </w:rPr>
              <w:t>未提供</w:t>
            </w:r>
            <w:r>
              <w:rPr>
                <w:rFonts w:hint="eastAsia" w:ascii="宋体" w:hAnsi="宋体" w:cs="宋体"/>
                <w:color w:val="auto"/>
                <w:kern w:val="1"/>
                <w:szCs w:val="21"/>
                <w:lang w:eastAsia="zh-CN"/>
              </w:rPr>
              <w:t>该功能</w:t>
            </w:r>
            <w:r>
              <w:rPr>
                <w:rFonts w:hint="eastAsia" w:ascii="宋体" w:hAnsi="宋体" w:cs="宋体"/>
                <w:color w:val="auto"/>
                <w:kern w:val="1"/>
                <w:szCs w:val="21"/>
                <w:lang w:val="en-US" w:eastAsia="zh-CN"/>
              </w:rPr>
              <w:t>或者功能不可行的</w:t>
            </w:r>
            <w:r>
              <w:rPr>
                <w:rFonts w:hint="eastAsia" w:ascii="宋体" w:hAnsi="宋体" w:cs="宋体"/>
                <w:color w:val="auto"/>
                <w:kern w:val="1"/>
                <w:szCs w:val="21"/>
              </w:rPr>
              <w:t>，不得分。</w:t>
            </w:r>
          </w:p>
        </w:tc>
        <w:tc>
          <w:tcPr>
            <w:tcW w:w="768" w:type="dxa"/>
            <w:tcBorders>
              <w:left w:val="single" w:color="auto" w:sz="4" w:space="0"/>
            </w:tcBorders>
            <w:noWrap w:val="0"/>
            <w:vAlign w:val="center"/>
          </w:tcPr>
          <w:p w14:paraId="4218C953">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2</w:t>
            </w:r>
          </w:p>
        </w:tc>
      </w:tr>
      <w:tr w14:paraId="4CC3A4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65" w:type="dxa"/>
            <w:vMerge w:val="continue"/>
            <w:tcBorders>
              <w:right w:val="single" w:color="auto" w:sz="4" w:space="0"/>
            </w:tcBorders>
            <w:noWrap w:val="0"/>
            <w:vAlign w:val="center"/>
          </w:tcPr>
          <w:p w14:paraId="0FED41A1">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55974C0A">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77F2C83C">
            <w:pPr>
              <w:numPr>
                <w:ilvl w:val="0"/>
                <w:numId w:val="0"/>
              </w:numPr>
              <w:rPr>
                <w:rFonts w:hint="default" w:ascii="宋体" w:hAnsi="宋体" w:eastAsia="宋体" w:cs="宋体"/>
                <w:color w:val="auto"/>
                <w:kern w:val="1"/>
                <w:szCs w:val="21"/>
                <w:lang w:val="en-US" w:eastAsia="zh-CN"/>
              </w:rPr>
            </w:pPr>
            <w:r>
              <w:rPr>
                <w:rFonts w:hint="eastAsia" w:ascii="宋体" w:hAnsi="宋体" w:cs="宋体"/>
                <w:color w:val="auto"/>
                <w:kern w:val="1"/>
                <w:szCs w:val="21"/>
                <w:lang w:val="en-US" w:eastAsia="zh-CN"/>
              </w:rPr>
              <w:t>3.考核得分计算</w:t>
            </w:r>
            <w:r>
              <w:rPr>
                <w:rFonts w:hint="eastAsia" w:ascii="宋体" w:hAnsi="宋体" w:cs="宋体"/>
                <w:color w:val="auto"/>
                <w:kern w:val="1"/>
                <w:szCs w:val="21"/>
              </w:rPr>
              <w:t>（</w:t>
            </w:r>
            <w:r>
              <w:rPr>
                <w:rFonts w:hint="eastAsia" w:ascii="宋体" w:hAnsi="宋体" w:cs="宋体"/>
                <w:color w:val="auto"/>
                <w:kern w:val="1"/>
                <w:szCs w:val="21"/>
                <w:lang w:val="en-US" w:eastAsia="zh-CN"/>
              </w:rPr>
              <w:t>5</w:t>
            </w:r>
            <w:r>
              <w:rPr>
                <w:rFonts w:hint="eastAsia" w:ascii="宋体" w:hAnsi="宋体" w:cs="宋体"/>
                <w:color w:val="auto"/>
                <w:kern w:val="1"/>
                <w:szCs w:val="21"/>
              </w:rPr>
              <w:t>分）</w:t>
            </w:r>
            <w:r>
              <w:rPr>
                <w:rFonts w:hint="eastAsia" w:ascii="宋体" w:hAnsi="宋体" w:cs="宋体"/>
                <w:color w:val="auto"/>
                <w:kern w:val="1"/>
                <w:szCs w:val="21"/>
                <w:lang w:val="en-US" w:eastAsia="zh-CN"/>
              </w:rPr>
              <w:t>：区委办公室督查室可对每个项目自动生成单位考核得分，可根据评分对各单位每季度进行排名督考</w:t>
            </w:r>
            <w:r>
              <w:rPr>
                <w:rFonts w:hint="eastAsia" w:ascii="宋体" w:hAnsi="宋体" w:cs="宋体"/>
                <w:color w:val="auto"/>
                <w:kern w:val="1"/>
                <w:szCs w:val="21"/>
              </w:rPr>
              <w:t>。</w:t>
            </w:r>
            <w:r>
              <w:rPr>
                <w:rFonts w:hint="eastAsia" w:ascii="宋体" w:hAnsi="宋体" w:cs="宋体"/>
                <w:color w:val="auto"/>
                <w:kern w:val="1"/>
                <w:szCs w:val="21"/>
                <w:lang w:val="en-US" w:eastAsia="zh-CN"/>
              </w:rPr>
              <w:t>单位考核得分的影响因素要包括项目基本分、项目数量权重、季度附加分、督考办评分等要素。考核得分计算全面</w:t>
            </w:r>
            <w:r>
              <w:rPr>
                <w:rFonts w:hint="eastAsia" w:ascii="宋体" w:hAnsi="宋体" w:eastAsia="宋体" w:cs="宋体"/>
                <w:i w:val="0"/>
                <w:color w:val="auto"/>
                <w:kern w:val="2"/>
                <w:sz w:val="21"/>
                <w:szCs w:val="21"/>
                <w:lang w:val="en-US" w:eastAsia="zh-CN" w:bidi="ar-SA"/>
              </w:rPr>
              <w:t>且实施</w:t>
            </w:r>
            <w:r>
              <w:rPr>
                <w:rFonts w:hint="eastAsia" w:ascii="宋体" w:hAnsi="宋体" w:cs="宋体"/>
                <w:i w:val="0"/>
                <w:color w:val="auto"/>
                <w:kern w:val="2"/>
                <w:sz w:val="21"/>
                <w:szCs w:val="21"/>
                <w:lang w:val="en-US" w:eastAsia="zh-CN" w:bidi="ar-SA"/>
              </w:rPr>
              <w:t>顺畅符合逻辑</w:t>
            </w:r>
            <w:r>
              <w:rPr>
                <w:rFonts w:hint="eastAsia" w:ascii="宋体" w:hAnsi="宋体" w:eastAsia="宋体" w:cs="宋体"/>
                <w:i w:val="0"/>
                <w:color w:val="auto"/>
                <w:kern w:val="2"/>
                <w:sz w:val="21"/>
                <w:szCs w:val="21"/>
                <w:lang w:val="en-US" w:eastAsia="zh-CN" w:bidi="ar-SA"/>
              </w:rPr>
              <w:t>的得5分；</w:t>
            </w:r>
            <w:r>
              <w:rPr>
                <w:rFonts w:hint="eastAsia" w:ascii="宋体" w:hAnsi="宋体" w:cs="宋体"/>
                <w:color w:val="auto"/>
                <w:kern w:val="1"/>
                <w:szCs w:val="21"/>
                <w:lang w:val="en-US" w:eastAsia="zh-CN"/>
              </w:rPr>
              <w:t>考核得分计算</w:t>
            </w:r>
            <w:r>
              <w:rPr>
                <w:rFonts w:hint="eastAsia" w:ascii="宋体" w:hAnsi="宋体" w:eastAsia="宋体" w:cs="宋体"/>
                <w:i w:val="0"/>
                <w:color w:val="auto"/>
                <w:kern w:val="2"/>
                <w:sz w:val="21"/>
                <w:szCs w:val="21"/>
                <w:lang w:val="en-US" w:eastAsia="zh-CN" w:bidi="ar-SA"/>
              </w:rPr>
              <w:t>基本</w:t>
            </w:r>
            <w:r>
              <w:rPr>
                <w:rFonts w:hint="eastAsia" w:ascii="宋体" w:hAnsi="宋体" w:cs="宋体"/>
                <w:i w:val="0"/>
                <w:color w:val="auto"/>
                <w:kern w:val="2"/>
                <w:sz w:val="21"/>
                <w:szCs w:val="21"/>
                <w:lang w:val="en-US" w:eastAsia="zh-CN" w:bidi="ar-SA"/>
              </w:rPr>
              <w:t>符合要求，不影响使用</w:t>
            </w:r>
            <w:r>
              <w:rPr>
                <w:rFonts w:hint="eastAsia" w:ascii="宋体" w:hAnsi="宋体" w:eastAsia="宋体" w:cs="宋体"/>
                <w:i w:val="0"/>
                <w:color w:val="auto"/>
                <w:kern w:val="2"/>
                <w:sz w:val="21"/>
                <w:szCs w:val="21"/>
                <w:lang w:val="en-US" w:eastAsia="zh-CN" w:bidi="ar-SA"/>
              </w:rPr>
              <w:t>的得3分；未提供</w:t>
            </w:r>
            <w:r>
              <w:rPr>
                <w:rFonts w:hint="eastAsia" w:ascii="宋体" w:hAnsi="宋体" w:cs="宋体"/>
                <w:i w:val="0"/>
                <w:color w:val="auto"/>
                <w:kern w:val="2"/>
                <w:sz w:val="21"/>
                <w:szCs w:val="21"/>
                <w:lang w:val="en-US" w:eastAsia="zh-CN" w:bidi="ar-SA"/>
              </w:rPr>
              <w:t>该功能</w:t>
            </w:r>
            <w:r>
              <w:rPr>
                <w:rFonts w:hint="eastAsia" w:ascii="宋体" w:hAnsi="宋体" w:eastAsia="宋体" w:cs="宋体"/>
                <w:i w:val="0"/>
                <w:color w:val="auto"/>
                <w:kern w:val="2"/>
                <w:sz w:val="21"/>
                <w:szCs w:val="21"/>
                <w:lang w:val="en-US" w:eastAsia="zh-CN" w:bidi="ar-SA"/>
              </w:rPr>
              <w:t>的，不得分。</w:t>
            </w:r>
          </w:p>
        </w:tc>
        <w:tc>
          <w:tcPr>
            <w:tcW w:w="768" w:type="dxa"/>
            <w:tcBorders>
              <w:left w:val="single" w:color="auto" w:sz="4" w:space="0"/>
            </w:tcBorders>
            <w:noWrap w:val="0"/>
            <w:vAlign w:val="center"/>
          </w:tcPr>
          <w:p w14:paraId="455C7210">
            <w:pPr>
              <w:spacing w:line="3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r>
      <w:tr w14:paraId="020DE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765" w:type="dxa"/>
            <w:vMerge w:val="continue"/>
            <w:tcBorders>
              <w:right w:val="single" w:color="auto" w:sz="4" w:space="0"/>
            </w:tcBorders>
            <w:noWrap w:val="0"/>
            <w:vAlign w:val="center"/>
          </w:tcPr>
          <w:p w14:paraId="4F427692">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3AEFC774">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24C37178">
            <w:pPr>
              <w:adjustRightInd w:val="0"/>
              <w:spacing w:line="300" w:lineRule="exact"/>
              <w:jc w:val="left"/>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4.组织消息通知</w:t>
            </w:r>
            <w:r>
              <w:rPr>
                <w:rFonts w:hint="eastAsia" w:ascii="宋体" w:hAnsi="宋体" w:cs="宋体"/>
                <w:color w:val="auto"/>
                <w:kern w:val="1"/>
                <w:szCs w:val="21"/>
              </w:rPr>
              <w:t>（</w:t>
            </w:r>
            <w:r>
              <w:rPr>
                <w:rFonts w:hint="eastAsia" w:ascii="宋体" w:hAnsi="宋体" w:cs="宋体"/>
                <w:color w:val="auto"/>
                <w:kern w:val="1"/>
                <w:szCs w:val="21"/>
                <w:lang w:val="en-US" w:eastAsia="zh-CN"/>
              </w:rPr>
              <w:t>2</w:t>
            </w:r>
            <w:r>
              <w:rPr>
                <w:rFonts w:hint="eastAsia" w:ascii="宋体" w:hAnsi="宋体" w:cs="宋体"/>
                <w:color w:val="auto"/>
                <w:kern w:val="1"/>
                <w:szCs w:val="21"/>
              </w:rPr>
              <w:t>分）</w:t>
            </w:r>
            <w:r>
              <w:rPr>
                <w:rFonts w:hint="eastAsia" w:ascii="宋体" w:hAnsi="宋体" w:cs="宋体"/>
                <w:color w:val="auto"/>
                <w:szCs w:val="21"/>
                <w:lang w:val="en-US" w:eastAsia="zh-CN"/>
              </w:rPr>
              <w:t>：具有浙政钉通知功能的得2分，</w:t>
            </w:r>
            <w:r>
              <w:rPr>
                <w:rFonts w:hint="eastAsia" w:ascii="宋体" w:hAnsi="宋体" w:cs="宋体"/>
                <w:color w:val="auto"/>
                <w:kern w:val="1"/>
                <w:szCs w:val="21"/>
              </w:rPr>
              <w:t>未提供方案的，不得分</w:t>
            </w:r>
            <w:r>
              <w:rPr>
                <w:rFonts w:hint="eastAsia" w:ascii="宋体" w:hAnsi="宋体" w:cs="宋体"/>
                <w:color w:val="auto"/>
                <w:kern w:val="1"/>
                <w:szCs w:val="21"/>
                <w:lang w:eastAsia="zh-CN"/>
              </w:rPr>
              <w:t>。</w:t>
            </w:r>
          </w:p>
        </w:tc>
        <w:tc>
          <w:tcPr>
            <w:tcW w:w="768" w:type="dxa"/>
            <w:tcBorders>
              <w:left w:val="single" w:color="auto" w:sz="4" w:space="0"/>
            </w:tcBorders>
            <w:noWrap w:val="0"/>
            <w:vAlign w:val="center"/>
          </w:tcPr>
          <w:p w14:paraId="3DD7EE2B">
            <w:pPr>
              <w:spacing w:line="3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r>
      <w:tr w14:paraId="724E36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65" w:type="dxa"/>
            <w:vMerge w:val="continue"/>
            <w:tcBorders>
              <w:right w:val="single" w:color="auto" w:sz="4" w:space="0"/>
            </w:tcBorders>
            <w:noWrap w:val="0"/>
            <w:vAlign w:val="center"/>
          </w:tcPr>
          <w:p w14:paraId="5F9288DC">
            <w:pPr>
              <w:widowControl/>
              <w:spacing w:line="300" w:lineRule="exact"/>
              <w:jc w:val="center"/>
              <w:rPr>
                <w:rFonts w:hint="eastAsia" w:ascii="宋体" w:hAnsi="宋体" w:cs="宋体"/>
                <w:b/>
                <w:bCs/>
                <w:color w:val="auto"/>
                <w:szCs w:val="21"/>
              </w:rPr>
            </w:pPr>
          </w:p>
        </w:tc>
        <w:tc>
          <w:tcPr>
            <w:tcW w:w="1759" w:type="dxa"/>
            <w:vMerge w:val="continue"/>
            <w:tcBorders>
              <w:right w:val="single" w:color="auto" w:sz="4" w:space="0"/>
            </w:tcBorders>
            <w:noWrap w:val="0"/>
            <w:vAlign w:val="center"/>
          </w:tcPr>
          <w:p w14:paraId="0560988E">
            <w:pPr>
              <w:adjustRightInd w:val="0"/>
              <w:spacing w:line="300" w:lineRule="exact"/>
              <w:jc w:val="left"/>
              <w:textAlignment w:val="baseline"/>
              <w:rPr>
                <w:rFonts w:hint="eastAsia" w:ascii="宋体" w:hAnsi="宋体" w:cs="宋体"/>
                <w:color w:val="auto"/>
                <w:spacing w:val="-6"/>
                <w:szCs w:val="21"/>
              </w:rPr>
            </w:pPr>
          </w:p>
        </w:tc>
        <w:tc>
          <w:tcPr>
            <w:tcW w:w="5749" w:type="dxa"/>
            <w:tcBorders>
              <w:left w:val="single" w:color="auto" w:sz="4" w:space="0"/>
              <w:right w:val="single" w:color="auto" w:sz="4" w:space="0"/>
            </w:tcBorders>
            <w:noWrap w:val="0"/>
            <w:vAlign w:val="center"/>
          </w:tcPr>
          <w:p w14:paraId="7606D6D0">
            <w:pPr>
              <w:widowControl w:val="0"/>
              <w:jc w:val="both"/>
              <w:rPr>
                <w:rFonts w:hint="default" w:ascii="Times New Roman" w:hAnsi="Times New Roman" w:eastAsia="宋体" w:cs="Times New Roman"/>
                <w:i/>
                <w:color w:val="auto"/>
                <w:kern w:val="2"/>
                <w:sz w:val="18"/>
                <w:lang w:val="en-US" w:eastAsia="zh-CN" w:bidi="ar-SA"/>
              </w:rPr>
            </w:pPr>
            <w:r>
              <w:rPr>
                <w:rFonts w:hint="eastAsia" w:ascii="宋体" w:hAnsi="宋体" w:eastAsia="宋体" w:cs="宋体"/>
                <w:i w:val="0"/>
                <w:color w:val="auto"/>
                <w:kern w:val="2"/>
                <w:sz w:val="21"/>
                <w:szCs w:val="21"/>
                <w:lang w:val="en-US" w:eastAsia="zh-CN" w:bidi="ar-SA"/>
              </w:rPr>
              <w:t>5.驾驶舱（3分）：</w:t>
            </w:r>
            <w:r>
              <w:rPr>
                <w:rFonts w:hint="eastAsia" w:ascii="宋体" w:hAnsi="宋体" w:cs="宋体"/>
                <w:i w:val="0"/>
                <w:color w:val="auto"/>
                <w:kern w:val="2"/>
                <w:sz w:val="21"/>
                <w:szCs w:val="21"/>
                <w:lang w:val="en-US" w:eastAsia="zh-CN" w:bidi="ar-SA"/>
              </w:rPr>
              <w:t>功能展示</w:t>
            </w:r>
            <w:r>
              <w:rPr>
                <w:rFonts w:hint="eastAsia" w:ascii="宋体" w:hAnsi="宋体" w:eastAsia="宋体" w:cs="宋体"/>
                <w:i w:val="0"/>
                <w:color w:val="auto"/>
                <w:kern w:val="2"/>
                <w:sz w:val="21"/>
                <w:szCs w:val="21"/>
                <w:lang w:val="en-US" w:eastAsia="zh-CN" w:bidi="ar-SA"/>
              </w:rPr>
              <w:t>详细且完善的得3分；</w:t>
            </w:r>
            <w:r>
              <w:rPr>
                <w:rFonts w:hint="eastAsia" w:ascii="宋体" w:hAnsi="宋体" w:cs="宋体"/>
                <w:i w:val="0"/>
                <w:color w:val="auto"/>
                <w:kern w:val="2"/>
                <w:sz w:val="21"/>
                <w:szCs w:val="21"/>
                <w:lang w:val="en-US" w:eastAsia="zh-CN" w:bidi="ar-SA"/>
              </w:rPr>
              <w:t>展示有瑕疵但不影响使用</w:t>
            </w:r>
            <w:r>
              <w:rPr>
                <w:rFonts w:hint="eastAsia" w:ascii="宋体" w:hAnsi="宋体" w:eastAsia="宋体" w:cs="宋体"/>
                <w:i w:val="0"/>
                <w:color w:val="auto"/>
                <w:kern w:val="2"/>
                <w:sz w:val="21"/>
                <w:szCs w:val="21"/>
                <w:lang w:val="en-US" w:eastAsia="zh-CN" w:bidi="ar-SA"/>
              </w:rPr>
              <w:t>的得1分；未提供方案的，不得分。</w:t>
            </w:r>
          </w:p>
        </w:tc>
        <w:tc>
          <w:tcPr>
            <w:tcW w:w="768" w:type="dxa"/>
            <w:tcBorders>
              <w:left w:val="single" w:color="auto" w:sz="4" w:space="0"/>
            </w:tcBorders>
            <w:noWrap w:val="0"/>
            <w:vAlign w:val="center"/>
          </w:tcPr>
          <w:p w14:paraId="2114788D">
            <w:pPr>
              <w:spacing w:line="3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3</w:t>
            </w:r>
          </w:p>
        </w:tc>
      </w:tr>
      <w:tr w14:paraId="1D0FD4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5" w:hRule="atLeast"/>
          <w:jc w:val="center"/>
        </w:trPr>
        <w:tc>
          <w:tcPr>
            <w:tcW w:w="765" w:type="dxa"/>
            <w:vMerge w:val="continue"/>
            <w:tcBorders>
              <w:right w:val="single" w:color="auto" w:sz="4" w:space="0"/>
            </w:tcBorders>
            <w:noWrap w:val="0"/>
            <w:vAlign w:val="center"/>
          </w:tcPr>
          <w:p w14:paraId="2F2E2F53">
            <w:pPr>
              <w:widowControl/>
              <w:spacing w:line="300" w:lineRule="exact"/>
              <w:jc w:val="center"/>
              <w:rPr>
                <w:rFonts w:hint="eastAsia" w:ascii="宋体" w:hAnsi="宋体" w:cs="宋体"/>
                <w:b/>
                <w:bCs/>
                <w:color w:val="auto"/>
                <w:szCs w:val="21"/>
              </w:rPr>
            </w:pPr>
          </w:p>
        </w:tc>
        <w:tc>
          <w:tcPr>
            <w:tcW w:w="1759" w:type="dxa"/>
            <w:tcBorders>
              <w:right w:val="single" w:color="auto" w:sz="4" w:space="0"/>
            </w:tcBorders>
            <w:noWrap w:val="0"/>
            <w:vAlign w:val="center"/>
          </w:tcPr>
          <w:p w14:paraId="673E8616">
            <w:pPr>
              <w:adjustRightInd w:val="0"/>
              <w:spacing w:line="300" w:lineRule="exact"/>
              <w:jc w:val="left"/>
              <w:textAlignment w:val="baseline"/>
              <w:rPr>
                <w:rFonts w:hint="eastAsia" w:ascii="宋体" w:hAnsi="宋体" w:cs="宋体"/>
                <w:color w:val="auto"/>
                <w:spacing w:val="-6"/>
                <w:szCs w:val="21"/>
                <w:highlight w:val="none"/>
              </w:rPr>
            </w:pPr>
            <w:r>
              <w:rPr>
                <w:rFonts w:hint="eastAsia" w:ascii="宋体" w:hAnsi="宋体" w:cs="宋体"/>
                <w:color w:val="auto"/>
                <w:spacing w:val="-6"/>
                <w:szCs w:val="21"/>
                <w:highlight w:val="none"/>
              </w:rPr>
              <w:t>拟投入本项目的团队人员情况（</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分）</w:t>
            </w:r>
          </w:p>
        </w:tc>
        <w:tc>
          <w:tcPr>
            <w:tcW w:w="5749" w:type="dxa"/>
            <w:tcBorders>
              <w:left w:val="single" w:color="auto" w:sz="4" w:space="0"/>
              <w:right w:val="single" w:color="auto" w:sz="4" w:space="0"/>
            </w:tcBorders>
            <w:noWrap w:val="0"/>
            <w:vAlign w:val="center"/>
          </w:tcPr>
          <w:p w14:paraId="318628CC">
            <w:pPr>
              <w:adjustRightInd w:val="0"/>
              <w:spacing w:line="300" w:lineRule="exact"/>
              <w:jc w:val="left"/>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拟投入人员情况：评标委员会对投标人拟派项目组人员的资格、关键岗位人员从业经验、年龄构成、人数量、人员素质等进行综合评审：</w:t>
            </w:r>
          </w:p>
          <w:p w14:paraId="1B771DF5">
            <w:pPr>
              <w:adjustRightInd w:val="0"/>
              <w:spacing w:line="300" w:lineRule="exact"/>
              <w:jc w:val="left"/>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拟投入人员情况基本满足项目需求、制度较明确和职责分配较合理的得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分；</w:t>
            </w:r>
          </w:p>
          <w:p w14:paraId="1FA09D27">
            <w:pPr>
              <w:adjustRightInd w:val="0"/>
              <w:spacing w:line="300" w:lineRule="exact"/>
              <w:jc w:val="left"/>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拟投入人员情况投入基本满足、管理制度不明确和职责分配不合理</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lang w:eastAsia="zh-CN"/>
              </w:rPr>
              <w:t>；</w:t>
            </w:r>
          </w:p>
          <w:p w14:paraId="6E78B7BE">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拟投入人员情况可能影响项目履约的得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分；</w:t>
            </w:r>
          </w:p>
          <w:p w14:paraId="09B08FD7">
            <w:pPr>
              <w:keepNext w:val="0"/>
              <w:keepLines w:val="0"/>
              <w:pageBreakBefore w:val="0"/>
              <w:kinsoku/>
              <w:wordWrap/>
              <w:overflowPunct/>
              <w:topLinePunct w:val="0"/>
              <w:autoSpaceDE/>
              <w:autoSpaceDN/>
              <w:bidi w:val="0"/>
              <w:spacing w:line="340" w:lineRule="exact"/>
              <w:textAlignment w:val="auto"/>
              <w:rPr>
                <w:rFonts w:hint="eastAsia" w:ascii="宋体" w:hAnsi="宋体" w:cs="宋体"/>
                <w:color w:val="auto"/>
                <w:szCs w:val="21"/>
                <w:highlight w:val="none"/>
              </w:rPr>
            </w:pPr>
            <w:r>
              <w:rPr>
                <w:rFonts w:hint="eastAsia" w:ascii="宋体" w:hAnsi="宋体" w:eastAsia="宋体" w:cs="宋体"/>
                <w:color w:val="auto"/>
                <w:sz w:val="21"/>
                <w:szCs w:val="21"/>
                <w:lang w:eastAsia="zh-CN"/>
              </w:rPr>
              <w:t>未提供不得分。</w:t>
            </w:r>
          </w:p>
        </w:tc>
        <w:tc>
          <w:tcPr>
            <w:tcW w:w="768" w:type="dxa"/>
            <w:tcBorders>
              <w:left w:val="single" w:color="auto" w:sz="4" w:space="0"/>
            </w:tcBorders>
            <w:noWrap w:val="0"/>
            <w:vAlign w:val="center"/>
          </w:tcPr>
          <w:p w14:paraId="27C79179">
            <w:pPr>
              <w:spacing w:line="3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tc>
      </w:tr>
      <w:tr w14:paraId="11D93F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5" w:type="dxa"/>
            <w:vMerge w:val="continue"/>
            <w:tcBorders>
              <w:right w:val="single" w:color="auto" w:sz="4" w:space="0"/>
            </w:tcBorders>
            <w:noWrap w:val="0"/>
            <w:vAlign w:val="center"/>
          </w:tcPr>
          <w:p w14:paraId="5189D8D6">
            <w:pPr>
              <w:widowControl/>
              <w:spacing w:line="300" w:lineRule="exact"/>
              <w:jc w:val="center"/>
              <w:rPr>
                <w:rFonts w:hint="eastAsia" w:ascii="宋体" w:hAnsi="宋体" w:cs="宋体"/>
                <w:b/>
                <w:bCs/>
                <w:color w:val="auto"/>
                <w:szCs w:val="21"/>
              </w:rPr>
            </w:pPr>
          </w:p>
        </w:tc>
        <w:tc>
          <w:tcPr>
            <w:tcW w:w="7508" w:type="dxa"/>
            <w:gridSpan w:val="2"/>
            <w:tcBorders>
              <w:right w:val="single" w:color="auto" w:sz="4" w:space="0"/>
            </w:tcBorders>
            <w:noWrap w:val="0"/>
            <w:vAlign w:val="center"/>
          </w:tcPr>
          <w:p w14:paraId="08FFA8D7">
            <w:pPr>
              <w:adjustRightInd w:val="0"/>
              <w:spacing w:line="300" w:lineRule="exact"/>
              <w:jc w:val="left"/>
              <w:textAlignment w:val="baseline"/>
              <w:rPr>
                <w:rFonts w:hint="eastAsia" w:ascii="宋体" w:hAnsi="宋体" w:cs="宋体"/>
                <w:color w:val="auto"/>
                <w:spacing w:val="-6"/>
                <w:szCs w:val="21"/>
              </w:rPr>
            </w:pPr>
            <w:r>
              <w:rPr>
                <w:rFonts w:hint="eastAsia" w:ascii="宋体" w:hAnsi="宋体" w:cs="宋体"/>
                <w:color w:val="auto"/>
                <w:spacing w:val="-6"/>
                <w:szCs w:val="21"/>
              </w:rPr>
              <w:t>根据投标人所提供的项目建设方案方案进行评议（</w:t>
            </w:r>
            <w:r>
              <w:rPr>
                <w:rFonts w:hint="eastAsia" w:ascii="宋体" w:hAnsi="宋体" w:cs="宋体"/>
                <w:color w:val="auto"/>
                <w:spacing w:val="-6"/>
                <w:szCs w:val="21"/>
                <w:lang w:val="en-US" w:eastAsia="zh-CN"/>
              </w:rPr>
              <w:t>3</w:t>
            </w:r>
            <w:r>
              <w:rPr>
                <w:rFonts w:hint="eastAsia" w:ascii="宋体" w:hAnsi="宋体" w:cs="宋体"/>
                <w:color w:val="auto"/>
                <w:spacing w:val="-6"/>
                <w:szCs w:val="21"/>
              </w:rPr>
              <w:t>分）：</w:t>
            </w:r>
          </w:p>
          <w:p w14:paraId="71A50A03">
            <w:pPr>
              <w:adjustRightInd w:val="0"/>
              <w:spacing w:line="300" w:lineRule="exact"/>
              <w:jc w:val="left"/>
              <w:textAlignment w:val="baseline"/>
              <w:rPr>
                <w:rFonts w:hint="eastAsia" w:ascii="宋体" w:hAnsi="宋体" w:cs="宋体"/>
                <w:color w:val="auto"/>
                <w:spacing w:val="-6"/>
                <w:szCs w:val="21"/>
              </w:rPr>
            </w:pPr>
            <w:r>
              <w:rPr>
                <w:rFonts w:hint="eastAsia" w:ascii="宋体" w:hAnsi="宋体" w:cs="宋体"/>
                <w:color w:val="auto"/>
                <w:spacing w:val="-6"/>
                <w:szCs w:val="21"/>
              </w:rPr>
              <w:t>方案完整、科学合理、安全性强、可操作性强得</w:t>
            </w:r>
            <w:r>
              <w:rPr>
                <w:rFonts w:hint="eastAsia" w:ascii="宋体" w:hAnsi="宋体" w:cs="宋体"/>
                <w:color w:val="auto"/>
                <w:spacing w:val="-6"/>
                <w:szCs w:val="21"/>
                <w:lang w:val="en-US" w:eastAsia="zh-CN"/>
              </w:rPr>
              <w:t>3</w:t>
            </w:r>
            <w:r>
              <w:rPr>
                <w:rFonts w:hint="eastAsia" w:ascii="宋体" w:hAnsi="宋体" w:cs="宋体"/>
                <w:color w:val="auto"/>
                <w:spacing w:val="-6"/>
                <w:szCs w:val="21"/>
              </w:rPr>
              <w:t>分；</w:t>
            </w:r>
          </w:p>
          <w:p w14:paraId="525898E9">
            <w:pPr>
              <w:adjustRightInd w:val="0"/>
              <w:spacing w:line="300" w:lineRule="exact"/>
              <w:jc w:val="left"/>
              <w:textAlignment w:val="baseline"/>
              <w:rPr>
                <w:rFonts w:hint="eastAsia" w:ascii="宋体" w:hAnsi="宋体" w:cs="宋体"/>
                <w:color w:val="auto"/>
                <w:spacing w:val="-6"/>
                <w:szCs w:val="21"/>
              </w:rPr>
            </w:pPr>
            <w:r>
              <w:rPr>
                <w:rFonts w:hint="eastAsia" w:ascii="宋体" w:hAnsi="宋体" w:cs="宋体"/>
                <w:color w:val="auto"/>
                <w:spacing w:val="-6"/>
                <w:szCs w:val="21"/>
              </w:rPr>
              <w:t>方案基本完整、能有效执行</w:t>
            </w:r>
            <w:r>
              <w:rPr>
                <w:rFonts w:hint="eastAsia" w:ascii="宋体" w:hAnsi="宋体" w:cs="宋体"/>
                <w:color w:val="auto"/>
                <w:spacing w:val="-6"/>
                <w:szCs w:val="21"/>
                <w:lang w:val="en-US" w:eastAsia="zh-CN"/>
              </w:rPr>
              <w:t>的得1</w:t>
            </w:r>
            <w:r>
              <w:rPr>
                <w:rFonts w:hint="eastAsia" w:ascii="宋体" w:hAnsi="宋体" w:cs="宋体"/>
                <w:color w:val="auto"/>
                <w:spacing w:val="-6"/>
                <w:szCs w:val="21"/>
              </w:rPr>
              <w:t>分；</w:t>
            </w:r>
          </w:p>
          <w:p w14:paraId="28258EBB">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spacing w:val="-6"/>
                <w:szCs w:val="21"/>
              </w:rPr>
              <w:t>方案内容不完整、有明显缺陷，</w:t>
            </w:r>
            <w:r>
              <w:rPr>
                <w:rFonts w:hint="eastAsia" w:ascii="宋体" w:hAnsi="宋体" w:cs="宋体"/>
                <w:color w:val="auto"/>
                <w:spacing w:val="-6"/>
                <w:szCs w:val="21"/>
                <w:lang w:val="en-US" w:eastAsia="zh-CN"/>
              </w:rPr>
              <w:t>或</w:t>
            </w:r>
            <w:r>
              <w:rPr>
                <w:rFonts w:hint="eastAsia" w:ascii="宋体" w:hAnsi="宋体" w:cs="宋体"/>
                <w:color w:val="auto"/>
                <w:kern w:val="1"/>
                <w:szCs w:val="21"/>
              </w:rPr>
              <w:t>未提供方案的，不得分。</w:t>
            </w:r>
          </w:p>
        </w:tc>
        <w:tc>
          <w:tcPr>
            <w:tcW w:w="768" w:type="dxa"/>
            <w:tcBorders>
              <w:left w:val="single" w:color="auto" w:sz="4" w:space="0"/>
            </w:tcBorders>
            <w:noWrap w:val="0"/>
            <w:vAlign w:val="center"/>
          </w:tcPr>
          <w:p w14:paraId="54D2503A">
            <w:pPr>
              <w:spacing w:line="3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3</w:t>
            </w:r>
          </w:p>
        </w:tc>
      </w:tr>
      <w:tr w14:paraId="0E3D1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765" w:type="dxa"/>
            <w:vMerge w:val="continue"/>
            <w:tcBorders>
              <w:right w:val="single" w:color="auto" w:sz="4" w:space="0"/>
            </w:tcBorders>
            <w:noWrap w:val="0"/>
            <w:vAlign w:val="center"/>
          </w:tcPr>
          <w:p w14:paraId="199B8DCC">
            <w:pPr>
              <w:widowControl/>
              <w:spacing w:line="300" w:lineRule="exact"/>
              <w:jc w:val="center"/>
              <w:rPr>
                <w:rFonts w:hint="eastAsia" w:ascii="宋体" w:hAnsi="宋体" w:cs="宋体"/>
                <w:b/>
                <w:bCs/>
                <w:color w:val="auto"/>
                <w:szCs w:val="21"/>
              </w:rPr>
            </w:pPr>
          </w:p>
        </w:tc>
        <w:tc>
          <w:tcPr>
            <w:tcW w:w="7508" w:type="dxa"/>
            <w:gridSpan w:val="2"/>
            <w:tcBorders>
              <w:right w:val="single" w:color="auto" w:sz="4" w:space="0"/>
            </w:tcBorders>
            <w:noWrap w:val="0"/>
            <w:vAlign w:val="center"/>
          </w:tcPr>
          <w:p w14:paraId="6652F343">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培训方案（</w:t>
            </w:r>
            <w:r>
              <w:rPr>
                <w:rFonts w:hint="eastAsia" w:ascii="宋体" w:hAnsi="宋体" w:cs="宋体"/>
                <w:color w:val="auto"/>
                <w:kern w:val="1"/>
                <w:szCs w:val="21"/>
                <w:lang w:val="en-US" w:eastAsia="zh-CN"/>
              </w:rPr>
              <w:t>5</w:t>
            </w:r>
            <w:r>
              <w:rPr>
                <w:rFonts w:hint="eastAsia" w:ascii="宋体" w:hAnsi="宋体" w:eastAsia="宋体" w:cs="宋体"/>
                <w:color w:val="auto"/>
                <w:kern w:val="1"/>
                <w:szCs w:val="21"/>
              </w:rPr>
              <w:t>分）：</w:t>
            </w:r>
          </w:p>
          <w:p w14:paraId="319FFC89">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培训方案全面合理有效，具有详细的培训计划和培训内容得</w:t>
            </w:r>
            <w:r>
              <w:rPr>
                <w:rFonts w:hint="eastAsia" w:ascii="宋体" w:hAnsi="宋体" w:cs="宋体"/>
                <w:color w:val="auto"/>
                <w:kern w:val="1"/>
                <w:szCs w:val="21"/>
                <w:lang w:val="en-US" w:eastAsia="zh-CN"/>
              </w:rPr>
              <w:t>5</w:t>
            </w:r>
            <w:r>
              <w:rPr>
                <w:rFonts w:hint="eastAsia" w:ascii="宋体" w:hAnsi="宋体" w:eastAsia="宋体" w:cs="宋体"/>
                <w:color w:val="auto"/>
                <w:kern w:val="1"/>
                <w:szCs w:val="21"/>
              </w:rPr>
              <w:t>分；</w:t>
            </w:r>
          </w:p>
          <w:p w14:paraId="68E2B04C">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培训方案不够全面，有效性欠缺，培训计划和培训内容不够详细得</w:t>
            </w:r>
            <w:r>
              <w:rPr>
                <w:rFonts w:hint="eastAsia" w:ascii="宋体" w:hAnsi="宋体" w:cs="宋体"/>
                <w:color w:val="auto"/>
                <w:kern w:val="1"/>
                <w:szCs w:val="21"/>
                <w:lang w:val="en-US" w:eastAsia="zh-CN"/>
              </w:rPr>
              <w:t>3</w:t>
            </w:r>
            <w:r>
              <w:rPr>
                <w:rFonts w:hint="eastAsia" w:ascii="宋体" w:hAnsi="宋体" w:eastAsia="宋体" w:cs="宋体"/>
                <w:color w:val="auto"/>
                <w:kern w:val="1"/>
                <w:szCs w:val="21"/>
              </w:rPr>
              <w:t>分；</w:t>
            </w:r>
          </w:p>
          <w:p w14:paraId="5BE85EE0">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培训方案片面，不具有执行有效性，培训计划和培训内容不详细得1分；</w:t>
            </w:r>
          </w:p>
          <w:p w14:paraId="0EA9382A">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未提供不得分。</w:t>
            </w:r>
          </w:p>
        </w:tc>
        <w:tc>
          <w:tcPr>
            <w:tcW w:w="768" w:type="dxa"/>
            <w:tcBorders>
              <w:left w:val="single" w:color="auto" w:sz="4" w:space="0"/>
            </w:tcBorders>
            <w:noWrap w:val="0"/>
            <w:vAlign w:val="center"/>
          </w:tcPr>
          <w:p w14:paraId="42A0891F">
            <w:pPr>
              <w:wordWrap w:val="0"/>
              <w:spacing w:line="3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tc>
      </w:tr>
      <w:tr w14:paraId="58D552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765" w:type="dxa"/>
            <w:vMerge w:val="continue"/>
            <w:tcBorders>
              <w:right w:val="single" w:color="auto" w:sz="4" w:space="0"/>
            </w:tcBorders>
            <w:noWrap w:val="0"/>
            <w:vAlign w:val="center"/>
          </w:tcPr>
          <w:p w14:paraId="33E7DB48">
            <w:pPr>
              <w:widowControl/>
              <w:spacing w:line="300" w:lineRule="exact"/>
              <w:jc w:val="center"/>
              <w:rPr>
                <w:rFonts w:hint="eastAsia" w:ascii="宋体" w:hAnsi="宋体" w:cs="宋体"/>
                <w:b/>
                <w:bCs/>
                <w:color w:val="auto"/>
                <w:szCs w:val="21"/>
              </w:rPr>
            </w:pPr>
          </w:p>
        </w:tc>
        <w:tc>
          <w:tcPr>
            <w:tcW w:w="7508" w:type="dxa"/>
            <w:gridSpan w:val="2"/>
            <w:tcBorders>
              <w:right w:val="single" w:color="auto" w:sz="4" w:space="0"/>
            </w:tcBorders>
            <w:noWrap w:val="0"/>
            <w:vAlign w:val="center"/>
          </w:tcPr>
          <w:p w14:paraId="2EAABD74">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售后服务方案（4分）：包括</w:t>
            </w:r>
            <w:r>
              <w:rPr>
                <w:rFonts w:hint="eastAsia" w:ascii="宋体" w:hAnsi="宋体" w:eastAsia="宋体" w:cs="宋体"/>
                <w:color w:val="auto"/>
                <w:kern w:val="1"/>
                <w:szCs w:val="21"/>
                <w:lang w:val="zh-CN"/>
              </w:rPr>
              <w:t>保修范围，保修、服务标准等</w:t>
            </w:r>
            <w:r>
              <w:rPr>
                <w:rFonts w:hint="eastAsia" w:ascii="宋体" w:hAnsi="宋体" w:eastAsia="宋体" w:cs="宋体"/>
                <w:color w:val="auto"/>
                <w:kern w:val="1"/>
                <w:szCs w:val="21"/>
              </w:rPr>
              <w:t>、解决问题的能力、紧急故障处理预案、培训、技术指导、质保期后的维保方案等进行综合评价：</w:t>
            </w:r>
          </w:p>
          <w:p w14:paraId="09BC81F9">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售后服务方案详细、完善，涵盖所列举的内容的得4分；</w:t>
            </w:r>
          </w:p>
          <w:p w14:paraId="56B19E93">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售后服务方案完整，基本涵盖所列举的内容的得2分；</w:t>
            </w:r>
          </w:p>
          <w:p w14:paraId="2482DCDD">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售后服务方案存在缺陷，所列举内容不全的得1分；</w:t>
            </w:r>
          </w:p>
          <w:p w14:paraId="0416F4A1">
            <w:pPr>
              <w:adjustRightInd w:val="0"/>
              <w:spacing w:line="300" w:lineRule="exact"/>
              <w:jc w:val="left"/>
              <w:textAlignment w:val="baseline"/>
              <w:rPr>
                <w:rFonts w:hint="eastAsia" w:ascii="宋体" w:hAnsi="宋体" w:eastAsia="宋体" w:cs="宋体"/>
                <w:color w:val="auto"/>
                <w:kern w:val="1"/>
                <w:szCs w:val="21"/>
              </w:rPr>
            </w:pPr>
            <w:r>
              <w:rPr>
                <w:rFonts w:hint="eastAsia" w:ascii="宋体" w:hAnsi="宋体" w:eastAsia="宋体" w:cs="宋体"/>
                <w:color w:val="auto"/>
                <w:kern w:val="1"/>
                <w:szCs w:val="21"/>
              </w:rPr>
              <w:t>未提供不得分。</w:t>
            </w:r>
          </w:p>
        </w:tc>
        <w:tc>
          <w:tcPr>
            <w:tcW w:w="768" w:type="dxa"/>
            <w:tcBorders>
              <w:left w:val="single" w:color="auto" w:sz="4" w:space="0"/>
            </w:tcBorders>
            <w:noWrap w:val="0"/>
            <w:vAlign w:val="center"/>
          </w:tcPr>
          <w:p w14:paraId="76B6AAA5">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4</w:t>
            </w:r>
          </w:p>
        </w:tc>
      </w:tr>
      <w:tr w14:paraId="43AA55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765" w:type="dxa"/>
            <w:vMerge w:val="continue"/>
            <w:tcBorders>
              <w:right w:val="single" w:color="auto" w:sz="4" w:space="0"/>
            </w:tcBorders>
            <w:noWrap w:val="0"/>
            <w:vAlign w:val="center"/>
          </w:tcPr>
          <w:p w14:paraId="3229F412">
            <w:pPr>
              <w:widowControl/>
              <w:spacing w:line="300" w:lineRule="exact"/>
              <w:jc w:val="center"/>
              <w:rPr>
                <w:rFonts w:hint="eastAsia" w:ascii="宋体" w:hAnsi="宋体" w:cs="宋体"/>
                <w:b/>
                <w:bCs/>
                <w:color w:val="auto"/>
                <w:szCs w:val="21"/>
              </w:rPr>
            </w:pPr>
          </w:p>
        </w:tc>
        <w:tc>
          <w:tcPr>
            <w:tcW w:w="7508" w:type="dxa"/>
            <w:gridSpan w:val="2"/>
            <w:tcBorders>
              <w:right w:val="single" w:color="auto" w:sz="4" w:space="0"/>
            </w:tcBorders>
            <w:noWrap w:val="0"/>
            <w:vAlign w:val="center"/>
          </w:tcPr>
          <w:p w14:paraId="7C5A8B81">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售后服务响应情况（4分）：</w:t>
            </w:r>
          </w:p>
          <w:p w14:paraId="7F7F61F3">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售后服务响应时间快，根据投标人实际情况能2小时（含）内赶到现场或线上进行售后服务的，得4分；</w:t>
            </w:r>
          </w:p>
          <w:p w14:paraId="1D6B50EC">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售后服务响应时间一般，根据投标人实际情况能3小时（含）内赶到现场或线上进行售后服务的，得2分；</w:t>
            </w:r>
          </w:p>
          <w:p w14:paraId="2F9BDF5F">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售后服务响应时间慢，根据投标人实际情况不能4小时内赶到现场或线上进行售后服务的，得1分。</w:t>
            </w:r>
          </w:p>
          <w:p w14:paraId="694781AD">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投标文件中提供售后服务机构及售后服务人员相关证明文件。</w:t>
            </w:r>
          </w:p>
        </w:tc>
        <w:tc>
          <w:tcPr>
            <w:tcW w:w="768" w:type="dxa"/>
            <w:tcBorders>
              <w:left w:val="single" w:color="auto" w:sz="4" w:space="0"/>
            </w:tcBorders>
            <w:noWrap w:val="0"/>
            <w:vAlign w:val="center"/>
          </w:tcPr>
          <w:p w14:paraId="2C11F2C7">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4</w:t>
            </w:r>
          </w:p>
        </w:tc>
      </w:tr>
      <w:tr w14:paraId="5D5DE3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765" w:type="dxa"/>
            <w:vMerge w:val="continue"/>
            <w:tcBorders>
              <w:right w:val="single" w:color="auto" w:sz="4" w:space="0"/>
            </w:tcBorders>
            <w:noWrap w:val="0"/>
            <w:vAlign w:val="center"/>
          </w:tcPr>
          <w:p w14:paraId="1D335A5F">
            <w:pPr>
              <w:widowControl/>
              <w:spacing w:line="300" w:lineRule="exact"/>
              <w:jc w:val="center"/>
              <w:rPr>
                <w:rFonts w:hint="eastAsia" w:ascii="宋体" w:hAnsi="宋体" w:cs="宋体"/>
                <w:b/>
                <w:bCs/>
                <w:color w:val="auto"/>
                <w:szCs w:val="21"/>
              </w:rPr>
            </w:pPr>
          </w:p>
        </w:tc>
        <w:tc>
          <w:tcPr>
            <w:tcW w:w="7508" w:type="dxa"/>
            <w:gridSpan w:val="2"/>
            <w:tcBorders>
              <w:right w:val="single" w:color="auto" w:sz="4" w:space="0"/>
            </w:tcBorders>
            <w:noWrap w:val="0"/>
            <w:vAlign w:val="center"/>
          </w:tcPr>
          <w:p w14:paraId="3309F97A">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投标人实力（3分）：</w:t>
            </w:r>
          </w:p>
          <w:p w14:paraId="43373CD2">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所投产品</w:t>
            </w:r>
            <w:r>
              <w:rPr>
                <w:rFonts w:hint="eastAsia" w:ascii="宋体" w:hAnsi="宋体" w:cs="宋体"/>
                <w:color w:val="auto"/>
                <w:kern w:val="1"/>
                <w:szCs w:val="21"/>
                <w:lang w:val="zh-CN"/>
              </w:rPr>
              <w:t>具有</w:t>
            </w:r>
            <w:r>
              <w:rPr>
                <w:rFonts w:hint="eastAsia" w:ascii="宋体" w:hAnsi="宋体" w:cs="宋体"/>
                <w:color w:val="auto"/>
                <w:kern w:val="1"/>
                <w:szCs w:val="21"/>
              </w:rPr>
              <w:t>相关</w:t>
            </w:r>
            <w:r>
              <w:rPr>
                <w:rFonts w:hint="eastAsia" w:ascii="宋体" w:hAnsi="宋体" w:cs="宋体"/>
                <w:color w:val="auto"/>
                <w:kern w:val="1"/>
                <w:szCs w:val="21"/>
                <w:lang w:val="zh-CN"/>
              </w:rPr>
              <w:t>软件著作权登记证书</w:t>
            </w:r>
            <w:r>
              <w:rPr>
                <w:rFonts w:hint="eastAsia" w:ascii="宋体" w:hAnsi="宋体" w:cs="宋体"/>
                <w:color w:val="auto"/>
                <w:kern w:val="1"/>
                <w:szCs w:val="21"/>
              </w:rPr>
              <w:t>的</w:t>
            </w:r>
            <w:r>
              <w:rPr>
                <w:rFonts w:hint="eastAsia" w:ascii="宋体" w:hAnsi="宋体" w:cs="宋体"/>
                <w:color w:val="auto"/>
                <w:kern w:val="1"/>
                <w:szCs w:val="21"/>
                <w:lang w:val="zh-CN"/>
              </w:rPr>
              <w:t>，每提供一个证书复印件加盖</w:t>
            </w:r>
            <w:r>
              <w:rPr>
                <w:rFonts w:hint="eastAsia" w:ascii="宋体" w:hAnsi="宋体" w:cs="宋体"/>
                <w:color w:val="auto"/>
                <w:kern w:val="1"/>
                <w:szCs w:val="21"/>
              </w:rPr>
              <w:t>投标人</w:t>
            </w:r>
            <w:r>
              <w:rPr>
                <w:rFonts w:hint="eastAsia" w:ascii="宋体" w:hAnsi="宋体" w:cs="宋体"/>
                <w:color w:val="auto"/>
                <w:kern w:val="1"/>
                <w:szCs w:val="21"/>
                <w:lang w:val="zh-CN"/>
              </w:rPr>
              <w:t>公章得</w:t>
            </w:r>
            <w:r>
              <w:rPr>
                <w:rFonts w:hint="eastAsia" w:ascii="宋体" w:hAnsi="宋体" w:cs="宋体"/>
                <w:color w:val="auto"/>
                <w:kern w:val="1"/>
                <w:szCs w:val="21"/>
              </w:rPr>
              <w:t>1</w:t>
            </w:r>
            <w:r>
              <w:rPr>
                <w:rFonts w:hint="eastAsia" w:ascii="宋体" w:hAnsi="宋体" w:cs="宋体"/>
                <w:color w:val="auto"/>
                <w:kern w:val="1"/>
                <w:szCs w:val="21"/>
                <w:lang w:val="zh-CN"/>
              </w:rPr>
              <w:t>分，最多得</w:t>
            </w:r>
            <w:r>
              <w:rPr>
                <w:rFonts w:hint="eastAsia" w:ascii="宋体" w:hAnsi="宋体" w:cs="宋体"/>
                <w:color w:val="auto"/>
                <w:kern w:val="1"/>
                <w:szCs w:val="21"/>
              </w:rPr>
              <w:t>3</w:t>
            </w:r>
            <w:r>
              <w:rPr>
                <w:rFonts w:hint="eastAsia" w:ascii="宋体" w:hAnsi="宋体" w:cs="宋体"/>
                <w:color w:val="auto"/>
                <w:kern w:val="1"/>
                <w:szCs w:val="21"/>
                <w:lang w:val="zh-CN"/>
              </w:rPr>
              <w:t>分，</w:t>
            </w:r>
            <w:r>
              <w:rPr>
                <w:rFonts w:hint="eastAsia" w:ascii="宋体" w:hAnsi="宋体" w:cs="宋体"/>
                <w:color w:val="auto"/>
                <w:spacing w:val="-6"/>
                <w:szCs w:val="21"/>
              </w:rPr>
              <w:t>未</w:t>
            </w:r>
            <w:r>
              <w:rPr>
                <w:rFonts w:hint="eastAsia" w:ascii="宋体" w:hAnsi="宋体" w:cs="宋体"/>
                <w:color w:val="auto"/>
                <w:spacing w:val="-6"/>
                <w:szCs w:val="21"/>
                <w:lang w:val="zh-CN"/>
              </w:rPr>
              <w:t>提供不得分</w:t>
            </w:r>
            <w:r>
              <w:rPr>
                <w:rFonts w:hint="eastAsia" w:ascii="宋体" w:hAnsi="宋体" w:cs="宋体"/>
                <w:color w:val="auto"/>
                <w:kern w:val="1"/>
                <w:szCs w:val="21"/>
                <w:lang w:val="zh-CN"/>
              </w:rPr>
              <w:t>。</w:t>
            </w:r>
          </w:p>
          <w:p w14:paraId="05936FD3">
            <w:pPr>
              <w:adjustRightInd w:val="0"/>
              <w:spacing w:line="300" w:lineRule="exact"/>
              <w:jc w:val="left"/>
              <w:textAlignment w:val="baseline"/>
              <w:rPr>
                <w:rFonts w:hint="eastAsia" w:ascii="宋体" w:hAnsi="宋体" w:cs="宋体"/>
                <w:color w:val="auto"/>
                <w:kern w:val="1"/>
                <w:szCs w:val="21"/>
              </w:rPr>
            </w:pPr>
            <w:r>
              <w:rPr>
                <w:rFonts w:hint="eastAsia" w:ascii="宋体" w:hAnsi="宋体" w:cs="宋体"/>
                <w:color w:val="auto"/>
                <w:kern w:val="1"/>
                <w:szCs w:val="21"/>
              </w:rPr>
              <w:t>备注：投标文件提供证书复印件盖投标人公章，认证证书必须在有效期内，否则不得分。</w:t>
            </w:r>
          </w:p>
        </w:tc>
        <w:tc>
          <w:tcPr>
            <w:tcW w:w="768" w:type="dxa"/>
            <w:tcBorders>
              <w:left w:val="single" w:color="auto" w:sz="4" w:space="0"/>
            </w:tcBorders>
            <w:noWrap w:val="0"/>
            <w:vAlign w:val="center"/>
          </w:tcPr>
          <w:p w14:paraId="66F2D21A">
            <w:pPr>
              <w:spacing w:line="300" w:lineRule="exact"/>
              <w:jc w:val="center"/>
              <w:rPr>
                <w:rFonts w:hint="eastAsia" w:ascii="宋体" w:hAnsi="宋体" w:cs="宋体"/>
                <w:color w:val="auto"/>
                <w:kern w:val="0"/>
                <w:szCs w:val="21"/>
              </w:rPr>
            </w:pPr>
            <w:r>
              <w:rPr>
                <w:rFonts w:hint="eastAsia" w:ascii="宋体" w:hAnsi="宋体" w:cs="宋体"/>
                <w:color w:val="auto"/>
                <w:kern w:val="0"/>
                <w:szCs w:val="21"/>
              </w:rPr>
              <w:t>3</w:t>
            </w:r>
          </w:p>
        </w:tc>
      </w:tr>
      <w:tr w14:paraId="799CDF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765" w:type="dxa"/>
            <w:vMerge w:val="continue"/>
            <w:tcBorders>
              <w:right w:val="single" w:color="auto" w:sz="4" w:space="0"/>
            </w:tcBorders>
            <w:noWrap w:val="0"/>
            <w:vAlign w:val="center"/>
          </w:tcPr>
          <w:p w14:paraId="63AC6C96">
            <w:pPr>
              <w:widowControl/>
              <w:spacing w:line="300" w:lineRule="exact"/>
              <w:jc w:val="center"/>
              <w:rPr>
                <w:rFonts w:hint="eastAsia" w:ascii="宋体" w:hAnsi="宋体" w:cs="宋体"/>
                <w:bCs/>
                <w:color w:val="auto"/>
                <w:szCs w:val="21"/>
              </w:rPr>
            </w:pPr>
          </w:p>
        </w:tc>
        <w:tc>
          <w:tcPr>
            <w:tcW w:w="7508" w:type="dxa"/>
            <w:gridSpan w:val="2"/>
            <w:tcBorders>
              <w:right w:val="single" w:color="auto" w:sz="4" w:space="0"/>
            </w:tcBorders>
            <w:noWrap w:val="0"/>
            <w:vAlign w:val="center"/>
          </w:tcPr>
          <w:p w14:paraId="37639EBC">
            <w:pPr>
              <w:adjustRightInd w:val="0"/>
              <w:spacing w:line="300" w:lineRule="exact"/>
              <w:jc w:val="left"/>
              <w:textAlignment w:val="baseline"/>
              <w:rPr>
                <w:rFonts w:hint="eastAsia" w:ascii="宋体" w:hAnsi="宋体" w:cs="宋体"/>
                <w:color w:val="auto"/>
                <w:kern w:val="1"/>
                <w:szCs w:val="21"/>
                <w:lang w:val="en-US" w:eastAsia="zh-CN"/>
              </w:rPr>
            </w:pPr>
            <w:r>
              <w:rPr>
                <w:rFonts w:hint="eastAsia" w:ascii="宋体" w:hAnsi="宋体" w:cs="宋体"/>
                <w:color w:val="auto"/>
                <w:kern w:val="1"/>
                <w:szCs w:val="21"/>
                <w:lang w:val="en-US" w:eastAsia="zh-CN"/>
              </w:rPr>
              <w:t>同类业绩：</w:t>
            </w:r>
            <w:r>
              <w:rPr>
                <w:rFonts w:hint="eastAsia" w:ascii="宋体" w:hAnsi="宋体" w:cs="宋体"/>
                <w:color w:val="auto"/>
                <w:kern w:val="1"/>
                <w:szCs w:val="21"/>
              </w:rPr>
              <w:t>（</w:t>
            </w:r>
            <w:r>
              <w:rPr>
                <w:rFonts w:hint="eastAsia" w:ascii="宋体" w:hAnsi="宋体" w:cs="宋体"/>
                <w:color w:val="auto"/>
                <w:kern w:val="1"/>
                <w:szCs w:val="21"/>
                <w:lang w:val="en-US" w:eastAsia="zh-CN"/>
              </w:rPr>
              <w:t>1</w:t>
            </w:r>
            <w:r>
              <w:rPr>
                <w:rFonts w:hint="eastAsia" w:ascii="宋体" w:hAnsi="宋体" w:cs="宋体"/>
                <w:color w:val="auto"/>
                <w:kern w:val="1"/>
                <w:szCs w:val="21"/>
              </w:rPr>
              <w:t>分）</w:t>
            </w:r>
          </w:p>
          <w:p w14:paraId="2E57CD79">
            <w:pPr>
              <w:adjustRightInd w:val="0"/>
              <w:spacing w:line="300" w:lineRule="exact"/>
              <w:jc w:val="left"/>
              <w:textAlignment w:val="baseline"/>
              <w:rPr>
                <w:rFonts w:hint="default" w:ascii="宋体" w:hAnsi="宋体" w:cs="宋体"/>
                <w:color w:val="auto"/>
                <w:kern w:val="1"/>
                <w:szCs w:val="21"/>
                <w:lang w:val="en-US" w:eastAsia="zh-CN"/>
              </w:rPr>
            </w:pPr>
            <w:r>
              <w:rPr>
                <w:rFonts w:hint="eastAsia" w:ascii="宋体" w:hAnsi="宋体" w:cs="宋体"/>
                <w:color w:val="auto"/>
                <w:szCs w:val="21"/>
              </w:rPr>
              <w:t>根投标人具备近三年（即2021年1月1日以来，具体以合同签订日期为准）类似项目案例，每提供1个得</w:t>
            </w:r>
            <w:r>
              <w:rPr>
                <w:rFonts w:hint="eastAsia" w:ascii="宋体" w:hAnsi="宋体" w:cs="宋体"/>
                <w:color w:val="auto"/>
                <w:szCs w:val="21"/>
                <w:lang w:val="en-US" w:eastAsia="zh-CN"/>
              </w:rPr>
              <w:t>1</w:t>
            </w:r>
            <w:r>
              <w:rPr>
                <w:rFonts w:hint="eastAsia" w:ascii="宋体" w:hAnsi="宋体" w:cs="宋体"/>
                <w:color w:val="auto"/>
                <w:szCs w:val="21"/>
              </w:rPr>
              <w:t>分，最多</w:t>
            </w:r>
            <w:r>
              <w:rPr>
                <w:rFonts w:hint="eastAsia" w:ascii="宋体" w:hAnsi="宋体" w:cs="宋体"/>
                <w:color w:val="auto"/>
                <w:szCs w:val="21"/>
                <w:lang w:val="en-US" w:eastAsia="zh-CN"/>
              </w:rPr>
              <w:t>1</w:t>
            </w:r>
            <w:r>
              <w:rPr>
                <w:rFonts w:hint="eastAsia" w:ascii="宋体" w:hAnsi="宋体" w:cs="宋体"/>
                <w:color w:val="auto"/>
                <w:szCs w:val="21"/>
              </w:rPr>
              <w:t>分。（投标文件中提供</w:t>
            </w:r>
            <w:r>
              <w:rPr>
                <w:rFonts w:hint="eastAsia" w:ascii="宋体" w:hAnsi="宋体" w:cs="宋体"/>
                <w:color w:val="auto"/>
                <w:szCs w:val="21"/>
                <w:lang w:eastAsia="zh-CN"/>
              </w:rPr>
              <w:t>相关</w:t>
            </w:r>
            <w:r>
              <w:rPr>
                <w:rFonts w:hint="eastAsia" w:ascii="宋体" w:hAnsi="宋体" w:cs="宋体"/>
                <w:color w:val="auto"/>
                <w:szCs w:val="21"/>
              </w:rPr>
              <w:t>合同</w:t>
            </w:r>
            <w:r>
              <w:rPr>
                <w:rFonts w:hint="eastAsia" w:ascii="宋体" w:hAnsi="宋体" w:cs="宋体"/>
                <w:color w:val="auto"/>
                <w:szCs w:val="21"/>
                <w:lang w:eastAsia="zh-CN"/>
              </w:rPr>
              <w:t>复印件</w:t>
            </w:r>
            <w:r>
              <w:rPr>
                <w:rFonts w:hint="eastAsia" w:ascii="宋体" w:hAnsi="宋体" w:cs="宋体"/>
                <w:color w:val="auto"/>
                <w:szCs w:val="21"/>
              </w:rPr>
              <w:t>，不提供不得分）</w:t>
            </w:r>
          </w:p>
        </w:tc>
        <w:tc>
          <w:tcPr>
            <w:tcW w:w="768" w:type="dxa"/>
            <w:tcBorders>
              <w:left w:val="single" w:color="auto" w:sz="4" w:space="0"/>
            </w:tcBorders>
            <w:noWrap w:val="0"/>
            <w:vAlign w:val="center"/>
          </w:tcPr>
          <w:p w14:paraId="20448FEF">
            <w:pPr>
              <w:widowControl/>
              <w:spacing w:line="3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1</w:t>
            </w:r>
          </w:p>
        </w:tc>
      </w:tr>
      <w:tr w14:paraId="3E0EC0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041" w:type="dxa"/>
            <w:gridSpan w:val="4"/>
            <w:noWrap w:val="0"/>
            <w:vAlign w:val="center"/>
          </w:tcPr>
          <w:p w14:paraId="4F38BBC4">
            <w:pPr>
              <w:wordWrap w:val="0"/>
              <w:spacing w:line="300" w:lineRule="exact"/>
              <w:jc w:val="center"/>
              <w:rPr>
                <w:rFonts w:ascii="宋体" w:hAnsi="宋体" w:cs="宋体"/>
                <w:color w:val="auto"/>
                <w:szCs w:val="21"/>
              </w:rPr>
            </w:pPr>
            <w:r>
              <w:rPr>
                <w:rFonts w:hint="eastAsia" w:ascii="宋体" w:hAnsi="宋体" w:cs="宋体"/>
                <w:color w:val="auto"/>
                <w:szCs w:val="21"/>
              </w:rPr>
              <w:t>合计90分</w:t>
            </w:r>
          </w:p>
        </w:tc>
      </w:tr>
    </w:tbl>
    <w:p w14:paraId="2B6EEB3C">
      <w:pPr>
        <w:spacing w:line="360" w:lineRule="exact"/>
        <w:rPr>
          <w:rFonts w:hint="eastAsia" w:ascii="宋体" w:hAnsi="宋体"/>
          <w:b/>
          <w:bCs/>
          <w:color w:val="000000" w:themeColor="text1"/>
          <w:szCs w:val="21"/>
          <w14:textFill>
            <w14:solidFill>
              <w14:schemeClr w14:val="tx1"/>
            </w14:solidFill>
          </w14:textFill>
        </w:rPr>
      </w:pPr>
      <w:r>
        <w:rPr>
          <w:rFonts w:hint="eastAsia" w:ascii="宋体" w:hAnsi="宋体" w:cs="宋体"/>
          <w:color w:val="000000" w:themeColor="text1"/>
          <w:spacing w:val="14"/>
          <w:szCs w:val="21"/>
          <w14:textFill>
            <w14:solidFill>
              <w14:schemeClr w14:val="tx1"/>
            </w14:solidFill>
          </w14:textFill>
        </w:rPr>
        <w:t>打分说明：磋商小组根据评审情况逐栏打分，每栏分值不得超出本栏规定的分值范围；</w:t>
      </w:r>
    </w:p>
    <w:p w14:paraId="53D0992F">
      <w:pPr>
        <w:spacing w:line="36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磋商小组成员签名：                                                年  月  日</w:t>
      </w:r>
    </w:p>
    <w:p w14:paraId="0C3952FE">
      <w:pPr>
        <w:wordWrap w:val="0"/>
        <w:spacing w:line="360" w:lineRule="exact"/>
        <w:jc w:val="center"/>
        <w:rPr>
          <w:rFonts w:ascii="宋体" w:hAnsi="宋体"/>
          <w:b/>
          <w:color w:val="000000" w:themeColor="text1"/>
          <w14:textFill>
            <w14:solidFill>
              <w14:schemeClr w14:val="tx1"/>
            </w14:solidFill>
          </w14:textFill>
        </w:rPr>
      </w:pPr>
      <w:r>
        <w:rPr>
          <w:rFonts w:ascii="宋体" w:hAnsi="宋体"/>
          <w:b/>
          <w:color w:val="000000" w:themeColor="text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报价</w:t>
      </w:r>
      <w:r>
        <w:rPr>
          <w:rFonts w:hint="eastAsia" w:ascii="宋体" w:hAnsi="宋体"/>
          <w:b/>
          <w:color w:val="000000" w:themeColor="text1"/>
          <w14:textFill>
            <w14:solidFill>
              <w14:schemeClr w14:val="tx1"/>
            </w14:solidFill>
          </w14:textFill>
        </w:rPr>
        <w:t>评分标准</w:t>
      </w:r>
    </w:p>
    <w:p w14:paraId="088E0909">
      <w:pPr>
        <w:wordWrap w:val="0"/>
        <w:spacing w:line="360" w:lineRule="exact"/>
        <w:rPr>
          <w:rFonts w:hint="eastAsia" w:ascii="宋体" w:hAnsi="宋体"/>
          <w:b/>
          <w:color w:val="000000" w:themeColor="text1"/>
          <w14:textFill>
            <w14:solidFill>
              <w14:schemeClr w14:val="tx1"/>
            </w14:solidFill>
          </w14:textFill>
        </w:rPr>
      </w:pPr>
      <w:r>
        <w:rPr>
          <w:rFonts w:ascii="宋体" w:hAnsi="宋体" w:cs="宋体"/>
          <w:b/>
          <w:color w:val="000000" w:themeColor="text1"/>
          <w:szCs w:val="21"/>
          <w14:textFill>
            <w14:solidFill>
              <w14:schemeClr w14:val="tx1"/>
            </w14:solidFill>
          </w14:textFill>
        </w:rPr>
        <w:t xml:space="preserve">                                   </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3"/>
        <w:gridCol w:w="8267"/>
        <w:gridCol w:w="495"/>
      </w:tblGrid>
      <w:tr w14:paraId="1714E1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8840" w:type="dxa"/>
            <w:gridSpan w:val="2"/>
            <w:tcBorders>
              <w:tl2br w:val="single" w:color="auto" w:sz="4" w:space="0"/>
            </w:tcBorders>
            <w:noWrap w:val="0"/>
            <w:vAlign w:val="center"/>
          </w:tcPr>
          <w:p w14:paraId="1AE61BF5">
            <w:pPr>
              <w:wordWrap w:val="0"/>
              <w:ind w:right="315"/>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p>
          <w:p w14:paraId="61CFE72F">
            <w:pPr>
              <w:wordWrap w:val="0"/>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分值及</w:t>
            </w:r>
            <w:r>
              <w:rPr>
                <w:rFonts w:ascii="宋体" w:hAnsi="宋体"/>
                <w:color w:val="000000" w:themeColor="text1"/>
                <w:szCs w:val="21"/>
                <w14:textFill>
                  <w14:solidFill>
                    <w14:schemeClr w14:val="tx1"/>
                  </w14:solidFill>
                </w14:textFill>
              </w:rPr>
              <w:t>评分内容</w:t>
            </w:r>
          </w:p>
        </w:tc>
        <w:tc>
          <w:tcPr>
            <w:tcW w:w="495" w:type="dxa"/>
            <w:noWrap w:val="0"/>
            <w:vAlign w:val="top"/>
          </w:tcPr>
          <w:p w14:paraId="74308F32">
            <w:pPr>
              <w:widowControl/>
              <w:wordWrap w:val="0"/>
              <w:jc w:val="left"/>
              <w:rPr>
                <w:rFonts w:ascii="宋体" w:hAnsi="宋体"/>
                <w:color w:val="000000" w:themeColor="text1"/>
                <w:szCs w:val="21"/>
                <w14:textFill>
                  <w14:solidFill>
                    <w14:schemeClr w14:val="tx1"/>
                  </w14:solidFill>
                </w14:textFill>
              </w:rPr>
            </w:pPr>
          </w:p>
        </w:tc>
      </w:tr>
      <w:tr w14:paraId="68C20B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573" w:type="dxa"/>
            <w:tcBorders>
              <w:right w:val="single" w:color="auto" w:sz="4" w:space="0"/>
            </w:tcBorders>
            <w:noWrap w:val="0"/>
            <w:vAlign w:val="center"/>
          </w:tcPr>
          <w:p w14:paraId="2E58830F">
            <w:pPr>
              <w:wordWrap w:val="0"/>
              <w:spacing w:line="400" w:lineRule="exact"/>
              <w:jc w:val="center"/>
              <w:rPr>
                <w:rFonts w:ascii="宋体" w:hAnsi="宋体"/>
                <w:b/>
                <w:snapToGrid w:val="0"/>
                <w:color w:val="000000" w:themeColor="text1"/>
                <w:kern w:val="0"/>
                <w:szCs w:val="21"/>
                <w14:textFill>
                  <w14:solidFill>
                    <w14:schemeClr w14:val="tx1"/>
                  </w14:solidFill>
                </w14:textFill>
              </w:rPr>
            </w:pPr>
            <w:r>
              <w:rPr>
                <w:rFonts w:hint="eastAsia" w:ascii="宋体" w:hAnsi="宋体"/>
                <w:b/>
                <w:snapToGrid w:val="0"/>
                <w:color w:val="000000" w:themeColor="text1"/>
                <w:kern w:val="0"/>
                <w:szCs w:val="21"/>
                <w14:textFill>
                  <w14:solidFill>
                    <w14:schemeClr w14:val="tx1"/>
                  </w14:solidFill>
                </w14:textFill>
              </w:rPr>
              <w:t>价格分</w:t>
            </w:r>
          </w:p>
          <w:p w14:paraId="55C1BC36">
            <w:pPr>
              <w:wordWrap w:val="0"/>
              <w:spacing w:line="400" w:lineRule="exact"/>
              <w:jc w:val="center"/>
              <w:rPr>
                <w:rFonts w:ascii="宋体" w:hAnsi="宋体"/>
                <w:b/>
                <w:snapToGrid w:val="0"/>
                <w:color w:val="000000" w:themeColor="text1"/>
                <w:kern w:val="0"/>
                <w:szCs w:val="21"/>
                <w14:textFill>
                  <w14:solidFill>
                    <w14:schemeClr w14:val="tx1"/>
                  </w14:solidFill>
                </w14:textFill>
              </w:rPr>
            </w:pPr>
            <w:r>
              <w:rPr>
                <w:rFonts w:hint="eastAsia" w:ascii="宋体" w:hAnsi="宋体"/>
                <w:b/>
                <w:snapToGrid w:val="0"/>
                <w:color w:val="000000" w:themeColor="text1"/>
                <w:kern w:val="0"/>
                <w:szCs w:val="21"/>
                <w14:textFill>
                  <w14:solidFill>
                    <w14:schemeClr w14:val="tx1"/>
                  </w14:solidFill>
                </w14:textFill>
              </w:rPr>
              <w:t>1</w:t>
            </w:r>
            <w:r>
              <w:rPr>
                <w:rFonts w:ascii="宋体" w:hAnsi="宋体"/>
                <w:b/>
                <w:snapToGrid w:val="0"/>
                <w:color w:val="000000" w:themeColor="text1"/>
                <w:kern w:val="0"/>
                <w:szCs w:val="21"/>
                <w14:textFill>
                  <w14:solidFill>
                    <w14:schemeClr w14:val="tx1"/>
                  </w14:solidFill>
                </w14:textFill>
              </w:rPr>
              <w:t>0</w:t>
            </w:r>
            <w:r>
              <w:rPr>
                <w:rFonts w:hint="eastAsia" w:ascii="宋体" w:hAnsi="宋体"/>
                <w:b/>
                <w:snapToGrid w:val="0"/>
                <w:color w:val="000000" w:themeColor="text1"/>
                <w:kern w:val="0"/>
                <w:szCs w:val="21"/>
                <w14:textFill>
                  <w14:solidFill>
                    <w14:schemeClr w14:val="tx1"/>
                  </w14:solidFill>
                </w14:textFill>
              </w:rPr>
              <w:t>分</w:t>
            </w:r>
          </w:p>
        </w:tc>
        <w:tc>
          <w:tcPr>
            <w:tcW w:w="8267" w:type="dxa"/>
            <w:tcBorders>
              <w:left w:val="single" w:color="auto" w:sz="4" w:space="0"/>
            </w:tcBorders>
            <w:noWrap w:val="0"/>
            <w:vAlign w:val="center"/>
          </w:tcPr>
          <w:p w14:paraId="2BDF9E78">
            <w:pPr>
              <w:keepNext w:val="0"/>
              <w:keepLines w:val="0"/>
              <w:pageBreakBefore w:val="0"/>
              <w:widowControl w:val="0"/>
              <w:shd w:val="clear" w:color="auto" w:fill="auto"/>
              <w:kinsoku/>
              <w:wordWrap/>
              <w:overflowPunct/>
              <w:topLinePunct w:val="0"/>
              <w:autoSpaceDE/>
              <w:autoSpaceDN/>
              <w:bidi w:val="0"/>
              <w:spacing w:line="360" w:lineRule="exact"/>
              <w:ind w:right="0"/>
              <w:textAlignment w:val="auto"/>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参与评审的价格=</w:t>
            </w:r>
            <w:r>
              <w:rPr>
                <w:rFonts w:hint="eastAsia" w:ascii="宋体" w:hAnsi="宋体" w:eastAsia="宋体" w:cs="宋体"/>
                <w:color w:val="000000" w:themeColor="text1"/>
                <w:sz w:val="21"/>
                <w:szCs w:val="21"/>
                <w:highlight w:val="none"/>
                <w:lang w:eastAsia="zh-CN"/>
                <w14:textFill>
                  <w14:solidFill>
                    <w14:schemeClr w14:val="tx1"/>
                  </w14:solidFill>
                </w14:textFill>
              </w:rPr>
              <w:t>响应报价</w:t>
            </w:r>
          </w:p>
          <w:p w14:paraId="15BCDF09">
            <w:pPr>
              <w:wordWrap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评标基准价=满足竞争性磋商文件要求且“参与评审的价格”中最低的价格为评标基准价（最终报价）</w:t>
            </w:r>
          </w:p>
          <w:p w14:paraId="5769E757">
            <w:pPr>
              <w:wordWrap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基准价得分为满分10分，其他供应商报价得分计算公式如下：</w:t>
            </w:r>
          </w:p>
          <w:p w14:paraId="7B6CCCA4">
            <w:pPr>
              <w:wordWrap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其他供应商报价得分=（评标基准价/参与评审的价格）×10%×100</w:t>
            </w:r>
          </w:p>
          <w:p w14:paraId="21A52214">
            <w:pPr>
              <w:pStyle w:val="13"/>
              <w:wordWrap w:val="0"/>
              <w:spacing w:line="360" w:lineRule="exact"/>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（保留一位小数）</w:t>
            </w:r>
          </w:p>
        </w:tc>
        <w:tc>
          <w:tcPr>
            <w:tcW w:w="495" w:type="dxa"/>
            <w:noWrap w:val="0"/>
            <w:vAlign w:val="top"/>
          </w:tcPr>
          <w:p w14:paraId="3C239937">
            <w:pPr>
              <w:widowControl/>
              <w:wordWrap w:val="0"/>
              <w:jc w:val="left"/>
              <w:rPr>
                <w:rFonts w:hint="eastAsia" w:ascii="宋体" w:hAnsi="宋体"/>
                <w:color w:val="000000" w:themeColor="text1"/>
                <w:szCs w:val="21"/>
                <w14:textFill>
                  <w14:solidFill>
                    <w14:schemeClr w14:val="tx1"/>
                  </w14:solidFill>
                </w14:textFill>
              </w:rPr>
            </w:pPr>
          </w:p>
        </w:tc>
      </w:tr>
      <w:tr w14:paraId="309956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8840" w:type="dxa"/>
            <w:gridSpan w:val="2"/>
            <w:noWrap w:val="0"/>
            <w:vAlign w:val="center"/>
          </w:tcPr>
          <w:p w14:paraId="1F100C9E">
            <w:pPr>
              <w:jc w:val="center"/>
              <w:rPr>
                <w:rFonts w:hint="eastAsia" w:ascii="宋体" w:hAnsi="宋体"/>
                <w:color w:val="000000" w:themeColor="text1"/>
                <w:szCs w:val="21"/>
                <w14:textFill>
                  <w14:solidFill>
                    <w14:schemeClr w14:val="tx1"/>
                  </w14:solidFill>
                </w14:textFill>
              </w:rPr>
            </w:pPr>
            <w:r>
              <w:rPr>
                <w:rFonts w:hint="eastAsia" w:ascii="宋体" w:hAnsi="宋体"/>
                <w:b/>
                <w:snapToGrid w:val="0"/>
                <w:color w:val="000000" w:themeColor="text1"/>
                <w:kern w:val="0"/>
                <w:szCs w:val="21"/>
                <w14:textFill>
                  <w14:solidFill>
                    <w14:schemeClr w14:val="tx1"/>
                  </w14:solidFill>
                </w14:textFill>
              </w:rPr>
              <w:t>价格分1</w:t>
            </w:r>
            <w:r>
              <w:rPr>
                <w:rFonts w:ascii="宋体" w:hAnsi="宋体"/>
                <w:b/>
                <w:snapToGrid w:val="0"/>
                <w:color w:val="000000" w:themeColor="text1"/>
                <w:kern w:val="0"/>
                <w:szCs w:val="21"/>
                <w14:textFill>
                  <w14:solidFill>
                    <w14:schemeClr w14:val="tx1"/>
                  </w14:solidFill>
                </w14:textFill>
              </w:rPr>
              <w:t>0</w:t>
            </w:r>
            <w:r>
              <w:rPr>
                <w:rFonts w:hint="eastAsia" w:ascii="宋体" w:hAnsi="宋体"/>
                <w:b/>
                <w:snapToGrid w:val="0"/>
                <w:color w:val="000000" w:themeColor="text1"/>
                <w:kern w:val="0"/>
                <w:szCs w:val="21"/>
                <w14:textFill>
                  <w14:solidFill>
                    <w14:schemeClr w14:val="tx1"/>
                  </w14:solidFill>
                </w14:textFill>
              </w:rPr>
              <w:t>分</w:t>
            </w:r>
          </w:p>
        </w:tc>
        <w:tc>
          <w:tcPr>
            <w:tcW w:w="495" w:type="dxa"/>
            <w:noWrap w:val="0"/>
            <w:vAlign w:val="top"/>
          </w:tcPr>
          <w:p w14:paraId="1BBC2BFE">
            <w:pPr>
              <w:widowControl/>
              <w:wordWrap w:val="0"/>
              <w:jc w:val="left"/>
              <w:rPr>
                <w:rFonts w:hint="eastAsia" w:ascii="宋体" w:hAnsi="宋体"/>
                <w:color w:val="000000" w:themeColor="text1"/>
                <w:szCs w:val="21"/>
                <w14:textFill>
                  <w14:solidFill>
                    <w14:schemeClr w14:val="tx1"/>
                  </w14:solidFill>
                </w14:textFill>
              </w:rPr>
            </w:pPr>
          </w:p>
        </w:tc>
      </w:tr>
    </w:tbl>
    <w:p w14:paraId="65762B3A">
      <w:pPr>
        <w:wordWrap w:val="0"/>
        <w:spacing w:line="400" w:lineRule="exac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注：</w:t>
      </w:r>
      <w:r>
        <w:rPr>
          <w:rFonts w:hint="eastAsia" w:ascii="宋体" w:hAnsi="宋体"/>
          <w:color w:val="000000" w:themeColor="text1"/>
          <w:szCs w:val="21"/>
          <w14:textFill>
            <w14:solidFill>
              <w14:schemeClr w14:val="tx1"/>
            </w14:solidFill>
          </w14:textFill>
        </w:rPr>
        <w:t>1、各磋商小组成员自行按以上参考分值评分，评分小数点后保留一位数（价格分小数点后保留二位小数）。</w:t>
      </w:r>
    </w:p>
    <w:p w14:paraId="18E6D7B9">
      <w:pPr>
        <w:wordWrap w:val="0"/>
        <w:spacing w:line="40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、以上分值重复的地方，下限不含，上限含。</w:t>
      </w:r>
    </w:p>
    <w:p w14:paraId="08F2743A">
      <w:pPr>
        <w:wordWrap w:val="0"/>
        <w:spacing w:line="40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、磋商响应文件中未按上述要求提供相关资料的，不得分。</w:t>
      </w:r>
    </w:p>
    <w:p w14:paraId="2F7CB083">
      <w:pPr>
        <w:wordWrap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磋商小组成员签名：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月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C2E23AF">
      <w:pPr>
        <w:wordWrap w:val="0"/>
        <w:spacing w:line="500" w:lineRule="exact"/>
        <w:jc w:val="center"/>
        <w:outlineLvl w:val="0"/>
        <w:rPr>
          <w:rFonts w:hint="eastAsia" w:ascii="宋体" w:hAnsi="宋体"/>
          <w:b/>
          <w:color w:val="000000" w:themeColor="text1"/>
          <w:sz w:val="24"/>
          <w:szCs w:val="24"/>
          <w14:textFill>
            <w14:solidFill>
              <w14:schemeClr w14:val="tx1"/>
            </w14:solidFill>
          </w14:textFill>
        </w:rPr>
      </w:pPr>
      <w:r>
        <w:rPr>
          <w:rFonts w:ascii="宋体" w:hAnsi="宋体"/>
          <w:color w:val="000000" w:themeColor="text1"/>
          <w:kern w:val="0"/>
          <w:lang w:val="zh-CN"/>
          <w14:textFill>
            <w14:solidFill>
              <w14:schemeClr w14:val="tx1"/>
            </w14:solidFill>
          </w14:textFill>
        </w:rPr>
        <w:br w:type="page"/>
      </w:r>
      <w:bookmarkStart w:id="48" w:name="_Toc462179380"/>
      <w:bookmarkStart w:id="49" w:name="_Toc102912965"/>
      <w:bookmarkStart w:id="50" w:name="_Toc32462"/>
      <w:r>
        <w:rPr>
          <w:rFonts w:hint="eastAsia" w:ascii="宋体" w:hAnsi="宋体"/>
          <w:b/>
          <w:color w:val="000000" w:themeColor="text1"/>
          <w:sz w:val="24"/>
          <w:szCs w:val="24"/>
          <w14:textFill>
            <w14:solidFill>
              <w14:schemeClr w14:val="tx1"/>
            </w14:solidFill>
          </w14:textFill>
        </w:rPr>
        <w:t>第四章  合同</w:t>
      </w:r>
      <w:bookmarkEnd w:id="48"/>
      <w:r>
        <w:rPr>
          <w:rFonts w:hint="eastAsia" w:ascii="宋体" w:hAnsi="宋体"/>
          <w:b/>
          <w:color w:val="000000" w:themeColor="text1"/>
          <w:sz w:val="24"/>
          <w:szCs w:val="24"/>
          <w14:textFill>
            <w14:solidFill>
              <w14:schemeClr w14:val="tx1"/>
            </w14:solidFill>
          </w14:textFill>
        </w:rPr>
        <w:t>条款</w:t>
      </w:r>
      <w:bookmarkEnd w:id="49"/>
      <w:bookmarkEnd w:id="50"/>
    </w:p>
    <w:p w14:paraId="69203AE0">
      <w:pPr>
        <w:pStyle w:val="22"/>
        <w:wordWrap w:val="0"/>
        <w:snapToGrid w:val="0"/>
        <w:spacing w:before="0" w:beforeAutospacing="0" w:after="0" w:afterAutospacing="0" w:line="360" w:lineRule="auto"/>
        <w:rPr>
          <w:b/>
          <w:color w:val="000000" w:themeColor="text1"/>
          <w:sz w:val="21"/>
          <w:szCs w:val="21"/>
          <w14:textFill>
            <w14:solidFill>
              <w14:schemeClr w14:val="tx1"/>
            </w14:solidFill>
          </w14:textFill>
        </w:rPr>
      </w:pPr>
    </w:p>
    <w:p w14:paraId="2F704476">
      <w:pPr>
        <w:pStyle w:val="22"/>
        <w:wordWrap w:val="0"/>
        <w:snapToGrid w:val="0"/>
        <w:spacing w:before="0" w:beforeAutospacing="0" w:after="0" w:afterAutospacing="0"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项目名称：                    </w:t>
      </w:r>
      <w:r>
        <w:rPr>
          <w:color w:val="000000" w:themeColor="text1"/>
          <w:sz w:val="21"/>
          <w:szCs w:val="21"/>
          <w14:textFill>
            <w14:solidFill>
              <w14:schemeClr w14:val="tx1"/>
            </w14:solidFill>
          </w14:textFill>
        </w:rPr>
        <w:t xml:space="preserve">     </w:t>
      </w:r>
    </w:p>
    <w:p w14:paraId="1D6835B0">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项目编号：</w:t>
      </w:r>
    </w:p>
    <w:p w14:paraId="6F02043C">
      <w:pPr>
        <w:pStyle w:val="22"/>
        <w:wordWrap w:val="0"/>
        <w:snapToGrid w:val="0"/>
        <w:spacing w:before="0" w:beforeAutospacing="0" w:after="0" w:afterAutospacing="0"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甲方：（买方）                     </w:t>
      </w:r>
    </w:p>
    <w:p w14:paraId="402C8197">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乙方：（卖方）</w:t>
      </w:r>
    </w:p>
    <w:p w14:paraId="546A3EC2">
      <w:pPr>
        <w:pStyle w:val="133"/>
        <w:wordWrap w:val="0"/>
        <w:spacing w:before="0" w:after="0"/>
        <w:ind w:firstLine="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甲、乙双方根据</w:t>
      </w:r>
      <w:r>
        <w:rPr>
          <w:rFonts w:hint="eastAsia" w:ascii="宋体" w:hAnsi="宋体" w:cs="宋体"/>
          <w:bCs/>
          <w:color w:val="000000" w:themeColor="text1"/>
          <w:sz w:val="21"/>
          <w:szCs w:val="21"/>
          <w:lang w:eastAsia="zh-CN"/>
          <w14:textFill>
            <w14:solidFill>
              <w14:schemeClr w14:val="tx1"/>
            </w14:solidFill>
          </w14:textFill>
        </w:rPr>
        <w:t>北仑区“六促六优专项行动”应用二期</w:t>
      </w:r>
      <w:r>
        <w:rPr>
          <w:rFonts w:hint="eastAsia" w:ascii="宋体" w:hAnsi="宋体" w:cs="宋体"/>
          <w:bCs/>
          <w:color w:val="000000" w:themeColor="text1"/>
          <w:sz w:val="21"/>
          <w:szCs w:val="21"/>
          <w14:textFill>
            <w14:solidFill>
              <w14:schemeClr w14:val="tx1"/>
            </w14:solidFill>
          </w14:textFill>
        </w:rPr>
        <w:t>（项</w:t>
      </w:r>
      <w:r>
        <w:rPr>
          <w:rFonts w:hint="eastAsia" w:ascii="宋体" w:hAnsi="宋体" w:eastAsia="宋体" w:cs="宋体"/>
          <w:bCs/>
          <w:color w:val="000000" w:themeColor="text1"/>
          <w:sz w:val="21"/>
          <w:szCs w:val="21"/>
          <w:lang w:eastAsia="zh-CN"/>
          <w14:textFill>
            <w14:solidFill>
              <w14:schemeClr w14:val="tx1"/>
            </w14:solidFill>
          </w14:textFill>
        </w:rPr>
        <w:t>目编号：NBLQ2025017</w:t>
      </w:r>
      <w:r>
        <w:rPr>
          <w:rFonts w:hint="eastAsia" w:ascii="宋体" w:hAnsi="宋体" w:cs="宋体"/>
          <w:bCs/>
          <w:color w:val="000000" w:themeColor="text1"/>
          <w:sz w:val="21"/>
          <w:szCs w:val="21"/>
          <w14:textFill>
            <w14:solidFill>
              <w14:schemeClr w14:val="tx1"/>
            </w14:solidFill>
          </w14:textFill>
        </w:rPr>
        <w:t>）竞争性磋商的结果，就本项目签署本合同。</w:t>
      </w:r>
    </w:p>
    <w:p w14:paraId="0195D7FC">
      <w:pPr>
        <w:pStyle w:val="22"/>
        <w:wordWrap w:val="0"/>
        <w:snapToGrid w:val="0"/>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一、服务内容</w:t>
      </w:r>
    </w:p>
    <w:p w14:paraId="21463DF9">
      <w:pPr>
        <w:rPr>
          <w:rFonts w:ascii="宋体" w:hAnsi="宋体"/>
          <w:color w:val="000000" w:themeColor="text1"/>
          <w14:textFill>
            <w14:solidFill>
              <w14:schemeClr w14:val="tx1"/>
            </w14:solidFill>
          </w14:textFill>
        </w:rPr>
      </w:pPr>
    </w:p>
    <w:p w14:paraId="121BD758">
      <w:pPr>
        <w:rPr>
          <w:rFonts w:hint="eastAsia" w:ascii="宋体" w:hAnsi="宋体"/>
          <w:color w:val="000000" w:themeColor="text1"/>
          <w14:textFill>
            <w14:solidFill>
              <w14:schemeClr w14:val="tx1"/>
            </w14:solidFill>
          </w14:textFill>
        </w:rPr>
      </w:pPr>
    </w:p>
    <w:p w14:paraId="462F9297">
      <w:pPr>
        <w:pStyle w:val="22"/>
        <w:wordWrap w:val="0"/>
        <w:snapToGrid w:val="0"/>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二、合同金额</w:t>
      </w:r>
    </w:p>
    <w:p w14:paraId="5BD9DDDF">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2.1、合同类型</w:t>
      </w:r>
      <w:r>
        <w:rPr>
          <w:b/>
          <w:color w:val="000000" w:themeColor="text1"/>
          <w:sz w:val="21"/>
          <w:szCs w:val="21"/>
          <w14:textFill>
            <w14:solidFill>
              <w14:schemeClr w14:val="tx1"/>
            </w14:solidFill>
          </w14:textFill>
        </w:rPr>
        <w:t>：固定总价。</w:t>
      </w:r>
    </w:p>
    <w:p w14:paraId="6B49F6B0">
      <w:pPr>
        <w:pStyle w:val="22"/>
        <w:wordWrap w:val="0"/>
        <w:snapToGrid w:val="0"/>
        <w:spacing w:before="0" w:beforeAutospacing="0" w:after="0" w:afterAutospacing="0" w:line="360" w:lineRule="auto"/>
        <w:ind w:left="359" w:hanging="361" w:hangingChars="171"/>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2.2</w:t>
      </w:r>
      <w:r>
        <w:rPr>
          <w:rFonts w:hint="eastAsia"/>
          <w:b/>
          <w:color w:val="000000" w:themeColor="text1"/>
          <w:sz w:val="21"/>
          <w:szCs w:val="21"/>
          <w14:textFill>
            <w14:solidFill>
              <w14:schemeClr w14:val="tx1"/>
            </w14:solidFill>
          </w14:textFill>
        </w:rPr>
        <w:t>、合同金额</w:t>
      </w:r>
    </w:p>
    <w:p w14:paraId="32CDDF2F">
      <w:pPr>
        <w:pStyle w:val="22"/>
        <w:wordWrap w:val="0"/>
        <w:snapToGrid w:val="0"/>
        <w:spacing w:before="0" w:beforeAutospacing="0" w:after="0" w:afterAutospacing="0" w:line="360" w:lineRule="auto"/>
        <w:rPr>
          <w:b/>
          <w:color w:val="000000" w:themeColor="text1"/>
          <w:sz w:val="21"/>
          <w:szCs w:val="21"/>
          <w14:textFill>
            <w14:solidFill>
              <w14:schemeClr w14:val="tx1"/>
            </w14:solidFill>
          </w14:textFill>
        </w:rPr>
      </w:pPr>
    </w:p>
    <w:p w14:paraId="716B7984">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三、技术资料</w:t>
      </w:r>
    </w:p>
    <w:p w14:paraId="71386383">
      <w:pPr>
        <w:pStyle w:val="22"/>
        <w:wordWrap w:val="0"/>
        <w:snapToGrid w:val="0"/>
        <w:spacing w:before="0" w:beforeAutospacing="0" w:after="0" w:afterAutospacing="0" w:line="360" w:lineRule="auto"/>
        <w:ind w:left="359" w:hanging="359" w:hangingChars="171"/>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3.1乙方应按采购文件规定的时间向甲方提供有关技术资料。</w:t>
      </w:r>
    </w:p>
    <w:p w14:paraId="5B50D565">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1020ADB">
      <w:pPr>
        <w:pStyle w:val="22"/>
        <w:wordWrap w:val="0"/>
        <w:snapToGrid w:val="0"/>
        <w:spacing w:before="0" w:beforeAutospacing="0" w:after="0" w:afterAutospacing="0" w:line="360" w:lineRule="auto"/>
        <w:ind w:left="359" w:hanging="361" w:hangingChars="171"/>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四、知识产权</w:t>
      </w:r>
    </w:p>
    <w:p w14:paraId="4D7209A6">
      <w:pPr>
        <w:pStyle w:val="22"/>
        <w:wordWrap w:val="0"/>
        <w:snapToGrid w:val="0"/>
        <w:spacing w:before="0" w:beforeAutospacing="0" w:after="0" w:afterAutospacing="0" w:line="360" w:lineRule="auto"/>
        <w:ind w:left="359" w:hanging="359" w:hangingChars="171"/>
        <w:rPr>
          <w:rFonts w:hint="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 乙方应保证提供服务过程中不会侵犯任何第三方的</w:t>
      </w:r>
      <w:r>
        <w:rPr>
          <w:rFonts w:hint="eastAsia"/>
          <w:b/>
          <w:color w:val="000000" w:themeColor="text1"/>
          <w:sz w:val="21"/>
          <w:szCs w:val="21"/>
          <w14:textFill>
            <w14:solidFill>
              <w14:schemeClr w14:val="tx1"/>
            </w14:solidFill>
          </w14:textFill>
        </w:rPr>
        <w:t>知识产权</w:t>
      </w:r>
      <w:r>
        <w:rPr>
          <w:rFonts w:hint="eastAsia"/>
          <w:b/>
          <w:bCs/>
          <w:color w:val="000000" w:themeColor="text1"/>
          <w:sz w:val="21"/>
          <w:szCs w:val="21"/>
          <w14:textFill>
            <w14:solidFill>
              <w14:schemeClr w14:val="tx1"/>
            </w14:solidFill>
          </w14:textFill>
        </w:rPr>
        <w:t>。</w:t>
      </w:r>
    </w:p>
    <w:p w14:paraId="0F74630D">
      <w:pPr>
        <w:pStyle w:val="22"/>
        <w:wordWrap w:val="0"/>
        <w:snapToGrid w:val="0"/>
        <w:spacing w:before="0" w:beforeAutospacing="0" w:after="0" w:afterAutospacing="0" w:line="360" w:lineRule="auto"/>
        <w:ind w:left="359" w:hanging="361" w:hangingChars="171"/>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五、履约保证金</w:t>
      </w:r>
    </w:p>
    <w:p w14:paraId="793679C1">
      <w:pPr>
        <w:pStyle w:val="22"/>
        <w:wordWrap w:val="0"/>
        <w:snapToGrid w:val="0"/>
        <w:spacing w:before="0" w:beforeAutospacing="0" w:after="0" w:afterAutospacing="0" w:line="360" w:lineRule="auto"/>
        <w:ind w:left="359" w:hanging="359" w:hangingChars="17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合同总价的</w:t>
      </w:r>
      <w:r>
        <w:rPr>
          <w:rFonts w:hint="eastAsia"/>
          <w:color w:val="000000" w:themeColor="text1"/>
          <w:sz w:val="21"/>
          <w:szCs w:val="21"/>
          <w:u w:val="single"/>
          <w:lang w:val="en-US" w:eastAsia="zh-CN"/>
          <w14:textFill>
            <w14:solidFill>
              <w14:schemeClr w14:val="tx1"/>
            </w14:solidFill>
          </w14:textFill>
        </w:rPr>
        <w:t xml:space="preserve">   /  </w:t>
      </w:r>
      <w:r>
        <w:rPr>
          <w:rFonts w:hint="eastAsia"/>
          <w:color w:val="000000" w:themeColor="text1"/>
          <w:sz w:val="21"/>
          <w:szCs w:val="21"/>
          <w14:textFill>
            <w14:solidFill>
              <w14:schemeClr w14:val="tx1"/>
            </w14:solidFill>
          </w14:textFill>
        </w:rPr>
        <w:t>作为本合同的履约保证金</w:t>
      </w:r>
      <w:bookmarkStart w:id="76" w:name="_GoBack"/>
      <w:bookmarkEnd w:id="76"/>
      <w:r>
        <w:rPr>
          <w:rFonts w:hint="eastAsia"/>
          <w:color w:val="000000" w:themeColor="text1"/>
          <w:sz w:val="21"/>
          <w:szCs w:val="21"/>
          <w14:textFill>
            <w14:solidFill>
              <w14:schemeClr w14:val="tx1"/>
            </w14:solidFill>
          </w14:textFill>
        </w:rPr>
        <w:t>。</w:t>
      </w:r>
    </w:p>
    <w:p w14:paraId="579354C4">
      <w:pPr>
        <w:wordWrap w:val="0"/>
        <w:snapToGrid w:val="0"/>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六.转包或分包</w:t>
      </w:r>
    </w:p>
    <w:p w14:paraId="5A9970D9">
      <w:pPr>
        <w:wordWrap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6.1本合同范围的服务，应由乙方直接供应，不得转让他人供应；</w:t>
      </w:r>
    </w:p>
    <w:p w14:paraId="73971132">
      <w:pPr>
        <w:wordWrap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 除非得到甲方的同意，乙方不得部分分包给他人供应。甲方有绝对权力阻止分包。</w:t>
      </w:r>
    </w:p>
    <w:p w14:paraId="4A07C089">
      <w:pPr>
        <w:wordWrap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6.3如有转让和未经甲方同意的分包行为，甲方有权给予终止合同。</w:t>
      </w:r>
    </w:p>
    <w:p w14:paraId="0D35FB87">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七、服务时间</w:t>
      </w:r>
    </w:p>
    <w:p w14:paraId="2923351E">
      <w:pPr>
        <w:pStyle w:val="22"/>
        <w:wordWrap w:val="0"/>
        <w:snapToGrid w:val="0"/>
        <w:spacing w:before="0" w:beforeAutospacing="0" w:after="0" w:afterAutospacing="0" w:line="360" w:lineRule="auto"/>
        <w:ind w:left="359" w:hanging="359" w:hangingChars="171"/>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7.1 服务时间：</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14:paraId="58395E03">
      <w:pPr>
        <w:pStyle w:val="22"/>
        <w:wordWrap w:val="0"/>
        <w:snapToGrid w:val="0"/>
        <w:spacing w:before="0" w:beforeAutospacing="0" w:after="0" w:afterAutospacing="0" w:line="360" w:lineRule="auto"/>
        <w:ind w:left="359" w:hanging="359" w:hangingChars="171"/>
        <w:rPr>
          <w:rFonts w:hint="eastAsia"/>
          <w:strike/>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7.2 服务地点：</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14:paraId="02360EE9">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八、合同履行时间、履行方式及履行地点</w:t>
      </w:r>
    </w:p>
    <w:p w14:paraId="29B900A4">
      <w:pPr>
        <w:pStyle w:val="22"/>
        <w:wordWrap w:val="0"/>
        <w:snapToGrid w:val="0"/>
        <w:spacing w:before="0" w:beforeAutospacing="0" w:after="0" w:afterAutospacing="0" w:line="360" w:lineRule="auto"/>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 xml:space="preserve">8.1 </w:t>
      </w:r>
      <w:r>
        <w:rPr>
          <w:rFonts w:hint="eastAsia"/>
          <w:color w:val="000000" w:themeColor="text1"/>
          <w:sz w:val="21"/>
          <w:szCs w:val="21"/>
          <w14:textFill>
            <w14:solidFill>
              <w14:schemeClr w14:val="tx1"/>
            </w14:solidFill>
          </w14:textFill>
        </w:rPr>
        <w:t>履行时间</w:t>
      </w:r>
      <w:r>
        <w:rPr>
          <w:rFonts w:hint="eastAsia"/>
          <w:bCs/>
          <w:color w:val="000000" w:themeColor="text1"/>
          <w:sz w:val="21"/>
          <w:szCs w:val="21"/>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14:paraId="6A3C8176">
      <w:pPr>
        <w:pStyle w:val="22"/>
        <w:wordWrap w:val="0"/>
        <w:snapToGrid w:val="0"/>
        <w:spacing w:before="0" w:beforeAutospacing="0" w:after="0" w:afterAutospacing="0" w:line="360" w:lineRule="auto"/>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 xml:space="preserve">8.2 </w:t>
      </w:r>
      <w:r>
        <w:rPr>
          <w:rFonts w:hint="eastAsia"/>
          <w:color w:val="000000" w:themeColor="text1"/>
          <w:sz w:val="21"/>
          <w:szCs w:val="21"/>
          <w14:textFill>
            <w14:solidFill>
              <w14:schemeClr w14:val="tx1"/>
            </w14:solidFill>
          </w14:textFill>
        </w:rPr>
        <w:t>履行方式</w:t>
      </w:r>
      <w:r>
        <w:rPr>
          <w:rFonts w:hint="eastAsia"/>
          <w:bCs/>
          <w:color w:val="000000" w:themeColor="text1"/>
          <w:sz w:val="21"/>
          <w:szCs w:val="21"/>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14:paraId="74D0E02B">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 xml:space="preserve">8.3 </w:t>
      </w:r>
      <w:r>
        <w:rPr>
          <w:rFonts w:hint="eastAsia"/>
          <w:color w:val="000000" w:themeColor="text1"/>
          <w:sz w:val="21"/>
          <w:szCs w:val="21"/>
          <w14:textFill>
            <w14:solidFill>
              <w14:schemeClr w14:val="tx1"/>
            </w14:solidFill>
          </w14:textFill>
        </w:rPr>
        <w:t>履行地点</w:t>
      </w:r>
      <w:r>
        <w:rPr>
          <w:rFonts w:hint="eastAsia"/>
          <w:bCs/>
          <w:color w:val="000000" w:themeColor="text1"/>
          <w:sz w:val="21"/>
          <w:szCs w:val="21"/>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14:paraId="3246AAF6">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九、款项支付</w:t>
      </w:r>
    </w:p>
    <w:p w14:paraId="6A5044C0">
      <w:pPr>
        <w:pStyle w:val="22"/>
        <w:wordWrap w:val="0"/>
        <w:snapToGrid w:val="0"/>
        <w:spacing w:before="0" w:beforeAutospacing="0" w:after="0" w:afterAutospacing="0" w:line="360" w:lineRule="auto"/>
        <w:rPr>
          <w:color w:val="000000" w:themeColor="text1"/>
          <w:sz w:val="21"/>
          <w:szCs w:val="21"/>
          <w14:textFill>
            <w14:solidFill>
              <w14:schemeClr w14:val="tx1"/>
            </w14:solidFill>
          </w14:textFill>
        </w:rPr>
      </w:pPr>
      <w:r>
        <w:rPr>
          <w:rFonts w:hint="eastAsia"/>
          <w:bCs/>
          <w:color w:val="000000" w:themeColor="text1"/>
          <w:szCs w:val="21"/>
          <w14:textFill>
            <w14:solidFill>
              <w14:schemeClr w14:val="tx1"/>
            </w14:solidFill>
          </w14:textFill>
        </w:rPr>
        <w:t xml:space="preserve">9.1 </w:t>
      </w:r>
      <w:r>
        <w:rPr>
          <w:rFonts w:hint="eastAsia"/>
          <w:bCs/>
          <w:color w:val="000000" w:themeColor="text1"/>
          <w:sz w:val="21"/>
          <w:szCs w:val="21"/>
          <w14:textFill>
            <w14:solidFill>
              <w14:schemeClr w14:val="tx1"/>
            </w14:solidFill>
          </w14:textFill>
        </w:rPr>
        <w:t>付款方式：</w:t>
      </w:r>
    </w:p>
    <w:p w14:paraId="0D014BD7">
      <w:pPr>
        <w:wordWrap w:val="0"/>
        <w:snapToGrid w:val="0"/>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采购人在合同生效后7个工作日内支付中标人合同总价金额的40%作为合同预付款，安装调试完毕、且正常运行，在该项目验收合格后7个工作日内，支付合同总金额的60%（中标人于合同签订前书面承诺放弃预付款或降低预付款支付比例的，可不适用本条款且具体支付方式由双方在合同中自行约定）</w:t>
      </w:r>
    </w:p>
    <w:p w14:paraId="6521043C">
      <w:pPr>
        <w:wordWrap w:val="0"/>
        <w:snapToGrid w:val="0"/>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十、税费</w:t>
      </w:r>
    </w:p>
    <w:p w14:paraId="331C1033">
      <w:pPr>
        <w:wordWrap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10.1本合同执行中相关的一切税费均由乙方负担。</w:t>
      </w:r>
    </w:p>
    <w:p w14:paraId="69AB6DBE">
      <w:pPr>
        <w:pStyle w:val="22"/>
        <w:wordWrap w:val="0"/>
        <w:snapToGrid w:val="0"/>
        <w:spacing w:before="0" w:beforeAutospacing="0" w:after="0" w:afterAutospacing="0" w:line="360" w:lineRule="auto"/>
        <w:ind w:left="359" w:hanging="361" w:hangingChars="171"/>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十一、质量保证及后续服务</w:t>
      </w:r>
    </w:p>
    <w:p w14:paraId="6FEF00F0">
      <w:pPr>
        <w:pStyle w:val="22"/>
        <w:wordWrap w:val="0"/>
        <w:snapToGrid w:val="0"/>
        <w:spacing w:before="0" w:beforeAutospacing="0" w:after="0" w:afterAutospacing="0" w:line="360" w:lineRule="auto"/>
        <w:ind w:left="359" w:hanging="359" w:hangingChars="171"/>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 乙方应按采购文件规定向甲方提供服务。</w:t>
      </w:r>
    </w:p>
    <w:p w14:paraId="421832B7">
      <w:pPr>
        <w:pStyle w:val="22"/>
        <w:wordWrap w:val="0"/>
        <w:snapToGrid w:val="0"/>
        <w:spacing w:before="0" w:beforeAutospacing="0" w:after="0" w:afterAutospacing="0" w:line="360" w:lineRule="auto"/>
        <w:ind w:left="420" w:hanging="420" w:hanging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11.2 乙方提供的服务成果在服务质量保证期内发生故障，乙方应负责免费提供后续服务。对达不到要求者，根据实际情况，经双方协商，可按以下办法处理：</w:t>
      </w:r>
    </w:p>
    <w:p w14:paraId="341FAA93">
      <w:pPr>
        <w:pStyle w:val="22"/>
        <w:wordWrap w:val="0"/>
        <w:snapToGrid w:val="0"/>
        <w:spacing w:before="0" w:beforeAutospacing="0" w:after="0" w:afterAutospacing="0"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⑴重做：由乙方承担所发生的全部费用。</w:t>
      </w:r>
    </w:p>
    <w:p w14:paraId="2E0E013C">
      <w:pPr>
        <w:pStyle w:val="22"/>
        <w:wordWrap w:val="0"/>
        <w:snapToGrid w:val="0"/>
        <w:spacing w:before="0" w:beforeAutospacing="0" w:after="0" w:afterAutospacing="0"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⑵贬值处理：由甲乙双方合议定价。</w:t>
      </w:r>
    </w:p>
    <w:p w14:paraId="4BBB845A">
      <w:pPr>
        <w:pStyle w:val="22"/>
        <w:wordWrap w:val="0"/>
        <w:snapToGrid w:val="0"/>
        <w:spacing w:before="0" w:beforeAutospacing="0" w:after="0" w:afterAutospacing="0"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⑶解除合同。</w:t>
      </w:r>
    </w:p>
    <w:p w14:paraId="60AB13A3">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十二、违约责任</w:t>
      </w:r>
    </w:p>
    <w:p w14:paraId="51BD78BC">
      <w:pPr>
        <w:pStyle w:val="22"/>
        <w:wordWrap w:val="0"/>
        <w:snapToGrid w:val="0"/>
        <w:spacing w:before="0" w:beforeAutospacing="0" w:after="0" w:afterAutospacing="0" w:line="360" w:lineRule="auto"/>
        <w:ind w:left="359" w:hanging="359" w:hangingChars="171"/>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12.1 甲方无正当理由拒收接受服务的，甲方向乙方偿付合同款项百分之五作为违约金。</w:t>
      </w:r>
    </w:p>
    <w:p w14:paraId="25BBD0AD">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12.2 甲方无故逾期验收和办理款项支付手续的,甲方应按逾期付款总额每日万分之五向乙方支付违约金。</w:t>
      </w:r>
    </w:p>
    <w:p w14:paraId="249B4AFB">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12.3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2C1ECFC">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十三、不可抗力事件处理</w:t>
      </w:r>
    </w:p>
    <w:p w14:paraId="37A13996">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13.1 在合同有效期内，任何一方因不可抗力事件导致不能履行合同，则合同履行期可延长，其延长期与不可抗力影响期相同。</w:t>
      </w:r>
    </w:p>
    <w:p w14:paraId="163BFF97">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13.2 不可抗力事件发生后，应立即通知对方，并寄送有关权威机构出具的证明。</w:t>
      </w:r>
    </w:p>
    <w:p w14:paraId="5E79E20D">
      <w:pPr>
        <w:pStyle w:val="22"/>
        <w:wordWrap w:val="0"/>
        <w:snapToGrid w:val="0"/>
        <w:spacing w:before="0" w:beforeAutospacing="0" w:after="0" w:afterAutospacing="0" w:line="360" w:lineRule="auto"/>
        <w:ind w:left="420" w:hanging="420" w:hanging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13.3 不可抗力事件延续120天以上，双方应通过友好协商，确定是否继续履行合同。</w:t>
      </w:r>
    </w:p>
    <w:p w14:paraId="176074EE">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十四、诉讼</w:t>
      </w:r>
    </w:p>
    <w:p w14:paraId="2783A3EC">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14.1 双方在执行合同中所发生的一切争议，应通过协商解决。如协商不成，可向合同签订地法院起诉。</w:t>
      </w:r>
    </w:p>
    <w:p w14:paraId="1F575922">
      <w:pPr>
        <w:pStyle w:val="22"/>
        <w:wordWrap w:val="0"/>
        <w:snapToGrid w:val="0"/>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十五、合同生效及其它</w:t>
      </w:r>
    </w:p>
    <w:p w14:paraId="1CF22F63">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15.1 合同经双方法定代表人或授权委托代理人签字并加盖单位公章后生效。</w:t>
      </w:r>
    </w:p>
    <w:p w14:paraId="5A579A46">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15.2合同执行中涉及采购资金和采购内容修改或补充的，须经财政部门审批，并签书面补充协议报政府采购监督管理部门备案，方可作为主合同不可分割的一部分。</w:t>
      </w:r>
    </w:p>
    <w:p w14:paraId="488654A7">
      <w:pPr>
        <w:pStyle w:val="22"/>
        <w:wordWrap w:val="0"/>
        <w:snapToGrid w:val="0"/>
        <w:spacing w:before="0" w:beforeAutospacing="0" w:after="0" w:afterAutospacing="0" w:line="360" w:lineRule="auto"/>
        <w:ind w:left="420" w:hanging="420" w:hanging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15.3本合同未尽事宜，遵照《中华人民共和国民法典》有关条文执行。</w:t>
      </w:r>
    </w:p>
    <w:p w14:paraId="141E7115">
      <w:pPr>
        <w:pStyle w:val="22"/>
        <w:wordWrap w:val="0"/>
        <w:snapToGrid w:val="0"/>
        <w:spacing w:before="0" w:beforeAutospacing="0" w:after="0" w:afterAutospacing="0" w:line="360" w:lineRule="auto"/>
        <w:ind w:left="420" w:hanging="420" w:hanging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15.4 本合同正本一式两份，具有同等法律效力，甲乙双方各执一份；副本</w:t>
      </w:r>
      <w:r>
        <w:rPr>
          <w:rFonts w:hint="eastAsia"/>
          <w:b/>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份，(用途)。</w:t>
      </w:r>
    </w:p>
    <w:p w14:paraId="5114BBE5">
      <w:pPr>
        <w:pStyle w:val="22"/>
        <w:wordWrap w:val="0"/>
        <w:snapToGrid w:val="0"/>
        <w:spacing w:before="0" w:beforeAutospacing="0" w:after="0" w:afterAutospacing="0" w:line="360" w:lineRule="auto"/>
        <w:ind w:left="420" w:hanging="420" w:hangingChars="200"/>
        <w:rPr>
          <w:color w:val="000000" w:themeColor="text1"/>
          <w:sz w:val="21"/>
          <w:szCs w:val="21"/>
          <w14:textFill>
            <w14:solidFill>
              <w14:schemeClr w14:val="tx1"/>
            </w14:solidFill>
          </w14:textFill>
        </w:rPr>
      </w:pPr>
    </w:p>
    <w:p w14:paraId="2640373D">
      <w:pPr>
        <w:pStyle w:val="22"/>
        <w:wordWrap w:val="0"/>
        <w:snapToGrid w:val="0"/>
        <w:spacing w:before="0" w:beforeAutospacing="0" w:after="0" w:afterAutospacing="0" w:line="360" w:lineRule="auto"/>
        <w:ind w:left="420" w:hanging="420" w:hanging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甲方：                                   乙方： </w:t>
      </w:r>
    </w:p>
    <w:p w14:paraId="1D5144E6">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地址：                                   地址： </w:t>
      </w:r>
    </w:p>
    <w:p w14:paraId="003036B1">
      <w:pPr>
        <w:pStyle w:val="22"/>
        <w:wordWrap w:val="0"/>
        <w:snapToGrid w:val="0"/>
        <w:spacing w:before="0" w:beforeAutospacing="0" w:after="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法定代表人：                             法定代表人：</w:t>
      </w:r>
    </w:p>
    <w:p w14:paraId="0AAB4F58">
      <w:pPr>
        <w:wordWrap w:val="0"/>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签订日期：                               签订日期：</w:t>
      </w:r>
    </w:p>
    <w:p w14:paraId="36082B2B">
      <w:pPr>
        <w:wordWrap w:val="0"/>
        <w:spacing w:line="360" w:lineRule="auto"/>
        <w:jc w:val="center"/>
        <w:outlineLvl w:val="0"/>
        <w:rPr>
          <w:rFonts w:hint="eastAsia" w:ascii="宋体" w:hAnsi="宋体"/>
          <w:b/>
          <w:i w:val="0"/>
          <w:iCs w:val="0"/>
          <w:color w:val="000000" w:themeColor="text1"/>
          <w:sz w:val="32"/>
          <w:szCs w:val="24"/>
          <w14:textFill>
            <w14:solidFill>
              <w14:schemeClr w14:val="tx1"/>
            </w14:solidFill>
          </w14:textFill>
        </w:rPr>
      </w:pPr>
      <w:r>
        <w:rPr>
          <w:rFonts w:hint="eastAsia" w:ascii="宋体" w:hAnsi="宋体"/>
          <w:color w:val="000000" w:themeColor="text1"/>
          <w:sz w:val="28"/>
          <w:szCs w:val="30"/>
          <w14:textFill>
            <w14:solidFill>
              <w14:schemeClr w14:val="tx1"/>
            </w14:solidFill>
          </w14:textFill>
        </w:rPr>
        <w:br w:type="page"/>
      </w:r>
      <w:bookmarkStart w:id="51" w:name="_Toc102912966"/>
      <w:bookmarkStart w:id="52" w:name="_Toc7928"/>
      <w:r>
        <w:rPr>
          <w:rFonts w:hint="eastAsia" w:ascii="宋体" w:hAnsi="宋体"/>
          <w:b/>
          <w:i w:val="0"/>
          <w:iCs w:val="0"/>
          <w:color w:val="000000" w:themeColor="text1"/>
          <w:sz w:val="32"/>
          <w:szCs w:val="24"/>
          <w14:textFill>
            <w14:solidFill>
              <w14:schemeClr w14:val="tx1"/>
            </w14:solidFill>
          </w14:textFill>
        </w:rPr>
        <w:t xml:space="preserve">第五章  </w:t>
      </w:r>
      <w:bookmarkEnd w:id="51"/>
      <w:r>
        <w:rPr>
          <w:rFonts w:hint="eastAsia" w:ascii="宋体" w:hAnsi="宋体"/>
          <w:b/>
          <w:i w:val="0"/>
          <w:iCs w:val="0"/>
          <w:color w:val="000000" w:themeColor="text1"/>
          <w:sz w:val="32"/>
          <w:szCs w:val="24"/>
          <w14:textFill>
            <w14:solidFill>
              <w14:schemeClr w14:val="tx1"/>
            </w14:solidFill>
          </w14:textFill>
        </w:rPr>
        <w:t>采购需求</w:t>
      </w:r>
      <w:bookmarkEnd w:id="52"/>
    </w:p>
    <w:p w14:paraId="16F2AF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i w:val="0"/>
          <w:iCs w:val="0"/>
          <w:color w:val="000000" w:themeColor="text1"/>
          <w:kern w:val="2"/>
          <w:sz w:val="21"/>
          <w:szCs w:val="21"/>
          <w:lang w:val="en-US" w:eastAsia="zh-CN" w:bidi="ar-SA"/>
          <w14:textFill>
            <w14:solidFill>
              <w14:schemeClr w14:val="tx1"/>
            </w14:solidFill>
          </w14:textFill>
        </w:rPr>
      </w:pPr>
      <w:bookmarkStart w:id="53" w:name="_Toc102912976"/>
      <w:bookmarkStart w:id="54" w:name="_Toc216662965"/>
      <w:r>
        <w:rPr>
          <w:rFonts w:hint="eastAsia" w:ascii="宋体" w:hAnsi="宋体" w:eastAsia="宋体" w:cs="Times New Roman"/>
          <w:i w:val="0"/>
          <w:iCs w:val="0"/>
          <w:color w:val="000000" w:themeColor="text1"/>
          <w:kern w:val="2"/>
          <w:sz w:val="21"/>
          <w:szCs w:val="21"/>
          <w:lang w:val="en-US" w:eastAsia="zh-CN" w:bidi="ar-SA"/>
          <w14:textFill>
            <w14:solidFill>
              <w14:schemeClr w14:val="tx1"/>
            </w14:solidFill>
          </w14:textFill>
        </w:rPr>
        <w:t>一、</w:t>
      </w:r>
      <w:r>
        <w:rPr>
          <w:rFonts w:hint="eastAsia" w:ascii="宋体" w:hAnsi="宋体" w:cs="Times New Roman"/>
          <w:i w:val="0"/>
          <w:iCs w:val="0"/>
          <w:color w:val="000000" w:themeColor="text1"/>
          <w:kern w:val="2"/>
          <w:sz w:val="21"/>
          <w:szCs w:val="21"/>
          <w:lang w:val="en-US" w:eastAsia="zh-CN" w:bidi="ar-SA"/>
          <w14:textFill>
            <w14:solidFill>
              <w14:schemeClr w14:val="tx1"/>
            </w14:solidFill>
          </w14:textFill>
        </w:rPr>
        <w:t>项目核心目标</w:t>
      </w:r>
    </w:p>
    <w:p w14:paraId="29C8FC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cs="宋体"/>
          <w:sz w:val="21"/>
          <w:szCs w:val="21"/>
          <w:lang w:val="en-US" w:eastAsia="zh-CN"/>
        </w:rPr>
        <w:t>继续加强</w:t>
      </w:r>
      <w:r>
        <w:rPr>
          <w:rFonts w:hint="eastAsia" w:ascii="宋体" w:hAnsi="宋体" w:eastAsia="宋体" w:cs="宋体"/>
          <w:sz w:val="21"/>
          <w:szCs w:val="21"/>
        </w:rPr>
        <w:t>业务数据源在政务环境中</w:t>
      </w:r>
      <w:r>
        <w:rPr>
          <w:rFonts w:hint="eastAsia" w:ascii="宋体" w:hAnsi="宋体" w:cs="宋体"/>
          <w:sz w:val="21"/>
          <w:szCs w:val="21"/>
          <w:lang w:val="en-US" w:eastAsia="zh-CN"/>
        </w:rPr>
        <w:t>的</w:t>
      </w:r>
      <w:r>
        <w:rPr>
          <w:rFonts w:hint="eastAsia" w:ascii="宋体" w:hAnsi="宋体" w:eastAsia="宋体" w:cs="宋体"/>
          <w:sz w:val="21"/>
          <w:szCs w:val="21"/>
        </w:rPr>
        <w:t>整合，</w:t>
      </w:r>
      <w:r>
        <w:rPr>
          <w:rFonts w:hint="eastAsia" w:ascii="宋体" w:hAnsi="宋体" w:cs="宋体"/>
          <w:sz w:val="21"/>
          <w:szCs w:val="21"/>
          <w:lang w:val="en-US" w:eastAsia="zh-CN"/>
        </w:rPr>
        <w:t>并继续将</w:t>
      </w:r>
      <w:r>
        <w:rPr>
          <w:rFonts w:hint="eastAsia" w:ascii="宋体" w:hAnsi="宋体" w:eastAsia="宋体" w:cs="宋体"/>
          <w:sz w:val="21"/>
          <w:szCs w:val="21"/>
        </w:rPr>
        <w:t>各项工作开展线上填报，各类数据同步更新共享，实现对各项工作的“一</w:t>
      </w:r>
      <w:r>
        <w:rPr>
          <w:rFonts w:hint="eastAsia" w:ascii="宋体" w:hAnsi="宋体" w:cs="宋体"/>
          <w:sz w:val="21"/>
          <w:szCs w:val="21"/>
          <w:lang w:val="en-US" w:eastAsia="zh-CN"/>
        </w:rPr>
        <w:t>屏</w:t>
      </w:r>
      <w:r>
        <w:rPr>
          <w:rFonts w:hint="eastAsia" w:ascii="宋体" w:hAnsi="宋体" w:eastAsia="宋体" w:cs="宋体"/>
          <w:sz w:val="21"/>
          <w:szCs w:val="21"/>
        </w:rPr>
        <w:t>掌控，一键智达”，为进一步推进数字化改革和党建统领整体智治工作奠定坚实基础</w:t>
      </w:r>
    </w:p>
    <w:p w14:paraId="78A2B0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Times New Roman"/>
          <w:i w:val="0"/>
          <w:iCs w:val="0"/>
          <w:color w:val="000000" w:themeColor="text1"/>
          <w:kern w:val="2"/>
          <w:sz w:val="21"/>
          <w:szCs w:val="21"/>
          <w:lang w:val="en-US" w:eastAsia="zh-CN" w:bidi="ar-SA"/>
          <w14:textFill>
            <w14:solidFill>
              <w14:schemeClr w14:val="tx1"/>
            </w14:solidFill>
          </w14:textFill>
        </w:rPr>
      </w:pPr>
      <w:r>
        <w:rPr>
          <w:rFonts w:hint="eastAsia" w:ascii="宋体" w:hAnsi="宋体" w:cs="Times New Roman"/>
          <w:i w:val="0"/>
          <w:iCs w:val="0"/>
          <w:color w:val="000000" w:themeColor="text1"/>
          <w:kern w:val="2"/>
          <w:sz w:val="21"/>
          <w:szCs w:val="21"/>
          <w:lang w:val="en-US" w:eastAsia="zh-CN" w:bidi="ar-SA"/>
          <w14:textFill>
            <w14:solidFill>
              <w14:schemeClr w14:val="tx1"/>
            </w14:solidFill>
          </w14:textFill>
        </w:rPr>
        <w:t>二、项目功能要求</w:t>
      </w:r>
    </w:p>
    <w:p w14:paraId="796FB55E">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eastAsia"/>
          <w:sz w:val="21"/>
          <w:szCs w:val="21"/>
          <w:lang w:val="en-US" w:eastAsia="zh-CN"/>
        </w:rPr>
      </w:pPr>
      <w:r>
        <w:rPr>
          <w:rFonts w:hint="eastAsia"/>
          <w:sz w:val="21"/>
          <w:szCs w:val="21"/>
          <w:lang w:val="en-US" w:eastAsia="zh-CN"/>
        </w:rPr>
        <w:t>实现重点关注项目的进展展示，以及整体进度月度更新展示。</w:t>
      </w:r>
    </w:p>
    <w:p w14:paraId="2F46705A">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default"/>
          <w:sz w:val="21"/>
          <w:szCs w:val="21"/>
          <w:highlight w:val="none"/>
          <w:lang w:val="en-US" w:eastAsia="zh-CN"/>
        </w:rPr>
      </w:pPr>
      <w:r>
        <w:rPr>
          <w:rFonts w:hint="eastAsia"/>
          <w:sz w:val="21"/>
          <w:szCs w:val="21"/>
          <w:highlight w:val="none"/>
          <w:lang w:val="en-US" w:eastAsia="zh-CN"/>
        </w:rPr>
        <w:t>实现晾晒功能的完善，增加滞后项目滞后情况以及下步计划等。</w:t>
      </w:r>
    </w:p>
    <w:p w14:paraId="2A6B94A8">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default"/>
          <w:sz w:val="21"/>
          <w:szCs w:val="21"/>
          <w:highlight w:val="none"/>
          <w:lang w:val="en-US" w:eastAsia="zh-CN"/>
        </w:rPr>
      </w:pPr>
      <w:r>
        <w:rPr>
          <w:rFonts w:hint="eastAsia"/>
          <w:sz w:val="21"/>
          <w:szCs w:val="21"/>
          <w:highlight w:val="none"/>
          <w:lang w:val="en-US" w:eastAsia="zh-CN"/>
        </w:rPr>
        <w:t>实现</w:t>
      </w:r>
      <w:r>
        <w:rPr>
          <w:rFonts w:hint="eastAsia" w:ascii="宋体" w:hAnsi="宋体" w:cs="宋体"/>
          <w:kern w:val="2"/>
          <w:sz w:val="21"/>
          <w:szCs w:val="21"/>
          <w:lang w:val="en-US" w:eastAsia="zh-CN" w:bidi="ar-SA"/>
        </w:rPr>
        <w:t>“六促六优专项行动”的“专报”、“简报”的展示，包含每月项目、经济指标、考核得分、招商引资、稳商扩资等进展情况</w:t>
      </w:r>
      <w:r>
        <w:rPr>
          <w:rFonts w:hint="eastAsia"/>
          <w:sz w:val="21"/>
          <w:szCs w:val="21"/>
          <w:highlight w:val="none"/>
          <w:lang w:val="en-US" w:eastAsia="zh-CN"/>
        </w:rPr>
        <w:t>。</w:t>
      </w:r>
    </w:p>
    <w:p w14:paraId="2783209C">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default"/>
          <w:sz w:val="21"/>
          <w:szCs w:val="21"/>
          <w:highlight w:val="none"/>
          <w:lang w:val="en-US" w:eastAsia="zh-CN"/>
        </w:rPr>
      </w:pPr>
      <w:r>
        <w:rPr>
          <w:rFonts w:hint="eastAsia"/>
          <w:sz w:val="21"/>
          <w:szCs w:val="21"/>
          <w:highlight w:val="none"/>
          <w:lang w:val="en-US" w:eastAsia="zh-CN"/>
        </w:rPr>
        <w:t>实现</w:t>
      </w:r>
      <w:r>
        <w:rPr>
          <w:rFonts w:hint="eastAsia" w:ascii="宋体" w:hAnsi="宋体" w:cs="宋体"/>
          <w:kern w:val="2"/>
          <w:sz w:val="21"/>
          <w:szCs w:val="21"/>
          <w:lang w:val="en-US" w:eastAsia="zh-CN" w:bidi="ar-SA"/>
        </w:rPr>
        <w:t>“六促六优专项行动”有关新闻动态的展示</w:t>
      </w:r>
      <w:r>
        <w:rPr>
          <w:rFonts w:hint="eastAsia"/>
          <w:sz w:val="21"/>
          <w:szCs w:val="21"/>
          <w:highlight w:val="none"/>
          <w:lang w:val="en-US" w:eastAsia="zh-CN"/>
        </w:rPr>
        <w:t>。</w:t>
      </w:r>
    </w:p>
    <w:p w14:paraId="66839477">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default"/>
          <w:sz w:val="21"/>
          <w:szCs w:val="21"/>
          <w:highlight w:val="none"/>
          <w:lang w:val="en-US" w:eastAsia="zh-CN"/>
        </w:rPr>
      </w:pPr>
      <w:r>
        <w:rPr>
          <w:rFonts w:hint="eastAsia"/>
          <w:sz w:val="21"/>
          <w:szCs w:val="21"/>
          <w:highlight w:val="none"/>
          <w:lang w:val="en-US" w:eastAsia="zh-CN"/>
        </w:rPr>
        <w:t>实现</w:t>
      </w:r>
      <w:r>
        <w:rPr>
          <w:rFonts w:hint="eastAsia" w:ascii="宋体" w:hAnsi="宋体" w:cs="宋体"/>
          <w:kern w:val="2"/>
          <w:sz w:val="21"/>
          <w:szCs w:val="21"/>
          <w:lang w:val="en-US" w:eastAsia="zh-CN" w:bidi="ar-SA"/>
        </w:rPr>
        <w:t>“创改开”指标情况的晾晒</w:t>
      </w:r>
      <w:r>
        <w:rPr>
          <w:rFonts w:hint="eastAsia"/>
          <w:sz w:val="21"/>
          <w:szCs w:val="21"/>
          <w:highlight w:val="none"/>
          <w:lang w:val="en-US" w:eastAsia="zh-CN"/>
        </w:rPr>
        <w:t>。</w:t>
      </w:r>
    </w:p>
    <w:p w14:paraId="7C6FFE29">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sz w:val="21"/>
          <w:szCs w:val="21"/>
          <w:highlight w:val="none"/>
          <w:lang w:val="en-US" w:eastAsia="zh-CN"/>
        </w:rPr>
        <w:t>实现</w:t>
      </w:r>
      <w:r>
        <w:rPr>
          <w:rFonts w:hint="eastAsia" w:ascii="宋体" w:hAnsi="宋体" w:cs="宋体"/>
          <w:kern w:val="2"/>
          <w:sz w:val="21"/>
          <w:szCs w:val="21"/>
          <w:lang w:val="en-US" w:eastAsia="zh-CN" w:bidi="ar-SA"/>
        </w:rPr>
        <w:t>北仑区征迁重点项目“拔钉清零”完成情况等晾晒</w:t>
      </w:r>
      <w:r>
        <w:rPr>
          <w:rFonts w:hint="eastAsia"/>
          <w:sz w:val="21"/>
          <w:szCs w:val="21"/>
          <w:highlight w:val="none"/>
          <w:lang w:val="en-US" w:eastAsia="zh-CN"/>
        </w:rPr>
        <w:t>。</w:t>
      </w:r>
    </w:p>
    <w:p w14:paraId="3AA7653C">
      <w:pPr>
        <w:pStyle w:val="164"/>
        <w:pageBreakBefore w:val="0"/>
        <w:widowControl w:val="0"/>
        <w:numPr>
          <w:ilvl w:val="0"/>
          <w:numId w:val="7"/>
        </w:numPr>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sz w:val="21"/>
          <w:szCs w:val="21"/>
          <w:highlight w:val="none"/>
          <w:lang w:val="en-US" w:eastAsia="zh-CN"/>
        </w:rPr>
        <w:t>实现</w:t>
      </w:r>
      <w:r>
        <w:rPr>
          <w:rFonts w:hint="eastAsia" w:ascii="宋体" w:hAnsi="宋体" w:cs="宋体"/>
          <w:kern w:val="2"/>
          <w:sz w:val="21"/>
          <w:szCs w:val="21"/>
          <w:lang w:val="en-US" w:eastAsia="zh-CN" w:bidi="ar-SA"/>
        </w:rPr>
        <w:t>平台数据的维护管理功能的完善和管理功能</w:t>
      </w:r>
    </w:p>
    <w:p w14:paraId="6E2731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三、采购清单</w:t>
      </w:r>
    </w:p>
    <w:tbl>
      <w:tblPr>
        <w:tblStyle w:val="4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
        <w:gridCol w:w="2607"/>
        <w:gridCol w:w="5524"/>
      </w:tblGrid>
      <w:tr w14:paraId="13D1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shd w:val="clear" w:color="auto" w:fill="DCD8C2" w:themeFill="background2" w:themeFillShade="E5"/>
            <w:noWrap w:val="0"/>
            <w:vAlign w:val="center"/>
          </w:tcPr>
          <w:p w14:paraId="432148C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436" w:type="pct"/>
            <w:tcBorders>
              <w:top w:val="single" w:color="000000" w:sz="4" w:space="0"/>
              <w:left w:val="single" w:color="000000" w:sz="4" w:space="0"/>
              <w:bottom w:val="single" w:color="000000" w:sz="4" w:space="0"/>
              <w:right w:val="single" w:color="000000" w:sz="4" w:space="0"/>
              <w:tl2br w:val="nil"/>
              <w:tr2bl w:val="nil"/>
            </w:tcBorders>
            <w:shd w:val="clear" w:color="auto" w:fill="DCD8C2" w:themeFill="background2" w:themeFillShade="E5"/>
            <w:noWrap w:val="0"/>
            <w:vAlign w:val="center"/>
          </w:tcPr>
          <w:p w14:paraId="7B1240C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建设内容</w:t>
            </w:r>
          </w:p>
        </w:tc>
        <w:tc>
          <w:tcPr>
            <w:tcW w:w="3044" w:type="pct"/>
            <w:tcBorders>
              <w:top w:val="single" w:color="000000" w:sz="4" w:space="0"/>
              <w:left w:val="single" w:color="000000" w:sz="4" w:space="0"/>
              <w:bottom w:val="single" w:color="000000" w:sz="4" w:space="0"/>
              <w:right w:val="single" w:color="000000" w:sz="4" w:space="0"/>
              <w:tl2br w:val="nil"/>
              <w:tr2bl w:val="nil"/>
            </w:tcBorders>
            <w:shd w:val="clear" w:color="auto" w:fill="DCD8C2" w:themeFill="background2" w:themeFillShade="E5"/>
            <w:noWrap w:val="0"/>
            <w:vAlign w:val="center"/>
          </w:tcPr>
          <w:p w14:paraId="544D0DC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color w:val="000000"/>
                <w:sz w:val="21"/>
                <w:szCs w:val="21"/>
                <w:lang w:val="en-US" w:eastAsia="zh-Hans"/>
              </w:rPr>
            </w:pPr>
            <w:r>
              <w:rPr>
                <w:rFonts w:hint="eastAsia" w:ascii="宋体" w:hAnsi="宋体" w:eastAsia="宋体" w:cs="宋体"/>
                <w:b/>
                <w:color w:val="000000"/>
                <w:sz w:val="21"/>
                <w:szCs w:val="21"/>
                <w:lang w:val="en-US" w:eastAsia="zh-Hans"/>
              </w:rPr>
              <w:t>功能说明</w:t>
            </w:r>
          </w:p>
        </w:tc>
      </w:tr>
      <w:tr w14:paraId="0D69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7504FE">
            <w:pPr>
              <w:jc w:val="center"/>
              <w:rPr>
                <w:rFonts w:hint="eastAsia" w:ascii="宋体" w:hAnsi="宋体" w:eastAsia="宋体" w:cs="宋体"/>
                <w:b/>
                <w:bCs/>
              </w:rPr>
            </w:pPr>
            <w:r>
              <w:rPr>
                <w:rFonts w:hint="eastAsia" w:ascii="宋体" w:hAnsi="宋体" w:eastAsia="宋体" w:cs="宋体"/>
                <w:b/>
                <w:bCs/>
              </w:rPr>
              <w:t>一</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59047C">
            <w:pPr>
              <w:jc w:val="center"/>
              <w:rPr>
                <w:rFonts w:hint="eastAsia" w:ascii="宋体" w:hAnsi="宋体" w:eastAsia="宋体" w:cs="宋体"/>
                <w:b/>
                <w:bCs/>
              </w:rPr>
            </w:pPr>
            <w:r>
              <w:rPr>
                <w:rFonts w:hint="eastAsia" w:ascii="宋体" w:hAnsi="宋体" w:eastAsia="宋体" w:cs="宋体"/>
                <w:b/>
                <w:bCs/>
              </w:rPr>
              <w:t>业务应用体系建设</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D4412C">
            <w:pPr>
              <w:jc w:val="left"/>
              <w:rPr>
                <w:rFonts w:hint="eastAsia" w:ascii="宋体" w:hAnsi="宋体" w:eastAsia="宋体" w:cs="宋体"/>
                <w:b/>
                <w:bCs/>
              </w:rPr>
            </w:pPr>
          </w:p>
        </w:tc>
      </w:tr>
      <w:tr w14:paraId="0E53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245D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（一）</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92624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浙政钉应用手机端</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F142D9">
            <w:pPr>
              <w:keepNext w:val="0"/>
              <w:keepLines w:val="0"/>
              <w:pageBreakBefore w:val="0"/>
              <w:widowControl/>
              <w:kinsoku/>
              <w:wordWrap/>
              <w:overflowPunct/>
              <w:topLinePunct w:val="0"/>
              <w:autoSpaceDE/>
              <w:autoSpaceDN/>
              <w:bidi w:val="0"/>
              <w:adjustRightInd/>
              <w:snapToGrid/>
              <w:spacing w:beforeLines="0" w:afterLines="0" w:line="240" w:lineRule="exact"/>
              <w:ind w:firstLine="1687" w:firstLineChars="800"/>
              <w:jc w:val="both"/>
              <w:textAlignment w:val="center"/>
              <w:rPr>
                <w:rFonts w:hint="eastAsia" w:ascii="宋体" w:hAnsi="宋体" w:eastAsia="宋体" w:cs="宋体"/>
                <w:b/>
                <w:bCs w:val="0"/>
                <w:color w:val="000000"/>
                <w:sz w:val="21"/>
                <w:szCs w:val="21"/>
                <w:lang w:val="en-US" w:eastAsia="zh-CN"/>
              </w:rPr>
            </w:pPr>
          </w:p>
        </w:tc>
      </w:tr>
      <w:tr w14:paraId="7452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066F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val="0"/>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068C7">
            <w:pPr>
              <w:spacing w:line="240" w:lineRule="auto"/>
              <w:ind w:firstLine="0" w:firstLineChars="0"/>
              <w:jc w:val="center"/>
              <w:rPr>
                <w:rFonts w:hint="eastAsia"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总体进度</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ED9E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val="0"/>
                <w:color w:val="000000"/>
                <w:kern w:val="2"/>
                <w:sz w:val="21"/>
                <w:szCs w:val="21"/>
                <w:lang w:val="en-US" w:eastAsia="zh-CN" w:bidi="ar-SA"/>
              </w:rPr>
            </w:pPr>
          </w:p>
        </w:tc>
      </w:tr>
      <w:tr w14:paraId="25F4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2968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DD69C">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时间选择页面</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2D6FB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总体进度年度及月度数据统计。</w:t>
            </w:r>
          </w:p>
        </w:tc>
      </w:tr>
      <w:tr w14:paraId="7E29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2B45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8CD3E">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重点工作任务书及清单化项目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A2C2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展示重点工作任务书及清单化项目下所有项目各状态统计数据。</w:t>
            </w:r>
          </w:p>
        </w:tc>
      </w:tr>
      <w:tr w14:paraId="502F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7E12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C2EE7">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项目总数统计</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4879D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p>
        </w:tc>
      </w:tr>
      <w:tr w14:paraId="7FDB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A23B8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C2677">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正常状态统计</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1642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p>
        </w:tc>
      </w:tr>
      <w:tr w14:paraId="119F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4566D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837D4">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超期状态统计</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669A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p>
        </w:tc>
      </w:tr>
      <w:tr w14:paraId="6FDB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E3C9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E8894">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滞后状态统计</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ABBC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p>
        </w:tc>
      </w:tr>
      <w:tr w14:paraId="52EF6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55799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3499EC">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办结状态统计</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C9D2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p>
        </w:tc>
      </w:tr>
      <w:tr w14:paraId="40F0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BF448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F2F6A7">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各协调小组下项目情况</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A1E94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展示各协调小组下所有项目各状态统计数据，包括产业争优、项目争优、改革争优、共富争优、治理争优、党建争优等六个协调小组。</w:t>
            </w:r>
          </w:p>
        </w:tc>
      </w:tr>
      <w:tr w14:paraId="1DBD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1B0A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C8CE17">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产业争优</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C645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产业争优下正常、超前、滞后、办结数量统计。</w:t>
            </w:r>
          </w:p>
        </w:tc>
      </w:tr>
      <w:tr w14:paraId="6BF3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45E9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DED58B">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项目争优</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BDF59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产业争优下正常、超前、滞后、办结数量统计。</w:t>
            </w:r>
          </w:p>
        </w:tc>
      </w:tr>
      <w:tr w14:paraId="06DF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E8EEE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387B1">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改革争优</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89B5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产业争优下正常、超前、滞后、办结数量统计。</w:t>
            </w:r>
          </w:p>
        </w:tc>
      </w:tr>
      <w:tr w14:paraId="4E32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ABFD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59522E">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共富争优</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3FF9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产业争优下正常、超前、滞后、办结数量统计。</w:t>
            </w:r>
          </w:p>
        </w:tc>
      </w:tr>
      <w:tr w14:paraId="289A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106E4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DCF7D6">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治理争优</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6ABA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产业争优下正常、超前、滞后、办结数量统计。</w:t>
            </w:r>
          </w:p>
        </w:tc>
      </w:tr>
      <w:tr w14:paraId="7AA6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85B9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F4AE7">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党建争优</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B218A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产业争优下正常、超前、滞后、办结数量统计。</w:t>
            </w:r>
          </w:p>
        </w:tc>
      </w:tr>
      <w:tr w14:paraId="4941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ADC3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973696">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各状态列表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6CB22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p>
        </w:tc>
      </w:tr>
      <w:tr w14:paraId="3A55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81FE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6A5D3">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重点工作任务书及清单化项目列表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6B66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归集和整理“六促六优”一期系统页面数据，按月归集和整理。</w:t>
            </w:r>
          </w:p>
        </w:tc>
      </w:tr>
      <w:tr w14:paraId="45A8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811EE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0EEB23">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各协调小组项目总数列表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ACA1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归集和整理“六促六优”一期系统页面数据，按月归集和整理。</w:t>
            </w:r>
          </w:p>
        </w:tc>
      </w:tr>
      <w:tr w14:paraId="265F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88F4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AF4F7">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各协调小组每个状态下列表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2232D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调用“六促六优”一期系统页面数据，按月归集和整理。</w:t>
            </w:r>
          </w:p>
        </w:tc>
      </w:tr>
      <w:tr w14:paraId="581E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2319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4B8C2">
            <w:pPr>
              <w:spacing w:line="240" w:lineRule="auto"/>
              <w:ind w:firstLine="0" w:firstLineChars="0"/>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项目详情</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6AD8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调用“六促六优”一期系统页面数据，按月归集和整理。</w:t>
            </w:r>
          </w:p>
        </w:tc>
      </w:tr>
      <w:tr w14:paraId="6CD8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CF61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60CAF">
            <w:pPr>
              <w:spacing w:line="240" w:lineRule="auto"/>
              <w:ind w:firstLine="0" w:firstLineChars="0"/>
              <w:jc w:val="center"/>
              <w:rPr>
                <w:rFonts w:hint="eastAsia"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专报简报</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0F8DB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val="0"/>
                <w:color w:val="000000"/>
                <w:sz w:val="21"/>
                <w:szCs w:val="21"/>
                <w:lang w:val="en-US" w:eastAsia="zh-CN"/>
              </w:rPr>
            </w:pPr>
          </w:p>
        </w:tc>
      </w:tr>
      <w:tr w14:paraId="1AB9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E12049">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C40D4B">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专报</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4594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2557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71C78">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D63CB">
            <w:pPr>
              <w:spacing w:line="240" w:lineRule="auto"/>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lang w:val="en-US" w:eastAsia="zh-CN"/>
              </w:rPr>
              <w:t>时间、期数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03AC7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展示年度、月度、期数选择。</w:t>
            </w:r>
          </w:p>
        </w:tc>
      </w:tr>
      <w:tr w14:paraId="2BE2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14E88">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3E861">
            <w:pPr>
              <w:spacing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lang w:val="en-US" w:eastAsia="zh-CN"/>
              </w:rPr>
              <w:t>内容展示</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4431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展示每一期内容。</w:t>
            </w:r>
          </w:p>
        </w:tc>
      </w:tr>
      <w:tr w14:paraId="1281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DDB28">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0A0FE">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sz w:val="21"/>
                <w:szCs w:val="21"/>
                <w:lang w:val="en-US" w:eastAsia="zh-CN"/>
              </w:rPr>
              <w:t>简报</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AE2E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210F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5CD4B">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3C544C">
            <w:pPr>
              <w:spacing w:line="240" w:lineRule="auto"/>
              <w:ind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lang w:val="en-US" w:eastAsia="zh-CN"/>
              </w:rPr>
              <w:t>时间、期数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7D2C0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展示年度、月度、期数选择。</w:t>
            </w:r>
          </w:p>
        </w:tc>
      </w:tr>
      <w:tr w14:paraId="20C6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AABC6">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2CACB0">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内容展示</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8537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展示每一期内容。</w:t>
            </w:r>
          </w:p>
        </w:tc>
      </w:tr>
      <w:tr w14:paraId="58B4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1FF06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C61C6">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宣传报道</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BC54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rPr>
            </w:pPr>
          </w:p>
        </w:tc>
      </w:tr>
      <w:tr w14:paraId="30DD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EC066">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045E0">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主页</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0C29A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展示“六促六优”专项行动相关新闻要点简要列表。</w:t>
            </w:r>
          </w:p>
        </w:tc>
      </w:tr>
      <w:tr w14:paraId="6E82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7C542">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8879D">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更多动态</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A7AA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展示“六促六优”专项行动相关新闻要点所有列表。</w:t>
            </w:r>
          </w:p>
        </w:tc>
      </w:tr>
      <w:tr w14:paraId="2274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3C032">
            <w:pPr>
              <w:spacing w:line="240" w:lineRule="auto"/>
              <w:ind w:firstLine="0" w:firstLineChars="0"/>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D0FAE">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详情页</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2114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展示“六促六优”专项行动相关新闻动态具体内容。</w:t>
            </w:r>
          </w:p>
        </w:tc>
      </w:tr>
      <w:tr w14:paraId="08D6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A6713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4</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64A96">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“创改开”指标</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499E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rPr>
            </w:pPr>
          </w:p>
        </w:tc>
      </w:tr>
      <w:tr w14:paraId="2324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CE925">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46384">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基础数据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3CB3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6D01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23357">
            <w:pPr>
              <w:spacing w:line="240" w:lineRule="auto"/>
              <w:ind w:firstLine="0" w:firstLineChars="0"/>
              <w:jc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4D75E">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表格</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8AA8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展示指标名称、责任部门、总量、增速（占比）、省市排名等。</w:t>
            </w:r>
          </w:p>
        </w:tc>
      </w:tr>
      <w:tr w14:paraId="4E99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8BDCA">
            <w:pPr>
              <w:spacing w:line="240" w:lineRule="auto"/>
              <w:ind w:firstLine="0" w:firstLineChars="0"/>
              <w:jc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757C0">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颜色标记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DB91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不同颜色标注数据。</w:t>
            </w:r>
          </w:p>
        </w:tc>
      </w:tr>
      <w:tr w14:paraId="39F4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F3A0EB">
            <w:pPr>
              <w:spacing w:line="240" w:lineRule="auto"/>
              <w:ind w:firstLine="0" w:firstLineChars="0"/>
              <w:jc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ADE04">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图文备注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D4B5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备注数据。</w:t>
            </w:r>
          </w:p>
        </w:tc>
      </w:tr>
      <w:tr w14:paraId="7A02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A646D">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9E0DFA">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历史数据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0C49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展示以往年度下每一季度数据。</w:t>
            </w:r>
          </w:p>
        </w:tc>
      </w:tr>
      <w:tr w14:paraId="6270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425DC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5</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5DA5B0">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拔钉清零</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BB7B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color w:val="000000"/>
                <w:sz w:val="21"/>
                <w:szCs w:val="21"/>
              </w:rPr>
            </w:pPr>
          </w:p>
        </w:tc>
      </w:tr>
      <w:tr w14:paraId="34B6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6661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15E84">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基础数据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4911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3AC1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33DC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75D02">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表格</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7BFD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展示部门、项目名称、拆迁户数、完成情况（本期完成、累计完成、剩余户数）、完成时限等。</w:t>
            </w:r>
          </w:p>
        </w:tc>
      </w:tr>
      <w:tr w14:paraId="27B8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F50A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B60F6">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颜色标注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0210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不同颜色标注数据。</w:t>
            </w:r>
          </w:p>
        </w:tc>
      </w:tr>
      <w:tr w14:paraId="2F73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6E2F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CB4AE">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备注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45EB2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备注数据。</w:t>
            </w:r>
          </w:p>
        </w:tc>
      </w:tr>
      <w:tr w14:paraId="2114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EB52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C68B7">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历史数据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772F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展示以往年度下每月数据。</w:t>
            </w:r>
          </w:p>
        </w:tc>
      </w:tr>
      <w:tr w14:paraId="420E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2936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6</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95ED8">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原系统部分模块优化</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4FA27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color w:val="000000"/>
                <w:sz w:val="21"/>
                <w:szCs w:val="21"/>
              </w:rPr>
            </w:pPr>
          </w:p>
        </w:tc>
      </w:tr>
      <w:tr w14:paraId="7E55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CC50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B9267">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滞后项目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4359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在原有基础上增加滞后情况、下步计划展示等。</w:t>
            </w:r>
          </w:p>
        </w:tc>
      </w:tr>
      <w:tr w14:paraId="0C2D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93744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DD187">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绿榜项目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C9D8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增加项目描述、牵头单位描述功能。</w:t>
            </w:r>
          </w:p>
        </w:tc>
      </w:tr>
      <w:tr w14:paraId="54F85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1AC5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35050">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2DAA7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展示招商引资下年份、月份、类别、排名、考核单位、考核分数等数据；展示稳商扩资下年份、月份、街道、已开工数量、累加数量、新增建筑面积、已开工项目预计投资总额。</w:t>
            </w:r>
          </w:p>
        </w:tc>
      </w:tr>
      <w:tr w14:paraId="2390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7B60D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D0766">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UI界面</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2782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设计新页面UI，以及对原一期部分UI界面进行重新布局和设计。</w:t>
            </w:r>
          </w:p>
        </w:tc>
      </w:tr>
      <w:tr w14:paraId="690C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9D9A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69A24">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主页</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AB3EE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原一期UI优化，增加二期新板块入口。</w:t>
            </w:r>
          </w:p>
        </w:tc>
      </w:tr>
      <w:tr w14:paraId="2FF3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C065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46CA6C">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总体进度</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490A2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新页面，包括时间选择页、详情页。</w:t>
            </w:r>
          </w:p>
        </w:tc>
      </w:tr>
      <w:tr w14:paraId="23C9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90F21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4188C">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专报简报</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C512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新页面，包括时间选择页。</w:t>
            </w:r>
          </w:p>
        </w:tc>
      </w:tr>
      <w:tr w14:paraId="7492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00211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F5E51C">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宣传报道</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E364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新页面，包括主页、各板块主页、详情页。</w:t>
            </w:r>
          </w:p>
        </w:tc>
      </w:tr>
      <w:tr w14:paraId="676D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0C99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2FBDF8">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“创改开”指标</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D3BB5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新页面，包括时间选择页、详情页。</w:t>
            </w:r>
          </w:p>
        </w:tc>
      </w:tr>
      <w:tr w14:paraId="69D3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4B6A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B7FD2">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FE0AE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原一期UI优化，包括时间选择、详情页。</w:t>
            </w:r>
          </w:p>
        </w:tc>
      </w:tr>
      <w:tr w14:paraId="721C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33AB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601156">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拔钉清零</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5C6E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新页面，包括时间选择页、详情页。</w:t>
            </w:r>
          </w:p>
        </w:tc>
      </w:tr>
      <w:tr w14:paraId="7CD7B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A4D4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lang w:val="en-US" w:eastAsia="zh-CN" w:bidi="ar-SA"/>
              </w:rPr>
            </w:pPr>
            <w:r>
              <w:rPr>
                <w:rFonts w:hint="eastAsia" w:ascii="宋体" w:hAnsi="宋体" w:eastAsia="宋体" w:cs="宋体"/>
                <w:b/>
                <w:bCs w:val="0"/>
                <w:color w:val="000000"/>
                <w:sz w:val="21"/>
                <w:szCs w:val="21"/>
              </w:rPr>
              <w:t>（二）</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5037D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lang w:val="en-US" w:eastAsia="zh-CN" w:bidi="ar-SA"/>
              </w:rPr>
            </w:pPr>
            <w:r>
              <w:rPr>
                <w:rFonts w:hint="eastAsia" w:ascii="宋体" w:hAnsi="宋体" w:eastAsia="宋体" w:cs="宋体"/>
                <w:b/>
                <w:bCs w:val="0"/>
                <w:color w:val="000000"/>
                <w:sz w:val="21"/>
                <w:szCs w:val="21"/>
                <w:lang w:val="en-US" w:eastAsia="zh-CN" w:bidi="ar-SA"/>
              </w:rPr>
              <w:t xml:space="preserve"> 浙政钉应用后台管理端</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8DCF7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bCs w:val="0"/>
                <w:color w:val="000000"/>
                <w:sz w:val="21"/>
                <w:szCs w:val="21"/>
                <w:lang w:val="en-US" w:eastAsia="zh-CN"/>
              </w:rPr>
            </w:pPr>
          </w:p>
        </w:tc>
      </w:tr>
      <w:tr w14:paraId="66C5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9126A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0A1E1">
            <w:pPr>
              <w:spacing w:line="240" w:lineRule="auto"/>
              <w:ind w:firstLine="0" w:firstLineChars="0"/>
              <w:jc w:val="center"/>
              <w:rPr>
                <w:rFonts w:hint="eastAsia"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专报简报</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26C5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val="0"/>
                <w:color w:val="000000"/>
                <w:sz w:val="21"/>
                <w:szCs w:val="21"/>
              </w:rPr>
            </w:pPr>
          </w:p>
        </w:tc>
      </w:tr>
      <w:tr w14:paraId="21D8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BB02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396A8">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数据列表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6C0B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展示所有专报简报数据列表。</w:t>
            </w:r>
          </w:p>
        </w:tc>
      </w:tr>
      <w:tr w14:paraId="6B47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2714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4A942">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数据查询</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7F5C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快速定位到关注的专报简报数据。</w:t>
            </w:r>
          </w:p>
        </w:tc>
      </w:tr>
      <w:tr w14:paraId="0A64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8A7A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D7DBD0">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基础信息维护管理</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EAE9D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7C4E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B66F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A5B7AB">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新增</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3D05D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创建新的专报条目，包括年度、月份、类型、期数、具体内容等数据。</w:t>
            </w:r>
          </w:p>
        </w:tc>
      </w:tr>
      <w:tr w14:paraId="4D56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83135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E8F0F5">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修改</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A11A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修改原有专报条目，包括年度、月份、类型、期数、具体内容等数据。</w:t>
            </w:r>
          </w:p>
        </w:tc>
      </w:tr>
      <w:tr w14:paraId="1D21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39FA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40134">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删除</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AAB9B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删除专报条目</w:t>
            </w:r>
          </w:p>
        </w:tc>
      </w:tr>
      <w:tr w14:paraId="6DE0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C8AAC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val="0"/>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91F81">
            <w:pPr>
              <w:spacing w:line="240" w:lineRule="auto"/>
              <w:ind w:firstLine="0" w:firstLineChars="0"/>
              <w:jc w:val="center"/>
              <w:rPr>
                <w:rFonts w:hint="eastAsia"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宣传报道</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3A59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56EB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2E008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381DA">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数据列表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7D4B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展示所有新闻动态数据列表。</w:t>
            </w:r>
          </w:p>
        </w:tc>
      </w:tr>
      <w:tr w14:paraId="3144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EEA3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AF934">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数据查询</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2EE5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快速定位到关注的新闻动态数据。</w:t>
            </w:r>
          </w:p>
        </w:tc>
      </w:tr>
      <w:tr w14:paraId="7F35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24C4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4EEB7D">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基础信息维护管理</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82AA6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对新闻动态数据进行新增、修改、删除等操作，其中包括类别、标题、时间、记者、内容、图片等</w:t>
            </w:r>
          </w:p>
        </w:tc>
      </w:tr>
      <w:tr w14:paraId="0AA8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2D77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35915E">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新增</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BEC8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创建新的新闻动态，包括类别、标题、时间、记者、内容、图片等数据。</w:t>
            </w:r>
          </w:p>
        </w:tc>
      </w:tr>
      <w:tr w14:paraId="581B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3FEE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C197C">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修改</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653B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修改原有新闻动态，包括类别、标题、时间、记者、内容、图片等数据。</w:t>
            </w:r>
          </w:p>
        </w:tc>
      </w:tr>
      <w:tr w14:paraId="5EEF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E3F48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930EC">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删除</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E221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删除新闻动态</w:t>
            </w:r>
          </w:p>
        </w:tc>
      </w:tr>
      <w:tr w14:paraId="62BC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4572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BC2B89">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“创改开”指标</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D919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color w:val="000000"/>
                <w:sz w:val="21"/>
                <w:szCs w:val="21"/>
                <w:lang w:val="en-US"/>
              </w:rPr>
            </w:pPr>
          </w:p>
        </w:tc>
      </w:tr>
      <w:tr w14:paraId="01FA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174A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E0BD96">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数据列表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EA31E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展示系统中所有“创改开”指标数据的列表。</w:t>
            </w:r>
          </w:p>
        </w:tc>
      </w:tr>
      <w:tr w14:paraId="194D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BB38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1D570">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数据查询</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72FE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快速定位到关注的“创改开”指标数据。</w:t>
            </w:r>
          </w:p>
        </w:tc>
      </w:tr>
      <w:tr w14:paraId="16BD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4E0A8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C35FC">
            <w:pPr>
              <w:spacing w:line="240" w:lineRule="auto"/>
              <w:ind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基础信息维护管理</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1480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37D0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01678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702F8">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新增</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B059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创建新的“创改开”指标数据，包括年份、季度、类别、指标名称、频率、责任部门、总量、增速（占比）、排名数据等。</w:t>
            </w:r>
          </w:p>
        </w:tc>
      </w:tr>
      <w:tr w14:paraId="4048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0B08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CBA1D">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修改</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D0C3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修改原有“创改开”指标数据，包括年份、季度、类别、指标名称、频率、责任部门、总量、增速（占比）、排名数据等。</w:t>
            </w:r>
          </w:p>
        </w:tc>
      </w:tr>
      <w:tr w14:paraId="084E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DB01D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65A5A">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删除</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101C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删除“创改开”指标数据。</w:t>
            </w:r>
          </w:p>
        </w:tc>
      </w:tr>
      <w:tr w14:paraId="0652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9180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BF2139">
            <w:pPr>
              <w:spacing w:line="240" w:lineRule="auto"/>
              <w:ind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颜色标记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7FA6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颜色标记数据。</w:t>
            </w:r>
          </w:p>
        </w:tc>
      </w:tr>
      <w:tr w14:paraId="111F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C4AD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4</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750E0">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拔钉清零</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90EA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color w:val="000000"/>
                <w:sz w:val="21"/>
                <w:szCs w:val="21"/>
                <w:lang w:val="en-US"/>
              </w:rPr>
            </w:pPr>
          </w:p>
        </w:tc>
      </w:tr>
      <w:tr w14:paraId="5563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4B6CA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10ED6">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数据列表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D249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展示系统中所有拔钉清零数据的列表。</w:t>
            </w:r>
          </w:p>
        </w:tc>
      </w:tr>
      <w:tr w14:paraId="28CD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3347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46656">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数据查询</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DD1D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快速定位到关注的拔钉清零某一个项目数据。</w:t>
            </w:r>
          </w:p>
        </w:tc>
      </w:tr>
      <w:tr w14:paraId="3987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0C61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50285B">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基础信息维护管理</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1C767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p>
        </w:tc>
      </w:tr>
      <w:tr w14:paraId="6944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07CA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7E6FF">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新增</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A7E9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创建新的拔钉清零数据，包括年份、月份、统计时间、街道、项目名称、拆迁户数、本期完成、累计完成、剩余户数、完成时限等。</w:t>
            </w:r>
          </w:p>
        </w:tc>
      </w:tr>
      <w:tr w14:paraId="193A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EC83B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97D577">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修改</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7E48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修改原有拔钉清零数据，包括年份、月份、统计时间、街道、项目名称、拆迁户数、本期完成、累计完成、剩余户数、完成时限等。</w:t>
            </w:r>
          </w:p>
        </w:tc>
      </w:tr>
      <w:tr w14:paraId="0851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3491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9EDC2">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删除</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9001F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删除拔钉清零指标数据。</w:t>
            </w:r>
          </w:p>
        </w:tc>
      </w:tr>
      <w:tr w14:paraId="0DD8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9A2FA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FE5C2">
            <w:pPr>
              <w:spacing w:line="240" w:lineRule="auto"/>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颜色标记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5C2F8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颜色标记数据。</w:t>
            </w:r>
          </w:p>
        </w:tc>
      </w:tr>
      <w:tr w14:paraId="0492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D9F7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5</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A341E">
            <w:pPr>
              <w:spacing w:line="240" w:lineRule="auto"/>
              <w:ind w:firstLine="0" w:firstLine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原系统部分模块优化</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3A86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rPr>
            </w:pPr>
          </w:p>
        </w:tc>
      </w:tr>
      <w:tr w14:paraId="0608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DE4B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DF4EB">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滞后项目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C6B3C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4732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789B5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A856B">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情况说明</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BDF5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对情况说明进行新增和修改。</w:t>
            </w:r>
          </w:p>
        </w:tc>
      </w:tr>
      <w:tr w14:paraId="4539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E59CA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17D30">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下一步计划</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9BDF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对下一步计划进行新增和修改。</w:t>
            </w:r>
          </w:p>
        </w:tc>
      </w:tr>
      <w:tr w14:paraId="04A5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2F2B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C434F6">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BE6F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5099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99AD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1B50EF">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r>
              <w:rPr>
                <w:rFonts w:hint="eastAsia" w:ascii="宋体" w:hAnsi="宋体" w:eastAsia="宋体" w:cs="宋体"/>
                <w:color w:val="000000"/>
                <w:sz w:val="21"/>
                <w:szCs w:val="21"/>
                <w:lang w:val="en-US" w:eastAsia="zh-CN"/>
              </w:rPr>
              <w:t>新增</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65B8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新增招商引资数据，包括年份、月份、类别、排名、考核单位、考核分数等。</w:t>
            </w:r>
          </w:p>
        </w:tc>
      </w:tr>
      <w:tr w14:paraId="644F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3E9C8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59911">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r>
              <w:rPr>
                <w:rFonts w:hint="eastAsia" w:ascii="宋体" w:hAnsi="宋体" w:eastAsia="宋体" w:cs="宋体"/>
                <w:color w:val="000000"/>
                <w:sz w:val="21"/>
                <w:szCs w:val="21"/>
                <w:lang w:val="en-US" w:eastAsia="zh-CN"/>
              </w:rPr>
              <w:t>修改</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CC8E1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修改原有招商引资数据，包括年份、月份、类别、排名、考核单位、考核分数等。</w:t>
            </w:r>
          </w:p>
        </w:tc>
      </w:tr>
      <w:tr w14:paraId="435A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8C18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08CDF">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r>
              <w:rPr>
                <w:rFonts w:hint="eastAsia" w:ascii="宋体" w:hAnsi="宋体" w:eastAsia="宋体" w:cs="宋体"/>
                <w:color w:val="000000"/>
                <w:sz w:val="21"/>
                <w:szCs w:val="21"/>
                <w:lang w:val="en-US" w:eastAsia="zh-CN"/>
              </w:rPr>
              <w:t>删除</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B782F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删除招商引资数据。</w:t>
            </w:r>
          </w:p>
        </w:tc>
      </w:tr>
      <w:tr w14:paraId="7126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CB415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00E2A">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稳商扩资新增</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83AB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新增稳商扩资数据，包括年份、月份、街道、已开工数量、累加数量、新增建筑面积、已开工项目预计投资总额等。</w:t>
            </w:r>
          </w:p>
        </w:tc>
      </w:tr>
      <w:tr w14:paraId="7EA1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9FD6D">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ED552">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稳商扩资修改</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3384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修改原有稳商扩资数据，包括年份、月份、类别、排名、考核单位、考核分数等。</w:t>
            </w:r>
          </w:p>
        </w:tc>
      </w:tr>
      <w:tr w14:paraId="2ADE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9895A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D77EA">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稳商扩资删除</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4FDE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删除稳商扩资数据。</w:t>
            </w:r>
          </w:p>
        </w:tc>
      </w:tr>
      <w:tr w14:paraId="076E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102D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3)</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17DF95">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绿榜项目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89BE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4516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1BB7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41201B">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项目描述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3F0F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b w:val="0"/>
                <w:bCs w:val="0"/>
                <w:color w:val="000000"/>
                <w:sz w:val="21"/>
                <w:szCs w:val="21"/>
                <w:highlight w:val="none"/>
                <w:lang w:val="en-US" w:eastAsia="zh-CN"/>
              </w:rPr>
              <w:t>项目描述</w:t>
            </w:r>
          </w:p>
        </w:tc>
      </w:tr>
      <w:tr w14:paraId="2EDC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34016">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C1677">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牵头单位描述</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3FC2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color w:val="000000"/>
                <w:sz w:val="21"/>
                <w:szCs w:val="21"/>
                <w:lang w:val="en-US" w:eastAsia="zh-CN"/>
              </w:rPr>
            </w:pPr>
            <w:r>
              <w:rPr>
                <w:rFonts w:hint="eastAsia" w:ascii="宋体" w:hAnsi="宋体" w:eastAsia="宋体" w:cs="宋体"/>
                <w:b w:val="0"/>
                <w:bCs w:val="0"/>
                <w:color w:val="000000"/>
                <w:sz w:val="21"/>
                <w:szCs w:val="21"/>
                <w:highlight w:val="none"/>
                <w:lang w:val="en-US" w:eastAsia="zh-CN"/>
              </w:rPr>
              <w:t>牵头单位描述</w:t>
            </w:r>
          </w:p>
        </w:tc>
      </w:tr>
      <w:tr w14:paraId="63AD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CAD4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lang w:val="en-US" w:eastAsia="zh-CN" w:bidi="ar-SA"/>
              </w:rPr>
            </w:pPr>
            <w:r>
              <w:rPr>
                <w:rFonts w:hint="eastAsia" w:ascii="宋体" w:hAnsi="宋体" w:eastAsia="宋体" w:cs="宋体"/>
                <w:b/>
                <w:bCs w:val="0"/>
                <w:color w:val="000000"/>
                <w:sz w:val="21"/>
                <w:szCs w:val="21"/>
              </w:rPr>
              <w:t>（</w:t>
            </w:r>
            <w:r>
              <w:rPr>
                <w:rFonts w:hint="eastAsia" w:ascii="宋体" w:hAnsi="宋体" w:eastAsia="宋体" w:cs="宋体"/>
                <w:b/>
                <w:bCs w:val="0"/>
                <w:color w:val="000000"/>
                <w:sz w:val="21"/>
                <w:szCs w:val="21"/>
                <w:lang w:val="en-US" w:eastAsia="zh-CN"/>
              </w:rPr>
              <w:t>三</w:t>
            </w:r>
            <w:r>
              <w:rPr>
                <w:rFonts w:hint="eastAsia" w:ascii="宋体" w:hAnsi="宋体" w:eastAsia="宋体" w:cs="宋体"/>
                <w:b/>
                <w:bCs w:val="0"/>
                <w:color w:val="000000"/>
                <w:sz w:val="21"/>
                <w:szCs w:val="21"/>
              </w:rPr>
              <w:t>）</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EE45B">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bCs w:val="0"/>
                <w:color w:val="000000"/>
                <w:sz w:val="21"/>
                <w:szCs w:val="21"/>
                <w:lang w:val="en-US" w:eastAsia="zh-CN" w:bidi="ar-SA"/>
              </w:rPr>
            </w:pPr>
            <w:r>
              <w:rPr>
                <w:rFonts w:hint="eastAsia" w:ascii="宋体" w:hAnsi="宋体" w:eastAsia="宋体" w:cs="宋体"/>
                <w:b/>
                <w:bCs w:val="0"/>
                <w:color w:val="000000"/>
                <w:sz w:val="21"/>
                <w:szCs w:val="21"/>
                <w:lang w:val="en-US" w:eastAsia="zh-CN"/>
              </w:rPr>
              <w:t>驾驶舱系统</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8093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default" w:ascii="宋体" w:hAnsi="宋体" w:eastAsia="宋体" w:cs="宋体"/>
                <w:b/>
                <w:bCs w:val="0"/>
                <w:color w:val="000000"/>
                <w:sz w:val="21"/>
                <w:szCs w:val="21"/>
                <w:lang w:val="en-US" w:eastAsia="zh-CN"/>
              </w:rPr>
            </w:pPr>
          </w:p>
        </w:tc>
      </w:tr>
      <w:tr w14:paraId="108F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A536A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55981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default"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超前项目</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DDE77">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b/>
                <w:bCs w:val="0"/>
                <w:color w:val="000000"/>
                <w:sz w:val="21"/>
                <w:szCs w:val="21"/>
              </w:rPr>
            </w:pPr>
          </w:p>
        </w:tc>
      </w:tr>
      <w:tr w14:paraId="7FA8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FB1F0">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86DCC">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首页滚动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9B2F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滚动播放所有超前项目的项目名称及牵头单位。</w:t>
            </w:r>
          </w:p>
        </w:tc>
      </w:tr>
      <w:tr w14:paraId="65D3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D164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38B89">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项目名滚动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D490E">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7177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7B28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EC293">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lang w:val="en-US" w:eastAsia="zh-CN"/>
              </w:rPr>
              <w:t>牵头单位滚动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10CF1">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646A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7B8F4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ED56A">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详情列表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F0A6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展示所有超前项目的项目名称及牵头单位。</w:t>
            </w:r>
          </w:p>
        </w:tc>
      </w:tr>
      <w:tr w14:paraId="0002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00F6FC">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1AA88">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项目名滚动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9D153">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4C38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AAC2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6218E0">
            <w:pPr>
              <w:spacing w:line="240" w:lineRule="auto"/>
              <w:ind w:firstLine="0" w:firstLine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牵头单位滚动</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A9E6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24B5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8E328">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val="0"/>
                <w:color w:val="000000"/>
                <w:sz w:val="21"/>
                <w:szCs w:val="21"/>
                <w:lang w:val="en-US" w:eastAsia="zh-CN"/>
              </w:rPr>
              <w:t>2</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231E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color w:val="000000"/>
                <w:sz w:val="21"/>
                <w:szCs w:val="21"/>
                <w:highlight w:val="none"/>
                <w:lang w:val="en-US" w:eastAsia="zh-CN"/>
              </w:rPr>
              <w:t>原系统部分模块优化</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3579F">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4F77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CC52D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8582E">
            <w:pPr>
              <w:spacing w:line="240" w:lineRule="auto"/>
              <w:ind w:firstLine="0" w:firstLineChars="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招商引资</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F4815">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p>
        </w:tc>
      </w:tr>
      <w:tr w14:paraId="32F2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77664">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1D7ED">
            <w:pPr>
              <w:spacing w:line="240" w:lineRule="auto"/>
              <w:ind w:firstLine="0" w:firstLineChars="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招商引资</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6E81DA">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展示招商引资数据，包括年份、月份、类别、排名、考核单位、考核分数等。</w:t>
            </w:r>
          </w:p>
        </w:tc>
      </w:tr>
      <w:tr w14:paraId="018A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0F139">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jc w:val="center"/>
              <w:textAlignment w:val="center"/>
              <w:rPr>
                <w:rFonts w:hint="eastAsia" w:ascii="宋体" w:hAnsi="宋体" w:eastAsia="宋体" w:cs="宋体"/>
                <w:b w:val="0"/>
                <w:bCs/>
                <w:color w:val="000000"/>
                <w:sz w:val="21"/>
                <w:szCs w:val="21"/>
                <w:lang w:val="en-US" w:eastAsia="zh-CN"/>
              </w:rPr>
            </w:pPr>
          </w:p>
        </w:tc>
        <w:tc>
          <w:tcPr>
            <w:tcW w:w="14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3EA12">
            <w:pPr>
              <w:spacing w:line="240" w:lineRule="auto"/>
              <w:ind w:firstLine="0" w:firstLineChars="0"/>
              <w:jc w:val="center"/>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稳商扩资</w:t>
            </w:r>
          </w:p>
        </w:tc>
        <w:tc>
          <w:tcPr>
            <w:tcW w:w="30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EECF2">
            <w:pPr>
              <w:keepNext w:val="0"/>
              <w:keepLines w:val="0"/>
              <w:pageBreakBefore w:val="0"/>
              <w:widowControl/>
              <w:kinsoku/>
              <w:wordWrap/>
              <w:overflowPunct/>
              <w:topLinePunct w:val="0"/>
              <w:autoSpaceDE/>
              <w:autoSpaceDN/>
              <w:bidi w:val="0"/>
              <w:adjustRightInd/>
              <w:snapToGrid/>
              <w:spacing w:beforeLines="0" w:afterLines="0" w:line="240" w:lineRule="exact"/>
              <w:ind w:firstLine="0" w:firstLineChars="0"/>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展示稳商扩资数据，包括年份、月份、街道、已开工数量、累加数量、新增建筑面积、已开工项目预计投资总额等。</w:t>
            </w:r>
          </w:p>
        </w:tc>
      </w:tr>
    </w:tbl>
    <w:p w14:paraId="5B4BB849">
      <w:pPr>
        <w:pStyle w:val="17"/>
        <w:rPr>
          <w:rFonts w:hint="eastAsia"/>
          <w:lang w:val="en-US" w:eastAsia="zh-CN"/>
        </w:rPr>
      </w:pPr>
    </w:p>
    <w:p w14:paraId="6F818A1B">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6DDE0AF7">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3AE5E4ED">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0C4FDE00">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7226F6EA">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5C44E338">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579BD671">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34B6ACDF">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34833595">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570C0C72">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029D3F5A">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59C7ACC2">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7771A104">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2E3CC493">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263B8025">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0EFDF4FB">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2F4258C7">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2571AB86">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0F704A7D">
      <w:pPr>
        <w:wordWrap w:val="0"/>
        <w:spacing w:line="400" w:lineRule="exact"/>
        <w:jc w:val="center"/>
        <w:outlineLvl w:val="9"/>
        <w:rPr>
          <w:rFonts w:hint="eastAsia" w:ascii="宋体" w:hAnsi="宋体"/>
          <w:b/>
          <w:color w:val="000000" w:themeColor="text1"/>
          <w:sz w:val="32"/>
          <w14:textFill>
            <w14:solidFill>
              <w14:schemeClr w14:val="tx1"/>
            </w14:solidFill>
          </w14:textFill>
        </w:rPr>
      </w:pPr>
    </w:p>
    <w:p w14:paraId="3F2133E1">
      <w:pPr>
        <w:wordWrap w:val="0"/>
        <w:spacing w:line="400" w:lineRule="exact"/>
        <w:jc w:val="center"/>
        <w:outlineLvl w:val="0"/>
        <w:rPr>
          <w:rFonts w:hint="eastAsia" w:ascii="宋体" w:hAnsi="宋体"/>
          <w:b/>
          <w:color w:val="000000" w:themeColor="text1"/>
          <w:sz w:val="24"/>
          <w:szCs w:val="24"/>
          <w14:textFill>
            <w14:solidFill>
              <w14:schemeClr w14:val="tx1"/>
            </w14:solidFill>
          </w14:textFill>
        </w:rPr>
      </w:pPr>
      <w:bookmarkStart w:id="55" w:name="_Toc3194"/>
      <w:r>
        <w:rPr>
          <w:rFonts w:hint="eastAsia" w:ascii="宋体" w:hAnsi="宋体"/>
          <w:b/>
          <w:color w:val="000000" w:themeColor="text1"/>
          <w:sz w:val="32"/>
          <w14:textFill>
            <w14:solidFill>
              <w14:schemeClr w14:val="tx1"/>
            </w14:solidFill>
          </w14:textFill>
        </w:rPr>
        <w:t>第六章  商务条款</w:t>
      </w:r>
      <w:bookmarkEnd w:id="53"/>
      <w:bookmarkEnd w:id="55"/>
    </w:p>
    <w:bookmarkEnd w:id="54"/>
    <w:tbl>
      <w:tblPr>
        <w:tblStyle w:val="44"/>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204"/>
        <w:gridCol w:w="1185"/>
      </w:tblGrid>
      <w:tr w14:paraId="070B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2" w:type="dxa"/>
            <w:noWrap w:val="0"/>
            <w:vAlign w:val="center"/>
          </w:tcPr>
          <w:p w14:paraId="3B0A0890">
            <w:pPr>
              <w:snapToGrid w:val="0"/>
              <w:spacing w:line="360" w:lineRule="exact"/>
              <w:jc w:val="center"/>
              <w:rPr>
                <w:rFonts w:hint="eastAsia" w:ascii="宋体" w:hAnsi="宋体" w:cs="宋体"/>
                <w:color w:val="000000" w:themeColor="text1"/>
                <w:kern w:val="0"/>
                <w:szCs w:val="21"/>
                <w14:textFill>
                  <w14:solidFill>
                    <w14:schemeClr w14:val="tx1"/>
                  </w14:solidFill>
                </w14:textFill>
              </w:rPr>
            </w:pPr>
            <w:bookmarkStart w:id="56" w:name="_Toc21027"/>
            <w:bookmarkStart w:id="57" w:name="_Toc102912977"/>
            <w:bookmarkStart w:id="58" w:name="_Toc21541025"/>
            <w:bookmarkStart w:id="59" w:name="_Hlk35437268"/>
            <w:bookmarkStart w:id="60" w:name="_Toc404941777"/>
            <w:bookmarkStart w:id="61" w:name="_Toc462213263"/>
            <w:bookmarkStart w:id="62" w:name="_Toc462179384"/>
            <w:bookmarkStart w:id="63" w:name="_Toc462213337"/>
            <w:r>
              <w:rPr>
                <w:rFonts w:hint="eastAsia" w:ascii="宋体" w:hAnsi="宋体" w:cs="宋体"/>
                <w:color w:val="000000" w:themeColor="text1"/>
                <w:szCs w:val="21"/>
                <w14:textFill>
                  <w14:solidFill>
                    <w14:schemeClr w14:val="tx1"/>
                  </w14:solidFill>
                </w14:textFill>
              </w:rPr>
              <w:t>序号</w:t>
            </w:r>
          </w:p>
        </w:tc>
        <w:tc>
          <w:tcPr>
            <w:tcW w:w="7204" w:type="dxa"/>
            <w:noWrap w:val="0"/>
            <w:vAlign w:val="center"/>
          </w:tcPr>
          <w:p w14:paraId="1BA5AF82">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商务条款要求</w:t>
            </w:r>
          </w:p>
        </w:tc>
        <w:tc>
          <w:tcPr>
            <w:tcW w:w="1185" w:type="dxa"/>
            <w:noWrap w:val="0"/>
            <w:vAlign w:val="center"/>
          </w:tcPr>
          <w:p w14:paraId="1D271349">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投标响应</w:t>
            </w:r>
          </w:p>
        </w:tc>
      </w:tr>
      <w:tr w14:paraId="5340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2" w:type="dxa"/>
            <w:noWrap w:val="0"/>
            <w:vAlign w:val="center"/>
          </w:tcPr>
          <w:p w14:paraId="6604F007">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204" w:type="dxa"/>
            <w:noWrap w:val="0"/>
            <w:vAlign w:val="center"/>
          </w:tcPr>
          <w:p w14:paraId="4F1C1E6A">
            <w:pPr>
              <w:spacing w:line="360" w:lineRule="exact"/>
              <w:rPr>
                <w:rFonts w:ascii="宋体" w:hAnsi="宋体" w:cs="宋体"/>
                <w:color w:val="000000" w:themeColor="text1"/>
                <w:szCs w:val="21"/>
                <w:highlight w:val="cyan"/>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履约保证金金额：无。</w:t>
            </w:r>
          </w:p>
        </w:tc>
        <w:tc>
          <w:tcPr>
            <w:tcW w:w="1185" w:type="dxa"/>
            <w:noWrap w:val="0"/>
            <w:vAlign w:val="center"/>
          </w:tcPr>
          <w:p w14:paraId="72BFE611">
            <w:pPr>
              <w:spacing w:line="360" w:lineRule="exact"/>
              <w:jc w:val="center"/>
              <w:rPr>
                <w:rFonts w:hint="eastAsia" w:ascii="宋体" w:hAnsi="宋体" w:cs="宋体"/>
                <w:color w:val="000000" w:themeColor="text1"/>
                <w:szCs w:val="21"/>
                <w14:textFill>
                  <w14:solidFill>
                    <w14:schemeClr w14:val="tx1"/>
                  </w14:solidFill>
                </w14:textFill>
              </w:rPr>
            </w:pPr>
          </w:p>
        </w:tc>
      </w:tr>
      <w:tr w14:paraId="35B2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2" w:type="dxa"/>
            <w:noWrap w:val="0"/>
            <w:vAlign w:val="center"/>
          </w:tcPr>
          <w:p w14:paraId="3E7798EB">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7204" w:type="dxa"/>
            <w:noWrap w:val="0"/>
            <w:vAlign w:val="center"/>
          </w:tcPr>
          <w:p w14:paraId="71A98465">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交货地点：采购人指定</w:t>
            </w:r>
          </w:p>
          <w:p w14:paraId="23B96D61">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建设期：合同签订后6个月内验收合格</w:t>
            </w:r>
          </w:p>
        </w:tc>
        <w:tc>
          <w:tcPr>
            <w:tcW w:w="1185" w:type="dxa"/>
            <w:noWrap w:val="0"/>
            <w:vAlign w:val="center"/>
          </w:tcPr>
          <w:p w14:paraId="0A361F65">
            <w:pPr>
              <w:spacing w:line="360" w:lineRule="exact"/>
              <w:jc w:val="center"/>
              <w:rPr>
                <w:rFonts w:hint="eastAsia" w:ascii="宋体" w:hAnsi="宋体" w:cs="宋体"/>
                <w:color w:val="000000" w:themeColor="text1"/>
                <w:szCs w:val="21"/>
                <w14:textFill>
                  <w14:solidFill>
                    <w14:schemeClr w14:val="tx1"/>
                  </w14:solidFill>
                </w14:textFill>
              </w:rPr>
            </w:pPr>
          </w:p>
        </w:tc>
      </w:tr>
      <w:tr w14:paraId="2668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2" w:type="dxa"/>
            <w:noWrap w:val="0"/>
            <w:vAlign w:val="center"/>
          </w:tcPr>
          <w:p w14:paraId="6C174A2D">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204" w:type="dxa"/>
            <w:noWrap w:val="0"/>
            <w:vAlign w:val="center"/>
          </w:tcPr>
          <w:p w14:paraId="3019D8AA">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应提供的伴随服务：安装、调试、培训等 </w:t>
            </w:r>
          </w:p>
        </w:tc>
        <w:tc>
          <w:tcPr>
            <w:tcW w:w="1185" w:type="dxa"/>
            <w:noWrap w:val="0"/>
            <w:vAlign w:val="center"/>
          </w:tcPr>
          <w:p w14:paraId="47DED7A5">
            <w:pPr>
              <w:spacing w:line="360" w:lineRule="exact"/>
              <w:jc w:val="center"/>
              <w:rPr>
                <w:rFonts w:hint="eastAsia" w:ascii="宋体" w:hAnsi="宋体" w:cs="宋体"/>
                <w:color w:val="000000" w:themeColor="text1"/>
                <w:szCs w:val="21"/>
                <w14:textFill>
                  <w14:solidFill>
                    <w14:schemeClr w14:val="tx1"/>
                  </w14:solidFill>
                </w14:textFill>
              </w:rPr>
            </w:pPr>
          </w:p>
        </w:tc>
      </w:tr>
      <w:tr w14:paraId="04F7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02" w:type="dxa"/>
            <w:noWrap w:val="0"/>
            <w:vAlign w:val="center"/>
          </w:tcPr>
          <w:p w14:paraId="4F560816">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7204" w:type="dxa"/>
            <w:noWrap w:val="0"/>
            <w:vAlign w:val="center"/>
          </w:tcPr>
          <w:p w14:paraId="2459263A">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售后服务要求：</w:t>
            </w:r>
          </w:p>
          <w:p w14:paraId="5FA70ED7">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1）在接到报修通知后，中标人应在</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小时内响应；应急故障情况下，中标人应在2小时内到达现场处置。</w:t>
            </w:r>
          </w:p>
          <w:p w14:paraId="1EC7019E">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2）本项目包含硬件保修、系统升级等服务内容，中标后提供7×24小时支持热线。</w:t>
            </w:r>
          </w:p>
        </w:tc>
        <w:tc>
          <w:tcPr>
            <w:tcW w:w="1185" w:type="dxa"/>
            <w:noWrap w:val="0"/>
            <w:vAlign w:val="center"/>
          </w:tcPr>
          <w:p w14:paraId="10D0FD9D">
            <w:pPr>
              <w:spacing w:line="360" w:lineRule="exact"/>
              <w:jc w:val="center"/>
              <w:rPr>
                <w:rFonts w:hint="eastAsia" w:ascii="宋体" w:hAnsi="宋体" w:cs="宋体"/>
                <w:color w:val="000000" w:themeColor="text1"/>
                <w:szCs w:val="21"/>
                <w14:textFill>
                  <w14:solidFill>
                    <w14:schemeClr w14:val="tx1"/>
                  </w14:solidFill>
                </w14:textFill>
              </w:rPr>
            </w:pPr>
          </w:p>
        </w:tc>
      </w:tr>
      <w:tr w14:paraId="2D5F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02" w:type="dxa"/>
            <w:noWrap w:val="0"/>
            <w:vAlign w:val="center"/>
          </w:tcPr>
          <w:p w14:paraId="718A33C7">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204" w:type="dxa"/>
            <w:noWrap w:val="0"/>
            <w:vAlign w:val="center"/>
          </w:tcPr>
          <w:p w14:paraId="3BC885E1">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付款方法和条件：</w:t>
            </w:r>
          </w:p>
          <w:p w14:paraId="7B2B4BC8">
            <w:pPr>
              <w:spacing w:line="36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w:t>
            </w:r>
            <w:r>
              <w:rPr>
                <w:rFonts w:hint="eastAsia" w:ascii="宋体" w:hAnsi="宋体" w:cs="宋体"/>
                <w:color w:val="000000" w:themeColor="text1"/>
                <w:kern w:val="0"/>
                <w:szCs w:val="21"/>
                <w14:textFill>
                  <w14:solidFill>
                    <w14:schemeClr w14:val="tx1"/>
                  </w14:solidFill>
                </w14:textFill>
              </w:rPr>
              <w:t>在合同生效后7个工作日内支付中标人</w:t>
            </w:r>
            <w:r>
              <w:rPr>
                <w:rFonts w:hint="eastAsia" w:ascii="宋体" w:hAnsi="宋体" w:cs="宋体"/>
                <w:color w:val="000000" w:themeColor="text1"/>
                <w:szCs w:val="21"/>
                <w14:textFill>
                  <w14:solidFill>
                    <w14:schemeClr w14:val="tx1"/>
                  </w14:solidFill>
                </w14:textFill>
              </w:rPr>
              <w:t>合同总价金额的40%作为合同预付款，安装调试完毕、且正常运行，在该项目验收合格后7个工作日内，支付合同总金额的60%（中标人于合同签订前书面承诺放弃预付款或降低预付款支付比例的，可不适用本条款且具体支付方式由双方在合同中自行约定）</w:t>
            </w:r>
          </w:p>
        </w:tc>
        <w:tc>
          <w:tcPr>
            <w:tcW w:w="1185" w:type="dxa"/>
            <w:noWrap w:val="0"/>
            <w:vAlign w:val="center"/>
          </w:tcPr>
          <w:p w14:paraId="074631BD">
            <w:pPr>
              <w:spacing w:line="360" w:lineRule="exact"/>
              <w:jc w:val="center"/>
              <w:rPr>
                <w:rFonts w:hint="eastAsia" w:ascii="宋体" w:hAnsi="宋体" w:cs="宋体"/>
                <w:color w:val="000000" w:themeColor="text1"/>
                <w:szCs w:val="21"/>
                <w14:textFill>
                  <w14:solidFill>
                    <w14:schemeClr w14:val="tx1"/>
                  </w14:solidFill>
                </w14:textFill>
              </w:rPr>
            </w:pPr>
          </w:p>
        </w:tc>
      </w:tr>
      <w:tr w14:paraId="1565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2" w:type="dxa"/>
            <w:noWrap w:val="0"/>
            <w:vAlign w:val="center"/>
          </w:tcPr>
          <w:p w14:paraId="23EBF2CC">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7204" w:type="dxa"/>
            <w:noWrap w:val="0"/>
            <w:vAlign w:val="center"/>
          </w:tcPr>
          <w:p w14:paraId="3B967759">
            <w:pPr>
              <w:spacing w:line="36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按照采购文件的规定、中标人的投标响应、中标通知书确定的规格、数量和金额签订合同。</w:t>
            </w:r>
          </w:p>
        </w:tc>
        <w:tc>
          <w:tcPr>
            <w:tcW w:w="1185" w:type="dxa"/>
            <w:noWrap w:val="0"/>
            <w:vAlign w:val="center"/>
          </w:tcPr>
          <w:p w14:paraId="528907EB">
            <w:pPr>
              <w:spacing w:line="360" w:lineRule="exact"/>
              <w:jc w:val="center"/>
              <w:rPr>
                <w:rFonts w:hint="eastAsia" w:ascii="宋体" w:hAnsi="宋体" w:cs="宋体"/>
                <w:color w:val="000000" w:themeColor="text1"/>
                <w:szCs w:val="21"/>
                <w14:textFill>
                  <w14:solidFill>
                    <w14:schemeClr w14:val="tx1"/>
                  </w14:solidFill>
                </w14:textFill>
              </w:rPr>
            </w:pPr>
          </w:p>
        </w:tc>
      </w:tr>
    </w:tbl>
    <w:p w14:paraId="7B51892F">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0BFB7347">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488C3A53">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14CA8DC3">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48B7AB63">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0E05DFC6">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09DD484A">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667914E9">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D603760">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CEC1DFC">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82D2048">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48EBB1F">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22272DCC">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0C9B651D">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F1ECD9D">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02F6D5AA">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F6660C8">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57E508CB">
      <w:pPr>
        <w:wordWrap w:val="0"/>
        <w:spacing w:line="400" w:lineRule="exact"/>
        <w:jc w:val="center"/>
        <w:outlineLvl w:val="0"/>
        <w:rPr>
          <w:rFonts w:hint="eastAsia" w:ascii="宋体" w:hAnsi="宋体"/>
          <w:b/>
          <w:color w:val="000000" w:themeColor="text1"/>
          <w:sz w:val="32"/>
          <w14:textFill>
            <w14:solidFill>
              <w14:schemeClr w14:val="tx1"/>
            </w14:solidFill>
          </w14:textFill>
        </w:rPr>
      </w:pPr>
    </w:p>
    <w:p w14:paraId="774B8A6D">
      <w:pPr>
        <w:wordWrap w:val="0"/>
        <w:spacing w:line="400" w:lineRule="exact"/>
        <w:jc w:val="center"/>
        <w:outlineLvl w:val="0"/>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第七章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附件</w:t>
      </w:r>
      <w:bookmarkEnd w:id="56"/>
      <w:bookmarkEnd w:id="57"/>
      <w:bookmarkEnd w:id="58"/>
    </w:p>
    <w:p w14:paraId="48B665AD">
      <w:pPr>
        <w:wordWrap w:val="0"/>
        <w:autoSpaceDE w:val="0"/>
        <w:autoSpaceDN w:val="0"/>
        <w:adjustRightInd w:val="0"/>
        <w:spacing w:before="960" w:beforeLines="400" w:line="420" w:lineRule="exact"/>
        <w:jc w:val="center"/>
        <w:rPr>
          <w:rStyle w:val="101"/>
          <w:rFonts w:ascii="宋体" w:hAnsi="宋体"/>
          <w:color w:val="000000" w:themeColor="text1"/>
          <w:sz w:val="32"/>
          <w:szCs w:val="32"/>
          <w14:textFill>
            <w14:solidFill>
              <w14:schemeClr w14:val="tx1"/>
            </w14:solidFill>
          </w14:textFill>
        </w:rPr>
      </w:pPr>
      <w:r>
        <w:rPr>
          <w:rStyle w:val="101"/>
          <w:rFonts w:ascii="宋体" w:hAnsi="宋体"/>
          <w:color w:val="000000" w:themeColor="text1"/>
          <w:sz w:val="32"/>
          <w:szCs w:val="32"/>
          <w14:textFill>
            <w14:solidFill>
              <w14:schemeClr w14:val="tx1"/>
            </w14:solidFill>
          </w14:textFill>
        </w:rPr>
        <w:t>A.</w:t>
      </w:r>
      <w:r>
        <w:rPr>
          <w:rStyle w:val="101"/>
          <w:rFonts w:hint="eastAsia" w:ascii="宋体" w:hAnsi="宋体"/>
          <w:color w:val="000000" w:themeColor="text1"/>
          <w:sz w:val="32"/>
          <w:szCs w:val="32"/>
          <w14:textFill>
            <w14:solidFill>
              <w14:schemeClr w14:val="tx1"/>
            </w14:solidFill>
          </w14:textFill>
        </w:rPr>
        <w:t>资格文件</w:t>
      </w:r>
    </w:p>
    <w:p w14:paraId="41653CD6">
      <w:pPr>
        <w:wordWrap w:val="0"/>
        <w:spacing w:line="360" w:lineRule="auto"/>
        <w:ind w:firstLine="1120" w:firstLineChars="400"/>
        <w:rPr>
          <w:rFonts w:ascii="宋体" w:hAnsi="宋体"/>
          <w:color w:val="000000" w:themeColor="text1"/>
          <w:sz w:val="28"/>
          <w14:textFill>
            <w14:solidFill>
              <w14:schemeClr w14:val="tx1"/>
            </w14:solidFill>
          </w14:textFill>
        </w:rPr>
      </w:pPr>
    </w:p>
    <w:p w14:paraId="6C8C9D62">
      <w:pPr>
        <w:wordWrap w:val="0"/>
        <w:spacing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封面</w:t>
      </w:r>
      <w:r>
        <w:rPr>
          <w:rFonts w:ascii="宋体" w:hAnsi="宋体"/>
          <w:b/>
          <w:color w:val="000000" w:themeColor="text1"/>
          <w:sz w:val="32"/>
          <w:szCs w:val="32"/>
          <w14:textFill>
            <w14:solidFill>
              <w14:schemeClr w14:val="tx1"/>
            </w14:solidFill>
          </w14:textFill>
        </w:rPr>
        <w:t xml:space="preserve">                                       </w:t>
      </w:r>
    </w:p>
    <w:p w14:paraId="5C42F343">
      <w:pPr>
        <w:pStyle w:val="76"/>
        <w:rPr>
          <w:rFonts w:hint="eastAsia"/>
          <w:color w:val="000000" w:themeColor="text1"/>
          <w14:textFill>
            <w14:solidFill>
              <w14:schemeClr w14:val="tx1"/>
            </w14:solidFill>
          </w14:textFill>
        </w:rPr>
      </w:pPr>
    </w:p>
    <w:p w14:paraId="55C82E6E">
      <w:pPr>
        <w:spacing w:after="120" w:line="360" w:lineRule="auto"/>
        <w:jc w:val="center"/>
        <w:outlineLvl w:val="0"/>
        <w:rPr>
          <w:rFonts w:hint="eastAsia" w:ascii="宋体" w:hAnsi="宋体" w:eastAsia="宋体" w:cs="Times New Roman"/>
          <w:b/>
          <w:bCs/>
          <w:color w:val="000000" w:themeColor="text1"/>
          <w:sz w:val="36"/>
          <w:szCs w:val="36"/>
          <w:lang w:val="en-US" w:eastAsia="zh-CN"/>
          <w14:textFill>
            <w14:solidFill>
              <w14:schemeClr w14:val="tx1"/>
            </w14:solidFill>
          </w14:textFill>
        </w:rPr>
      </w:pPr>
      <w:r>
        <w:rPr>
          <w:rFonts w:hint="eastAsia" w:ascii="宋体" w:hAnsi="宋体" w:cs="Times New Roman"/>
          <w:b/>
          <w:bCs/>
          <w:color w:val="000000" w:themeColor="text1"/>
          <w:sz w:val="36"/>
          <w:szCs w:val="36"/>
          <w:lang w:val="en-US" w:eastAsia="zh-CN"/>
          <w14:textFill>
            <w14:solidFill>
              <w14:schemeClr w14:val="tx1"/>
            </w14:solidFill>
          </w14:textFill>
        </w:rPr>
        <w:t>北仑区“六促六优专项行动”应用二期</w:t>
      </w:r>
    </w:p>
    <w:p w14:paraId="7CFCC25E">
      <w:pPr>
        <w:wordWrap w:val="0"/>
        <w:spacing w:line="360" w:lineRule="auto"/>
        <w:jc w:val="center"/>
        <w:rPr>
          <w:rFonts w:hint="eastAsia" w:ascii="宋体" w:hAnsi="宋体"/>
          <w:b/>
          <w:color w:val="000000" w:themeColor="text1"/>
          <w:sz w:val="44"/>
          <w:szCs w:val="44"/>
          <w:lang w:eastAsia="zh-CN"/>
          <w14:textFill>
            <w14:solidFill>
              <w14:schemeClr w14:val="tx1"/>
            </w14:solidFill>
          </w14:textFill>
        </w:rPr>
      </w:pPr>
    </w:p>
    <w:p w14:paraId="1DE064E3">
      <w:pPr>
        <w:pStyle w:val="76"/>
        <w:rPr>
          <w:rFonts w:hint="eastAsia"/>
          <w:color w:val="000000" w:themeColor="text1"/>
          <w:lang w:eastAsia="zh-CN"/>
          <w14:textFill>
            <w14:solidFill>
              <w14:schemeClr w14:val="tx1"/>
            </w14:solidFill>
          </w14:textFill>
        </w:rPr>
      </w:pPr>
    </w:p>
    <w:p w14:paraId="016FB7BC">
      <w:pPr>
        <w:wordWrap w:val="0"/>
        <w:spacing w:line="360" w:lineRule="auto"/>
        <w:jc w:val="center"/>
        <w:rPr>
          <w:rFonts w:hint="eastAsia" w:ascii="宋体" w:hAnsi="宋体" w:eastAsia="宋体"/>
          <w:color w:val="000000" w:themeColor="text1"/>
          <w:sz w:val="30"/>
          <w:szCs w:val="30"/>
          <w:lang w:eastAsia="zh-CN"/>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采购编号</w:t>
      </w:r>
      <w:r>
        <w:rPr>
          <w:rFonts w:hint="eastAsia" w:ascii="宋体" w:hAnsi="宋体" w:eastAsia="宋体" w:cs="Times New Roman"/>
          <w:color w:val="000000" w:themeColor="text1"/>
          <w:sz w:val="30"/>
          <w:szCs w:val="30"/>
          <w14:textFill>
            <w14:solidFill>
              <w14:schemeClr w14:val="tx1"/>
            </w14:solidFill>
          </w14:textFill>
        </w:rPr>
        <w:t>：</w:t>
      </w:r>
      <w:r>
        <w:rPr>
          <w:rFonts w:hint="eastAsia" w:ascii="宋体" w:hAnsi="宋体" w:eastAsia="宋体" w:cs="Times New Roman"/>
          <w:color w:val="000000" w:themeColor="text1"/>
          <w:sz w:val="30"/>
          <w:szCs w:val="30"/>
          <w:lang w:eastAsia="zh-CN"/>
          <w14:textFill>
            <w14:solidFill>
              <w14:schemeClr w14:val="tx1"/>
            </w14:solidFill>
          </w14:textFill>
        </w:rPr>
        <w:t>NBLQ2025017</w:t>
      </w:r>
    </w:p>
    <w:p w14:paraId="39B38AD3">
      <w:pPr>
        <w:wordWrap w:val="0"/>
        <w:spacing w:line="360" w:lineRule="auto"/>
        <w:jc w:val="center"/>
        <w:rPr>
          <w:rFonts w:hint="default" w:ascii="宋体" w:hAnsi="宋体" w:eastAsia="宋体"/>
          <w:color w:val="000000" w:themeColor="text1"/>
          <w:sz w:val="30"/>
          <w:szCs w:val="30"/>
          <w:u w:val="single"/>
          <w:lang w:val="en-US" w:eastAsia="zh-CN"/>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子</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包：</w:t>
      </w:r>
      <w:r>
        <w:rPr>
          <w:rFonts w:hint="eastAsia" w:ascii="宋体" w:hAnsi="宋体"/>
          <w:color w:val="000000" w:themeColor="text1"/>
          <w:sz w:val="30"/>
          <w:szCs w:val="30"/>
          <w:u w:val="single"/>
          <w:lang w:val="en-US" w:eastAsia="zh-CN"/>
          <w14:textFill>
            <w14:solidFill>
              <w14:schemeClr w14:val="tx1"/>
            </w14:solidFill>
          </w14:textFill>
        </w:rPr>
        <w:t xml:space="preserve">  1  </w:t>
      </w:r>
    </w:p>
    <w:p w14:paraId="4D49B3CC">
      <w:pPr>
        <w:pStyle w:val="76"/>
        <w:rPr>
          <w:color w:val="000000" w:themeColor="text1"/>
          <w14:textFill>
            <w14:solidFill>
              <w14:schemeClr w14:val="tx1"/>
            </w14:solidFill>
          </w14:textFill>
        </w:rPr>
      </w:pPr>
    </w:p>
    <w:p w14:paraId="4D27DF77">
      <w:pPr>
        <w:wordWrap w:val="0"/>
        <w:rPr>
          <w:rFonts w:ascii="宋体" w:hAnsi="宋体"/>
          <w:color w:val="000000" w:themeColor="text1"/>
          <w:sz w:val="28"/>
          <w:szCs w:val="28"/>
          <w14:textFill>
            <w14:solidFill>
              <w14:schemeClr w14:val="tx1"/>
            </w14:solidFill>
          </w14:textFill>
        </w:rPr>
      </w:pPr>
    </w:p>
    <w:p w14:paraId="264DA1B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（资格文件）</w:t>
      </w:r>
    </w:p>
    <w:p w14:paraId="73D28C95">
      <w:pPr>
        <w:wordWrap w:val="0"/>
        <w:jc w:val="center"/>
        <w:rPr>
          <w:rFonts w:ascii="宋体" w:hAnsi="宋体"/>
          <w:color w:val="000000" w:themeColor="text1"/>
          <w:sz w:val="28"/>
          <w:szCs w:val="28"/>
          <w14:textFill>
            <w14:solidFill>
              <w14:schemeClr w14:val="tx1"/>
            </w14:solidFill>
          </w14:textFill>
        </w:rPr>
      </w:pPr>
    </w:p>
    <w:p w14:paraId="38A55393">
      <w:pPr>
        <w:wordWrap w:val="0"/>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14:paraId="130CDD9B">
      <w:pPr>
        <w:wordWrap w:val="0"/>
        <w:spacing w:line="360" w:lineRule="auto"/>
        <w:jc w:val="center"/>
        <w:rPr>
          <w:rFonts w:ascii="宋体" w:hAnsi="宋体"/>
          <w:color w:val="000000" w:themeColor="text1"/>
          <w:sz w:val="36"/>
          <w:szCs w:val="36"/>
          <w14:textFill>
            <w14:solidFill>
              <w14:schemeClr w14:val="tx1"/>
            </w14:solidFill>
          </w14:textFill>
        </w:rPr>
      </w:pPr>
    </w:p>
    <w:p w14:paraId="1BBA6373">
      <w:pPr>
        <w:wordWrap w:val="0"/>
        <w:spacing w:line="360" w:lineRule="auto"/>
        <w:jc w:val="center"/>
        <w:rPr>
          <w:rFonts w:ascii="宋体" w:hAnsi="宋体"/>
          <w:color w:val="000000" w:themeColor="text1"/>
          <w:sz w:val="36"/>
          <w:szCs w:val="36"/>
          <w14:textFill>
            <w14:solidFill>
              <w14:schemeClr w14:val="tx1"/>
            </w14:solidFill>
          </w14:textFill>
        </w:rPr>
      </w:pPr>
    </w:p>
    <w:p w14:paraId="18B5CAAC">
      <w:pPr>
        <w:wordWrap w:val="0"/>
        <w:spacing w:line="360" w:lineRule="auto"/>
        <w:jc w:val="center"/>
        <w:rPr>
          <w:rFonts w:ascii="宋体" w:hAnsi="宋体"/>
          <w:color w:val="000000" w:themeColor="text1"/>
          <w:sz w:val="32"/>
          <w:szCs w:val="32"/>
          <w14:textFill>
            <w14:solidFill>
              <w14:schemeClr w14:val="tx1"/>
            </w14:solidFill>
          </w14:textFill>
        </w:rPr>
      </w:pPr>
    </w:p>
    <w:p w14:paraId="302C57F7">
      <w:pPr>
        <w:wordWrap w:val="0"/>
        <w:spacing w:line="360" w:lineRule="auto"/>
        <w:jc w:val="center"/>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供应商全称：</w:t>
      </w:r>
      <w:r>
        <w:rPr>
          <w:rFonts w:hint="eastAsia" w:ascii="宋体" w:hAnsi="宋体"/>
          <w:color w:val="000000" w:themeColor="text1"/>
          <w:sz w:val="28"/>
          <w:szCs w:val="28"/>
          <w:u w:val="single"/>
          <w14:textFill>
            <w14:solidFill>
              <w14:schemeClr w14:val="tx1"/>
            </w14:solidFill>
          </w14:textFill>
        </w:rPr>
        <w:t>（加盖单位公章）</w:t>
      </w:r>
    </w:p>
    <w:p w14:paraId="6DAC302C">
      <w:pPr>
        <w:pStyle w:val="24"/>
        <w:wordWrap w:val="0"/>
        <w:ind w:left="101" w:leftChars="48" w:firstLine="2240" w:firstLineChars="800"/>
        <w:jc w:val="left"/>
        <w:rPr>
          <w:rFonts w:hAnsi="宋体"/>
          <w:color w:val="000000" w:themeColor="text1"/>
          <w:kern w:val="2"/>
          <w:sz w:val="28"/>
          <w:szCs w:val="28"/>
          <w:u w:val="single"/>
          <w14:textFill>
            <w14:solidFill>
              <w14:schemeClr w14:val="tx1"/>
            </w14:solidFill>
          </w14:textFill>
        </w:rPr>
      </w:pPr>
    </w:p>
    <w:p w14:paraId="396F85A6">
      <w:pPr>
        <w:wordWrap w:val="0"/>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14:paraId="628BFCEE">
      <w:pPr>
        <w:wordWrap w:val="0"/>
        <w:spacing w:line="440" w:lineRule="exact"/>
        <w:jc w:val="center"/>
        <w:rPr>
          <w:rFonts w:ascii="宋体" w:hAnsi="宋体"/>
          <w:b/>
          <w:color w:val="000000" w:themeColor="text1"/>
          <w:szCs w:val="21"/>
          <w14:textFill>
            <w14:solidFill>
              <w14:schemeClr w14:val="tx1"/>
            </w14:solidFill>
          </w14:textFill>
        </w:rPr>
      </w:pPr>
      <w:r>
        <w:rPr>
          <w:rStyle w:val="101"/>
          <w:rFonts w:ascii="宋体" w:hAnsi="宋体"/>
          <w:color w:val="000000" w:themeColor="text1"/>
          <w:szCs w:val="21"/>
          <w14:textFill>
            <w14:solidFill>
              <w14:schemeClr w14:val="tx1"/>
            </w14:solidFill>
          </w14:textFill>
        </w:rPr>
        <w:br w:type="page"/>
      </w:r>
      <w:r>
        <w:rPr>
          <w:rFonts w:hint="eastAsia" w:ascii="宋体" w:hAnsi="宋体" w:eastAsia="宋体" w:cs="Times New Roman"/>
          <w:b/>
          <w:color w:val="000000" w:themeColor="text1"/>
          <w:sz w:val="32"/>
          <w:szCs w:val="32"/>
          <w14:textFill>
            <w14:solidFill>
              <w14:schemeClr w14:val="tx1"/>
            </w14:solidFill>
          </w14:textFill>
        </w:rPr>
        <w:t>A1、关于资格的承诺函</w:t>
      </w:r>
    </w:p>
    <w:p w14:paraId="537BA9A1">
      <w:pPr>
        <w:wordWrap w:val="0"/>
        <w:spacing w:line="440" w:lineRule="exact"/>
        <w:ind w:left="540" w:firstLine="30"/>
        <w:jc w:val="center"/>
        <w:rPr>
          <w:rFonts w:ascii="宋体" w:hAnsi="宋体"/>
          <w:b/>
          <w:color w:val="000000" w:themeColor="text1"/>
          <w:szCs w:val="21"/>
          <w14:textFill>
            <w14:solidFill>
              <w14:schemeClr w14:val="tx1"/>
            </w14:solidFill>
          </w14:textFill>
        </w:rPr>
      </w:pPr>
    </w:p>
    <w:p w14:paraId="4C23ADCF">
      <w:pPr>
        <w:wordWrap w:val="0"/>
        <w:spacing w:line="400" w:lineRule="exact"/>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致：采购人</w:t>
      </w:r>
    </w:p>
    <w:p w14:paraId="3808C5A8">
      <w:pPr>
        <w:wordWrap w:val="0"/>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我单位承诺：</w:t>
      </w:r>
    </w:p>
    <w:p w14:paraId="6CB97A55">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我单位满足《中华人民共和国政府采购法》第二十二条 供应商参加政府采购活动应当具备的下列条件：</w:t>
      </w:r>
    </w:p>
    <w:p w14:paraId="2560F0E0">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（一）具有独立承担民事责任的能力；</w:t>
      </w:r>
    </w:p>
    <w:p w14:paraId="6255DEB5">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（二）具有良好的商业信誉和健全的财务会计制度；</w:t>
      </w:r>
    </w:p>
    <w:p w14:paraId="59127FCF">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（三）具有履行合同所必需的设备和专业技术能力；</w:t>
      </w:r>
    </w:p>
    <w:p w14:paraId="4CEB7B66">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（四）有依法缴纳税收和社会保障资金的良好记录；</w:t>
      </w:r>
    </w:p>
    <w:p w14:paraId="2422B2EB">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（五）参加政府采购活动前三年内，在经营活动中没有重大违法记录；</w:t>
      </w:r>
    </w:p>
    <w:p w14:paraId="6F61A34F">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（六）法律、行政法规规定的其他条件。</w:t>
      </w:r>
    </w:p>
    <w:p w14:paraId="48204567">
      <w:pPr>
        <w:wordWrap w:val="0"/>
        <w:spacing w:line="400" w:lineRule="exact"/>
        <w:ind w:firstLine="420" w:firstLineChars="200"/>
        <w:rPr>
          <w:rFonts w:hint="eastAsia" w:ascii="宋体" w:hAnsi="宋体"/>
          <w:color w:val="000000" w:themeColor="text1"/>
          <w14:textFill>
            <w14:solidFill>
              <w14:schemeClr w14:val="tx1"/>
            </w14:solidFill>
          </w14:textFill>
        </w:rPr>
      </w:pPr>
    </w:p>
    <w:p w14:paraId="3107738F">
      <w:pPr>
        <w:wordWrap w:val="0"/>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特此承诺。</w:t>
      </w:r>
    </w:p>
    <w:p w14:paraId="345C6D99">
      <w:pPr>
        <w:wordWrap w:val="0"/>
        <w:spacing w:line="440" w:lineRule="exact"/>
        <w:rPr>
          <w:rFonts w:ascii="宋体" w:hAnsi="宋体"/>
          <w:color w:val="000000" w:themeColor="text1"/>
          <w:kern w:val="0"/>
          <w:szCs w:val="21"/>
          <w14:textFill>
            <w14:solidFill>
              <w14:schemeClr w14:val="tx1"/>
            </w14:solidFill>
          </w14:textFill>
        </w:rPr>
      </w:pPr>
    </w:p>
    <w:p w14:paraId="5EA103BF">
      <w:pPr>
        <w:wordWrap w:val="0"/>
        <w:spacing w:line="440" w:lineRule="exact"/>
        <w:rPr>
          <w:rFonts w:hint="eastAsia" w:ascii="宋体" w:hAnsi="宋体"/>
          <w:color w:val="000000" w:themeColor="text1"/>
          <w:kern w:val="0"/>
          <w:szCs w:val="21"/>
          <w14:textFill>
            <w14:solidFill>
              <w14:schemeClr w14:val="tx1"/>
            </w14:solidFill>
          </w14:textFill>
        </w:rPr>
      </w:pPr>
    </w:p>
    <w:p w14:paraId="571D6B9D">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0FDD3ADB">
      <w:pPr>
        <w:wordWrap w:val="0"/>
        <w:spacing w:line="440" w:lineRule="exact"/>
        <w:rPr>
          <w:rStyle w:val="101"/>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311C2CB6">
      <w:pPr>
        <w:wordWrap w:val="0"/>
        <w:spacing w:line="440" w:lineRule="exact"/>
        <w:rPr>
          <w:rFonts w:hint="eastAsia" w:ascii="宋体" w:hAnsi="宋体"/>
          <w:color w:val="000000" w:themeColor="text1"/>
          <w:szCs w:val="21"/>
          <w14:textFill>
            <w14:solidFill>
              <w14:schemeClr w14:val="tx1"/>
            </w14:solidFill>
          </w14:textFill>
        </w:rPr>
      </w:pPr>
      <w:r>
        <w:rPr>
          <w:rStyle w:val="101"/>
          <w:rFonts w:ascii="宋体" w:hAnsi="宋体"/>
          <w:color w:val="000000" w:themeColor="text1"/>
          <w:szCs w:val="21"/>
          <w14:textFill>
            <w14:solidFill>
              <w14:schemeClr w14:val="tx1"/>
            </w14:solidFill>
          </w14:textFill>
        </w:rPr>
        <w:br w:type="page"/>
      </w:r>
      <w:r>
        <w:rPr>
          <w:rFonts w:ascii="宋体" w:hAnsi="宋体"/>
          <w:b/>
          <w:color w:val="000000" w:themeColor="text1"/>
          <w:szCs w:val="21"/>
          <w14:textFill>
            <w14:solidFill>
              <w14:schemeClr w14:val="tx1"/>
            </w14:solidFill>
          </w14:textFill>
        </w:rPr>
        <w:t>A</w:t>
      </w:r>
      <w:r>
        <w:rPr>
          <w:rFonts w:hint="eastAsia" w:ascii="宋体" w:hAnsi="宋体"/>
          <w:b/>
          <w:color w:val="000000" w:themeColor="text1"/>
          <w:szCs w:val="21"/>
          <w14:textFill>
            <w14:solidFill>
              <w14:schemeClr w14:val="tx1"/>
            </w14:solidFill>
          </w14:textFill>
        </w:rPr>
        <w:t>2、营业执照副本（或事业法人登记证副本或其他登记证明材料）复印件加盖供应商公章（供应商如果有名称变更的，应提供由行政主管部门出具的变更证明文件复印件加盖供应商公章）；</w:t>
      </w:r>
    </w:p>
    <w:p w14:paraId="40A60FA7">
      <w:pPr>
        <w:wordWrap w:val="0"/>
        <w:spacing w:line="440" w:lineRule="exac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封面</w:t>
      </w:r>
      <w:r>
        <w:rPr>
          <w:rFonts w:ascii="宋体" w:hAnsi="宋体"/>
          <w:b/>
          <w:color w:val="000000" w:themeColor="text1"/>
          <w:sz w:val="32"/>
          <w:szCs w:val="32"/>
          <w14:textFill>
            <w14:solidFill>
              <w14:schemeClr w14:val="tx1"/>
            </w14:solidFill>
          </w14:textFill>
        </w:rPr>
        <w:t xml:space="preserve">                                       </w:t>
      </w:r>
    </w:p>
    <w:p w14:paraId="51E5CE51">
      <w:pPr>
        <w:wordWrap w:val="0"/>
        <w:spacing w:line="360" w:lineRule="auto"/>
        <w:rPr>
          <w:rFonts w:ascii="宋体" w:hAnsi="宋体"/>
          <w:b/>
          <w:color w:val="000000" w:themeColor="text1"/>
          <w:sz w:val="32"/>
          <w:szCs w:val="32"/>
          <w14:textFill>
            <w14:solidFill>
              <w14:schemeClr w14:val="tx1"/>
            </w14:solidFill>
          </w14:textFill>
        </w:rPr>
      </w:pPr>
    </w:p>
    <w:p w14:paraId="0FF3EC40">
      <w:pPr>
        <w:wordWrap w:val="0"/>
        <w:spacing w:line="360" w:lineRule="auto"/>
        <w:jc w:val="center"/>
        <w:outlineLvl w:val="0"/>
        <w:rPr>
          <w:rFonts w:hint="eastAsia" w:ascii="宋体" w:hAnsi="宋体"/>
          <w:b/>
          <w:color w:val="000000" w:themeColor="text1"/>
          <w:sz w:val="44"/>
          <w:szCs w:val="44"/>
          <w:lang w:eastAsia="zh-CN"/>
          <w14:textFill>
            <w14:solidFill>
              <w14:schemeClr w14:val="tx1"/>
            </w14:solidFill>
          </w14:textFill>
        </w:rPr>
      </w:pPr>
      <w:r>
        <w:rPr>
          <w:rFonts w:hint="eastAsia" w:ascii="宋体" w:hAnsi="宋体"/>
          <w:b/>
          <w:color w:val="000000" w:themeColor="text1"/>
          <w:sz w:val="44"/>
          <w:szCs w:val="44"/>
          <w:lang w:eastAsia="zh-CN"/>
          <w14:textFill>
            <w14:solidFill>
              <w14:schemeClr w14:val="tx1"/>
            </w14:solidFill>
          </w14:textFill>
        </w:rPr>
        <w:t>北仑区“六促六优专项行动”应用二期</w:t>
      </w:r>
    </w:p>
    <w:p w14:paraId="43F47948">
      <w:pPr>
        <w:pStyle w:val="76"/>
        <w:rPr>
          <w:rFonts w:hint="eastAsia"/>
          <w:color w:val="000000" w:themeColor="text1"/>
          <w:lang w:eastAsia="zh-CN"/>
          <w14:textFill>
            <w14:solidFill>
              <w14:schemeClr w14:val="tx1"/>
            </w14:solidFill>
          </w14:textFill>
        </w:rPr>
      </w:pPr>
    </w:p>
    <w:p w14:paraId="27DFF466">
      <w:pPr>
        <w:wordWrap w:val="0"/>
        <w:spacing w:line="360" w:lineRule="auto"/>
        <w:jc w:val="center"/>
        <w:rPr>
          <w:rFonts w:hint="eastAsia" w:ascii="宋体" w:hAnsi="宋体" w:eastAsia="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采购</w:t>
      </w:r>
      <w:r>
        <w:rPr>
          <w:rFonts w:hint="eastAsia" w:ascii="宋体" w:hAnsi="宋体" w:eastAsia="宋体" w:cs="Times New Roman"/>
          <w:color w:val="000000" w:themeColor="text1"/>
          <w:sz w:val="32"/>
          <w:szCs w:val="32"/>
          <w14:textFill>
            <w14:solidFill>
              <w14:schemeClr w14:val="tx1"/>
            </w14:solidFill>
          </w14:textFill>
        </w:rPr>
        <w:t>编号：</w:t>
      </w:r>
      <w:r>
        <w:rPr>
          <w:rFonts w:hint="eastAsia" w:ascii="宋体" w:hAnsi="宋体" w:eastAsia="宋体" w:cs="Times New Roman"/>
          <w:color w:val="000000" w:themeColor="text1"/>
          <w:sz w:val="32"/>
          <w:szCs w:val="32"/>
          <w:lang w:eastAsia="zh-CN"/>
          <w14:textFill>
            <w14:solidFill>
              <w14:schemeClr w14:val="tx1"/>
            </w14:solidFill>
          </w14:textFill>
        </w:rPr>
        <w:t>NBLQ2025017</w:t>
      </w:r>
    </w:p>
    <w:p w14:paraId="6EEE811E">
      <w:pPr>
        <w:wordWrap w:val="0"/>
        <w:spacing w:line="360" w:lineRule="auto"/>
        <w:jc w:val="center"/>
        <w:outlineLvl w:val="0"/>
        <w:rPr>
          <w:rFonts w:hint="default" w:ascii="宋体" w:hAnsi="宋体" w:eastAsia="宋体"/>
          <w:color w:val="000000" w:themeColor="text1"/>
          <w:sz w:val="32"/>
          <w:szCs w:val="32"/>
          <w:u w:val="single"/>
          <w:lang w:val="en-US" w:eastAsia="zh-CN"/>
          <w14:textFill>
            <w14:solidFill>
              <w14:schemeClr w14:val="tx1"/>
            </w14:solidFill>
          </w14:textFill>
        </w:rPr>
      </w:pPr>
      <w:bookmarkStart w:id="64" w:name="_Toc26952"/>
      <w:r>
        <w:rPr>
          <w:rFonts w:hint="eastAsia" w:ascii="宋体" w:hAnsi="宋体"/>
          <w:color w:val="000000" w:themeColor="text1"/>
          <w:sz w:val="32"/>
          <w:szCs w:val="32"/>
          <w14:textFill>
            <w14:solidFill>
              <w14:schemeClr w14:val="tx1"/>
            </w14:solidFill>
          </w14:textFill>
        </w:rPr>
        <w:t>子</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包：</w:t>
      </w:r>
      <w:bookmarkEnd w:id="64"/>
      <w:r>
        <w:rPr>
          <w:rFonts w:hint="eastAsia" w:ascii="宋体" w:hAnsi="宋体"/>
          <w:color w:val="000000" w:themeColor="text1"/>
          <w:sz w:val="32"/>
          <w:szCs w:val="32"/>
          <w:u w:val="single"/>
          <w:lang w:val="en-US" w:eastAsia="zh-CN"/>
          <w14:textFill>
            <w14:solidFill>
              <w14:schemeClr w14:val="tx1"/>
            </w14:solidFill>
          </w14:textFill>
        </w:rPr>
        <w:t xml:space="preserve">   1    </w:t>
      </w:r>
    </w:p>
    <w:p w14:paraId="1DF774AA">
      <w:pPr>
        <w:pStyle w:val="76"/>
        <w:rPr>
          <w:color w:val="000000" w:themeColor="text1"/>
          <w14:textFill>
            <w14:solidFill>
              <w14:schemeClr w14:val="tx1"/>
            </w14:solidFill>
          </w14:textFill>
        </w:rPr>
      </w:pPr>
    </w:p>
    <w:p w14:paraId="79BBAC7D">
      <w:pPr>
        <w:wordWrap w:val="0"/>
        <w:rPr>
          <w:rFonts w:ascii="宋体" w:hAnsi="宋体"/>
          <w:color w:val="000000" w:themeColor="text1"/>
          <w:sz w:val="28"/>
          <w:szCs w:val="28"/>
          <w14:textFill>
            <w14:solidFill>
              <w14:schemeClr w14:val="tx1"/>
            </w14:solidFill>
          </w14:textFill>
        </w:rPr>
      </w:pPr>
    </w:p>
    <w:p w14:paraId="3F93928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w:t>
      </w:r>
      <w:r>
        <w:rPr>
          <w:rFonts w:hint="eastAsia" w:ascii="宋体" w:hAnsi="宋体"/>
          <w:color w:val="000000" w:themeColor="text1"/>
          <w:sz w:val="36"/>
          <w:szCs w:val="36"/>
          <w:lang w:val="en-US" w:eastAsia="zh-CN"/>
          <w14:textFill>
            <w14:solidFill>
              <w14:schemeClr w14:val="tx1"/>
            </w14:solidFill>
          </w14:textFill>
        </w:rPr>
        <w:t>商务和技术文件</w:t>
      </w:r>
      <w:r>
        <w:rPr>
          <w:rFonts w:hint="eastAsia" w:ascii="宋体" w:hAnsi="宋体"/>
          <w:color w:val="000000" w:themeColor="text1"/>
          <w:sz w:val="36"/>
          <w:szCs w:val="36"/>
          <w14:textFill>
            <w14:solidFill>
              <w14:schemeClr w14:val="tx1"/>
            </w14:solidFill>
          </w14:textFill>
        </w:rPr>
        <w:t>）</w:t>
      </w:r>
    </w:p>
    <w:p w14:paraId="691F610E">
      <w:pPr>
        <w:wordWrap w:val="0"/>
        <w:jc w:val="center"/>
        <w:rPr>
          <w:rFonts w:ascii="宋体" w:hAnsi="宋体"/>
          <w:color w:val="000000" w:themeColor="text1"/>
          <w:sz w:val="28"/>
          <w:szCs w:val="28"/>
          <w14:textFill>
            <w14:solidFill>
              <w14:schemeClr w14:val="tx1"/>
            </w14:solidFill>
          </w14:textFill>
        </w:rPr>
      </w:pPr>
    </w:p>
    <w:p w14:paraId="2E7FE9BB">
      <w:pPr>
        <w:wordWrap w:val="0"/>
        <w:spacing w:line="360" w:lineRule="auto"/>
        <w:jc w:val="center"/>
        <w:outlineLvl w:val="0"/>
        <w:rPr>
          <w:rFonts w:ascii="宋体" w:hAnsi="宋体"/>
          <w:b/>
          <w:color w:val="000000" w:themeColor="text1"/>
          <w:sz w:val="72"/>
          <w:szCs w:val="72"/>
          <w14:textFill>
            <w14:solidFill>
              <w14:schemeClr w14:val="tx1"/>
            </w14:solidFill>
          </w14:textFill>
        </w:rPr>
      </w:pPr>
      <w:bookmarkStart w:id="65" w:name="_Toc12067"/>
      <w:r>
        <w:rPr>
          <w:rFonts w:hint="eastAsia" w:ascii="宋体" w:hAnsi="宋体"/>
          <w:b/>
          <w:color w:val="000000" w:themeColor="text1"/>
          <w:sz w:val="72"/>
          <w:szCs w:val="72"/>
          <w14:textFill>
            <w14:solidFill>
              <w14:schemeClr w14:val="tx1"/>
            </w14:solidFill>
          </w14:textFill>
        </w:rPr>
        <w:t>磋商响应文件</w:t>
      </w:r>
      <w:bookmarkEnd w:id="65"/>
    </w:p>
    <w:p w14:paraId="04327D1D">
      <w:pPr>
        <w:wordWrap w:val="0"/>
        <w:spacing w:line="360" w:lineRule="auto"/>
        <w:jc w:val="center"/>
        <w:rPr>
          <w:rFonts w:ascii="宋体" w:hAnsi="宋体"/>
          <w:color w:val="000000" w:themeColor="text1"/>
          <w:sz w:val="36"/>
          <w:szCs w:val="36"/>
          <w14:textFill>
            <w14:solidFill>
              <w14:schemeClr w14:val="tx1"/>
            </w14:solidFill>
          </w14:textFill>
        </w:rPr>
      </w:pPr>
    </w:p>
    <w:p w14:paraId="4F10C9C4">
      <w:pPr>
        <w:wordWrap w:val="0"/>
        <w:spacing w:line="360" w:lineRule="auto"/>
        <w:jc w:val="center"/>
        <w:rPr>
          <w:rFonts w:ascii="宋体" w:hAnsi="宋体"/>
          <w:color w:val="000000" w:themeColor="text1"/>
          <w:sz w:val="36"/>
          <w:szCs w:val="36"/>
          <w14:textFill>
            <w14:solidFill>
              <w14:schemeClr w14:val="tx1"/>
            </w14:solidFill>
          </w14:textFill>
        </w:rPr>
      </w:pPr>
    </w:p>
    <w:p w14:paraId="468EFD81">
      <w:pPr>
        <w:wordWrap w:val="0"/>
        <w:spacing w:line="360" w:lineRule="auto"/>
        <w:jc w:val="center"/>
        <w:rPr>
          <w:rFonts w:ascii="宋体" w:hAnsi="宋体"/>
          <w:color w:val="000000" w:themeColor="text1"/>
          <w:sz w:val="32"/>
          <w:szCs w:val="32"/>
          <w14:textFill>
            <w14:solidFill>
              <w14:schemeClr w14:val="tx1"/>
            </w14:solidFill>
          </w14:textFill>
        </w:rPr>
      </w:pPr>
    </w:p>
    <w:p w14:paraId="5AB06662">
      <w:pPr>
        <w:wordWrap w:val="0"/>
        <w:spacing w:line="360" w:lineRule="auto"/>
        <w:jc w:val="center"/>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供应商全称：</w:t>
      </w:r>
      <w:r>
        <w:rPr>
          <w:rFonts w:hint="eastAsia" w:ascii="宋体" w:hAnsi="宋体"/>
          <w:color w:val="000000" w:themeColor="text1"/>
          <w:sz w:val="28"/>
          <w:szCs w:val="28"/>
          <w:u w:val="single"/>
          <w14:textFill>
            <w14:solidFill>
              <w14:schemeClr w14:val="tx1"/>
            </w14:solidFill>
          </w14:textFill>
        </w:rPr>
        <w:t>（加盖单位公章）</w:t>
      </w:r>
    </w:p>
    <w:p w14:paraId="053EE1F6">
      <w:pPr>
        <w:pStyle w:val="24"/>
        <w:wordWrap w:val="0"/>
        <w:ind w:left="101" w:leftChars="48" w:firstLine="2240" w:firstLineChars="800"/>
        <w:jc w:val="left"/>
        <w:rPr>
          <w:rFonts w:hAnsi="宋体"/>
          <w:color w:val="000000" w:themeColor="text1"/>
          <w:kern w:val="2"/>
          <w:sz w:val="28"/>
          <w:szCs w:val="28"/>
          <w:u w:val="single"/>
          <w14:textFill>
            <w14:solidFill>
              <w14:schemeClr w14:val="tx1"/>
            </w14:solidFill>
          </w14:textFill>
        </w:rPr>
      </w:pPr>
    </w:p>
    <w:p w14:paraId="3754E97B">
      <w:pPr>
        <w:wordWrap w:val="0"/>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14:paraId="738319F0">
      <w:pPr>
        <w:pStyle w:val="39"/>
        <w:wordWrap w:val="0"/>
        <w:spacing w:before="0" w:beforeAutospacing="0" w:after="0" w:afterAutospacing="0" w:line="440" w:lineRule="exact"/>
        <w:ind w:right="159"/>
        <w:jc w:val="center"/>
        <w:rPr>
          <w:rFonts w:hint="eastAsia"/>
          <w:b/>
          <w:color w:val="000000" w:themeColor="text1"/>
          <w:sz w:val="21"/>
          <w:szCs w:val="21"/>
          <w14:textFill>
            <w14:solidFill>
              <w14:schemeClr w14:val="tx1"/>
            </w14:solidFill>
          </w14:textFill>
        </w:rPr>
      </w:pPr>
      <w:r>
        <w:rPr>
          <w:rStyle w:val="101"/>
          <w:color w:val="000000" w:themeColor="text1"/>
          <w:sz w:val="21"/>
          <w:szCs w:val="21"/>
          <w14:textFill>
            <w14:solidFill>
              <w14:schemeClr w14:val="tx1"/>
            </w14:solidFill>
          </w14:textFill>
        </w:rPr>
        <w:br w:type="page"/>
      </w:r>
      <w:r>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t>B1、磋商函</w:t>
      </w:r>
    </w:p>
    <w:p w14:paraId="4B4FE472">
      <w:pPr>
        <w:wordWrap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w:t>
      </w:r>
    </w:p>
    <w:p w14:paraId="7A8B9ED4">
      <w:pPr>
        <w:wordWrap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（供应商全称）　</w:t>
      </w:r>
      <w:r>
        <w:rPr>
          <w:rFonts w:hint="eastAsia" w:ascii="宋体" w:hAnsi="宋体"/>
          <w:color w:val="000000" w:themeColor="text1"/>
          <w:szCs w:val="21"/>
          <w14:textFill>
            <w14:solidFill>
              <w14:schemeClr w14:val="tx1"/>
            </w14:solidFill>
          </w14:textFill>
        </w:rPr>
        <w:t>授权</w:t>
      </w:r>
      <w:r>
        <w:rPr>
          <w:rFonts w:hint="eastAsia" w:ascii="宋体" w:hAnsi="宋体"/>
          <w:color w:val="000000" w:themeColor="text1"/>
          <w:szCs w:val="21"/>
          <w:u w:val="single"/>
          <w14:textFill>
            <w14:solidFill>
              <w14:schemeClr w14:val="tx1"/>
            </w14:solidFill>
          </w14:textFill>
        </w:rPr>
        <w:t xml:space="preserve">  （全名、职务）  </w:t>
      </w:r>
      <w:r>
        <w:rPr>
          <w:rFonts w:hint="eastAsia" w:ascii="宋体" w:hAnsi="宋体"/>
          <w:color w:val="000000" w:themeColor="text1"/>
          <w:szCs w:val="21"/>
          <w14:textFill>
            <w14:solidFill>
              <w14:schemeClr w14:val="tx1"/>
            </w14:solidFill>
          </w14:textFill>
        </w:rPr>
        <w:t>为本公司合法代理人，参加贵方组织的</w:t>
      </w:r>
      <w:r>
        <w:rPr>
          <w:rFonts w:hint="eastAsia" w:ascii="宋体" w:hAnsi="宋体"/>
          <w:color w:val="000000" w:themeColor="text1"/>
          <w:szCs w:val="21"/>
          <w:u w:val="single"/>
          <w:lang w:eastAsia="zh-CN"/>
          <w14:textFill>
            <w14:solidFill>
              <w14:schemeClr w14:val="tx1"/>
            </w14:solidFill>
          </w14:textFill>
        </w:rPr>
        <w:t>北仑区“六促六优专项行动”应用二期</w:t>
      </w: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w:t>
      </w:r>
      <w:r>
        <w:rPr>
          <w:rFonts w:hint="eastAsia" w:ascii="宋体" w:hAnsi="宋体"/>
          <w:color w:val="000000" w:themeColor="text1"/>
          <w:szCs w:val="21"/>
          <w14:textFill>
            <w14:solidFill>
              <w14:schemeClr w14:val="tx1"/>
            </w14:solidFill>
          </w14:textFill>
        </w:rPr>
        <w:t>）竞争性磋商活动，代表本公司处理本次项目中的一切事宜，在此：</w:t>
      </w:r>
    </w:p>
    <w:p w14:paraId="479D3FDB">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1、提供竞争性磋商文件中“磋商须知”规定的全部磋商响应文件。</w:t>
      </w:r>
    </w:p>
    <w:p w14:paraId="26402347">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2、据此函，签字代表宣布并承诺如下：</w:t>
      </w:r>
    </w:p>
    <w:p w14:paraId="144797B2">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（1）磋商报价为报价一览表载明的磋商报价。</w:t>
      </w:r>
    </w:p>
    <w:p w14:paraId="471BDAA8">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本报价已经包含了本次项目应纳的税金及竞争性磋商文件规定的报价方式应包含的其它费用。本报价在磋商有效期内固定不变，并在合同有效期内不受利率波动的影响。</w:t>
      </w:r>
    </w:p>
    <w:p w14:paraId="66DC1EE7">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（2）本磋商响应文件自磋商响应文件递交截止之日起</w:t>
      </w:r>
      <w:r>
        <w:rPr>
          <w:rFonts w:hint="eastAsia" w:ascii="宋体" w:hAnsi="宋体"/>
          <w:color w:val="000000" w:themeColor="text1"/>
          <w:szCs w:val="21"/>
          <w:u w:val="single"/>
          <w14:textFill>
            <w14:solidFill>
              <w14:schemeClr w14:val="tx1"/>
            </w14:solidFill>
          </w14:textFill>
        </w:rPr>
        <w:t xml:space="preserve">  90  </w:t>
      </w:r>
      <w:r>
        <w:rPr>
          <w:rFonts w:hint="eastAsia" w:ascii="宋体" w:hAnsi="宋体"/>
          <w:color w:val="000000" w:themeColor="text1"/>
          <w:szCs w:val="21"/>
          <w14:textFill>
            <w14:solidFill>
              <w14:schemeClr w14:val="tx1"/>
            </w14:solidFill>
          </w14:textFill>
        </w:rPr>
        <w:t>天内有效。</w:t>
      </w:r>
    </w:p>
    <w:p w14:paraId="53851D50">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（3）我们已详细审查全部竞争性磋商文件及有关的澄清/修改文件(若有)，我们完全理解并同意放弃对这方面提出任何异议的权利。</w:t>
      </w:r>
    </w:p>
    <w:p w14:paraId="6B3038BA">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（4）保证遵守竞争性磋商文件有关条款规定。</w:t>
      </w:r>
    </w:p>
    <w:p w14:paraId="72982E03">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（5）保证在确定成交后忠实地执行与采购人所签署的合同，并承担合同规定的责任义务。</w:t>
      </w:r>
    </w:p>
    <w:p w14:paraId="2C396836">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完全同意竞争性磋商文件中有关代理服务费的条款，保证在确定成交后按照竞争性磋商文件规定的金额、时间和方式，向贵方一次性交纳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参加，我们自愿放弃任何方式进行抗辩的权力。</w:t>
      </w:r>
    </w:p>
    <w:p w14:paraId="583610BF">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928E01B">
      <w:pPr>
        <w:wordWrap w:val="0"/>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3、与本项目磋商有关的一切往来通讯请寄：</w:t>
      </w:r>
    </w:p>
    <w:p w14:paraId="28D6BB7E">
      <w:pPr>
        <w:wordWrap w:val="0"/>
        <w:spacing w:line="36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p>
    <w:p w14:paraId="381F06FA">
      <w:pPr>
        <w:wordWrap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传真：</w:t>
      </w:r>
      <w:r>
        <w:rPr>
          <w:rFonts w:hint="eastAsia" w:ascii="宋体" w:hAnsi="宋体"/>
          <w:color w:val="000000" w:themeColor="text1"/>
          <w:szCs w:val="21"/>
          <w:u w:val="single"/>
          <w14:textFill>
            <w14:solidFill>
              <w14:schemeClr w14:val="tx1"/>
            </w14:solidFill>
          </w14:textFill>
        </w:rPr>
        <w:t xml:space="preserve">             </w:t>
      </w:r>
    </w:p>
    <w:p w14:paraId="0B2B25C2">
      <w:pPr>
        <w:wordWrap w:val="0"/>
        <w:spacing w:line="360" w:lineRule="exact"/>
        <w:jc w:val="left"/>
        <w:rPr>
          <w:rFonts w:ascii="宋体" w:hAnsi="宋体"/>
          <w:color w:val="000000" w:themeColor="text1"/>
          <w:szCs w:val="21"/>
          <w14:textFill>
            <w14:solidFill>
              <w14:schemeClr w14:val="tx1"/>
            </w14:solidFill>
          </w14:textFill>
        </w:rPr>
      </w:pPr>
    </w:p>
    <w:p w14:paraId="1CD142C6">
      <w:pPr>
        <w:wordWrap w:val="0"/>
        <w:spacing w:line="360" w:lineRule="exact"/>
        <w:jc w:val="left"/>
        <w:rPr>
          <w:rFonts w:ascii="宋体" w:hAnsi="宋体"/>
          <w:color w:val="000000" w:themeColor="text1"/>
          <w:szCs w:val="21"/>
          <w14:textFill>
            <w14:solidFill>
              <w14:schemeClr w14:val="tx1"/>
            </w14:solidFill>
          </w14:textFill>
        </w:rPr>
      </w:pPr>
    </w:p>
    <w:p w14:paraId="38253210">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564645F7">
      <w:pPr>
        <w:wordWrap w:val="0"/>
        <w:snapToGrid w:val="0"/>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5FE1B19A">
      <w:pPr>
        <w:wordWrap w:val="0"/>
        <w:spacing w:line="440" w:lineRule="exact"/>
        <w:jc w:val="center"/>
        <w:outlineLvl w:val="0"/>
        <w:rPr>
          <w:rFonts w:hint="eastAsia" w:ascii="宋体" w:hAnsi="宋体"/>
          <w:b/>
          <w:color w:val="000000" w:themeColor="text1"/>
          <w:szCs w:val="21"/>
          <w14:textFill>
            <w14:solidFill>
              <w14:schemeClr w14:val="tx1"/>
            </w14:solidFill>
          </w14:textFill>
        </w:rPr>
      </w:pPr>
      <w:r>
        <w:rPr>
          <w:rStyle w:val="101"/>
          <w:rFonts w:ascii="宋体" w:hAnsi="宋体"/>
          <w:color w:val="000000" w:themeColor="text1"/>
          <w:sz w:val="21"/>
          <w:szCs w:val="21"/>
          <w14:textFill>
            <w14:solidFill>
              <w14:schemeClr w14:val="tx1"/>
            </w14:solidFill>
          </w14:textFill>
        </w:rPr>
        <w:br w:type="page"/>
      </w:r>
      <w:bookmarkStart w:id="66" w:name="_Toc15116"/>
      <w:r>
        <w:rPr>
          <w:rFonts w:hint="eastAsia" w:ascii="宋体" w:hAnsi="宋体"/>
          <w:b/>
          <w:color w:val="000000" w:themeColor="text1"/>
          <w:sz w:val="32"/>
          <w:szCs w:val="32"/>
          <w14:textFill>
            <w14:solidFill>
              <w14:schemeClr w14:val="tx1"/>
            </w14:solidFill>
          </w14:textFill>
        </w:rPr>
        <w:t>B</w:t>
      </w:r>
      <w:r>
        <w:rPr>
          <w:rFonts w:ascii="宋体" w:hAnsi="宋体"/>
          <w:b/>
          <w:color w:val="000000" w:themeColor="text1"/>
          <w:sz w:val="32"/>
          <w:szCs w:val="32"/>
          <w14:textFill>
            <w14:solidFill>
              <w14:schemeClr w14:val="tx1"/>
            </w14:solidFill>
          </w14:textFill>
        </w:rPr>
        <w:t>2</w:t>
      </w:r>
      <w:r>
        <w:rPr>
          <w:rFonts w:hint="eastAsia" w:ascii="宋体" w:hAnsi="宋体"/>
          <w:b/>
          <w:color w:val="000000" w:themeColor="text1"/>
          <w:sz w:val="32"/>
          <w:szCs w:val="32"/>
          <w14:textFill>
            <w14:solidFill>
              <w14:schemeClr w14:val="tx1"/>
            </w14:solidFill>
          </w14:textFill>
        </w:rPr>
        <w:t>、</w:t>
      </w:r>
      <w:r>
        <w:rPr>
          <w:rFonts w:ascii="宋体" w:hAnsi="宋体"/>
          <w:b/>
          <w:color w:val="000000" w:themeColor="text1"/>
          <w:sz w:val="32"/>
          <w:szCs w:val="32"/>
          <w14:textFill>
            <w14:solidFill>
              <w14:schemeClr w14:val="tx1"/>
            </w14:solidFill>
          </w14:textFill>
        </w:rPr>
        <w:t>法定代表人身份证明</w:t>
      </w:r>
      <w:bookmarkEnd w:id="66"/>
    </w:p>
    <w:p w14:paraId="23238A6D">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供应商名称：</w:t>
      </w:r>
      <w:r>
        <w:rPr>
          <w:rFonts w:ascii="宋体" w:hAnsi="宋体"/>
          <w:color w:val="000000" w:themeColor="text1"/>
          <w:szCs w:val="21"/>
          <w:u w:val="single"/>
          <w14:textFill>
            <w14:solidFill>
              <w14:schemeClr w14:val="tx1"/>
            </w14:solidFill>
          </w14:textFill>
        </w:rPr>
        <w:t xml:space="preserve">                                  </w:t>
      </w:r>
    </w:p>
    <w:p w14:paraId="378C7AE8">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单位性质：</w:t>
      </w:r>
      <w:r>
        <w:rPr>
          <w:rFonts w:ascii="宋体" w:hAnsi="宋体"/>
          <w:color w:val="000000" w:themeColor="text1"/>
          <w:szCs w:val="21"/>
          <w:u w:val="single"/>
          <w14:textFill>
            <w14:solidFill>
              <w14:schemeClr w14:val="tx1"/>
            </w14:solidFill>
          </w14:textFill>
        </w:rPr>
        <w:t xml:space="preserve">                                    </w:t>
      </w:r>
    </w:p>
    <w:p w14:paraId="66C79CD8">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地址：</w:t>
      </w:r>
      <w:r>
        <w:rPr>
          <w:rFonts w:ascii="宋体" w:hAnsi="宋体"/>
          <w:color w:val="000000" w:themeColor="text1"/>
          <w:szCs w:val="21"/>
          <w:u w:val="single"/>
          <w14:textFill>
            <w14:solidFill>
              <w14:schemeClr w14:val="tx1"/>
            </w14:solidFill>
          </w14:textFill>
        </w:rPr>
        <w:t xml:space="preserve">                                        </w:t>
      </w:r>
    </w:p>
    <w:p w14:paraId="61EA2264">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成立时间：</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w:t>
      </w:r>
    </w:p>
    <w:p w14:paraId="331D3316">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经营期限：</w:t>
      </w:r>
      <w:r>
        <w:rPr>
          <w:rFonts w:ascii="宋体" w:hAnsi="宋体"/>
          <w:color w:val="000000" w:themeColor="text1"/>
          <w:szCs w:val="21"/>
          <w:u w:val="single"/>
          <w14:textFill>
            <w14:solidFill>
              <w14:schemeClr w14:val="tx1"/>
            </w14:solidFill>
          </w14:textFill>
        </w:rPr>
        <w:t xml:space="preserve">                                     </w:t>
      </w:r>
    </w:p>
    <w:p w14:paraId="03DEFB5E">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姓名：</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性别：</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年龄：</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职务：</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649F31A0">
      <w:pPr>
        <w:wordWrap w:val="0"/>
        <w:spacing w:after="120" w:afterLines="50"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 xml:space="preserve">                           </w:t>
      </w:r>
    </w:p>
    <w:p w14:paraId="4011A883">
      <w:pPr>
        <w:wordWrap w:val="0"/>
        <w:spacing w:line="400" w:lineRule="exact"/>
        <w:ind w:firstLine="560"/>
        <w:rPr>
          <w:rFonts w:ascii="宋体" w:hAnsi="宋体"/>
          <w:color w:val="000000" w:themeColor="text1"/>
          <w:szCs w:val="21"/>
          <w14:textFill>
            <w14:solidFill>
              <w14:schemeClr w14:val="tx1"/>
            </w14:solidFill>
          </w14:textFill>
        </w:rPr>
      </w:pPr>
    </w:p>
    <w:p w14:paraId="3E856545">
      <w:pPr>
        <w:wordWrap w:val="0"/>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系</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（供应商名称）的法定代表人。</w:t>
      </w:r>
    </w:p>
    <w:p w14:paraId="1F4D2B9E">
      <w:pPr>
        <w:wordWrap w:val="0"/>
        <w:spacing w:line="440" w:lineRule="exact"/>
        <w:ind w:firstLine="560"/>
        <w:rPr>
          <w:rFonts w:ascii="宋体" w:hAnsi="宋体"/>
          <w:color w:val="000000" w:themeColor="text1"/>
          <w:szCs w:val="21"/>
          <w14:textFill>
            <w14:solidFill>
              <w14:schemeClr w14:val="tx1"/>
            </w14:solidFill>
          </w14:textFill>
        </w:rPr>
      </w:pPr>
    </w:p>
    <w:p w14:paraId="6D039ABA">
      <w:pPr>
        <w:wordWrap w:val="0"/>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特此证明。</w:t>
      </w:r>
    </w:p>
    <w:p w14:paraId="7826020F">
      <w:pPr>
        <w:wordWrap w:val="0"/>
        <w:spacing w:line="440" w:lineRule="exact"/>
        <w:rPr>
          <w:rFonts w:hint="eastAsia" w:ascii="宋体" w:hAnsi="宋体"/>
          <w:color w:val="000000" w:themeColor="text1"/>
          <w:szCs w:val="21"/>
          <w14:textFill>
            <w14:solidFill>
              <w14:schemeClr w14:val="tx1"/>
            </w14:solidFill>
          </w14:textFill>
        </w:rPr>
      </w:pPr>
    </w:p>
    <w:p w14:paraId="1B9CC103">
      <w:pPr>
        <w:wordWrap w:val="0"/>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639AC622">
      <w:pPr>
        <w:wordWrap w:val="0"/>
        <w:spacing w:line="440" w:lineRule="exact"/>
        <w:ind w:right="56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日期：   年    月    日</w:t>
      </w:r>
    </w:p>
    <w:p w14:paraId="07574826">
      <w:pPr>
        <w:wordWrap w:val="0"/>
        <w:spacing w:line="440" w:lineRule="exact"/>
        <w:rPr>
          <w:rFonts w:hint="eastAsia" w:ascii="宋体" w:hAnsi="宋体"/>
          <w:color w:val="000000" w:themeColor="text1"/>
          <w:szCs w:val="21"/>
          <w:u w:val="single"/>
          <w14:textFill>
            <w14:solidFill>
              <w14:schemeClr w14:val="tx1"/>
            </w14:solidFill>
          </w14:textFill>
        </w:rPr>
      </w:pPr>
    </w:p>
    <w:p w14:paraId="08BBBD2B">
      <w:pPr>
        <w:wordWrap w:val="0"/>
        <w:spacing w:line="440" w:lineRule="exact"/>
        <w:rPr>
          <w:rFonts w:hint="eastAsia" w:ascii="宋体" w:hAnsi="宋体"/>
          <w:color w:val="000000" w:themeColor="text1"/>
          <w:szCs w:val="21"/>
          <w:u w:val="single"/>
          <w14:textFill>
            <w14:solidFill>
              <w14:schemeClr w14:val="tx1"/>
            </w14:solidFill>
          </w14:textFill>
        </w:rPr>
      </w:pPr>
    </w:p>
    <w:p w14:paraId="0B8F107A">
      <w:pPr>
        <w:wordWrap w:val="0"/>
        <w:spacing w:line="44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后附：（如不在同页，须加盖供应商公章）</w:t>
      </w:r>
    </w:p>
    <w:p w14:paraId="0BE1CA6E">
      <w:pPr>
        <w:wordWrap w:val="0"/>
        <w:spacing w:line="44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1、法定代表人身份证复印件。</w:t>
      </w:r>
    </w:p>
    <w:p w14:paraId="20E49669">
      <w:pPr>
        <w:wordWrap w:val="0"/>
        <w:spacing w:line="440" w:lineRule="exact"/>
        <w:jc w:val="left"/>
        <w:rPr>
          <w:rStyle w:val="101"/>
          <w:rFonts w:hint="eastAsia" w:ascii="宋体" w:hAnsi="宋体"/>
          <w:color w:val="000000" w:themeColor="text1"/>
          <w:sz w:val="21"/>
          <w:szCs w:val="21"/>
          <w14:textFill>
            <w14:solidFill>
              <w14:schemeClr w14:val="tx1"/>
            </w14:solidFill>
          </w14:textFill>
        </w:rPr>
      </w:pPr>
    </w:p>
    <w:p w14:paraId="0BC5195F">
      <w:pPr>
        <w:wordWrap w:val="0"/>
        <w:spacing w:line="440" w:lineRule="exact"/>
        <w:jc w:val="left"/>
        <w:rPr>
          <w:rStyle w:val="101"/>
          <w:rFonts w:hint="eastAsia" w:ascii="宋体" w:hAnsi="宋体"/>
          <w:color w:val="000000" w:themeColor="text1"/>
          <w:sz w:val="21"/>
          <w:szCs w:val="21"/>
          <w14:textFill>
            <w14:solidFill>
              <w14:schemeClr w14:val="tx1"/>
            </w14:solidFill>
          </w14:textFill>
        </w:rPr>
      </w:pPr>
    </w:p>
    <w:p w14:paraId="41C6FF14">
      <w:pPr>
        <w:wordWrap w:val="0"/>
        <w:spacing w:line="440" w:lineRule="exact"/>
        <w:jc w:val="center"/>
        <w:rPr>
          <w:rFonts w:hint="eastAsia" w:ascii="宋体" w:hAnsi="宋体"/>
          <w:b/>
          <w:color w:val="000000" w:themeColor="text1"/>
          <w:szCs w:val="21"/>
          <w14:textFill>
            <w14:solidFill>
              <w14:schemeClr w14:val="tx1"/>
            </w14:solidFill>
          </w14:textFill>
        </w:rPr>
      </w:pPr>
      <w:r>
        <w:rPr>
          <w:rStyle w:val="101"/>
          <w:rFonts w:ascii="宋体" w:hAnsi="宋体"/>
          <w:color w:val="000000" w:themeColor="text1"/>
          <w:sz w:val="21"/>
          <w:szCs w:val="21"/>
          <w14:textFill>
            <w14:solidFill>
              <w14:schemeClr w14:val="tx1"/>
            </w14:solidFill>
          </w14:textFill>
        </w:rPr>
        <w:br w:type="page"/>
      </w:r>
      <w:r>
        <w:rPr>
          <w:rFonts w:hint="eastAsia" w:ascii="宋体" w:hAnsi="宋体" w:eastAsia="宋体" w:cs="Times New Roman"/>
          <w:b/>
          <w:color w:val="000000" w:themeColor="text1"/>
          <w:sz w:val="32"/>
          <w:szCs w:val="32"/>
          <w14:textFill>
            <w14:solidFill>
              <w14:schemeClr w14:val="tx1"/>
            </w14:solidFill>
          </w14:textFill>
        </w:rPr>
        <w:t>B3、法定代表人授权书</w:t>
      </w:r>
    </w:p>
    <w:p w14:paraId="20F58ED4">
      <w:pPr>
        <w:wordWrap w:val="0"/>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0D051E91">
      <w:pPr>
        <w:wordWrap w:val="0"/>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（供应商全称）</w:t>
      </w: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（法定代表人姓名）</w:t>
      </w:r>
      <w:r>
        <w:rPr>
          <w:rFonts w:hint="eastAsia" w:ascii="宋体" w:hAnsi="宋体"/>
          <w:color w:val="000000" w:themeColor="text1"/>
          <w:szCs w:val="21"/>
          <w14:textFill>
            <w14:solidFill>
              <w14:schemeClr w14:val="tx1"/>
            </w14:solidFill>
          </w14:textFill>
        </w:rPr>
        <w:t>授权</w:t>
      </w:r>
      <w:r>
        <w:rPr>
          <w:rFonts w:hint="eastAsia" w:ascii="宋体" w:hAnsi="宋体"/>
          <w:color w:val="000000" w:themeColor="text1"/>
          <w:szCs w:val="21"/>
          <w:u w:val="single"/>
          <w14:textFill>
            <w14:solidFill>
              <w14:schemeClr w14:val="tx1"/>
            </w14:solidFill>
          </w14:textFill>
        </w:rPr>
        <w:t xml:space="preserve"> （授权代表姓名）</w:t>
      </w:r>
      <w:r>
        <w:rPr>
          <w:rFonts w:hint="eastAsia" w:ascii="宋体" w:hAnsi="宋体"/>
          <w:color w:val="000000" w:themeColor="text1"/>
          <w:szCs w:val="21"/>
          <w14:textFill>
            <w14:solidFill>
              <w14:schemeClr w14:val="tx1"/>
            </w14:solidFill>
          </w14:textFill>
        </w:rPr>
        <w:t>为授权代表，参加</w:t>
      </w:r>
      <w:r>
        <w:rPr>
          <w:rFonts w:hint="eastAsia" w:ascii="宋体" w:hAnsi="宋体"/>
          <w:color w:val="000000" w:themeColor="text1"/>
          <w:szCs w:val="21"/>
          <w:u w:val="single"/>
          <w:lang w:eastAsia="zh-CN"/>
          <w14:textFill>
            <w14:solidFill>
              <w14:schemeClr w14:val="tx1"/>
            </w14:solidFill>
          </w14:textFill>
        </w:rPr>
        <w:t>北仑区“六促六优专项行动”应用二期</w:t>
      </w: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w:t>
      </w:r>
      <w:r>
        <w:rPr>
          <w:rFonts w:hint="eastAsia" w:ascii="宋体" w:hAnsi="宋体"/>
          <w:color w:val="000000" w:themeColor="text1"/>
          <w:szCs w:val="21"/>
          <w14:textFill>
            <w14:solidFill>
              <w14:schemeClr w14:val="tx1"/>
            </w14:solidFill>
          </w14:textFill>
        </w:rPr>
        <w:t>）磋商活动，其在磋商活动中的一切行为本单位均予承认。</w:t>
      </w:r>
    </w:p>
    <w:p w14:paraId="550BFCA5">
      <w:pPr>
        <w:wordWrap w:val="0"/>
        <w:spacing w:line="440" w:lineRule="exact"/>
        <w:jc w:val="left"/>
        <w:rPr>
          <w:rFonts w:hint="eastAsia" w:ascii="宋体" w:hAnsi="宋体"/>
          <w:color w:val="000000" w:themeColor="text1"/>
          <w:szCs w:val="21"/>
          <w14:textFill>
            <w14:solidFill>
              <w14:schemeClr w14:val="tx1"/>
            </w14:solidFill>
          </w14:textFill>
        </w:rPr>
      </w:pPr>
    </w:p>
    <w:p w14:paraId="3D03810D">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0891A702">
      <w:pPr>
        <w:wordWrap w:val="0"/>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52178BAC">
      <w:pPr>
        <w:wordWrap w:val="0"/>
        <w:spacing w:line="44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71AFB474">
      <w:pPr>
        <w:wordWrap w:val="0"/>
        <w:spacing w:line="440" w:lineRule="exact"/>
        <w:rPr>
          <w:rFonts w:hint="eastAsia" w:ascii="宋体" w:hAnsi="宋体"/>
          <w:color w:val="000000" w:themeColor="text1"/>
          <w:szCs w:val="21"/>
          <w14:textFill>
            <w14:solidFill>
              <w14:schemeClr w14:val="tx1"/>
            </w14:solidFill>
          </w14:textFill>
        </w:rPr>
      </w:pPr>
    </w:p>
    <w:p w14:paraId="18A7AB1B">
      <w:pPr>
        <w:wordWrap w:val="0"/>
        <w:spacing w:line="440" w:lineRule="exact"/>
        <w:rPr>
          <w:rFonts w:hint="eastAsia" w:ascii="宋体" w:hAnsi="宋体"/>
          <w:color w:val="000000" w:themeColor="text1"/>
          <w:szCs w:val="21"/>
          <w14:textFill>
            <w14:solidFill>
              <w14:schemeClr w14:val="tx1"/>
            </w14:solidFill>
          </w14:textFill>
        </w:rPr>
      </w:pPr>
    </w:p>
    <w:p w14:paraId="2BD46286">
      <w:pPr>
        <w:wordWrap w:val="0"/>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w:t>
      </w:r>
    </w:p>
    <w:p w14:paraId="16EC082E">
      <w:pPr>
        <w:wordWrap w:val="0"/>
        <w:spacing w:line="440" w:lineRule="exact"/>
        <w:ind w:firstLine="555"/>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授权代表姓名：</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15432633">
      <w:pPr>
        <w:wordWrap w:val="0"/>
        <w:spacing w:line="440" w:lineRule="exact"/>
        <w:ind w:firstLine="555"/>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授权代表身份证号码：</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59AF92A9">
      <w:pPr>
        <w:wordWrap w:val="0"/>
        <w:spacing w:line="440" w:lineRule="exact"/>
        <w:ind w:firstLine="555"/>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6C696595">
      <w:pPr>
        <w:wordWrap w:val="0"/>
        <w:spacing w:line="440" w:lineRule="exact"/>
        <w:ind w:firstLine="555"/>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详细通讯地址：</w:t>
      </w:r>
      <w:r>
        <w:rPr>
          <w:rFonts w:hint="eastAsia" w:ascii="宋体" w:hAnsi="宋体"/>
          <w:color w:val="000000" w:themeColor="text1"/>
          <w:szCs w:val="21"/>
          <w:u w:val="single"/>
          <w14:textFill>
            <w14:solidFill>
              <w14:schemeClr w14:val="tx1"/>
            </w14:solidFill>
          </w14:textFill>
        </w:rPr>
        <w:t xml:space="preserve">                                  </w:t>
      </w:r>
    </w:p>
    <w:p w14:paraId="7CD3D3DA">
      <w:pPr>
        <w:wordWrap w:val="0"/>
        <w:spacing w:line="440" w:lineRule="exact"/>
        <w:ind w:firstLine="525" w:firstLineChars="25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电话：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邮编：</w:t>
      </w:r>
      <w:r>
        <w:rPr>
          <w:rFonts w:hint="eastAsia" w:ascii="宋体" w:hAnsi="宋体"/>
          <w:color w:val="000000" w:themeColor="text1"/>
          <w:szCs w:val="21"/>
          <w:u w:val="single"/>
          <w14:textFill>
            <w14:solidFill>
              <w14:schemeClr w14:val="tx1"/>
            </w14:solidFill>
          </w14:textFill>
        </w:rPr>
        <w:t xml:space="preserve">          </w:t>
      </w:r>
    </w:p>
    <w:p w14:paraId="286560AB">
      <w:pPr>
        <w:wordWrap w:val="0"/>
        <w:spacing w:line="440" w:lineRule="exact"/>
        <w:ind w:firstLine="525" w:firstLineChars="250"/>
        <w:rPr>
          <w:rFonts w:hint="eastAsia" w:ascii="宋体" w:hAnsi="宋体"/>
          <w:color w:val="000000" w:themeColor="text1"/>
          <w:szCs w:val="21"/>
          <w:u w:val="single"/>
          <w14:textFill>
            <w14:solidFill>
              <w14:schemeClr w14:val="tx1"/>
            </w14:solidFill>
          </w14:textFill>
        </w:rPr>
      </w:pPr>
    </w:p>
    <w:p w14:paraId="6C7ACBA8">
      <w:pPr>
        <w:wordWrap w:val="0"/>
        <w:spacing w:line="440" w:lineRule="exact"/>
        <w:ind w:firstLine="525" w:firstLineChars="250"/>
        <w:rPr>
          <w:rFonts w:hint="eastAsia" w:ascii="宋体" w:hAnsi="宋体"/>
          <w:color w:val="000000" w:themeColor="text1"/>
          <w:szCs w:val="21"/>
          <w:u w:val="single"/>
          <w14:textFill>
            <w14:solidFill>
              <w14:schemeClr w14:val="tx1"/>
            </w14:solidFill>
          </w14:textFill>
        </w:rPr>
      </w:pPr>
    </w:p>
    <w:p w14:paraId="1400BC57">
      <w:pPr>
        <w:wordWrap w:val="0"/>
        <w:spacing w:line="44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后附：（如不在同页，须加盖供应商公章）</w:t>
      </w:r>
    </w:p>
    <w:p w14:paraId="3203B0CD">
      <w:pPr>
        <w:wordWrap w:val="0"/>
        <w:spacing w:line="44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1、法定代表人及授权代表身份证复印件。</w:t>
      </w:r>
    </w:p>
    <w:bookmarkEnd w:id="59"/>
    <w:p w14:paraId="41D8BFE1">
      <w:pPr>
        <w:wordWrap w:val="0"/>
        <w:spacing w:line="400" w:lineRule="exact"/>
        <w:jc w:val="center"/>
        <w:rPr>
          <w:rFonts w:hint="eastAsia" w:ascii="宋体" w:hAnsi="宋体"/>
          <w:b/>
          <w:color w:val="000000" w:themeColor="text1"/>
          <w:spacing w:val="20"/>
          <w:szCs w:val="21"/>
          <w14:textFill>
            <w14:solidFill>
              <w14:schemeClr w14:val="tx1"/>
            </w14:solidFill>
          </w14:textFill>
        </w:rPr>
      </w:pPr>
      <w:r>
        <w:rPr>
          <w:rStyle w:val="101"/>
          <w:rFonts w:ascii="宋体" w:hAnsi="宋体"/>
          <w:color w:val="000000" w:themeColor="text1"/>
          <w:sz w:val="21"/>
          <w:szCs w:val="21"/>
          <w14:textFill>
            <w14:solidFill>
              <w14:schemeClr w14:val="tx1"/>
            </w14:solidFill>
          </w14:textFill>
        </w:rPr>
        <w:br w:type="page"/>
      </w:r>
      <w:bookmarkStart w:id="67" w:name="_Hlk35437321"/>
      <w:r>
        <w:rPr>
          <w:rFonts w:hint="eastAsia" w:ascii="宋体" w:hAnsi="宋体" w:eastAsia="宋体" w:cs="Times New Roman"/>
          <w:b/>
          <w:color w:val="000000" w:themeColor="text1"/>
          <w:sz w:val="32"/>
          <w:szCs w:val="32"/>
          <w14:textFill>
            <w14:solidFill>
              <w14:schemeClr w14:val="tx1"/>
            </w14:solidFill>
          </w14:textFill>
        </w:rPr>
        <w:t>B4、商务条款响应表</w:t>
      </w:r>
    </w:p>
    <w:p w14:paraId="61B9718D">
      <w:pPr>
        <w:wordWrap w:val="0"/>
        <w:snapToGrid w:val="0"/>
        <w:spacing w:line="440" w:lineRule="exact"/>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w:t>
      </w:r>
    </w:p>
    <w:p w14:paraId="639A5F15">
      <w:pPr>
        <w:wordWrap w:val="0"/>
        <w:snapToGrid w:val="0"/>
        <w:spacing w:line="440" w:lineRule="exact"/>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北仑区“六促六优专项行动”应用二期</w:t>
      </w:r>
    </w:p>
    <w:p w14:paraId="5D5DBC0C">
      <w:pPr>
        <w:pStyle w:val="76"/>
        <w:rPr>
          <w:rFonts w:hint="eastAsia" w:ascii="宋体" w:hAnsi="宋体"/>
          <w:color w:val="000000" w:themeColor="text1"/>
          <w:szCs w:val="21"/>
          <w:u w:val="single"/>
          <w14:textFill>
            <w14:solidFill>
              <w14:schemeClr w14:val="tx1"/>
            </w14:solidFill>
          </w14:textFill>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953"/>
      </w:tblGrid>
      <w:tr w14:paraId="5444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0136C971">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24" w:type="dxa"/>
            <w:noWrap w:val="0"/>
            <w:vAlign w:val="center"/>
          </w:tcPr>
          <w:p w14:paraId="18DD2C6E">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磋商要求</w:t>
            </w:r>
          </w:p>
        </w:tc>
        <w:tc>
          <w:tcPr>
            <w:tcW w:w="2835" w:type="dxa"/>
            <w:noWrap w:val="0"/>
            <w:vAlign w:val="center"/>
          </w:tcPr>
          <w:p w14:paraId="650D065D">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磋商响应</w:t>
            </w:r>
          </w:p>
        </w:tc>
        <w:tc>
          <w:tcPr>
            <w:tcW w:w="1953" w:type="dxa"/>
            <w:noWrap w:val="0"/>
            <w:vAlign w:val="center"/>
          </w:tcPr>
          <w:p w14:paraId="30D52467">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2228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0BAEBD26">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38779D87">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558E4F29">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191FCC22">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2797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7C850D76">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24CF5EE8">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7D4B61AD">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108D4644">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35CE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5492FA37">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2FE3C402">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798C65EB">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615341AB">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7F23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0154D4D8">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1F449314">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12FFC53C">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0304BE9C">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47E5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017645BA">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0C52002D">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168CFC2B">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07BDFA3A">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bl>
    <w:p w14:paraId="752F5C40">
      <w:pPr>
        <w:wordWrap w:val="0"/>
        <w:adjustRightInd w:val="0"/>
        <w:snapToGrid w:val="0"/>
        <w:spacing w:line="440" w:lineRule="exact"/>
        <w:ind w:left="210" w:hanging="210" w:hanging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注：须与商务条款逐项比较填写。</w:t>
      </w:r>
    </w:p>
    <w:p w14:paraId="59DC8E92">
      <w:pPr>
        <w:wordWrap w:val="0"/>
        <w:adjustRightInd w:val="0"/>
        <w:snapToGrid w:val="0"/>
        <w:spacing w:line="440" w:lineRule="exact"/>
        <w:rPr>
          <w:rFonts w:hint="eastAsia" w:ascii="宋体" w:hAnsi="宋体"/>
          <w:color w:val="000000" w:themeColor="text1"/>
          <w:szCs w:val="21"/>
          <w14:textFill>
            <w14:solidFill>
              <w14:schemeClr w14:val="tx1"/>
            </w14:solidFill>
          </w14:textFill>
        </w:rPr>
      </w:pPr>
    </w:p>
    <w:p w14:paraId="7F6FF3C9">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275C0A27">
      <w:pPr>
        <w:wordWrap w:val="0"/>
        <w:snapToGrid w:val="0"/>
        <w:spacing w:line="44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339186BD">
      <w:pPr>
        <w:wordWrap w:val="0"/>
        <w:spacing w:line="400" w:lineRule="exact"/>
        <w:jc w:val="center"/>
        <w:outlineLvl w:val="0"/>
        <w:rPr>
          <w:rFonts w:hint="eastAsia" w:ascii="宋体" w:hAnsi="宋体"/>
          <w:b/>
          <w:color w:val="000000" w:themeColor="text1"/>
          <w:spacing w:val="20"/>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br w:type="page"/>
      </w:r>
      <w:bookmarkStart w:id="68" w:name="_Toc16278"/>
      <w:r>
        <w:rPr>
          <w:rFonts w:hint="eastAsia" w:ascii="宋体" w:hAnsi="宋体" w:eastAsia="宋体" w:cs="Times New Roman"/>
          <w:b/>
          <w:color w:val="000000" w:themeColor="text1"/>
          <w:sz w:val="32"/>
          <w:szCs w:val="32"/>
          <w14:textFill>
            <w14:solidFill>
              <w14:schemeClr w14:val="tx1"/>
            </w14:solidFill>
          </w14:textFill>
        </w:rPr>
        <w:t>B5、采购需求条款响应表</w:t>
      </w:r>
      <w:bookmarkEnd w:id="68"/>
    </w:p>
    <w:p w14:paraId="325C592B">
      <w:pPr>
        <w:wordWrap w:val="0"/>
        <w:snapToGrid w:val="0"/>
        <w:spacing w:line="440" w:lineRule="exact"/>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w:t>
      </w:r>
    </w:p>
    <w:p w14:paraId="60C69B07">
      <w:pPr>
        <w:wordWrap w:val="0"/>
        <w:snapToGrid w:val="0"/>
        <w:spacing w:line="440" w:lineRule="exact"/>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北仑区“六促六优专项行动”应用二期</w:t>
      </w:r>
    </w:p>
    <w:p w14:paraId="01FFC085">
      <w:pPr>
        <w:pStyle w:val="76"/>
        <w:rPr>
          <w:rFonts w:hint="eastAsia" w:ascii="宋体" w:hAnsi="宋体"/>
          <w:color w:val="000000" w:themeColor="text1"/>
          <w:szCs w:val="21"/>
          <w:u w:val="single"/>
          <w14:textFill>
            <w14:solidFill>
              <w14:schemeClr w14:val="tx1"/>
            </w14:solidFill>
          </w14:textFill>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953"/>
      </w:tblGrid>
      <w:tr w14:paraId="085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249C2D16">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24" w:type="dxa"/>
            <w:noWrap w:val="0"/>
            <w:vAlign w:val="center"/>
          </w:tcPr>
          <w:p w14:paraId="2C0FCE4E">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采购需求磋商要求</w:t>
            </w:r>
          </w:p>
        </w:tc>
        <w:tc>
          <w:tcPr>
            <w:tcW w:w="2835" w:type="dxa"/>
            <w:noWrap w:val="0"/>
            <w:vAlign w:val="center"/>
          </w:tcPr>
          <w:p w14:paraId="62F70C28">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磋商响应</w:t>
            </w:r>
          </w:p>
        </w:tc>
        <w:tc>
          <w:tcPr>
            <w:tcW w:w="1953" w:type="dxa"/>
            <w:noWrap w:val="0"/>
            <w:vAlign w:val="center"/>
          </w:tcPr>
          <w:p w14:paraId="52DB5174">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6819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5BEB57A1">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19C1AEFF">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0004ECFA">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5286E2E2">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5B00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70D261C0">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082C5C13">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34F76CAD">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2CC95E32">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72B8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7A75506C">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0674F640">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3482E40D">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71B46EBC">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631C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620E5CAE">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068DA286">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140C3C44">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11C509A3">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r w14:paraId="1064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7B55FF5F">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24" w:type="dxa"/>
            <w:noWrap w:val="0"/>
            <w:vAlign w:val="center"/>
          </w:tcPr>
          <w:p w14:paraId="609B2AF8">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2835" w:type="dxa"/>
            <w:noWrap w:val="0"/>
            <w:vAlign w:val="center"/>
          </w:tcPr>
          <w:p w14:paraId="094B7618">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1953" w:type="dxa"/>
            <w:noWrap w:val="0"/>
            <w:vAlign w:val="center"/>
          </w:tcPr>
          <w:p w14:paraId="0EE8A329">
            <w:pPr>
              <w:wordWrap w:val="0"/>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r>
    </w:tbl>
    <w:p w14:paraId="65DCC474">
      <w:pPr>
        <w:wordWrap w:val="0"/>
        <w:adjustRightInd w:val="0"/>
        <w:snapToGrid w:val="0"/>
        <w:spacing w:line="440" w:lineRule="exact"/>
        <w:ind w:left="210" w:hanging="210" w:hanging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注：须与第五章采购需求要求逐项比较填写。</w:t>
      </w:r>
    </w:p>
    <w:p w14:paraId="40A4EE48">
      <w:pPr>
        <w:wordWrap w:val="0"/>
        <w:adjustRightInd w:val="0"/>
        <w:snapToGrid w:val="0"/>
        <w:spacing w:line="440" w:lineRule="exact"/>
        <w:rPr>
          <w:rFonts w:hint="eastAsia" w:ascii="宋体" w:hAnsi="宋体"/>
          <w:color w:val="000000" w:themeColor="text1"/>
          <w:szCs w:val="21"/>
          <w14:textFill>
            <w14:solidFill>
              <w14:schemeClr w14:val="tx1"/>
            </w14:solidFill>
          </w14:textFill>
        </w:rPr>
      </w:pPr>
    </w:p>
    <w:p w14:paraId="5F7700C1">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36C030C1">
      <w:pPr>
        <w:wordWrap w:val="0"/>
        <w:snapToGrid w:val="0"/>
        <w:spacing w:line="44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48F1E5C0">
      <w:pPr>
        <w:wordWrap w:val="0"/>
        <w:snapToGrid w:val="0"/>
        <w:spacing w:line="440" w:lineRule="exact"/>
        <w:jc w:val="center"/>
        <w:outlineLvl w:val="0"/>
        <w:rPr>
          <w:rFonts w:hint="eastAsia" w:ascii="宋体" w:hAnsi="宋体" w:cs="Arial"/>
          <w:b/>
          <w:bCs/>
          <w:color w:val="000000" w:themeColor="text1"/>
          <w14:textFill>
            <w14:solidFill>
              <w14:schemeClr w14:val="tx1"/>
            </w14:solidFill>
          </w14:textFill>
        </w:rPr>
      </w:pPr>
      <w:r>
        <w:rPr>
          <w:rFonts w:ascii="宋体" w:hAnsi="宋体"/>
          <w:color w:val="000000" w:themeColor="text1"/>
          <w:szCs w:val="21"/>
          <w:u w:val="single"/>
          <w14:textFill>
            <w14:solidFill>
              <w14:schemeClr w14:val="tx1"/>
            </w14:solidFill>
          </w14:textFill>
        </w:rPr>
        <w:br w:type="page"/>
      </w:r>
      <w:bookmarkStart w:id="69" w:name="_Toc14100"/>
      <w:r>
        <w:rPr>
          <w:rFonts w:hint="eastAsia" w:ascii="宋体" w:hAnsi="宋体" w:eastAsia="宋体" w:cs="Times New Roman"/>
          <w:b/>
          <w:color w:val="000000" w:themeColor="text1"/>
          <w:sz w:val="32"/>
          <w:szCs w:val="32"/>
          <w14:textFill>
            <w14:solidFill>
              <w14:schemeClr w14:val="tx1"/>
            </w14:solidFill>
          </w14:textFill>
        </w:rPr>
        <w:t>B9、拟投入本项目的人员配置表</w:t>
      </w:r>
      <w:bookmarkEnd w:id="69"/>
    </w:p>
    <w:p w14:paraId="38F2C6DE">
      <w:pPr>
        <w:wordWrap w:val="0"/>
        <w:snapToGrid w:val="0"/>
        <w:spacing w:line="440" w:lineRule="exact"/>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w:t>
      </w:r>
    </w:p>
    <w:p w14:paraId="1703EA3F">
      <w:pPr>
        <w:wordWrap w:val="0"/>
        <w:snapToGrid w:val="0"/>
        <w:spacing w:line="44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北仑区“六促六优专项行动”应用二期</w:t>
      </w:r>
    </w:p>
    <w:p w14:paraId="0317953A">
      <w:pPr>
        <w:pStyle w:val="76"/>
        <w:rPr>
          <w:rFonts w:hint="eastAsia" w:ascii="宋体" w:hAnsi="宋体"/>
          <w:color w:val="000000" w:themeColor="text1"/>
          <w:szCs w:val="21"/>
          <w:u w:val="single"/>
          <w14:textFill>
            <w14:solidFill>
              <w14:schemeClr w14:val="tx1"/>
            </w14:solidFill>
          </w14:textFill>
        </w:rPr>
      </w:pPr>
    </w:p>
    <w:p w14:paraId="23BDEA42">
      <w:pPr>
        <w:pStyle w:val="76"/>
        <w:rPr>
          <w:rFonts w:hint="eastAsia" w:ascii="宋体" w:hAnsi="宋体"/>
          <w:color w:val="000000" w:themeColor="text1"/>
          <w:szCs w:val="21"/>
          <w:u w:val="single"/>
          <w14:textFill>
            <w14:solidFill>
              <w14:schemeClr w14:val="tx1"/>
            </w14:solidFill>
          </w14:textFill>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6"/>
        <w:gridCol w:w="1168"/>
        <w:gridCol w:w="1169"/>
        <w:gridCol w:w="1169"/>
        <w:gridCol w:w="1636"/>
        <w:gridCol w:w="1178"/>
        <w:gridCol w:w="1250"/>
        <w:gridCol w:w="1250"/>
      </w:tblGrid>
      <w:tr w14:paraId="3472D7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1C57D443">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序号</w:t>
            </w:r>
          </w:p>
        </w:tc>
        <w:tc>
          <w:tcPr>
            <w:tcW w:w="1168" w:type="dxa"/>
            <w:noWrap w:val="0"/>
            <w:vAlign w:val="center"/>
          </w:tcPr>
          <w:p w14:paraId="0545EA73">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姓名</w:t>
            </w:r>
          </w:p>
        </w:tc>
        <w:tc>
          <w:tcPr>
            <w:tcW w:w="1169" w:type="dxa"/>
            <w:noWrap w:val="0"/>
            <w:vAlign w:val="center"/>
          </w:tcPr>
          <w:p w14:paraId="7D34D16C">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性别</w:t>
            </w:r>
          </w:p>
        </w:tc>
        <w:tc>
          <w:tcPr>
            <w:tcW w:w="1169" w:type="dxa"/>
            <w:noWrap w:val="0"/>
            <w:vAlign w:val="center"/>
          </w:tcPr>
          <w:p w14:paraId="637DEA4B">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年龄</w:t>
            </w:r>
          </w:p>
        </w:tc>
        <w:tc>
          <w:tcPr>
            <w:tcW w:w="1636" w:type="dxa"/>
            <w:noWrap w:val="0"/>
            <w:vAlign w:val="center"/>
          </w:tcPr>
          <w:p w14:paraId="4876C6EE">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本项目职责</w:t>
            </w:r>
          </w:p>
          <w:p w14:paraId="198BE35B">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w:t>
            </w:r>
            <w:r>
              <w:rPr>
                <w:rFonts w:hint="eastAsia" w:ascii="宋体" w:hAnsi="宋体" w:cs="宋体"/>
                <w:b/>
                <w:bCs/>
                <w:color w:val="000000" w:themeColor="text1"/>
                <w:kern w:val="0"/>
                <w:szCs w:val="21"/>
                <w14:textFill>
                  <w14:solidFill>
                    <w14:schemeClr w14:val="tx1"/>
                  </w14:solidFill>
                </w14:textFill>
              </w:rPr>
              <w:t>岗位</w:t>
            </w:r>
            <w:r>
              <w:rPr>
                <w:rFonts w:hint="eastAsia" w:ascii="宋体" w:hAnsi="宋体"/>
                <w:b/>
                <w:bCs/>
                <w:color w:val="000000" w:themeColor="text1"/>
                <w14:textFill>
                  <w14:solidFill>
                    <w14:schemeClr w14:val="tx1"/>
                  </w14:solidFill>
                </w14:textFill>
              </w:rPr>
              <w:t>）</w:t>
            </w:r>
          </w:p>
        </w:tc>
        <w:tc>
          <w:tcPr>
            <w:tcW w:w="1178" w:type="dxa"/>
            <w:noWrap w:val="0"/>
            <w:vAlign w:val="center"/>
          </w:tcPr>
          <w:p w14:paraId="71C8F02A">
            <w:pPr>
              <w:wordWrap w:val="0"/>
              <w:snapToGrid w:val="0"/>
              <w:spacing w:line="40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专业</w:t>
            </w:r>
          </w:p>
        </w:tc>
        <w:tc>
          <w:tcPr>
            <w:tcW w:w="1250" w:type="dxa"/>
            <w:noWrap w:val="0"/>
            <w:vAlign w:val="center"/>
          </w:tcPr>
          <w:p w14:paraId="4F5D763A">
            <w:pPr>
              <w:widowControl/>
              <w:wordWrap w:val="0"/>
              <w:snapToGrid w:val="0"/>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职称或技术等级</w:t>
            </w:r>
          </w:p>
        </w:tc>
        <w:tc>
          <w:tcPr>
            <w:tcW w:w="1250" w:type="dxa"/>
            <w:noWrap w:val="0"/>
            <w:vAlign w:val="center"/>
          </w:tcPr>
          <w:p w14:paraId="17662F9D">
            <w:pPr>
              <w:widowControl/>
              <w:wordWrap w:val="0"/>
              <w:snapToGrid w:val="0"/>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承担过的类似项目</w:t>
            </w:r>
          </w:p>
        </w:tc>
      </w:tr>
      <w:tr w14:paraId="52665A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10F167F0">
            <w:pPr>
              <w:wordWrap w:val="0"/>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168" w:type="dxa"/>
            <w:noWrap w:val="0"/>
            <w:vAlign w:val="center"/>
          </w:tcPr>
          <w:p w14:paraId="2A09C3A8">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6768CD80">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53E21905">
            <w:pPr>
              <w:wordWrap w:val="0"/>
              <w:spacing w:line="400" w:lineRule="exact"/>
              <w:jc w:val="center"/>
              <w:rPr>
                <w:rFonts w:ascii="宋体" w:hAnsi="宋体"/>
                <w:color w:val="000000" w:themeColor="text1"/>
                <w14:textFill>
                  <w14:solidFill>
                    <w14:schemeClr w14:val="tx1"/>
                  </w14:solidFill>
                </w14:textFill>
              </w:rPr>
            </w:pPr>
          </w:p>
        </w:tc>
        <w:tc>
          <w:tcPr>
            <w:tcW w:w="1636" w:type="dxa"/>
            <w:noWrap w:val="0"/>
            <w:vAlign w:val="center"/>
          </w:tcPr>
          <w:p w14:paraId="5FE869FA">
            <w:pPr>
              <w:wordWrap w:val="0"/>
              <w:snapToGrid w:val="0"/>
              <w:spacing w:line="400" w:lineRule="exact"/>
              <w:jc w:val="center"/>
              <w:rPr>
                <w:rFonts w:ascii="宋体" w:hAnsi="宋体"/>
                <w:b/>
                <w:bCs/>
                <w:color w:val="000000" w:themeColor="text1"/>
                <w14:textFill>
                  <w14:solidFill>
                    <w14:schemeClr w14:val="tx1"/>
                  </w14:solidFill>
                </w14:textFill>
              </w:rPr>
            </w:pPr>
          </w:p>
        </w:tc>
        <w:tc>
          <w:tcPr>
            <w:tcW w:w="1178" w:type="dxa"/>
            <w:noWrap w:val="0"/>
            <w:vAlign w:val="center"/>
          </w:tcPr>
          <w:p w14:paraId="603450D2">
            <w:pPr>
              <w:wordWrap w:val="0"/>
              <w:spacing w:line="400" w:lineRule="exact"/>
              <w:jc w:val="center"/>
              <w:rPr>
                <w:rFonts w:hint="eastAsia" w:ascii="宋体" w:hAnsi="宋体"/>
                <w:color w:val="000000" w:themeColor="text1"/>
                <w14:textFill>
                  <w14:solidFill>
                    <w14:schemeClr w14:val="tx1"/>
                  </w14:solidFill>
                </w14:textFill>
              </w:rPr>
            </w:pPr>
          </w:p>
        </w:tc>
        <w:tc>
          <w:tcPr>
            <w:tcW w:w="1250" w:type="dxa"/>
            <w:noWrap w:val="0"/>
            <w:vAlign w:val="center"/>
          </w:tcPr>
          <w:p w14:paraId="31865734">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top"/>
          </w:tcPr>
          <w:p w14:paraId="54899429">
            <w:pPr>
              <w:wordWrap w:val="0"/>
              <w:spacing w:line="400" w:lineRule="exact"/>
              <w:jc w:val="center"/>
              <w:rPr>
                <w:rFonts w:ascii="宋体" w:hAnsi="宋体"/>
                <w:color w:val="000000" w:themeColor="text1"/>
                <w14:textFill>
                  <w14:solidFill>
                    <w14:schemeClr w14:val="tx1"/>
                  </w14:solidFill>
                </w14:textFill>
              </w:rPr>
            </w:pPr>
          </w:p>
        </w:tc>
      </w:tr>
      <w:tr w14:paraId="0C58D9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1206FAF2">
            <w:pPr>
              <w:wordWrap w:val="0"/>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1168" w:type="dxa"/>
            <w:noWrap w:val="0"/>
            <w:vAlign w:val="center"/>
          </w:tcPr>
          <w:p w14:paraId="25BCFACD">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5A16C085">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67FCD144">
            <w:pPr>
              <w:wordWrap w:val="0"/>
              <w:spacing w:line="400" w:lineRule="exact"/>
              <w:jc w:val="center"/>
              <w:rPr>
                <w:rFonts w:ascii="宋体" w:hAnsi="宋体"/>
                <w:color w:val="000000" w:themeColor="text1"/>
                <w14:textFill>
                  <w14:solidFill>
                    <w14:schemeClr w14:val="tx1"/>
                  </w14:solidFill>
                </w14:textFill>
              </w:rPr>
            </w:pPr>
          </w:p>
        </w:tc>
        <w:tc>
          <w:tcPr>
            <w:tcW w:w="1636" w:type="dxa"/>
            <w:noWrap w:val="0"/>
            <w:vAlign w:val="center"/>
          </w:tcPr>
          <w:p w14:paraId="02C6B21C">
            <w:pPr>
              <w:wordWrap w:val="0"/>
              <w:spacing w:line="400" w:lineRule="exact"/>
              <w:jc w:val="center"/>
              <w:rPr>
                <w:rFonts w:ascii="宋体" w:hAnsi="宋体"/>
                <w:color w:val="000000" w:themeColor="text1"/>
                <w14:textFill>
                  <w14:solidFill>
                    <w14:schemeClr w14:val="tx1"/>
                  </w14:solidFill>
                </w14:textFill>
              </w:rPr>
            </w:pPr>
          </w:p>
        </w:tc>
        <w:tc>
          <w:tcPr>
            <w:tcW w:w="1178" w:type="dxa"/>
            <w:noWrap w:val="0"/>
            <w:vAlign w:val="center"/>
          </w:tcPr>
          <w:p w14:paraId="30931847">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center"/>
          </w:tcPr>
          <w:p w14:paraId="3D8641CD">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top"/>
          </w:tcPr>
          <w:p w14:paraId="12111713">
            <w:pPr>
              <w:wordWrap w:val="0"/>
              <w:spacing w:line="400" w:lineRule="exact"/>
              <w:jc w:val="center"/>
              <w:rPr>
                <w:rFonts w:ascii="宋体" w:hAnsi="宋体"/>
                <w:color w:val="000000" w:themeColor="text1"/>
                <w14:textFill>
                  <w14:solidFill>
                    <w14:schemeClr w14:val="tx1"/>
                  </w14:solidFill>
                </w14:textFill>
              </w:rPr>
            </w:pPr>
          </w:p>
        </w:tc>
      </w:tr>
      <w:tr w14:paraId="5B726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55391403">
            <w:pPr>
              <w:wordWrap w:val="0"/>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1168" w:type="dxa"/>
            <w:noWrap w:val="0"/>
            <w:vAlign w:val="center"/>
          </w:tcPr>
          <w:p w14:paraId="65EE3DD5">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357700A4">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5E61033A">
            <w:pPr>
              <w:wordWrap w:val="0"/>
              <w:spacing w:line="400" w:lineRule="exact"/>
              <w:jc w:val="center"/>
              <w:rPr>
                <w:rFonts w:ascii="宋体" w:hAnsi="宋体"/>
                <w:color w:val="000000" w:themeColor="text1"/>
                <w14:textFill>
                  <w14:solidFill>
                    <w14:schemeClr w14:val="tx1"/>
                  </w14:solidFill>
                </w14:textFill>
              </w:rPr>
            </w:pPr>
          </w:p>
        </w:tc>
        <w:tc>
          <w:tcPr>
            <w:tcW w:w="1636" w:type="dxa"/>
            <w:noWrap w:val="0"/>
            <w:vAlign w:val="center"/>
          </w:tcPr>
          <w:p w14:paraId="53C8683F">
            <w:pPr>
              <w:wordWrap w:val="0"/>
              <w:spacing w:line="400" w:lineRule="exact"/>
              <w:jc w:val="center"/>
              <w:rPr>
                <w:rFonts w:ascii="宋体" w:hAnsi="宋体"/>
                <w:color w:val="000000" w:themeColor="text1"/>
                <w14:textFill>
                  <w14:solidFill>
                    <w14:schemeClr w14:val="tx1"/>
                  </w14:solidFill>
                </w14:textFill>
              </w:rPr>
            </w:pPr>
          </w:p>
        </w:tc>
        <w:tc>
          <w:tcPr>
            <w:tcW w:w="1178" w:type="dxa"/>
            <w:noWrap w:val="0"/>
            <w:vAlign w:val="center"/>
          </w:tcPr>
          <w:p w14:paraId="07EFA909">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center"/>
          </w:tcPr>
          <w:p w14:paraId="3AEF4D9B">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top"/>
          </w:tcPr>
          <w:p w14:paraId="5F9D2098">
            <w:pPr>
              <w:wordWrap w:val="0"/>
              <w:spacing w:line="400" w:lineRule="exact"/>
              <w:jc w:val="center"/>
              <w:rPr>
                <w:rFonts w:ascii="宋体" w:hAnsi="宋体"/>
                <w:color w:val="000000" w:themeColor="text1"/>
                <w14:textFill>
                  <w14:solidFill>
                    <w14:schemeClr w14:val="tx1"/>
                  </w14:solidFill>
                </w14:textFill>
              </w:rPr>
            </w:pPr>
          </w:p>
        </w:tc>
      </w:tr>
      <w:tr w14:paraId="41766A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2EB553E3">
            <w:pPr>
              <w:wordWrap w:val="0"/>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1168" w:type="dxa"/>
            <w:noWrap w:val="0"/>
            <w:vAlign w:val="center"/>
          </w:tcPr>
          <w:p w14:paraId="19C27916">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60FE7617">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3DF5612E">
            <w:pPr>
              <w:wordWrap w:val="0"/>
              <w:spacing w:line="400" w:lineRule="exact"/>
              <w:jc w:val="center"/>
              <w:rPr>
                <w:rFonts w:ascii="宋体" w:hAnsi="宋体"/>
                <w:color w:val="000000" w:themeColor="text1"/>
                <w14:textFill>
                  <w14:solidFill>
                    <w14:schemeClr w14:val="tx1"/>
                  </w14:solidFill>
                </w14:textFill>
              </w:rPr>
            </w:pPr>
          </w:p>
        </w:tc>
        <w:tc>
          <w:tcPr>
            <w:tcW w:w="1636" w:type="dxa"/>
            <w:noWrap w:val="0"/>
            <w:vAlign w:val="center"/>
          </w:tcPr>
          <w:p w14:paraId="2660DF4C">
            <w:pPr>
              <w:wordWrap w:val="0"/>
              <w:spacing w:line="400" w:lineRule="exact"/>
              <w:jc w:val="center"/>
              <w:rPr>
                <w:rFonts w:ascii="宋体" w:hAnsi="宋体"/>
                <w:color w:val="000000" w:themeColor="text1"/>
                <w14:textFill>
                  <w14:solidFill>
                    <w14:schemeClr w14:val="tx1"/>
                  </w14:solidFill>
                </w14:textFill>
              </w:rPr>
            </w:pPr>
          </w:p>
        </w:tc>
        <w:tc>
          <w:tcPr>
            <w:tcW w:w="1178" w:type="dxa"/>
            <w:noWrap w:val="0"/>
            <w:vAlign w:val="center"/>
          </w:tcPr>
          <w:p w14:paraId="6785FBE1">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center"/>
          </w:tcPr>
          <w:p w14:paraId="40F0F775">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top"/>
          </w:tcPr>
          <w:p w14:paraId="7A5B5E6F">
            <w:pPr>
              <w:wordWrap w:val="0"/>
              <w:spacing w:line="400" w:lineRule="exact"/>
              <w:jc w:val="center"/>
              <w:rPr>
                <w:rFonts w:ascii="宋体" w:hAnsi="宋体"/>
                <w:color w:val="000000" w:themeColor="text1"/>
                <w14:textFill>
                  <w14:solidFill>
                    <w14:schemeClr w14:val="tx1"/>
                  </w14:solidFill>
                </w14:textFill>
              </w:rPr>
            </w:pPr>
          </w:p>
        </w:tc>
      </w:tr>
      <w:tr w14:paraId="3FD948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4C4AA546">
            <w:pPr>
              <w:wordWrap w:val="0"/>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1168" w:type="dxa"/>
            <w:noWrap w:val="0"/>
            <w:vAlign w:val="center"/>
          </w:tcPr>
          <w:p w14:paraId="3C18DF1D">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271B1ED7">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068D62B3">
            <w:pPr>
              <w:wordWrap w:val="0"/>
              <w:spacing w:line="400" w:lineRule="exact"/>
              <w:jc w:val="center"/>
              <w:rPr>
                <w:rFonts w:ascii="宋体" w:hAnsi="宋体"/>
                <w:color w:val="000000" w:themeColor="text1"/>
                <w14:textFill>
                  <w14:solidFill>
                    <w14:schemeClr w14:val="tx1"/>
                  </w14:solidFill>
                </w14:textFill>
              </w:rPr>
            </w:pPr>
          </w:p>
        </w:tc>
        <w:tc>
          <w:tcPr>
            <w:tcW w:w="1636" w:type="dxa"/>
            <w:noWrap w:val="0"/>
            <w:vAlign w:val="center"/>
          </w:tcPr>
          <w:p w14:paraId="43DBCCF1">
            <w:pPr>
              <w:wordWrap w:val="0"/>
              <w:spacing w:line="400" w:lineRule="exact"/>
              <w:jc w:val="center"/>
              <w:rPr>
                <w:rFonts w:ascii="宋体" w:hAnsi="宋体"/>
                <w:color w:val="000000" w:themeColor="text1"/>
                <w14:textFill>
                  <w14:solidFill>
                    <w14:schemeClr w14:val="tx1"/>
                  </w14:solidFill>
                </w14:textFill>
              </w:rPr>
            </w:pPr>
          </w:p>
        </w:tc>
        <w:tc>
          <w:tcPr>
            <w:tcW w:w="1178" w:type="dxa"/>
            <w:noWrap w:val="0"/>
            <w:vAlign w:val="center"/>
          </w:tcPr>
          <w:p w14:paraId="6C21161E">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center"/>
          </w:tcPr>
          <w:p w14:paraId="32C252F7">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top"/>
          </w:tcPr>
          <w:p w14:paraId="253F72B4">
            <w:pPr>
              <w:wordWrap w:val="0"/>
              <w:spacing w:line="400" w:lineRule="exact"/>
              <w:jc w:val="center"/>
              <w:rPr>
                <w:rFonts w:ascii="宋体" w:hAnsi="宋体"/>
                <w:color w:val="000000" w:themeColor="text1"/>
                <w14:textFill>
                  <w14:solidFill>
                    <w14:schemeClr w14:val="tx1"/>
                  </w14:solidFill>
                </w14:textFill>
              </w:rPr>
            </w:pPr>
          </w:p>
        </w:tc>
      </w:tr>
      <w:tr w14:paraId="3EB1B4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636" w:type="dxa"/>
            <w:noWrap w:val="0"/>
            <w:vAlign w:val="center"/>
          </w:tcPr>
          <w:p w14:paraId="66A9809F">
            <w:pPr>
              <w:wordWrap w:val="0"/>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tc>
        <w:tc>
          <w:tcPr>
            <w:tcW w:w="1168" w:type="dxa"/>
            <w:noWrap w:val="0"/>
            <w:vAlign w:val="center"/>
          </w:tcPr>
          <w:p w14:paraId="76ED7CC8">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1EFC6471">
            <w:pPr>
              <w:wordWrap w:val="0"/>
              <w:spacing w:line="400" w:lineRule="exact"/>
              <w:jc w:val="center"/>
              <w:rPr>
                <w:rFonts w:ascii="宋体" w:hAnsi="宋体"/>
                <w:color w:val="000000" w:themeColor="text1"/>
                <w14:textFill>
                  <w14:solidFill>
                    <w14:schemeClr w14:val="tx1"/>
                  </w14:solidFill>
                </w14:textFill>
              </w:rPr>
            </w:pPr>
          </w:p>
        </w:tc>
        <w:tc>
          <w:tcPr>
            <w:tcW w:w="1169" w:type="dxa"/>
            <w:noWrap w:val="0"/>
            <w:vAlign w:val="center"/>
          </w:tcPr>
          <w:p w14:paraId="46A516F8">
            <w:pPr>
              <w:wordWrap w:val="0"/>
              <w:spacing w:line="400" w:lineRule="exact"/>
              <w:jc w:val="center"/>
              <w:rPr>
                <w:rFonts w:ascii="宋体" w:hAnsi="宋体"/>
                <w:color w:val="000000" w:themeColor="text1"/>
                <w14:textFill>
                  <w14:solidFill>
                    <w14:schemeClr w14:val="tx1"/>
                  </w14:solidFill>
                </w14:textFill>
              </w:rPr>
            </w:pPr>
          </w:p>
        </w:tc>
        <w:tc>
          <w:tcPr>
            <w:tcW w:w="1636" w:type="dxa"/>
            <w:noWrap w:val="0"/>
            <w:vAlign w:val="center"/>
          </w:tcPr>
          <w:p w14:paraId="777D99A4">
            <w:pPr>
              <w:wordWrap w:val="0"/>
              <w:spacing w:line="400" w:lineRule="exact"/>
              <w:jc w:val="center"/>
              <w:rPr>
                <w:rFonts w:ascii="宋体" w:hAnsi="宋体"/>
                <w:color w:val="000000" w:themeColor="text1"/>
                <w14:textFill>
                  <w14:solidFill>
                    <w14:schemeClr w14:val="tx1"/>
                  </w14:solidFill>
                </w14:textFill>
              </w:rPr>
            </w:pPr>
          </w:p>
        </w:tc>
        <w:tc>
          <w:tcPr>
            <w:tcW w:w="1178" w:type="dxa"/>
            <w:noWrap w:val="0"/>
            <w:vAlign w:val="center"/>
          </w:tcPr>
          <w:p w14:paraId="3EEF94FA">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center"/>
          </w:tcPr>
          <w:p w14:paraId="695BB660">
            <w:pPr>
              <w:wordWrap w:val="0"/>
              <w:spacing w:line="400" w:lineRule="exact"/>
              <w:jc w:val="center"/>
              <w:rPr>
                <w:rFonts w:ascii="宋体" w:hAnsi="宋体"/>
                <w:color w:val="000000" w:themeColor="text1"/>
                <w14:textFill>
                  <w14:solidFill>
                    <w14:schemeClr w14:val="tx1"/>
                  </w14:solidFill>
                </w14:textFill>
              </w:rPr>
            </w:pPr>
          </w:p>
        </w:tc>
        <w:tc>
          <w:tcPr>
            <w:tcW w:w="1250" w:type="dxa"/>
            <w:noWrap w:val="0"/>
            <w:vAlign w:val="top"/>
          </w:tcPr>
          <w:p w14:paraId="69C0769B">
            <w:pPr>
              <w:wordWrap w:val="0"/>
              <w:spacing w:line="400" w:lineRule="exact"/>
              <w:jc w:val="center"/>
              <w:rPr>
                <w:rFonts w:ascii="宋体" w:hAnsi="宋体"/>
                <w:color w:val="000000" w:themeColor="text1"/>
                <w14:textFill>
                  <w14:solidFill>
                    <w14:schemeClr w14:val="tx1"/>
                  </w14:solidFill>
                </w14:textFill>
              </w:rPr>
            </w:pPr>
          </w:p>
        </w:tc>
      </w:tr>
    </w:tbl>
    <w:p w14:paraId="13BFCB6F">
      <w:pPr>
        <w:wordWrap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ascii="宋体" w:hAnsi="宋体" w:cs="宋体"/>
          <w:color w:val="000000" w:themeColor="text1"/>
          <w:szCs w:val="21"/>
          <w14:textFill>
            <w14:solidFill>
              <w14:schemeClr w14:val="tx1"/>
            </w14:solidFill>
          </w14:textFill>
        </w:rPr>
        <w:t>（1）学历证书、职称证书、相关业绩合同等能够反映上述人员专业性及从业经历的材料请附在本表后。</w:t>
      </w:r>
    </w:p>
    <w:p w14:paraId="4434E67B">
      <w:pPr>
        <w:wordWrap w:val="0"/>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（2）本表后附相应人员社保证明复印件并加盖单位章。</w:t>
      </w:r>
    </w:p>
    <w:p w14:paraId="02A0F0EE">
      <w:pPr>
        <w:pStyle w:val="18"/>
        <w:wordWrap w:val="0"/>
        <w:spacing w:line="440" w:lineRule="exact"/>
        <w:ind w:firstLine="0"/>
        <w:jc w:val="center"/>
        <w:rPr>
          <w:rFonts w:hint="eastAsia" w:ascii="宋体" w:hAnsi="宋体" w:eastAsia="宋体"/>
          <w:b/>
          <w:color w:val="000000" w:themeColor="text1"/>
          <w:sz w:val="21"/>
          <w:szCs w:val="21"/>
          <w14:textFill>
            <w14:solidFill>
              <w14:schemeClr w14:val="tx1"/>
            </w14:solidFill>
          </w14:textFill>
        </w:rPr>
      </w:pPr>
    </w:p>
    <w:p w14:paraId="224D3824">
      <w:pPr>
        <w:wordWrap w:val="0"/>
        <w:spacing w:line="440" w:lineRule="exact"/>
        <w:jc w:val="left"/>
        <w:rPr>
          <w:rFonts w:hint="eastAsia" w:ascii="宋体" w:hAnsi="宋体"/>
          <w:color w:val="000000" w:themeColor="text1"/>
          <w:szCs w:val="21"/>
          <w14:textFill>
            <w14:solidFill>
              <w14:schemeClr w14:val="tx1"/>
            </w14:solidFill>
          </w14:textFill>
        </w:rPr>
      </w:pPr>
    </w:p>
    <w:p w14:paraId="300F066B">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18A07D47">
      <w:pPr>
        <w:wordWrap w:val="0"/>
        <w:snapToGrid w:val="0"/>
        <w:spacing w:line="44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2F78CC3D">
      <w:pPr>
        <w:wordWrap w:val="0"/>
        <w:snapToGrid w:val="0"/>
        <w:spacing w:line="440" w:lineRule="exact"/>
        <w:jc w:val="center"/>
        <w:rPr>
          <w:rFonts w:hint="eastAsia" w:ascii="宋体" w:hAnsi="宋体"/>
          <w:color w:val="000000" w:themeColor="text1"/>
          <w:szCs w:val="21"/>
          <w:u w:val="single"/>
          <w14:textFill>
            <w14:solidFill>
              <w14:schemeClr w14:val="tx1"/>
            </w14:solidFill>
          </w14:textFill>
        </w:rPr>
      </w:pPr>
    </w:p>
    <w:p w14:paraId="02CA1B92">
      <w:pPr>
        <w:wordWrap w:val="0"/>
        <w:snapToGrid w:val="0"/>
        <w:spacing w:line="440" w:lineRule="exact"/>
        <w:jc w:val="center"/>
        <w:rPr>
          <w:rFonts w:hint="eastAsia" w:ascii="宋体" w:hAnsi="宋体"/>
          <w:b/>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br w:type="page"/>
      </w:r>
      <w:r>
        <w:rPr>
          <w:rFonts w:hint="eastAsia" w:ascii="宋体" w:hAnsi="宋体" w:eastAsia="宋体" w:cs="Times New Roman"/>
          <w:b/>
          <w:color w:val="000000" w:themeColor="text1"/>
          <w:sz w:val="32"/>
          <w:szCs w:val="32"/>
          <w14:textFill>
            <w14:solidFill>
              <w14:schemeClr w14:val="tx1"/>
            </w14:solidFill>
          </w14:textFill>
        </w:rPr>
        <w:t>B10、类似项目业绩表</w:t>
      </w:r>
    </w:p>
    <w:p w14:paraId="78B8BDF2">
      <w:pPr>
        <w:wordWrap w:val="0"/>
        <w:snapToGrid w:val="0"/>
        <w:spacing w:line="440" w:lineRule="exact"/>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w:t>
      </w:r>
    </w:p>
    <w:p w14:paraId="4CB1970B">
      <w:pPr>
        <w:wordWrap w:val="0"/>
        <w:snapToGrid w:val="0"/>
        <w:spacing w:line="44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北仑区“六促六优专项行动”应用二期</w:t>
      </w:r>
    </w:p>
    <w:p w14:paraId="7474A6B6">
      <w:pPr>
        <w:pStyle w:val="76"/>
        <w:rPr>
          <w:rFonts w:hint="eastAsia" w:ascii="宋体" w:hAnsi="宋体"/>
          <w:color w:val="000000" w:themeColor="text1"/>
          <w:szCs w:val="21"/>
          <w:u w:val="single"/>
          <w14:textFill>
            <w14:solidFill>
              <w14:schemeClr w14:val="tx1"/>
            </w14:solidFill>
          </w14:textFill>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96"/>
        <w:gridCol w:w="1420"/>
        <w:gridCol w:w="1570"/>
        <w:gridCol w:w="1148"/>
        <w:gridCol w:w="1456"/>
        <w:gridCol w:w="1384"/>
        <w:gridCol w:w="1774"/>
      </w:tblGrid>
      <w:tr w14:paraId="484F5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6B0F4C86">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420" w:type="dxa"/>
            <w:noWrap w:val="0"/>
            <w:vAlign w:val="center"/>
          </w:tcPr>
          <w:p w14:paraId="1A36D1F2">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1570" w:type="dxa"/>
            <w:noWrap w:val="0"/>
            <w:vAlign w:val="center"/>
          </w:tcPr>
          <w:p w14:paraId="3228DF8D">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采购人单位</w:t>
            </w:r>
          </w:p>
        </w:tc>
        <w:tc>
          <w:tcPr>
            <w:tcW w:w="1148" w:type="dxa"/>
            <w:noWrap w:val="0"/>
            <w:vAlign w:val="center"/>
          </w:tcPr>
          <w:p w14:paraId="4D27308D">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合同金额</w:t>
            </w:r>
          </w:p>
        </w:tc>
        <w:tc>
          <w:tcPr>
            <w:tcW w:w="1456" w:type="dxa"/>
            <w:noWrap w:val="0"/>
            <w:vAlign w:val="center"/>
          </w:tcPr>
          <w:p w14:paraId="498FA8F7">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采购人联系人</w:t>
            </w:r>
          </w:p>
        </w:tc>
        <w:tc>
          <w:tcPr>
            <w:tcW w:w="1384" w:type="dxa"/>
            <w:noWrap w:val="0"/>
            <w:vAlign w:val="center"/>
          </w:tcPr>
          <w:p w14:paraId="23579C90">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联系电话</w:t>
            </w:r>
          </w:p>
        </w:tc>
        <w:tc>
          <w:tcPr>
            <w:tcW w:w="1774" w:type="dxa"/>
            <w:noWrap w:val="0"/>
            <w:vAlign w:val="center"/>
          </w:tcPr>
          <w:p w14:paraId="25C14E79">
            <w:pPr>
              <w:wordWrap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合同签订时间</w:t>
            </w:r>
          </w:p>
        </w:tc>
      </w:tr>
      <w:tr w14:paraId="422A6D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3625333E">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598F8162">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6DE90DB1">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625CCA44">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422B89E1">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4595FC59">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6876EAC3">
            <w:pPr>
              <w:wordWrap w:val="0"/>
              <w:spacing w:line="400" w:lineRule="exact"/>
              <w:jc w:val="center"/>
              <w:rPr>
                <w:rFonts w:ascii="宋体" w:hAnsi="宋体"/>
                <w:color w:val="000000" w:themeColor="text1"/>
                <w:szCs w:val="21"/>
                <w14:textFill>
                  <w14:solidFill>
                    <w14:schemeClr w14:val="tx1"/>
                  </w14:solidFill>
                </w14:textFill>
              </w:rPr>
            </w:pPr>
          </w:p>
        </w:tc>
      </w:tr>
      <w:tr w14:paraId="48AB77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096A21F9">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60CC1872">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523F170A">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69358486">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6396EA95">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5A47E5A1">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1895FC9A">
            <w:pPr>
              <w:wordWrap w:val="0"/>
              <w:spacing w:line="400" w:lineRule="exact"/>
              <w:jc w:val="center"/>
              <w:rPr>
                <w:rFonts w:ascii="宋体" w:hAnsi="宋体"/>
                <w:color w:val="000000" w:themeColor="text1"/>
                <w:szCs w:val="21"/>
                <w14:textFill>
                  <w14:solidFill>
                    <w14:schemeClr w14:val="tx1"/>
                  </w14:solidFill>
                </w14:textFill>
              </w:rPr>
            </w:pPr>
          </w:p>
        </w:tc>
      </w:tr>
      <w:tr w14:paraId="73DBD2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0B9FFE55">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15B493F7">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1D7A1013">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5E02CB0B">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36FFF610">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3DAD8C89">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19A9BAC0">
            <w:pPr>
              <w:wordWrap w:val="0"/>
              <w:spacing w:line="400" w:lineRule="exact"/>
              <w:jc w:val="center"/>
              <w:rPr>
                <w:rFonts w:ascii="宋体" w:hAnsi="宋体"/>
                <w:color w:val="000000" w:themeColor="text1"/>
                <w:szCs w:val="21"/>
                <w14:textFill>
                  <w14:solidFill>
                    <w14:schemeClr w14:val="tx1"/>
                  </w14:solidFill>
                </w14:textFill>
              </w:rPr>
            </w:pPr>
          </w:p>
        </w:tc>
      </w:tr>
      <w:tr w14:paraId="000744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1333B4C2">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69E89DA6">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1A7577D6">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2907F4E1">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4F20C2DF">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05E463C6">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747BCB57">
            <w:pPr>
              <w:wordWrap w:val="0"/>
              <w:spacing w:line="400" w:lineRule="exact"/>
              <w:jc w:val="center"/>
              <w:rPr>
                <w:rFonts w:ascii="宋体" w:hAnsi="宋体"/>
                <w:color w:val="000000" w:themeColor="text1"/>
                <w:szCs w:val="21"/>
                <w14:textFill>
                  <w14:solidFill>
                    <w14:schemeClr w14:val="tx1"/>
                  </w14:solidFill>
                </w14:textFill>
              </w:rPr>
            </w:pPr>
          </w:p>
        </w:tc>
      </w:tr>
      <w:tr w14:paraId="319A12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25D9EAA5">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4EB2264B">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27E63AC4">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74545A81">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2CADD426">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17B84ACF">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41AE25E0">
            <w:pPr>
              <w:wordWrap w:val="0"/>
              <w:spacing w:line="400" w:lineRule="exact"/>
              <w:jc w:val="center"/>
              <w:rPr>
                <w:rFonts w:ascii="宋体" w:hAnsi="宋体"/>
                <w:color w:val="000000" w:themeColor="text1"/>
                <w:szCs w:val="21"/>
                <w14:textFill>
                  <w14:solidFill>
                    <w14:schemeClr w14:val="tx1"/>
                  </w14:solidFill>
                </w14:textFill>
              </w:rPr>
            </w:pPr>
          </w:p>
        </w:tc>
      </w:tr>
      <w:tr w14:paraId="34683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441D01F5">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5AFDE649">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01A0B210">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7258C76F">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01A1FA3A">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54E87805">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3AD3C89B">
            <w:pPr>
              <w:wordWrap w:val="0"/>
              <w:spacing w:line="400" w:lineRule="exact"/>
              <w:jc w:val="center"/>
              <w:rPr>
                <w:rFonts w:ascii="宋体" w:hAnsi="宋体"/>
                <w:color w:val="000000" w:themeColor="text1"/>
                <w:szCs w:val="21"/>
                <w14:textFill>
                  <w14:solidFill>
                    <w14:schemeClr w14:val="tx1"/>
                  </w14:solidFill>
                </w14:textFill>
              </w:rPr>
            </w:pPr>
          </w:p>
        </w:tc>
      </w:tr>
      <w:tr w14:paraId="5396DE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1248965E">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2AF21C1D">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37AB5EFD">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298D3652">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51290F9F">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702AD6BD">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3C235947">
            <w:pPr>
              <w:wordWrap w:val="0"/>
              <w:spacing w:line="400" w:lineRule="exact"/>
              <w:jc w:val="center"/>
              <w:rPr>
                <w:rFonts w:ascii="宋体" w:hAnsi="宋体"/>
                <w:color w:val="000000" w:themeColor="text1"/>
                <w:szCs w:val="21"/>
                <w14:textFill>
                  <w14:solidFill>
                    <w14:schemeClr w14:val="tx1"/>
                  </w14:solidFill>
                </w14:textFill>
              </w:rPr>
            </w:pPr>
          </w:p>
        </w:tc>
      </w:tr>
      <w:tr w14:paraId="448021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596" w:type="dxa"/>
            <w:noWrap w:val="0"/>
            <w:vAlign w:val="center"/>
          </w:tcPr>
          <w:p w14:paraId="0855E112">
            <w:pPr>
              <w:wordWrap w:val="0"/>
              <w:spacing w:line="400" w:lineRule="exact"/>
              <w:jc w:val="center"/>
              <w:rPr>
                <w:rFonts w:ascii="宋体" w:hAnsi="宋体"/>
                <w:color w:val="000000" w:themeColor="text1"/>
                <w:szCs w:val="21"/>
                <w14:textFill>
                  <w14:solidFill>
                    <w14:schemeClr w14:val="tx1"/>
                  </w14:solidFill>
                </w14:textFill>
              </w:rPr>
            </w:pPr>
          </w:p>
        </w:tc>
        <w:tc>
          <w:tcPr>
            <w:tcW w:w="1420" w:type="dxa"/>
            <w:noWrap w:val="0"/>
            <w:vAlign w:val="center"/>
          </w:tcPr>
          <w:p w14:paraId="5E86CABB">
            <w:pPr>
              <w:wordWrap w:val="0"/>
              <w:spacing w:line="400" w:lineRule="exact"/>
              <w:jc w:val="center"/>
              <w:rPr>
                <w:rFonts w:ascii="宋体" w:hAnsi="宋体"/>
                <w:color w:val="000000" w:themeColor="text1"/>
                <w:szCs w:val="21"/>
                <w14:textFill>
                  <w14:solidFill>
                    <w14:schemeClr w14:val="tx1"/>
                  </w14:solidFill>
                </w14:textFill>
              </w:rPr>
            </w:pPr>
          </w:p>
        </w:tc>
        <w:tc>
          <w:tcPr>
            <w:tcW w:w="1570" w:type="dxa"/>
            <w:noWrap w:val="0"/>
            <w:vAlign w:val="center"/>
          </w:tcPr>
          <w:p w14:paraId="52EC1569">
            <w:pPr>
              <w:wordWrap w:val="0"/>
              <w:spacing w:line="400" w:lineRule="exact"/>
              <w:jc w:val="center"/>
              <w:rPr>
                <w:rFonts w:ascii="宋体" w:hAnsi="宋体"/>
                <w:color w:val="000000" w:themeColor="text1"/>
                <w:szCs w:val="21"/>
                <w14:textFill>
                  <w14:solidFill>
                    <w14:schemeClr w14:val="tx1"/>
                  </w14:solidFill>
                </w14:textFill>
              </w:rPr>
            </w:pPr>
          </w:p>
        </w:tc>
        <w:tc>
          <w:tcPr>
            <w:tcW w:w="1148" w:type="dxa"/>
            <w:noWrap w:val="0"/>
            <w:vAlign w:val="center"/>
          </w:tcPr>
          <w:p w14:paraId="2BA41851">
            <w:pPr>
              <w:wordWrap w:val="0"/>
              <w:spacing w:line="400" w:lineRule="exact"/>
              <w:jc w:val="center"/>
              <w:rPr>
                <w:rFonts w:ascii="宋体" w:hAnsi="宋体"/>
                <w:color w:val="000000" w:themeColor="text1"/>
                <w:szCs w:val="21"/>
                <w14:textFill>
                  <w14:solidFill>
                    <w14:schemeClr w14:val="tx1"/>
                  </w14:solidFill>
                </w14:textFill>
              </w:rPr>
            </w:pPr>
          </w:p>
        </w:tc>
        <w:tc>
          <w:tcPr>
            <w:tcW w:w="1456" w:type="dxa"/>
            <w:noWrap w:val="0"/>
            <w:vAlign w:val="center"/>
          </w:tcPr>
          <w:p w14:paraId="06FE1FBE">
            <w:pPr>
              <w:wordWrap w:val="0"/>
              <w:spacing w:line="400" w:lineRule="exact"/>
              <w:jc w:val="center"/>
              <w:rPr>
                <w:rFonts w:ascii="宋体" w:hAnsi="宋体"/>
                <w:color w:val="000000" w:themeColor="text1"/>
                <w:szCs w:val="21"/>
                <w14:textFill>
                  <w14:solidFill>
                    <w14:schemeClr w14:val="tx1"/>
                  </w14:solidFill>
                </w14:textFill>
              </w:rPr>
            </w:pPr>
          </w:p>
        </w:tc>
        <w:tc>
          <w:tcPr>
            <w:tcW w:w="1384" w:type="dxa"/>
            <w:noWrap w:val="0"/>
            <w:vAlign w:val="center"/>
          </w:tcPr>
          <w:p w14:paraId="13BA176E">
            <w:pPr>
              <w:wordWrap w:val="0"/>
              <w:spacing w:line="400" w:lineRule="exact"/>
              <w:jc w:val="center"/>
              <w:rPr>
                <w:rFonts w:ascii="宋体" w:hAnsi="宋体"/>
                <w:color w:val="000000" w:themeColor="text1"/>
                <w:szCs w:val="21"/>
                <w14:textFill>
                  <w14:solidFill>
                    <w14:schemeClr w14:val="tx1"/>
                  </w14:solidFill>
                </w14:textFill>
              </w:rPr>
            </w:pPr>
          </w:p>
        </w:tc>
        <w:tc>
          <w:tcPr>
            <w:tcW w:w="1774" w:type="dxa"/>
            <w:noWrap w:val="0"/>
            <w:vAlign w:val="center"/>
          </w:tcPr>
          <w:p w14:paraId="107F3C0A">
            <w:pPr>
              <w:wordWrap w:val="0"/>
              <w:spacing w:line="400" w:lineRule="exact"/>
              <w:jc w:val="center"/>
              <w:rPr>
                <w:rFonts w:ascii="宋体" w:hAnsi="宋体"/>
                <w:color w:val="000000" w:themeColor="text1"/>
                <w:szCs w:val="21"/>
                <w14:textFill>
                  <w14:solidFill>
                    <w14:schemeClr w14:val="tx1"/>
                  </w14:solidFill>
                </w14:textFill>
              </w:rPr>
            </w:pPr>
          </w:p>
        </w:tc>
      </w:tr>
    </w:tbl>
    <w:p w14:paraId="279AD669">
      <w:pPr>
        <w:wordWrap w:val="0"/>
        <w:spacing w:line="440" w:lineRule="exact"/>
        <w:jc w:val="left"/>
        <w:rPr>
          <w:rFonts w:hint="eastAsia" w:ascii="宋体" w:hAnsi="宋体"/>
          <w:color w:val="000000" w:themeColor="text1"/>
          <w:szCs w:val="21"/>
          <w14:textFill>
            <w14:solidFill>
              <w14:schemeClr w14:val="tx1"/>
            </w14:solidFill>
          </w14:textFill>
        </w:rPr>
      </w:pPr>
    </w:p>
    <w:p w14:paraId="658161CE">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292B9074">
      <w:pPr>
        <w:wordWrap w:val="0"/>
        <w:snapToGrid w:val="0"/>
        <w:spacing w:line="44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11913206">
      <w:pPr>
        <w:wordWrap w:val="0"/>
        <w:spacing w:line="360" w:lineRule="auto"/>
        <w:jc w:val="left"/>
        <w:rPr>
          <w:rFonts w:ascii="宋体" w:hAnsi="宋体"/>
          <w:b/>
          <w:color w:val="000000" w:themeColor="text1"/>
          <w:sz w:val="32"/>
          <w:szCs w:val="32"/>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封面</w:t>
      </w:r>
      <w:r>
        <w:rPr>
          <w:rFonts w:ascii="宋体" w:hAnsi="宋体"/>
          <w:b/>
          <w:color w:val="000000" w:themeColor="text1"/>
          <w:sz w:val="32"/>
          <w:szCs w:val="32"/>
          <w14:textFill>
            <w14:solidFill>
              <w14:schemeClr w14:val="tx1"/>
            </w14:solidFill>
          </w14:textFill>
        </w:rPr>
        <w:t xml:space="preserve">  </w:t>
      </w:r>
    </w:p>
    <w:p w14:paraId="43D0057F">
      <w:pPr>
        <w:pStyle w:val="76"/>
        <w:rPr>
          <w:color w:val="000000" w:themeColor="text1"/>
          <w14:textFill>
            <w14:solidFill>
              <w14:schemeClr w14:val="tx1"/>
            </w14:solidFill>
          </w14:textFill>
        </w:rPr>
      </w:pPr>
    </w:p>
    <w:p w14:paraId="14F959E8">
      <w:pPr>
        <w:wordWrap w:val="0"/>
        <w:spacing w:line="360" w:lineRule="auto"/>
        <w:jc w:val="center"/>
        <w:outlineLvl w:val="0"/>
        <w:rPr>
          <w:rFonts w:hint="eastAsia" w:ascii="宋体" w:hAnsi="宋体"/>
          <w:b/>
          <w:color w:val="000000" w:themeColor="text1"/>
          <w:sz w:val="44"/>
          <w:szCs w:val="44"/>
          <w:lang w:eastAsia="zh-CN"/>
          <w14:textFill>
            <w14:solidFill>
              <w14:schemeClr w14:val="tx1"/>
            </w14:solidFill>
          </w14:textFill>
        </w:rPr>
      </w:pPr>
      <w:r>
        <w:rPr>
          <w:rFonts w:hint="eastAsia" w:ascii="宋体" w:hAnsi="宋体"/>
          <w:b/>
          <w:color w:val="000000" w:themeColor="text1"/>
          <w:sz w:val="44"/>
          <w:szCs w:val="44"/>
          <w:lang w:eastAsia="zh-CN"/>
          <w14:textFill>
            <w14:solidFill>
              <w14:schemeClr w14:val="tx1"/>
            </w14:solidFill>
          </w14:textFill>
        </w:rPr>
        <w:t>北仑区“六促六优专项行动”应用二期</w:t>
      </w:r>
    </w:p>
    <w:p w14:paraId="4BB675A7">
      <w:pPr>
        <w:pStyle w:val="76"/>
        <w:rPr>
          <w:rFonts w:hint="eastAsia"/>
          <w:color w:val="000000" w:themeColor="text1"/>
          <w:lang w:eastAsia="zh-CN"/>
          <w14:textFill>
            <w14:solidFill>
              <w14:schemeClr w14:val="tx1"/>
            </w14:solidFill>
          </w14:textFill>
        </w:rPr>
      </w:pPr>
    </w:p>
    <w:p w14:paraId="7DE4B231">
      <w:pPr>
        <w:wordWrap w:val="0"/>
        <w:spacing w:line="360" w:lineRule="auto"/>
        <w:jc w:val="center"/>
        <w:rPr>
          <w:rFonts w:hint="eastAsia" w:ascii="宋体" w:hAnsi="宋体" w:eastAsia="宋体"/>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采购编号：</w:t>
      </w:r>
      <w:r>
        <w:rPr>
          <w:rFonts w:hint="eastAsia" w:ascii="宋体" w:hAnsi="宋体"/>
          <w:color w:val="000000" w:themeColor="text1"/>
          <w:sz w:val="32"/>
          <w:szCs w:val="32"/>
          <w:lang w:eastAsia="zh-CN"/>
          <w14:textFill>
            <w14:solidFill>
              <w14:schemeClr w14:val="tx1"/>
            </w14:solidFill>
          </w14:textFill>
        </w:rPr>
        <w:t>NBLQ2025017</w:t>
      </w:r>
    </w:p>
    <w:p w14:paraId="307D9E2B">
      <w:pPr>
        <w:wordWrap w:val="0"/>
        <w:spacing w:line="360" w:lineRule="auto"/>
        <w:jc w:val="center"/>
        <w:outlineLvl w:val="0"/>
        <w:rPr>
          <w:rFonts w:hint="eastAsia" w:ascii="宋体" w:hAnsi="宋体"/>
          <w:color w:val="000000" w:themeColor="text1"/>
          <w:sz w:val="32"/>
          <w:szCs w:val="32"/>
          <w:u w:val="single"/>
          <w14:textFill>
            <w14:solidFill>
              <w14:schemeClr w14:val="tx1"/>
            </w14:solidFill>
          </w14:textFill>
        </w:rPr>
      </w:pPr>
      <w:bookmarkStart w:id="70" w:name="_Toc24357"/>
      <w:r>
        <w:rPr>
          <w:rFonts w:hint="eastAsia" w:ascii="宋体" w:hAnsi="宋体"/>
          <w:color w:val="000000" w:themeColor="text1"/>
          <w:sz w:val="32"/>
          <w:szCs w:val="32"/>
          <w14:textFill>
            <w14:solidFill>
              <w14:schemeClr w14:val="tx1"/>
            </w14:solidFill>
          </w14:textFill>
        </w:rPr>
        <w:t>子</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包：</w:t>
      </w:r>
      <w:r>
        <w:rPr>
          <w:rFonts w:hint="eastAsia" w:ascii="宋体" w:hAnsi="宋体"/>
          <w:color w:val="000000" w:themeColor="text1"/>
          <w:sz w:val="32"/>
          <w:szCs w:val="32"/>
          <w:u w:val="single"/>
          <w14:textFill>
            <w14:solidFill>
              <w14:schemeClr w14:val="tx1"/>
            </w14:solidFill>
          </w14:textFill>
        </w:rPr>
        <w:t>（如有多个子包）</w:t>
      </w:r>
      <w:bookmarkEnd w:id="70"/>
    </w:p>
    <w:p w14:paraId="73F10028">
      <w:pPr>
        <w:pStyle w:val="76"/>
        <w:rPr>
          <w:color w:val="000000" w:themeColor="text1"/>
          <w14:textFill>
            <w14:solidFill>
              <w14:schemeClr w14:val="tx1"/>
            </w14:solidFill>
          </w14:textFill>
        </w:rPr>
      </w:pPr>
    </w:p>
    <w:p w14:paraId="6EC3049A">
      <w:pPr>
        <w:wordWrap w:val="0"/>
        <w:rPr>
          <w:rFonts w:ascii="宋体" w:hAnsi="宋体"/>
          <w:color w:val="000000" w:themeColor="text1"/>
          <w:sz w:val="28"/>
          <w:szCs w:val="28"/>
          <w14:textFill>
            <w14:solidFill>
              <w14:schemeClr w14:val="tx1"/>
            </w14:solidFill>
          </w14:textFill>
        </w:rPr>
      </w:pPr>
    </w:p>
    <w:p w14:paraId="6AB682A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w:t>
      </w:r>
      <w:r>
        <w:rPr>
          <w:rFonts w:hint="eastAsia" w:ascii="宋体" w:hAnsi="宋体"/>
          <w:color w:val="000000" w:themeColor="text1"/>
          <w:sz w:val="36"/>
          <w:szCs w:val="36"/>
          <w:lang w:val="en-US" w:eastAsia="zh-CN"/>
          <w14:textFill>
            <w14:solidFill>
              <w14:schemeClr w14:val="tx1"/>
            </w14:solidFill>
          </w14:textFill>
        </w:rPr>
        <w:t>报价文件</w:t>
      </w:r>
      <w:r>
        <w:rPr>
          <w:rFonts w:hint="eastAsia" w:ascii="宋体" w:hAnsi="宋体"/>
          <w:color w:val="000000" w:themeColor="text1"/>
          <w:sz w:val="36"/>
          <w:szCs w:val="36"/>
          <w14:textFill>
            <w14:solidFill>
              <w14:schemeClr w14:val="tx1"/>
            </w14:solidFill>
          </w14:textFill>
        </w:rPr>
        <w:t>）</w:t>
      </w:r>
    </w:p>
    <w:p w14:paraId="584AB47F">
      <w:pPr>
        <w:wordWrap w:val="0"/>
        <w:jc w:val="center"/>
        <w:rPr>
          <w:rFonts w:ascii="宋体" w:hAnsi="宋体"/>
          <w:color w:val="000000" w:themeColor="text1"/>
          <w:sz w:val="28"/>
          <w:szCs w:val="28"/>
          <w14:textFill>
            <w14:solidFill>
              <w14:schemeClr w14:val="tx1"/>
            </w14:solidFill>
          </w14:textFill>
        </w:rPr>
      </w:pPr>
    </w:p>
    <w:p w14:paraId="0B77F894">
      <w:pPr>
        <w:wordWrap w:val="0"/>
        <w:spacing w:line="360" w:lineRule="auto"/>
        <w:jc w:val="center"/>
        <w:outlineLvl w:val="0"/>
        <w:rPr>
          <w:rFonts w:ascii="宋体" w:hAnsi="宋体"/>
          <w:b/>
          <w:color w:val="000000" w:themeColor="text1"/>
          <w:sz w:val="72"/>
          <w:szCs w:val="72"/>
          <w14:textFill>
            <w14:solidFill>
              <w14:schemeClr w14:val="tx1"/>
            </w14:solidFill>
          </w14:textFill>
        </w:rPr>
      </w:pPr>
      <w:bookmarkStart w:id="71" w:name="_Toc30014"/>
      <w:r>
        <w:rPr>
          <w:rFonts w:hint="eastAsia" w:ascii="宋体" w:hAnsi="宋体"/>
          <w:b/>
          <w:color w:val="000000" w:themeColor="text1"/>
          <w:sz w:val="72"/>
          <w:szCs w:val="72"/>
          <w14:textFill>
            <w14:solidFill>
              <w14:schemeClr w14:val="tx1"/>
            </w14:solidFill>
          </w14:textFill>
        </w:rPr>
        <w:t>磋商响应文件</w:t>
      </w:r>
      <w:bookmarkEnd w:id="71"/>
    </w:p>
    <w:p w14:paraId="083E4724">
      <w:pPr>
        <w:wordWrap w:val="0"/>
        <w:spacing w:line="360" w:lineRule="auto"/>
        <w:jc w:val="center"/>
        <w:rPr>
          <w:rFonts w:ascii="宋体" w:hAnsi="宋体"/>
          <w:color w:val="000000" w:themeColor="text1"/>
          <w:sz w:val="36"/>
          <w:szCs w:val="36"/>
          <w14:textFill>
            <w14:solidFill>
              <w14:schemeClr w14:val="tx1"/>
            </w14:solidFill>
          </w14:textFill>
        </w:rPr>
      </w:pPr>
    </w:p>
    <w:p w14:paraId="586A691B">
      <w:pPr>
        <w:wordWrap w:val="0"/>
        <w:spacing w:line="360" w:lineRule="auto"/>
        <w:jc w:val="center"/>
        <w:rPr>
          <w:rFonts w:ascii="宋体" w:hAnsi="宋体"/>
          <w:color w:val="000000" w:themeColor="text1"/>
          <w:sz w:val="36"/>
          <w:szCs w:val="36"/>
          <w14:textFill>
            <w14:solidFill>
              <w14:schemeClr w14:val="tx1"/>
            </w14:solidFill>
          </w14:textFill>
        </w:rPr>
      </w:pPr>
    </w:p>
    <w:p w14:paraId="01AA91A4">
      <w:pPr>
        <w:wordWrap w:val="0"/>
        <w:spacing w:line="360" w:lineRule="auto"/>
        <w:jc w:val="center"/>
        <w:rPr>
          <w:rFonts w:ascii="宋体" w:hAnsi="宋体"/>
          <w:color w:val="000000" w:themeColor="text1"/>
          <w:sz w:val="32"/>
          <w:szCs w:val="32"/>
          <w14:textFill>
            <w14:solidFill>
              <w14:schemeClr w14:val="tx1"/>
            </w14:solidFill>
          </w14:textFill>
        </w:rPr>
      </w:pPr>
    </w:p>
    <w:p w14:paraId="398CE919">
      <w:pPr>
        <w:wordWrap w:val="0"/>
        <w:spacing w:line="360" w:lineRule="auto"/>
        <w:jc w:val="center"/>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供应商全称：</w:t>
      </w:r>
      <w:r>
        <w:rPr>
          <w:rFonts w:hint="eastAsia" w:ascii="宋体" w:hAnsi="宋体"/>
          <w:color w:val="000000" w:themeColor="text1"/>
          <w:sz w:val="28"/>
          <w:szCs w:val="28"/>
          <w:u w:val="single"/>
          <w14:textFill>
            <w14:solidFill>
              <w14:schemeClr w14:val="tx1"/>
            </w14:solidFill>
          </w14:textFill>
        </w:rPr>
        <w:t>（加盖单位公章）</w:t>
      </w:r>
    </w:p>
    <w:p w14:paraId="5F3DAD21">
      <w:pPr>
        <w:pStyle w:val="24"/>
        <w:wordWrap w:val="0"/>
        <w:ind w:left="101" w:leftChars="48" w:firstLine="2240" w:firstLineChars="800"/>
        <w:jc w:val="left"/>
        <w:rPr>
          <w:rFonts w:hAnsi="宋体"/>
          <w:color w:val="000000" w:themeColor="text1"/>
          <w:kern w:val="2"/>
          <w:sz w:val="28"/>
          <w:szCs w:val="28"/>
          <w:u w:val="single"/>
          <w14:textFill>
            <w14:solidFill>
              <w14:schemeClr w14:val="tx1"/>
            </w14:solidFill>
          </w14:textFill>
        </w:rPr>
      </w:pPr>
    </w:p>
    <w:p w14:paraId="21A3A345">
      <w:pPr>
        <w:wordWrap w:val="0"/>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14:paraId="499A4217">
      <w:pPr>
        <w:wordWrap w:val="0"/>
        <w:spacing w:line="400" w:lineRule="exact"/>
        <w:jc w:val="center"/>
        <w:rPr>
          <w:rFonts w:hint="eastAsia" w:ascii="宋体" w:hAnsi="宋体"/>
          <w:b/>
          <w:color w:val="000000" w:themeColor="text1"/>
          <w:szCs w:val="21"/>
          <w14:textFill>
            <w14:solidFill>
              <w14:schemeClr w14:val="tx1"/>
            </w14:solidFill>
          </w14:textFill>
        </w:rPr>
      </w:pPr>
      <w:r>
        <w:rPr>
          <w:rStyle w:val="101"/>
          <w:color w:val="000000" w:themeColor="text1"/>
          <w:sz w:val="21"/>
          <w:szCs w:val="21"/>
          <w14:textFill>
            <w14:solidFill>
              <w14:schemeClr w14:val="tx1"/>
            </w14:solidFill>
          </w14:textFill>
        </w:rPr>
        <w:br w:type="page"/>
      </w:r>
      <w:r>
        <w:rPr>
          <w:rFonts w:hint="eastAsia" w:ascii="宋体" w:hAnsi="宋体" w:eastAsia="宋体" w:cs="Times New Roman"/>
          <w:b/>
          <w:color w:val="000000" w:themeColor="text1"/>
          <w:sz w:val="32"/>
          <w:szCs w:val="32"/>
          <w14:textFill>
            <w14:solidFill>
              <w14:schemeClr w14:val="tx1"/>
            </w14:solidFill>
          </w14:textFill>
        </w:rPr>
        <w:t>C1、报价一览表</w:t>
      </w:r>
    </w:p>
    <w:p w14:paraId="568B0A47">
      <w:pPr>
        <w:wordWrap w:val="0"/>
        <w:snapToGrid w:val="0"/>
        <w:spacing w:line="440" w:lineRule="exact"/>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w:t>
      </w:r>
    </w:p>
    <w:p w14:paraId="5EF7C8AF">
      <w:pPr>
        <w:wordWrap w:val="0"/>
        <w:snapToGrid w:val="0"/>
        <w:spacing w:line="44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北仑区“六促六优专项行动”应用二期</w:t>
      </w:r>
    </w:p>
    <w:p w14:paraId="41338905">
      <w:pPr>
        <w:pStyle w:val="76"/>
        <w:rPr>
          <w:rFonts w:hint="eastAsia"/>
          <w:color w:val="000000" w:themeColor="text1"/>
          <w14:textFill>
            <w14:solidFill>
              <w14:schemeClr w14:val="tx1"/>
            </w14:solidFill>
          </w14:textFill>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2987"/>
        <w:gridCol w:w="1776"/>
        <w:gridCol w:w="1482"/>
      </w:tblGrid>
      <w:tr w14:paraId="321F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38EB98C">
            <w:pPr>
              <w:wordWrap w:val="0"/>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标项</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D4014B6">
            <w:pPr>
              <w:wordWrap w:val="0"/>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采购内容</w:t>
            </w:r>
          </w:p>
        </w:tc>
        <w:tc>
          <w:tcPr>
            <w:tcW w:w="2987" w:type="dxa"/>
            <w:tcBorders>
              <w:top w:val="single" w:color="auto" w:sz="4" w:space="0"/>
              <w:left w:val="single" w:color="auto" w:sz="4" w:space="0"/>
              <w:bottom w:val="single" w:color="auto" w:sz="4" w:space="0"/>
              <w:right w:val="single" w:color="auto" w:sz="4" w:space="0"/>
            </w:tcBorders>
            <w:noWrap w:val="0"/>
            <w:vAlign w:val="center"/>
          </w:tcPr>
          <w:p w14:paraId="4268A108">
            <w:pPr>
              <w:wordWrap w:val="0"/>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90FA286">
            <w:pPr>
              <w:wordWrap w:val="0"/>
              <w:snapToGrid w:val="0"/>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合同履约期限</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3D7814BA">
            <w:pPr>
              <w:wordWrap w:val="0"/>
              <w:snapToGrid w:val="0"/>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备注</w:t>
            </w:r>
          </w:p>
        </w:tc>
      </w:tr>
      <w:tr w14:paraId="1669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6EDDAA5">
            <w:pPr>
              <w:wordWrap w:val="0"/>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396D3D5">
            <w:pPr>
              <w:wordWrap w:val="0"/>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北仑区“六促六优专项行动”应用二期</w:t>
            </w:r>
          </w:p>
        </w:tc>
        <w:tc>
          <w:tcPr>
            <w:tcW w:w="2987" w:type="dxa"/>
            <w:tcBorders>
              <w:top w:val="single" w:color="auto" w:sz="4" w:space="0"/>
              <w:left w:val="single" w:color="auto" w:sz="4" w:space="0"/>
              <w:bottom w:val="single" w:color="auto" w:sz="4" w:space="0"/>
              <w:right w:val="single" w:color="auto" w:sz="4" w:space="0"/>
            </w:tcBorders>
            <w:noWrap w:val="0"/>
            <w:vAlign w:val="center"/>
          </w:tcPr>
          <w:p w14:paraId="26D64E88">
            <w:pPr>
              <w:wordWrap w:val="0"/>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小写：人民币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7641CAC">
            <w:pPr>
              <w:wordWrap w:val="0"/>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自合同生效之日起至合同全部权利义务履行完毕之日止</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12A85CE0">
            <w:pPr>
              <w:wordWrap w:val="0"/>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p>
        </w:tc>
      </w:tr>
      <w:tr w14:paraId="3AAC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4F7BB4AB">
            <w:pPr>
              <w:wordWrap w:val="0"/>
              <w:spacing w:line="400" w:lineRule="exact"/>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报价</w:t>
            </w:r>
          </w:p>
        </w:tc>
        <w:tc>
          <w:tcPr>
            <w:tcW w:w="6245" w:type="dxa"/>
            <w:gridSpan w:val="3"/>
            <w:tcBorders>
              <w:top w:val="single" w:color="auto" w:sz="4" w:space="0"/>
              <w:left w:val="single" w:color="auto" w:sz="4" w:space="0"/>
              <w:bottom w:val="single" w:color="auto" w:sz="4" w:space="0"/>
              <w:right w:val="single" w:color="auto" w:sz="4" w:space="0"/>
            </w:tcBorders>
            <w:noWrap w:val="0"/>
            <w:vAlign w:val="center"/>
          </w:tcPr>
          <w:p w14:paraId="0A1DA36E">
            <w:pPr>
              <w:wordWrap w:val="0"/>
              <w:snapToGrid w:val="0"/>
              <w:spacing w:line="400" w:lineRule="exact"/>
              <w:jc w:val="both"/>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大写：</w:t>
            </w:r>
          </w:p>
        </w:tc>
      </w:tr>
      <w:tr w14:paraId="1629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62F183B">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磋商声明</w:t>
            </w:r>
          </w:p>
        </w:tc>
        <w:tc>
          <w:tcPr>
            <w:tcW w:w="6245" w:type="dxa"/>
            <w:gridSpan w:val="3"/>
            <w:tcBorders>
              <w:top w:val="single" w:color="auto" w:sz="4" w:space="0"/>
              <w:left w:val="single" w:color="auto" w:sz="4" w:space="0"/>
              <w:bottom w:val="single" w:color="auto" w:sz="4" w:space="0"/>
              <w:right w:val="single" w:color="auto" w:sz="4" w:space="0"/>
            </w:tcBorders>
            <w:noWrap w:val="0"/>
            <w:vAlign w:val="center"/>
          </w:tcPr>
          <w:p w14:paraId="5EE25E00">
            <w:pPr>
              <w:wordWrap w:val="0"/>
              <w:snapToGrid w:val="0"/>
              <w:spacing w:line="400" w:lineRule="exact"/>
              <w:jc w:val="center"/>
              <w:rPr>
                <w:rFonts w:ascii="宋体" w:hAnsi="宋体" w:cs="宋体"/>
                <w:color w:val="000000" w:themeColor="text1"/>
                <w:szCs w:val="21"/>
                <w14:textFill>
                  <w14:solidFill>
                    <w14:schemeClr w14:val="tx1"/>
                  </w14:solidFill>
                </w14:textFill>
              </w:rPr>
            </w:pPr>
          </w:p>
        </w:tc>
      </w:tr>
    </w:tbl>
    <w:p w14:paraId="60248C98">
      <w:pPr>
        <w:wordWrap w:val="0"/>
        <w:spacing w:line="440" w:lineRule="exact"/>
        <w:jc w:val="left"/>
        <w:rPr>
          <w:rFonts w:hint="eastAsia" w:ascii="宋体" w:hAnsi="宋体"/>
          <w:color w:val="000000" w:themeColor="text1"/>
          <w:szCs w:val="21"/>
          <w14:textFill>
            <w14:solidFill>
              <w14:schemeClr w14:val="tx1"/>
            </w14:solidFill>
          </w14:textFill>
        </w:rPr>
      </w:pPr>
    </w:p>
    <w:p w14:paraId="2349B2C7">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61145708">
      <w:pPr>
        <w:wordWrap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2C9B8878">
      <w:pPr>
        <w:wordWrap w:val="0"/>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1CFCF42F">
      <w:pPr>
        <w:jc w:val="center"/>
        <w:rPr>
          <w:rFonts w:hint="eastAsia"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bookmarkStart w:id="72" w:name="_Toc449711860"/>
      <w:bookmarkStart w:id="73" w:name="_Toc449711808"/>
      <w:r>
        <w:rPr>
          <w:rFonts w:hint="eastAsia" w:ascii="宋体" w:hAnsi="宋体" w:eastAsia="宋体" w:cs="Times New Roman"/>
          <w:b/>
          <w:color w:val="000000" w:themeColor="text1"/>
          <w:sz w:val="32"/>
          <w:szCs w:val="32"/>
          <w14:textFill>
            <w14:solidFill>
              <w14:schemeClr w14:val="tx1"/>
            </w14:solidFill>
          </w14:textFill>
        </w:rPr>
        <w:t>C2、分项报价表</w:t>
      </w:r>
      <w:bookmarkEnd w:id="72"/>
      <w:bookmarkEnd w:id="73"/>
    </w:p>
    <w:p w14:paraId="15D3BFEF">
      <w:pPr>
        <w:wordWrap w:val="0"/>
        <w:snapToGrid w:val="0"/>
        <w:spacing w:line="440" w:lineRule="exact"/>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lang w:eastAsia="zh-CN"/>
          <w14:textFill>
            <w14:solidFill>
              <w14:schemeClr w14:val="tx1"/>
            </w14:solidFill>
          </w14:textFill>
        </w:rPr>
        <w:t>NBLQ2025017</w:t>
      </w:r>
    </w:p>
    <w:p w14:paraId="013CC2BC">
      <w:pPr>
        <w:wordWrap w:val="0"/>
        <w:snapToGrid w:val="0"/>
        <w:spacing w:line="440" w:lineRule="exact"/>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北仑区“六促六优专项行动”应用二期</w:t>
      </w:r>
    </w:p>
    <w:p w14:paraId="2538C5F2">
      <w:pPr>
        <w:wordWrap w:val="0"/>
        <w:snapToGrid w:val="0"/>
        <w:spacing w:line="440" w:lineRule="exact"/>
        <w:rPr>
          <w:rFonts w:ascii="宋体" w:hAnsi="宋体" w:cs="宋体"/>
          <w:b/>
          <w:color w:val="000000" w:themeColor="text1"/>
          <w:sz w:val="28"/>
          <w:szCs w:val="36"/>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标项号：</w:t>
      </w:r>
      <w:r>
        <w:rPr>
          <w:rFonts w:hint="eastAsia" w:ascii="宋体" w:hAnsi="宋体" w:cs="宋体"/>
          <w:color w:val="000000" w:themeColor="text1"/>
          <w:szCs w:val="21"/>
          <w:u w:val="single"/>
          <w14:textFill>
            <w14:solidFill>
              <w14:schemeClr w14:val="tx1"/>
            </w14:solidFill>
          </w14:textFill>
        </w:rPr>
        <w:t xml:space="preserve">               </w:t>
      </w:r>
    </w:p>
    <w:p w14:paraId="22732A03">
      <w:pPr>
        <w:pStyle w:val="161"/>
        <w:wordWrap w:val="0"/>
        <w:spacing w:line="400" w:lineRule="exact"/>
        <w:ind w:left="0" w:leftChars="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货币单位：人民币（元）</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022"/>
        <w:gridCol w:w="1885"/>
        <w:gridCol w:w="1652"/>
        <w:gridCol w:w="1684"/>
        <w:gridCol w:w="1181"/>
      </w:tblGrid>
      <w:tr w14:paraId="46CFDF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11" w:type="dxa"/>
            <w:noWrap w:val="0"/>
            <w:vAlign w:val="center"/>
          </w:tcPr>
          <w:p w14:paraId="0C8766A5">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2022" w:type="dxa"/>
            <w:noWrap w:val="0"/>
            <w:vAlign w:val="center"/>
          </w:tcPr>
          <w:p w14:paraId="3D08D6D1">
            <w:pPr>
              <w:wordWrap w:val="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名称</w:t>
            </w:r>
          </w:p>
        </w:tc>
        <w:tc>
          <w:tcPr>
            <w:tcW w:w="1885" w:type="dxa"/>
            <w:noWrap w:val="0"/>
            <w:vAlign w:val="center"/>
          </w:tcPr>
          <w:p w14:paraId="216C0DB7">
            <w:pPr>
              <w:wordWrap w:val="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数量</w:t>
            </w:r>
          </w:p>
        </w:tc>
        <w:tc>
          <w:tcPr>
            <w:tcW w:w="1652" w:type="dxa"/>
            <w:noWrap w:val="0"/>
            <w:vAlign w:val="center"/>
          </w:tcPr>
          <w:p w14:paraId="76C1BF37">
            <w:pPr>
              <w:wordWrap w:val="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单位</w:t>
            </w:r>
          </w:p>
        </w:tc>
        <w:tc>
          <w:tcPr>
            <w:tcW w:w="1684" w:type="dxa"/>
            <w:noWrap w:val="0"/>
            <w:vAlign w:val="center"/>
          </w:tcPr>
          <w:p w14:paraId="7001E053">
            <w:pPr>
              <w:wordWrap w:val="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综合单价</w:t>
            </w:r>
          </w:p>
        </w:tc>
        <w:tc>
          <w:tcPr>
            <w:tcW w:w="1181" w:type="dxa"/>
            <w:noWrap w:val="0"/>
            <w:vAlign w:val="center"/>
          </w:tcPr>
          <w:p w14:paraId="428081E4">
            <w:pPr>
              <w:wordWrap w:val="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合价</w:t>
            </w:r>
          </w:p>
        </w:tc>
      </w:tr>
      <w:tr w14:paraId="4D4C84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11" w:type="dxa"/>
            <w:noWrap w:val="0"/>
            <w:vAlign w:val="center"/>
          </w:tcPr>
          <w:p w14:paraId="75D31CD5">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r>
              <w:rPr>
                <w:rFonts w:hint="eastAsia" w:ascii="宋体" w:hAnsi="宋体" w:cs="宋体"/>
                <w:bCs/>
                <w:color w:val="000000" w:themeColor="text1"/>
                <w:spacing w:val="-6"/>
                <w:kern w:val="0"/>
                <w:szCs w:val="21"/>
                <w:lang w:val="zh-CN"/>
                <w14:textFill>
                  <w14:solidFill>
                    <w14:schemeClr w14:val="tx1"/>
                  </w14:solidFill>
                </w14:textFill>
              </w:rPr>
              <w:t>1</w:t>
            </w:r>
          </w:p>
        </w:tc>
        <w:tc>
          <w:tcPr>
            <w:tcW w:w="2022" w:type="dxa"/>
            <w:noWrap w:val="0"/>
            <w:vAlign w:val="center"/>
          </w:tcPr>
          <w:p w14:paraId="743E1002">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885" w:type="dxa"/>
            <w:noWrap w:val="0"/>
            <w:vAlign w:val="center"/>
          </w:tcPr>
          <w:p w14:paraId="59293861">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52" w:type="dxa"/>
            <w:noWrap w:val="0"/>
            <w:vAlign w:val="center"/>
          </w:tcPr>
          <w:p w14:paraId="779FD83F">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84" w:type="dxa"/>
            <w:noWrap w:val="0"/>
            <w:vAlign w:val="center"/>
          </w:tcPr>
          <w:p w14:paraId="08E836C2">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181" w:type="dxa"/>
            <w:noWrap w:val="0"/>
            <w:vAlign w:val="center"/>
          </w:tcPr>
          <w:p w14:paraId="64C6DDBB">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r>
      <w:tr w14:paraId="11A403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11" w:type="dxa"/>
            <w:noWrap w:val="0"/>
            <w:vAlign w:val="center"/>
          </w:tcPr>
          <w:p w14:paraId="4CE856FB">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r>
              <w:rPr>
                <w:rFonts w:hint="eastAsia" w:ascii="宋体" w:hAnsi="宋体" w:cs="宋体"/>
                <w:bCs/>
                <w:color w:val="000000" w:themeColor="text1"/>
                <w:spacing w:val="-6"/>
                <w:kern w:val="0"/>
                <w:szCs w:val="21"/>
                <w:lang w:val="zh-CN"/>
                <w14:textFill>
                  <w14:solidFill>
                    <w14:schemeClr w14:val="tx1"/>
                  </w14:solidFill>
                </w14:textFill>
              </w:rPr>
              <w:t>2</w:t>
            </w:r>
          </w:p>
        </w:tc>
        <w:tc>
          <w:tcPr>
            <w:tcW w:w="2022" w:type="dxa"/>
            <w:noWrap w:val="0"/>
            <w:vAlign w:val="center"/>
          </w:tcPr>
          <w:p w14:paraId="48CDC495">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885" w:type="dxa"/>
            <w:noWrap w:val="0"/>
            <w:vAlign w:val="center"/>
          </w:tcPr>
          <w:p w14:paraId="3C0CF884">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52" w:type="dxa"/>
            <w:noWrap w:val="0"/>
            <w:vAlign w:val="center"/>
          </w:tcPr>
          <w:p w14:paraId="11443620">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84" w:type="dxa"/>
            <w:noWrap w:val="0"/>
            <w:vAlign w:val="center"/>
          </w:tcPr>
          <w:p w14:paraId="70FC85C1">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181" w:type="dxa"/>
            <w:noWrap w:val="0"/>
            <w:vAlign w:val="center"/>
          </w:tcPr>
          <w:p w14:paraId="74E6D851">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r>
      <w:tr w14:paraId="02EEC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11" w:type="dxa"/>
            <w:noWrap w:val="0"/>
            <w:vAlign w:val="center"/>
          </w:tcPr>
          <w:p w14:paraId="40DBB5CD">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r>
              <w:rPr>
                <w:rFonts w:hint="eastAsia" w:ascii="宋体" w:hAnsi="宋体" w:cs="宋体"/>
                <w:bCs/>
                <w:color w:val="000000" w:themeColor="text1"/>
                <w:spacing w:val="-6"/>
                <w:kern w:val="0"/>
                <w:szCs w:val="21"/>
                <w:lang w:val="zh-CN"/>
                <w14:textFill>
                  <w14:solidFill>
                    <w14:schemeClr w14:val="tx1"/>
                  </w14:solidFill>
                </w14:textFill>
              </w:rPr>
              <w:t>3</w:t>
            </w:r>
          </w:p>
        </w:tc>
        <w:tc>
          <w:tcPr>
            <w:tcW w:w="2022" w:type="dxa"/>
            <w:noWrap w:val="0"/>
            <w:vAlign w:val="center"/>
          </w:tcPr>
          <w:p w14:paraId="0EF05B3E">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885" w:type="dxa"/>
            <w:noWrap w:val="0"/>
            <w:vAlign w:val="center"/>
          </w:tcPr>
          <w:p w14:paraId="14CC1923">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52" w:type="dxa"/>
            <w:noWrap w:val="0"/>
            <w:vAlign w:val="center"/>
          </w:tcPr>
          <w:p w14:paraId="720816C1">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84" w:type="dxa"/>
            <w:noWrap w:val="0"/>
            <w:vAlign w:val="center"/>
          </w:tcPr>
          <w:p w14:paraId="06EDCBD1">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181" w:type="dxa"/>
            <w:noWrap w:val="0"/>
            <w:vAlign w:val="center"/>
          </w:tcPr>
          <w:p w14:paraId="2B135392">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r>
      <w:tr w14:paraId="3724D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11" w:type="dxa"/>
            <w:noWrap w:val="0"/>
            <w:vAlign w:val="center"/>
          </w:tcPr>
          <w:p w14:paraId="454B24FB">
            <w:pPr>
              <w:widowControl/>
              <w:wordWrap w:val="0"/>
              <w:spacing w:line="360" w:lineRule="auto"/>
              <w:jc w:val="center"/>
              <w:textAlignment w:val="center"/>
              <w:rPr>
                <w:rFonts w:hint="eastAsia" w:ascii="宋体" w:hAnsi="宋体" w:cs="宋体"/>
                <w:bCs/>
                <w:color w:val="000000" w:themeColor="text1"/>
                <w:spacing w:val="-6"/>
                <w:kern w:val="0"/>
                <w:szCs w:val="21"/>
                <w:lang w:val="zh-CN"/>
                <w14:textFill>
                  <w14:solidFill>
                    <w14:schemeClr w14:val="tx1"/>
                  </w14:solidFill>
                </w14:textFill>
              </w:rPr>
            </w:pPr>
            <w:r>
              <w:rPr>
                <w:rFonts w:ascii="宋体" w:hAnsi="宋体" w:cs="宋体"/>
                <w:bCs/>
                <w:color w:val="000000" w:themeColor="text1"/>
                <w:spacing w:val="-6"/>
                <w:kern w:val="0"/>
                <w:szCs w:val="21"/>
                <w:lang w:val="zh-CN"/>
                <w14:textFill>
                  <w14:solidFill>
                    <w14:schemeClr w14:val="tx1"/>
                  </w14:solidFill>
                </w14:textFill>
              </w:rPr>
              <w:t>…</w:t>
            </w:r>
          </w:p>
        </w:tc>
        <w:tc>
          <w:tcPr>
            <w:tcW w:w="2022" w:type="dxa"/>
            <w:noWrap w:val="0"/>
            <w:vAlign w:val="center"/>
          </w:tcPr>
          <w:p w14:paraId="6AC557EC">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885" w:type="dxa"/>
            <w:noWrap w:val="0"/>
            <w:vAlign w:val="center"/>
          </w:tcPr>
          <w:p w14:paraId="128D2A9D">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52" w:type="dxa"/>
            <w:noWrap w:val="0"/>
            <w:vAlign w:val="center"/>
          </w:tcPr>
          <w:p w14:paraId="037D0EC1">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684" w:type="dxa"/>
            <w:noWrap w:val="0"/>
            <w:vAlign w:val="center"/>
          </w:tcPr>
          <w:p w14:paraId="7FFDD11D">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c>
          <w:tcPr>
            <w:tcW w:w="1181" w:type="dxa"/>
            <w:noWrap w:val="0"/>
            <w:vAlign w:val="center"/>
          </w:tcPr>
          <w:p w14:paraId="601C0C78">
            <w:pPr>
              <w:widowControl/>
              <w:wordWrap w:val="0"/>
              <w:spacing w:line="360" w:lineRule="auto"/>
              <w:jc w:val="center"/>
              <w:textAlignment w:val="center"/>
              <w:rPr>
                <w:rFonts w:ascii="宋体" w:hAnsi="宋体" w:cs="宋体"/>
                <w:bCs/>
                <w:color w:val="000000" w:themeColor="text1"/>
                <w:spacing w:val="-6"/>
                <w:kern w:val="0"/>
                <w:szCs w:val="21"/>
                <w:lang w:val="zh-CN"/>
                <w14:textFill>
                  <w14:solidFill>
                    <w14:schemeClr w14:val="tx1"/>
                  </w14:solidFill>
                </w14:textFill>
              </w:rPr>
            </w:pPr>
          </w:p>
        </w:tc>
      </w:tr>
      <w:tr w14:paraId="15B6B5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35" w:type="dxa"/>
            <w:gridSpan w:val="6"/>
            <w:noWrap w:val="0"/>
            <w:vAlign w:val="center"/>
          </w:tcPr>
          <w:p w14:paraId="4C47A352">
            <w:pPr>
              <w:widowControl/>
              <w:wordWrap w:val="0"/>
              <w:spacing w:line="360" w:lineRule="auto"/>
              <w:jc w:val="left"/>
              <w:textAlignment w:val="center"/>
              <w:rPr>
                <w:rFonts w:ascii="宋体" w:hAnsi="宋体" w:cs="宋体"/>
                <w:bCs/>
                <w:color w:val="000000" w:themeColor="text1"/>
                <w:spacing w:val="-6"/>
                <w:kern w:val="0"/>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合计（大写 人民币          元</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小写：人民币        元）：</w:t>
            </w:r>
          </w:p>
        </w:tc>
      </w:tr>
    </w:tbl>
    <w:p w14:paraId="72C96352">
      <w:pPr>
        <w:pStyle w:val="18"/>
        <w:wordWrap w:val="0"/>
        <w:spacing w:line="320" w:lineRule="exact"/>
        <w:ind w:firstLine="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注：1、请供应商列明完成本项目的各项费用组成。合计金额应与“</w:t>
      </w:r>
      <w:r>
        <w:rPr>
          <w:rFonts w:hint="eastAsia" w:ascii="宋体" w:hAnsi="宋体" w:eastAsia="宋体" w:cs="宋体"/>
          <w:b/>
          <w:color w:val="000000" w:themeColor="text1"/>
          <w:sz w:val="21"/>
          <w:szCs w:val="21"/>
          <w14:textFill>
            <w14:solidFill>
              <w14:schemeClr w14:val="tx1"/>
            </w14:solidFill>
          </w14:textFill>
        </w:rPr>
        <w:t>报价一览表</w:t>
      </w:r>
      <w:r>
        <w:rPr>
          <w:rFonts w:hint="eastAsia" w:ascii="宋体" w:hAnsi="宋体" w:eastAsia="宋体" w:cs="宋体"/>
          <w:color w:val="000000" w:themeColor="text1"/>
          <w:sz w:val="21"/>
          <w:szCs w:val="21"/>
          <w14:textFill>
            <w14:solidFill>
              <w14:schemeClr w14:val="tx1"/>
            </w14:solidFill>
          </w14:textFill>
        </w:rPr>
        <w:t>”中的报价一致。</w:t>
      </w:r>
    </w:p>
    <w:p w14:paraId="58FD6779">
      <w:pPr>
        <w:pStyle w:val="18"/>
        <w:wordWrap w:val="0"/>
        <w:spacing w:line="320" w:lineRule="exact"/>
        <w:ind w:firstLine="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2、对于未列入本表投标价组成栏内的费项可自行增加填报。</w:t>
      </w:r>
    </w:p>
    <w:p w14:paraId="6303B12D">
      <w:pPr>
        <w:wordWrap w:val="0"/>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磋商响应文件中报价一览表内容与政采云系统“报价一览表”中录入的报价内容不一致的，以上传的签字盖章的响应文件中报价一览表为准；</w:t>
      </w:r>
    </w:p>
    <w:p w14:paraId="169DBAB3">
      <w:pPr>
        <w:wordWrap w:val="0"/>
        <w:spacing w:line="360" w:lineRule="auto"/>
        <w:rPr>
          <w:rFonts w:hint="eastAsia" w:ascii="宋体" w:hAnsi="宋体" w:cs="宋体"/>
          <w:color w:val="000000" w:themeColor="text1"/>
          <w:szCs w:val="21"/>
          <w14:textFill>
            <w14:solidFill>
              <w14:schemeClr w14:val="tx1"/>
            </w14:solidFill>
          </w14:textFill>
        </w:rPr>
      </w:pPr>
    </w:p>
    <w:p w14:paraId="32B4AD66">
      <w:pPr>
        <w:wordWrap w:val="0"/>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5364C583">
      <w:pPr>
        <w:wordWrap w:val="0"/>
        <w:snapToGrid w:val="0"/>
        <w:spacing w:line="44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bookmarkEnd w:id="67"/>
    <w:p w14:paraId="124C8F80">
      <w:pPr>
        <w:wordWrap w:val="0"/>
        <w:spacing w:line="440" w:lineRule="exact"/>
        <w:rPr>
          <w:rFonts w:hint="eastAsia" w:ascii="宋体" w:hAnsi="宋体"/>
          <w:b/>
          <w:color w:val="000000" w:themeColor="text1"/>
          <w:szCs w:val="21"/>
          <w14:textFill>
            <w14:solidFill>
              <w14:schemeClr w14:val="tx1"/>
            </w14:solidFill>
          </w14:textFill>
        </w:rPr>
      </w:pPr>
      <w:bookmarkStart w:id="74" w:name="_Hlk35438624"/>
      <w:bookmarkEnd w:id="74"/>
    </w:p>
    <w:p w14:paraId="1055CD74">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719D087C">
      <w:pPr>
        <w:wordWrap w:val="0"/>
        <w:spacing w:line="400" w:lineRule="exact"/>
        <w:jc w:val="center"/>
        <w:rPr>
          <w:rFonts w:hint="eastAsia" w:ascii="宋体" w:hAnsi="宋体"/>
          <w:b/>
          <w:color w:val="000000" w:themeColor="text1"/>
          <w:szCs w:val="21"/>
          <w14:textFill>
            <w14:solidFill>
              <w14:schemeClr w14:val="tx1"/>
            </w14:solidFill>
          </w14:textFill>
        </w:rPr>
      </w:pPr>
      <w:r>
        <w:rPr>
          <w:rFonts w:hint="eastAsia" w:ascii="宋体" w:hAnsi="宋体" w:cs="Times New Roman"/>
          <w:b/>
          <w:color w:val="000000" w:themeColor="text1"/>
          <w:sz w:val="32"/>
          <w:szCs w:val="32"/>
          <w:lang w:val="en-US" w:eastAsia="zh-CN"/>
          <w14:textFill>
            <w14:solidFill>
              <w14:schemeClr w14:val="tx1"/>
            </w14:solidFill>
          </w14:textFill>
        </w:rPr>
        <w:t>C</w:t>
      </w:r>
      <w:r>
        <w:rPr>
          <w:rFonts w:hint="eastAsia" w:ascii="宋体" w:hAnsi="宋体" w:eastAsia="宋体" w:cs="Times New Roman"/>
          <w:b/>
          <w:color w:val="000000" w:themeColor="text1"/>
          <w:sz w:val="32"/>
          <w:szCs w:val="32"/>
          <w14:textFill>
            <w14:solidFill>
              <w14:schemeClr w14:val="tx1"/>
            </w14:solidFill>
          </w14:textFill>
        </w:rPr>
        <w:t>3、中小企业声明函</w:t>
      </w:r>
    </w:p>
    <w:p w14:paraId="6FAAE682">
      <w:pPr>
        <w:wordWrap w:val="0"/>
        <w:spacing w:line="440" w:lineRule="exact"/>
        <w:rPr>
          <w:rFonts w:hint="eastAsia" w:ascii="宋体" w:hAnsi="宋体"/>
          <w:b/>
          <w:color w:val="000000" w:themeColor="text1"/>
          <w:szCs w:val="21"/>
          <w14:textFill>
            <w14:solidFill>
              <w14:schemeClr w14:val="tx1"/>
            </w14:solidFill>
          </w14:textFill>
        </w:rPr>
      </w:pPr>
    </w:p>
    <w:p w14:paraId="433E49B8">
      <w:pPr>
        <w:wordWrap w:val="0"/>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本公司（联合体）郑重声明，根据《政府采购促进中小 企业发展管理办法》（财库﹝2020﹞46 号）的规定，本公司（联合体）参加_______________（单位名称）的________________（项目名称）采购活动，服务全部由符合政策要求的中小企业承接。相关企业（含联合体中的中小企业、签订分包意向协议的中小企业）的具体情况如下：</w:t>
      </w:r>
    </w:p>
    <w:p w14:paraId="2235DCED">
      <w:pPr>
        <w:wordWrap w:val="0"/>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（标的名称）   </w:t>
      </w:r>
      <w:r>
        <w:rPr>
          <w:rFonts w:hint="eastAsia" w:ascii="宋体" w:hAnsi="宋体" w:cs="宋体"/>
          <w:color w:val="000000" w:themeColor="text1"/>
          <w14:textFill>
            <w14:solidFill>
              <w14:schemeClr w14:val="tx1"/>
            </w14:solidFill>
          </w14:textFill>
        </w:rPr>
        <w:t>，属于</w:t>
      </w:r>
      <w:r>
        <w:rPr>
          <w:rFonts w:hint="eastAsia" w:ascii="宋体" w:hAnsi="宋体" w:cs="宋体"/>
          <w:color w:val="000000" w:themeColor="text1"/>
          <w:u w:val="single"/>
          <w14:textFill>
            <w14:solidFill>
              <w14:schemeClr w14:val="tx1"/>
            </w14:solidFill>
          </w14:textFill>
        </w:rPr>
        <w:t>软件和信息技术服务业</w:t>
      </w:r>
      <w:r>
        <w:rPr>
          <w:rFonts w:hint="eastAsia" w:ascii="宋体" w:hAnsi="宋体" w:cs="宋体"/>
          <w:color w:val="000000" w:themeColor="text1"/>
          <w14:textFill>
            <w14:solidFill>
              <w14:schemeClr w14:val="tx1"/>
            </w14:solidFill>
          </w14:textFill>
        </w:rPr>
        <w:t xml:space="preserve">；承建（承接）企业为___________（企业名称），从业人员____人，营业收入为____万元，资产总额为____万元，属于____企业（中型企业、小型企业、微型企业）。 </w:t>
      </w:r>
    </w:p>
    <w:p w14:paraId="02D8CC50">
      <w:pPr>
        <w:wordWrap w:val="0"/>
        <w:spacing w:line="440" w:lineRule="exact"/>
        <w:ind w:firstLine="420" w:firstLineChars="200"/>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w:t>
      </w:r>
    </w:p>
    <w:p w14:paraId="7BB75B3A">
      <w:pPr>
        <w:wordWrap w:val="0"/>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15FA4CB6">
      <w:pPr>
        <w:wordWrap w:val="0"/>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本企业对上述声明内容的真实性负责。如有虚假，将依法承担相应责任。</w:t>
      </w:r>
    </w:p>
    <w:p w14:paraId="2B51A639">
      <w:pPr>
        <w:wordWrap w:val="0"/>
        <w:spacing w:line="440" w:lineRule="exact"/>
        <w:ind w:firstLine="420" w:firstLineChars="200"/>
        <w:rPr>
          <w:rFonts w:hint="eastAsia" w:ascii="宋体" w:hAnsi="宋体" w:cs="宋体"/>
          <w:color w:val="000000" w:themeColor="text1"/>
          <w14:textFill>
            <w14:solidFill>
              <w14:schemeClr w14:val="tx1"/>
            </w14:solidFill>
          </w14:textFill>
        </w:rPr>
      </w:pPr>
    </w:p>
    <w:p w14:paraId="172D0F78">
      <w:pPr>
        <w:wordWrap w:val="0"/>
        <w:spacing w:line="440" w:lineRule="exact"/>
        <w:ind w:firstLine="420" w:firstLineChars="200"/>
        <w:rPr>
          <w:rFonts w:hint="eastAsia" w:ascii="宋体" w:hAnsi="宋体" w:cs="宋体"/>
          <w:color w:val="000000" w:themeColor="text1"/>
          <w14:textFill>
            <w14:solidFill>
              <w14:schemeClr w14:val="tx1"/>
            </w14:solidFill>
          </w14:textFill>
        </w:rPr>
      </w:pPr>
    </w:p>
    <w:p w14:paraId="068F8164">
      <w:pPr>
        <w:wordWrap w:val="0"/>
        <w:spacing w:line="44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注：从业人员、营业收入、资产总额填报上一年度数据，无上一年度数据的新成立企业可不填报。</w:t>
      </w:r>
    </w:p>
    <w:p w14:paraId="033F5EFB">
      <w:pPr>
        <w:wordWrap w:val="0"/>
        <w:spacing w:line="440" w:lineRule="exact"/>
        <w:ind w:firstLine="420" w:firstLineChars="200"/>
        <w:rPr>
          <w:rFonts w:hint="eastAsia" w:ascii="宋体" w:hAnsi="宋体" w:cs="宋体"/>
          <w:color w:val="000000" w:themeColor="text1"/>
          <w14:textFill>
            <w14:solidFill>
              <w14:schemeClr w14:val="tx1"/>
            </w14:solidFill>
          </w14:textFill>
        </w:rPr>
      </w:pPr>
    </w:p>
    <w:p w14:paraId="00382A0B">
      <w:pPr>
        <w:wordWrap w:val="0"/>
        <w:spacing w:line="440" w:lineRule="exact"/>
        <w:ind w:firstLine="420" w:firstLineChars="200"/>
        <w:rPr>
          <w:rFonts w:hint="eastAsia" w:ascii="宋体" w:hAnsi="宋体" w:cs="宋体"/>
          <w:color w:val="000000" w:themeColor="text1"/>
          <w14:textFill>
            <w14:solidFill>
              <w14:schemeClr w14:val="tx1"/>
            </w14:solidFill>
          </w14:textFill>
        </w:rPr>
      </w:pPr>
    </w:p>
    <w:p w14:paraId="5D6BD9B2">
      <w:pPr>
        <w:wordWrap w:val="0"/>
        <w:spacing w:line="440" w:lineRule="exact"/>
        <w:ind w:firstLine="420" w:firstLineChars="200"/>
        <w:rPr>
          <w:rFonts w:hint="eastAsia" w:ascii="宋体" w:hAnsi="宋体" w:cs="宋体"/>
          <w:color w:val="000000" w:themeColor="text1"/>
          <w14:textFill>
            <w14:solidFill>
              <w14:schemeClr w14:val="tx1"/>
            </w14:solidFill>
          </w14:textFill>
        </w:rPr>
      </w:pPr>
    </w:p>
    <w:p w14:paraId="503AE6FE">
      <w:pPr>
        <w:wordWrap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6785942B">
      <w:pPr>
        <w:wordWrap w:val="0"/>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3E1B36A8">
      <w:pPr>
        <w:wordWrap w:val="0"/>
        <w:spacing w:line="440" w:lineRule="exact"/>
        <w:ind w:firstLine="420" w:firstLineChars="200"/>
        <w:jc w:val="center"/>
        <w:outlineLvl w:val="0"/>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bookmarkStart w:id="75" w:name="_Toc11788"/>
      <w:r>
        <w:rPr>
          <w:rFonts w:hint="eastAsia" w:ascii="宋体" w:hAnsi="宋体" w:cs="Times New Roman"/>
          <w:b/>
          <w:color w:val="000000" w:themeColor="text1"/>
          <w:sz w:val="32"/>
          <w:szCs w:val="32"/>
          <w:lang w:val="en-US" w:eastAsia="zh-CN"/>
          <w14:textFill>
            <w14:solidFill>
              <w14:schemeClr w14:val="tx1"/>
            </w14:solidFill>
          </w14:textFill>
        </w:rPr>
        <w:t>C</w:t>
      </w:r>
      <w:r>
        <w:rPr>
          <w:rFonts w:hint="eastAsia" w:ascii="宋体" w:hAnsi="宋体" w:eastAsia="宋体" w:cs="Times New Roman"/>
          <w:b/>
          <w:color w:val="000000" w:themeColor="text1"/>
          <w:sz w:val="32"/>
          <w:szCs w:val="32"/>
          <w14:textFill>
            <w14:solidFill>
              <w14:schemeClr w14:val="tx1"/>
            </w14:solidFill>
          </w14:textFill>
        </w:rPr>
        <w:t>4、残疾人福利性单位声明函（如有需提供）</w:t>
      </w:r>
      <w:bookmarkEnd w:id="75"/>
    </w:p>
    <w:p w14:paraId="6186E24B">
      <w:pPr>
        <w:wordWrap w:val="0"/>
        <w:spacing w:line="588"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59DEC9A">
      <w:pPr>
        <w:wordWrap w:val="0"/>
        <w:spacing w:line="588"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本单位对上述声明的真实性负责。如有虚假，将依法承担相应责任。</w:t>
      </w:r>
    </w:p>
    <w:p w14:paraId="56C72DA2">
      <w:pPr>
        <w:wordWrap w:val="0"/>
        <w:spacing w:line="588" w:lineRule="exact"/>
        <w:ind w:firstLine="420" w:firstLineChars="200"/>
        <w:rPr>
          <w:rFonts w:ascii="宋体" w:hAnsi="宋体"/>
          <w:color w:val="000000" w:themeColor="text1"/>
          <w:szCs w:val="21"/>
          <w14:textFill>
            <w14:solidFill>
              <w14:schemeClr w14:val="tx1"/>
            </w14:solidFill>
          </w14:textFill>
        </w:rPr>
      </w:pPr>
    </w:p>
    <w:p w14:paraId="5EDA4519">
      <w:pPr>
        <w:wordWrap w:val="0"/>
        <w:spacing w:line="588" w:lineRule="exact"/>
        <w:ind w:firstLine="420" w:firstLineChars="200"/>
        <w:rPr>
          <w:rFonts w:ascii="宋体" w:hAnsi="宋体"/>
          <w:color w:val="000000" w:themeColor="text1"/>
          <w:szCs w:val="21"/>
          <w14:textFill>
            <w14:solidFill>
              <w14:schemeClr w14:val="tx1"/>
            </w14:solidFill>
          </w14:textFill>
        </w:rPr>
      </w:pPr>
    </w:p>
    <w:p w14:paraId="280817AE">
      <w:pPr>
        <w:tabs>
          <w:tab w:val="left" w:pos="4860"/>
        </w:tabs>
        <w:wordWrap w:val="0"/>
        <w:spacing w:line="588" w:lineRule="exact"/>
        <w:ind w:right="1560"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单位名称（盖章）：</w:t>
      </w:r>
    </w:p>
    <w:p w14:paraId="11A18FA2">
      <w:pPr>
        <w:tabs>
          <w:tab w:val="left" w:pos="4860"/>
        </w:tabs>
        <w:wordWrap w:val="0"/>
        <w:spacing w:line="588" w:lineRule="exact"/>
        <w:ind w:right="1560" w:firstLine="420" w:firstLineChars="2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  期：</w:t>
      </w:r>
    </w:p>
    <w:p w14:paraId="29B7CBE5">
      <w:pPr>
        <w:tabs>
          <w:tab w:val="left" w:pos="4860"/>
        </w:tabs>
        <w:wordWrap w:val="0"/>
        <w:spacing w:line="588" w:lineRule="exact"/>
        <w:ind w:right="1560" w:firstLine="420" w:firstLineChars="200"/>
        <w:jc w:val="center"/>
        <w:rPr>
          <w:rFonts w:hint="eastAsia" w:ascii="宋体" w:hAnsi="宋体"/>
          <w:color w:val="000000" w:themeColor="text1"/>
          <w:szCs w:val="21"/>
          <w14:textFill>
            <w14:solidFill>
              <w14:schemeClr w14:val="tx1"/>
            </w14:solidFill>
          </w14:textFill>
        </w:rPr>
      </w:pPr>
    </w:p>
    <w:p w14:paraId="5E3DA039">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w:t>
      </w:r>
    </w:p>
    <w:p w14:paraId="2BF9150F">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享受政府采购支持政策的残疾人福利性单位应当同时满足以下条件：</w:t>
      </w:r>
    </w:p>
    <w:p w14:paraId="5724CB15">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（一）安置的残疾人占本单位在职职工人数的比例不低于</w:t>
      </w:r>
      <w:r>
        <w:rPr>
          <w:rFonts w:ascii="宋体" w:hAnsi="宋体"/>
          <w:b/>
          <w:color w:val="000000" w:themeColor="text1"/>
          <w:szCs w:val="21"/>
          <w14:textFill>
            <w14:solidFill>
              <w14:schemeClr w14:val="tx1"/>
            </w14:solidFill>
          </w14:textFill>
        </w:rPr>
        <w:t>25%</w:t>
      </w:r>
      <w:r>
        <w:rPr>
          <w:rFonts w:hint="eastAsia" w:ascii="宋体" w:hAnsi="宋体"/>
          <w:b/>
          <w:color w:val="000000" w:themeColor="text1"/>
          <w:szCs w:val="21"/>
          <w14:textFill>
            <w14:solidFill>
              <w14:schemeClr w14:val="tx1"/>
            </w14:solidFill>
          </w14:textFill>
        </w:rPr>
        <w:t>（含</w:t>
      </w:r>
      <w:r>
        <w:rPr>
          <w:rFonts w:ascii="宋体" w:hAnsi="宋体"/>
          <w:b/>
          <w:color w:val="000000" w:themeColor="text1"/>
          <w:szCs w:val="21"/>
          <w14:textFill>
            <w14:solidFill>
              <w14:schemeClr w14:val="tx1"/>
            </w14:solidFill>
          </w14:textFill>
        </w:rPr>
        <w:t>25%</w:t>
      </w:r>
      <w:r>
        <w:rPr>
          <w:rFonts w:hint="eastAsia" w:ascii="宋体" w:hAnsi="宋体"/>
          <w:b/>
          <w:color w:val="000000" w:themeColor="text1"/>
          <w:szCs w:val="21"/>
          <w14:textFill>
            <w14:solidFill>
              <w14:schemeClr w14:val="tx1"/>
            </w14:solidFill>
          </w14:textFill>
        </w:rPr>
        <w:t>），并且安置的残疾人人数不少于</w:t>
      </w:r>
      <w:r>
        <w:rPr>
          <w:rFonts w:ascii="宋体" w:hAnsi="宋体"/>
          <w:b/>
          <w:color w:val="000000" w:themeColor="text1"/>
          <w:szCs w:val="21"/>
          <w14:textFill>
            <w14:solidFill>
              <w14:schemeClr w14:val="tx1"/>
            </w14:solidFill>
          </w14:textFill>
        </w:rPr>
        <w:t>10</w:t>
      </w:r>
      <w:r>
        <w:rPr>
          <w:rFonts w:hint="eastAsia" w:ascii="宋体" w:hAnsi="宋体"/>
          <w:b/>
          <w:color w:val="000000" w:themeColor="text1"/>
          <w:szCs w:val="21"/>
          <w14:textFill>
            <w14:solidFill>
              <w14:schemeClr w14:val="tx1"/>
            </w14:solidFill>
          </w14:textFill>
        </w:rPr>
        <w:t>人（含</w:t>
      </w:r>
      <w:r>
        <w:rPr>
          <w:rFonts w:ascii="宋体" w:hAnsi="宋体"/>
          <w:b/>
          <w:color w:val="000000" w:themeColor="text1"/>
          <w:szCs w:val="21"/>
          <w14:textFill>
            <w14:solidFill>
              <w14:schemeClr w14:val="tx1"/>
            </w14:solidFill>
          </w14:textFill>
        </w:rPr>
        <w:t>10</w:t>
      </w:r>
      <w:r>
        <w:rPr>
          <w:rFonts w:hint="eastAsia" w:ascii="宋体" w:hAnsi="宋体"/>
          <w:b/>
          <w:color w:val="000000" w:themeColor="text1"/>
          <w:szCs w:val="21"/>
          <w14:textFill>
            <w14:solidFill>
              <w14:schemeClr w14:val="tx1"/>
            </w14:solidFill>
          </w14:textFill>
        </w:rPr>
        <w:t>人）；</w:t>
      </w:r>
    </w:p>
    <w:p w14:paraId="3467550E">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（二）依法与安置的每位残疾人签订了一年以上（含一年）的劳动合同或服务协议；</w:t>
      </w:r>
    </w:p>
    <w:p w14:paraId="0664D9EE">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（三）为安置的每位残疾人按月足额缴纳了基本养老保险、基本医疗保险、失业保险、工伤保险和生育保险等社会保险费；</w:t>
      </w:r>
    </w:p>
    <w:p w14:paraId="5206F6DB">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（四）通过银行等金融机构向安置的每位残疾人，按月支付了不低于单位所在区县适用的经省级人民政府批准的月最低工资标准的工资；</w:t>
      </w:r>
    </w:p>
    <w:p w14:paraId="00D44384">
      <w:pPr>
        <w:wordWrap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774C944D">
      <w:pPr>
        <w:wordWrap w:val="0"/>
        <w:spacing w:line="440" w:lineRule="exac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前款所称残疾人是指法定劳动年龄内，持有《中华人民共和国残疾人证》或者《中华人民共和国残疾军人证（</w:t>
      </w: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至</w:t>
      </w:r>
      <w:r>
        <w:rPr>
          <w:rFonts w:ascii="宋体" w:hAnsi="宋体"/>
          <w:b/>
          <w:color w:val="000000" w:themeColor="text1"/>
          <w:szCs w:val="21"/>
          <w14:textFill>
            <w14:solidFill>
              <w14:schemeClr w14:val="tx1"/>
            </w14:solidFill>
          </w14:textFill>
        </w:rPr>
        <w:t>8</w:t>
      </w:r>
      <w:r>
        <w:rPr>
          <w:rFonts w:hint="eastAsia" w:ascii="宋体" w:hAnsi="宋体"/>
          <w:b/>
          <w:color w:val="000000" w:themeColor="text1"/>
          <w:szCs w:val="2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2F1EAF40">
      <w:pPr>
        <w:pStyle w:val="17"/>
        <w:rPr>
          <w:color w:val="000000" w:themeColor="text1"/>
          <w14:textFill>
            <w14:solidFill>
              <w14:schemeClr w14:val="tx1"/>
            </w14:solidFill>
          </w14:textFill>
        </w:rPr>
      </w:pPr>
    </w:p>
    <w:p w14:paraId="123ABA64">
      <w:pPr>
        <w:wordWrap w:val="0"/>
        <w:spacing w:line="440" w:lineRule="exact"/>
        <w:ind w:firstLine="420" w:firstLineChars="200"/>
        <w:rPr>
          <w:rFonts w:ascii="宋体" w:hAnsi="宋体"/>
          <w:color w:val="000000" w:themeColor="text1"/>
          <w:szCs w:val="21"/>
          <w14:textFill>
            <w14:solidFill>
              <w14:schemeClr w14:val="tx1"/>
            </w14:solidFill>
          </w14:textFill>
        </w:rPr>
        <w:sectPr>
          <w:headerReference r:id="rId8" w:type="default"/>
          <w:footerReference r:id="rId9" w:type="default"/>
          <w:type w:val="nextColumn"/>
          <w:pgSz w:w="11907" w:h="16840"/>
          <w:pgMar w:top="1134" w:right="1193" w:bottom="1134" w:left="1474" w:header="1134" w:footer="1134" w:gutter="0"/>
          <w:cols w:space="720" w:num="1"/>
          <w:docGrid w:linePitch="285" w:charSpace="0"/>
        </w:sectPr>
      </w:pPr>
    </w:p>
    <w:bookmarkEnd w:id="60"/>
    <w:bookmarkEnd w:id="61"/>
    <w:bookmarkEnd w:id="62"/>
    <w:bookmarkEnd w:id="63"/>
    <w:tbl>
      <w:tblPr>
        <w:tblStyle w:val="44"/>
        <w:tblW w:w="15077" w:type="dxa"/>
        <w:jc w:val="center"/>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7653EF7D">
        <w:tblPrEx>
          <w:tblCellMar>
            <w:top w:w="0" w:type="dxa"/>
            <w:left w:w="108" w:type="dxa"/>
            <w:bottom w:w="0" w:type="dxa"/>
            <w:right w:w="108" w:type="dxa"/>
          </w:tblCellMar>
        </w:tblPrEx>
        <w:trPr>
          <w:trHeight w:val="148" w:hRule="atLeast"/>
          <w:jc w:val="center"/>
        </w:trPr>
        <w:tc>
          <w:tcPr>
            <w:tcW w:w="15077" w:type="dxa"/>
            <w:gridSpan w:val="11"/>
            <w:tcBorders>
              <w:top w:val="nil"/>
              <w:left w:val="nil"/>
              <w:bottom w:val="nil"/>
              <w:right w:val="nil"/>
            </w:tcBorders>
            <w:noWrap w:val="0"/>
            <w:vAlign w:val="bottom"/>
          </w:tcPr>
          <w:p w14:paraId="4D619C5D">
            <w:pPr>
              <w:widowControl/>
              <w:wordWrap w:val="0"/>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中小微行业划型标准规定（根据工信部联企业〔</w:t>
            </w:r>
            <w:r>
              <w:rPr>
                <w:rFonts w:ascii="宋体" w:hAnsi="宋体" w:cs="宋体"/>
                <w:b/>
                <w:bCs/>
                <w:color w:val="000000" w:themeColor="text1"/>
                <w:kern w:val="0"/>
                <w:sz w:val="24"/>
                <w14:textFill>
                  <w14:solidFill>
                    <w14:schemeClr w14:val="tx1"/>
                  </w14:solidFill>
                </w14:textFill>
              </w:rPr>
              <w:t>2011</w:t>
            </w:r>
            <w:r>
              <w:rPr>
                <w:rFonts w:hint="eastAsia" w:ascii="宋体" w:hAnsi="宋体" w:cs="宋体"/>
                <w:b/>
                <w:bCs/>
                <w:color w:val="000000" w:themeColor="text1"/>
                <w:kern w:val="0"/>
                <w:sz w:val="24"/>
                <w14:textFill>
                  <w14:solidFill>
                    <w14:schemeClr w14:val="tx1"/>
                  </w14:solidFill>
                </w14:textFill>
              </w:rPr>
              <w:t>〕</w:t>
            </w:r>
            <w:r>
              <w:rPr>
                <w:rFonts w:ascii="宋体" w:hAnsi="宋体" w:cs="宋体"/>
                <w:b/>
                <w:bCs/>
                <w:color w:val="000000" w:themeColor="text1"/>
                <w:kern w:val="0"/>
                <w:sz w:val="24"/>
                <w14:textFill>
                  <w14:solidFill>
                    <w14:schemeClr w14:val="tx1"/>
                  </w14:solidFill>
                </w14:textFill>
              </w:rPr>
              <w:t>300</w:t>
            </w:r>
            <w:r>
              <w:rPr>
                <w:rFonts w:hint="eastAsia" w:ascii="宋体" w:hAnsi="宋体" w:cs="宋体"/>
                <w:b/>
                <w:bCs/>
                <w:color w:val="000000" w:themeColor="text1"/>
                <w:kern w:val="0"/>
                <w:sz w:val="24"/>
                <w14:textFill>
                  <w14:solidFill>
                    <w14:schemeClr w14:val="tx1"/>
                  </w14:solidFill>
                </w14:textFill>
              </w:rPr>
              <w:t>号制定）</w:t>
            </w:r>
          </w:p>
        </w:tc>
      </w:tr>
      <w:tr w14:paraId="0224B746">
        <w:tblPrEx>
          <w:tblCellMar>
            <w:top w:w="0" w:type="dxa"/>
            <w:left w:w="108" w:type="dxa"/>
            <w:bottom w:w="0" w:type="dxa"/>
            <w:right w:w="108" w:type="dxa"/>
          </w:tblCellMar>
        </w:tblPrEx>
        <w:trPr>
          <w:gridAfter w:val="1"/>
          <w:wAfter w:w="6" w:type="dxa"/>
          <w:trHeight w:val="459" w:hRule="atLeast"/>
          <w:jc w:val="center"/>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14:paraId="04A27F25">
            <w:pPr>
              <w:widowControl/>
              <w:wordWrap w:val="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14:paraId="2DBB6E25">
            <w:pPr>
              <w:widowControl/>
              <w:wordWrap w:val="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14:paraId="1B99BBAE">
            <w:pPr>
              <w:widowControl/>
              <w:wordWrap w:val="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14:paraId="0F0122E7">
            <w:pPr>
              <w:widowControl/>
              <w:wordWrap w:val="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微型企业</w:t>
            </w:r>
          </w:p>
        </w:tc>
      </w:tr>
      <w:tr w14:paraId="6F0A457F">
        <w:tblPrEx>
          <w:tblCellMar>
            <w:top w:w="0" w:type="dxa"/>
            <w:left w:w="108" w:type="dxa"/>
            <w:bottom w:w="0" w:type="dxa"/>
            <w:right w:w="108" w:type="dxa"/>
          </w:tblCellMar>
        </w:tblPrEx>
        <w:trPr>
          <w:gridAfter w:val="1"/>
          <w:wAfter w:w="6" w:type="dxa"/>
          <w:trHeight w:val="518" w:hRule="atLeast"/>
          <w:jc w:val="center"/>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14:paraId="67DD6C75">
            <w:pPr>
              <w:widowControl/>
              <w:wordWrap w:val="0"/>
              <w:jc w:val="left"/>
              <w:rPr>
                <w:rFonts w:ascii="宋体" w:hAnsi="宋体" w:cs="宋体"/>
                <w:b/>
                <w:bCs/>
                <w:color w:val="000000" w:themeColor="text1"/>
                <w:kern w:val="0"/>
                <w:sz w:val="24"/>
                <w14:textFill>
                  <w14:solidFill>
                    <w14:schemeClr w14:val="tx1"/>
                  </w14:solidFill>
                </w14:textFill>
              </w:rPr>
            </w:pPr>
          </w:p>
        </w:tc>
        <w:tc>
          <w:tcPr>
            <w:tcW w:w="1512" w:type="dxa"/>
            <w:tcBorders>
              <w:top w:val="nil"/>
              <w:left w:val="nil"/>
              <w:bottom w:val="single" w:color="auto" w:sz="4" w:space="0"/>
              <w:right w:val="single" w:color="auto" w:sz="4" w:space="0"/>
            </w:tcBorders>
            <w:noWrap w:val="0"/>
            <w:vAlign w:val="bottom"/>
          </w:tcPr>
          <w:p w14:paraId="0B2321FE">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779" w:type="dxa"/>
            <w:tcBorders>
              <w:top w:val="nil"/>
              <w:left w:val="nil"/>
              <w:bottom w:val="single" w:color="auto" w:sz="4" w:space="0"/>
              <w:right w:val="single" w:color="auto" w:sz="4" w:space="0"/>
            </w:tcBorders>
            <w:noWrap w:val="0"/>
            <w:vAlign w:val="bottom"/>
          </w:tcPr>
          <w:p w14:paraId="4618DC5A">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p>
          <w:p w14:paraId="61A40E9C">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677" w:type="dxa"/>
            <w:tcBorders>
              <w:top w:val="nil"/>
              <w:left w:val="nil"/>
              <w:bottom w:val="single" w:color="auto" w:sz="4" w:space="0"/>
              <w:right w:val="single" w:color="auto" w:sz="8" w:space="0"/>
            </w:tcBorders>
            <w:noWrap w:val="0"/>
            <w:vAlign w:val="bottom"/>
          </w:tcPr>
          <w:p w14:paraId="0FA70356">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p>
          <w:p w14:paraId="1CE12471">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252" w:type="dxa"/>
            <w:tcBorders>
              <w:top w:val="nil"/>
              <w:left w:val="nil"/>
              <w:bottom w:val="single" w:color="auto" w:sz="4" w:space="0"/>
              <w:right w:val="single" w:color="auto" w:sz="4" w:space="0"/>
            </w:tcBorders>
            <w:noWrap w:val="0"/>
            <w:vAlign w:val="bottom"/>
          </w:tcPr>
          <w:p w14:paraId="703BC2C4">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494" w:type="dxa"/>
            <w:tcBorders>
              <w:top w:val="nil"/>
              <w:left w:val="nil"/>
              <w:bottom w:val="single" w:color="auto" w:sz="4" w:space="0"/>
              <w:right w:val="single" w:color="auto" w:sz="4" w:space="0"/>
            </w:tcBorders>
            <w:noWrap w:val="0"/>
            <w:vAlign w:val="bottom"/>
          </w:tcPr>
          <w:p w14:paraId="5269D461">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p>
          <w:p w14:paraId="42F02ED1">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536" w:type="dxa"/>
            <w:tcBorders>
              <w:top w:val="nil"/>
              <w:left w:val="nil"/>
              <w:bottom w:val="single" w:color="auto" w:sz="4" w:space="0"/>
              <w:right w:val="single" w:color="auto" w:sz="8" w:space="0"/>
            </w:tcBorders>
            <w:noWrap w:val="0"/>
            <w:vAlign w:val="bottom"/>
          </w:tcPr>
          <w:p w14:paraId="4BA54AF2">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p>
          <w:p w14:paraId="255702E5">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297" w:type="dxa"/>
            <w:tcBorders>
              <w:top w:val="nil"/>
              <w:left w:val="nil"/>
              <w:bottom w:val="single" w:color="auto" w:sz="4" w:space="0"/>
              <w:right w:val="single" w:color="auto" w:sz="4" w:space="0"/>
            </w:tcBorders>
            <w:noWrap w:val="0"/>
            <w:vAlign w:val="bottom"/>
          </w:tcPr>
          <w:p w14:paraId="33B544A8">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287" w:type="dxa"/>
            <w:tcBorders>
              <w:top w:val="nil"/>
              <w:left w:val="nil"/>
              <w:bottom w:val="single" w:color="auto" w:sz="4" w:space="0"/>
              <w:right w:val="single" w:color="auto" w:sz="4" w:space="0"/>
            </w:tcBorders>
            <w:noWrap w:val="0"/>
            <w:vAlign w:val="bottom"/>
          </w:tcPr>
          <w:p w14:paraId="6097800E">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（万元）</w:t>
            </w:r>
          </w:p>
        </w:tc>
        <w:tc>
          <w:tcPr>
            <w:tcW w:w="1234" w:type="dxa"/>
            <w:tcBorders>
              <w:top w:val="nil"/>
              <w:left w:val="nil"/>
              <w:bottom w:val="single" w:color="auto" w:sz="4" w:space="0"/>
              <w:right w:val="single" w:color="auto" w:sz="8" w:space="0"/>
            </w:tcBorders>
            <w:noWrap w:val="0"/>
            <w:vAlign w:val="bottom"/>
          </w:tcPr>
          <w:p w14:paraId="39BD173F">
            <w:pPr>
              <w:widowControl/>
              <w:wordWrap w:val="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（万元）</w:t>
            </w:r>
          </w:p>
        </w:tc>
      </w:tr>
      <w:tr w14:paraId="76EA8ADF">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760DBDBA">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1</w:t>
            </w:r>
            <w:r>
              <w:rPr>
                <w:rFonts w:hint="eastAsia" w:ascii="宋体" w:hAnsi="宋体" w:cs="宋体"/>
                <w:color w:val="000000" w:themeColor="text1"/>
                <w:kern w:val="0"/>
                <w:sz w:val="20"/>
                <w14:textFill>
                  <w14:solidFill>
                    <w14:schemeClr w14:val="tx1"/>
                  </w14:solidFill>
                </w14:textFill>
              </w:rPr>
              <w:t>、农林牧渔业</w:t>
            </w:r>
          </w:p>
        </w:tc>
        <w:tc>
          <w:tcPr>
            <w:tcW w:w="1512" w:type="dxa"/>
            <w:tcBorders>
              <w:top w:val="nil"/>
              <w:left w:val="nil"/>
              <w:bottom w:val="single" w:color="auto" w:sz="4" w:space="0"/>
              <w:right w:val="single" w:color="auto" w:sz="4" w:space="0"/>
            </w:tcBorders>
            <w:noWrap w:val="0"/>
            <w:vAlign w:val="center"/>
          </w:tcPr>
          <w:p w14:paraId="008A2530">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noWrap w:val="0"/>
            <w:vAlign w:val="center"/>
          </w:tcPr>
          <w:p w14:paraId="28399EC5">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w:t>
            </w:r>
          </w:p>
        </w:tc>
        <w:tc>
          <w:tcPr>
            <w:tcW w:w="1677" w:type="dxa"/>
            <w:tcBorders>
              <w:top w:val="nil"/>
              <w:left w:val="nil"/>
              <w:bottom w:val="single" w:color="auto" w:sz="4" w:space="0"/>
              <w:right w:val="single" w:color="auto" w:sz="8" w:space="0"/>
            </w:tcBorders>
            <w:noWrap w:val="0"/>
            <w:vAlign w:val="center"/>
          </w:tcPr>
          <w:p w14:paraId="3F17C6DE">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5C39292E">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noWrap w:val="0"/>
            <w:vAlign w:val="center"/>
          </w:tcPr>
          <w:p w14:paraId="0145FE1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536" w:type="dxa"/>
            <w:tcBorders>
              <w:top w:val="nil"/>
              <w:left w:val="nil"/>
              <w:bottom w:val="single" w:color="auto" w:sz="4" w:space="0"/>
              <w:right w:val="single" w:color="auto" w:sz="8" w:space="0"/>
            </w:tcBorders>
            <w:noWrap w:val="0"/>
            <w:vAlign w:val="center"/>
          </w:tcPr>
          <w:p w14:paraId="4EC1B514">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2AD95435">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noWrap w:val="0"/>
            <w:vAlign w:val="center"/>
          </w:tcPr>
          <w:p w14:paraId="378A5CE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234" w:type="dxa"/>
            <w:tcBorders>
              <w:top w:val="nil"/>
              <w:left w:val="nil"/>
              <w:bottom w:val="single" w:color="auto" w:sz="4" w:space="0"/>
              <w:right w:val="single" w:color="auto" w:sz="8" w:space="0"/>
            </w:tcBorders>
            <w:noWrap w:val="0"/>
            <w:vAlign w:val="center"/>
          </w:tcPr>
          <w:p w14:paraId="03824B3A">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7F134500">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6A8AF8BC">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2</w:t>
            </w:r>
            <w:r>
              <w:rPr>
                <w:rFonts w:hint="eastAsia" w:ascii="宋体" w:hAnsi="宋体" w:cs="宋体"/>
                <w:color w:val="000000" w:themeColor="text1"/>
                <w:kern w:val="0"/>
                <w:sz w:val="20"/>
                <w14:textFill>
                  <w14:solidFill>
                    <w14:schemeClr w14:val="tx1"/>
                  </w14:solidFill>
                </w14:textFill>
              </w:rPr>
              <w:t>、工业</w:t>
            </w:r>
          </w:p>
        </w:tc>
        <w:tc>
          <w:tcPr>
            <w:tcW w:w="1512" w:type="dxa"/>
            <w:tcBorders>
              <w:top w:val="nil"/>
              <w:left w:val="nil"/>
              <w:bottom w:val="single" w:color="auto" w:sz="4" w:space="0"/>
              <w:right w:val="single" w:color="auto" w:sz="4" w:space="0"/>
            </w:tcBorders>
            <w:noWrap w:val="0"/>
            <w:vAlign w:val="center"/>
          </w:tcPr>
          <w:p w14:paraId="3ABBA59F">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0"/>
            <w:vAlign w:val="center"/>
          </w:tcPr>
          <w:p w14:paraId="339F043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40000</w:t>
            </w:r>
          </w:p>
        </w:tc>
        <w:tc>
          <w:tcPr>
            <w:tcW w:w="1677" w:type="dxa"/>
            <w:tcBorders>
              <w:top w:val="nil"/>
              <w:left w:val="nil"/>
              <w:bottom w:val="single" w:color="auto" w:sz="4" w:space="0"/>
              <w:right w:val="single" w:color="auto" w:sz="8" w:space="0"/>
            </w:tcBorders>
            <w:noWrap w:val="0"/>
            <w:vAlign w:val="center"/>
          </w:tcPr>
          <w:p w14:paraId="35AF0A44">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6A85317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0"/>
            <w:vAlign w:val="center"/>
          </w:tcPr>
          <w:p w14:paraId="07E77691">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0"/>
            <w:vAlign w:val="center"/>
          </w:tcPr>
          <w:p w14:paraId="3246835F">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2F91DD8A">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0"/>
            <w:vAlign w:val="center"/>
          </w:tcPr>
          <w:p w14:paraId="70FBC271">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234" w:type="dxa"/>
            <w:tcBorders>
              <w:top w:val="nil"/>
              <w:left w:val="nil"/>
              <w:bottom w:val="single" w:color="auto" w:sz="4" w:space="0"/>
              <w:right w:val="single" w:color="auto" w:sz="8" w:space="0"/>
            </w:tcBorders>
            <w:noWrap w:val="0"/>
            <w:vAlign w:val="center"/>
          </w:tcPr>
          <w:p w14:paraId="3FB0773C">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C27576E">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7D56A6A9">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3</w:t>
            </w:r>
            <w:r>
              <w:rPr>
                <w:rFonts w:hint="eastAsia" w:ascii="宋体" w:hAnsi="宋体" w:cs="宋体"/>
                <w:color w:val="000000" w:themeColor="text1"/>
                <w:kern w:val="0"/>
                <w:sz w:val="20"/>
                <w14:textFill>
                  <w14:solidFill>
                    <w14:schemeClr w14:val="tx1"/>
                  </w14:solidFill>
                </w14:textFill>
              </w:rPr>
              <w:t>、建筑业</w:t>
            </w:r>
          </w:p>
        </w:tc>
        <w:tc>
          <w:tcPr>
            <w:tcW w:w="1512" w:type="dxa"/>
            <w:tcBorders>
              <w:top w:val="nil"/>
              <w:left w:val="nil"/>
              <w:bottom w:val="single" w:color="auto" w:sz="4" w:space="0"/>
              <w:right w:val="single" w:color="auto" w:sz="4" w:space="0"/>
            </w:tcBorders>
            <w:noWrap w:val="0"/>
            <w:vAlign w:val="center"/>
          </w:tcPr>
          <w:p w14:paraId="3C9201CC">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noWrap w:val="0"/>
            <w:vAlign w:val="center"/>
          </w:tcPr>
          <w:p w14:paraId="0D5DC14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6000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80000</w:t>
            </w:r>
          </w:p>
        </w:tc>
        <w:tc>
          <w:tcPr>
            <w:tcW w:w="1677" w:type="dxa"/>
            <w:tcBorders>
              <w:top w:val="nil"/>
              <w:left w:val="nil"/>
              <w:bottom w:val="single" w:color="auto" w:sz="4" w:space="0"/>
              <w:right w:val="single" w:color="auto" w:sz="8" w:space="0"/>
            </w:tcBorders>
            <w:noWrap w:val="0"/>
            <w:vAlign w:val="center"/>
          </w:tcPr>
          <w:p w14:paraId="2F01B475">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80000</w:t>
            </w:r>
          </w:p>
        </w:tc>
        <w:tc>
          <w:tcPr>
            <w:tcW w:w="1252" w:type="dxa"/>
            <w:tcBorders>
              <w:top w:val="nil"/>
              <w:left w:val="nil"/>
              <w:bottom w:val="single" w:color="auto" w:sz="4" w:space="0"/>
              <w:right w:val="single" w:color="auto" w:sz="4" w:space="0"/>
            </w:tcBorders>
            <w:noWrap w:val="0"/>
            <w:vAlign w:val="center"/>
          </w:tcPr>
          <w:p w14:paraId="6B5DCB9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noWrap w:val="0"/>
            <w:vAlign w:val="center"/>
          </w:tcPr>
          <w:p w14:paraId="1E30274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6000</w:t>
            </w:r>
          </w:p>
        </w:tc>
        <w:tc>
          <w:tcPr>
            <w:tcW w:w="1536" w:type="dxa"/>
            <w:tcBorders>
              <w:top w:val="nil"/>
              <w:left w:val="nil"/>
              <w:bottom w:val="single" w:color="auto" w:sz="4" w:space="0"/>
              <w:right w:val="single" w:color="auto" w:sz="8" w:space="0"/>
            </w:tcBorders>
            <w:noWrap w:val="0"/>
            <w:vAlign w:val="center"/>
          </w:tcPr>
          <w:p w14:paraId="2470DC42">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297" w:type="dxa"/>
            <w:tcBorders>
              <w:top w:val="nil"/>
              <w:left w:val="nil"/>
              <w:bottom w:val="single" w:color="auto" w:sz="4" w:space="0"/>
              <w:right w:val="single" w:color="auto" w:sz="4" w:space="0"/>
            </w:tcBorders>
            <w:noWrap w:val="0"/>
            <w:vAlign w:val="center"/>
          </w:tcPr>
          <w:p w14:paraId="5B69D45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noWrap w:val="0"/>
            <w:vAlign w:val="center"/>
          </w:tcPr>
          <w:p w14:paraId="3866B620">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234" w:type="dxa"/>
            <w:tcBorders>
              <w:top w:val="nil"/>
              <w:left w:val="nil"/>
              <w:bottom w:val="single" w:color="auto" w:sz="4" w:space="0"/>
              <w:right w:val="single" w:color="auto" w:sz="8" w:space="0"/>
            </w:tcBorders>
            <w:noWrap w:val="0"/>
            <w:vAlign w:val="center"/>
          </w:tcPr>
          <w:p w14:paraId="7136D855">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r>
      <w:tr w14:paraId="038A7869">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74B9A456">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4</w:t>
            </w:r>
            <w:r>
              <w:rPr>
                <w:rFonts w:hint="eastAsia" w:ascii="宋体" w:hAnsi="宋体" w:cs="宋体"/>
                <w:color w:val="000000" w:themeColor="text1"/>
                <w:kern w:val="0"/>
                <w:sz w:val="20"/>
                <w14:textFill>
                  <w14:solidFill>
                    <w14:schemeClr w14:val="tx1"/>
                  </w14:solidFill>
                </w14:textFill>
              </w:rPr>
              <w:t>、批发业</w:t>
            </w:r>
          </w:p>
        </w:tc>
        <w:tc>
          <w:tcPr>
            <w:tcW w:w="1512" w:type="dxa"/>
            <w:tcBorders>
              <w:top w:val="nil"/>
              <w:left w:val="nil"/>
              <w:bottom w:val="single" w:color="auto" w:sz="4" w:space="0"/>
              <w:right w:val="single" w:color="auto" w:sz="4" w:space="0"/>
            </w:tcBorders>
            <w:noWrap w:val="0"/>
            <w:vAlign w:val="center"/>
          </w:tcPr>
          <w:p w14:paraId="19F6BA82">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779" w:type="dxa"/>
            <w:tcBorders>
              <w:top w:val="nil"/>
              <w:left w:val="nil"/>
              <w:bottom w:val="single" w:color="auto" w:sz="4" w:space="0"/>
              <w:right w:val="single" w:color="auto" w:sz="4" w:space="0"/>
            </w:tcBorders>
            <w:noWrap w:val="0"/>
            <w:vAlign w:val="center"/>
          </w:tcPr>
          <w:p w14:paraId="49E27FCD">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40000</w:t>
            </w:r>
          </w:p>
        </w:tc>
        <w:tc>
          <w:tcPr>
            <w:tcW w:w="1677" w:type="dxa"/>
            <w:tcBorders>
              <w:top w:val="nil"/>
              <w:left w:val="nil"/>
              <w:bottom w:val="single" w:color="auto" w:sz="4" w:space="0"/>
              <w:right w:val="single" w:color="auto" w:sz="8" w:space="0"/>
            </w:tcBorders>
            <w:noWrap w:val="0"/>
            <w:vAlign w:val="center"/>
          </w:tcPr>
          <w:p w14:paraId="27526EA3">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2BCAAD60">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494" w:type="dxa"/>
            <w:tcBorders>
              <w:top w:val="nil"/>
              <w:left w:val="nil"/>
              <w:bottom w:val="single" w:color="auto" w:sz="4" w:space="0"/>
              <w:right w:val="single" w:color="auto" w:sz="4" w:space="0"/>
            </w:tcBorders>
            <w:noWrap w:val="0"/>
            <w:vAlign w:val="center"/>
          </w:tcPr>
          <w:p w14:paraId="65D99F5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536" w:type="dxa"/>
            <w:tcBorders>
              <w:top w:val="nil"/>
              <w:left w:val="nil"/>
              <w:bottom w:val="single" w:color="auto" w:sz="4" w:space="0"/>
              <w:right w:val="single" w:color="auto" w:sz="8" w:space="0"/>
            </w:tcBorders>
            <w:noWrap w:val="0"/>
            <w:vAlign w:val="center"/>
          </w:tcPr>
          <w:p w14:paraId="66526E78">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4D0E4F22">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w:t>
            </w:r>
          </w:p>
        </w:tc>
        <w:tc>
          <w:tcPr>
            <w:tcW w:w="1287" w:type="dxa"/>
            <w:tcBorders>
              <w:top w:val="nil"/>
              <w:left w:val="nil"/>
              <w:bottom w:val="single" w:color="auto" w:sz="4" w:space="0"/>
              <w:right w:val="single" w:color="auto" w:sz="4" w:space="0"/>
            </w:tcBorders>
            <w:noWrap w:val="0"/>
            <w:vAlign w:val="center"/>
          </w:tcPr>
          <w:p w14:paraId="5F3DB2FC">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234" w:type="dxa"/>
            <w:tcBorders>
              <w:top w:val="nil"/>
              <w:left w:val="nil"/>
              <w:bottom w:val="single" w:color="auto" w:sz="4" w:space="0"/>
              <w:right w:val="single" w:color="auto" w:sz="8" w:space="0"/>
            </w:tcBorders>
            <w:noWrap w:val="0"/>
            <w:vAlign w:val="center"/>
          </w:tcPr>
          <w:p w14:paraId="53C32D6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4561FBA">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2A75863A">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w:t>
            </w:r>
            <w:r>
              <w:rPr>
                <w:rFonts w:hint="eastAsia" w:ascii="宋体" w:hAnsi="宋体" w:cs="宋体"/>
                <w:color w:val="000000" w:themeColor="text1"/>
                <w:kern w:val="0"/>
                <w:sz w:val="20"/>
                <w14:textFill>
                  <w14:solidFill>
                    <w14:schemeClr w14:val="tx1"/>
                  </w14:solidFill>
                </w14:textFill>
              </w:rPr>
              <w:t>、零售业</w:t>
            </w:r>
          </w:p>
        </w:tc>
        <w:tc>
          <w:tcPr>
            <w:tcW w:w="1512" w:type="dxa"/>
            <w:tcBorders>
              <w:top w:val="nil"/>
              <w:left w:val="nil"/>
              <w:bottom w:val="single" w:color="auto" w:sz="4" w:space="0"/>
              <w:right w:val="single" w:color="auto" w:sz="4" w:space="0"/>
            </w:tcBorders>
            <w:noWrap w:val="0"/>
            <w:vAlign w:val="center"/>
          </w:tcPr>
          <w:p w14:paraId="2BF6484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26B7FD2B">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w:t>
            </w:r>
          </w:p>
        </w:tc>
        <w:tc>
          <w:tcPr>
            <w:tcW w:w="1677" w:type="dxa"/>
            <w:tcBorders>
              <w:top w:val="nil"/>
              <w:left w:val="nil"/>
              <w:bottom w:val="single" w:color="auto" w:sz="4" w:space="0"/>
              <w:right w:val="single" w:color="auto" w:sz="8" w:space="0"/>
            </w:tcBorders>
            <w:noWrap w:val="0"/>
            <w:vAlign w:val="center"/>
          </w:tcPr>
          <w:p w14:paraId="70972495">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690B525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494" w:type="dxa"/>
            <w:tcBorders>
              <w:top w:val="nil"/>
              <w:left w:val="nil"/>
              <w:bottom w:val="single" w:color="auto" w:sz="4" w:space="0"/>
              <w:right w:val="single" w:color="auto" w:sz="4" w:space="0"/>
            </w:tcBorders>
            <w:noWrap w:val="0"/>
            <w:vAlign w:val="center"/>
          </w:tcPr>
          <w:p w14:paraId="2B54F2BB">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536" w:type="dxa"/>
            <w:tcBorders>
              <w:top w:val="nil"/>
              <w:left w:val="nil"/>
              <w:bottom w:val="single" w:color="auto" w:sz="4" w:space="0"/>
              <w:right w:val="single" w:color="auto" w:sz="8" w:space="0"/>
            </w:tcBorders>
            <w:noWrap w:val="0"/>
            <w:vAlign w:val="center"/>
          </w:tcPr>
          <w:p w14:paraId="3E702C99">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01F19820">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524DE78E">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6FCBD387">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C7271ED">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4B792E8F">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6</w:t>
            </w:r>
            <w:r>
              <w:rPr>
                <w:rFonts w:hint="eastAsia" w:ascii="宋体" w:hAnsi="宋体" w:cs="宋体"/>
                <w:color w:val="000000" w:themeColor="text1"/>
                <w:kern w:val="0"/>
                <w:sz w:val="20"/>
                <w14:textFill>
                  <w14:solidFill>
                    <w14:schemeClr w14:val="tx1"/>
                  </w14:solidFill>
                </w14:textFill>
              </w:rPr>
              <w:t>、交通运输业</w:t>
            </w:r>
          </w:p>
        </w:tc>
        <w:tc>
          <w:tcPr>
            <w:tcW w:w="1512" w:type="dxa"/>
            <w:tcBorders>
              <w:top w:val="nil"/>
              <w:left w:val="nil"/>
              <w:bottom w:val="single" w:color="auto" w:sz="4" w:space="0"/>
              <w:right w:val="single" w:color="auto" w:sz="4" w:space="0"/>
            </w:tcBorders>
            <w:noWrap w:val="0"/>
            <w:vAlign w:val="center"/>
          </w:tcPr>
          <w:p w14:paraId="6D05554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0"/>
            <w:vAlign w:val="center"/>
          </w:tcPr>
          <w:p w14:paraId="0AD9A6E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noWrap w:val="0"/>
            <w:vAlign w:val="center"/>
          </w:tcPr>
          <w:p w14:paraId="3FD989C8">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25EA720C">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0"/>
            <w:vAlign w:val="center"/>
          </w:tcPr>
          <w:p w14:paraId="3DD0255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w:t>
            </w:r>
          </w:p>
        </w:tc>
        <w:tc>
          <w:tcPr>
            <w:tcW w:w="1536" w:type="dxa"/>
            <w:tcBorders>
              <w:top w:val="nil"/>
              <w:left w:val="nil"/>
              <w:bottom w:val="single" w:color="auto" w:sz="4" w:space="0"/>
              <w:right w:val="single" w:color="auto" w:sz="8" w:space="0"/>
            </w:tcBorders>
            <w:noWrap w:val="0"/>
            <w:vAlign w:val="center"/>
          </w:tcPr>
          <w:p w14:paraId="729597FF">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3314AD8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0"/>
            <w:vAlign w:val="center"/>
          </w:tcPr>
          <w:p w14:paraId="1FFA764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V</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234" w:type="dxa"/>
            <w:tcBorders>
              <w:top w:val="nil"/>
              <w:left w:val="nil"/>
              <w:bottom w:val="single" w:color="auto" w:sz="4" w:space="0"/>
              <w:right w:val="single" w:color="auto" w:sz="8" w:space="0"/>
            </w:tcBorders>
            <w:noWrap w:val="0"/>
            <w:vAlign w:val="center"/>
          </w:tcPr>
          <w:p w14:paraId="56C3CCC8">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4FDEF11B">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3658EEE4">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7</w:t>
            </w:r>
            <w:r>
              <w:rPr>
                <w:rFonts w:hint="eastAsia" w:ascii="宋体" w:hAnsi="宋体" w:cs="宋体"/>
                <w:color w:val="000000" w:themeColor="text1"/>
                <w:kern w:val="0"/>
                <w:sz w:val="20"/>
                <w14:textFill>
                  <w14:solidFill>
                    <w14:schemeClr w14:val="tx1"/>
                  </w14:solidFill>
                </w14:textFill>
              </w:rPr>
              <w:t>、仓储业</w:t>
            </w:r>
          </w:p>
        </w:tc>
        <w:tc>
          <w:tcPr>
            <w:tcW w:w="1512" w:type="dxa"/>
            <w:tcBorders>
              <w:top w:val="nil"/>
              <w:left w:val="nil"/>
              <w:bottom w:val="single" w:color="auto" w:sz="4" w:space="0"/>
              <w:right w:val="single" w:color="auto" w:sz="4" w:space="0"/>
            </w:tcBorders>
            <w:noWrap w:val="0"/>
            <w:vAlign w:val="center"/>
          </w:tcPr>
          <w:p w14:paraId="143453BA">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779" w:type="dxa"/>
            <w:tcBorders>
              <w:top w:val="nil"/>
              <w:left w:val="nil"/>
              <w:bottom w:val="single" w:color="auto" w:sz="4" w:space="0"/>
              <w:right w:val="single" w:color="auto" w:sz="4" w:space="0"/>
            </w:tcBorders>
            <w:noWrap w:val="0"/>
            <w:vAlign w:val="center"/>
          </w:tcPr>
          <w:p w14:paraId="75CF4171">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noWrap w:val="0"/>
            <w:vAlign w:val="center"/>
          </w:tcPr>
          <w:p w14:paraId="3CF1F1D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52D3B61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4C74C9D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1BE4CFEA">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13FE1CAA">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0"/>
            <w:vAlign w:val="center"/>
          </w:tcPr>
          <w:p w14:paraId="4A077ACB">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59B21040">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396C859">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5FF6E1D4">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8</w:t>
            </w:r>
            <w:r>
              <w:rPr>
                <w:rFonts w:hint="eastAsia" w:ascii="宋体" w:hAnsi="宋体" w:cs="宋体"/>
                <w:color w:val="000000" w:themeColor="text1"/>
                <w:kern w:val="0"/>
                <w:sz w:val="20"/>
                <w14:textFill>
                  <w14:solidFill>
                    <w14:schemeClr w14:val="tx1"/>
                  </w14:solidFill>
                </w14:textFill>
              </w:rPr>
              <w:t>、邮政业</w:t>
            </w:r>
          </w:p>
        </w:tc>
        <w:tc>
          <w:tcPr>
            <w:tcW w:w="1512" w:type="dxa"/>
            <w:tcBorders>
              <w:top w:val="nil"/>
              <w:left w:val="nil"/>
              <w:bottom w:val="single" w:color="auto" w:sz="4" w:space="0"/>
              <w:right w:val="single" w:color="auto" w:sz="4" w:space="0"/>
            </w:tcBorders>
            <w:noWrap w:val="0"/>
            <w:vAlign w:val="center"/>
          </w:tcPr>
          <w:p w14:paraId="5DD81DC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0"/>
            <w:vAlign w:val="center"/>
          </w:tcPr>
          <w:p w14:paraId="16BCB00D">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noWrap w:val="0"/>
            <w:vAlign w:val="center"/>
          </w:tcPr>
          <w:p w14:paraId="0B074495">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4E1624FE">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0"/>
            <w:vAlign w:val="center"/>
          </w:tcPr>
          <w:p w14:paraId="3408993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0"/>
            <w:vAlign w:val="center"/>
          </w:tcPr>
          <w:p w14:paraId="0E7E60D0">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0B08D0E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0"/>
            <w:vAlign w:val="center"/>
          </w:tcPr>
          <w:p w14:paraId="19FCBBD5">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2C2A37BD">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A5A2ABB">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44B68C10">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9</w:t>
            </w:r>
            <w:r>
              <w:rPr>
                <w:rFonts w:hint="eastAsia" w:ascii="宋体" w:hAnsi="宋体" w:cs="宋体"/>
                <w:color w:val="000000" w:themeColor="text1"/>
                <w:kern w:val="0"/>
                <w:sz w:val="20"/>
                <w14:textFill>
                  <w14:solidFill>
                    <w14:schemeClr w14:val="tx1"/>
                  </w14:solidFill>
                </w14:textFill>
              </w:rPr>
              <w:t>、住宿业</w:t>
            </w:r>
          </w:p>
        </w:tc>
        <w:tc>
          <w:tcPr>
            <w:tcW w:w="1512" w:type="dxa"/>
            <w:tcBorders>
              <w:top w:val="nil"/>
              <w:left w:val="nil"/>
              <w:bottom w:val="single" w:color="auto" w:sz="4" w:space="0"/>
              <w:right w:val="single" w:color="auto" w:sz="4" w:space="0"/>
            </w:tcBorders>
            <w:noWrap w:val="0"/>
            <w:vAlign w:val="center"/>
          </w:tcPr>
          <w:p w14:paraId="389348C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446ED8EC">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noWrap w:val="0"/>
            <w:vAlign w:val="center"/>
          </w:tcPr>
          <w:p w14:paraId="5FBF1B01">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2A630AF9">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7AFF95A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0"/>
            <w:vAlign w:val="center"/>
          </w:tcPr>
          <w:p w14:paraId="087C603E">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5664A0C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5D601F8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4C3141F7">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EBEAD6C">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0748FBFD">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、餐饮业</w:t>
            </w:r>
          </w:p>
        </w:tc>
        <w:tc>
          <w:tcPr>
            <w:tcW w:w="1512" w:type="dxa"/>
            <w:tcBorders>
              <w:top w:val="nil"/>
              <w:left w:val="nil"/>
              <w:bottom w:val="single" w:color="auto" w:sz="4" w:space="0"/>
              <w:right w:val="single" w:color="auto" w:sz="4" w:space="0"/>
            </w:tcBorders>
            <w:noWrap w:val="0"/>
            <w:vAlign w:val="center"/>
          </w:tcPr>
          <w:p w14:paraId="4939342D">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1562F495">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noWrap w:val="0"/>
            <w:vAlign w:val="center"/>
          </w:tcPr>
          <w:p w14:paraId="177ACBD0">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4911AE4E">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7B2E08D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0"/>
            <w:vAlign w:val="center"/>
          </w:tcPr>
          <w:p w14:paraId="74122E80">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496FB4D5">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03E9F822">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V</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2E68342F">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6F5E6A2C">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5B515D4D">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11</w:t>
            </w:r>
            <w:r>
              <w:rPr>
                <w:rFonts w:hint="eastAsia" w:ascii="宋体" w:hAnsi="宋体" w:cs="宋体"/>
                <w:color w:val="000000" w:themeColor="text1"/>
                <w:kern w:val="0"/>
                <w:sz w:val="20"/>
                <w14:textFill>
                  <w14:solidFill>
                    <w14:schemeClr w14:val="tx1"/>
                  </w14:solidFill>
                </w14:textFill>
              </w:rPr>
              <w:t>、信息传输业</w:t>
            </w:r>
          </w:p>
        </w:tc>
        <w:tc>
          <w:tcPr>
            <w:tcW w:w="1512" w:type="dxa"/>
            <w:tcBorders>
              <w:top w:val="nil"/>
              <w:left w:val="nil"/>
              <w:bottom w:val="single" w:color="auto" w:sz="4" w:space="0"/>
              <w:right w:val="single" w:color="auto" w:sz="4" w:space="0"/>
            </w:tcBorders>
            <w:noWrap w:val="0"/>
            <w:vAlign w:val="center"/>
          </w:tcPr>
          <w:p w14:paraId="194DB1D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779" w:type="dxa"/>
            <w:tcBorders>
              <w:top w:val="nil"/>
              <w:left w:val="nil"/>
              <w:bottom w:val="single" w:color="auto" w:sz="4" w:space="0"/>
              <w:right w:val="single" w:color="auto" w:sz="4" w:space="0"/>
            </w:tcBorders>
            <w:noWrap w:val="0"/>
            <w:vAlign w:val="center"/>
          </w:tcPr>
          <w:p w14:paraId="513DD28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100000</w:t>
            </w:r>
          </w:p>
        </w:tc>
        <w:tc>
          <w:tcPr>
            <w:tcW w:w="1677" w:type="dxa"/>
            <w:tcBorders>
              <w:top w:val="nil"/>
              <w:left w:val="nil"/>
              <w:bottom w:val="single" w:color="auto" w:sz="4" w:space="0"/>
              <w:right w:val="single" w:color="auto" w:sz="8" w:space="0"/>
            </w:tcBorders>
            <w:noWrap w:val="0"/>
            <w:vAlign w:val="center"/>
          </w:tcPr>
          <w:p w14:paraId="3E6A5565">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3BA2789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32AC19BD">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6F0E23F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5E426F3B">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200B1B6F">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2F6C2E51">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30EB501">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785DA4BA">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12</w:t>
            </w:r>
            <w:r>
              <w:rPr>
                <w:rFonts w:hint="eastAsia" w:ascii="宋体" w:hAnsi="宋体" w:cs="宋体"/>
                <w:color w:val="000000" w:themeColor="text1"/>
                <w:kern w:val="0"/>
                <w:sz w:val="20"/>
                <w14:textFill>
                  <w14:solidFill>
                    <w14:schemeClr w14:val="tx1"/>
                  </w14:solidFill>
                </w14:textFill>
              </w:rPr>
              <w:t>、软件和信息技术服务业</w:t>
            </w:r>
          </w:p>
        </w:tc>
        <w:tc>
          <w:tcPr>
            <w:tcW w:w="1512" w:type="dxa"/>
            <w:tcBorders>
              <w:top w:val="nil"/>
              <w:left w:val="nil"/>
              <w:bottom w:val="single" w:color="auto" w:sz="4" w:space="0"/>
              <w:right w:val="single" w:color="auto" w:sz="4" w:space="0"/>
            </w:tcBorders>
            <w:noWrap w:val="0"/>
            <w:vAlign w:val="center"/>
          </w:tcPr>
          <w:p w14:paraId="0670736D">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2984E94B">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noWrap w:val="0"/>
            <w:vAlign w:val="center"/>
          </w:tcPr>
          <w:p w14:paraId="4C72E13C">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5CC2EAD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2E50C11D">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4B4D62F8">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59AC3890">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0F2236A3">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234" w:type="dxa"/>
            <w:tcBorders>
              <w:top w:val="nil"/>
              <w:left w:val="nil"/>
              <w:bottom w:val="single" w:color="auto" w:sz="4" w:space="0"/>
              <w:right w:val="single" w:color="auto" w:sz="8" w:space="0"/>
            </w:tcBorders>
            <w:noWrap w:val="0"/>
            <w:vAlign w:val="center"/>
          </w:tcPr>
          <w:p w14:paraId="3CBC39F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2E5E641">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750C37B6">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13</w:t>
            </w:r>
            <w:r>
              <w:rPr>
                <w:rFonts w:hint="eastAsia" w:ascii="宋体" w:hAnsi="宋体" w:cs="宋体"/>
                <w:color w:val="000000" w:themeColor="text1"/>
                <w:kern w:val="0"/>
                <w:sz w:val="20"/>
                <w14:textFill>
                  <w14:solidFill>
                    <w14:schemeClr w14:val="tx1"/>
                  </w14:solidFill>
                </w14:textFill>
              </w:rPr>
              <w:t>、房地产开发经营</w:t>
            </w:r>
          </w:p>
        </w:tc>
        <w:tc>
          <w:tcPr>
            <w:tcW w:w="1512" w:type="dxa"/>
            <w:tcBorders>
              <w:top w:val="nil"/>
              <w:left w:val="nil"/>
              <w:bottom w:val="single" w:color="auto" w:sz="4" w:space="0"/>
              <w:right w:val="single" w:color="auto" w:sz="4" w:space="0"/>
            </w:tcBorders>
            <w:noWrap w:val="0"/>
            <w:vAlign w:val="center"/>
          </w:tcPr>
          <w:p w14:paraId="651A9E1C">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noWrap w:val="0"/>
            <w:vAlign w:val="center"/>
          </w:tcPr>
          <w:p w14:paraId="399BBF4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200000</w:t>
            </w:r>
          </w:p>
        </w:tc>
        <w:tc>
          <w:tcPr>
            <w:tcW w:w="1677" w:type="dxa"/>
            <w:tcBorders>
              <w:top w:val="nil"/>
              <w:left w:val="nil"/>
              <w:bottom w:val="single" w:color="auto" w:sz="4" w:space="0"/>
              <w:right w:val="single" w:color="auto" w:sz="8" w:space="0"/>
            </w:tcBorders>
            <w:noWrap w:val="0"/>
            <w:vAlign w:val="center"/>
          </w:tcPr>
          <w:p w14:paraId="0817FD4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252" w:type="dxa"/>
            <w:tcBorders>
              <w:top w:val="nil"/>
              <w:left w:val="nil"/>
              <w:bottom w:val="single" w:color="auto" w:sz="4" w:space="0"/>
              <w:right w:val="single" w:color="auto" w:sz="4" w:space="0"/>
            </w:tcBorders>
            <w:noWrap w:val="0"/>
            <w:vAlign w:val="center"/>
          </w:tcPr>
          <w:p w14:paraId="412C6F95">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noWrap w:val="0"/>
            <w:vAlign w:val="center"/>
          </w:tcPr>
          <w:p w14:paraId="43D91DE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309F7410">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297" w:type="dxa"/>
            <w:tcBorders>
              <w:top w:val="nil"/>
              <w:left w:val="nil"/>
              <w:bottom w:val="single" w:color="auto" w:sz="4" w:space="0"/>
              <w:right w:val="single" w:color="auto" w:sz="4" w:space="0"/>
            </w:tcBorders>
            <w:noWrap w:val="0"/>
            <w:vAlign w:val="center"/>
          </w:tcPr>
          <w:p w14:paraId="3139CD97">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noWrap w:val="0"/>
            <w:vAlign w:val="center"/>
          </w:tcPr>
          <w:p w14:paraId="50C41CE0">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0"/>
            <w:vAlign w:val="center"/>
          </w:tcPr>
          <w:p w14:paraId="119B3CFB">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r>
      <w:tr w14:paraId="415774EF">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3DB2584C">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14</w:t>
            </w:r>
            <w:r>
              <w:rPr>
                <w:rFonts w:hint="eastAsia" w:ascii="宋体" w:hAnsi="宋体" w:cs="宋体"/>
                <w:color w:val="000000" w:themeColor="text1"/>
                <w:kern w:val="0"/>
                <w:sz w:val="20"/>
                <w14:textFill>
                  <w14:solidFill>
                    <w14:schemeClr w14:val="tx1"/>
                  </w14:solidFill>
                </w14:textFill>
              </w:rPr>
              <w:t>、物业管理</w:t>
            </w:r>
          </w:p>
        </w:tc>
        <w:tc>
          <w:tcPr>
            <w:tcW w:w="1512" w:type="dxa"/>
            <w:tcBorders>
              <w:top w:val="nil"/>
              <w:left w:val="nil"/>
              <w:bottom w:val="single" w:color="auto" w:sz="4" w:space="0"/>
              <w:right w:val="single" w:color="auto" w:sz="4" w:space="0"/>
            </w:tcBorders>
            <w:noWrap w:val="0"/>
            <w:vAlign w:val="center"/>
          </w:tcPr>
          <w:p w14:paraId="5AB7A761">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0"/>
            <w:vAlign w:val="center"/>
          </w:tcPr>
          <w:p w14:paraId="38D9AE09">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677" w:type="dxa"/>
            <w:tcBorders>
              <w:top w:val="nil"/>
              <w:left w:val="nil"/>
              <w:bottom w:val="single" w:color="auto" w:sz="4" w:space="0"/>
              <w:right w:val="single" w:color="auto" w:sz="8" w:space="0"/>
            </w:tcBorders>
            <w:noWrap w:val="0"/>
            <w:vAlign w:val="center"/>
          </w:tcPr>
          <w:p w14:paraId="5D99DFB8">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0"/>
            <w:vAlign w:val="center"/>
          </w:tcPr>
          <w:p w14:paraId="654FF96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0"/>
            <w:vAlign w:val="center"/>
          </w:tcPr>
          <w:p w14:paraId="5130801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0"/>
            <w:vAlign w:val="center"/>
          </w:tcPr>
          <w:p w14:paraId="1B4909E3">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0"/>
            <w:vAlign w:val="center"/>
          </w:tcPr>
          <w:p w14:paraId="45091FAA">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87" w:type="dxa"/>
            <w:tcBorders>
              <w:top w:val="nil"/>
              <w:left w:val="nil"/>
              <w:bottom w:val="single" w:color="auto" w:sz="4" w:space="0"/>
              <w:right w:val="single" w:color="auto" w:sz="4" w:space="0"/>
            </w:tcBorders>
            <w:noWrap w:val="0"/>
            <w:vAlign w:val="center"/>
          </w:tcPr>
          <w:p w14:paraId="5E4F56A4">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234" w:type="dxa"/>
            <w:tcBorders>
              <w:top w:val="nil"/>
              <w:left w:val="nil"/>
              <w:bottom w:val="single" w:color="auto" w:sz="4" w:space="0"/>
              <w:right w:val="single" w:color="auto" w:sz="8" w:space="0"/>
            </w:tcBorders>
            <w:noWrap w:val="0"/>
            <w:vAlign w:val="center"/>
          </w:tcPr>
          <w:p w14:paraId="359CB081">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C17D399">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14:paraId="36F255DA">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15</w:t>
            </w:r>
            <w:r>
              <w:rPr>
                <w:rFonts w:hint="eastAsia" w:ascii="宋体" w:hAnsi="宋体" w:cs="宋体"/>
                <w:color w:val="000000" w:themeColor="text1"/>
                <w:kern w:val="0"/>
                <w:sz w:val="20"/>
                <w14:textFill>
                  <w14:solidFill>
                    <w14:schemeClr w14:val="tx1"/>
                  </w14:solidFill>
                </w14:textFill>
              </w:rPr>
              <w:t>、租赁和商务服务业</w:t>
            </w:r>
          </w:p>
        </w:tc>
        <w:tc>
          <w:tcPr>
            <w:tcW w:w="1512" w:type="dxa"/>
            <w:tcBorders>
              <w:top w:val="nil"/>
              <w:left w:val="nil"/>
              <w:bottom w:val="single" w:color="auto" w:sz="4" w:space="0"/>
              <w:right w:val="single" w:color="auto" w:sz="4" w:space="0"/>
            </w:tcBorders>
            <w:noWrap w:val="0"/>
            <w:vAlign w:val="center"/>
          </w:tcPr>
          <w:p w14:paraId="22B2A642">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0"/>
            <w:vAlign w:val="center"/>
          </w:tcPr>
          <w:p w14:paraId="685FAE82">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677" w:type="dxa"/>
            <w:tcBorders>
              <w:top w:val="nil"/>
              <w:left w:val="nil"/>
              <w:bottom w:val="single" w:color="auto" w:sz="4" w:space="0"/>
              <w:right w:val="single" w:color="auto" w:sz="8" w:space="0"/>
            </w:tcBorders>
            <w:noWrap w:val="0"/>
            <w:vAlign w:val="center"/>
          </w:tcPr>
          <w:p w14:paraId="2FB3A2B6">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8000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120000</w:t>
            </w:r>
          </w:p>
        </w:tc>
        <w:tc>
          <w:tcPr>
            <w:tcW w:w="1252" w:type="dxa"/>
            <w:tcBorders>
              <w:top w:val="nil"/>
              <w:left w:val="nil"/>
              <w:bottom w:val="single" w:color="auto" w:sz="4" w:space="0"/>
              <w:right w:val="single" w:color="auto" w:sz="4" w:space="0"/>
            </w:tcBorders>
            <w:noWrap w:val="0"/>
            <w:vAlign w:val="center"/>
          </w:tcPr>
          <w:p w14:paraId="1AB6CFD9">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0"/>
            <w:vAlign w:val="center"/>
          </w:tcPr>
          <w:p w14:paraId="4D869516">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536" w:type="dxa"/>
            <w:tcBorders>
              <w:top w:val="nil"/>
              <w:left w:val="nil"/>
              <w:bottom w:val="single" w:color="auto" w:sz="4" w:space="0"/>
              <w:right w:val="single" w:color="auto" w:sz="8" w:space="0"/>
            </w:tcBorders>
            <w:noWrap w:val="0"/>
            <w:vAlign w:val="center"/>
          </w:tcPr>
          <w:p w14:paraId="17E54A0F">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w:t>
            </w:r>
          </w:p>
        </w:tc>
        <w:tc>
          <w:tcPr>
            <w:tcW w:w="1297" w:type="dxa"/>
            <w:tcBorders>
              <w:top w:val="nil"/>
              <w:left w:val="nil"/>
              <w:bottom w:val="single" w:color="auto" w:sz="4" w:space="0"/>
              <w:right w:val="single" w:color="auto" w:sz="4" w:space="0"/>
            </w:tcBorders>
            <w:noWrap w:val="0"/>
            <w:vAlign w:val="center"/>
          </w:tcPr>
          <w:p w14:paraId="108CB311">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0"/>
            <w:vAlign w:val="center"/>
          </w:tcPr>
          <w:p w14:paraId="2A1CFC00">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34" w:type="dxa"/>
            <w:tcBorders>
              <w:top w:val="nil"/>
              <w:left w:val="nil"/>
              <w:bottom w:val="single" w:color="auto" w:sz="4" w:space="0"/>
              <w:right w:val="single" w:color="auto" w:sz="8" w:space="0"/>
            </w:tcBorders>
            <w:noWrap w:val="0"/>
            <w:vAlign w:val="center"/>
          </w:tcPr>
          <w:p w14:paraId="1D168817">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r>
      <w:tr w14:paraId="1CB5529E">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8" w:space="0"/>
              <w:right w:val="single" w:color="auto" w:sz="8" w:space="0"/>
            </w:tcBorders>
            <w:noWrap w:val="0"/>
            <w:vAlign w:val="bottom"/>
          </w:tcPr>
          <w:p w14:paraId="7ADF6876">
            <w:pPr>
              <w:widowControl/>
              <w:wordWrap w:val="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16</w:t>
            </w:r>
            <w:r>
              <w:rPr>
                <w:rFonts w:hint="eastAsia" w:ascii="宋体" w:hAnsi="宋体" w:cs="宋体"/>
                <w:color w:val="000000" w:themeColor="text1"/>
                <w:kern w:val="0"/>
                <w:sz w:val="20"/>
                <w14:textFill>
                  <w14:solidFill>
                    <w14:schemeClr w14:val="tx1"/>
                  </w14:solidFill>
                </w14:textFill>
              </w:rPr>
              <w:t>、其他未列明行业</w:t>
            </w:r>
          </w:p>
        </w:tc>
        <w:tc>
          <w:tcPr>
            <w:tcW w:w="1512" w:type="dxa"/>
            <w:tcBorders>
              <w:top w:val="nil"/>
              <w:left w:val="nil"/>
              <w:bottom w:val="single" w:color="auto" w:sz="8" w:space="0"/>
              <w:right w:val="single" w:color="auto" w:sz="4" w:space="0"/>
            </w:tcBorders>
            <w:noWrap w:val="0"/>
            <w:vAlign w:val="center"/>
          </w:tcPr>
          <w:p w14:paraId="712C8CA9">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8" w:space="0"/>
              <w:right w:val="single" w:color="auto" w:sz="4" w:space="0"/>
            </w:tcBorders>
            <w:noWrap w:val="0"/>
            <w:vAlign w:val="center"/>
          </w:tcPr>
          <w:p w14:paraId="73558F63">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677" w:type="dxa"/>
            <w:tcBorders>
              <w:top w:val="nil"/>
              <w:left w:val="nil"/>
              <w:bottom w:val="single" w:color="auto" w:sz="8" w:space="0"/>
              <w:right w:val="single" w:color="auto" w:sz="8" w:space="0"/>
            </w:tcBorders>
            <w:noWrap w:val="0"/>
            <w:vAlign w:val="center"/>
          </w:tcPr>
          <w:p w14:paraId="762DE246">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8" w:space="0"/>
              <w:right w:val="single" w:color="auto" w:sz="4" w:space="0"/>
            </w:tcBorders>
            <w:noWrap w:val="0"/>
            <w:vAlign w:val="center"/>
          </w:tcPr>
          <w:p w14:paraId="5F8B9EDA">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8" w:space="0"/>
              <w:right w:val="single" w:color="auto" w:sz="4" w:space="0"/>
            </w:tcBorders>
            <w:noWrap w:val="0"/>
            <w:vAlign w:val="center"/>
          </w:tcPr>
          <w:p w14:paraId="2DAF896C">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536" w:type="dxa"/>
            <w:tcBorders>
              <w:top w:val="nil"/>
              <w:left w:val="nil"/>
              <w:bottom w:val="single" w:color="auto" w:sz="8" w:space="0"/>
              <w:right w:val="single" w:color="auto" w:sz="8" w:space="0"/>
            </w:tcBorders>
            <w:noWrap w:val="0"/>
            <w:vAlign w:val="center"/>
          </w:tcPr>
          <w:p w14:paraId="1104B13B">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8" w:space="0"/>
              <w:right w:val="single" w:color="auto" w:sz="4" w:space="0"/>
            </w:tcBorders>
            <w:noWrap w:val="0"/>
            <w:vAlign w:val="center"/>
          </w:tcPr>
          <w:p w14:paraId="2144F5E8">
            <w:pPr>
              <w:widowControl/>
              <w:wordWrap w:val="0"/>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8" w:space="0"/>
              <w:right w:val="single" w:color="auto" w:sz="4" w:space="0"/>
            </w:tcBorders>
            <w:noWrap w:val="0"/>
            <w:vAlign w:val="center"/>
          </w:tcPr>
          <w:p w14:paraId="19E9D049">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34" w:type="dxa"/>
            <w:tcBorders>
              <w:top w:val="nil"/>
              <w:left w:val="nil"/>
              <w:bottom w:val="single" w:color="auto" w:sz="8" w:space="0"/>
              <w:right w:val="single" w:color="auto" w:sz="8" w:space="0"/>
            </w:tcBorders>
            <w:noWrap w:val="0"/>
            <w:vAlign w:val="center"/>
          </w:tcPr>
          <w:p w14:paraId="0D623207">
            <w:pPr>
              <w:widowControl/>
              <w:wordWrap w:val="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B7C692F">
        <w:tblPrEx>
          <w:tblCellMar>
            <w:top w:w="0" w:type="dxa"/>
            <w:left w:w="108" w:type="dxa"/>
            <w:bottom w:w="0" w:type="dxa"/>
            <w:right w:w="108" w:type="dxa"/>
          </w:tblCellMar>
        </w:tblPrEx>
        <w:trPr>
          <w:trHeight w:val="531" w:hRule="atLeast"/>
          <w:jc w:val="center"/>
        </w:trPr>
        <w:tc>
          <w:tcPr>
            <w:tcW w:w="15077" w:type="dxa"/>
            <w:gridSpan w:val="11"/>
            <w:tcBorders>
              <w:top w:val="nil"/>
              <w:left w:val="nil"/>
              <w:bottom w:val="nil"/>
              <w:right w:val="nil"/>
            </w:tcBorders>
            <w:noWrap w:val="0"/>
            <w:vAlign w:val="bottom"/>
          </w:tcPr>
          <w:p w14:paraId="5FF5AF6C">
            <w:pPr>
              <w:widowControl/>
              <w:wordWrap w:val="0"/>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说明　</w:t>
            </w:r>
            <w:r>
              <w:rPr>
                <w:rFonts w:ascii="宋体" w:hAnsi="宋体" w:cs="宋体"/>
                <w:color w:val="000000" w:themeColor="text1"/>
                <w:kern w:val="0"/>
                <w:sz w:val="20"/>
                <w14:textFill>
                  <w14:solidFill>
                    <w14:schemeClr w14:val="tx1"/>
                  </w14:solidFill>
                </w14:textFill>
              </w:rPr>
              <w:t>1</w:t>
            </w:r>
            <w:r>
              <w:rPr>
                <w:rFonts w:hint="eastAsia" w:ascii="宋体" w:hAnsi="宋体" w:cs="宋体"/>
                <w:color w:val="000000" w:themeColor="text1"/>
                <w:kern w:val="0"/>
                <w:sz w:val="20"/>
                <w14:textFill>
                  <w14:solidFill>
                    <w14:schemeClr w14:val="tx1"/>
                  </w14:solidFill>
                </w14:textFill>
              </w:rPr>
              <w:t>、企业类型的划分以统计部门的统计数据为依据。</w:t>
            </w:r>
          </w:p>
          <w:p w14:paraId="0751AD50">
            <w:pPr>
              <w:widowControl/>
              <w:wordWrap w:val="0"/>
              <w:ind w:firstLine="600" w:firstLineChars="30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w:t>
            </w:r>
            <w:r>
              <w:rPr>
                <w:rFonts w:hint="eastAsia" w:ascii="宋体" w:hAnsi="宋体" w:cs="宋体"/>
                <w:color w:val="000000" w:themeColor="text1"/>
                <w:kern w:val="0"/>
                <w:sz w:val="20"/>
                <w14:textFill>
                  <w14:solidFill>
                    <w14:schemeClr w14:val="tx1"/>
                  </w14:solidFill>
                </w14:textFill>
              </w:rPr>
              <w:t>、个体工商户和本规定以外的行业，参照本规定进行划型。</w:t>
            </w:r>
          </w:p>
          <w:p w14:paraId="036F4B38">
            <w:pPr>
              <w:widowControl/>
              <w:wordWrap w:val="0"/>
              <w:ind w:firstLine="600" w:firstLineChars="30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w:t>
            </w:r>
            <w:r>
              <w:rPr>
                <w:rFonts w:hint="eastAsia" w:ascii="宋体" w:hAnsi="宋体" w:cs="宋体"/>
                <w:color w:val="000000" w:themeColor="text1"/>
                <w:kern w:val="0"/>
                <w:sz w:val="20"/>
                <w14:textFill>
                  <w14:solidFill>
                    <w14:schemeClr w14:val="tx1"/>
                  </w14:solidFill>
                </w14:textFill>
              </w:rPr>
              <w:t>、本规定的中型企业标准上限即为大型企业标准的下限。</w:t>
            </w:r>
          </w:p>
        </w:tc>
      </w:tr>
    </w:tbl>
    <w:p w14:paraId="0348A7BE">
      <w:pPr>
        <w:pStyle w:val="153"/>
        <w:wordWrap w:val="0"/>
        <w:snapToGrid w:val="0"/>
        <w:spacing w:line="440" w:lineRule="exact"/>
        <w:jc w:val="center"/>
        <w:rPr>
          <w:rFonts w:hint="eastAsia" w:hAnsi="宋体"/>
          <w:b/>
          <w:color w:val="000000" w:themeColor="text1"/>
          <w:sz w:val="28"/>
          <w:szCs w:val="28"/>
          <w14:textFill>
            <w14:solidFill>
              <w14:schemeClr w14:val="tx1"/>
            </w14:solidFill>
          </w14:textFill>
        </w:rPr>
      </w:pPr>
    </w:p>
    <w:sectPr>
      <w:type w:val="nextColumn"/>
      <w:pgSz w:w="16840" w:h="11907" w:orient="landscape"/>
      <w:pgMar w:top="1134" w:right="1474" w:bottom="1134" w:left="1474" w:header="1134"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00" w:usb3="00000000" w:csb0="00040001"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D56D">
    <w:pPr>
      <w:pStyle w:val="27"/>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8C83">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28310538">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6B77">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0CC05489">
    <w:pPr>
      <w:pStyle w:val="27"/>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2029">
    <w:pPr>
      <w:pStyle w:val="27"/>
      <w:framePr w:wrap="around" w:vAnchor="text" w:hAnchor="margin" w:xAlign="center" w:y="1"/>
      <w:jc w:val="center"/>
      <w:rPr>
        <w:rStyle w:val="48"/>
        <w:rFonts w:hint="eastAsia"/>
      </w:rPr>
    </w:pPr>
    <w:r>
      <w:fldChar w:fldCharType="begin"/>
    </w:r>
    <w:r>
      <w:rPr>
        <w:rStyle w:val="48"/>
      </w:rPr>
      <w:instrText xml:space="preserve">PAGE  </w:instrText>
    </w:r>
    <w:r>
      <w:fldChar w:fldCharType="separate"/>
    </w:r>
    <w:r>
      <w:rPr>
        <w:rStyle w:val="48"/>
      </w:rPr>
      <w:t>13</w:t>
    </w:r>
    <w:r>
      <w:fldChar w:fldCharType="end"/>
    </w:r>
  </w:p>
  <w:p w14:paraId="4739F9AC">
    <w:pPr>
      <w:pStyle w:val="27"/>
      <w:adjustRightInd w:val="0"/>
      <w:snapToGrid/>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2DFD">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869A">
    <w:pPr>
      <w:pStyle w:val="28"/>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F9F5">
    <w:pPr>
      <w:pStyle w:val="28"/>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6F661"/>
    <w:multiLevelType w:val="singleLevel"/>
    <w:tmpl w:val="E736F661"/>
    <w:lvl w:ilvl="0" w:tentative="0">
      <w:start w:val="1"/>
      <w:numFmt w:val="decimal"/>
      <w:suff w:val="nothing"/>
      <w:lvlText w:val="%1．"/>
      <w:lvlJc w:val="left"/>
      <w:pPr>
        <w:ind w:left="0" w:firstLine="400"/>
      </w:pPr>
      <w:rPr>
        <w:rFonts w:hint="default"/>
      </w:rPr>
    </w:lvl>
  </w:abstractNum>
  <w:abstractNum w:abstractNumId="1">
    <w:nsid w:val="FFFFFF88"/>
    <w:multiLevelType w:val="singleLevel"/>
    <w:tmpl w:val="FFFFFF88"/>
    <w:lvl w:ilvl="0" w:tentative="0">
      <w:start w:val="1"/>
      <w:numFmt w:val="decimal"/>
      <w:pStyle w:val="12"/>
      <w:lvlText w:val="%1."/>
      <w:lvlJc w:val="left"/>
      <w:pPr>
        <w:tabs>
          <w:tab w:val="left" w:pos="360"/>
        </w:tabs>
        <w:ind w:left="360" w:hanging="360"/>
      </w:pPr>
    </w:lvl>
  </w:abstractNum>
  <w:abstractNum w:abstractNumId="2">
    <w:nsid w:val="0000000A"/>
    <w:multiLevelType w:val="multilevel"/>
    <w:tmpl w:val="0000000A"/>
    <w:lvl w:ilvl="0" w:tentative="0">
      <w:start w:val="1"/>
      <w:numFmt w:val="decimal"/>
      <w:pStyle w:val="19"/>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1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9"/>
      <w:lvlText w:val="%8)"/>
      <w:lvlJc w:val="left"/>
      <w:pPr>
        <w:tabs>
          <w:tab w:val="left" w:pos="3360"/>
        </w:tabs>
        <w:ind w:left="3360" w:hanging="420"/>
      </w:pPr>
    </w:lvl>
    <w:lvl w:ilvl="8" w:tentative="0">
      <w:start w:val="1"/>
      <w:numFmt w:val="lowerRoman"/>
      <w:pStyle w:val="10"/>
      <w:lvlText w:val="%9."/>
      <w:lvlJc w:val="right"/>
      <w:pPr>
        <w:tabs>
          <w:tab w:val="left" w:pos="3780"/>
        </w:tabs>
        <w:ind w:left="3780" w:hanging="420"/>
      </w:pPr>
    </w:lvl>
  </w:abstractNum>
  <w:abstractNum w:abstractNumId="3">
    <w:nsid w:val="0000000B"/>
    <w:multiLevelType w:val="singleLevel"/>
    <w:tmpl w:val="0000000B"/>
    <w:lvl w:ilvl="0" w:tentative="0">
      <w:start w:val="1"/>
      <w:numFmt w:val="decimal"/>
      <w:pStyle w:val="31"/>
      <w:lvlText w:val="%1、"/>
      <w:lvlJc w:val="left"/>
      <w:pPr>
        <w:tabs>
          <w:tab w:val="left" w:pos="840"/>
        </w:tabs>
        <w:ind w:left="840" w:hanging="360"/>
      </w:pPr>
      <w:rPr>
        <w:rFonts w:hint="eastAsia"/>
      </w:rPr>
    </w:lvl>
  </w:abstractNum>
  <w:abstractNum w:abstractNumId="4">
    <w:nsid w:val="0000000C"/>
    <w:multiLevelType w:val="singleLevel"/>
    <w:tmpl w:val="0000000C"/>
    <w:lvl w:ilvl="0" w:tentative="0">
      <w:start w:val="1"/>
      <w:numFmt w:val="decimal"/>
      <w:pStyle w:val="136"/>
      <w:lvlText w:val="(%1)"/>
      <w:lvlJc w:val="left"/>
      <w:pPr>
        <w:tabs>
          <w:tab w:val="left" w:pos="700"/>
        </w:tabs>
        <w:ind w:left="0" w:firstLine="340"/>
      </w:pPr>
      <w:rPr>
        <w:rFonts w:hint="eastAsia"/>
      </w:rPr>
    </w:lvl>
  </w:abstractNum>
  <w:abstractNum w:abstractNumId="5">
    <w:nsid w:val="0000000D"/>
    <w:multiLevelType w:val="multilevel"/>
    <w:tmpl w:val="0000000D"/>
    <w:lvl w:ilvl="0" w:tentative="0">
      <w:start w:val="5"/>
      <w:numFmt w:val="decimal"/>
      <w:pStyle w:val="154"/>
      <w:lvlText w:val="（%1）"/>
      <w:lvlJc w:val="left"/>
      <w:pPr>
        <w:tabs>
          <w:tab w:val="left" w:pos="1200"/>
        </w:tabs>
        <w:ind w:left="1200" w:hanging="720"/>
      </w:pPr>
      <w:rPr>
        <w:rFonts w:hint="default" w:ascii="宋体" w:eastAsia="宋体"/>
      </w:rPr>
    </w:lvl>
    <w:lvl w:ilvl="1" w:tentative="0">
      <w:start w:val="1"/>
      <w:numFmt w:val="lowerLetter"/>
      <w:pStyle w:val="124"/>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9C9415A"/>
    <w:multiLevelType w:val="singleLevel"/>
    <w:tmpl w:val="39C9415A"/>
    <w:lvl w:ilvl="0" w:tentative="0">
      <w:start w:val="1"/>
      <w:numFmt w:val="decimal"/>
      <w:suff w:val="nothing"/>
      <w:lvlText w:val="%1、"/>
      <w:lvlJc w:val="left"/>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NzBlZmI3NTc2YTE3OTc1OWQ2OGI5OGRkNGZhZjYifQ=="/>
  </w:docVars>
  <w:rsids>
    <w:rsidRoot w:val="00172A27"/>
    <w:rsid w:val="00001CBB"/>
    <w:rsid w:val="00002CB1"/>
    <w:rsid w:val="000043ED"/>
    <w:rsid w:val="00004409"/>
    <w:rsid w:val="00005A80"/>
    <w:rsid w:val="00005C5B"/>
    <w:rsid w:val="0000686A"/>
    <w:rsid w:val="0000694C"/>
    <w:rsid w:val="00006F98"/>
    <w:rsid w:val="0000790B"/>
    <w:rsid w:val="00007BCF"/>
    <w:rsid w:val="00011121"/>
    <w:rsid w:val="0001173E"/>
    <w:rsid w:val="00011C99"/>
    <w:rsid w:val="00014DA3"/>
    <w:rsid w:val="0001741A"/>
    <w:rsid w:val="0001744A"/>
    <w:rsid w:val="00017EA4"/>
    <w:rsid w:val="00023052"/>
    <w:rsid w:val="0002361A"/>
    <w:rsid w:val="0002367A"/>
    <w:rsid w:val="0002438A"/>
    <w:rsid w:val="000253B5"/>
    <w:rsid w:val="0002705B"/>
    <w:rsid w:val="00030F05"/>
    <w:rsid w:val="0003259A"/>
    <w:rsid w:val="00032E65"/>
    <w:rsid w:val="000345CF"/>
    <w:rsid w:val="000351CB"/>
    <w:rsid w:val="00036167"/>
    <w:rsid w:val="00036373"/>
    <w:rsid w:val="00036FCF"/>
    <w:rsid w:val="00037B48"/>
    <w:rsid w:val="00040235"/>
    <w:rsid w:val="00040A52"/>
    <w:rsid w:val="00044011"/>
    <w:rsid w:val="00047D46"/>
    <w:rsid w:val="00050C43"/>
    <w:rsid w:val="0005221B"/>
    <w:rsid w:val="00053D4D"/>
    <w:rsid w:val="00055385"/>
    <w:rsid w:val="00056C00"/>
    <w:rsid w:val="00057281"/>
    <w:rsid w:val="00057785"/>
    <w:rsid w:val="000603DA"/>
    <w:rsid w:val="00060400"/>
    <w:rsid w:val="00061347"/>
    <w:rsid w:val="0006141C"/>
    <w:rsid w:val="00064D98"/>
    <w:rsid w:val="000669E4"/>
    <w:rsid w:val="000672D2"/>
    <w:rsid w:val="00071434"/>
    <w:rsid w:val="0007313E"/>
    <w:rsid w:val="0007351E"/>
    <w:rsid w:val="00073A2B"/>
    <w:rsid w:val="000741BA"/>
    <w:rsid w:val="000742AB"/>
    <w:rsid w:val="00075543"/>
    <w:rsid w:val="00076559"/>
    <w:rsid w:val="000772A2"/>
    <w:rsid w:val="00081656"/>
    <w:rsid w:val="00084B7A"/>
    <w:rsid w:val="00086A71"/>
    <w:rsid w:val="00090142"/>
    <w:rsid w:val="00090525"/>
    <w:rsid w:val="00090B2F"/>
    <w:rsid w:val="00090D4F"/>
    <w:rsid w:val="00091730"/>
    <w:rsid w:val="000920F0"/>
    <w:rsid w:val="000945AD"/>
    <w:rsid w:val="00095FE7"/>
    <w:rsid w:val="00096553"/>
    <w:rsid w:val="0009656B"/>
    <w:rsid w:val="00096855"/>
    <w:rsid w:val="00097967"/>
    <w:rsid w:val="000A106B"/>
    <w:rsid w:val="000A18F8"/>
    <w:rsid w:val="000A1D50"/>
    <w:rsid w:val="000A2ABB"/>
    <w:rsid w:val="000A38CD"/>
    <w:rsid w:val="000A4A95"/>
    <w:rsid w:val="000A4B4F"/>
    <w:rsid w:val="000A5330"/>
    <w:rsid w:val="000A5455"/>
    <w:rsid w:val="000B26E8"/>
    <w:rsid w:val="000B284B"/>
    <w:rsid w:val="000B3DB7"/>
    <w:rsid w:val="000B4079"/>
    <w:rsid w:val="000B770B"/>
    <w:rsid w:val="000C0304"/>
    <w:rsid w:val="000C1CB7"/>
    <w:rsid w:val="000C1ED0"/>
    <w:rsid w:val="000C2446"/>
    <w:rsid w:val="000C2BF8"/>
    <w:rsid w:val="000C3C43"/>
    <w:rsid w:val="000C4B57"/>
    <w:rsid w:val="000C5305"/>
    <w:rsid w:val="000C6042"/>
    <w:rsid w:val="000D325A"/>
    <w:rsid w:val="000D3368"/>
    <w:rsid w:val="000D5233"/>
    <w:rsid w:val="000D5526"/>
    <w:rsid w:val="000D5CDB"/>
    <w:rsid w:val="000D6FE9"/>
    <w:rsid w:val="000E17ED"/>
    <w:rsid w:val="000E18A8"/>
    <w:rsid w:val="000E18CF"/>
    <w:rsid w:val="000E35A4"/>
    <w:rsid w:val="000E4265"/>
    <w:rsid w:val="000E5A13"/>
    <w:rsid w:val="000E64A7"/>
    <w:rsid w:val="000E6AAC"/>
    <w:rsid w:val="000E6D06"/>
    <w:rsid w:val="000F0DE9"/>
    <w:rsid w:val="000F469D"/>
    <w:rsid w:val="000F46C7"/>
    <w:rsid w:val="000F6E3F"/>
    <w:rsid w:val="000F701C"/>
    <w:rsid w:val="000F7688"/>
    <w:rsid w:val="00100E09"/>
    <w:rsid w:val="00100EE3"/>
    <w:rsid w:val="00102E4E"/>
    <w:rsid w:val="0010397C"/>
    <w:rsid w:val="0010518E"/>
    <w:rsid w:val="0010569F"/>
    <w:rsid w:val="00105C27"/>
    <w:rsid w:val="00105DA0"/>
    <w:rsid w:val="00107222"/>
    <w:rsid w:val="00110245"/>
    <w:rsid w:val="00110F43"/>
    <w:rsid w:val="00111313"/>
    <w:rsid w:val="00112428"/>
    <w:rsid w:val="001140DD"/>
    <w:rsid w:val="001157C6"/>
    <w:rsid w:val="001157D6"/>
    <w:rsid w:val="001168F2"/>
    <w:rsid w:val="00116AF7"/>
    <w:rsid w:val="00117A02"/>
    <w:rsid w:val="00117E1F"/>
    <w:rsid w:val="00120CCB"/>
    <w:rsid w:val="0012419B"/>
    <w:rsid w:val="00125995"/>
    <w:rsid w:val="001271A0"/>
    <w:rsid w:val="001276EC"/>
    <w:rsid w:val="00130EA1"/>
    <w:rsid w:val="00131E9E"/>
    <w:rsid w:val="00133080"/>
    <w:rsid w:val="0013320D"/>
    <w:rsid w:val="001346EE"/>
    <w:rsid w:val="00135E13"/>
    <w:rsid w:val="00137834"/>
    <w:rsid w:val="00137E31"/>
    <w:rsid w:val="00145708"/>
    <w:rsid w:val="00146EF1"/>
    <w:rsid w:val="001479C0"/>
    <w:rsid w:val="00150320"/>
    <w:rsid w:val="00150EF3"/>
    <w:rsid w:val="001518A4"/>
    <w:rsid w:val="00151969"/>
    <w:rsid w:val="001522CE"/>
    <w:rsid w:val="00153DAB"/>
    <w:rsid w:val="00154FD5"/>
    <w:rsid w:val="00156403"/>
    <w:rsid w:val="00157163"/>
    <w:rsid w:val="0015749F"/>
    <w:rsid w:val="00157C90"/>
    <w:rsid w:val="00157FD3"/>
    <w:rsid w:val="00160013"/>
    <w:rsid w:val="001602DA"/>
    <w:rsid w:val="001626DC"/>
    <w:rsid w:val="00163F11"/>
    <w:rsid w:val="00164EF9"/>
    <w:rsid w:val="001667F5"/>
    <w:rsid w:val="0016746D"/>
    <w:rsid w:val="001675BD"/>
    <w:rsid w:val="00170DDE"/>
    <w:rsid w:val="00171BA8"/>
    <w:rsid w:val="0017250B"/>
    <w:rsid w:val="0017263E"/>
    <w:rsid w:val="00175576"/>
    <w:rsid w:val="00176548"/>
    <w:rsid w:val="00177058"/>
    <w:rsid w:val="001776D8"/>
    <w:rsid w:val="00177850"/>
    <w:rsid w:val="00177EB7"/>
    <w:rsid w:val="0018028F"/>
    <w:rsid w:val="00181B50"/>
    <w:rsid w:val="00181E4F"/>
    <w:rsid w:val="001824F7"/>
    <w:rsid w:val="00182A7E"/>
    <w:rsid w:val="00183B9D"/>
    <w:rsid w:val="00183C39"/>
    <w:rsid w:val="001841DA"/>
    <w:rsid w:val="00184AEC"/>
    <w:rsid w:val="00184C1E"/>
    <w:rsid w:val="00185067"/>
    <w:rsid w:val="00192592"/>
    <w:rsid w:val="00194F1C"/>
    <w:rsid w:val="001959F9"/>
    <w:rsid w:val="00196C78"/>
    <w:rsid w:val="00197564"/>
    <w:rsid w:val="00197A48"/>
    <w:rsid w:val="00197E23"/>
    <w:rsid w:val="001A1F33"/>
    <w:rsid w:val="001A37BA"/>
    <w:rsid w:val="001A5A0E"/>
    <w:rsid w:val="001A66CB"/>
    <w:rsid w:val="001A672D"/>
    <w:rsid w:val="001A67BC"/>
    <w:rsid w:val="001A6D4C"/>
    <w:rsid w:val="001A7EED"/>
    <w:rsid w:val="001B069E"/>
    <w:rsid w:val="001B0812"/>
    <w:rsid w:val="001B1320"/>
    <w:rsid w:val="001B2724"/>
    <w:rsid w:val="001B4A35"/>
    <w:rsid w:val="001B56F4"/>
    <w:rsid w:val="001B76C3"/>
    <w:rsid w:val="001B7E55"/>
    <w:rsid w:val="001C3219"/>
    <w:rsid w:val="001C39D5"/>
    <w:rsid w:val="001C545C"/>
    <w:rsid w:val="001C58BB"/>
    <w:rsid w:val="001C5ED2"/>
    <w:rsid w:val="001C5F23"/>
    <w:rsid w:val="001C6D2D"/>
    <w:rsid w:val="001C705D"/>
    <w:rsid w:val="001C7C9C"/>
    <w:rsid w:val="001D019F"/>
    <w:rsid w:val="001D0FCF"/>
    <w:rsid w:val="001D17F3"/>
    <w:rsid w:val="001D210E"/>
    <w:rsid w:val="001D2670"/>
    <w:rsid w:val="001D291F"/>
    <w:rsid w:val="001D40B7"/>
    <w:rsid w:val="001D4FE1"/>
    <w:rsid w:val="001D5CC2"/>
    <w:rsid w:val="001D7109"/>
    <w:rsid w:val="001E0DEA"/>
    <w:rsid w:val="001E260E"/>
    <w:rsid w:val="001E3ECB"/>
    <w:rsid w:val="001E56BA"/>
    <w:rsid w:val="001E5929"/>
    <w:rsid w:val="001E6B27"/>
    <w:rsid w:val="001F01F2"/>
    <w:rsid w:val="001F0482"/>
    <w:rsid w:val="001F04C9"/>
    <w:rsid w:val="001F0ABA"/>
    <w:rsid w:val="001F0EC0"/>
    <w:rsid w:val="001F12F0"/>
    <w:rsid w:val="001F26A8"/>
    <w:rsid w:val="001F39C8"/>
    <w:rsid w:val="001F3CB4"/>
    <w:rsid w:val="001F3CFF"/>
    <w:rsid w:val="001F4ED7"/>
    <w:rsid w:val="001F6167"/>
    <w:rsid w:val="00200936"/>
    <w:rsid w:val="002018D7"/>
    <w:rsid w:val="00204F55"/>
    <w:rsid w:val="002059DC"/>
    <w:rsid w:val="00207862"/>
    <w:rsid w:val="00210FA6"/>
    <w:rsid w:val="00211B59"/>
    <w:rsid w:val="00211EF9"/>
    <w:rsid w:val="00211F2C"/>
    <w:rsid w:val="0021224E"/>
    <w:rsid w:val="00212F15"/>
    <w:rsid w:val="0021346F"/>
    <w:rsid w:val="00214989"/>
    <w:rsid w:val="00214B18"/>
    <w:rsid w:val="00215613"/>
    <w:rsid w:val="00215CA4"/>
    <w:rsid w:val="00215D37"/>
    <w:rsid w:val="00216FB4"/>
    <w:rsid w:val="00220758"/>
    <w:rsid w:val="002222AE"/>
    <w:rsid w:val="00222D22"/>
    <w:rsid w:val="0022512A"/>
    <w:rsid w:val="00225EE4"/>
    <w:rsid w:val="00227833"/>
    <w:rsid w:val="00232C79"/>
    <w:rsid w:val="00232F7F"/>
    <w:rsid w:val="0023308B"/>
    <w:rsid w:val="00236150"/>
    <w:rsid w:val="00236403"/>
    <w:rsid w:val="002364A7"/>
    <w:rsid w:val="00241053"/>
    <w:rsid w:val="00243671"/>
    <w:rsid w:val="00246BCC"/>
    <w:rsid w:val="00246F05"/>
    <w:rsid w:val="002471A9"/>
    <w:rsid w:val="00250007"/>
    <w:rsid w:val="00250ACA"/>
    <w:rsid w:val="00251760"/>
    <w:rsid w:val="00251EB5"/>
    <w:rsid w:val="00252E12"/>
    <w:rsid w:val="002532F1"/>
    <w:rsid w:val="002539A6"/>
    <w:rsid w:val="00253E30"/>
    <w:rsid w:val="00255331"/>
    <w:rsid w:val="0025550F"/>
    <w:rsid w:val="0025578A"/>
    <w:rsid w:val="00255E50"/>
    <w:rsid w:val="00256438"/>
    <w:rsid w:val="00256BA6"/>
    <w:rsid w:val="00256CFB"/>
    <w:rsid w:val="00260725"/>
    <w:rsid w:val="00261328"/>
    <w:rsid w:val="002615C0"/>
    <w:rsid w:val="00261E5C"/>
    <w:rsid w:val="0026734F"/>
    <w:rsid w:val="0027068D"/>
    <w:rsid w:val="002710B2"/>
    <w:rsid w:val="00272D5A"/>
    <w:rsid w:val="00272DD1"/>
    <w:rsid w:val="00274284"/>
    <w:rsid w:val="00274E10"/>
    <w:rsid w:val="0027586B"/>
    <w:rsid w:val="00276B3A"/>
    <w:rsid w:val="00277216"/>
    <w:rsid w:val="00280D58"/>
    <w:rsid w:val="00281292"/>
    <w:rsid w:val="002812B4"/>
    <w:rsid w:val="002816F2"/>
    <w:rsid w:val="00283D9F"/>
    <w:rsid w:val="00284416"/>
    <w:rsid w:val="0028509C"/>
    <w:rsid w:val="00285834"/>
    <w:rsid w:val="0028587B"/>
    <w:rsid w:val="00285C2D"/>
    <w:rsid w:val="00287A9F"/>
    <w:rsid w:val="00290615"/>
    <w:rsid w:val="00290B9C"/>
    <w:rsid w:val="00290F0E"/>
    <w:rsid w:val="0029292C"/>
    <w:rsid w:val="002938E9"/>
    <w:rsid w:val="0029567E"/>
    <w:rsid w:val="00296E65"/>
    <w:rsid w:val="00297666"/>
    <w:rsid w:val="002A0B63"/>
    <w:rsid w:val="002A222A"/>
    <w:rsid w:val="002A3083"/>
    <w:rsid w:val="002A43AA"/>
    <w:rsid w:val="002A505F"/>
    <w:rsid w:val="002A5725"/>
    <w:rsid w:val="002A639E"/>
    <w:rsid w:val="002A675D"/>
    <w:rsid w:val="002A742D"/>
    <w:rsid w:val="002B13B2"/>
    <w:rsid w:val="002B1463"/>
    <w:rsid w:val="002B164A"/>
    <w:rsid w:val="002B1C31"/>
    <w:rsid w:val="002B41DC"/>
    <w:rsid w:val="002B452D"/>
    <w:rsid w:val="002B4DCE"/>
    <w:rsid w:val="002B592E"/>
    <w:rsid w:val="002B64DF"/>
    <w:rsid w:val="002B6E53"/>
    <w:rsid w:val="002C06E1"/>
    <w:rsid w:val="002C07C7"/>
    <w:rsid w:val="002C24C9"/>
    <w:rsid w:val="002C2C4B"/>
    <w:rsid w:val="002C3506"/>
    <w:rsid w:val="002C556B"/>
    <w:rsid w:val="002C61A0"/>
    <w:rsid w:val="002C670B"/>
    <w:rsid w:val="002C74AC"/>
    <w:rsid w:val="002D1BCC"/>
    <w:rsid w:val="002D2475"/>
    <w:rsid w:val="002D26A6"/>
    <w:rsid w:val="002D3BB0"/>
    <w:rsid w:val="002D640F"/>
    <w:rsid w:val="002E1060"/>
    <w:rsid w:val="002E168A"/>
    <w:rsid w:val="002E1F17"/>
    <w:rsid w:val="002E20BA"/>
    <w:rsid w:val="002E210A"/>
    <w:rsid w:val="002E27D7"/>
    <w:rsid w:val="002E389A"/>
    <w:rsid w:val="002E3AA3"/>
    <w:rsid w:val="002E3D0A"/>
    <w:rsid w:val="002E4E86"/>
    <w:rsid w:val="002E629C"/>
    <w:rsid w:val="002E6930"/>
    <w:rsid w:val="002E7BB5"/>
    <w:rsid w:val="002F03FD"/>
    <w:rsid w:val="002F07F7"/>
    <w:rsid w:val="002F0E24"/>
    <w:rsid w:val="002F0F81"/>
    <w:rsid w:val="002F1E36"/>
    <w:rsid w:val="002F3D92"/>
    <w:rsid w:val="002F478F"/>
    <w:rsid w:val="002F4C4C"/>
    <w:rsid w:val="002F50D8"/>
    <w:rsid w:val="002F5A57"/>
    <w:rsid w:val="002F6993"/>
    <w:rsid w:val="002F78EB"/>
    <w:rsid w:val="00300708"/>
    <w:rsid w:val="00300769"/>
    <w:rsid w:val="003024AC"/>
    <w:rsid w:val="00304FCA"/>
    <w:rsid w:val="0030536A"/>
    <w:rsid w:val="00305E65"/>
    <w:rsid w:val="00311B99"/>
    <w:rsid w:val="00314F56"/>
    <w:rsid w:val="00316583"/>
    <w:rsid w:val="00317210"/>
    <w:rsid w:val="00320819"/>
    <w:rsid w:val="00321A59"/>
    <w:rsid w:val="00322566"/>
    <w:rsid w:val="0032671F"/>
    <w:rsid w:val="003274DA"/>
    <w:rsid w:val="00327956"/>
    <w:rsid w:val="00327E5C"/>
    <w:rsid w:val="003300D4"/>
    <w:rsid w:val="00331B54"/>
    <w:rsid w:val="00332190"/>
    <w:rsid w:val="00332E16"/>
    <w:rsid w:val="00332E70"/>
    <w:rsid w:val="00333546"/>
    <w:rsid w:val="00334CB7"/>
    <w:rsid w:val="003362F3"/>
    <w:rsid w:val="00336789"/>
    <w:rsid w:val="003369E1"/>
    <w:rsid w:val="00336FFF"/>
    <w:rsid w:val="00337BE6"/>
    <w:rsid w:val="003418C3"/>
    <w:rsid w:val="00342705"/>
    <w:rsid w:val="003431EA"/>
    <w:rsid w:val="00343EB9"/>
    <w:rsid w:val="003449C6"/>
    <w:rsid w:val="00344BE5"/>
    <w:rsid w:val="0034523D"/>
    <w:rsid w:val="00345524"/>
    <w:rsid w:val="0034689A"/>
    <w:rsid w:val="00346EB9"/>
    <w:rsid w:val="003511EF"/>
    <w:rsid w:val="003518BE"/>
    <w:rsid w:val="00351BAD"/>
    <w:rsid w:val="00351C8E"/>
    <w:rsid w:val="00352A1B"/>
    <w:rsid w:val="00352A56"/>
    <w:rsid w:val="00353170"/>
    <w:rsid w:val="00353462"/>
    <w:rsid w:val="00356193"/>
    <w:rsid w:val="003573C2"/>
    <w:rsid w:val="003613DD"/>
    <w:rsid w:val="0036195C"/>
    <w:rsid w:val="00362611"/>
    <w:rsid w:val="00362BB5"/>
    <w:rsid w:val="00364D87"/>
    <w:rsid w:val="003656D2"/>
    <w:rsid w:val="003659C8"/>
    <w:rsid w:val="003700CE"/>
    <w:rsid w:val="0037035B"/>
    <w:rsid w:val="003709B8"/>
    <w:rsid w:val="0037254F"/>
    <w:rsid w:val="00374E92"/>
    <w:rsid w:val="00374FD8"/>
    <w:rsid w:val="00376003"/>
    <w:rsid w:val="003769CF"/>
    <w:rsid w:val="00377284"/>
    <w:rsid w:val="00377314"/>
    <w:rsid w:val="00380432"/>
    <w:rsid w:val="00380B73"/>
    <w:rsid w:val="00381531"/>
    <w:rsid w:val="003817A4"/>
    <w:rsid w:val="003833DD"/>
    <w:rsid w:val="00384801"/>
    <w:rsid w:val="00384E3F"/>
    <w:rsid w:val="00385A7A"/>
    <w:rsid w:val="00386675"/>
    <w:rsid w:val="00387442"/>
    <w:rsid w:val="00387C4D"/>
    <w:rsid w:val="0039381D"/>
    <w:rsid w:val="00395379"/>
    <w:rsid w:val="003974FB"/>
    <w:rsid w:val="00397C59"/>
    <w:rsid w:val="003A08F3"/>
    <w:rsid w:val="003A165A"/>
    <w:rsid w:val="003A1B40"/>
    <w:rsid w:val="003A223D"/>
    <w:rsid w:val="003A2441"/>
    <w:rsid w:val="003A5359"/>
    <w:rsid w:val="003B0845"/>
    <w:rsid w:val="003B0E78"/>
    <w:rsid w:val="003B0FF5"/>
    <w:rsid w:val="003B1251"/>
    <w:rsid w:val="003B1C86"/>
    <w:rsid w:val="003B3115"/>
    <w:rsid w:val="003B5373"/>
    <w:rsid w:val="003B57B5"/>
    <w:rsid w:val="003B6534"/>
    <w:rsid w:val="003B7060"/>
    <w:rsid w:val="003B7A21"/>
    <w:rsid w:val="003C00F5"/>
    <w:rsid w:val="003C0564"/>
    <w:rsid w:val="003C065C"/>
    <w:rsid w:val="003C1033"/>
    <w:rsid w:val="003C3974"/>
    <w:rsid w:val="003C4681"/>
    <w:rsid w:val="003C6125"/>
    <w:rsid w:val="003C63A3"/>
    <w:rsid w:val="003D2F80"/>
    <w:rsid w:val="003D4A22"/>
    <w:rsid w:val="003D4CB7"/>
    <w:rsid w:val="003D5082"/>
    <w:rsid w:val="003D515E"/>
    <w:rsid w:val="003D7275"/>
    <w:rsid w:val="003E0674"/>
    <w:rsid w:val="003E187D"/>
    <w:rsid w:val="003E35F8"/>
    <w:rsid w:val="003E36CE"/>
    <w:rsid w:val="003E5764"/>
    <w:rsid w:val="003F15E9"/>
    <w:rsid w:val="003F25B9"/>
    <w:rsid w:val="003F2666"/>
    <w:rsid w:val="003F2753"/>
    <w:rsid w:val="003F2B42"/>
    <w:rsid w:val="003F3475"/>
    <w:rsid w:val="003F51D7"/>
    <w:rsid w:val="003F7950"/>
    <w:rsid w:val="00401CA5"/>
    <w:rsid w:val="00404E69"/>
    <w:rsid w:val="004058A4"/>
    <w:rsid w:val="00405CD2"/>
    <w:rsid w:val="004074FC"/>
    <w:rsid w:val="00407D85"/>
    <w:rsid w:val="00410D21"/>
    <w:rsid w:val="00411CBB"/>
    <w:rsid w:val="00413441"/>
    <w:rsid w:val="00413487"/>
    <w:rsid w:val="00413FAD"/>
    <w:rsid w:val="00415342"/>
    <w:rsid w:val="00415867"/>
    <w:rsid w:val="00415FEE"/>
    <w:rsid w:val="004164CF"/>
    <w:rsid w:val="0041667F"/>
    <w:rsid w:val="00417604"/>
    <w:rsid w:val="0042317B"/>
    <w:rsid w:val="004259BF"/>
    <w:rsid w:val="00425EA6"/>
    <w:rsid w:val="0042614D"/>
    <w:rsid w:val="004303BD"/>
    <w:rsid w:val="00431083"/>
    <w:rsid w:val="0043139A"/>
    <w:rsid w:val="00431C48"/>
    <w:rsid w:val="0043229F"/>
    <w:rsid w:val="00432670"/>
    <w:rsid w:val="004338D3"/>
    <w:rsid w:val="00433F56"/>
    <w:rsid w:val="004346DC"/>
    <w:rsid w:val="0043473D"/>
    <w:rsid w:val="00434FF2"/>
    <w:rsid w:val="004359FB"/>
    <w:rsid w:val="00437144"/>
    <w:rsid w:val="004375E3"/>
    <w:rsid w:val="00437933"/>
    <w:rsid w:val="004415B9"/>
    <w:rsid w:val="0044166D"/>
    <w:rsid w:val="0044294E"/>
    <w:rsid w:val="00443AD3"/>
    <w:rsid w:val="0044545D"/>
    <w:rsid w:val="00445B8C"/>
    <w:rsid w:val="00445C9F"/>
    <w:rsid w:val="004473C9"/>
    <w:rsid w:val="004514FF"/>
    <w:rsid w:val="00451B04"/>
    <w:rsid w:val="00452061"/>
    <w:rsid w:val="004520BD"/>
    <w:rsid w:val="004543E7"/>
    <w:rsid w:val="00454ADB"/>
    <w:rsid w:val="00454E0A"/>
    <w:rsid w:val="00454F28"/>
    <w:rsid w:val="00456119"/>
    <w:rsid w:val="00456EFC"/>
    <w:rsid w:val="00457CC2"/>
    <w:rsid w:val="0046038E"/>
    <w:rsid w:val="00461961"/>
    <w:rsid w:val="00464547"/>
    <w:rsid w:val="004647FC"/>
    <w:rsid w:val="00464A3A"/>
    <w:rsid w:val="00466E4E"/>
    <w:rsid w:val="0046750C"/>
    <w:rsid w:val="00470433"/>
    <w:rsid w:val="00470B00"/>
    <w:rsid w:val="004712F8"/>
    <w:rsid w:val="00474153"/>
    <w:rsid w:val="0047508E"/>
    <w:rsid w:val="004750D9"/>
    <w:rsid w:val="004751BE"/>
    <w:rsid w:val="00476DB3"/>
    <w:rsid w:val="00477A1D"/>
    <w:rsid w:val="00477A48"/>
    <w:rsid w:val="0048398A"/>
    <w:rsid w:val="0048488F"/>
    <w:rsid w:val="00484939"/>
    <w:rsid w:val="0048536E"/>
    <w:rsid w:val="00486908"/>
    <w:rsid w:val="004870DB"/>
    <w:rsid w:val="0048714E"/>
    <w:rsid w:val="004874AD"/>
    <w:rsid w:val="00493C5B"/>
    <w:rsid w:val="00494119"/>
    <w:rsid w:val="00494372"/>
    <w:rsid w:val="004964AA"/>
    <w:rsid w:val="004978DC"/>
    <w:rsid w:val="00497B73"/>
    <w:rsid w:val="00497C40"/>
    <w:rsid w:val="004A03CF"/>
    <w:rsid w:val="004A1228"/>
    <w:rsid w:val="004A436E"/>
    <w:rsid w:val="004A58A3"/>
    <w:rsid w:val="004A69AC"/>
    <w:rsid w:val="004B16B5"/>
    <w:rsid w:val="004B1FC0"/>
    <w:rsid w:val="004B3BE2"/>
    <w:rsid w:val="004B40B2"/>
    <w:rsid w:val="004B4FE2"/>
    <w:rsid w:val="004B61EB"/>
    <w:rsid w:val="004B670C"/>
    <w:rsid w:val="004B68E4"/>
    <w:rsid w:val="004B6B5E"/>
    <w:rsid w:val="004C1A47"/>
    <w:rsid w:val="004C1E4A"/>
    <w:rsid w:val="004C2C33"/>
    <w:rsid w:val="004C506C"/>
    <w:rsid w:val="004C7DA7"/>
    <w:rsid w:val="004D2DC5"/>
    <w:rsid w:val="004D38A0"/>
    <w:rsid w:val="004D5F37"/>
    <w:rsid w:val="004D640F"/>
    <w:rsid w:val="004D74DA"/>
    <w:rsid w:val="004E65C4"/>
    <w:rsid w:val="004E6922"/>
    <w:rsid w:val="004E7F8D"/>
    <w:rsid w:val="004F028D"/>
    <w:rsid w:val="004F0C35"/>
    <w:rsid w:val="004F0D1B"/>
    <w:rsid w:val="004F187D"/>
    <w:rsid w:val="004F21CC"/>
    <w:rsid w:val="004F3BD9"/>
    <w:rsid w:val="004F4978"/>
    <w:rsid w:val="004F58E2"/>
    <w:rsid w:val="004F5DD8"/>
    <w:rsid w:val="004F72F7"/>
    <w:rsid w:val="004F7589"/>
    <w:rsid w:val="004F75AC"/>
    <w:rsid w:val="004F7856"/>
    <w:rsid w:val="004F7C9C"/>
    <w:rsid w:val="004F7E45"/>
    <w:rsid w:val="0050056B"/>
    <w:rsid w:val="00501190"/>
    <w:rsid w:val="005011F0"/>
    <w:rsid w:val="005020EF"/>
    <w:rsid w:val="00502692"/>
    <w:rsid w:val="005048A3"/>
    <w:rsid w:val="00505EC9"/>
    <w:rsid w:val="00511EE9"/>
    <w:rsid w:val="00512F83"/>
    <w:rsid w:val="005135FD"/>
    <w:rsid w:val="00516539"/>
    <w:rsid w:val="0051666D"/>
    <w:rsid w:val="0052032A"/>
    <w:rsid w:val="00520916"/>
    <w:rsid w:val="00520EC2"/>
    <w:rsid w:val="00522F65"/>
    <w:rsid w:val="005237CA"/>
    <w:rsid w:val="00524C57"/>
    <w:rsid w:val="00525917"/>
    <w:rsid w:val="00525A19"/>
    <w:rsid w:val="0052621E"/>
    <w:rsid w:val="005264AB"/>
    <w:rsid w:val="00526710"/>
    <w:rsid w:val="005267DE"/>
    <w:rsid w:val="00527BEF"/>
    <w:rsid w:val="005307DD"/>
    <w:rsid w:val="00531385"/>
    <w:rsid w:val="0053226C"/>
    <w:rsid w:val="0053283C"/>
    <w:rsid w:val="00532C55"/>
    <w:rsid w:val="0053319A"/>
    <w:rsid w:val="005334B1"/>
    <w:rsid w:val="005344A5"/>
    <w:rsid w:val="00536173"/>
    <w:rsid w:val="005368B1"/>
    <w:rsid w:val="00537E67"/>
    <w:rsid w:val="00540DA3"/>
    <w:rsid w:val="0054486B"/>
    <w:rsid w:val="005448AA"/>
    <w:rsid w:val="00544EFE"/>
    <w:rsid w:val="00547637"/>
    <w:rsid w:val="00547B49"/>
    <w:rsid w:val="005510E2"/>
    <w:rsid w:val="005534D4"/>
    <w:rsid w:val="005535A5"/>
    <w:rsid w:val="00554E51"/>
    <w:rsid w:val="0055669F"/>
    <w:rsid w:val="00557317"/>
    <w:rsid w:val="00557C7D"/>
    <w:rsid w:val="00563B9F"/>
    <w:rsid w:val="0056421B"/>
    <w:rsid w:val="005679EE"/>
    <w:rsid w:val="005721C6"/>
    <w:rsid w:val="005735AD"/>
    <w:rsid w:val="005737C6"/>
    <w:rsid w:val="005742D7"/>
    <w:rsid w:val="005765AE"/>
    <w:rsid w:val="0057693D"/>
    <w:rsid w:val="00576EE1"/>
    <w:rsid w:val="00582541"/>
    <w:rsid w:val="00584203"/>
    <w:rsid w:val="005844D0"/>
    <w:rsid w:val="0058545B"/>
    <w:rsid w:val="00587D84"/>
    <w:rsid w:val="00587F7D"/>
    <w:rsid w:val="0059135F"/>
    <w:rsid w:val="00592010"/>
    <w:rsid w:val="00593055"/>
    <w:rsid w:val="0059490B"/>
    <w:rsid w:val="00594F74"/>
    <w:rsid w:val="00596EA1"/>
    <w:rsid w:val="005A0100"/>
    <w:rsid w:val="005A062C"/>
    <w:rsid w:val="005A08D5"/>
    <w:rsid w:val="005A10F8"/>
    <w:rsid w:val="005A30E8"/>
    <w:rsid w:val="005A31D2"/>
    <w:rsid w:val="005A33EB"/>
    <w:rsid w:val="005A3C51"/>
    <w:rsid w:val="005A447A"/>
    <w:rsid w:val="005A4C28"/>
    <w:rsid w:val="005A7529"/>
    <w:rsid w:val="005B01B7"/>
    <w:rsid w:val="005B0A06"/>
    <w:rsid w:val="005B22D7"/>
    <w:rsid w:val="005B2C60"/>
    <w:rsid w:val="005B3DB6"/>
    <w:rsid w:val="005B3ED2"/>
    <w:rsid w:val="005B40B7"/>
    <w:rsid w:val="005B43B1"/>
    <w:rsid w:val="005B4C30"/>
    <w:rsid w:val="005B563F"/>
    <w:rsid w:val="005B5688"/>
    <w:rsid w:val="005B5D1D"/>
    <w:rsid w:val="005B6750"/>
    <w:rsid w:val="005B6B62"/>
    <w:rsid w:val="005B6C55"/>
    <w:rsid w:val="005B76A0"/>
    <w:rsid w:val="005B782D"/>
    <w:rsid w:val="005B7BDD"/>
    <w:rsid w:val="005C03EF"/>
    <w:rsid w:val="005C187F"/>
    <w:rsid w:val="005C1CA9"/>
    <w:rsid w:val="005C2217"/>
    <w:rsid w:val="005C292A"/>
    <w:rsid w:val="005C32B9"/>
    <w:rsid w:val="005C53B9"/>
    <w:rsid w:val="005C6EB0"/>
    <w:rsid w:val="005C78E5"/>
    <w:rsid w:val="005C7C33"/>
    <w:rsid w:val="005C7DD4"/>
    <w:rsid w:val="005D0899"/>
    <w:rsid w:val="005D0C58"/>
    <w:rsid w:val="005D120D"/>
    <w:rsid w:val="005D159C"/>
    <w:rsid w:val="005D2B94"/>
    <w:rsid w:val="005D34A6"/>
    <w:rsid w:val="005D47F8"/>
    <w:rsid w:val="005D49F7"/>
    <w:rsid w:val="005D4A7C"/>
    <w:rsid w:val="005D5107"/>
    <w:rsid w:val="005D6641"/>
    <w:rsid w:val="005D6F43"/>
    <w:rsid w:val="005D732F"/>
    <w:rsid w:val="005D7BD0"/>
    <w:rsid w:val="005E3BC9"/>
    <w:rsid w:val="005E3CA2"/>
    <w:rsid w:val="005E3DCC"/>
    <w:rsid w:val="005E4F06"/>
    <w:rsid w:val="005E5084"/>
    <w:rsid w:val="005E69CB"/>
    <w:rsid w:val="005E7044"/>
    <w:rsid w:val="005E7199"/>
    <w:rsid w:val="005F0561"/>
    <w:rsid w:val="005F0AD2"/>
    <w:rsid w:val="005F18F5"/>
    <w:rsid w:val="005F19FA"/>
    <w:rsid w:val="005F28DA"/>
    <w:rsid w:val="005F31EC"/>
    <w:rsid w:val="005F3293"/>
    <w:rsid w:val="005F394F"/>
    <w:rsid w:val="005F4848"/>
    <w:rsid w:val="005F4860"/>
    <w:rsid w:val="005F7F1E"/>
    <w:rsid w:val="00600049"/>
    <w:rsid w:val="00600BDA"/>
    <w:rsid w:val="00601049"/>
    <w:rsid w:val="00602E1A"/>
    <w:rsid w:val="0060307C"/>
    <w:rsid w:val="00604162"/>
    <w:rsid w:val="00604424"/>
    <w:rsid w:val="00605979"/>
    <w:rsid w:val="00605C02"/>
    <w:rsid w:val="00605C1B"/>
    <w:rsid w:val="00606596"/>
    <w:rsid w:val="006147B3"/>
    <w:rsid w:val="00614E4F"/>
    <w:rsid w:val="006158C0"/>
    <w:rsid w:val="00615AEA"/>
    <w:rsid w:val="00616D92"/>
    <w:rsid w:val="00617D1A"/>
    <w:rsid w:val="00620567"/>
    <w:rsid w:val="00620787"/>
    <w:rsid w:val="00620BCB"/>
    <w:rsid w:val="00621BFF"/>
    <w:rsid w:val="006250B3"/>
    <w:rsid w:val="00626B1B"/>
    <w:rsid w:val="006272A0"/>
    <w:rsid w:val="00627B9A"/>
    <w:rsid w:val="00630220"/>
    <w:rsid w:val="006326FF"/>
    <w:rsid w:val="00632851"/>
    <w:rsid w:val="006342A5"/>
    <w:rsid w:val="00634369"/>
    <w:rsid w:val="0063517E"/>
    <w:rsid w:val="00635F2F"/>
    <w:rsid w:val="006360E4"/>
    <w:rsid w:val="00636434"/>
    <w:rsid w:val="00636BEC"/>
    <w:rsid w:val="00641969"/>
    <w:rsid w:val="00641986"/>
    <w:rsid w:val="00642F46"/>
    <w:rsid w:val="006431D7"/>
    <w:rsid w:val="0064390C"/>
    <w:rsid w:val="00644338"/>
    <w:rsid w:val="00644D60"/>
    <w:rsid w:val="00645E15"/>
    <w:rsid w:val="006464EF"/>
    <w:rsid w:val="0065005B"/>
    <w:rsid w:val="00650BA8"/>
    <w:rsid w:val="00651EC8"/>
    <w:rsid w:val="00652134"/>
    <w:rsid w:val="0065345F"/>
    <w:rsid w:val="00653514"/>
    <w:rsid w:val="0065472C"/>
    <w:rsid w:val="00655B64"/>
    <w:rsid w:val="00655C94"/>
    <w:rsid w:val="0065666C"/>
    <w:rsid w:val="006574B4"/>
    <w:rsid w:val="00657532"/>
    <w:rsid w:val="00657BCD"/>
    <w:rsid w:val="00657F54"/>
    <w:rsid w:val="006604AE"/>
    <w:rsid w:val="006608E4"/>
    <w:rsid w:val="006614D7"/>
    <w:rsid w:val="006619BA"/>
    <w:rsid w:val="006629CF"/>
    <w:rsid w:val="00664009"/>
    <w:rsid w:val="00667736"/>
    <w:rsid w:val="00667A02"/>
    <w:rsid w:val="00672865"/>
    <w:rsid w:val="00673EA8"/>
    <w:rsid w:val="006742B5"/>
    <w:rsid w:val="00675AD7"/>
    <w:rsid w:val="00676F6F"/>
    <w:rsid w:val="00677B38"/>
    <w:rsid w:val="00682747"/>
    <w:rsid w:val="006846A7"/>
    <w:rsid w:val="00684D76"/>
    <w:rsid w:val="00686C4D"/>
    <w:rsid w:val="00687E76"/>
    <w:rsid w:val="006949FC"/>
    <w:rsid w:val="00694E7F"/>
    <w:rsid w:val="006961F4"/>
    <w:rsid w:val="00696859"/>
    <w:rsid w:val="0069795F"/>
    <w:rsid w:val="006A1F5F"/>
    <w:rsid w:val="006A3407"/>
    <w:rsid w:val="006A3746"/>
    <w:rsid w:val="006A3E28"/>
    <w:rsid w:val="006A48A6"/>
    <w:rsid w:val="006A55D7"/>
    <w:rsid w:val="006A6C29"/>
    <w:rsid w:val="006A6F6B"/>
    <w:rsid w:val="006A73C4"/>
    <w:rsid w:val="006A747A"/>
    <w:rsid w:val="006A7A06"/>
    <w:rsid w:val="006B1184"/>
    <w:rsid w:val="006B1E77"/>
    <w:rsid w:val="006B42FC"/>
    <w:rsid w:val="006B4BC2"/>
    <w:rsid w:val="006B641D"/>
    <w:rsid w:val="006B6D96"/>
    <w:rsid w:val="006C28A1"/>
    <w:rsid w:val="006C2B87"/>
    <w:rsid w:val="006C2E3C"/>
    <w:rsid w:val="006C4AF2"/>
    <w:rsid w:val="006C4F0A"/>
    <w:rsid w:val="006C6B7F"/>
    <w:rsid w:val="006C6DFE"/>
    <w:rsid w:val="006C7D15"/>
    <w:rsid w:val="006D0CD8"/>
    <w:rsid w:val="006D1257"/>
    <w:rsid w:val="006D2C89"/>
    <w:rsid w:val="006D31A0"/>
    <w:rsid w:val="006D38DA"/>
    <w:rsid w:val="006D4653"/>
    <w:rsid w:val="006D58E4"/>
    <w:rsid w:val="006D5ACE"/>
    <w:rsid w:val="006D7060"/>
    <w:rsid w:val="006D734A"/>
    <w:rsid w:val="006E1037"/>
    <w:rsid w:val="006E1E65"/>
    <w:rsid w:val="006E2382"/>
    <w:rsid w:val="006E514A"/>
    <w:rsid w:val="006E54F7"/>
    <w:rsid w:val="006E5AF7"/>
    <w:rsid w:val="006E7FFA"/>
    <w:rsid w:val="006F0701"/>
    <w:rsid w:val="006F0896"/>
    <w:rsid w:val="006F2003"/>
    <w:rsid w:val="006F22F4"/>
    <w:rsid w:val="006F2ECE"/>
    <w:rsid w:val="006F34AC"/>
    <w:rsid w:val="006F4027"/>
    <w:rsid w:val="006F4F98"/>
    <w:rsid w:val="006F6036"/>
    <w:rsid w:val="006F6902"/>
    <w:rsid w:val="006F740E"/>
    <w:rsid w:val="006F7DA6"/>
    <w:rsid w:val="006F7DB8"/>
    <w:rsid w:val="00700BAA"/>
    <w:rsid w:val="00700FF3"/>
    <w:rsid w:val="0070172C"/>
    <w:rsid w:val="00701DFB"/>
    <w:rsid w:val="0070702B"/>
    <w:rsid w:val="00707B3A"/>
    <w:rsid w:val="00707BCA"/>
    <w:rsid w:val="0071082C"/>
    <w:rsid w:val="007121C1"/>
    <w:rsid w:val="0071444D"/>
    <w:rsid w:val="0071633D"/>
    <w:rsid w:val="00717314"/>
    <w:rsid w:val="0071748E"/>
    <w:rsid w:val="007179AF"/>
    <w:rsid w:val="00720486"/>
    <w:rsid w:val="0072092F"/>
    <w:rsid w:val="0072094E"/>
    <w:rsid w:val="00723465"/>
    <w:rsid w:val="00724258"/>
    <w:rsid w:val="007242DF"/>
    <w:rsid w:val="0072483E"/>
    <w:rsid w:val="007254B0"/>
    <w:rsid w:val="00730431"/>
    <w:rsid w:val="0073078F"/>
    <w:rsid w:val="00730A1B"/>
    <w:rsid w:val="00730EBA"/>
    <w:rsid w:val="007311BC"/>
    <w:rsid w:val="007312C5"/>
    <w:rsid w:val="00731A79"/>
    <w:rsid w:val="00733487"/>
    <w:rsid w:val="0074012B"/>
    <w:rsid w:val="0074115C"/>
    <w:rsid w:val="00741577"/>
    <w:rsid w:val="00743254"/>
    <w:rsid w:val="007436F6"/>
    <w:rsid w:val="00743A11"/>
    <w:rsid w:val="00746EBB"/>
    <w:rsid w:val="00750338"/>
    <w:rsid w:val="00753554"/>
    <w:rsid w:val="0075559E"/>
    <w:rsid w:val="00755F46"/>
    <w:rsid w:val="00756694"/>
    <w:rsid w:val="00757A40"/>
    <w:rsid w:val="0076053F"/>
    <w:rsid w:val="00761A10"/>
    <w:rsid w:val="00761CE5"/>
    <w:rsid w:val="00763F01"/>
    <w:rsid w:val="00764A14"/>
    <w:rsid w:val="00766C17"/>
    <w:rsid w:val="00766E3A"/>
    <w:rsid w:val="0076701D"/>
    <w:rsid w:val="0077150A"/>
    <w:rsid w:val="0077166B"/>
    <w:rsid w:val="0077284F"/>
    <w:rsid w:val="0077327B"/>
    <w:rsid w:val="00775B53"/>
    <w:rsid w:val="00775E59"/>
    <w:rsid w:val="00775F85"/>
    <w:rsid w:val="00781133"/>
    <w:rsid w:val="007819F8"/>
    <w:rsid w:val="00782A59"/>
    <w:rsid w:val="00782CC8"/>
    <w:rsid w:val="00783607"/>
    <w:rsid w:val="007836F6"/>
    <w:rsid w:val="00787A0D"/>
    <w:rsid w:val="00787D57"/>
    <w:rsid w:val="00791B65"/>
    <w:rsid w:val="00791E15"/>
    <w:rsid w:val="00792016"/>
    <w:rsid w:val="0079232B"/>
    <w:rsid w:val="00793825"/>
    <w:rsid w:val="00793878"/>
    <w:rsid w:val="00793DA6"/>
    <w:rsid w:val="00793F4C"/>
    <w:rsid w:val="00794D6B"/>
    <w:rsid w:val="007955A6"/>
    <w:rsid w:val="00795D14"/>
    <w:rsid w:val="007961FE"/>
    <w:rsid w:val="007968B9"/>
    <w:rsid w:val="007A5A6B"/>
    <w:rsid w:val="007A6803"/>
    <w:rsid w:val="007B2447"/>
    <w:rsid w:val="007B2575"/>
    <w:rsid w:val="007B2BA9"/>
    <w:rsid w:val="007B485E"/>
    <w:rsid w:val="007B55D9"/>
    <w:rsid w:val="007B5895"/>
    <w:rsid w:val="007B649B"/>
    <w:rsid w:val="007C00FF"/>
    <w:rsid w:val="007C0C94"/>
    <w:rsid w:val="007C1432"/>
    <w:rsid w:val="007C15F1"/>
    <w:rsid w:val="007C27DB"/>
    <w:rsid w:val="007C345D"/>
    <w:rsid w:val="007C4102"/>
    <w:rsid w:val="007C5FA0"/>
    <w:rsid w:val="007C6713"/>
    <w:rsid w:val="007D0194"/>
    <w:rsid w:val="007D04DA"/>
    <w:rsid w:val="007D0506"/>
    <w:rsid w:val="007D0E1D"/>
    <w:rsid w:val="007D19CE"/>
    <w:rsid w:val="007D1B8B"/>
    <w:rsid w:val="007D57DB"/>
    <w:rsid w:val="007D6579"/>
    <w:rsid w:val="007D6EBA"/>
    <w:rsid w:val="007E0896"/>
    <w:rsid w:val="007E3EE4"/>
    <w:rsid w:val="007E7825"/>
    <w:rsid w:val="007F2008"/>
    <w:rsid w:val="007F2062"/>
    <w:rsid w:val="007F239E"/>
    <w:rsid w:val="007F4DD3"/>
    <w:rsid w:val="007F6E75"/>
    <w:rsid w:val="007F7B57"/>
    <w:rsid w:val="008005F5"/>
    <w:rsid w:val="00802276"/>
    <w:rsid w:val="00802B0D"/>
    <w:rsid w:val="008034D8"/>
    <w:rsid w:val="00803B7B"/>
    <w:rsid w:val="00804828"/>
    <w:rsid w:val="008056A4"/>
    <w:rsid w:val="00807186"/>
    <w:rsid w:val="00810866"/>
    <w:rsid w:val="00811F9E"/>
    <w:rsid w:val="008122BA"/>
    <w:rsid w:val="008123BB"/>
    <w:rsid w:val="00812EC7"/>
    <w:rsid w:val="008147A4"/>
    <w:rsid w:val="0081492F"/>
    <w:rsid w:val="00816452"/>
    <w:rsid w:val="00816EEA"/>
    <w:rsid w:val="0081713D"/>
    <w:rsid w:val="0081792C"/>
    <w:rsid w:val="008179F6"/>
    <w:rsid w:val="00817AC4"/>
    <w:rsid w:val="00820334"/>
    <w:rsid w:val="00820357"/>
    <w:rsid w:val="00822821"/>
    <w:rsid w:val="008242D5"/>
    <w:rsid w:val="008256F9"/>
    <w:rsid w:val="008269A7"/>
    <w:rsid w:val="008279C0"/>
    <w:rsid w:val="00827B0E"/>
    <w:rsid w:val="00827C40"/>
    <w:rsid w:val="00827D32"/>
    <w:rsid w:val="008307E9"/>
    <w:rsid w:val="00830BBD"/>
    <w:rsid w:val="00832185"/>
    <w:rsid w:val="00832190"/>
    <w:rsid w:val="00833809"/>
    <w:rsid w:val="00833D89"/>
    <w:rsid w:val="008356B6"/>
    <w:rsid w:val="008367A7"/>
    <w:rsid w:val="00840E35"/>
    <w:rsid w:val="00840F31"/>
    <w:rsid w:val="0084124F"/>
    <w:rsid w:val="00841D33"/>
    <w:rsid w:val="0084207F"/>
    <w:rsid w:val="00842260"/>
    <w:rsid w:val="00843585"/>
    <w:rsid w:val="00844DC2"/>
    <w:rsid w:val="008474A8"/>
    <w:rsid w:val="0085055A"/>
    <w:rsid w:val="008528F0"/>
    <w:rsid w:val="008532A6"/>
    <w:rsid w:val="00853CDC"/>
    <w:rsid w:val="00853EFC"/>
    <w:rsid w:val="0085474C"/>
    <w:rsid w:val="00854833"/>
    <w:rsid w:val="0086072F"/>
    <w:rsid w:val="00863653"/>
    <w:rsid w:val="008664FE"/>
    <w:rsid w:val="00873CE7"/>
    <w:rsid w:val="00873D2F"/>
    <w:rsid w:val="00874AAD"/>
    <w:rsid w:val="00877121"/>
    <w:rsid w:val="00883207"/>
    <w:rsid w:val="0088405B"/>
    <w:rsid w:val="00886141"/>
    <w:rsid w:val="008869D0"/>
    <w:rsid w:val="0089021A"/>
    <w:rsid w:val="00890C2E"/>
    <w:rsid w:val="00892ECA"/>
    <w:rsid w:val="00893BFC"/>
    <w:rsid w:val="00893FDE"/>
    <w:rsid w:val="0089456E"/>
    <w:rsid w:val="00894EA2"/>
    <w:rsid w:val="00896B94"/>
    <w:rsid w:val="00896C71"/>
    <w:rsid w:val="008A17D2"/>
    <w:rsid w:val="008A28A2"/>
    <w:rsid w:val="008A2AB2"/>
    <w:rsid w:val="008A2E0F"/>
    <w:rsid w:val="008A30BB"/>
    <w:rsid w:val="008B1D46"/>
    <w:rsid w:val="008B2A6B"/>
    <w:rsid w:val="008B3AA1"/>
    <w:rsid w:val="008B3D5D"/>
    <w:rsid w:val="008B3DAC"/>
    <w:rsid w:val="008B40D4"/>
    <w:rsid w:val="008B45B8"/>
    <w:rsid w:val="008B58F7"/>
    <w:rsid w:val="008B6290"/>
    <w:rsid w:val="008B6D6B"/>
    <w:rsid w:val="008B70D5"/>
    <w:rsid w:val="008B7AE4"/>
    <w:rsid w:val="008C2655"/>
    <w:rsid w:val="008C2EF6"/>
    <w:rsid w:val="008C2EF8"/>
    <w:rsid w:val="008C4334"/>
    <w:rsid w:val="008C4C6E"/>
    <w:rsid w:val="008C5561"/>
    <w:rsid w:val="008C5D8C"/>
    <w:rsid w:val="008C61A6"/>
    <w:rsid w:val="008D01F0"/>
    <w:rsid w:val="008D0252"/>
    <w:rsid w:val="008D02A3"/>
    <w:rsid w:val="008D139F"/>
    <w:rsid w:val="008D180D"/>
    <w:rsid w:val="008D3A62"/>
    <w:rsid w:val="008D3E77"/>
    <w:rsid w:val="008D58A5"/>
    <w:rsid w:val="008D5EC6"/>
    <w:rsid w:val="008D648D"/>
    <w:rsid w:val="008D72CA"/>
    <w:rsid w:val="008E153D"/>
    <w:rsid w:val="008E1A28"/>
    <w:rsid w:val="008E40CE"/>
    <w:rsid w:val="008E7349"/>
    <w:rsid w:val="008F1187"/>
    <w:rsid w:val="008F18A3"/>
    <w:rsid w:val="008F1F8F"/>
    <w:rsid w:val="008F32E0"/>
    <w:rsid w:val="008F37F3"/>
    <w:rsid w:val="008F677F"/>
    <w:rsid w:val="0090081C"/>
    <w:rsid w:val="0090189F"/>
    <w:rsid w:val="00902111"/>
    <w:rsid w:val="0090290C"/>
    <w:rsid w:val="00902BF3"/>
    <w:rsid w:val="0090323B"/>
    <w:rsid w:val="0090401D"/>
    <w:rsid w:val="00905F0F"/>
    <w:rsid w:val="00906074"/>
    <w:rsid w:val="009063E0"/>
    <w:rsid w:val="009067D3"/>
    <w:rsid w:val="0091033C"/>
    <w:rsid w:val="00910870"/>
    <w:rsid w:val="0091194B"/>
    <w:rsid w:val="0091201F"/>
    <w:rsid w:val="009124CF"/>
    <w:rsid w:val="00913028"/>
    <w:rsid w:val="009131EC"/>
    <w:rsid w:val="00914965"/>
    <w:rsid w:val="00915058"/>
    <w:rsid w:val="009156AF"/>
    <w:rsid w:val="00916781"/>
    <w:rsid w:val="00916F98"/>
    <w:rsid w:val="00921424"/>
    <w:rsid w:val="0092158B"/>
    <w:rsid w:val="00921710"/>
    <w:rsid w:val="00922059"/>
    <w:rsid w:val="00922C15"/>
    <w:rsid w:val="00923DE2"/>
    <w:rsid w:val="00925153"/>
    <w:rsid w:val="00925405"/>
    <w:rsid w:val="00925CEE"/>
    <w:rsid w:val="00926416"/>
    <w:rsid w:val="00927003"/>
    <w:rsid w:val="009306BA"/>
    <w:rsid w:val="00931235"/>
    <w:rsid w:val="00932068"/>
    <w:rsid w:val="00932F29"/>
    <w:rsid w:val="00935E01"/>
    <w:rsid w:val="00936AA3"/>
    <w:rsid w:val="00936B76"/>
    <w:rsid w:val="0094003B"/>
    <w:rsid w:val="0094152B"/>
    <w:rsid w:val="00941B7A"/>
    <w:rsid w:val="0094300B"/>
    <w:rsid w:val="0094335C"/>
    <w:rsid w:val="0094397F"/>
    <w:rsid w:val="009442D7"/>
    <w:rsid w:val="00944445"/>
    <w:rsid w:val="00944A46"/>
    <w:rsid w:val="00945162"/>
    <w:rsid w:val="00950106"/>
    <w:rsid w:val="009510EE"/>
    <w:rsid w:val="0095223D"/>
    <w:rsid w:val="009531B1"/>
    <w:rsid w:val="009541B5"/>
    <w:rsid w:val="009550DA"/>
    <w:rsid w:val="00955D27"/>
    <w:rsid w:val="009563B5"/>
    <w:rsid w:val="00957337"/>
    <w:rsid w:val="00957E4E"/>
    <w:rsid w:val="00961314"/>
    <w:rsid w:val="00961D79"/>
    <w:rsid w:val="00962724"/>
    <w:rsid w:val="00963282"/>
    <w:rsid w:val="0096439F"/>
    <w:rsid w:val="00965073"/>
    <w:rsid w:val="0096542E"/>
    <w:rsid w:val="00965DA8"/>
    <w:rsid w:val="00970943"/>
    <w:rsid w:val="00971782"/>
    <w:rsid w:val="009719B4"/>
    <w:rsid w:val="00972C20"/>
    <w:rsid w:val="009742AF"/>
    <w:rsid w:val="00974B03"/>
    <w:rsid w:val="0097599D"/>
    <w:rsid w:val="00975D43"/>
    <w:rsid w:val="00975DD3"/>
    <w:rsid w:val="00975E4E"/>
    <w:rsid w:val="00976D1E"/>
    <w:rsid w:val="00977C13"/>
    <w:rsid w:val="00977E40"/>
    <w:rsid w:val="00980006"/>
    <w:rsid w:val="009826E3"/>
    <w:rsid w:val="00984B90"/>
    <w:rsid w:val="00984E87"/>
    <w:rsid w:val="009866CA"/>
    <w:rsid w:val="009870ED"/>
    <w:rsid w:val="00987294"/>
    <w:rsid w:val="00987A1B"/>
    <w:rsid w:val="00987D56"/>
    <w:rsid w:val="0099018C"/>
    <w:rsid w:val="009902B2"/>
    <w:rsid w:val="00990B72"/>
    <w:rsid w:val="009920E4"/>
    <w:rsid w:val="0099226C"/>
    <w:rsid w:val="00993E6C"/>
    <w:rsid w:val="0099549C"/>
    <w:rsid w:val="00995EDC"/>
    <w:rsid w:val="0099683F"/>
    <w:rsid w:val="009A1039"/>
    <w:rsid w:val="009A4327"/>
    <w:rsid w:val="009A496E"/>
    <w:rsid w:val="009A50BF"/>
    <w:rsid w:val="009A5176"/>
    <w:rsid w:val="009A5EE9"/>
    <w:rsid w:val="009B17C5"/>
    <w:rsid w:val="009B21E2"/>
    <w:rsid w:val="009B4F87"/>
    <w:rsid w:val="009B6F09"/>
    <w:rsid w:val="009B70E5"/>
    <w:rsid w:val="009C0A0C"/>
    <w:rsid w:val="009C1870"/>
    <w:rsid w:val="009C18CE"/>
    <w:rsid w:val="009C261F"/>
    <w:rsid w:val="009C2892"/>
    <w:rsid w:val="009C34D0"/>
    <w:rsid w:val="009C36A7"/>
    <w:rsid w:val="009C50A5"/>
    <w:rsid w:val="009C545B"/>
    <w:rsid w:val="009C5F39"/>
    <w:rsid w:val="009C67F9"/>
    <w:rsid w:val="009C75DC"/>
    <w:rsid w:val="009C7D0A"/>
    <w:rsid w:val="009D0928"/>
    <w:rsid w:val="009D1B3F"/>
    <w:rsid w:val="009D395C"/>
    <w:rsid w:val="009D4F2F"/>
    <w:rsid w:val="009D586C"/>
    <w:rsid w:val="009D5945"/>
    <w:rsid w:val="009D5963"/>
    <w:rsid w:val="009D5AE4"/>
    <w:rsid w:val="009D69E5"/>
    <w:rsid w:val="009E2222"/>
    <w:rsid w:val="009E2522"/>
    <w:rsid w:val="009E3CBC"/>
    <w:rsid w:val="009E44E3"/>
    <w:rsid w:val="009E4808"/>
    <w:rsid w:val="009E603F"/>
    <w:rsid w:val="009E677F"/>
    <w:rsid w:val="009E72A2"/>
    <w:rsid w:val="009F075B"/>
    <w:rsid w:val="009F1657"/>
    <w:rsid w:val="009F1822"/>
    <w:rsid w:val="009F336A"/>
    <w:rsid w:val="009F4CBC"/>
    <w:rsid w:val="009F5147"/>
    <w:rsid w:val="009F6437"/>
    <w:rsid w:val="009F669E"/>
    <w:rsid w:val="00A01FA5"/>
    <w:rsid w:val="00A032A0"/>
    <w:rsid w:val="00A03658"/>
    <w:rsid w:val="00A03847"/>
    <w:rsid w:val="00A04588"/>
    <w:rsid w:val="00A04BCC"/>
    <w:rsid w:val="00A055EF"/>
    <w:rsid w:val="00A057AB"/>
    <w:rsid w:val="00A05F72"/>
    <w:rsid w:val="00A05F95"/>
    <w:rsid w:val="00A0659C"/>
    <w:rsid w:val="00A06815"/>
    <w:rsid w:val="00A073DA"/>
    <w:rsid w:val="00A07846"/>
    <w:rsid w:val="00A07AF7"/>
    <w:rsid w:val="00A12257"/>
    <w:rsid w:val="00A123FA"/>
    <w:rsid w:val="00A1265D"/>
    <w:rsid w:val="00A13D55"/>
    <w:rsid w:val="00A14088"/>
    <w:rsid w:val="00A15D2C"/>
    <w:rsid w:val="00A210EB"/>
    <w:rsid w:val="00A21116"/>
    <w:rsid w:val="00A23274"/>
    <w:rsid w:val="00A23E3B"/>
    <w:rsid w:val="00A278C9"/>
    <w:rsid w:val="00A27AC0"/>
    <w:rsid w:val="00A307D3"/>
    <w:rsid w:val="00A31DD1"/>
    <w:rsid w:val="00A3286E"/>
    <w:rsid w:val="00A34A86"/>
    <w:rsid w:val="00A377FF"/>
    <w:rsid w:val="00A40312"/>
    <w:rsid w:val="00A41096"/>
    <w:rsid w:val="00A413B6"/>
    <w:rsid w:val="00A42CE5"/>
    <w:rsid w:val="00A431A0"/>
    <w:rsid w:val="00A470A2"/>
    <w:rsid w:val="00A471C2"/>
    <w:rsid w:val="00A472E0"/>
    <w:rsid w:val="00A47329"/>
    <w:rsid w:val="00A509AC"/>
    <w:rsid w:val="00A5171E"/>
    <w:rsid w:val="00A5306A"/>
    <w:rsid w:val="00A53D5F"/>
    <w:rsid w:val="00A54F0C"/>
    <w:rsid w:val="00A55BC7"/>
    <w:rsid w:val="00A55C98"/>
    <w:rsid w:val="00A56888"/>
    <w:rsid w:val="00A56B8C"/>
    <w:rsid w:val="00A57586"/>
    <w:rsid w:val="00A5779E"/>
    <w:rsid w:val="00A57B94"/>
    <w:rsid w:val="00A629BF"/>
    <w:rsid w:val="00A63779"/>
    <w:rsid w:val="00A63FE9"/>
    <w:rsid w:val="00A64527"/>
    <w:rsid w:val="00A64E23"/>
    <w:rsid w:val="00A64EBD"/>
    <w:rsid w:val="00A663A4"/>
    <w:rsid w:val="00A6655C"/>
    <w:rsid w:val="00A66734"/>
    <w:rsid w:val="00A70CD4"/>
    <w:rsid w:val="00A7324C"/>
    <w:rsid w:val="00A740CF"/>
    <w:rsid w:val="00A744B4"/>
    <w:rsid w:val="00A7557D"/>
    <w:rsid w:val="00A75FB2"/>
    <w:rsid w:val="00A76224"/>
    <w:rsid w:val="00A76743"/>
    <w:rsid w:val="00A77AE5"/>
    <w:rsid w:val="00A809E8"/>
    <w:rsid w:val="00A84095"/>
    <w:rsid w:val="00A86EFD"/>
    <w:rsid w:val="00A877BA"/>
    <w:rsid w:val="00A905B0"/>
    <w:rsid w:val="00A91DA1"/>
    <w:rsid w:val="00A92156"/>
    <w:rsid w:val="00A921F7"/>
    <w:rsid w:val="00A92873"/>
    <w:rsid w:val="00A932FC"/>
    <w:rsid w:val="00A93692"/>
    <w:rsid w:val="00A943E7"/>
    <w:rsid w:val="00A952A5"/>
    <w:rsid w:val="00A95452"/>
    <w:rsid w:val="00A9639B"/>
    <w:rsid w:val="00A96B82"/>
    <w:rsid w:val="00A97F42"/>
    <w:rsid w:val="00AA049C"/>
    <w:rsid w:val="00AA0C85"/>
    <w:rsid w:val="00AA0D53"/>
    <w:rsid w:val="00AA1684"/>
    <w:rsid w:val="00AA4D66"/>
    <w:rsid w:val="00AA4EC7"/>
    <w:rsid w:val="00AA548D"/>
    <w:rsid w:val="00AA5644"/>
    <w:rsid w:val="00AA5D3F"/>
    <w:rsid w:val="00AA7BF0"/>
    <w:rsid w:val="00AB0A2B"/>
    <w:rsid w:val="00AB1300"/>
    <w:rsid w:val="00AB1902"/>
    <w:rsid w:val="00AB190B"/>
    <w:rsid w:val="00AB1AD0"/>
    <w:rsid w:val="00AB2173"/>
    <w:rsid w:val="00AB4590"/>
    <w:rsid w:val="00AB5A1F"/>
    <w:rsid w:val="00AB64A1"/>
    <w:rsid w:val="00AB670B"/>
    <w:rsid w:val="00AB6974"/>
    <w:rsid w:val="00AB7A46"/>
    <w:rsid w:val="00AC019B"/>
    <w:rsid w:val="00AC081A"/>
    <w:rsid w:val="00AC0FB3"/>
    <w:rsid w:val="00AC16FE"/>
    <w:rsid w:val="00AC1D6A"/>
    <w:rsid w:val="00AC22A0"/>
    <w:rsid w:val="00AC29D0"/>
    <w:rsid w:val="00AC72EC"/>
    <w:rsid w:val="00AC74ED"/>
    <w:rsid w:val="00AC7524"/>
    <w:rsid w:val="00AD07A2"/>
    <w:rsid w:val="00AD1BCE"/>
    <w:rsid w:val="00AD1EB0"/>
    <w:rsid w:val="00AD3CD1"/>
    <w:rsid w:val="00AD4546"/>
    <w:rsid w:val="00AD69D0"/>
    <w:rsid w:val="00AE1D66"/>
    <w:rsid w:val="00AE314B"/>
    <w:rsid w:val="00AE3D41"/>
    <w:rsid w:val="00AE443A"/>
    <w:rsid w:val="00AE4CFF"/>
    <w:rsid w:val="00AE66D3"/>
    <w:rsid w:val="00AE721B"/>
    <w:rsid w:val="00AF0521"/>
    <w:rsid w:val="00AF1707"/>
    <w:rsid w:val="00AF17E6"/>
    <w:rsid w:val="00AF1FC6"/>
    <w:rsid w:val="00AF2D56"/>
    <w:rsid w:val="00AF34C8"/>
    <w:rsid w:val="00AF4C60"/>
    <w:rsid w:val="00AF5607"/>
    <w:rsid w:val="00AF5870"/>
    <w:rsid w:val="00AF58DD"/>
    <w:rsid w:val="00AF6658"/>
    <w:rsid w:val="00B0036E"/>
    <w:rsid w:val="00B00E13"/>
    <w:rsid w:val="00B01760"/>
    <w:rsid w:val="00B027B0"/>
    <w:rsid w:val="00B0547E"/>
    <w:rsid w:val="00B0650A"/>
    <w:rsid w:val="00B06993"/>
    <w:rsid w:val="00B069DF"/>
    <w:rsid w:val="00B11549"/>
    <w:rsid w:val="00B128B3"/>
    <w:rsid w:val="00B12E7B"/>
    <w:rsid w:val="00B13C78"/>
    <w:rsid w:val="00B14AFA"/>
    <w:rsid w:val="00B14D0E"/>
    <w:rsid w:val="00B15517"/>
    <w:rsid w:val="00B1598A"/>
    <w:rsid w:val="00B166E4"/>
    <w:rsid w:val="00B16745"/>
    <w:rsid w:val="00B1799A"/>
    <w:rsid w:val="00B17FF4"/>
    <w:rsid w:val="00B2115A"/>
    <w:rsid w:val="00B2163D"/>
    <w:rsid w:val="00B2214C"/>
    <w:rsid w:val="00B22474"/>
    <w:rsid w:val="00B2423F"/>
    <w:rsid w:val="00B244BE"/>
    <w:rsid w:val="00B2562F"/>
    <w:rsid w:val="00B31722"/>
    <w:rsid w:val="00B3202A"/>
    <w:rsid w:val="00B3207B"/>
    <w:rsid w:val="00B32B42"/>
    <w:rsid w:val="00B343C9"/>
    <w:rsid w:val="00B3517B"/>
    <w:rsid w:val="00B358D3"/>
    <w:rsid w:val="00B36184"/>
    <w:rsid w:val="00B36FF6"/>
    <w:rsid w:val="00B37416"/>
    <w:rsid w:val="00B40F7F"/>
    <w:rsid w:val="00B418D0"/>
    <w:rsid w:val="00B46B35"/>
    <w:rsid w:val="00B475D5"/>
    <w:rsid w:val="00B53D7F"/>
    <w:rsid w:val="00B545F0"/>
    <w:rsid w:val="00B54C1A"/>
    <w:rsid w:val="00B54E96"/>
    <w:rsid w:val="00B57F0A"/>
    <w:rsid w:val="00B60C50"/>
    <w:rsid w:val="00B619EE"/>
    <w:rsid w:val="00B61D2B"/>
    <w:rsid w:val="00B63DFF"/>
    <w:rsid w:val="00B63FAC"/>
    <w:rsid w:val="00B700BB"/>
    <w:rsid w:val="00B70A58"/>
    <w:rsid w:val="00B71D75"/>
    <w:rsid w:val="00B72709"/>
    <w:rsid w:val="00B72843"/>
    <w:rsid w:val="00B72F1A"/>
    <w:rsid w:val="00B735DD"/>
    <w:rsid w:val="00B7375E"/>
    <w:rsid w:val="00B74AFA"/>
    <w:rsid w:val="00B74FA5"/>
    <w:rsid w:val="00B75743"/>
    <w:rsid w:val="00B75868"/>
    <w:rsid w:val="00B77334"/>
    <w:rsid w:val="00B77AD1"/>
    <w:rsid w:val="00B77EE0"/>
    <w:rsid w:val="00B77F07"/>
    <w:rsid w:val="00B80A1D"/>
    <w:rsid w:val="00B80D6A"/>
    <w:rsid w:val="00B80E32"/>
    <w:rsid w:val="00B82634"/>
    <w:rsid w:val="00B86494"/>
    <w:rsid w:val="00B868B7"/>
    <w:rsid w:val="00B86A7F"/>
    <w:rsid w:val="00B86BC0"/>
    <w:rsid w:val="00B87844"/>
    <w:rsid w:val="00B87AFA"/>
    <w:rsid w:val="00B90586"/>
    <w:rsid w:val="00B92330"/>
    <w:rsid w:val="00B92A40"/>
    <w:rsid w:val="00B930D6"/>
    <w:rsid w:val="00B94269"/>
    <w:rsid w:val="00B94379"/>
    <w:rsid w:val="00B94E79"/>
    <w:rsid w:val="00B966BC"/>
    <w:rsid w:val="00BA11CC"/>
    <w:rsid w:val="00BA12EC"/>
    <w:rsid w:val="00BA14F6"/>
    <w:rsid w:val="00BA1A4C"/>
    <w:rsid w:val="00BA37FC"/>
    <w:rsid w:val="00BA39F8"/>
    <w:rsid w:val="00BA6BA5"/>
    <w:rsid w:val="00BA6C85"/>
    <w:rsid w:val="00BB06C3"/>
    <w:rsid w:val="00BB1321"/>
    <w:rsid w:val="00BB2B3A"/>
    <w:rsid w:val="00BB3742"/>
    <w:rsid w:val="00BB4872"/>
    <w:rsid w:val="00BB4BB6"/>
    <w:rsid w:val="00BB585B"/>
    <w:rsid w:val="00BB7197"/>
    <w:rsid w:val="00BC0837"/>
    <w:rsid w:val="00BC16F9"/>
    <w:rsid w:val="00BC323D"/>
    <w:rsid w:val="00BC32E1"/>
    <w:rsid w:val="00BC4F4B"/>
    <w:rsid w:val="00BC5C16"/>
    <w:rsid w:val="00BC5D2A"/>
    <w:rsid w:val="00BC7234"/>
    <w:rsid w:val="00BD0482"/>
    <w:rsid w:val="00BD3440"/>
    <w:rsid w:val="00BD43B4"/>
    <w:rsid w:val="00BD4426"/>
    <w:rsid w:val="00BD48F5"/>
    <w:rsid w:val="00BD4E9E"/>
    <w:rsid w:val="00BD6B33"/>
    <w:rsid w:val="00BD748A"/>
    <w:rsid w:val="00BE3856"/>
    <w:rsid w:val="00BE39FD"/>
    <w:rsid w:val="00BE5D70"/>
    <w:rsid w:val="00BE734C"/>
    <w:rsid w:val="00BF012C"/>
    <w:rsid w:val="00BF0744"/>
    <w:rsid w:val="00BF237A"/>
    <w:rsid w:val="00BF5C0F"/>
    <w:rsid w:val="00C00A22"/>
    <w:rsid w:val="00C044FA"/>
    <w:rsid w:val="00C051C5"/>
    <w:rsid w:val="00C05211"/>
    <w:rsid w:val="00C069C9"/>
    <w:rsid w:val="00C131B3"/>
    <w:rsid w:val="00C13E9E"/>
    <w:rsid w:val="00C14CA2"/>
    <w:rsid w:val="00C14EB9"/>
    <w:rsid w:val="00C14FDB"/>
    <w:rsid w:val="00C156C0"/>
    <w:rsid w:val="00C15E3D"/>
    <w:rsid w:val="00C16070"/>
    <w:rsid w:val="00C160BB"/>
    <w:rsid w:val="00C16466"/>
    <w:rsid w:val="00C178BC"/>
    <w:rsid w:val="00C2108F"/>
    <w:rsid w:val="00C2147A"/>
    <w:rsid w:val="00C222DE"/>
    <w:rsid w:val="00C2331B"/>
    <w:rsid w:val="00C235AD"/>
    <w:rsid w:val="00C246A7"/>
    <w:rsid w:val="00C25330"/>
    <w:rsid w:val="00C259CD"/>
    <w:rsid w:val="00C27A1D"/>
    <w:rsid w:val="00C3074A"/>
    <w:rsid w:val="00C31736"/>
    <w:rsid w:val="00C323F5"/>
    <w:rsid w:val="00C32624"/>
    <w:rsid w:val="00C3421E"/>
    <w:rsid w:val="00C344C6"/>
    <w:rsid w:val="00C3482F"/>
    <w:rsid w:val="00C34BD8"/>
    <w:rsid w:val="00C35219"/>
    <w:rsid w:val="00C36BA2"/>
    <w:rsid w:val="00C404F9"/>
    <w:rsid w:val="00C413F2"/>
    <w:rsid w:val="00C450F7"/>
    <w:rsid w:val="00C51FCF"/>
    <w:rsid w:val="00C52155"/>
    <w:rsid w:val="00C52954"/>
    <w:rsid w:val="00C52F52"/>
    <w:rsid w:val="00C545C1"/>
    <w:rsid w:val="00C54830"/>
    <w:rsid w:val="00C56620"/>
    <w:rsid w:val="00C60B55"/>
    <w:rsid w:val="00C63299"/>
    <w:rsid w:val="00C633C1"/>
    <w:rsid w:val="00C637EE"/>
    <w:rsid w:val="00C63FD0"/>
    <w:rsid w:val="00C6477B"/>
    <w:rsid w:val="00C64C23"/>
    <w:rsid w:val="00C669F6"/>
    <w:rsid w:val="00C66C8D"/>
    <w:rsid w:val="00C67966"/>
    <w:rsid w:val="00C716E6"/>
    <w:rsid w:val="00C725DB"/>
    <w:rsid w:val="00C7516D"/>
    <w:rsid w:val="00C75609"/>
    <w:rsid w:val="00C820A3"/>
    <w:rsid w:val="00C83A80"/>
    <w:rsid w:val="00C849F5"/>
    <w:rsid w:val="00C905F4"/>
    <w:rsid w:val="00C90E39"/>
    <w:rsid w:val="00C91A26"/>
    <w:rsid w:val="00C91B88"/>
    <w:rsid w:val="00C91D80"/>
    <w:rsid w:val="00C92DFD"/>
    <w:rsid w:val="00C936AA"/>
    <w:rsid w:val="00C940D7"/>
    <w:rsid w:val="00C94882"/>
    <w:rsid w:val="00C968CD"/>
    <w:rsid w:val="00C97CB7"/>
    <w:rsid w:val="00CA139A"/>
    <w:rsid w:val="00CA156B"/>
    <w:rsid w:val="00CA1849"/>
    <w:rsid w:val="00CA1A0E"/>
    <w:rsid w:val="00CA27FF"/>
    <w:rsid w:val="00CA4BD3"/>
    <w:rsid w:val="00CA4CB9"/>
    <w:rsid w:val="00CA5221"/>
    <w:rsid w:val="00CA56A7"/>
    <w:rsid w:val="00CA5A3D"/>
    <w:rsid w:val="00CB1267"/>
    <w:rsid w:val="00CB2FF0"/>
    <w:rsid w:val="00CB5171"/>
    <w:rsid w:val="00CB5C2E"/>
    <w:rsid w:val="00CB5C63"/>
    <w:rsid w:val="00CB60B4"/>
    <w:rsid w:val="00CB669D"/>
    <w:rsid w:val="00CB6784"/>
    <w:rsid w:val="00CB6816"/>
    <w:rsid w:val="00CB7D1C"/>
    <w:rsid w:val="00CB7F31"/>
    <w:rsid w:val="00CC06D3"/>
    <w:rsid w:val="00CC09D2"/>
    <w:rsid w:val="00CC3485"/>
    <w:rsid w:val="00CC34A0"/>
    <w:rsid w:val="00CC418E"/>
    <w:rsid w:val="00CC498F"/>
    <w:rsid w:val="00CC699C"/>
    <w:rsid w:val="00CC6B7B"/>
    <w:rsid w:val="00CC74AA"/>
    <w:rsid w:val="00CC74EE"/>
    <w:rsid w:val="00CC7F46"/>
    <w:rsid w:val="00CD0A56"/>
    <w:rsid w:val="00CD28D5"/>
    <w:rsid w:val="00CD32A2"/>
    <w:rsid w:val="00CD529E"/>
    <w:rsid w:val="00CD5B22"/>
    <w:rsid w:val="00CD5F46"/>
    <w:rsid w:val="00CD798F"/>
    <w:rsid w:val="00CD7E6A"/>
    <w:rsid w:val="00CE0F24"/>
    <w:rsid w:val="00CE11F2"/>
    <w:rsid w:val="00CE15A1"/>
    <w:rsid w:val="00CE1BC1"/>
    <w:rsid w:val="00CE3ACA"/>
    <w:rsid w:val="00CE588C"/>
    <w:rsid w:val="00CE6E72"/>
    <w:rsid w:val="00CF0C74"/>
    <w:rsid w:val="00CF3470"/>
    <w:rsid w:val="00CF410D"/>
    <w:rsid w:val="00CF45C0"/>
    <w:rsid w:val="00CF534F"/>
    <w:rsid w:val="00CF73F6"/>
    <w:rsid w:val="00D00D8E"/>
    <w:rsid w:val="00D00DFC"/>
    <w:rsid w:val="00D01890"/>
    <w:rsid w:val="00D02679"/>
    <w:rsid w:val="00D04971"/>
    <w:rsid w:val="00D066A9"/>
    <w:rsid w:val="00D06A73"/>
    <w:rsid w:val="00D06D29"/>
    <w:rsid w:val="00D06D2D"/>
    <w:rsid w:val="00D10309"/>
    <w:rsid w:val="00D12CC6"/>
    <w:rsid w:val="00D12F19"/>
    <w:rsid w:val="00D147B3"/>
    <w:rsid w:val="00D14BB5"/>
    <w:rsid w:val="00D16B17"/>
    <w:rsid w:val="00D2071E"/>
    <w:rsid w:val="00D2127D"/>
    <w:rsid w:val="00D21D72"/>
    <w:rsid w:val="00D22D0D"/>
    <w:rsid w:val="00D22E73"/>
    <w:rsid w:val="00D235AD"/>
    <w:rsid w:val="00D23C80"/>
    <w:rsid w:val="00D24DEC"/>
    <w:rsid w:val="00D25480"/>
    <w:rsid w:val="00D26375"/>
    <w:rsid w:val="00D26722"/>
    <w:rsid w:val="00D27828"/>
    <w:rsid w:val="00D3043B"/>
    <w:rsid w:val="00D30473"/>
    <w:rsid w:val="00D311BA"/>
    <w:rsid w:val="00D3127D"/>
    <w:rsid w:val="00D329C7"/>
    <w:rsid w:val="00D33D92"/>
    <w:rsid w:val="00D33F52"/>
    <w:rsid w:val="00D346E2"/>
    <w:rsid w:val="00D35AF5"/>
    <w:rsid w:val="00D36AD0"/>
    <w:rsid w:val="00D40375"/>
    <w:rsid w:val="00D450D9"/>
    <w:rsid w:val="00D46007"/>
    <w:rsid w:val="00D537F1"/>
    <w:rsid w:val="00D5507E"/>
    <w:rsid w:val="00D559EB"/>
    <w:rsid w:val="00D55BB6"/>
    <w:rsid w:val="00D56E60"/>
    <w:rsid w:val="00D615F6"/>
    <w:rsid w:val="00D62B75"/>
    <w:rsid w:val="00D65E82"/>
    <w:rsid w:val="00D66226"/>
    <w:rsid w:val="00D6707E"/>
    <w:rsid w:val="00D671B6"/>
    <w:rsid w:val="00D67C60"/>
    <w:rsid w:val="00D67E1B"/>
    <w:rsid w:val="00D700CE"/>
    <w:rsid w:val="00D70B6D"/>
    <w:rsid w:val="00D72FD6"/>
    <w:rsid w:val="00D74502"/>
    <w:rsid w:val="00D75AE2"/>
    <w:rsid w:val="00D76023"/>
    <w:rsid w:val="00D77126"/>
    <w:rsid w:val="00D77BB0"/>
    <w:rsid w:val="00D8017B"/>
    <w:rsid w:val="00D8131F"/>
    <w:rsid w:val="00D81844"/>
    <w:rsid w:val="00D8194B"/>
    <w:rsid w:val="00D825E1"/>
    <w:rsid w:val="00D82C3B"/>
    <w:rsid w:val="00D82FCE"/>
    <w:rsid w:val="00D8310F"/>
    <w:rsid w:val="00D836BC"/>
    <w:rsid w:val="00D845A4"/>
    <w:rsid w:val="00D84A13"/>
    <w:rsid w:val="00D8504B"/>
    <w:rsid w:val="00D8757F"/>
    <w:rsid w:val="00D90355"/>
    <w:rsid w:val="00D91851"/>
    <w:rsid w:val="00D92943"/>
    <w:rsid w:val="00D9313A"/>
    <w:rsid w:val="00D937AE"/>
    <w:rsid w:val="00D938C6"/>
    <w:rsid w:val="00D93A80"/>
    <w:rsid w:val="00D95583"/>
    <w:rsid w:val="00D96D26"/>
    <w:rsid w:val="00DA02A3"/>
    <w:rsid w:val="00DA0EF5"/>
    <w:rsid w:val="00DA2926"/>
    <w:rsid w:val="00DA2C6B"/>
    <w:rsid w:val="00DA35D8"/>
    <w:rsid w:val="00DA3DDE"/>
    <w:rsid w:val="00DA4BF7"/>
    <w:rsid w:val="00DA5F91"/>
    <w:rsid w:val="00DA6914"/>
    <w:rsid w:val="00DA7D72"/>
    <w:rsid w:val="00DB1706"/>
    <w:rsid w:val="00DB1A7A"/>
    <w:rsid w:val="00DB22C4"/>
    <w:rsid w:val="00DB32F4"/>
    <w:rsid w:val="00DB4273"/>
    <w:rsid w:val="00DB527C"/>
    <w:rsid w:val="00DB53DD"/>
    <w:rsid w:val="00DB6B7B"/>
    <w:rsid w:val="00DB7449"/>
    <w:rsid w:val="00DB7FB1"/>
    <w:rsid w:val="00DC04E0"/>
    <w:rsid w:val="00DC0518"/>
    <w:rsid w:val="00DC12B1"/>
    <w:rsid w:val="00DC147C"/>
    <w:rsid w:val="00DC1899"/>
    <w:rsid w:val="00DC3A83"/>
    <w:rsid w:val="00DC4650"/>
    <w:rsid w:val="00DC6746"/>
    <w:rsid w:val="00DC67AB"/>
    <w:rsid w:val="00DC6F76"/>
    <w:rsid w:val="00DD0F8D"/>
    <w:rsid w:val="00DD2BC3"/>
    <w:rsid w:val="00DD4795"/>
    <w:rsid w:val="00DD55CF"/>
    <w:rsid w:val="00DD5C40"/>
    <w:rsid w:val="00DD67E0"/>
    <w:rsid w:val="00DE11A4"/>
    <w:rsid w:val="00DE12A3"/>
    <w:rsid w:val="00DE19F3"/>
    <w:rsid w:val="00DE4F0D"/>
    <w:rsid w:val="00DE61A4"/>
    <w:rsid w:val="00DE6FDC"/>
    <w:rsid w:val="00DE7BB2"/>
    <w:rsid w:val="00DE7BFA"/>
    <w:rsid w:val="00DE7E7D"/>
    <w:rsid w:val="00DF0028"/>
    <w:rsid w:val="00DF2DAB"/>
    <w:rsid w:val="00DF417F"/>
    <w:rsid w:val="00DF5E94"/>
    <w:rsid w:val="00DF66F5"/>
    <w:rsid w:val="00DF67B4"/>
    <w:rsid w:val="00DF7E65"/>
    <w:rsid w:val="00E01AD9"/>
    <w:rsid w:val="00E01F4A"/>
    <w:rsid w:val="00E03230"/>
    <w:rsid w:val="00E03DDE"/>
    <w:rsid w:val="00E047F1"/>
    <w:rsid w:val="00E04C40"/>
    <w:rsid w:val="00E05D23"/>
    <w:rsid w:val="00E070DB"/>
    <w:rsid w:val="00E07BB2"/>
    <w:rsid w:val="00E07E57"/>
    <w:rsid w:val="00E11779"/>
    <w:rsid w:val="00E11C66"/>
    <w:rsid w:val="00E12306"/>
    <w:rsid w:val="00E14FD2"/>
    <w:rsid w:val="00E15009"/>
    <w:rsid w:val="00E150A0"/>
    <w:rsid w:val="00E155CE"/>
    <w:rsid w:val="00E16145"/>
    <w:rsid w:val="00E164BE"/>
    <w:rsid w:val="00E167BA"/>
    <w:rsid w:val="00E176A2"/>
    <w:rsid w:val="00E202F5"/>
    <w:rsid w:val="00E214C4"/>
    <w:rsid w:val="00E25183"/>
    <w:rsid w:val="00E258D3"/>
    <w:rsid w:val="00E259D9"/>
    <w:rsid w:val="00E26CEF"/>
    <w:rsid w:val="00E26D03"/>
    <w:rsid w:val="00E274B5"/>
    <w:rsid w:val="00E274D7"/>
    <w:rsid w:val="00E300ED"/>
    <w:rsid w:val="00E30364"/>
    <w:rsid w:val="00E32809"/>
    <w:rsid w:val="00E336CC"/>
    <w:rsid w:val="00E33D6C"/>
    <w:rsid w:val="00E357F1"/>
    <w:rsid w:val="00E363E9"/>
    <w:rsid w:val="00E36731"/>
    <w:rsid w:val="00E40C64"/>
    <w:rsid w:val="00E41B94"/>
    <w:rsid w:val="00E41D1C"/>
    <w:rsid w:val="00E42542"/>
    <w:rsid w:val="00E42992"/>
    <w:rsid w:val="00E446BA"/>
    <w:rsid w:val="00E45D54"/>
    <w:rsid w:val="00E474B1"/>
    <w:rsid w:val="00E475CB"/>
    <w:rsid w:val="00E515A3"/>
    <w:rsid w:val="00E53505"/>
    <w:rsid w:val="00E53B4D"/>
    <w:rsid w:val="00E54613"/>
    <w:rsid w:val="00E5482B"/>
    <w:rsid w:val="00E55452"/>
    <w:rsid w:val="00E555F1"/>
    <w:rsid w:val="00E55643"/>
    <w:rsid w:val="00E60FE8"/>
    <w:rsid w:val="00E61ABA"/>
    <w:rsid w:val="00E61E4E"/>
    <w:rsid w:val="00E62152"/>
    <w:rsid w:val="00E62746"/>
    <w:rsid w:val="00E65E78"/>
    <w:rsid w:val="00E6627D"/>
    <w:rsid w:val="00E721BF"/>
    <w:rsid w:val="00E7350E"/>
    <w:rsid w:val="00E73610"/>
    <w:rsid w:val="00E7426D"/>
    <w:rsid w:val="00E748A1"/>
    <w:rsid w:val="00E76D71"/>
    <w:rsid w:val="00E77E84"/>
    <w:rsid w:val="00E826D1"/>
    <w:rsid w:val="00E8319B"/>
    <w:rsid w:val="00E83896"/>
    <w:rsid w:val="00E83E45"/>
    <w:rsid w:val="00E84B70"/>
    <w:rsid w:val="00E91468"/>
    <w:rsid w:val="00E91B11"/>
    <w:rsid w:val="00E91B2D"/>
    <w:rsid w:val="00E94FF5"/>
    <w:rsid w:val="00E9602A"/>
    <w:rsid w:val="00E960E0"/>
    <w:rsid w:val="00E96780"/>
    <w:rsid w:val="00E9731B"/>
    <w:rsid w:val="00EA1E73"/>
    <w:rsid w:val="00EA21FE"/>
    <w:rsid w:val="00EA3E26"/>
    <w:rsid w:val="00EA4749"/>
    <w:rsid w:val="00EA494F"/>
    <w:rsid w:val="00EA5C1B"/>
    <w:rsid w:val="00EA73BC"/>
    <w:rsid w:val="00EA7431"/>
    <w:rsid w:val="00EA7EDA"/>
    <w:rsid w:val="00EB12AC"/>
    <w:rsid w:val="00EB1349"/>
    <w:rsid w:val="00EB1FA2"/>
    <w:rsid w:val="00EB2136"/>
    <w:rsid w:val="00EB2244"/>
    <w:rsid w:val="00EB2E2C"/>
    <w:rsid w:val="00EB366B"/>
    <w:rsid w:val="00EB3B58"/>
    <w:rsid w:val="00EB43B1"/>
    <w:rsid w:val="00EB50B2"/>
    <w:rsid w:val="00EB542A"/>
    <w:rsid w:val="00EC1BBF"/>
    <w:rsid w:val="00EC2A8E"/>
    <w:rsid w:val="00EC3367"/>
    <w:rsid w:val="00EC58E2"/>
    <w:rsid w:val="00EC5E68"/>
    <w:rsid w:val="00EC5E8F"/>
    <w:rsid w:val="00EC6A1B"/>
    <w:rsid w:val="00EC6F84"/>
    <w:rsid w:val="00ED0723"/>
    <w:rsid w:val="00ED0A1B"/>
    <w:rsid w:val="00ED204C"/>
    <w:rsid w:val="00ED20AB"/>
    <w:rsid w:val="00ED3E58"/>
    <w:rsid w:val="00ED5F45"/>
    <w:rsid w:val="00EE1309"/>
    <w:rsid w:val="00EE14CB"/>
    <w:rsid w:val="00EE2532"/>
    <w:rsid w:val="00EE352E"/>
    <w:rsid w:val="00EE636F"/>
    <w:rsid w:val="00EE6BCD"/>
    <w:rsid w:val="00EE7892"/>
    <w:rsid w:val="00EF0AC9"/>
    <w:rsid w:val="00EF35C7"/>
    <w:rsid w:val="00EF485F"/>
    <w:rsid w:val="00EF6BB6"/>
    <w:rsid w:val="00F002AB"/>
    <w:rsid w:val="00F00520"/>
    <w:rsid w:val="00F00BEC"/>
    <w:rsid w:val="00F01988"/>
    <w:rsid w:val="00F027EC"/>
    <w:rsid w:val="00F049C4"/>
    <w:rsid w:val="00F05DFE"/>
    <w:rsid w:val="00F06622"/>
    <w:rsid w:val="00F06A5E"/>
    <w:rsid w:val="00F10A01"/>
    <w:rsid w:val="00F1154A"/>
    <w:rsid w:val="00F1169A"/>
    <w:rsid w:val="00F11D28"/>
    <w:rsid w:val="00F14998"/>
    <w:rsid w:val="00F15532"/>
    <w:rsid w:val="00F15A1E"/>
    <w:rsid w:val="00F17B60"/>
    <w:rsid w:val="00F20312"/>
    <w:rsid w:val="00F228C6"/>
    <w:rsid w:val="00F23ADC"/>
    <w:rsid w:val="00F23B47"/>
    <w:rsid w:val="00F25B7C"/>
    <w:rsid w:val="00F31558"/>
    <w:rsid w:val="00F3169D"/>
    <w:rsid w:val="00F32F80"/>
    <w:rsid w:val="00F33993"/>
    <w:rsid w:val="00F3573D"/>
    <w:rsid w:val="00F36354"/>
    <w:rsid w:val="00F37572"/>
    <w:rsid w:val="00F40293"/>
    <w:rsid w:val="00F40536"/>
    <w:rsid w:val="00F40D83"/>
    <w:rsid w:val="00F416BC"/>
    <w:rsid w:val="00F41954"/>
    <w:rsid w:val="00F435AF"/>
    <w:rsid w:val="00F43D86"/>
    <w:rsid w:val="00F4417E"/>
    <w:rsid w:val="00F4455F"/>
    <w:rsid w:val="00F44739"/>
    <w:rsid w:val="00F447BF"/>
    <w:rsid w:val="00F44CF2"/>
    <w:rsid w:val="00F46FF4"/>
    <w:rsid w:val="00F47406"/>
    <w:rsid w:val="00F47EEC"/>
    <w:rsid w:val="00F47FA8"/>
    <w:rsid w:val="00F5222F"/>
    <w:rsid w:val="00F528EB"/>
    <w:rsid w:val="00F54FD5"/>
    <w:rsid w:val="00F5534D"/>
    <w:rsid w:val="00F55D59"/>
    <w:rsid w:val="00F55FA1"/>
    <w:rsid w:val="00F57B88"/>
    <w:rsid w:val="00F57EC7"/>
    <w:rsid w:val="00F60D03"/>
    <w:rsid w:val="00F61C46"/>
    <w:rsid w:val="00F63BA0"/>
    <w:rsid w:val="00F64255"/>
    <w:rsid w:val="00F6612F"/>
    <w:rsid w:val="00F67E84"/>
    <w:rsid w:val="00F702AA"/>
    <w:rsid w:val="00F72F62"/>
    <w:rsid w:val="00F735F2"/>
    <w:rsid w:val="00F742A1"/>
    <w:rsid w:val="00F74473"/>
    <w:rsid w:val="00F745A3"/>
    <w:rsid w:val="00F750B7"/>
    <w:rsid w:val="00F75171"/>
    <w:rsid w:val="00F80511"/>
    <w:rsid w:val="00F8116B"/>
    <w:rsid w:val="00F83273"/>
    <w:rsid w:val="00F8346E"/>
    <w:rsid w:val="00F836A9"/>
    <w:rsid w:val="00F8494A"/>
    <w:rsid w:val="00F8495E"/>
    <w:rsid w:val="00F84B01"/>
    <w:rsid w:val="00F85D28"/>
    <w:rsid w:val="00F85F8C"/>
    <w:rsid w:val="00F90025"/>
    <w:rsid w:val="00F9040D"/>
    <w:rsid w:val="00F90E5E"/>
    <w:rsid w:val="00F92621"/>
    <w:rsid w:val="00F939AB"/>
    <w:rsid w:val="00F93C7A"/>
    <w:rsid w:val="00F93E63"/>
    <w:rsid w:val="00F954F8"/>
    <w:rsid w:val="00F963B8"/>
    <w:rsid w:val="00F96695"/>
    <w:rsid w:val="00F96A9D"/>
    <w:rsid w:val="00FA05EE"/>
    <w:rsid w:val="00FA20BE"/>
    <w:rsid w:val="00FA3972"/>
    <w:rsid w:val="00FA7116"/>
    <w:rsid w:val="00FB0B72"/>
    <w:rsid w:val="00FB14C0"/>
    <w:rsid w:val="00FB1C16"/>
    <w:rsid w:val="00FB2252"/>
    <w:rsid w:val="00FB3DC0"/>
    <w:rsid w:val="00FB4B15"/>
    <w:rsid w:val="00FB545F"/>
    <w:rsid w:val="00FB7C71"/>
    <w:rsid w:val="00FB7E6E"/>
    <w:rsid w:val="00FC0171"/>
    <w:rsid w:val="00FC057F"/>
    <w:rsid w:val="00FC1D81"/>
    <w:rsid w:val="00FC22FC"/>
    <w:rsid w:val="00FC290E"/>
    <w:rsid w:val="00FC2C6F"/>
    <w:rsid w:val="00FC4EA4"/>
    <w:rsid w:val="00FC5731"/>
    <w:rsid w:val="00FC6ED7"/>
    <w:rsid w:val="00FD0014"/>
    <w:rsid w:val="00FD1E9E"/>
    <w:rsid w:val="00FD2483"/>
    <w:rsid w:val="00FE0328"/>
    <w:rsid w:val="00FE1D4B"/>
    <w:rsid w:val="00FE206A"/>
    <w:rsid w:val="00FE50BC"/>
    <w:rsid w:val="00FE5CEB"/>
    <w:rsid w:val="00FE67E3"/>
    <w:rsid w:val="00FE6DBB"/>
    <w:rsid w:val="00FE7522"/>
    <w:rsid w:val="00FE7A6F"/>
    <w:rsid w:val="00FE7CE4"/>
    <w:rsid w:val="00FE7F76"/>
    <w:rsid w:val="00FF034A"/>
    <w:rsid w:val="00FF0E79"/>
    <w:rsid w:val="00FF2AFF"/>
    <w:rsid w:val="00FF3DEA"/>
    <w:rsid w:val="00FF685D"/>
    <w:rsid w:val="00FF7940"/>
    <w:rsid w:val="010C559C"/>
    <w:rsid w:val="01CA2191"/>
    <w:rsid w:val="01F377B8"/>
    <w:rsid w:val="01F96B7F"/>
    <w:rsid w:val="025D08EA"/>
    <w:rsid w:val="026B6E2E"/>
    <w:rsid w:val="028916DF"/>
    <w:rsid w:val="02BF0D61"/>
    <w:rsid w:val="031B100F"/>
    <w:rsid w:val="0348159A"/>
    <w:rsid w:val="0363674D"/>
    <w:rsid w:val="03D42E2E"/>
    <w:rsid w:val="044C3753"/>
    <w:rsid w:val="047F4C4F"/>
    <w:rsid w:val="04A3470F"/>
    <w:rsid w:val="04CF2FE0"/>
    <w:rsid w:val="04F0325B"/>
    <w:rsid w:val="04F54D11"/>
    <w:rsid w:val="04FF212C"/>
    <w:rsid w:val="050060E5"/>
    <w:rsid w:val="051212AB"/>
    <w:rsid w:val="05341DD6"/>
    <w:rsid w:val="061177D7"/>
    <w:rsid w:val="0620229C"/>
    <w:rsid w:val="062E2CC9"/>
    <w:rsid w:val="064C75F3"/>
    <w:rsid w:val="06523C1B"/>
    <w:rsid w:val="068376C5"/>
    <w:rsid w:val="070B300A"/>
    <w:rsid w:val="077706A0"/>
    <w:rsid w:val="07CA6A21"/>
    <w:rsid w:val="07E20B4A"/>
    <w:rsid w:val="07E51AAD"/>
    <w:rsid w:val="081C4DA3"/>
    <w:rsid w:val="0828743C"/>
    <w:rsid w:val="092624E5"/>
    <w:rsid w:val="096737B5"/>
    <w:rsid w:val="097B2715"/>
    <w:rsid w:val="097E7AC3"/>
    <w:rsid w:val="098B21D5"/>
    <w:rsid w:val="09C0632E"/>
    <w:rsid w:val="09E90B72"/>
    <w:rsid w:val="09EB0ED1"/>
    <w:rsid w:val="0A075926"/>
    <w:rsid w:val="0A110938"/>
    <w:rsid w:val="0A460F85"/>
    <w:rsid w:val="0ABA792A"/>
    <w:rsid w:val="0AC83A2B"/>
    <w:rsid w:val="0B5B1064"/>
    <w:rsid w:val="0B5F1985"/>
    <w:rsid w:val="0B8769D7"/>
    <w:rsid w:val="0B9A670B"/>
    <w:rsid w:val="0BAD65FD"/>
    <w:rsid w:val="0BCC57CC"/>
    <w:rsid w:val="0C1D1A50"/>
    <w:rsid w:val="0CDD71F7"/>
    <w:rsid w:val="0CE33146"/>
    <w:rsid w:val="0D054058"/>
    <w:rsid w:val="0D2E1801"/>
    <w:rsid w:val="0D361931"/>
    <w:rsid w:val="0D4C1C87"/>
    <w:rsid w:val="0D7A4A46"/>
    <w:rsid w:val="0DA90E87"/>
    <w:rsid w:val="0DEA0FA8"/>
    <w:rsid w:val="0E8343EA"/>
    <w:rsid w:val="0EF50FDD"/>
    <w:rsid w:val="0F256B68"/>
    <w:rsid w:val="0F933CA0"/>
    <w:rsid w:val="0FAB4043"/>
    <w:rsid w:val="0FF32178"/>
    <w:rsid w:val="101E6A78"/>
    <w:rsid w:val="10426C3C"/>
    <w:rsid w:val="10741C20"/>
    <w:rsid w:val="10797237"/>
    <w:rsid w:val="10825364"/>
    <w:rsid w:val="10F92125"/>
    <w:rsid w:val="11146521"/>
    <w:rsid w:val="11206FB7"/>
    <w:rsid w:val="114F1D45"/>
    <w:rsid w:val="11A622AD"/>
    <w:rsid w:val="11C52008"/>
    <w:rsid w:val="11D16BFE"/>
    <w:rsid w:val="125013F6"/>
    <w:rsid w:val="12611B12"/>
    <w:rsid w:val="12D5055C"/>
    <w:rsid w:val="13FD1F2D"/>
    <w:rsid w:val="14101C60"/>
    <w:rsid w:val="14140217"/>
    <w:rsid w:val="14540A10"/>
    <w:rsid w:val="14BF5434"/>
    <w:rsid w:val="14D72A17"/>
    <w:rsid w:val="14DF145A"/>
    <w:rsid w:val="14DF3FA4"/>
    <w:rsid w:val="15176FB9"/>
    <w:rsid w:val="15227E9D"/>
    <w:rsid w:val="15660C23"/>
    <w:rsid w:val="15A81381"/>
    <w:rsid w:val="162172D7"/>
    <w:rsid w:val="16612C47"/>
    <w:rsid w:val="168517A5"/>
    <w:rsid w:val="17011D34"/>
    <w:rsid w:val="177E1BFB"/>
    <w:rsid w:val="17EC4792"/>
    <w:rsid w:val="1804388A"/>
    <w:rsid w:val="187B284B"/>
    <w:rsid w:val="18814EDA"/>
    <w:rsid w:val="189866C8"/>
    <w:rsid w:val="18C66D91"/>
    <w:rsid w:val="196849CC"/>
    <w:rsid w:val="19D454DE"/>
    <w:rsid w:val="1AD406F9"/>
    <w:rsid w:val="1AEE0858"/>
    <w:rsid w:val="1BCC23C1"/>
    <w:rsid w:val="1C7F2975"/>
    <w:rsid w:val="1C9613D9"/>
    <w:rsid w:val="1CB0746D"/>
    <w:rsid w:val="1CF414B8"/>
    <w:rsid w:val="1CF85987"/>
    <w:rsid w:val="1D055E67"/>
    <w:rsid w:val="1D28001A"/>
    <w:rsid w:val="1D5744D2"/>
    <w:rsid w:val="1D5C7193"/>
    <w:rsid w:val="1D6F0EDB"/>
    <w:rsid w:val="1D7D32D9"/>
    <w:rsid w:val="1E095621"/>
    <w:rsid w:val="1F0F7548"/>
    <w:rsid w:val="1F9203FB"/>
    <w:rsid w:val="1FB90F7C"/>
    <w:rsid w:val="20825C93"/>
    <w:rsid w:val="208337BA"/>
    <w:rsid w:val="21494A03"/>
    <w:rsid w:val="21797D59"/>
    <w:rsid w:val="21F01D50"/>
    <w:rsid w:val="22030DCB"/>
    <w:rsid w:val="223A0BCD"/>
    <w:rsid w:val="2240364C"/>
    <w:rsid w:val="22486A69"/>
    <w:rsid w:val="228D46E1"/>
    <w:rsid w:val="22934772"/>
    <w:rsid w:val="22BE4F7D"/>
    <w:rsid w:val="22D67A65"/>
    <w:rsid w:val="230349BE"/>
    <w:rsid w:val="236C49D9"/>
    <w:rsid w:val="23B402AC"/>
    <w:rsid w:val="23E90B1F"/>
    <w:rsid w:val="23ED7774"/>
    <w:rsid w:val="23FF7B30"/>
    <w:rsid w:val="241532A7"/>
    <w:rsid w:val="242A0B1C"/>
    <w:rsid w:val="24572F93"/>
    <w:rsid w:val="24900091"/>
    <w:rsid w:val="25007ACF"/>
    <w:rsid w:val="25076767"/>
    <w:rsid w:val="250A2E63"/>
    <w:rsid w:val="25103256"/>
    <w:rsid w:val="255B4D05"/>
    <w:rsid w:val="258204E4"/>
    <w:rsid w:val="25DC1A69"/>
    <w:rsid w:val="25FC6FA1"/>
    <w:rsid w:val="25FF47CA"/>
    <w:rsid w:val="26252122"/>
    <w:rsid w:val="263333A7"/>
    <w:rsid w:val="26443B3B"/>
    <w:rsid w:val="26B73A54"/>
    <w:rsid w:val="27160EE4"/>
    <w:rsid w:val="27235F7C"/>
    <w:rsid w:val="272627C3"/>
    <w:rsid w:val="27351CB2"/>
    <w:rsid w:val="27820A0E"/>
    <w:rsid w:val="27A110F5"/>
    <w:rsid w:val="27A90117"/>
    <w:rsid w:val="28294516"/>
    <w:rsid w:val="284E5244"/>
    <w:rsid w:val="284F7663"/>
    <w:rsid w:val="28705ED3"/>
    <w:rsid w:val="28725EFD"/>
    <w:rsid w:val="288B5901"/>
    <w:rsid w:val="28BC6175"/>
    <w:rsid w:val="29146C94"/>
    <w:rsid w:val="291D5E12"/>
    <w:rsid w:val="293821AA"/>
    <w:rsid w:val="294855A0"/>
    <w:rsid w:val="296F240F"/>
    <w:rsid w:val="29942232"/>
    <w:rsid w:val="29C94933"/>
    <w:rsid w:val="2A4E4E38"/>
    <w:rsid w:val="2A5561C7"/>
    <w:rsid w:val="2ADE1C06"/>
    <w:rsid w:val="2B1B2F6C"/>
    <w:rsid w:val="2B793DE2"/>
    <w:rsid w:val="2BAA609E"/>
    <w:rsid w:val="2BCE6231"/>
    <w:rsid w:val="2C115A10"/>
    <w:rsid w:val="2C4C1710"/>
    <w:rsid w:val="2CB76CC5"/>
    <w:rsid w:val="2CF00429"/>
    <w:rsid w:val="2D8A16BD"/>
    <w:rsid w:val="2DE6751E"/>
    <w:rsid w:val="2DF83A39"/>
    <w:rsid w:val="2E0B60C8"/>
    <w:rsid w:val="2E2C723F"/>
    <w:rsid w:val="2E4E7857"/>
    <w:rsid w:val="2E540BDC"/>
    <w:rsid w:val="2EB86D24"/>
    <w:rsid w:val="2F07677C"/>
    <w:rsid w:val="2F3E7229"/>
    <w:rsid w:val="2F894BDC"/>
    <w:rsid w:val="2FC11C09"/>
    <w:rsid w:val="31104BF6"/>
    <w:rsid w:val="318D4498"/>
    <w:rsid w:val="31A13AFD"/>
    <w:rsid w:val="31CB6D6E"/>
    <w:rsid w:val="31EF3FE2"/>
    <w:rsid w:val="322C1F03"/>
    <w:rsid w:val="3236068C"/>
    <w:rsid w:val="32B141B6"/>
    <w:rsid w:val="32BA2BE8"/>
    <w:rsid w:val="33957634"/>
    <w:rsid w:val="346C4839"/>
    <w:rsid w:val="34A20321"/>
    <w:rsid w:val="34D510DD"/>
    <w:rsid w:val="34EA00F5"/>
    <w:rsid w:val="35246EC1"/>
    <w:rsid w:val="353D7F83"/>
    <w:rsid w:val="35607CCA"/>
    <w:rsid w:val="3575596F"/>
    <w:rsid w:val="35C26B65"/>
    <w:rsid w:val="35CA189A"/>
    <w:rsid w:val="35D424BC"/>
    <w:rsid w:val="35E623C9"/>
    <w:rsid w:val="36301896"/>
    <w:rsid w:val="36857E34"/>
    <w:rsid w:val="368A5C6F"/>
    <w:rsid w:val="369A3C97"/>
    <w:rsid w:val="36B9329C"/>
    <w:rsid w:val="370B658B"/>
    <w:rsid w:val="37140DF7"/>
    <w:rsid w:val="37364227"/>
    <w:rsid w:val="375C743C"/>
    <w:rsid w:val="380E160D"/>
    <w:rsid w:val="381476C1"/>
    <w:rsid w:val="384B0C09"/>
    <w:rsid w:val="384C56AE"/>
    <w:rsid w:val="387A0870"/>
    <w:rsid w:val="387E2D8D"/>
    <w:rsid w:val="3883476E"/>
    <w:rsid w:val="38AD40AD"/>
    <w:rsid w:val="38DE382B"/>
    <w:rsid w:val="38E726E0"/>
    <w:rsid w:val="39240C19"/>
    <w:rsid w:val="3986014B"/>
    <w:rsid w:val="39C17EE1"/>
    <w:rsid w:val="39D37108"/>
    <w:rsid w:val="39EA164A"/>
    <w:rsid w:val="3A9E3867"/>
    <w:rsid w:val="3B950B19"/>
    <w:rsid w:val="3BA24FE4"/>
    <w:rsid w:val="3C0D04CB"/>
    <w:rsid w:val="3C281246"/>
    <w:rsid w:val="3C3E4D0D"/>
    <w:rsid w:val="3D3E0D74"/>
    <w:rsid w:val="3D8E0E1C"/>
    <w:rsid w:val="3DA14531"/>
    <w:rsid w:val="3E0237D4"/>
    <w:rsid w:val="3E650C41"/>
    <w:rsid w:val="3E6B4FF7"/>
    <w:rsid w:val="3EA1005A"/>
    <w:rsid w:val="3EF86EFC"/>
    <w:rsid w:val="3EFB76E4"/>
    <w:rsid w:val="3F013E14"/>
    <w:rsid w:val="3FB86BD3"/>
    <w:rsid w:val="3FD050AA"/>
    <w:rsid w:val="40124180"/>
    <w:rsid w:val="402031B2"/>
    <w:rsid w:val="403A3A3D"/>
    <w:rsid w:val="40970E8F"/>
    <w:rsid w:val="41192320"/>
    <w:rsid w:val="41432DC5"/>
    <w:rsid w:val="41685A89"/>
    <w:rsid w:val="41912DCA"/>
    <w:rsid w:val="41C70E5E"/>
    <w:rsid w:val="41CE040F"/>
    <w:rsid w:val="42147227"/>
    <w:rsid w:val="422B7AE1"/>
    <w:rsid w:val="427726FE"/>
    <w:rsid w:val="42D3587B"/>
    <w:rsid w:val="434A3F97"/>
    <w:rsid w:val="4367085D"/>
    <w:rsid w:val="443B7D84"/>
    <w:rsid w:val="445A46AE"/>
    <w:rsid w:val="449A3C36"/>
    <w:rsid w:val="44A644DD"/>
    <w:rsid w:val="44D83825"/>
    <w:rsid w:val="46911EDD"/>
    <w:rsid w:val="46B83F78"/>
    <w:rsid w:val="46F26E20"/>
    <w:rsid w:val="472C5B7F"/>
    <w:rsid w:val="472E53FF"/>
    <w:rsid w:val="479E0D55"/>
    <w:rsid w:val="47A85730"/>
    <w:rsid w:val="480F1C53"/>
    <w:rsid w:val="48264D6C"/>
    <w:rsid w:val="482A25E9"/>
    <w:rsid w:val="486F684D"/>
    <w:rsid w:val="491D5CAA"/>
    <w:rsid w:val="494A2C73"/>
    <w:rsid w:val="497175F7"/>
    <w:rsid w:val="49F7299F"/>
    <w:rsid w:val="4AAC6AC1"/>
    <w:rsid w:val="4AD36F68"/>
    <w:rsid w:val="4AE01A5F"/>
    <w:rsid w:val="4AE43D3B"/>
    <w:rsid w:val="4B5160DF"/>
    <w:rsid w:val="4B6471FA"/>
    <w:rsid w:val="4B773D82"/>
    <w:rsid w:val="4B8E10E1"/>
    <w:rsid w:val="4BA956C4"/>
    <w:rsid w:val="4BAF0679"/>
    <w:rsid w:val="4BCA036B"/>
    <w:rsid w:val="4BCB6B79"/>
    <w:rsid w:val="4C0D0258"/>
    <w:rsid w:val="4C165835"/>
    <w:rsid w:val="4C215AB1"/>
    <w:rsid w:val="4C571B9A"/>
    <w:rsid w:val="4CA50490"/>
    <w:rsid w:val="4CC748AA"/>
    <w:rsid w:val="4CDE0764"/>
    <w:rsid w:val="4D115435"/>
    <w:rsid w:val="4DFF7D73"/>
    <w:rsid w:val="4E364B0E"/>
    <w:rsid w:val="4E4F2DA9"/>
    <w:rsid w:val="4EE00AE8"/>
    <w:rsid w:val="4F277882"/>
    <w:rsid w:val="4F33403C"/>
    <w:rsid w:val="4F6463E1"/>
    <w:rsid w:val="509D3182"/>
    <w:rsid w:val="512D6CA6"/>
    <w:rsid w:val="51371FE5"/>
    <w:rsid w:val="518522C6"/>
    <w:rsid w:val="51D07D5D"/>
    <w:rsid w:val="52213FC6"/>
    <w:rsid w:val="522E0F28"/>
    <w:rsid w:val="528E0CF1"/>
    <w:rsid w:val="52AD4542"/>
    <w:rsid w:val="52AD6E9B"/>
    <w:rsid w:val="52C308EE"/>
    <w:rsid w:val="52C75604"/>
    <w:rsid w:val="52D44365"/>
    <w:rsid w:val="535E75EB"/>
    <w:rsid w:val="537D5CC3"/>
    <w:rsid w:val="53904FFF"/>
    <w:rsid w:val="53D8739D"/>
    <w:rsid w:val="544B4013"/>
    <w:rsid w:val="546E42E7"/>
    <w:rsid w:val="54A13E62"/>
    <w:rsid w:val="552705DC"/>
    <w:rsid w:val="55FA7A9F"/>
    <w:rsid w:val="566B274A"/>
    <w:rsid w:val="56837A94"/>
    <w:rsid w:val="56E62D09"/>
    <w:rsid w:val="570F4301"/>
    <w:rsid w:val="57727B09"/>
    <w:rsid w:val="579636B4"/>
    <w:rsid w:val="57A557E8"/>
    <w:rsid w:val="57C62613"/>
    <w:rsid w:val="580923FD"/>
    <w:rsid w:val="5810676F"/>
    <w:rsid w:val="58170206"/>
    <w:rsid w:val="58244F2D"/>
    <w:rsid w:val="58372F09"/>
    <w:rsid w:val="58732F89"/>
    <w:rsid w:val="58922210"/>
    <w:rsid w:val="591320A8"/>
    <w:rsid w:val="59EE791A"/>
    <w:rsid w:val="5A292701"/>
    <w:rsid w:val="5AFE378D"/>
    <w:rsid w:val="5B2A2849"/>
    <w:rsid w:val="5B337E24"/>
    <w:rsid w:val="5B765E19"/>
    <w:rsid w:val="5C6C2D78"/>
    <w:rsid w:val="5CAC230F"/>
    <w:rsid w:val="5CE15514"/>
    <w:rsid w:val="5D543F38"/>
    <w:rsid w:val="5D775A73"/>
    <w:rsid w:val="5DB22A0D"/>
    <w:rsid w:val="5DDE7679"/>
    <w:rsid w:val="5EF84E93"/>
    <w:rsid w:val="5F0F007C"/>
    <w:rsid w:val="5F194064"/>
    <w:rsid w:val="5F883D16"/>
    <w:rsid w:val="5F8E3006"/>
    <w:rsid w:val="5FD650D9"/>
    <w:rsid w:val="601E14F5"/>
    <w:rsid w:val="60327E35"/>
    <w:rsid w:val="60747F1B"/>
    <w:rsid w:val="60830691"/>
    <w:rsid w:val="608D786D"/>
    <w:rsid w:val="6162299C"/>
    <w:rsid w:val="61A84853"/>
    <w:rsid w:val="61D75138"/>
    <w:rsid w:val="62114A46"/>
    <w:rsid w:val="622512E7"/>
    <w:rsid w:val="627E55B4"/>
    <w:rsid w:val="62AA0157"/>
    <w:rsid w:val="62D03A45"/>
    <w:rsid w:val="62DF3F41"/>
    <w:rsid w:val="630F26B0"/>
    <w:rsid w:val="634705DE"/>
    <w:rsid w:val="6356208C"/>
    <w:rsid w:val="639D203B"/>
    <w:rsid w:val="63DA2CBD"/>
    <w:rsid w:val="6412760C"/>
    <w:rsid w:val="64315E63"/>
    <w:rsid w:val="64585FAF"/>
    <w:rsid w:val="64590086"/>
    <w:rsid w:val="64BD3A3B"/>
    <w:rsid w:val="64E21353"/>
    <w:rsid w:val="64E605D2"/>
    <w:rsid w:val="65611D84"/>
    <w:rsid w:val="656248C6"/>
    <w:rsid w:val="65BD2897"/>
    <w:rsid w:val="65FB0922"/>
    <w:rsid w:val="660109D5"/>
    <w:rsid w:val="66507267"/>
    <w:rsid w:val="66D508E2"/>
    <w:rsid w:val="66EE22E9"/>
    <w:rsid w:val="670D6F06"/>
    <w:rsid w:val="673170CE"/>
    <w:rsid w:val="67395F4D"/>
    <w:rsid w:val="67452B44"/>
    <w:rsid w:val="67774B40"/>
    <w:rsid w:val="67B37AAD"/>
    <w:rsid w:val="67E7038A"/>
    <w:rsid w:val="683C5CF5"/>
    <w:rsid w:val="6914700F"/>
    <w:rsid w:val="691B590A"/>
    <w:rsid w:val="692844CB"/>
    <w:rsid w:val="69731BEA"/>
    <w:rsid w:val="69A973BA"/>
    <w:rsid w:val="69AF492B"/>
    <w:rsid w:val="69B31FE7"/>
    <w:rsid w:val="6A372C18"/>
    <w:rsid w:val="6A3B7DF2"/>
    <w:rsid w:val="6A46175D"/>
    <w:rsid w:val="6A4637B0"/>
    <w:rsid w:val="6AFA4F01"/>
    <w:rsid w:val="6B05092C"/>
    <w:rsid w:val="6B3A5796"/>
    <w:rsid w:val="6B4849B1"/>
    <w:rsid w:val="6B6712DB"/>
    <w:rsid w:val="6BF3491C"/>
    <w:rsid w:val="6C120D80"/>
    <w:rsid w:val="6C6B0957"/>
    <w:rsid w:val="6C944351"/>
    <w:rsid w:val="6CAB2045"/>
    <w:rsid w:val="6D0A1A58"/>
    <w:rsid w:val="6D1565D0"/>
    <w:rsid w:val="6D2D32D9"/>
    <w:rsid w:val="6D7647DA"/>
    <w:rsid w:val="6D8D0DA1"/>
    <w:rsid w:val="6DC3698F"/>
    <w:rsid w:val="6DE055E4"/>
    <w:rsid w:val="6E080427"/>
    <w:rsid w:val="6E254B52"/>
    <w:rsid w:val="6E6B2E90"/>
    <w:rsid w:val="6EA47958"/>
    <w:rsid w:val="6F01736E"/>
    <w:rsid w:val="6F0914AB"/>
    <w:rsid w:val="70187047"/>
    <w:rsid w:val="70E92792"/>
    <w:rsid w:val="729A3D44"/>
    <w:rsid w:val="72B67A89"/>
    <w:rsid w:val="73165394"/>
    <w:rsid w:val="73527BB3"/>
    <w:rsid w:val="738549F4"/>
    <w:rsid w:val="738B48C2"/>
    <w:rsid w:val="73E71664"/>
    <w:rsid w:val="740D49E9"/>
    <w:rsid w:val="740F40BA"/>
    <w:rsid w:val="74350442"/>
    <w:rsid w:val="74CE5F27"/>
    <w:rsid w:val="74E042F3"/>
    <w:rsid w:val="75265FDF"/>
    <w:rsid w:val="754737FD"/>
    <w:rsid w:val="755A3C5E"/>
    <w:rsid w:val="759011CE"/>
    <w:rsid w:val="75F67D87"/>
    <w:rsid w:val="761A519B"/>
    <w:rsid w:val="764D3D66"/>
    <w:rsid w:val="76CA6BC2"/>
    <w:rsid w:val="7791148D"/>
    <w:rsid w:val="779D60F5"/>
    <w:rsid w:val="77CF1D1D"/>
    <w:rsid w:val="780A0636"/>
    <w:rsid w:val="781A3707"/>
    <w:rsid w:val="78301697"/>
    <w:rsid w:val="784D3606"/>
    <w:rsid w:val="78615304"/>
    <w:rsid w:val="78770683"/>
    <w:rsid w:val="78992CEF"/>
    <w:rsid w:val="78BE1E71"/>
    <w:rsid w:val="78D87374"/>
    <w:rsid w:val="78E178D3"/>
    <w:rsid w:val="79A436FA"/>
    <w:rsid w:val="7A232871"/>
    <w:rsid w:val="7A6A04A0"/>
    <w:rsid w:val="7A76460F"/>
    <w:rsid w:val="7AD523C6"/>
    <w:rsid w:val="7AF83CFD"/>
    <w:rsid w:val="7B1F379B"/>
    <w:rsid w:val="7B29035B"/>
    <w:rsid w:val="7B4B6523"/>
    <w:rsid w:val="7B5829EE"/>
    <w:rsid w:val="7BD62FE6"/>
    <w:rsid w:val="7BED4DFE"/>
    <w:rsid w:val="7C6F7FEF"/>
    <w:rsid w:val="7C7F3B91"/>
    <w:rsid w:val="7DD50326"/>
    <w:rsid w:val="7DE34324"/>
    <w:rsid w:val="7DFB1E4F"/>
    <w:rsid w:val="7E8A55B4"/>
    <w:rsid w:val="7EBC1273"/>
    <w:rsid w:val="7F593F9D"/>
    <w:rsid w:val="7F985AAF"/>
    <w:rsid w:val="7F9E1FDE"/>
    <w:rsid w:val="7F9F05D4"/>
    <w:rsid w:val="F5FFAB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4"/>
    <w:qFormat/>
    <w:uiPriority w:val="0"/>
    <w:pPr>
      <w:keepNext/>
      <w:spacing w:line="380" w:lineRule="exact"/>
      <w:jc w:val="center"/>
      <w:outlineLvl w:val="0"/>
    </w:pPr>
    <w:rPr>
      <w:rFonts w:ascii="宋体"/>
      <w:b/>
      <w:bCs/>
      <w:sz w:val="28"/>
    </w:rPr>
  </w:style>
  <w:style w:type="paragraph" w:styleId="2">
    <w:name w:val="heading 2"/>
    <w:basedOn w:val="1"/>
    <w:next w:val="1"/>
    <w:link w:val="55"/>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4">
    <w:name w:val="heading 3"/>
    <w:basedOn w:val="1"/>
    <w:next w:val="1"/>
    <w:link w:val="56"/>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5">
    <w:name w:val="heading 4"/>
    <w:basedOn w:val="1"/>
    <w:next w:val="1"/>
    <w:link w:val="57"/>
    <w:qFormat/>
    <w:uiPriority w:val="0"/>
    <w:pPr>
      <w:keepNext/>
      <w:keepLines/>
      <w:tabs>
        <w:tab w:val="left" w:pos="864"/>
      </w:tabs>
      <w:spacing w:before="280" w:beforeLines="0" w:after="290" w:afterLines="0" w:line="376" w:lineRule="auto"/>
      <w:ind w:left="864" w:hanging="864"/>
      <w:outlineLvl w:val="3"/>
    </w:pPr>
    <w:rPr>
      <w:rFonts w:ascii="Arial" w:hAnsi="Arial" w:eastAsia="黑体"/>
      <w:b/>
      <w:bCs/>
      <w:sz w:val="28"/>
      <w:szCs w:val="28"/>
    </w:rPr>
  </w:style>
  <w:style w:type="paragraph" w:styleId="6">
    <w:name w:val="heading 5"/>
    <w:basedOn w:val="1"/>
    <w:next w:val="1"/>
    <w:link w:val="58"/>
    <w:qFormat/>
    <w:uiPriority w:val="0"/>
    <w:pPr>
      <w:keepNext/>
      <w:keepLines/>
      <w:tabs>
        <w:tab w:val="left" w:pos="1548"/>
      </w:tabs>
      <w:spacing w:before="280" w:beforeLines="0" w:after="290" w:afterLines="0" w:line="376" w:lineRule="auto"/>
      <w:ind w:left="1548" w:hanging="1548"/>
      <w:outlineLvl w:val="4"/>
    </w:pPr>
    <w:rPr>
      <w:b/>
      <w:bCs/>
      <w:sz w:val="28"/>
      <w:szCs w:val="28"/>
    </w:rPr>
  </w:style>
  <w:style w:type="paragraph" w:styleId="7">
    <w:name w:val="heading 6"/>
    <w:basedOn w:val="1"/>
    <w:next w:val="1"/>
    <w:link w:val="59"/>
    <w:qFormat/>
    <w:uiPriority w:val="0"/>
    <w:pPr>
      <w:keepNext/>
      <w:keepLines/>
      <w:spacing w:before="240" w:beforeLines="0" w:after="64" w:afterLines="0" w:line="320" w:lineRule="auto"/>
      <w:outlineLvl w:val="5"/>
    </w:pPr>
    <w:rPr>
      <w:rFonts w:ascii="Cambria" w:hAnsi="Cambria"/>
      <w:b/>
      <w:bCs/>
      <w:sz w:val="24"/>
      <w:szCs w:val="24"/>
    </w:rPr>
  </w:style>
  <w:style w:type="paragraph" w:styleId="8">
    <w:name w:val="heading 7"/>
    <w:basedOn w:val="1"/>
    <w:next w:val="1"/>
    <w:link w:val="60"/>
    <w:qFormat/>
    <w:uiPriority w:val="0"/>
    <w:pPr>
      <w:keepNext/>
      <w:keepLines/>
      <w:numPr>
        <w:ilvl w:val="6"/>
        <w:numId w:val="1"/>
      </w:numPr>
      <w:tabs>
        <w:tab w:val="left" w:pos="1296"/>
        <w:tab w:val="clear" w:pos="2940"/>
      </w:tabs>
      <w:spacing w:before="240" w:beforeLines="0" w:after="64" w:afterLines="0" w:line="317" w:lineRule="auto"/>
      <w:outlineLvl w:val="6"/>
    </w:pPr>
    <w:rPr>
      <w:b/>
      <w:bCs/>
      <w:sz w:val="24"/>
      <w:szCs w:val="24"/>
    </w:rPr>
  </w:style>
  <w:style w:type="paragraph" w:styleId="9">
    <w:name w:val="heading 8"/>
    <w:basedOn w:val="1"/>
    <w:next w:val="1"/>
    <w:link w:val="61"/>
    <w:qFormat/>
    <w:uiPriority w:val="0"/>
    <w:pPr>
      <w:keepNext/>
      <w:keepLines/>
      <w:numPr>
        <w:ilvl w:val="7"/>
        <w:numId w:val="1"/>
      </w:numPr>
      <w:tabs>
        <w:tab w:val="left" w:pos="1440"/>
        <w:tab w:val="clear" w:pos="3360"/>
      </w:tabs>
      <w:spacing w:before="240" w:beforeLines="0" w:after="64" w:afterLines="0" w:line="317" w:lineRule="auto"/>
      <w:outlineLvl w:val="7"/>
    </w:pPr>
    <w:rPr>
      <w:rFonts w:ascii="Arial" w:hAnsi="Arial" w:eastAsia="黑体"/>
      <w:sz w:val="24"/>
      <w:szCs w:val="24"/>
    </w:rPr>
  </w:style>
  <w:style w:type="paragraph" w:styleId="10">
    <w:name w:val="heading 9"/>
    <w:basedOn w:val="1"/>
    <w:next w:val="1"/>
    <w:link w:val="62"/>
    <w:qFormat/>
    <w:uiPriority w:val="0"/>
    <w:pPr>
      <w:keepNext/>
      <w:keepLines/>
      <w:numPr>
        <w:ilvl w:val="8"/>
        <w:numId w:val="1"/>
      </w:numPr>
      <w:tabs>
        <w:tab w:val="left" w:pos="1584"/>
        <w:tab w:val="clear" w:pos="3780"/>
      </w:tabs>
      <w:spacing w:before="240" w:beforeLines="0" w:after="64" w:afterLines="0" w:line="317" w:lineRule="auto"/>
      <w:outlineLvl w:val="8"/>
    </w:pPr>
    <w:rPr>
      <w:rFonts w:ascii="Arial" w:hAnsi="Arial" w:eastAsia="黑体"/>
      <w:szCs w:val="21"/>
    </w:rPr>
  </w:style>
  <w:style w:type="character" w:default="1" w:styleId="46">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w:basedOn w:val="1"/>
    <w:qFormat/>
    <w:uiPriority w:val="0"/>
    <w:pPr>
      <w:numPr>
        <w:ilvl w:val="0"/>
        <w:numId w:val="2"/>
      </w:numPr>
      <w:contextualSpacing/>
    </w:pPr>
  </w:style>
  <w:style w:type="paragraph" w:styleId="13">
    <w:name w:val="Normal Indent"/>
    <w:basedOn w:val="1"/>
    <w:next w:val="1"/>
    <w:link w:val="63"/>
    <w:qFormat/>
    <w:uiPriority w:val="0"/>
    <w:pPr>
      <w:ind w:firstLine="420" w:firstLineChars="200"/>
    </w:pPr>
    <w:rPr>
      <w:szCs w:val="24"/>
    </w:rPr>
  </w:style>
  <w:style w:type="paragraph" w:styleId="14">
    <w:name w:val="Document Map"/>
    <w:basedOn w:val="1"/>
    <w:link w:val="64"/>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link w:val="65"/>
    <w:qFormat/>
    <w:uiPriority w:val="0"/>
    <w:pPr>
      <w:spacing w:after="120" w:afterLines="0" w:line="360" w:lineRule="auto"/>
    </w:pPr>
    <w:rPr>
      <w:kern w:val="0"/>
      <w:sz w:val="16"/>
      <w:szCs w:val="16"/>
    </w:rPr>
  </w:style>
  <w:style w:type="paragraph" w:styleId="17">
    <w:name w:val="Body Text"/>
    <w:basedOn w:val="1"/>
    <w:next w:val="1"/>
    <w:link w:val="66"/>
    <w:qFormat/>
    <w:uiPriority w:val="0"/>
    <w:rPr>
      <w:i/>
      <w:sz w:val="18"/>
    </w:rPr>
  </w:style>
  <w:style w:type="paragraph" w:styleId="18">
    <w:name w:val="Body Text Indent"/>
    <w:basedOn w:val="1"/>
    <w:next w:val="1"/>
    <w:link w:val="68"/>
    <w:qFormat/>
    <w:uiPriority w:val="0"/>
    <w:pPr>
      <w:spacing w:line="380" w:lineRule="exact"/>
      <w:ind w:firstLine="480"/>
    </w:pPr>
    <w:rPr>
      <w:rFonts w:eastAsia="方正书宋简体"/>
      <w:sz w:val="24"/>
    </w:rPr>
  </w:style>
  <w:style w:type="paragraph" w:styleId="19">
    <w:name w:val="List Number 3"/>
    <w:basedOn w:val="1"/>
    <w:qFormat/>
    <w:uiPriority w:val="0"/>
    <w:pPr>
      <w:widowControl/>
      <w:numPr>
        <w:ilvl w:val="0"/>
        <w:numId w:val="1"/>
      </w:numPr>
      <w:tabs>
        <w:tab w:val="left" w:pos="482"/>
        <w:tab w:val="clear" w:pos="510"/>
      </w:tabs>
      <w:spacing w:after="156" w:afterLines="50"/>
      <w:ind w:left="482" w:hanging="340"/>
      <w:jc w:val="left"/>
    </w:pPr>
    <w:rPr>
      <w:kern w:val="0"/>
      <w:sz w:val="24"/>
    </w:rPr>
  </w:style>
  <w:style w:type="paragraph" w:styleId="20">
    <w:name w:val="toc 5"/>
    <w:basedOn w:val="1"/>
    <w:next w:val="1"/>
    <w:qFormat/>
    <w:uiPriority w:val="0"/>
    <w:pPr>
      <w:ind w:left="840"/>
      <w:jc w:val="left"/>
    </w:pPr>
    <w:rPr>
      <w:sz w:val="18"/>
      <w:szCs w:val="18"/>
    </w:rPr>
  </w:style>
  <w:style w:type="paragraph" w:styleId="21">
    <w:name w:val="toc 3"/>
    <w:basedOn w:val="1"/>
    <w:qFormat/>
    <w:uiPriority w:val="0"/>
    <w:pPr>
      <w:ind w:left="420"/>
      <w:jc w:val="left"/>
    </w:pPr>
    <w:rPr>
      <w:i/>
      <w:iCs/>
      <w:sz w:val="20"/>
    </w:rPr>
  </w:style>
  <w:style w:type="paragraph" w:styleId="22">
    <w:name w:val="Plain Text"/>
    <w:basedOn w:val="1"/>
    <w:next w:val="1"/>
    <w:link w:val="69"/>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0"/>
    <w:qFormat/>
    <w:uiPriority w:val="99"/>
    <w:pPr>
      <w:adjustRightInd w:val="0"/>
      <w:spacing w:line="312" w:lineRule="atLeast"/>
      <w:jc w:val="right"/>
      <w:textAlignment w:val="baseline"/>
    </w:pPr>
    <w:rPr>
      <w:rFonts w:ascii="宋体"/>
      <w:kern w:val="0"/>
      <w:sz w:val="24"/>
    </w:rPr>
  </w:style>
  <w:style w:type="paragraph" w:styleId="25">
    <w:name w:val="Body Text Indent 2"/>
    <w:basedOn w:val="1"/>
    <w:link w:val="71"/>
    <w:qFormat/>
    <w:uiPriority w:val="0"/>
    <w:pPr>
      <w:spacing w:line="380" w:lineRule="exact"/>
      <w:ind w:left="840" w:hanging="45"/>
    </w:pPr>
    <w:rPr>
      <w:rFonts w:ascii="宋体"/>
      <w:sz w:val="24"/>
    </w:rPr>
  </w:style>
  <w:style w:type="paragraph" w:styleId="26">
    <w:name w:val="Balloon Text"/>
    <w:basedOn w:val="1"/>
    <w:qFormat/>
    <w:uiPriority w:val="0"/>
    <w:rPr>
      <w:sz w:val="18"/>
      <w:szCs w:val="18"/>
    </w:rPr>
  </w:style>
  <w:style w:type="paragraph" w:styleId="27">
    <w:name w:val="footer"/>
    <w:basedOn w:val="1"/>
    <w:link w:val="72"/>
    <w:qFormat/>
    <w:uiPriority w:val="0"/>
    <w:pPr>
      <w:tabs>
        <w:tab w:val="center" w:pos="4153"/>
        <w:tab w:val="right" w:pos="8306"/>
      </w:tabs>
      <w:snapToGrid w:val="0"/>
      <w:jc w:val="left"/>
    </w:pPr>
    <w:rPr>
      <w:sz w:val="18"/>
    </w:rPr>
  </w:style>
  <w:style w:type="paragraph" w:styleId="28">
    <w:name w:val="header"/>
    <w:basedOn w:val="1"/>
    <w:link w:val="73"/>
    <w:qFormat/>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0">
    <w:name w:val="toc 4"/>
    <w:basedOn w:val="1"/>
    <w:next w:val="1"/>
    <w:qFormat/>
    <w:uiPriority w:val="0"/>
    <w:pPr>
      <w:ind w:left="630"/>
      <w:jc w:val="left"/>
    </w:pPr>
    <w:rPr>
      <w:sz w:val="18"/>
      <w:szCs w:val="18"/>
    </w:rPr>
  </w:style>
  <w:style w:type="paragraph" w:styleId="31">
    <w:name w:val="List Number 5"/>
    <w:basedOn w:val="1"/>
    <w:qFormat/>
    <w:uiPriority w:val="0"/>
    <w:pPr>
      <w:numPr>
        <w:ilvl w:val="0"/>
        <w:numId w:val="3"/>
      </w:numPr>
      <w:tabs>
        <w:tab w:val="left" w:pos="2608"/>
        <w:tab w:val="clear" w:pos="840"/>
      </w:tabs>
      <w:spacing w:line="360" w:lineRule="auto"/>
    </w:pPr>
    <w:rPr>
      <w:sz w:val="24"/>
      <w:szCs w:val="24"/>
    </w:rPr>
  </w:style>
  <w:style w:type="paragraph" w:styleId="32">
    <w:name w:val="toc 6"/>
    <w:basedOn w:val="1"/>
    <w:next w:val="1"/>
    <w:qFormat/>
    <w:uiPriority w:val="0"/>
    <w:pPr>
      <w:ind w:left="1050"/>
      <w:jc w:val="left"/>
    </w:pPr>
    <w:rPr>
      <w:sz w:val="18"/>
      <w:szCs w:val="18"/>
    </w:rPr>
  </w:style>
  <w:style w:type="paragraph" w:styleId="33">
    <w:name w:val="Body Text Indent 3"/>
    <w:basedOn w:val="1"/>
    <w:link w:val="74"/>
    <w:qFormat/>
    <w:uiPriority w:val="0"/>
    <w:pPr>
      <w:spacing w:line="380" w:lineRule="exact"/>
      <w:ind w:left="525"/>
    </w:pPr>
    <w:rPr>
      <w:rFonts w:ascii="宋体"/>
      <w:sz w:val="24"/>
    </w:rPr>
  </w:style>
  <w:style w:type="paragraph" w:styleId="34">
    <w:name w:val="table of figures"/>
    <w:basedOn w:val="1"/>
    <w:next w:val="1"/>
    <w:qFormat/>
    <w:uiPriority w:val="0"/>
    <w:pPr>
      <w:ind w:left="420" w:hanging="420"/>
      <w:jc w:val="left"/>
    </w:pPr>
    <w:rPr>
      <w:smallCaps/>
      <w:sz w:val="20"/>
    </w:rPr>
  </w:style>
  <w:style w:type="paragraph" w:styleId="35">
    <w:name w:val="toc 2"/>
    <w:basedOn w:val="1"/>
    <w:qFormat/>
    <w:uiPriority w:val="39"/>
    <w:pPr>
      <w:ind w:left="210"/>
      <w:jc w:val="left"/>
    </w:pPr>
    <w:rPr>
      <w:smallCaps/>
      <w:sz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75"/>
    <w:qFormat/>
    <w:uiPriority w:val="0"/>
    <w:pPr>
      <w:spacing w:after="120" w:afterLines="0" w:line="480" w:lineRule="auto"/>
    </w:pPr>
    <w:rPr>
      <w:kern w:val="0"/>
      <w:sz w:val="24"/>
      <w:szCs w:val="24"/>
    </w:rPr>
  </w:style>
  <w:style w:type="paragraph" w:styleId="38">
    <w:name w:val="HTML Preformatted"/>
    <w:basedOn w:val="1"/>
    <w:qFormat/>
    <w:uiPriority w:val="0"/>
    <w:rPr>
      <w:rFonts w:ascii="Courier New" w:hAnsi="Courier New" w:cs="Courier New"/>
      <w:sz w:val="20"/>
    </w:rPr>
  </w:style>
  <w:style w:type="paragraph" w:styleId="39">
    <w:name w:val="Normal (Web)"/>
    <w:basedOn w:val="1"/>
    <w:qFormat/>
    <w:uiPriority w:val="99"/>
    <w:pPr>
      <w:widowControl/>
      <w:spacing w:before="100" w:beforeLines="0" w:beforeAutospacing="1" w:after="100" w:afterLines="0" w:afterAutospacing="1" w:line="300" w:lineRule="atLeast"/>
      <w:jc w:val="left"/>
    </w:pPr>
    <w:rPr>
      <w:rFonts w:ascii="宋体" w:hAnsi="宋体" w:cs="宋体"/>
      <w:kern w:val="0"/>
      <w:sz w:val="24"/>
      <w:szCs w:val="24"/>
    </w:rPr>
  </w:style>
  <w:style w:type="paragraph" w:styleId="40">
    <w:name w:val="index 1"/>
    <w:basedOn w:val="1"/>
    <w:next w:val="1"/>
    <w:qFormat/>
    <w:uiPriority w:val="0"/>
  </w:style>
  <w:style w:type="paragraph" w:styleId="41">
    <w:name w:val="annotation subject"/>
    <w:basedOn w:val="15"/>
    <w:next w:val="15"/>
    <w:qFormat/>
    <w:uiPriority w:val="0"/>
    <w:rPr>
      <w:b/>
      <w:bCs/>
    </w:rPr>
  </w:style>
  <w:style w:type="paragraph" w:styleId="42">
    <w:name w:val="Body Text First Indent"/>
    <w:basedOn w:val="1"/>
    <w:link w:val="67"/>
    <w:qFormat/>
    <w:uiPriority w:val="0"/>
    <w:pPr>
      <w:spacing w:after="120" w:afterLines="0"/>
      <w:ind w:firstLine="420" w:firstLineChars="100"/>
    </w:pPr>
    <w:rPr>
      <w:sz w:val="21"/>
      <w:szCs w:val="24"/>
    </w:rPr>
  </w:style>
  <w:style w:type="paragraph" w:styleId="43">
    <w:name w:val="Body Text First Indent 2"/>
    <w:basedOn w:val="18"/>
    <w:next w:val="1"/>
    <w:qFormat/>
    <w:uiPriority w:val="0"/>
    <w:pPr>
      <w:spacing w:after="120" w:line="240" w:lineRule="auto"/>
      <w:ind w:left="420" w:leftChars="200" w:firstLine="420" w:firstLineChars="200"/>
    </w:pPr>
    <w:rPr>
      <w:rFonts w:eastAsia="宋体"/>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22"/>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20"/>
    <w:rPr>
      <w:color w:val="CC0000"/>
    </w:rPr>
  </w:style>
  <w:style w:type="character" w:styleId="51">
    <w:name w:val="HTML Typewriter"/>
    <w:qFormat/>
    <w:uiPriority w:val="0"/>
    <w:rPr>
      <w:rFonts w:ascii="Courier New" w:hAnsi="Courier New" w:cs="Courier New"/>
      <w:sz w:val="20"/>
      <w:szCs w:val="20"/>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character" w:customStyle="1" w:styleId="54">
    <w:name w:val="标题 1 字符"/>
    <w:link w:val="3"/>
    <w:qFormat/>
    <w:uiPriority w:val="0"/>
    <w:rPr>
      <w:rFonts w:ascii="宋体" w:eastAsia="宋体"/>
      <w:b/>
      <w:bCs/>
      <w:kern w:val="2"/>
      <w:sz w:val="28"/>
      <w:lang w:val="en-US" w:eastAsia="zh-CN" w:bidi="ar-SA"/>
    </w:rPr>
  </w:style>
  <w:style w:type="character" w:customStyle="1" w:styleId="55">
    <w:name w:val="标题 2 字符"/>
    <w:link w:val="2"/>
    <w:qFormat/>
    <w:uiPriority w:val="0"/>
    <w:rPr>
      <w:rFonts w:ascii="Arial" w:hAnsi="Arial" w:eastAsia="黑体"/>
      <w:b/>
      <w:bCs/>
      <w:kern w:val="2"/>
      <w:sz w:val="32"/>
      <w:szCs w:val="32"/>
      <w:lang w:val="en-US" w:eastAsia="zh-CN" w:bidi="ar-SA"/>
    </w:rPr>
  </w:style>
  <w:style w:type="character" w:customStyle="1" w:styleId="56">
    <w:name w:val="标题 3 字符"/>
    <w:link w:val="4"/>
    <w:qFormat/>
    <w:uiPriority w:val="0"/>
    <w:rPr>
      <w:rFonts w:ascii="Arial" w:hAnsi="Arial" w:eastAsia="黑体" w:cs="Arial"/>
      <w:b/>
      <w:bCs/>
      <w:kern w:val="2"/>
      <w:sz w:val="30"/>
      <w:szCs w:val="32"/>
      <w:lang w:val="en-US" w:eastAsia="zh-CN" w:bidi="ar-SA"/>
    </w:rPr>
  </w:style>
  <w:style w:type="character" w:customStyle="1" w:styleId="57">
    <w:name w:val="标题 4 字符"/>
    <w:link w:val="5"/>
    <w:qFormat/>
    <w:uiPriority w:val="0"/>
    <w:rPr>
      <w:rFonts w:ascii="Arial" w:hAnsi="Arial" w:eastAsia="黑体"/>
      <w:b/>
      <w:bCs/>
      <w:kern w:val="2"/>
      <w:sz w:val="28"/>
      <w:szCs w:val="28"/>
      <w:lang w:val="en-US" w:eastAsia="zh-CN" w:bidi="ar-SA"/>
    </w:rPr>
  </w:style>
  <w:style w:type="character" w:customStyle="1" w:styleId="58">
    <w:name w:val="标题 5 字符"/>
    <w:link w:val="6"/>
    <w:qFormat/>
    <w:uiPriority w:val="0"/>
    <w:rPr>
      <w:rFonts w:eastAsia="宋体"/>
      <w:b/>
      <w:bCs/>
      <w:kern w:val="2"/>
      <w:sz w:val="28"/>
      <w:szCs w:val="28"/>
      <w:lang w:val="en-US" w:eastAsia="zh-CN" w:bidi="ar-SA"/>
    </w:rPr>
  </w:style>
  <w:style w:type="character" w:customStyle="1" w:styleId="59">
    <w:name w:val="标题 6 字符"/>
    <w:link w:val="7"/>
    <w:qFormat/>
    <w:uiPriority w:val="0"/>
    <w:rPr>
      <w:rFonts w:ascii="Cambria" w:hAnsi="Cambria" w:eastAsia="宋体"/>
      <w:b/>
      <w:bCs/>
      <w:kern w:val="2"/>
      <w:sz w:val="24"/>
      <w:szCs w:val="24"/>
      <w:lang w:val="en-US" w:eastAsia="zh-CN" w:bidi="ar-SA"/>
    </w:rPr>
  </w:style>
  <w:style w:type="character" w:customStyle="1" w:styleId="60">
    <w:name w:val="标题 7 字符"/>
    <w:link w:val="8"/>
    <w:qFormat/>
    <w:uiPriority w:val="0"/>
    <w:rPr>
      <w:rFonts w:eastAsia="宋体"/>
      <w:b/>
      <w:bCs/>
      <w:kern w:val="2"/>
      <w:sz w:val="24"/>
      <w:szCs w:val="24"/>
      <w:lang w:val="en-US" w:eastAsia="zh-CN" w:bidi="ar-SA"/>
    </w:rPr>
  </w:style>
  <w:style w:type="character" w:customStyle="1" w:styleId="61">
    <w:name w:val="标题 8 字符"/>
    <w:link w:val="9"/>
    <w:qFormat/>
    <w:uiPriority w:val="0"/>
    <w:rPr>
      <w:rFonts w:ascii="Arial" w:hAnsi="Arial" w:eastAsia="黑体"/>
      <w:kern w:val="2"/>
      <w:sz w:val="24"/>
      <w:szCs w:val="24"/>
      <w:lang w:val="en-US" w:eastAsia="zh-CN" w:bidi="ar-SA"/>
    </w:rPr>
  </w:style>
  <w:style w:type="character" w:customStyle="1" w:styleId="62">
    <w:name w:val="标题 9 字符"/>
    <w:link w:val="10"/>
    <w:qFormat/>
    <w:uiPriority w:val="0"/>
    <w:rPr>
      <w:rFonts w:ascii="Arial" w:hAnsi="Arial" w:eastAsia="黑体"/>
      <w:kern w:val="2"/>
      <w:sz w:val="21"/>
      <w:szCs w:val="21"/>
      <w:lang w:val="en-US" w:eastAsia="zh-CN" w:bidi="ar-SA"/>
    </w:rPr>
  </w:style>
  <w:style w:type="character" w:customStyle="1" w:styleId="63">
    <w:name w:val="正文缩进 字符"/>
    <w:link w:val="13"/>
    <w:qFormat/>
    <w:uiPriority w:val="0"/>
    <w:rPr>
      <w:rFonts w:eastAsia="宋体"/>
      <w:kern w:val="2"/>
      <w:sz w:val="21"/>
      <w:szCs w:val="24"/>
      <w:lang w:val="en-US" w:eastAsia="zh-CN" w:bidi="ar-SA"/>
    </w:rPr>
  </w:style>
  <w:style w:type="character" w:customStyle="1" w:styleId="64">
    <w:name w:val="文档结构图 字符"/>
    <w:link w:val="14"/>
    <w:qFormat/>
    <w:uiPriority w:val="0"/>
    <w:rPr>
      <w:rFonts w:eastAsia="宋体"/>
      <w:kern w:val="2"/>
      <w:sz w:val="21"/>
      <w:lang w:val="en-US" w:eastAsia="zh-CN" w:bidi="ar-SA"/>
    </w:rPr>
  </w:style>
  <w:style w:type="character" w:customStyle="1" w:styleId="65">
    <w:name w:val="正文文本 3 字符"/>
    <w:link w:val="16"/>
    <w:qFormat/>
    <w:uiPriority w:val="0"/>
    <w:rPr>
      <w:rFonts w:eastAsia="宋体"/>
      <w:sz w:val="16"/>
      <w:szCs w:val="16"/>
      <w:lang w:bidi="ar-SA"/>
    </w:rPr>
  </w:style>
  <w:style w:type="character" w:customStyle="1" w:styleId="66">
    <w:name w:val="正文文本 字符"/>
    <w:link w:val="17"/>
    <w:qFormat/>
    <w:uiPriority w:val="0"/>
    <w:rPr>
      <w:rFonts w:eastAsia="宋体"/>
      <w:i/>
      <w:kern w:val="2"/>
      <w:sz w:val="18"/>
      <w:lang w:val="en-US" w:eastAsia="zh-CN" w:bidi="ar-SA"/>
    </w:rPr>
  </w:style>
  <w:style w:type="character" w:customStyle="1" w:styleId="67">
    <w:name w:val="正文首行缩进 字符"/>
    <w:link w:val="42"/>
    <w:qFormat/>
    <w:uiPriority w:val="0"/>
    <w:rPr>
      <w:rFonts w:eastAsia="宋体"/>
      <w:i/>
      <w:kern w:val="2"/>
      <w:sz w:val="21"/>
      <w:szCs w:val="24"/>
      <w:lang w:val="en-US" w:eastAsia="zh-CN" w:bidi="ar-SA"/>
    </w:rPr>
  </w:style>
  <w:style w:type="character" w:customStyle="1" w:styleId="68">
    <w:name w:val="正文文本缩进 字符2"/>
    <w:link w:val="18"/>
    <w:qFormat/>
    <w:uiPriority w:val="0"/>
    <w:rPr>
      <w:rFonts w:eastAsia="方正书宋简体"/>
      <w:kern w:val="2"/>
      <w:sz w:val="24"/>
      <w:lang w:val="en-US" w:eastAsia="zh-CN" w:bidi="ar-SA"/>
    </w:rPr>
  </w:style>
  <w:style w:type="character" w:customStyle="1" w:styleId="69">
    <w:name w:val="纯文本 字符1"/>
    <w:link w:val="22"/>
    <w:qFormat/>
    <w:uiPriority w:val="99"/>
    <w:rPr>
      <w:rFonts w:ascii="宋体" w:hAnsi="宋体" w:eastAsia="宋体" w:cs="宋体"/>
      <w:color w:val="000000"/>
      <w:sz w:val="24"/>
      <w:szCs w:val="24"/>
      <w:lang w:val="en-US" w:eastAsia="zh-CN" w:bidi="ar-SA"/>
    </w:rPr>
  </w:style>
  <w:style w:type="character" w:customStyle="1" w:styleId="70">
    <w:name w:val="日期 字符"/>
    <w:link w:val="24"/>
    <w:qFormat/>
    <w:locked/>
    <w:uiPriority w:val="99"/>
    <w:rPr>
      <w:rFonts w:ascii="宋体"/>
      <w:sz w:val="24"/>
    </w:rPr>
  </w:style>
  <w:style w:type="character" w:customStyle="1" w:styleId="71">
    <w:name w:val="正文文本缩进 2 字符"/>
    <w:link w:val="25"/>
    <w:qFormat/>
    <w:uiPriority w:val="0"/>
    <w:rPr>
      <w:rFonts w:ascii="宋体" w:eastAsia="宋体"/>
      <w:kern w:val="2"/>
      <w:sz w:val="24"/>
      <w:lang w:val="en-US" w:eastAsia="zh-CN" w:bidi="ar-SA"/>
    </w:rPr>
  </w:style>
  <w:style w:type="character" w:customStyle="1" w:styleId="72">
    <w:name w:val="页脚 字符"/>
    <w:link w:val="27"/>
    <w:qFormat/>
    <w:uiPriority w:val="0"/>
    <w:rPr>
      <w:rFonts w:eastAsia="宋体"/>
      <w:kern w:val="2"/>
      <w:sz w:val="18"/>
      <w:lang w:val="en-US" w:eastAsia="zh-CN" w:bidi="ar-SA"/>
    </w:rPr>
  </w:style>
  <w:style w:type="character" w:customStyle="1" w:styleId="73">
    <w:name w:val="页眉 字符"/>
    <w:link w:val="28"/>
    <w:qFormat/>
    <w:uiPriority w:val="0"/>
    <w:rPr>
      <w:rFonts w:eastAsia="宋体"/>
      <w:kern w:val="2"/>
      <w:sz w:val="18"/>
      <w:lang w:val="en-US" w:eastAsia="zh-CN" w:bidi="ar-SA"/>
    </w:rPr>
  </w:style>
  <w:style w:type="character" w:customStyle="1" w:styleId="74">
    <w:name w:val="正文文本缩进 3 字符"/>
    <w:link w:val="33"/>
    <w:qFormat/>
    <w:uiPriority w:val="0"/>
    <w:rPr>
      <w:rFonts w:ascii="宋体" w:eastAsia="宋体"/>
      <w:kern w:val="2"/>
      <w:sz w:val="24"/>
      <w:lang w:val="en-US" w:eastAsia="zh-CN" w:bidi="ar-SA"/>
    </w:rPr>
  </w:style>
  <w:style w:type="character" w:customStyle="1" w:styleId="75">
    <w:name w:val="正文文本 2 字符"/>
    <w:link w:val="37"/>
    <w:qFormat/>
    <w:uiPriority w:val="0"/>
    <w:rPr>
      <w:rFonts w:eastAsia="宋体"/>
      <w:sz w:val="24"/>
      <w:szCs w:val="24"/>
      <w:lang w:bidi="ar-SA"/>
    </w:rPr>
  </w:style>
  <w:style w:type="paragraph" w:customStyle="1" w:styleId="76">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character" w:customStyle="1" w:styleId="77">
    <w:name w:val="标题2正文 Char Char Char"/>
    <w:link w:val="78"/>
    <w:qFormat/>
    <w:uiPriority w:val="0"/>
    <w:rPr>
      <w:rFonts w:eastAsia="宋体"/>
      <w:sz w:val="24"/>
      <w:szCs w:val="24"/>
      <w:lang w:bidi="ar-SA"/>
    </w:rPr>
  </w:style>
  <w:style w:type="paragraph" w:customStyle="1" w:styleId="78">
    <w:name w:val="标题2正文 Char"/>
    <w:basedOn w:val="1"/>
    <w:link w:val="77"/>
    <w:qFormat/>
    <w:uiPriority w:val="0"/>
    <w:pPr>
      <w:spacing w:before="156" w:beforeLines="50" w:after="156" w:afterLines="50"/>
      <w:ind w:right="38" w:rightChars="18" w:firstLine="420"/>
    </w:pPr>
    <w:rPr>
      <w:kern w:val="0"/>
      <w:sz w:val="24"/>
      <w:szCs w:val="24"/>
    </w:rPr>
  </w:style>
  <w:style w:type="character" w:customStyle="1" w:styleId="79">
    <w:name w:val="H2 Char"/>
    <w:qFormat/>
    <w:uiPriority w:val="0"/>
    <w:rPr>
      <w:rFonts w:ascii="Arial" w:hAnsi="Arial" w:eastAsia="黑体"/>
      <w:b/>
      <w:bCs/>
      <w:kern w:val="2"/>
      <w:sz w:val="32"/>
      <w:szCs w:val="32"/>
      <w:lang w:val="en-US" w:eastAsia="zh-CN" w:bidi="ar-SA"/>
    </w:rPr>
  </w:style>
  <w:style w:type="character" w:customStyle="1" w:styleId="80">
    <w:name w:val="font51"/>
    <w:qFormat/>
    <w:uiPriority w:val="0"/>
    <w:rPr>
      <w:rFonts w:hint="default" w:ascii="Times New Roman" w:hAnsi="Times New Roman" w:cs="Times New Roman"/>
      <w:color w:val="000000"/>
      <w:sz w:val="20"/>
      <w:szCs w:val="20"/>
      <w:u w:val="none"/>
    </w:rPr>
  </w:style>
  <w:style w:type="character" w:customStyle="1" w:styleId="81">
    <w:name w:val="样式5 Char Char"/>
    <w:link w:val="82"/>
    <w:qFormat/>
    <w:uiPriority w:val="0"/>
    <w:rPr>
      <w:rFonts w:eastAsia="宋体"/>
      <w:b/>
      <w:bCs/>
      <w:kern w:val="2"/>
      <w:sz w:val="28"/>
      <w:szCs w:val="28"/>
      <w:lang w:val="en-US" w:eastAsia="zh-CN" w:bidi="ar-SA"/>
    </w:rPr>
  </w:style>
  <w:style w:type="paragraph" w:customStyle="1" w:styleId="82">
    <w:name w:val="样式5"/>
    <w:basedOn w:val="1"/>
    <w:link w:val="81"/>
    <w:qFormat/>
    <w:uiPriority w:val="0"/>
    <w:pPr>
      <w:keepNext/>
      <w:keepLines/>
      <w:spacing w:before="280" w:beforeLines="0" w:after="290" w:afterLines="0" w:line="376" w:lineRule="auto"/>
      <w:ind w:left="210" w:leftChars="100" w:right="210" w:rightChars="100"/>
      <w:outlineLvl w:val="4"/>
    </w:pPr>
    <w:rPr>
      <w:b/>
      <w:bCs/>
      <w:sz w:val="28"/>
      <w:szCs w:val="28"/>
    </w:rPr>
  </w:style>
  <w:style w:type="character" w:customStyle="1" w:styleId="83">
    <w:name w:val="h6 Char"/>
    <w:qFormat/>
    <w:uiPriority w:val="0"/>
    <w:rPr>
      <w:rFonts w:ascii="Arial" w:hAnsi="Arial" w:eastAsia="宋体"/>
      <w:b/>
      <w:bCs/>
      <w:kern w:val="2"/>
      <w:sz w:val="24"/>
      <w:szCs w:val="24"/>
      <w:lang w:val="en-US" w:eastAsia="zh-CN" w:bidi="ar-SA"/>
    </w:rPr>
  </w:style>
  <w:style w:type="character" w:customStyle="1" w:styleId="84">
    <w:name w:val="hui3"/>
    <w:qFormat/>
    <w:uiPriority w:val="0"/>
    <w:rPr>
      <w:color w:val="333333"/>
    </w:rPr>
  </w:style>
  <w:style w:type="character" w:customStyle="1" w:styleId="85">
    <w:name w:val="正文文本缩进 字符1"/>
    <w:qFormat/>
    <w:uiPriority w:val="0"/>
    <w:rPr>
      <w:rFonts w:eastAsia="方正书宋简体"/>
      <w:kern w:val="2"/>
      <w:sz w:val="24"/>
      <w:lang w:val="en-US" w:eastAsia="zh-CN" w:bidi="ar-SA"/>
    </w:rPr>
  </w:style>
  <w:style w:type="character" w:customStyle="1" w:styleId="86">
    <w:name w:val="纯文本 字符"/>
    <w:qFormat/>
    <w:uiPriority w:val="0"/>
    <w:rPr>
      <w:rFonts w:ascii="宋体" w:hAnsi="宋体" w:eastAsia="宋体" w:cs="宋体"/>
      <w:color w:val="000000"/>
      <w:sz w:val="24"/>
      <w:szCs w:val="24"/>
      <w:lang w:val="en-US" w:eastAsia="zh-CN" w:bidi="ar-SA"/>
    </w:rPr>
  </w:style>
  <w:style w:type="character" w:customStyle="1" w:styleId="87">
    <w:name w:val="font21"/>
    <w:qFormat/>
    <w:uiPriority w:val="0"/>
    <w:rPr>
      <w:rFonts w:hint="default" w:ascii="Times New Roman" w:hAnsi="Times New Roman" w:cs="Times New Roman"/>
      <w:color w:val="FF0000"/>
      <w:sz w:val="21"/>
      <w:szCs w:val="21"/>
      <w:u w:val="none"/>
    </w:rPr>
  </w:style>
  <w:style w:type="character" w:customStyle="1" w:styleId="88">
    <w:name w:val="方案－正文 Char Char"/>
    <w:link w:val="89"/>
    <w:qFormat/>
    <w:uiPriority w:val="0"/>
    <w:rPr>
      <w:rFonts w:ascii="仿宋_GB2312" w:hAnsi="宋体"/>
      <w:sz w:val="24"/>
      <w:lang w:bidi="ar-SA"/>
    </w:rPr>
  </w:style>
  <w:style w:type="paragraph" w:customStyle="1" w:styleId="89">
    <w:name w:val="方案－正文"/>
    <w:basedOn w:val="1"/>
    <w:link w:val="88"/>
    <w:qFormat/>
    <w:uiPriority w:val="0"/>
    <w:pPr>
      <w:spacing w:line="360" w:lineRule="auto"/>
      <w:ind w:firstLine="480" w:firstLineChars="200"/>
    </w:pPr>
    <w:rPr>
      <w:rFonts w:ascii="仿宋_GB2312" w:hAnsi="宋体"/>
      <w:kern w:val="0"/>
      <w:sz w:val="24"/>
    </w:rPr>
  </w:style>
  <w:style w:type="character" w:customStyle="1" w:styleId="90">
    <w:name w:val="正文文本缩进 Char1"/>
    <w:qFormat/>
    <w:uiPriority w:val="0"/>
    <w:rPr>
      <w:rFonts w:eastAsia="方正书宋简体"/>
      <w:kern w:val="2"/>
      <w:sz w:val="24"/>
      <w:lang w:val="en-US" w:eastAsia="zh-CN" w:bidi="ar-SA"/>
    </w:rPr>
  </w:style>
  <w:style w:type="character" w:customStyle="1" w:styleId="91">
    <w:name w:val="apple-style-span"/>
    <w:qFormat/>
    <w:uiPriority w:val="0"/>
  </w:style>
  <w:style w:type="character" w:customStyle="1" w:styleId="92">
    <w:name w:val="font61"/>
    <w:qFormat/>
    <w:uiPriority w:val="0"/>
    <w:rPr>
      <w:rFonts w:hint="eastAsia" w:ascii="宋体" w:hAnsi="宋体" w:eastAsia="宋体"/>
      <w:color w:val="000000"/>
      <w:sz w:val="20"/>
      <w:szCs w:val="20"/>
      <w:u w:val="none"/>
    </w:rPr>
  </w:style>
  <w:style w:type="character" w:customStyle="1" w:styleId="93">
    <w:name w:val="font11"/>
    <w:qFormat/>
    <w:uiPriority w:val="0"/>
    <w:rPr>
      <w:rFonts w:hint="eastAsia" w:ascii="宋体" w:hAnsi="宋体" w:eastAsia="宋体"/>
      <w:color w:val="FF0000"/>
      <w:sz w:val="21"/>
      <w:szCs w:val="21"/>
      <w:u w:val="none"/>
    </w:rPr>
  </w:style>
  <w:style w:type="character" w:customStyle="1" w:styleId="94">
    <w:name w:val="样式4 Char Char"/>
    <w:link w:val="95"/>
    <w:qFormat/>
    <w:uiPriority w:val="0"/>
    <w:rPr>
      <w:rFonts w:ascii="黑体" w:hAnsi="黑体" w:eastAsia="黑体"/>
      <w:bCs/>
      <w:kern w:val="44"/>
      <w:sz w:val="44"/>
      <w:szCs w:val="44"/>
      <w:lang w:val="en-US" w:eastAsia="zh-CN" w:bidi="ar-SA"/>
    </w:rPr>
  </w:style>
  <w:style w:type="paragraph" w:customStyle="1" w:styleId="95">
    <w:name w:val="样式4"/>
    <w:basedOn w:val="3"/>
    <w:link w:val="94"/>
    <w:qFormat/>
    <w:uiPriority w:val="0"/>
    <w:pPr>
      <w:keepLines/>
      <w:spacing w:line="360" w:lineRule="auto"/>
    </w:pPr>
    <w:rPr>
      <w:rFonts w:ascii="黑体" w:hAnsi="黑体" w:eastAsia="黑体"/>
      <w:b w:val="0"/>
      <w:kern w:val="44"/>
      <w:sz w:val="44"/>
      <w:szCs w:val="44"/>
    </w:rPr>
  </w:style>
  <w:style w:type="character" w:customStyle="1" w:styleId="96">
    <w:name w:val="样式2 Char Char"/>
    <w:link w:val="97"/>
    <w:qFormat/>
    <w:uiPriority w:val="0"/>
    <w:rPr>
      <w:rFonts w:ascii="黑体" w:hAnsi="黑体" w:eastAsia="黑体"/>
      <w:bCs/>
      <w:color w:val="FF0000"/>
      <w:kern w:val="2"/>
      <w:sz w:val="28"/>
      <w:szCs w:val="32"/>
      <w:lang w:val="en-US" w:eastAsia="zh-CN" w:bidi="ar-SA"/>
    </w:rPr>
  </w:style>
  <w:style w:type="paragraph" w:customStyle="1" w:styleId="97">
    <w:name w:val="样式2"/>
    <w:basedOn w:val="4"/>
    <w:link w:val="96"/>
    <w:qFormat/>
    <w:uiPriority w:val="0"/>
    <w:pPr>
      <w:numPr>
        <w:ilvl w:val="0"/>
        <w:numId w:val="0"/>
      </w:numPr>
      <w:adjustRightInd w:val="0"/>
      <w:spacing w:before="0" w:beforeLines="0" w:after="0" w:afterLines="0"/>
      <w:textAlignment w:val="baseline"/>
    </w:pPr>
    <w:rPr>
      <w:rFonts w:ascii="黑体" w:hAnsi="黑体" w:cs="Times New Roman"/>
      <w:b w:val="0"/>
      <w:color w:val="FF0000"/>
      <w:sz w:val="28"/>
    </w:rPr>
  </w:style>
  <w:style w:type="character" w:customStyle="1" w:styleId="98">
    <w:name w:val="样式1 Char Char"/>
    <w:link w:val="99"/>
    <w:qFormat/>
    <w:uiPriority w:val="0"/>
    <w:rPr>
      <w:rFonts w:ascii="黑体" w:hAnsi="黑体" w:eastAsia="黑体"/>
      <w:b/>
      <w:bCs/>
      <w:kern w:val="2"/>
      <w:sz w:val="32"/>
      <w:szCs w:val="32"/>
      <w:lang w:bidi="ar-SA"/>
    </w:rPr>
  </w:style>
  <w:style w:type="paragraph" w:customStyle="1" w:styleId="99">
    <w:name w:val="样式1"/>
    <w:basedOn w:val="2"/>
    <w:link w:val="98"/>
    <w:qFormat/>
    <w:uiPriority w:val="0"/>
    <w:pPr>
      <w:tabs>
        <w:tab w:val="clear" w:pos="578"/>
      </w:tabs>
      <w:spacing w:before="0" w:beforeLines="0" w:after="0" w:afterLines="0"/>
      <w:ind w:left="0" w:firstLine="0"/>
    </w:pPr>
    <w:rPr>
      <w:rFonts w:ascii="黑体" w:hAnsi="黑体"/>
    </w:rPr>
  </w:style>
  <w:style w:type="character" w:customStyle="1" w:styleId="100">
    <w:name w:val="纯文本 Char1"/>
    <w:qFormat/>
    <w:uiPriority w:val="0"/>
    <w:rPr>
      <w:rFonts w:ascii="宋体" w:hAnsi="宋体" w:eastAsia="宋体" w:cs="宋体"/>
      <w:color w:val="000000"/>
      <w:sz w:val="24"/>
      <w:szCs w:val="24"/>
      <w:lang w:val="en-US" w:eastAsia="zh-CN" w:bidi="ar-SA"/>
    </w:rPr>
  </w:style>
  <w:style w:type="character" w:customStyle="1" w:styleId="101">
    <w:name w:val="标题 1 Char Char"/>
    <w:qFormat/>
    <w:uiPriority w:val="0"/>
    <w:rPr>
      <w:rFonts w:eastAsia="宋体"/>
      <w:b/>
      <w:spacing w:val="-2"/>
      <w:sz w:val="24"/>
      <w:lang w:val="en-US" w:eastAsia="zh-CN" w:bidi="ar-SA"/>
    </w:rPr>
  </w:style>
  <w:style w:type="character" w:customStyle="1" w:styleId="102">
    <w:name w:val="bookmark-item"/>
    <w:qFormat/>
    <w:uiPriority w:val="0"/>
  </w:style>
  <w:style w:type="character" w:customStyle="1" w:styleId="103">
    <w:name w:val="正文文本缩进 字符"/>
    <w:qFormat/>
    <w:uiPriority w:val="0"/>
    <w:rPr>
      <w:rFonts w:ascii="宋体" w:hAnsi="宋体" w:eastAsia="方正书宋简体"/>
      <w:kern w:val="2"/>
      <w:sz w:val="24"/>
      <w:szCs w:val="24"/>
      <w:lang w:val="en-US" w:eastAsia="zh-CN" w:bidi="ar-SA"/>
    </w:rPr>
  </w:style>
  <w:style w:type="character" w:customStyle="1" w:styleId="104">
    <w:name w:val="哈哈正文 Char Char"/>
    <w:link w:val="105"/>
    <w:qFormat/>
    <w:uiPriority w:val="0"/>
    <w:rPr>
      <w:rFonts w:ascii="宋体" w:hAnsi="宋体" w:eastAsia="宋体" w:cs="宋体"/>
      <w:kern w:val="2"/>
      <w:sz w:val="24"/>
      <w:lang w:val="en-US" w:eastAsia="zh-CN" w:bidi="ar-SA"/>
    </w:rPr>
  </w:style>
  <w:style w:type="paragraph" w:customStyle="1" w:styleId="105">
    <w:name w:val="哈哈正文"/>
    <w:basedOn w:val="1"/>
    <w:link w:val="104"/>
    <w:qFormat/>
    <w:uiPriority w:val="0"/>
    <w:pPr>
      <w:spacing w:line="360" w:lineRule="auto"/>
      <w:ind w:firstLine="200" w:firstLineChars="200"/>
    </w:pPr>
    <w:rPr>
      <w:rFonts w:ascii="宋体" w:hAnsi="宋体" w:cs="宋体"/>
      <w:sz w:val="24"/>
    </w:rPr>
  </w:style>
  <w:style w:type="paragraph" w:customStyle="1" w:styleId="106">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07">
    <w:name w:val="Char Char Char Char Char Char Char Char Char Char"/>
    <w:basedOn w:val="1"/>
    <w:qFormat/>
    <w:uiPriority w:val="0"/>
    <w:pPr>
      <w:widowControl/>
      <w:spacing w:after="160" w:line="240" w:lineRule="exact"/>
      <w:jc w:val="left"/>
    </w:pPr>
  </w:style>
  <w:style w:type="paragraph" w:customStyle="1" w:styleId="108">
    <w:name w:val=" Char Char1 Char Char Char Char"/>
    <w:basedOn w:val="1"/>
    <w:qFormat/>
    <w:uiPriority w:val="0"/>
    <w:rPr>
      <w:rFonts w:ascii="Tahoma" w:hAnsi="Tahoma"/>
      <w:sz w:val="24"/>
    </w:rPr>
  </w:style>
  <w:style w:type="paragraph" w:customStyle="1" w:styleId="109">
    <w:name w:val=" Char Char Char Char Char Char Char"/>
    <w:basedOn w:val="1"/>
    <w:qFormat/>
    <w:uiPriority w:val="0"/>
    <w:pPr>
      <w:tabs>
        <w:tab w:val="left" w:pos="432"/>
      </w:tabs>
      <w:ind w:left="432" w:hanging="432"/>
    </w:pPr>
    <w:rPr>
      <w:rFonts w:ascii="Tahoma" w:hAnsi="Tahoma"/>
      <w:sz w:val="24"/>
    </w:rPr>
  </w:style>
  <w:style w:type="paragraph" w:customStyle="1" w:styleId="110">
    <w:name w:val="Char Char Char1 Char Char Char Char Char Char Char Char Char Char Char Char Char"/>
    <w:basedOn w:val="14"/>
    <w:qFormat/>
    <w:uiPriority w:val="0"/>
    <w:rPr>
      <w:shd w:val="clear" w:color="auto" w:fill="000080"/>
    </w:rPr>
  </w:style>
  <w:style w:type="paragraph" w:customStyle="1" w:styleId="111">
    <w:name w:val="符号 1"/>
    <w:basedOn w:val="18"/>
    <w:qFormat/>
    <w:uiPriority w:val="0"/>
    <w:pPr>
      <w:numPr>
        <w:ilvl w:val="0"/>
        <w:numId w:val="4"/>
      </w:numPr>
      <w:tabs>
        <w:tab w:val="left" w:pos="900"/>
        <w:tab w:val="clear" w:pos="1200"/>
      </w:tabs>
      <w:spacing w:line="360" w:lineRule="auto"/>
    </w:pPr>
    <w:rPr>
      <w:rFonts w:eastAsia="宋体"/>
      <w:kern w:val="28"/>
      <w:szCs w:val="24"/>
    </w:rPr>
  </w:style>
  <w:style w:type="paragraph" w:customStyle="1" w:styleId="112">
    <w:name w:val="默认段落字体 Para Char Char Char Char"/>
    <w:basedOn w:val="1"/>
    <w:qFormat/>
    <w:uiPriority w:val="0"/>
    <w:pPr>
      <w:adjustRightInd w:val="0"/>
      <w:spacing w:line="360" w:lineRule="auto"/>
    </w:pPr>
    <w:rPr>
      <w:kern w:val="0"/>
      <w:sz w:val="24"/>
    </w:rPr>
  </w:style>
  <w:style w:type="paragraph" w:customStyle="1" w:styleId="113">
    <w:name w:val="xl28"/>
    <w:basedOn w:val="1"/>
    <w:qFormat/>
    <w:uiPriority w:val="0"/>
    <w:pPr>
      <w:widowControl/>
      <w:pBdr>
        <w:left w:val="single" w:color="auto" w:sz="8" w:space="0"/>
        <w:bottom w:val="single" w:color="auto" w:sz="4" w:space="0"/>
        <w:right w:val="single" w:color="auto" w:sz="4" w:space="0"/>
      </w:pBdr>
      <w:jc w:val="center"/>
    </w:pPr>
    <w:rPr>
      <w:rFonts w:ascii="Arial Unicode MS" w:hAnsi="Arial Unicode MS" w:eastAsia="Arial Unicode MS"/>
      <w:kern w:val="0"/>
      <w:sz w:val="24"/>
    </w:rPr>
  </w:style>
  <w:style w:type="paragraph" w:customStyle="1" w:styleId="114">
    <w:name w:val="Char Char Char"/>
    <w:basedOn w:val="1"/>
    <w:qFormat/>
    <w:uiPriority w:val="0"/>
    <w:pPr>
      <w:spacing w:before="120" w:beforeLines="0" w:after="120" w:afterLines="0" w:line="360" w:lineRule="auto"/>
      <w:ind w:firstLine="200" w:firstLineChars="200"/>
    </w:pPr>
    <w:rPr>
      <w:rFonts w:ascii="Tahoma" w:hAnsi="Tahoma"/>
      <w:sz w:val="24"/>
    </w:rPr>
  </w:style>
  <w:style w:type="paragraph" w:customStyle="1" w:styleId="115">
    <w:name w:val="xl24"/>
    <w:basedOn w:val="1"/>
    <w:qFormat/>
    <w:uiPriority w:val="0"/>
    <w:pPr>
      <w:widowControl/>
      <w:spacing w:before="100" w:beforeLines="0" w:beforeAutospacing="1" w:after="100" w:afterLines="0" w:afterAutospacing="1"/>
      <w:jc w:val="center"/>
    </w:pPr>
    <w:rPr>
      <w:rFonts w:ascii="仿宋_GB2312" w:hAnsi="宋体" w:eastAsia="仿宋_GB2312"/>
      <w:kern w:val="0"/>
      <w:sz w:val="24"/>
      <w:szCs w:val="24"/>
    </w:rPr>
  </w:style>
  <w:style w:type="paragraph" w:customStyle="1" w:styleId="116">
    <w:name w:val="标题3"/>
    <w:basedOn w:val="4"/>
    <w:qFormat/>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17">
    <w:name w:val="默认段落字体 Para Char Char Char Char Char Char Char Char Char1 Char Char Char Char"/>
    <w:basedOn w:val="1"/>
    <w:qFormat/>
    <w:uiPriority w:val="0"/>
    <w:rPr>
      <w:rFonts w:ascii="Tahoma" w:hAnsi="Tahoma"/>
      <w:sz w:val="24"/>
    </w:rPr>
  </w:style>
  <w:style w:type="paragraph" w:customStyle="1" w:styleId="118">
    <w:name w:val="itemlistintable"/>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9">
    <w:name w:val="tabletextchar"/>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0">
    <w:name w:val=" Char"/>
    <w:basedOn w:val="1"/>
    <w:qFormat/>
    <w:uiPriority w:val="0"/>
    <w:pPr>
      <w:widowControl/>
      <w:spacing w:after="160" w:afterLines="0" w:line="240" w:lineRule="exact"/>
      <w:ind w:left="-62" w:right="36" w:rightChars="15"/>
      <w:jc w:val="left"/>
    </w:pPr>
    <w:rPr>
      <w:rFonts w:ascii="Arial" w:hAnsi="Arial" w:eastAsia="Times New Roman"/>
      <w:kern w:val="0"/>
      <w:sz w:val="20"/>
      <w:lang w:eastAsia="en-US"/>
    </w:rPr>
  </w:style>
  <w:style w:type="paragraph" w:customStyle="1" w:styleId="121">
    <w:name w:val=" Char Char Char1 Char"/>
    <w:basedOn w:val="1"/>
    <w:qFormat/>
    <w:uiPriority w:val="0"/>
    <w:pPr>
      <w:spacing w:line="360" w:lineRule="auto"/>
      <w:ind w:firstLine="200" w:firstLineChars="200"/>
    </w:pPr>
  </w:style>
  <w:style w:type="paragraph" w:customStyle="1" w:styleId="122">
    <w:name w:val="Body Text First Indent1"/>
    <w:basedOn w:val="17"/>
    <w:qFormat/>
    <w:uiPriority w:val="0"/>
    <w:pPr>
      <w:ind w:firstLine="420" w:firstLineChars="100"/>
    </w:pPr>
    <w:rPr>
      <w:rFonts w:hint="eastAsia" w:ascii="仿宋_GB2312" w:hAnsi="Calibri" w:eastAsia="仿宋_GB2312"/>
      <w:i w:val="0"/>
      <w:sz w:val="21"/>
      <w:szCs w:val="22"/>
    </w:rPr>
  </w:style>
  <w:style w:type="paragraph" w:customStyle="1" w:styleId="123">
    <w:name w:val="Char Char Char1 Char Char Char Char Char Char Char Char Char Char Char Char Char Char Char Char Char Char Char Char Char Char"/>
    <w:basedOn w:val="1"/>
    <w:qFormat/>
    <w:uiPriority w:val="0"/>
    <w:pPr>
      <w:spacing w:line="360" w:lineRule="auto"/>
      <w:ind w:firstLine="200" w:firstLineChars="200"/>
    </w:pPr>
  </w:style>
  <w:style w:type="paragraph" w:customStyle="1" w:styleId="124">
    <w:name w:val="符号 2"/>
    <w:basedOn w:val="111"/>
    <w:qFormat/>
    <w:uiPriority w:val="0"/>
    <w:pPr>
      <w:numPr>
        <w:ilvl w:val="1"/>
        <w:numId w:val="4"/>
      </w:numPr>
      <w:tabs>
        <w:tab w:val="clear" w:pos="900"/>
      </w:tabs>
    </w:pPr>
  </w:style>
  <w:style w:type="paragraph" w:customStyle="1" w:styleId="125">
    <w:name w:val="正文编码"/>
    <w:basedOn w:val="42"/>
    <w:qFormat/>
    <w:uiPriority w:val="0"/>
    <w:pPr>
      <w:numPr>
        <w:ilvl w:val="0"/>
        <w:numId w:val="4"/>
      </w:numPr>
      <w:tabs>
        <w:tab w:val="center" w:pos="2185"/>
        <w:tab w:val="clear" w:pos="1200"/>
      </w:tabs>
      <w:spacing w:after="0" w:afterLines="0" w:line="360" w:lineRule="auto"/>
      <w:ind w:firstLineChars="0"/>
    </w:pPr>
    <w:rPr>
      <w:rFonts w:ascii="仿宋_GB2312" w:hAnsi="宋体" w:eastAsia="仿宋_GB2312"/>
      <w:kern w:val="0"/>
      <w:sz w:val="24"/>
      <w:szCs w:val="20"/>
    </w:rPr>
  </w:style>
  <w:style w:type="paragraph" w:customStyle="1" w:styleId="1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28">
    <w:name w:val="默认段落字体11"/>
    <w:basedOn w:val="1"/>
    <w:qFormat/>
    <w:uiPriority w:val="0"/>
    <w:pPr>
      <w:widowControl/>
      <w:spacing w:before="100" w:beforeAutospacing="1" w:after="100" w:afterAutospacing="1"/>
      <w:jc w:val="left"/>
    </w:pPr>
    <w:rPr>
      <w:sz w:val="28"/>
      <w:szCs w:val="28"/>
    </w:rPr>
  </w:style>
  <w:style w:type="paragraph" w:customStyle="1" w:styleId="129">
    <w:name w:val=" Char1"/>
    <w:basedOn w:val="1"/>
    <w:qFormat/>
    <w:uiPriority w:val="0"/>
    <w:rPr>
      <w:rFonts w:ascii="仿宋_GB2312" w:eastAsia="仿宋_GB2312"/>
      <w:b/>
      <w:sz w:val="32"/>
      <w:szCs w:val="32"/>
    </w:rPr>
  </w:style>
  <w:style w:type="paragraph" w:customStyle="1" w:styleId="130">
    <w:name w:val="Table Paragraph"/>
    <w:basedOn w:val="1"/>
    <w:qFormat/>
    <w:uiPriority w:val="0"/>
    <w:pPr>
      <w:autoSpaceDE w:val="0"/>
      <w:autoSpaceDN w:val="0"/>
      <w:jc w:val="center"/>
    </w:pPr>
    <w:rPr>
      <w:rFonts w:ascii="宋体" w:hAnsi="宋体" w:cs="宋体"/>
      <w:kern w:val="0"/>
      <w:sz w:val="22"/>
      <w:szCs w:val="24"/>
      <w:lang w:eastAsia="en-US"/>
    </w:rPr>
  </w:style>
  <w:style w:type="paragraph" w:customStyle="1" w:styleId="131">
    <w:name w:val="正文2"/>
    <w:basedOn w:val="1"/>
    <w:qFormat/>
    <w:uiPriority w:val="0"/>
    <w:pPr>
      <w:spacing w:before="156" w:beforeLines="50" w:after="156" w:afterLines="50" w:line="360" w:lineRule="auto"/>
      <w:ind w:firstLine="480" w:firstLineChars="200"/>
    </w:pPr>
    <w:rPr>
      <w:rFonts w:ascii="宋体" w:hAnsi="宋体"/>
      <w:sz w:val="24"/>
      <w:szCs w:val="24"/>
    </w:rPr>
  </w:style>
  <w:style w:type="paragraph" w:styleId="132">
    <w:name w:val="List Paragraph"/>
    <w:basedOn w:val="1"/>
    <w:qFormat/>
    <w:uiPriority w:val="0"/>
    <w:pPr>
      <w:spacing w:line="360" w:lineRule="auto"/>
      <w:ind w:firstLine="420" w:firstLineChars="200"/>
    </w:pPr>
    <w:rPr>
      <w:sz w:val="24"/>
      <w:szCs w:val="24"/>
    </w:rPr>
  </w:style>
  <w:style w:type="paragraph" w:customStyle="1" w:styleId="133">
    <w:name w:val="普通正文"/>
    <w:basedOn w:val="1"/>
    <w:qFormat/>
    <w:uiPriority w:val="0"/>
    <w:pPr>
      <w:adjustRightInd w:val="0"/>
      <w:spacing w:before="120" w:beforeLines="0" w:after="120" w:afterLines="0" w:line="360" w:lineRule="auto"/>
      <w:ind w:firstLine="480"/>
      <w:jc w:val="left"/>
      <w:textAlignment w:val="baseline"/>
    </w:pPr>
    <w:rPr>
      <w:rFonts w:ascii="Arial" w:hAnsi="Arial"/>
      <w:kern w:val="0"/>
      <w:sz w:val="24"/>
      <w:szCs w:val="24"/>
    </w:rPr>
  </w:style>
  <w:style w:type="paragraph" w:customStyle="1" w:styleId="134">
    <w:name w:val="样式3"/>
    <w:basedOn w:val="22"/>
    <w:next w:val="1"/>
    <w:qFormat/>
    <w:uiPriority w:val="0"/>
    <w:pPr>
      <w:tabs>
        <w:tab w:val="left" w:pos="709"/>
      </w:tabs>
      <w:spacing w:before="0" w:after="0"/>
      <w:ind w:left="709" w:hanging="709"/>
    </w:pPr>
    <w:rPr>
      <w:rFonts w:ascii="Tahoma" w:hAnsi="Tahoma"/>
      <w:sz w:val="28"/>
    </w:rPr>
  </w:style>
  <w:style w:type="paragraph" w:customStyle="1" w:styleId="13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6">
    <w:name w:val="标题1"/>
    <w:basedOn w:val="3"/>
    <w:qFormat/>
    <w:uiPriority w:val="0"/>
    <w:pPr>
      <w:keepLines/>
      <w:numPr>
        <w:ilvl w:val="0"/>
        <w:numId w:val="5"/>
      </w:numPr>
      <w:tabs>
        <w:tab w:val="left" w:pos="397"/>
        <w:tab w:val="clear" w:pos="700"/>
      </w:tabs>
      <w:spacing w:before="120" w:beforeLines="0" w:after="120" w:afterLines="0" w:line="300" w:lineRule="auto"/>
    </w:pPr>
    <w:rPr>
      <w:rFonts w:ascii="黑体" w:hAnsi="宋体" w:eastAsia="黑体"/>
      <w:b w:val="0"/>
      <w:bCs w:val="0"/>
      <w:spacing w:val="6"/>
      <w:kern w:val="44"/>
      <w:sz w:val="36"/>
    </w:rPr>
  </w:style>
  <w:style w:type="paragraph" w:customStyle="1" w:styleId="137">
    <w:name w:val="tabletextcharchar"/>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38">
    <w:name w:val=" Char Char Char Char"/>
    <w:basedOn w:val="1"/>
    <w:qFormat/>
    <w:uiPriority w:val="0"/>
    <w:pPr>
      <w:widowControl/>
      <w:spacing w:line="400" w:lineRule="exact"/>
      <w:jc w:val="center"/>
    </w:pPr>
    <w:rPr>
      <w:rFonts w:ascii="Verdana" w:hAnsi="Verdana"/>
      <w:kern w:val="0"/>
      <w:lang w:eastAsia="en-US"/>
    </w:rPr>
  </w:style>
  <w:style w:type="paragraph" w:customStyle="1" w:styleId="139">
    <w:name w:val="正文文本缩进 + 四号"/>
    <w:basedOn w:val="18"/>
    <w:qFormat/>
    <w:uiPriority w:val="0"/>
    <w:pPr>
      <w:spacing w:line="360" w:lineRule="auto"/>
      <w:ind w:firstLine="560" w:firstLineChars="200"/>
    </w:pPr>
    <w:rPr>
      <w:rFonts w:ascii="仿宋_GB2312" w:eastAsia="仿宋_GB2312"/>
      <w:color w:val="000000"/>
      <w:sz w:val="28"/>
      <w:szCs w:val="28"/>
    </w:rPr>
  </w:style>
  <w:style w:type="paragraph" w:customStyle="1" w:styleId="140">
    <w:name w:val="默认段落字体 Para Char Char Char Char Char Char Char Char Char Char"/>
    <w:basedOn w:val="1"/>
    <w:qFormat/>
    <w:uiPriority w:val="0"/>
    <w:rPr>
      <w:rFonts w:ascii="Tahoma" w:hAnsi="Tahoma"/>
      <w:sz w:val="24"/>
    </w:rPr>
  </w:style>
  <w:style w:type="paragraph" w:customStyle="1" w:styleId="141">
    <w:name w:val="p17"/>
    <w:basedOn w:val="1"/>
    <w:qFormat/>
    <w:uiPriority w:val="0"/>
    <w:pPr>
      <w:ind w:firstLine="420"/>
    </w:pPr>
    <w:rPr>
      <w:rFonts w:cs="黑体"/>
      <w:b/>
      <w:bCs/>
      <w:sz w:val="28"/>
      <w:szCs w:val="28"/>
    </w:rPr>
  </w:style>
  <w:style w:type="paragraph" w:customStyle="1" w:styleId="142">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3">
    <w:name w:val="正文 居中"/>
    <w:basedOn w:val="1"/>
    <w:qFormat/>
    <w:uiPriority w:val="0"/>
    <w:pPr>
      <w:spacing w:line="360" w:lineRule="auto"/>
      <w:jc w:val="center"/>
    </w:pPr>
    <w:rPr>
      <w:rFonts w:cs="宋体"/>
      <w:sz w:val="24"/>
    </w:rPr>
  </w:style>
  <w:style w:type="paragraph" w:customStyle="1" w:styleId="144">
    <w:name w:val="正文段"/>
    <w:basedOn w:val="1"/>
    <w:qFormat/>
    <w:uiPriority w:val="0"/>
    <w:pPr>
      <w:widowControl/>
      <w:snapToGrid w:val="0"/>
      <w:spacing w:after="156" w:afterLines="50"/>
      <w:ind w:firstLine="200" w:firstLineChars="200"/>
    </w:pPr>
    <w:rPr>
      <w:kern w:val="0"/>
      <w:sz w:val="24"/>
    </w:rPr>
  </w:style>
  <w:style w:type="paragraph" w:customStyle="1" w:styleId="145">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46">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147">
    <w:name w:val="xl33"/>
    <w:basedOn w:val="1"/>
    <w:qFormat/>
    <w:uiPriority w:val="0"/>
    <w:pPr>
      <w:widowControl/>
      <w:spacing w:before="100" w:beforeLines="0" w:beforeAutospacing="1" w:after="100" w:afterLines="0" w:afterAutospacing="1"/>
      <w:jc w:val="center"/>
    </w:pPr>
    <w:rPr>
      <w:rFonts w:ascii="华文中宋" w:hAnsi="华文中宋" w:eastAsia="华文中宋"/>
      <w:b/>
      <w:bCs/>
      <w:kern w:val="0"/>
      <w:sz w:val="36"/>
      <w:szCs w:val="36"/>
    </w:rPr>
  </w:style>
  <w:style w:type="paragraph" w:customStyle="1" w:styleId="148">
    <w:name w:val="大标题"/>
    <w:basedOn w:val="1"/>
    <w:qFormat/>
    <w:uiPriority w:val="0"/>
    <w:pPr>
      <w:autoSpaceDE w:val="0"/>
      <w:autoSpaceDN w:val="0"/>
      <w:adjustRightInd w:val="0"/>
      <w:spacing w:after="560" w:afterLines="0"/>
      <w:jc w:val="center"/>
    </w:pPr>
    <w:rPr>
      <w:rFonts w:ascii="Arial Black" w:hAnsi="Arial Black"/>
      <w:b/>
      <w:kern w:val="0"/>
      <w:sz w:val="56"/>
    </w:rPr>
  </w:style>
  <w:style w:type="paragraph" w:customStyle="1" w:styleId="149">
    <w:name w:val="xl25"/>
    <w:basedOn w:val="1"/>
    <w:qFormat/>
    <w:uiPriority w:val="0"/>
    <w:pPr>
      <w:widowControl/>
      <w:spacing w:before="100" w:beforeLines="0" w:beforeAutospacing="1" w:after="100" w:afterLines="0" w:afterAutospacing="1"/>
      <w:jc w:val="center"/>
      <w:textAlignment w:val="center"/>
    </w:pPr>
    <w:rPr>
      <w:rFonts w:ascii="宋体" w:hAnsi="宋体"/>
      <w:kern w:val="0"/>
      <w:sz w:val="20"/>
    </w:rPr>
  </w:style>
  <w:style w:type="paragraph" w:customStyle="1" w:styleId="150">
    <w:name w:val="列出段落1"/>
    <w:basedOn w:val="1"/>
    <w:qFormat/>
    <w:uiPriority w:val="34"/>
    <w:pPr>
      <w:ind w:firstLine="420" w:firstLineChars="200"/>
    </w:pPr>
    <w:rPr>
      <w:rFonts w:ascii="Calibri" w:hAnsi="Calibri" w:eastAsia="宋体" w:cs="Times New Roman"/>
      <w:szCs w:val="22"/>
    </w:rPr>
  </w:style>
  <w:style w:type="paragraph" w:customStyle="1" w:styleId="151">
    <w:name w:val="报告正文"/>
    <w:basedOn w:val="1"/>
    <w:qFormat/>
    <w:uiPriority w:val="0"/>
    <w:pPr>
      <w:adjustRightInd w:val="0"/>
      <w:snapToGrid w:val="0"/>
      <w:spacing w:line="288" w:lineRule="auto"/>
      <w:ind w:left="3060" w:leftChars="1700"/>
    </w:pPr>
    <w:rPr>
      <w:rFonts w:ascii="华文细黑" w:hAnsi="华文细黑" w:eastAsia="华文细黑" w:cs="宋体"/>
    </w:rPr>
  </w:style>
  <w:style w:type="paragraph" w:customStyle="1" w:styleId="152">
    <w:name w:val="List Paragraph11"/>
    <w:basedOn w:val="1"/>
    <w:qFormat/>
    <w:uiPriority w:val="0"/>
    <w:pPr>
      <w:ind w:firstLine="420" w:firstLineChars="200"/>
    </w:pPr>
    <w:rPr>
      <w:rFonts w:ascii="Calibri" w:hAnsi="Calibri"/>
      <w:szCs w:val="22"/>
    </w:rPr>
  </w:style>
  <w:style w:type="paragraph" w:customStyle="1" w:styleId="153">
    <w:name w:val="Plain Text"/>
    <w:basedOn w:val="1"/>
    <w:qFormat/>
    <w:uiPriority w:val="0"/>
    <w:rPr>
      <w:rFonts w:ascii="宋体" w:hAnsi="Courier New"/>
    </w:rPr>
  </w:style>
  <w:style w:type="paragraph" w:customStyle="1" w:styleId="154">
    <w:name w:val="Char"/>
    <w:basedOn w:val="1"/>
    <w:qFormat/>
    <w:uiPriority w:val="0"/>
    <w:pPr>
      <w:numPr>
        <w:ilvl w:val="0"/>
        <w:numId w:val="4"/>
      </w:numPr>
    </w:pPr>
    <w:rPr>
      <w:sz w:val="24"/>
      <w:szCs w:val="24"/>
    </w:rPr>
  </w:style>
  <w:style w:type="paragraph" w:customStyle="1" w:styleId="155">
    <w:name w:val="表格文字"/>
    <w:basedOn w:val="1"/>
    <w:next w:val="17"/>
    <w:qFormat/>
    <w:uiPriority w:val="0"/>
    <w:pPr>
      <w:adjustRightInd w:val="0"/>
      <w:spacing w:line="420" w:lineRule="atLeast"/>
      <w:jc w:val="left"/>
      <w:textAlignment w:val="baseline"/>
    </w:pPr>
    <w:rPr>
      <w:kern w:val="0"/>
      <w:szCs w:val="24"/>
    </w:rPr>
  </w:style>
  <w:style w:type="paragraph" w:customStyle="1" w:styleId="156">
    <w:name w:val="标准小四"/>
    <w:basedOn w:val="1"/>
    <w:qFormat/>
    <w:uiPriority w:val="0"/>
    <w:pPr>
      <w:spacing w:line="360" w:lineRule="auto"/>
      <w:ind w:firstLine="480" w:firstLineChars="200"/>
    </w:pPr>
    <w:rPr>
      <w:rFonts w:ascii="Arial" w:hAnsi="Arial"/>
      <w:sz w:val="24"/>
      <w:szCs w:val="21"/>
    </w:rPr>
  </w:style>
  <w:style w:type="paragraph" w:customStyle="1" w:styleId="157">
    <w:name w:val="_Style 3"/>
    <w:basedOn w:val="1"/>
    <w:qFormat/>
    <w:uiPriority w:val="0"/>
    <w:pPr>
      <w:widowControl/>
      <w:spacing w:line="400" w:lineRule="exact"/>
      <w:jc w:val="center"/>
    </w:pPr>
    <w:rPr>
      <w:rFonts w:ascii="Verdana" w:hAnsi="Verdana"/>
      <w:kern w:val="0"/>
      <w:lang w:eastAsia="en-US"/>
    </w:rPr>
  </w:style>
  <w:style w:type="paragraph" w:customStyle="1" w:styleId="158">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59">
    <w:name w:val="Normal 2"/>
    <w:basedOn w:val="1"/>
    <w:qFormat/>
    <w:uiPriority w:val="0"/>
    <w:pPr>
      <w:keepLines/>
      <w:widowControl/>
      <w:autoSpaceDE w:val="0"/>
      <w:autoSpaceDN w:val="0"/>
      <w:adjustRightInd w:val="0"/>
      <w:spacing w:before="240" w:beforeLines="0"/>
      <w:ind w:left="360" w:right="900"/>
      <w:jc w:val="left"/>
    </w:pPr>
    <w:rPr>
      <w:rFonts w:ascii="Arial" w:hAnsi="Arial"/>
      <w:kern w:val="0"/>
      <w:sz w:val="22"/>
      <w:lang w:eastAsia="en-US"/>
    </w:rPr>
  </w:style>
  <w:style w:type="paragraph" w:customStyle="1" w:styleId="160">
    <w:name w:val="标准正文"/>
    <w:basedOn w:val="1"/>
    <w:qFormat/>
    <w:uiPriority w:val="0"/>
    <w:pPr>
      <w:adjustRightInd w:val="0"/>
      <w:spacing w:line="360" w:lineRule="auto"/>
      <w:ind w:firstLine="480" w:firstLineChars="200"/>
    </w:pPr>
    <w:rPr>
      <w:kern w:val="0"/>
      <w:sz w:val="24"/>
    </w:rPr>
  </w:style>
  <w:style w:type="paragraph" w:customStyle="1" w:styleId="161">
    <w:name w:val="Body Text Indent"/>
    <w:basedOn w:val="1"/>
    <w:qFormat/>
    <w:uiPriority w:val="0"/>
    <w:pPr>
      <w:spacing w:after="120"/>
      <w:ind w:left="420" w:leftChars="200"/>
    </w:pPr>
    <w:rPr>
      <w:rFonts w:ascii="Calibri" w:hAnsi="Calibri"/>
      <w:szCs w:val="24"/>
    </w:rPr>
  </w:style>
  <w:style w:type="paragraph" w:customStyle="1" w:styleId="162">
    <w:name w:val="List Paragraph1"/>
    <w:basedOn w:val="1"/>
    <w:qFormat/>
    <w:uiPriority w:val="0"/>
    <w:pPr>
      <w:ind w:firstLine="420" w:firstLineChars="200"/>
    </w:pPr>
    <w:rPr>
      <w:rFonts w:ascii="Times New Roman" w:hAnsi="Times New Roman" w:eastAsia="宋体" w:cs="Times New Roman"/>
    </w:rPr>
  </w:style>
  <w:style w:type="paragraph" w:customStyle="1" w:styleId="163">
    <w:name w:val="WPSOffice手动目录 1"/>
    <w:qFormat/>
    <w:uiPriority w:val="0"/>
    <w:pPr>
      <w:ind w:leftChars="0"/>
    </w:pPr>
    <w:rPr>
      <w:rFonts w:ascii="Times New Roman" w:hAnsi="Times New Roman" w:eastAsia="宋体" w:cs="Times New Roman"/>
      <w:sz w:val="20"/>
      <w:szCs w:val="20"/>
    </w:rPr>
  </w:style>
  <w:style w:type="paragraph" w:customStyle="1" w:styleId="164">
    <w:name w:val="段落文字"/>
    <w:basedOn w:val="1"/>
    <w:qFormat/>
    <w:uiPriority w:val="0"/>
    <w:pPr>
      <w:spacing w:line="360" w:lineRule="auto"/>
      <w:ind w:firstLine="200" w:firstLineChars="200"/>
    </w:pPr>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Unknown Organization</Company>
  <Pages>49</Pages>
  <Words>25439</Words>
  <Characters>27089</Characters>
  <Lines>237</Lines>
  <Paragraphs>66</Paragraphs>
  <TotalTime>2</TotalTime>
  <ScaleCrop>false</ScaleCrop>
  <LinksUpToDate>false</LinksUpToDate>
  <CharactersWithSpaces>28810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2022-05-25T21:56:00Z</dcterms:created>
  <dc:creator>dyp</dc:creator>
  <cp:lastModifiedBy>木槿何溪°</cp:lastModifiedBy>
  <cp:lastPrinted>2017-07-29T13:10:00Z</cp:lastPrinted>
  <dcterms:modified xsi:type="dcterms:W3CDTF">2025-06-23T08:25:45Z</dcterms:modified>
  <dc:title>第一部分  投标方须知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E690BFBD98AB4071BB723337E2F53A8E_13</vt:lpwstr>
  </property>
  <property fmtid="{D5CDD505-2E9C-101B-9397-08002B2CF9AE}" pid="4" name="KSOTemplateDocerSaveRecord">
    <vt:lpwstr>eyJoZGlkIjoiZGFkMzZjMTA5YjBiYmFiYzQ0MDMyZGU2NmYwOGI2YTgiLCJ1c2VySWQiOiI5NTA4MzM3NTEifQ==</vt:lpwstr>
  </property>
</Properties>
</file>